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49" w:rsidRPr="00DC4117" w:rsidRDefault="004C1849" w:rsidP="00DC4117">
      <w:pPr>
        <w:pStyle w:val="Title"/>
      </w:pPr>
      <w:bookmarkStart w:id="0" w:name="_GoBack"/>
      <w:bookmarkEnd w:id="0"/>
      <w:r w:rsidRPr="00DC4117">
        <w:t xml:space="preserve">PRODUCT INFORMATION </w:t>
      </w:r>
    </w:p>
    <w:p w:rsidR="000432D2" w:rsidRPr="00DC4117" w:rsidRDefault="00F9490C" w:rsidP="00DC4117">
      <w:pPr>
        <w:pStyle w:val="Title"/>
      </w:pPr>
      <w:r w:rsidRPr="00DC4117">
        <w:t>REVESTIVE® (</w:t>
      </w:r>
      <w:proofErr w:type="spellStart"/>
      <w:r w:rsidRPr="00DC4117">
        <w:t>teduglutide</w:t>
      </w:r>
      <w:proofErr w:type="spellEnd"/>
      <w:r w:rsidRPr="00DC4117">
        <w:t>)</w:t>
      </w:r>
    </w:p>
    <w:p w:rsidR="000432D2" w:rsidRPr="00DC4117" w:rsidRDefault="00F9490C" w:rsidP="00DC4117">
      <w:pPr>
        <w:pStyle w:val="Heading1"/>
      </w:pPr>
      <w:r w:rsidRPr="00DC4117">
        <w:t>NAME OF THE MEDICINE</w:t>
      </w:r>
    </w:p>
    <w:p w:rsidR="000432D2" w:rsidRDefault="00DC4117" w:rsidP="004C1849">
      <w:pPr>
        <w:spacing w:after="0"/>
        <w:ind w:right="-20" w:hanging="14"/>
        <w:rPr>
          <w:rFonts w:eastAsia="Arial" w:cs="Arial"/>
          <w:bCs/>
        </w:rPr>
      </w:pPr>
      <w:r>
        <w:rPr>
          <w:rFonts w:eastAsia="Arial" w:cs="Arial"/>
          <w:bCs/>
        </w:rPr>
        <w:t>REVESTIVE</w:t>
      </w:r>
    </w:p>
    <w:p w:rsidR="000432D2" w:rsidRDefault="00F9490C" w:rsidP="004C1849">
      <w:pPr>
        <w:spacing w:after="0"/>
        <w:ind w:right="-20" w:hanging="14"/>
        <w:rPr>
          <w:rFonts w:eastAsia="Arial" w:cs="Arial"/>
          <w:bCs/>
        </w:rPr>
      </w:pPr>
      <w:r>
        <w:rPr>
          <w:rFonts w:eastAsia="Arial" w:cs="Arial"/>
          <w:bCs/>
        </w:rPr>
        <w:t>Active ingredient: teduglutide</w:t>
      </w:r>
    </w:p>
    <w:p w:rsidR="0023367F" w:rsidRDefault="00F9490C" w:rsidP="004C1849">
      <w:pPr>
        <w:keepNext/>
        <w:keepLines/>
        <w:spacing w:after="0"/>
        <w:rPr>
          <w:rFonts w:cs="Arial"/>
          <w:bCs/>
        </w:rPr>
      </w:pPr>
      <w:r>
        <w:rPr>
          <w:rFonts w:cs="Arial"/>
          <w:bCs/>
        </w:rPr>
        <w:t xml:space="preserve">The active ingredient </w:t>
      </w:r>
      <w:proofErr w:type="spellStart"/>
      <w:r>
        <w:rPr>
          <w:rFonts w:cs="Arial"/>
          <w:bCs/>
        </w:rPr>
        <w:t>teduglutide</w:t>
      </w:r>
      <w:proofErr w:type="spellEnd"/>
      <w:r>
        <w:rPr>
          <w:rFonts w:cs="Arial"/>
          <w:bCs/>
        </w:rPr>
        <w:t xml:space="preserve"> (rDNA origin) is a 33 amino acid glucagon-like peptide-2 (GLP-2) analogue manufactured using a strain of </w:t>
      </w:r>
      <w:r>
        <w:rPr>
          <w:rFonts w:cs="Arial"/>
          <w:bCs/>
          <w:i/>
        </w:rPr>
        <w:t>Escherichia coli</w:t>
      </w:r>
      <w:r>
        <w:rPr>
          <w:rFonts w:cs="Arial"/>
          <w:bCs/>
        </w:rPr>
        <w:t xml:space="preserve"> modified by recombinant DNA technology. The chemical composition of </w:t>
      </w:r>
      <w:proofErr w:type="spellStart"/>
      <w:r>
        <w:rPr>
          <w:rFonts w:cs="Arial"/>
          <w:bCs/>
        </w:rPr>
        <w:t>teduglutide</w:t>
      </w:r>
      <w:proofErr w:type="spellEnd"/>
      <w:r>
        <w:rPr>
          <w:rFonts w:cs="Arial"/>
          <w:bCs/>
        </w:rPr>
        <w:t xml:space="preserve"> is L-histidyl-L-glycyl-L-aspartyl-L-glycyl-L-seryl-L-phenylalanyl-L-seryl-L-aspartyl-L-glutamyl-L-methionyl-L-asparaginyl-L-threonyl-L-isoleucyl-L-leucyl-L-aspartyl-L-asparaginyl-L-leucyl-L-alanyl-L-alanyl-L-arginyl-L-aspartyl-L-phenylalanyl-L-isoleucyl-L-asparaginyl-L-tryptophanyl-L-leucyl-L-isoleucyl-L-glutaminyl-L-threonyl-L-lysyl-L-isoleucyl-L-threonyl-L-aspartic acid</w:t>
      </w:r>
      <w:r w:rsidR="0023367F">
        <w:rPr>
          <w:rFonts w:cs="Arial"/>
          <w:bCs/>
        </w:rPr>
        <w:t>.</w:t>
      </w:r>
    </w:p>
    <w:p w:rsidR="000432D2" w:rsidRDefault="00F9490C" w:rsidP="004C1849">
      <w:pPr>
        <w:keepNext/>
        <w:keepLines/>
        <w:spacing w:after="0"/>
        <w:rPr>
          <w:rFonts w:cs="Arial"/>
        </w:rPr>
      </w:pPr>
      <w:r>
        <w:rPr>
          <w:rFonts w:cs="Arial"/>
        </w:rPr>
        <w:t>Structural formula:</w:t>
      </w:r>
    </w:p>
    <w:p w:rsidR="000432D2" w:rsidRDefault="00FB5869" w:rsidP="004C1849">
      <w:pPr>
        <w:spacing w:after="0"/>
        <w:ind w:hanging="14"/>
        <w:rPr>
          <w:highlight w:val="yellow"/>
        </w:rPr>
      </w:pPr>
      <w:r>
        <w:rPr>
          <w:noProof/>
          <w:lang w:val="en-AU" w:eastAsia="en-AU"/>
        </w:rPr>
        <w:drawing>
          <wp:inline distT="0" distB="0" distL="0" distR="0">
            <wp:extent cx="5457825" cy="1343025"/>
            <wp:effectExtent l="0" t="0" r="9525" b="9525"/>
            <wp:docPr id="1" name="Picture 1" descr="Structural formula of Teduglutide [Reves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1343025"/>
                    </a:xfrm>
                    <a:prstGeom prst="rect">
                      <a:avLst/>
                    </a:prstGeom>
                    <a:noFill/>
                    <a:ln>
                      <a:noFill/>
                    </a:ln>
                  </pic:spPr>
                </pic:pic>
              </a:graphicData>
            </a:graphic>
          </wp:inline>
        </w:drawing>
      </w:r>
    </w:p>
    <w:p w:rsidR="000432D2" w:rsidRDefault="00F9490C" w:rsidP="004C1849">
      <w:pPr>
        <w:keepNext/>
        <w:keepLines/>
        <w:spacing w:after="0"/>
        <w:rPr>
          <w:rFonts w:cs="Arial"/>
        </w:rPr>
      </w:pPr>
      <w:r>
        <w:rPr>
          <w:rFonts w:cs="Arial"/>
        </w:rPr>
        <w:t>Molecular formula: C</w:t>
      </w:r>
      <w:r>
        <w:rPr>
          <w:rFonts w:cs="Arial"/>
          <w:vertAlign w:val="subscript"/>
        </w:rPr>
        <w:t>164</w:t>
      </w:r>
      <w:r>
        <w:rPr>
          <w:rFonts w:cs="Arial"/>
        </w:rPr>
        <w:t>H</w:t>
      </w:r>
      <w:r>
        <w:rPr>
          <w:rFonts w:cs="Arial"/>
          <w:vertAlign w:val="subscript"/>
        </w:rPr>
        <w:t>252</w:t>
      </w:r>
      <w:r>
        <w:rPr>
          <w:rFonts w:cs="Arial"/>
        </w:rPr>
        <w:t>N</w:t>
      </w:r>
      <w:r>
        <w:rPr>
          <w:rFonts w:cs="Arial"/>
          <w:vertAlign w:val="subscript"/>
        </w:rPr>
        <w:t>44</w:t>
      </w:r>
      <w:r>
        <w:rPr>
          <w:rFonts w:cs="Arial"/>
        </w:rPr>
        <w:t>O</w:t>
      </w:r>
      <w:r>
        <w:rPr>
          <w:rFonts w:cs="Arial"/>
          <w:vertAlign w:val="subscript"/>
        </w:rPr>
        <w:t>55</w:t>
      </w:r>
      <w:r>
        <w:rPr>
          <w:rFonts w:cs="Arial"/>
        </w:rPr>
        <w:t>S</w:t>
      </w:r>
    </w:p>
    <w:p w:rsidR="000432D2" w:rsidRDefault="00F9490C" w:rsidP="00C27802">
      <w:pPr>
        <w:keepNext/>
        <w:keepLines/>
        <w:tabs>
          <w:tab w:val="left" w:pos="3555"/>
        </w:tabs>
        <w:spacing w:after="0"/>
        <w:rPr>
          <w:rFonts w:cs="Arial"/>
        </w:rPr>
      </w:pPr>
      <w:r>
        <w:rPr>
          <w:rFonts w:cs="Arial"/>
        </w:rPr>
        <w:t>Molecular weight: 3752 Daltons</w:t>
      </w:r>
      <w:r w:rsidR="00C27802">
        <w:rPr>
          <w:rFonts w:cs="Arial"/>
        </w:rPr>
        <w:tab/>
      </w:r>
    </w:p>
    <w:p w:rsidR="000432D2" w:rsidRPr="00C27802" w:rsidRDefault="00C27802" w:rsidP="004C1849">
      <w:pPr>
        <w:spacing w:after="0"/>
        <w:ind w:hanging="14"/>
        <w:rPr>
          <w:rFonts w:cs="Arial"/>
        </w:rPr>
      </w:pPr>
      <w:r w:rsidRPr="00C27802">
        <w:rPr>
          <w:rFonts w:cs="Arial"/>
        </w:rPr>
        <w:t xml:space="preserve">CAS </w:t>
      </w:r>
      <w:r>
        <w:rPr>
          <w:rFonts w:cs="Arial"/>
        </w:rPr>
        <w:t>registry n</w:t>
      </w:r>
      <w:r w:rsidRPr="00C27802">
        <w:rPr>
          <w:rFonts w:cs="Arial"/>
        </w:rPr>
        <w:t xml:space="preserve">umber: </w:t>
      </w:r>
      <w:r>
        <w:rPr>
          <w:rFonts w:cs="Arial"/>
        </w:rPr>
        <w:t>197922-42-2</w:t>
      </w:r>
    </w:p>
    <w:p w:rsidR="000432D2" w:rsidRDefault="00F9490C" w:rsidP="00DC4117">
      <w:pPr>
        <w:pStyle w:val="Heading1"/>
      </w:pPr>
      <w:r>
        <w:t>DESCRIPTION</w:t>
      </w:r>
    </w:p>
    <w:p w:rsidR="0023367F" w:rsidRDefault="00F9490C" w:rsidP="004C1849">
      <w:pPr>
        <w:spacing w:after="0"/>
        <w:ind w:right="147" w:hanging="14"/>
        <w:rPr>
          <w:rFonts w:cs="Arial"/>
          <w:bCs/>
        </w:rPr>
      </w:pPr>
      <w:r>
        <w:rPr>
          <w:rFonts w:cs="Arial"/>
          <w:bCs/>
        </w:rPr>
        <w:t xml:space="preserve">REVESTIVE contains </w:t>
      </w:r>
      <w:proofErr w:type="spellStart"/>
      <w:r>
        <w:rPr>
          <w:rFonts w:cs="Arial"/>
          <w:bCs/>
        </w:rPr>
        <w:t>teduglutide</w:t>
      </w:r>
      <w:proofErr w:type="spellEnd"/>
      <w:r>
        <w:rPr>
          <w:rFonts w:cs="Arial"/>
          <w:bCs/>
        </w:rPr>
        <w:t xml:space="preserve"> powder and solvent for solution for injection. Each single-use vial contains 5 mg of </w:t>
      </w:r>
      <w:proofErr w:type="spellStart"/>
      <w:r>
        <w:rPr>
          <w:rFonts w:cs="Arial"/>
          <w:bCs/>
        </w:rPr>
        <w:t>teduglutide</w:t>
      </w:r>
      <w:proofErr w:type="spellEnd"/>
      <w:r>
        <w:rPr>
          <w:rFonts w:cs="Arial"/>
          <w:bCs/>
        </w:rPr>
        <w:t xml:space="preserve"> as a white </w:t>
      </w:r>
      <w:proofErr w:type="spellStart"/>
      <w:r>
        <w:rPr>
          <w:rFonts w:cs="Arial"/>
          <w:bCs/>
        </w:rPr>
        <w:t>lyophilised</w:t>
      </w:r>
      <w:proofErr w:type="spellEnd"/>
      <w:r>
        <w:rPr>
          <w:rFonts w:cs="Arial"/>
          <w:bCs/>
        </w:rPr>
        <w:t xml:space="preserve"> powder. The solvent is water for injections. </w:t>
      </w:r>
      <w:r w:rsidR="009817BA">
        <w:rPr>
          <w:rFonts w:cs="Arial"/>
          <w:bCs/>
        </w:rPr>
        <w:t xml:space="preserve">After reconstitution, each vial contains 5 mg </w:t>
      </w:r>
      <w:proofErr w:type="spellStart"/>
      <w:r w:rsidR="009817BA">
        <w:rPr>
          <w:rFonts w:cs="Arial"/>
          <w:bCs/>
        </w:rPr>
        <w:t>teduglutide</w:t>
      </w:r>
      <w:proofErr w:type="spellEnd"/>
      <w:r w:rsidR="009817BA">
        <w:rPr>
          <w:rFonts w:cs="Arial"/>
          <w:bCs/>
        </w:rPr>
        <w:t xml:space="preserve"> in 0.5 mL of solution, corresponding to a concentration of 10 mg/</w:t>
      </w:r>
      <w:proofErr w:type="spellStart"/>
      <w:r w:rsidR="009817BA">
        <w:rPr>
          <w:rFonts w:cs="Arial"/>
          <w:bCs/>
        </w:rPr>
        <w:t>mL</w:t>
      </w:r>
      <w:r w:rsidR="0023367F">
        <w:rPr>
          <w:rFonts w:cs="Arial"/>
          <w:bCs/>
        </w:rPr>
        <w:t>.</w:t>
      </w:r>
      <w:proofErr w:type="spellEnd"/>
    </w:p>
    <w:p w:rsidR="000432D2" w:rsidRDefault="00F9490C" w:rsidP="004C1849">
      <w:pPr>
        <w:spacing w:after="0"/>
        <w:ind w:right="147" w:hanging="14"/>
        <w:rPr>
          <w:rFonts w:eastAsia="Arial" w:cs="Arial"/>
        </w:rPr>
      </w:pPr>
      <w:r>
        <w:rPr>
          <w:rFonts w:cs="Arial"/>
          <w:bCs/>
        </w:rPr>
        <w:t>In addition to the active ingredient (teduglutide), each vial contains the following</w:t>
      </w:r>
      <w:r>
        <w:rPr>
          <w:rFonts w:cs="Arial"/>
          <w:bCs/>
          <w:spacing w:val="-9"/>
        </w:rPr>
        <w:t xml:space="preserve"> </w:t>
      </w:r>
      <w:r>
        <w:rPr>
          <w:rFonts w:cs="Arial"/>
          <w:bCs/>
        </w:rPr>
        <w:t>inact</w:t>
      </w:r>
      <w:r>
        <w:rPr>
          <w:rFonts w:cs="Arial"/>
          <w:bCs/>
          <w:spacing w:val="1"/>
        </w:rPr>
        <w:t>i</w:t>
      </w:r>
      <w:r>
        <w:rPr>
          <w:rFonts w:cs="Arial"/>
          <w:bCs/>
        </w:rPr>
        <w:t>ve</w:t>
      </w:r>
      <w:r>
        <w:rPr>
          <w:rFonts w:cs="Arial"/>
          <w:bCs/>
          <w:spacing w:val="-7"/>
        </w:rPr>
        <w:t xml:space="preserve"> </w:t>
      </w:r>
      <w:r>
        <w:rPr>
          <w:rFonts w:cs="Arial"/>
          <w:bCs/>
        </w:rPr>
        <w:t>ingredien</w:t>
      </w:r>
      <w:r>
        <w:rPr>
          <w:rFonts w:cs="Arial"/>
          <w:bCs/>
          <w:spacing w:val="-1"/>
        </w:rPr>
        <w:t>t</w:t>
      </w:r>
      <w:r>
        <w:rPr>
          <w:rFonts w:cs="Arial"/>
          <w:bCs/>
        </w:rPr>
        <w:t>s: histidine, mannitol, monobasic sodium phosphate monohydrate</w:t>
      </w:r>
      <w:r w:rsidR="00010075">
        <w:rPr>
          <w:rFonts w:cs="Arial"/>
          <w:bCs/>
        </w:rPr>
        <w:t>,</w:t>
      </w:r>
      <w:r>
        <w:rPr>
          <w:rFonts w:cs="Arial"/>
          <w:bCs/>
        </w:rPr>
        <w:t xml:space="preserve"> and dibasic sodium phosphate </w:t>
      </w:r>
      <w:proofErr w:type="spellStart"/>
      <w:r>
        <w:rPr>
          <w:rFonts w:cs="Arial"/>
          <w:bCs/>
        </w:rPr>
        <w:t>heptahydrate</w:t>
      </w:r>
      <w:proofErr w:type="spellEnd"/>
      <w:r>
        <w:rPr>
          <w:rFonts w:cs="Arial"/>
          <w:bCs/>
        </w:rPr>
        <w:t>.</w:t>
      </w:r>
    </w:p>
    <w:p w:rsidR="000432D2" w:rsidRDefault="00DC4117" w:rsidP="00DC4117">
      <w:pPr>
        <w:pStyle w:val="Heading1"/>
      </w:pPr>
      <w:r>
        <w:t>PHARMACOLOGY</w:t>
      </w:r>
    </w:p>
    <w:p w:rsidR="000432D2" w:rsidRDefault="00F9490C" w:rsidP="004C1849">
      <w:pPr>
        <w:spacing w:after="0"/>
        <w:rPr>
          <w:rFonts w:cs="Arial"/>
        </w:rPr>
      </w:pPr>
      <w:proofErr w:type="spellStart"/>
      <w:r>
        <w:rPr>
          <w:rFonts w:cs="Arial"/>
        </w:rPr>
        <w:t>Pharmacotherapeutic</w:t>
      </w:r>
      <w:proofErr w:type="spellEnd"/>
      <w:r>
        <w:rPr>
          <w:rFonts w:cs="Arial"/>
        </w:rPr>
        <w:t xml:space="preserve"> group: Other alimentary tract and metabolism products, various alimentary tract and metabolism products</w:t>
      </w:r>
      <w:r w:rsidR="00B20359">
        <w:rPr>
          <w:rFonts w:cs="Arial"/>
        </w:rPr>
        <w:t>;</w:t>
      </w:r>
      <w:r>
        <w:rPr>
          <w:rFonts w:cs="Arial"/>
        </w:rPr>
        <w:t xml:space="preserve"> ATC code: A16AX08.</w:t>
      </w:r>
    </w:p>
    <w:p w:rsidR="000432D2" w:rsidRPr="00DC4117" w:rsidRDefault="00F9490C" w:rsidP="00DC4117">
      <w:pPr>
        <w:pStyle w:val="Heading2"/>
      </w:pPr>
      <w:r w:rsidRPr="00DC4117">
        <w:t>Mechanism of Action</w:t>
      </w:r>
    </w:p>
    <w:p w:rsidR="000432D2" w:rsidRDefault="00F9490C" w:rsidP="004C1849">
      <w:pPr>
        <w:spacing w:after="0"/>
        <w:ind w:right="147" w:hanging="14"/>
        <w:rPr>
          <w:rFonts w:eastAsia="Arial" w:cs="Arial"/>
        </w:rPr>
      </w:pPr>
      <w:proofErr w:type="spellStart"/>
      <w:r>
        <w:rPr>
          <w:rFonts w:cs="Arial"/>
          <w:bCs/>
        </w:rPr>
        <w:t>Teduglutide</w:t>
      </w:r>
      <w:proofErr w:type="spellEnd"/>
      <w:r>
        <w:rPr>
          <w:rFonts w:cs="Arial"/>
          <w:bCs/>
        </w:rPr>
        <w:t xml:space="preserve"> is an analogue of naturally occurring human GLP-2, a peptide secreted by L-cells of the distal intestine. Similar to GLP-2, teduglutide is 33 amino acids in length with an amino acid substitution of alanine by glycine at the second position of the N-terminus. The single amino acid substitution relative to naturally occurring GLP-2 results in resistance to </w:t>
      </w:r>
      <w:r>
        <w:rPr>
          <w:rFonts w:cs="Arial"/>
          <w:bCs/>
          <w:i/>
        </w:rPr>
        <w:t>in vivo</w:t>
      </w:r>
      <w:r>
        <w:rPr>
          <w:rFonts w:cs="Arial"/>
          <w:bCs/>
        </w:rPr>
        <w:t xml:space="preserve"> degradation by the enzyme dipeptidyl peptidase-IV (DPP-IV), resulting in an extended half-life. GLP-2 is known to increase intestinal and portal blood flow, decrease intestinal motility and inhibit gastric acid secretion. Teduglutide binds to the </w:t>
      </w:r>
      <w:r w:rsidR="0019209F">
        <w:rPr>
          <w:rFonts w:cs="Arial"/>
          <w:bCs/>
        </w:rPr>
        <w:t xml:space="preserve">GLP-2 </w:t>
      </w:r>
      <w:r>
        <w:rPr>
          <w:rFonts w:cs="Arial"/>
          <w:bCs/>
        </w:rPr>
        <w:t xml:space="preserve">receptors located in intestinal subpopulations of </w:t>
      </w:r>
      <w:proofErr w:type="spellStart"/>
      <w:r>
        <w:rPr>
          <w:rFonts w:cs="Arial"/>
          <w:bCs/>
        </w:rPr>
        <w:t>enteroendocrine</w:t>
      </w:r>
      <w:proofErr w:type="spellEnd"/>
      <w:r>
        <w:rPr>
          <w:rFonts w:cs="Arial"/>
          <w:bCs/>
        </w:rPr>
        <w:t xml:space="preserve"> cells, </w:t>
      </w:r>
      <w:proofErr w:type="spellStart"/>
      <w:r>
        <w:rPr>
          <w:rFonts w:cs="Arial"/>
          <w:bCs/>
        </w:rPr>
        <w:t>subepithelial</w:t>
      </w:r>
      <w:proofErr w:type="spellEnd"/>
      <w:r>
        <w:rPr>
          <w:rFonts w:cs="Arial"/>
          <w:bCs/>
        </w:rPr>
        <w:t xml:space="preserve"> </w:t>
      </w:r>
      <w:proofErr w:type="spellStart"/>
      <w:r>
        <w:rPr>
          <w:rFonts w:cs="Arial"/>
          <w:bCs/>
        </w:rPr>
        <w:t>myofibroblasts</w:t>
      </w:r>
      <w:proofErr w:type="spellEnd"/>
      <w:r>
        <w:rPr>
          <w:rFonts w:cs="Arial"/>
          <w:bCs/>
        </w:rPr>
        <w:t xml:space="preserve"> and enteric neurons of the submucosal and myenteric plexus. Activation of </w:t>
      </w:r>
      <w:r>
        <w:rPr>
          <w:rFonts w:cs="Arial"/>
          <w:bCs/>
        </w:rPr>
        <w:lastRenderedPageBreak/>
        <w:t>these receptors results in the local release of multiple mediators including insulin-like growth factor (IGF)-1, nitric oxide and keratinocyte growth factor (KGF). Teduglutide has been shown to preserve mucosal integrity by promoting repair and normal growth of the intestine through an increase of villus height and crypt depth.</w:t>
      </w:r>
    </w:p>
    <w:p w:rsidR="000432D2" w:rsidRDefault="00F9490C" w:rsidP="00DC4117">
      <w:pPr>
        <w:pStyle w:val="Heading2"/>
      </w:pPr>
      <w:proofErr w:type="spellStart"/>
      <w:r>
        <w:t>Pharmacod</w:t>
      </w:r>
      <w:r>
        <w:rPr>
          <w:spacing w:val="-1"/>
        </w:rPr>
        <w:t>y</w:t>
      </w:r>
      <w:r>
        <w:t>namic</w:t>
      </w:r>
      <w:proofErr w:type="spellEnd"/>
      <w:r>
        <w:rPr>
          <w:spacing w:val="-20"/>
        </w:rPr>
        <w:t xml:space="preserve"> E</w:t>
      </w:r>
      <w:r>
        <w:t>ffects</w:t>
      </w:r>
    </w:p>
    <w:p w:rsidR="0023367F" w:rsidRDefault="00F9490C" w:rsidP="004C1849">
      <w:pPr>
        <w:spacing w:after="0"/>
        <w:rPr>
          <w:rFonts w:cs="Arial"/>
        </w:rPr>
      </w:pPr>
      <w:r>
        <w:rPr>
          <w:rFonts w:cs="Arial"/>
        </w:rPr>
        <w:t xml:space="preserve">The ability of </w:t>
      </w:r>
      <w:proofErr w:type="spellStart"/>
      <w:r>
        <w:rPr>
          <w:rFonts w:cs="Arial"/>
        </w:rPr>
        <w:t>teduglutide</w:t>
      </w:r>
      <w:proofErr w:type="spellEnd"/>
      <w:r>
        <w:rPr>
          <w:rFonts w:cs="Arial"/>
        </w:rPr>
        <w:t xml:space="preserve"> to improve intestinal absorption of fluid and nutrients was studied in 17 adult subjects with Short Bowel Syndrome (SBS) using daily doses of 0.03, 0.10, </w:t>
      </w:r>
      <w:r w:rsidR="0019209F">
        <w:rPr>
          <w:rFonts w:cs="Arial"/>
        </w:rPr>
        <w:t xml:space="preserve">and </w:t>
      </w:r>
      <w:r>
        <w:rPr>
          <w:rFonts w:cs="Arial"/>
        </w:rPr>
        <w:t>0.15 mg/kg (n=2-3 per dose group) in a 21-day, open-label, multi-</w:t>
      </w:r>
      <w:proofErr w:type="spellStart"/>
      <w:r>
        <w:rPr>
          <w:rFonts w:cs="Arial"/>
        </w:rPr>
        <w:t>centre</w:t>
      </w:r>
      <w:proofErr w:type="spellEnd"/>
      <w:r>
        <w:rPr>
          <w:rFonts w:cs="Arial"/>
        </w:rPr>
        <w:t xml:space="preserve">, dose-ranging study. All subcutaneous (abdomen) doses studied, except 0.03 mg/kg once daily, decreased </w:t>
      </w:r>
      <w:proofErr w:type="spellStart"/>
      <w:r>
        <w:rPr>
          <w:rFonts w:cs="Arial"/>
        </w:rPr>
        <w:t>stomal</w:t>
      </w:r>
      <w:proofErr w:type="spellEnd"/>
      <w:r>
        <w:rPr>
          <w:rFonts w:cs="Arial"/>
        </w:rPr>
        <w:t xml:space="preserve"> output or fecal fluid and macronutrient excretion, resulted in enhanced gastrointestinal fluid (wet weight) absorption of approximately 750-1000 mL/day, and increased villus height and crypt depth of the intestinal mucosa</w:t>
      </w:r>
      <w:r w:rsidR="0023367F">
        <w:rPr>
          <w:rFonts w:cs="Arial"/>
        </w:rPr>
        <w:t>.</w:t>
      </w:r>
    </w:p>
    <w:p w:rsidR="000432D2" w:rsidRDefault="00F9490C" w:rsidP="004C1849">
      <w:pPr>
        <w:autoSpaceDE w:val="0"/>
        <w:autoSpaceDN w:val="0"/>
        <w:adjustRightInd w:val="0"/>
        <w:spacing w:after="0"/>
        <w:rPr>
          <w:rFonts w:cs="Arial"/>
        </w:rPr>
      </w:pPr>
      <w:r>
        <w:rPr>
          <w:rFonts w:cs="Arial"/>
        </w:rPr>
        <w:t xml:space="preserve">At a dose </w:t>
      </w:r>
      <w:r w:rsidR="004C1849">
        <w:rPr>
          <w:rFonts w:cs="Arial"/>
        </w:rPr>
        <w:t>5</w:t>
      </w:r>
      <w:r>
        <w:rPr>
          <w:rFonts w:cs="Arial"/>
        </w:rPr>
        <w:t xml:space="preserve"> times the maximum recommended dose, teduglutide did not prolong the </w:t>
      </w:r>
      <w:proofErr w:type="spellStart"/>
      <w:r>
        <w:rPr>
          <w:rFonts w:cs="Arial"/>
        </w:rPr>
        <w:t>QTc</w:t>
      </w:r>
      <w:proofErr w:type="spellEnd"/>
      <w:r>
        <w:rPr>
          <w:rFonts w:cs="Arial"/>
        </w:rPr>
        <w:t xml:space="preserve"> interval to any clinically relevant extent.</w:t>
      </w:r>
    </w:p>
    <w:p w:rsidR="000432D2" w:rsidRDefault="00F9490C" w:rsidP="00DC4117">
      <w:pPr>
        <w:pStyle w:val="Heading2"/>
      </w:pPr>
      <w:r>
        <w:t>Pharmacokinetics</w:t>
      </w:r>
    </w:p>
    <w:p w:rsidR="000432D2" w:rsidRPr="00DC4117" w:rsidRDefault="00F9490C" w:rsidP="00DC4117">
      <w:pPr>
        <w:pStyle w:val="Heading3"/>
      </w:pPr>
      <w:r w:rsidRPr="00DC4117">
        <w:t>Absorption</w:t>
      </w:r>
    </w:p>
    <w:p w:rsidR="000432D2" w:rsidRDefault="00F9490C" w:rsidP="004C1849">
      <w:pPr>
        <w:spacing w:after="0"/>
        <w:rPr>
          <w:rFonts w:cs="Arial"/>
        </w:rPr>
      </w:pPr>
      <w:r>
        <w:rPr>
          <w:rFonts w:cs="Arial"/>
        </w:rPr>
        <w:t xml:space="preserve">In healthy subjects, </w:t>
      </w:r>
      <w:proofErr w:type="spellStart"/>
      <w:r>
        <w:rPr>
          <w:rFonts w:cs="Arial"/>
        </w:rPr>
        <w:t>teduglutide</w:t>
      </w:r>
      <w:proofErr w:type="spellEnd"/>
      <w:r>
        <w:rPr>
          <w:rFonts w:cs="Arial"/>
        </w:rPr>
        <w:t xml:space="preserve"> administered subcutaneously in the thigh/abdomen had an absolute bioavailability of 88% and reached maximum plasma teduglutide concentrations at 3-5 hours after administration. Following a 0.05 mg/kg subcutaneous dose in SBS subjects, the m</w:t>
      </w:r>
      <w:r w:rsidR="0019209F">
        <w:rPr>
          <w:rFonts w:cs="Arial"/>
        </w:rPr>
        <w:t>ean</w:t>
      </w:r>
      <w:r>
        <w:rPr>
          <w:rFonts w:cs="Arial"/>
        </w:rPr>
        <w:t xml:space="preserve"> peak teduglutide concentration (</w:t>
      </w:r>
      <w:proofErr w:type="spellStart"/>
      <w:r>
        <w:rPr>
          <w:rFonts w:cs="Arial"/>
        </w:rPr>
        <w:t>C</w:t>
      </w:r>
      <w:r>
        <w:rPr>
          <w:rFonts w:cs="Arial"/>
          <w:vertAlign w:val="subscript"/>
        </w:rPr>
        <w:t>max</w:t>
      </w:r>
      <w:proofErr w:type="spellEnd"/>
      <w:r>
        <w:rPr>
          <w:rFonts w:cs="Arial"/>
        </w:rPr>
        <w:t xml:space="preserve">) was </w:t>
      </w:r>
      <w:proofErr w:type="gramStart"/>
      <w:r w:rsidR="00AF7C81">
        <w:rPr>
          <w:rFonts w:cs="Arial"/>
        </w:rPr>
        <w:t>36.4</w:t>
      </w:r>
      <w:r>
        <w:rPr>
          <w:rFonts w:cs="Arial"/>
        </w:rPr>
        <w:t xml:space="preserve"> ng/mL</w:t>
      </w:r>
      <w:proofErr w:type="gramEnd"/>
      <w:r>
        <w:rPr>
          <w:rFonts w:cs="Arial"/>
        </w:rPr>
        <w:t xml:space="preserve"> and the mean area under the curve (AUC</w:t>
      </w:r>
      <w:r>
        <w:rPr>
          <w:rFonts w:cs="Arial"/>
          <w:vertAlign w:val="subscript"/>
        </w:rPr>
        <w:t>0-</w:t>
      </w:r>
      <w:r w:rsidR="0019209F" w:rsidRPr="000F212E">
        <w:rPr>
          <w:rFonts w:cs="Arial"/>
          <w:sz w:val="16"/>
          <w:szCs w:val="16"/>
        </w:rPr>
        <w:sym w:font="Symbol" w:char="F074"/>
      </w:r>
      <w:r>
        <w:rPr>
          <w:rFonts w:cs="Arial"/>
        </w:rPr>
        <w:t xml:space="preserve">) was </w:t>
      </w:r>
      <w:r w:rsidR="000637A3">
        <w:rPr>
          <w:rFonts w:cs="Arial"/>
        </w:rPr>
        <w:t>235 ng</w:t>
      </w:r>
      <w:r w:rsidR="000637A3">
        <w:rPr>
          <w:rFonts w:cs="Arial"/>
        </w:rPr>
        <w:sym w:font="Wingdings" w:char="F09E"/>
      </w:r>
      <w:r w:rsidR="000637A3">
        <w:rPr>
          <w:rFonts w:cs="Arial"/>
        </w:rPr>
        <w:t>h/</w:t>
      </w:r>
      <w:proofErr w:type="spellStart"/>
      <w:r w:rsidR="000637A3">
        <w:rPr>
          <w:rFonts w:cs="Arial"/>
        </w:rPr>
        <w:t>mL</w:t>
      </w:r>
      <w:r>
        <w:rPr>
          <w:rFonts w:cs="Arial"/>
        </w:rPr>
        <w:t>.</w:t>
      </w:r>
      <w:proofErr w:type="spellEnd"/>
      <w:r>
        <w:rPr>
          <w:rFonts w:cs="Arial"/>
        </w:rPr>
        <w:t xml:space="preserve"> No accumulation of teduglutide was observed following repeated subcutaneous administrations.</w:t>
      </w:r>
    </w:p>
    <w:p w:rsidR="000432D2" w:rsidRDefault="00F9490C" w:rsidP="00DC4117">
      <w:pPr>
        <w:pStyle w:val="Heading3"/>
      </w:pPr>
      <w:r>
        <w:t>Distribution</w:t>
      </w:r>
    </w:p>
    <w:p w:rsidR="000432D2" w:rsidRDefault="00F9490C" w:rsidP="004C1849">
      <w:pPr>
        <w:spacing w:after="0"/>
        <w:rPr>
          <w:rFonts w:eastAsia="Arial" w:cs="Arial"/>
          <w:lang w:val="en-AU"/>
        </w:rPr>
      </w:pPr>
      <w:r>
        <w:rPr>
          <w:rFonts w:cs="Arial"/>
        </w:rPr>
        <w:t xml:space="preserve">In healthy subjects, </w:t>
      </w:r>
      <w:proofErr w:type="spellStart"/>
      <w:r>
        <w:rPr>
          <w:rFonts w:cs="Arial"/>
        </w:rPr>
        <w:t>teduglutide</w:t>
      </w:r>
      <w:proofErr w:type="spellEnd"/>
      <w:r>
        <w:rPr>
          <w:rFonts w:cs="Arial"/>
        </w:rPr>
        <w:t xml:space="preserve"> has a volume of distribution (103 mL/kg) similar to blood volume.</w:t>
      </w:r>
    </w:p>
    <w:p w:rsidR="000432D2" w:rsidRDefault="00F9490C" w:rsidP="00DC4117">
      <w:pPr>
        <w:pStyle w:val="Heading3"/>
      </w:pPr>
      <w:r>
        <w:t>Metabolism</w:t>
      </w:r>
    </w:p>
    <w:p w:rsidR="000432D2" w:rsidRDefault="00F9490C" w:rsidP="004C1849">
      <w:pPr>
        <w:spacing w:after="0"/>
        <w:rPr>
          <w:rFonts w:cs="Arial"/>
        </w:rPr>
      </w:pPr>
      <w:r>
        <w:rPr>
          <w:rFonts w:cs="Arial"/>
        </w:rPr>
        <w:t>The metabolic pathway of teduglutide was not investigated in humans. However, teduglutide is expected to be degraded into small peptides and amino acids via catabolic pathways, similar to the catabolism of endogenous GLP-2.</w:t>
      </w:r>
    </w:p>
    <w:p w:rsidR="000432D2" w:rsidRPr="00366C47" w:rsidRDefault="00F9490C" w:rsidP="00DC4117">
      <w:pPr>
        <w:pStyle w:val="Heading3"/>
      </w:pPr>
      <w:r w:rsidRPr="00366C47">
        <w:t xml:space="preserve">Excretion </w:t>
      </w:r>
    </w:p>
    <w:p w:rsidR="0023367F" w:rsidRDefault="00F9490C" w:rsidP="004C1849">
      <w:pPr>
        <w:spacing w:after="0"/>
        <w:rPr>
          <w:rFonts w:cs="Arial"/>
        </w:rPr>
      </w:pPr>
      <w:r w:rsidRPr="00366C47">
        <w:rPr>
          <w:rFonts w:cs="Arial"/>
        </w:rPr>
        <w:t>In healthy subjects, teduglutide plasma clearance was approximately 123 mL/h/kg which is similar to the GFR</w:t>
      </w:r>
      <w:r w:rsidR="00757CEA" w:rsidRPr="00366C47">
        <w:rPr>
          <w:rFonts w:cs="Arial"/>
        </w:rPr>
        <w:t>,</w:t>
      </w:r>
      <w:r w:rsidRPr="00366C47">
        <w:rPr>
          <w:rFonts w:cs="Arial"/>
        </w:rPr>
        <w:t xml:space="preserve"> suggesting that teduglutide is primarily cleared by the kidney</w:t>
      </w:r>
      <w:r w:rsidR="0023367F">
        <w:rPr>
          <w:rFonts w:cs="Arial"/>
        </w:rPr>
        <w:t>.</w:t>
      </w:r>
    </w:p>
    <w:p w:rsidR="000432D2" w:rsidRDefault="00F9490C" w:rsidP="004C1849">
      <w:pPr>
        <w:spacing w:after="0"/>
        <w:rPr>
          <w:rFonts w:cs="Arial"/>
        </w:rPr>
      </w:pPr>
      <w:proofErr w:type="spellStart"/>
      <w:r w:rsidRPr="00366C47">
        <w:rPr>
          <w:rFonts w:cs="Arial"/>
        </w:rPr>
        <w:t>Teduglutide</w:t>
      </w:r>
      <w:proofErr w:type="spellEnd"/>
      <w:r w:rsidRPr="00366C47">
        <w:rPr>
          <w:rFonts w:cs="Arial"/>
        </w:rPr>
        <w:t xml:space="preserve"> has a mean terminal half-life (t</w:t>
      </w:r>
      <w:r w:rsidRPr="00366C47">
        <w:rPr>
          <w:rFonts w:cs="Arial"/>
          <w:vertAlign w:val="subscript"/>
        </w:rPr>
        <w:t>1/2</w:t>
      </w:r>
      <w:r w:rsidRPr="00366C47">
        <w:rPr>
          <w:rFonts w:cs="Arial"/>
        </w:rPr>
        <w:t xml:space="preserve">) of approximately </w:t>
      </w:r>
      <w:r w:rsidR="00366C47">
        <w:rPr>
          <w:rFonts w:cs="Arial"/>
        </w:rPr>
        <w:t>1.1</w:t>
      </w:r>
      <w:r w:rsidRPr="00366C47">
        <w:rPr>
          <w:rFonts w:cs="Arial"/>
        </w:rPr>
        <w:t xml:space="preserve"> hours in SBS subjects.</w:t>
      </w:r>
    </w:p>
    <w:p w:rsidR="000432D2" w:rsidRDefault="00F9490C" w:rsidP="00DC4117">
      <w:pPr>
        <w:pStyle w:val="Heading3"/>
      </w:pPr>
      <w:r>
        <w:t xml:space="preserve">Dose Linearity </w:t>
      </w:r>
    </w:p>
    <w:p w:rsidR="000432D2" w:rsidRDefault="00F9490C" w:rsidP="00F243A4">
      <w:pPr>
        <w:spacing w:after="0"/>
        <w:rPr>
          <w:rFonts w:eastAsia="Arial" w:cs="Arial"/>
          <w:b/>
          <w:bCs/>
          <w:lang w:val="en-AU"/>
        </w:rPr>
      </w:pPr>
      <w:r>
        <w:rPr>
          <w:rFonts w:cs="Arial"/>
        </w:rPr>
        <w:t xml:space="preserve">The </w:t>
      </w:r>
      <w:proofErr w:type="spellStart"/>
      <w:r>
        <w:rPr>
          <w:rFonts w:cs="Arial"/>
        </w:rPr>
        <w:t>C</w:t>
      </w:r>
      <w:r>
        <w:rPr>
          <w:rFonts w:cs="Arial"/>
          <w:vertAlign w:val="subscript"/>
        </w:rPr>
        <w:t>max</w:t>
      </w:r>
      <w:proofErr w:type="spellEnd"/>
      <w:r>
        <w:rPr>
          <w:rFonts w:cs="Arial"/>
        </w:rPr>
        <w:t xml:space="preserve"> and AUC of teduglutide were dose proportional over the dose range of 0.05 to 0.4 mg/kg teduglutide.</w:t>
      </w:r>
    </w:p>
    <w:p w:rsidR="000432D2" w:rsidRDefault="00F9490C" w:rsidP="00DC4117">
      <w:pPr>
        <w:pStyle w:val="Heading3"/>
      </w:pPr>
      <w:r>
        <w:t xml:space="preserve">Special Populations </w:t>
      </w:r>
    </w:p>
    <w:p w:rsidR="000432D2" w:rsidRDefault="00F9490C" w:rsidP="004C1849">
      <w:pPr>
        <w:spacing w:after="0"/>
        <w:rPr>
          <w:rFonts w:eastAsia="Arial" w:cs="Arial"/>
          <w:bCs/>
          <w:lang w:val="en-AU"/>
        </w:rPr>
      </w:pPr>
      <w:r>
        <w:rPr>
          <w:rFonts w:eastAsia="Arial" w:cs="Arial"/>
          <w:bCs/>
          <w:i/>
          <w:lang w:val="en-AU"/>
        </w:rPr>
        <w:t xml:space="preserve">Gender: </w:t>
      </w:r>
      <w:r>
        <w:rPr>
          <w:rFonts w:eastAsia="Arial" w:cs="Arial"/>
          <w:bCs/>
          <w:lang w:val="en-AU"/>
        </w:rPr>
        <w:t>No clinically relevant gender differences were observed.</w:t>
      </w:r>
    </w:p>
    <w:p w:rsidR="000432D2" w:rsidRDefault="00F9490C" w:rsidP="004C1849">
      <w:pPr>
        <w:spacing w:after="0"/>
        <w:rPr>
          <w:rFonts w:cs="Arial"/>
        </w:rPr>
      </w:pPr>
      <w:r>
        <w:rPr>
          <w:rFonts w:eastAsia="Arial" w:cs="Arial"/>
          <w:bCs/>
          <w:i/>
          <w:lang w:val="en-AU"/>
        </w:rPr>
        <w:t xml:space="preserve">Elderly: </w:t>
      </w:r>
      <w:r>
        <w:rPr>
          <w:rFonts w:cs="Arial"/>
        </w:rPr>
        <w:t>No differences were observed between healthy subjects younger than 65 years and those older than 65 years. Experience in subjects 75 years and above is limited.</w:t>
      </w:r>
    </w:p>
    <w:p w:rsidR="000432D2" w:rsidRDefault="00F9490C" w:rsidP="004C1849">
      <w:pPr>
        <w:spacing w:after="0"/>
        <w:rPr>
          <w:rFonts w:cs="Arial"/>
        </w:rPr>
      </w:pPr>
      <w:r>
        <w:rPr>
          <w:rFonts w:cs="Arial"/>
          <w:i/>
        </w:rPr>
        <w:t xml:space="preserve">Hepatic impairment: </w:t>
      </w:r>
      <w:r>
        <w:rPr>
          <w:rFonts w:cs="Arial"/>
        </w:rPr>
        <w:t xml:space="preserve">Subjects with moderate hepatic impairment had lower teduglutide </w:t>
      </w:r>
      <w:proofErr w:type="spellStart"/>
      <w:r>
        <w:rPr>
          <w:rFonts w:cs="Arial"/>
        </w:rPr>
        <w:t>C</w:t>
      </w:r>
      <w:r>
        <w:rPr>
          <w:rFonts w:cs="Arial"/>
          <w:vertAlign w:val="subscript"/>
        </w:rPr>
        <w:t>max</w:t>
      </w:r>
      <w:proofErr w:type="spellEnd"/>
      <w:r>
        <w:rPr>
          <w:rFonts w:cs="Arial"/>
        </w:rPr>
        <w:t xml:space="preserve"> and AUC (10~15%) compared to healthy matched control subjects after a single subcutaneous dose of 20 mg teduglutide. The pharmacokinetics of teduglutide was not assessed in subjects with severe hepatic impairment.</w:t>
      </w:r>
    </w:p>
    <w:p w:rsidR="000432D2" w:rsidRDefault="00F9490C" w:rsidP="004C1849">
      <w:pPr>
        <w:spacing w:after="0"/>
        <w:rPr>
          <w:rFonts w:cs="Arial"/>
        </w:rPr>
      </w:pPr>
      <w:r>
        <w:rPr>
          <w:rFonts w:cs="Arial"/>
          <w:i/>
        </w:rPr>
        <w:t>Renal impairment:</w:t>
      </w:r>
      <w:r>
        <w:rPr>
          <w:rFonts w:cs="Arial"/>
        </w:rPr>
        <w:t xml:space="preserve"> In subjects with moderate to severe renal impairment or end</w:t>
      </w:r>
      <w:r w:rsidR="00757CEA">
        <w:rPr>
          <w:rFonts w:cs="Arial"/>
        </w:rPr>
        <w:t>-</w:t>
      </w:r>
      <w:r>
        <w:rPr>
          <w:rFonts w:cs="Arial"/>
        </w:rPr>
        <w:t xml:space="preserve">stage renal </w:t>
      </w:r>
      <w:r>
        <w:rPr>
          <w:rFonts w:cs="Arial"/>
        </w:rPr>
        <w:lastRenderedPageBreak/>
        <w:t xml:space="preserve">disease (ESRD), teduglutide </w:t>
      </w:r>
      <w:proofErr w:type="spellStart"/>
      <w:r>
        <w:rPr>
          <w:rFonts w:cs="Arial"/>
        </w:rPr>
        <w:t>C</w:t>
      </w:r>
      <w:r>
        <w:rPr>
          <w:rFonts w:cs="Arial"/>
          <w:vertAlign w:val="subscript"/>
        </w:rPr>
        <w:t>max</w:t>
      </w:r>
      <w:proofErr w:type="spellEnd"/>
      <w:r>
        <w:rPr>
          <w:rFonts w:cs="Arial"/>
        </w:rPr>
        <w:t xml:space="preserve"> and AUC</w:t>
      </w:r>
      <w:r>
        <w:rPr>
          <w:rFonts w:cs="Arial"/>
          <w:vertAlign w:val="subscript"/>
        </w:rPr>
        <w:t xml:space="preserve">0-inf </w:t>
      </w:r>
      <w:r>
        <w:rPr>
          <w:rFonts w:cs="Arial"/>
        </w:rPr>
        <w:t>increased with the degree of renal impairment following a single subcutaneous administration of 10 mg teduglutide. Teduglutide exposure increased by a factor of 2.1 (</w:t>
      </w:r>
      <w:proofErr w:type="spellStart"/>
      <w:r>
        <w:rPr>
          <w:rFonts w:cs="Arial"/>
        </w:rPr>
        <w:t>C</w:t>
      </w:r>
      <w:r>
        <w:rPr>
          <w:rFonts w:cs="Arial"/>
          <w:vertAlign w:val="subscript"/>
        </w:rPr>
        <w:t>max</w:t>
      </w:r>
      <w:proofErr w:type="spellEnd"/>
      <w:r>
        <w:rPr>
          <w:rFonts w:cs="Arial"/>
        </w:rPr>
        <w:t>) and 2.6 (AUC</w:t>
      </w:r>
      <w:r>
        <w:rPr>
          <w:rFonts w:cs="Arial"/>
          <w:vertAlign w:val="subscript"/>
        </w:rPr>
        <w:t>0-inf</w:t>
      </w:r>
      <w:r>
        <w:rPr>
          <w:rFonts w:cs="Arial"/>
        </w:rPr>
        <w:t xml:space="preserve">) in ESRD subjects compared to healthy subjects. The AUC and </w:t>
      </w:r>
      <w:proofErr w:type="spellStart"/>
      <w:r>
        <w:rPr>
          <w:rFonts w:cs="Arial"/>
        </w:rPr>
        <w:t>C</w:t>
      </w:r>
      <w:r>
        <w:rPr>
          <w:rFonts w:cs="Arial"/>
          <w:vertAlign w:val="subscript"/>
        </w:rPr>
        <w:t>max</w:t>
      </w:r>
      <w:proofErr w:type="spellEnd"/>
      <w:r>
        <w:rPr>
          <w:rFonts w:cs="Arial"/>
        </w:rPr>
        <w:t xml:space="preserve"> values of subjects with mild renal impairment were </w:t>
      </w:r>
      <w:r w:rsidR="00F24EF5">
        <w:rPr>
          <w:rFonts w:cs="Arial"/>
        </w:rPr>
        <w:t xml:space="preserve">50% higher than in </w:t>
      </w:r>
      <w:r>
        <w:rPr>
          <w:rFonts w:cs="Arial"/>
        </w:rPr>
        <w:t>subjects without renal impairment.</w:t>
      </w:r>
    </w:p>
    <w:p w:rsidR="000432D2" w:rsidRDefault="00F9490C" w:rsidP="00DC4117">
      <w:pPr>
        <w:pStyle w:val="Heading1"/>
      </w:pPr>
      <w:r>
        <w:t>CLINICAL</w:t>
      </w:r>
      <w:r>
        <w:rPr>
          <w:spacing w:val="-10"/>
        </w:rPr>
        <w:t xml:space="preserve"> </w:t>
      </w:r>
      <w:r>
        <w:rPr>
          <w:spacing w:val="1"/>
        </w:rPr>
        <w:t>T</w:t>
      </w:r>
      <w:r>
        <w:t>RIALS</w:t>
      </w:r>
    </w:p>
    <w:p w:rsidR="000432D2" w:rsidRDefault="00F9490C" w:rsidP="0023367F">
      <w:r>
        <w:t xml:space="preserve">The safety and clinical evidence of efficacy of </w:t>
      </w:r>
      <w:r w:rsidR="004C1849">
        <w:t xml:space="preserve">REVESTIVE </w:t>
      </w:r>
      <w:r>
        <w:t xml:space="preserve">in adult patients with SBS is derived from 2 randomised placebo-controlled trials and 2 extension trials. In these studies, 173 patients received </w:t>
      </w:r>
      <w:r w:rsidR="00757CEA">
        <w:t>REVESTIVE</w:t>
      </w:r>
      <w:r>
        <w:t xml:space="preserve"> at doses of 0.05</w:t>
      </w:r>
      <w:r w:rsidR="00757CEA">
        <w:t xml:space="preserve"> </w:t>
      </w:r>
      <w:r>
        <w:t>mg/kg (n=134) or 0.10</w:t>
      </w:r>
      <w:r w:rsidR="00757CEA">
        <w:t xml:space="preserve"> </w:t>
      </w:r>
      <w:r>
        <w:t>mg/kg (n=3</w:t>
      </w:r>
      <w:r w:rsidR="001D50A4">
        <w:t>9) via subcutaneous injection.</w:t>
      </w:r>
    </w:p>
    <w:p w:rsidR="000432D2" w:rsidRDefault="00DC4117" w:rsidP="00DC4117">
      <w:pPr>
        <w:pStyle w:val="Heading2"/>
      </w:pPr>
      <w:r>
        <w:t>Study CL0600-020</w:t>
      </w:r>
    </w:p>
    <w:p w:rsidR="000432D2" w:rsidRDefault="00F9490C" w:rsidP="0023367F">
      <w:r>
        <w:t xml:space="preserve">The efficacy, safety, and tolerability of </w:t>
      </w:r>
      <w:r w:rsidR="004C1849">
        <w:t xml:space="preserve">REVESTIVE </w:t>
      </w:r>
      <w:r>
        <w:t>was evaluated in a randomised, double-blind, placebo-controlled, parallel-group, multinational, multi-centre clinical trial in adults with SBS who were dependent on parenteral nutrition/intravenous (PN/IV) support for at least 12 months and required</w:t>
      </w:r>
      <w:r w:rsidR="001D50A4">
        <w:t xml:space="preserve"> PN at least 3 times per week.</w:t>
      </w:r>
    </w:p>
    <w:p w:rsidR="000432D2" w:rsidRDefault="00F9490C" w:rsidP="0023367F">
      <w:r>
        <w:t>For 8 weeks (or less) prior to randomisation, investigators optimised the PN/IV volume of all subjects. Optimisation was followed by a 4</w:t>
      </w:r>
      <w:r w:rsidR="00757CEA">
        <w:t>-</w:t>
      </w:r>
      <w:r>
        <w:t>week to 8</w:t>
      </w:r>
      <w:r w:rsidR="00757CEA">
        <w:t>-</w:t>
      </w:r>
      <w:r>
        <w:t xml:space="preserve">week period of fluid stabilisation. Subjects then were randomised (1:1) to placebo (n=43) or </w:t>
      </w:r>
      <w:r w:rsidR="00757CEA">
        <w:t xml:space="preserve">REVESTIVE </w:t>
      </w:r>
      <w:r>
        <w:t xml:space="preserve">0.05 mg/kg/day (n=43). Study treatment was administered subcutaneously once daily for 24 weeks. PN/IV volume adjustments (up to 30% decrease) and clinical assessments were made at 2, 4, 8, 12, </w:t>
      </w:r>
      <w:r w:rsidR="00333AE0">
        <w:t xml:space="preserve">16, </w:t>
      </w:r>
      <w:r w:rsidR="001D50A4">
        <w:t>20, and 24 weeks.</w:t>
      </w:r>
    </w:p>
    <w:p w:rsidR="000432D2" w:rsidRDefault="00F9490C" w:rsidP="0023367F">
      <w:r>
        <w:t>The primary efficacy endpoint was based on a clinical response, defined as a subject achieving at least 20% reduction in weekly PN/IV volume from baseline (immediately before randomi</w:t>
      </w:r>
      <w:r w:rsidR="004C1849">
        <w:t>s</w:t>
      </w:r>
      <w:r>
        <w:t xml:space="preserve">ation) to both </w:t>
      </w:r>
      <w:r w:rsidR="00156816">
        <w:t>w</w:t>
      </w:r>
      <w:r>
        <w:t>eeks 20 and 24.</w:t>
      </w:r>
    </w:p>
    <w:p w:rsidR="0023367F" w:rsidRDefault="00F9490C" w:rsidP="0023367F">
      <w:r>
        <w:t xml:space="preserve">The mean age of subjects was 50.3 years. Mean duration of PN/IV dependency prior to enrolment was 6.25 years (range 1-25.8 years). The most common reasons for intestinal resection leading to SBS were vascular disease (34.1%, 29/85), Crohn’s Disease (21.2%, 18/85), and “other” (21.2%, 18/85). Stoma was present in 44.7% (38/85) of subjects, and the most common type was </w:t>
      </w:r>
      <w:proofErr w:type="spellStart"/>
      <w:r>
        <w:t>jejunostomy</w:t>
      </w:r>
      <w:proofErr w:type="spellEnd"/>
      <w:r>
        <w:t>/ileostomy (81.6%, 31/38). The mean length of remaining small intestine was 77.3±64.4 cm (range: 5 to 343 cm). The colon was not in continuity in 43.5% (37/85) of subjects. At baseline, the mean (±</w:t>
      </w:r>
      <w:r w:rsidR="00156816">
        <w:t>S</w:t>
      </w:r>
      <w:r>
        <w:t>D) prescribed days per week for PN/IV infusion was 5.73 (±1.59) days</w:t>
      </w:r>
      <w:r w:rsidR="0023367F">
        <w:t>.</w:t>
      </w:r>
    </w:p>
    <w:p w:rsidR="0023367F" w:rsidRDefault="00F9490C" w:rsidP="0023367F">
      <w:r>
        <w:t>The percentages of treatment group responders were compared in the intent-to-treat population of this study which was defined as all randomised patients. Sixty-three percent (27/43) of subjects treated with REVESTIVE versus 30% (13/43) of placebo-treated subjects were considered responders (p=0.002)</w:t>
      </w:r>
      <w:r w:rsidR="0023367F">
        <w:t>.</w:t>
      </w:r>
    </w:p>
    <w:p w:rsidR="000432D2" w:rsidRDefault="00F9490C" w:rsidP="0023367F">
      <w:r>
        <w:t xml:space="preserve">At </w:t>
      </w:r>
      <w:r w:rsidR="00156816">
        <w:t>w</w:t>
      </w:r>
      <w:r>
        <w:t>eek 24, the mean reduction in weekly PN/IV volume was 4.4 L for subjects treated with REVESTIVE (from pre-treatment baseline of 12.9 L) versus 2.3 L for placebo-treated subjects (from pre-treatment basel</w:t>
      </w:r>
      <w:r w:rsidR="001D50A4">
        <w:t>ine of 13.2 L/week) (p&lt;0.001).</w:t>
      </w:r>
    </w:p>
    <w:p w:rsidR="000432D2" w:rsidRDefault="00F9490C" w:rsidP="0023367F">
      <w:r>
        <w:t>The mean changes from baseline in PN/IV volume b</w:t>
      </w:r>
      <w:r w:rsidR="00DC4117">
        <w:t>y visit are shown in Figure 1.</w:t>
      </w:r>
    </w:p>
    <w:p w:rsidR="000432D2" w:rsidRDefault="00DC4117" w:rsidP="00DC4117">
      <w:pPr>
        <w:pStyle w:val="Caption"/>
        <w:rPr>
          <w:rFonts w:eastAsia="Arial" w:cs="Arial"/>
          <w:b w:val="0"/>
          <w:szCs w:val="22"/>
        </w:rPr>
      </w:pPr>
      <w:r>
        <w:lastRenderedPageBreak/>
        <w:t xml:space="preserve">Figure </w:t>
      </w:r>
      <w:r>
        <w:fldChar w:fldCharType="begin"/>
      </w:r>
      <w:r>
        <w:instrText xml:space="preserve"> SEQ Figure \* ARABIC </w:instrText>
      </w:r>
      <w:r>
        <w:fldChar w:fldCharType="separate"/>
      </w:r>
      <w:r>
        <w:rPr>
          <w:noProof/>
        </w:rPr>
        <w:t>1</w:t>
      </w:r>
      <w:r>
        <w:fldChar w:fldCharType="end"/>
      </w:r>
      <w:r w:rsidR="00F9490C" w:rsidRPr="00DC4117">
        <w:rPr>
          <w:rFonts w:eastAsia="Arial"/>
        </w:rPr>
        <w:t xml:space="preserve">: </w:t>
      </w:r>
      <w:r w:rsidR="00F9490C" w:rsidRPr="00DC4117">
        <w:t>Change (</w:t>
      </w:r>
      <w:r w:rsidR="003F4E96" w:rsidRPr="00DC4117">
        <w:t>±SE</w:t>
      </w:r>
      <w:r w:rsidR="00F9490C" w:rsidRPr="00DC4117">
        <w:t>) in PN/IV volume (L/week)</w:t>
      </w:r>
    </w:p>
    <w:p w:rsidR="000432D2" w:rsidRDefault="00FB5869" w:rsidP="004C1849">
      <w:pPr>
        <w:spacing w:after="0"/>
        <w:rPr>
          <w:rFonts w:eastAsia="Arial" w:cs="Arial"/>
          <w:highlight w:val="yellow"/>
          <w:lang w:val="en-AU"/>
        </w:rPr>
      </w:pPr>
      <w:r>
        <w:rPr>
          <w:rFonts w:eastAsia="Arial" w:cs="Arial"/>
          <w:b/>
          <w:noProof/>
          <w:lang w:val="en-AU" w:eastAsia="en-AU"/>
        </w:rPr>
        <w:drawing>
          <wp:inline distT="0" distB="0" distL="0" distR="0">
            <wp:extent cx="5400675" cy="4429125"/>
            <wp:effectExtent l="0" t="0" r="9525" b="9525"/>
            <wp:docPr id="2" name="Picture 2" descr="Figure 1 is a line graph showing the change (±SE) in PN/IV volume (L/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429125"/>
                    </a:xfrm>
                    <a:prstGeom prst="rect">
                      <a:avLst/>
                    </a:prstGeom>
                    <a:noFill/>
                    <a:ln>
                      <a:noFill/>
                    </a:ln>
                  </pic:spPr>
                </pic:pic>
              </a:graphicData>
            </a:graphic>
          </wp:inline>
        </w:drawing>
      </w:r>
    </w:p>
    <w:p w:rsidR="000432D2" w:rsidRDefault="00DC4117" w:rsidP="00DC4117">
      <w:pPr>
        <w:pStyle w:val="Heading2"/>
      </w:pPr>
      <w:r>
        <w:t>Study CL0600-021</w:t>
      </w:r>
    </w:p>
    <w:p w:rsidR="0023367F" w:rsidRDefault="00F9490C" w:rsidP="0023367F">
      <w:r>
        <w:t>CL0600-021 was a 2-year open-label extension of CL0600-020</w:t>
      </w:r>
      <w:r w:rsidR="007D57D5">
        <w:t>,</w:t>
      </w:r>
      <w:r>
        <w:t xml:space="preserve"> in which 88 subjects received </w:t>
      </w:r>
      <w:r w:rsidR="004C1849">
        <w:t xml:space="preserve">REVESTIVE </w:t>
      </w:r>
      <w:r>
        <w:t xml:space="preserve">0.05 mg/kg/day. Ninety-seven percent (76/78) of subjects who completed CL0600-020 elected to </w:t>
      </w:r>
      <w:r>
        <w:rPr>
          <w:lang w:val="en-GB"/>
        </w:rPr>
        <w:t>enrol</w:t>
      </w:r>
      <w:r>
        <w:t xml:space="preserve"> in CL0600-021</w:t>
      </w:r>
      <w:r w:rsidR="004C1849">
        <w:t xml:space="preserve"> </w:t>
      </w:r>
      <w:r>
        <w:t xml:space="preserve">(37 received </w:t>
      </w:r>
      <w:r w:rsidR="004C1849">
        <w:t>REVESTIVE</w:t>
      </w:r>
      <w:r>
        <w:t xml:space="preserve">; 39 received placebo). An additional 12 subjects whom entered CL0600-021 had been </w:t>
      </w:r>
      <w:proofErr w:type="spellStart"/>
      <w:r>
        <w:t>optimised</w:t>
      </w:r>
      <w:proofErr w:type="spellEnd"/>
      <w:r>
        <w:t xml:space="preserve"> and </w:t>
      </w:r>
      <w:proofErr w:type="spellStart"/>
      <w:r>
        <w:t>stabilised</w:t>
      </w:r>
      <w:proofErr w:type="spellEnd"/>
      <w:r>
        <w:t xml:space="preserve"> but not </w:t>
      </w:r>
      <w:proofErr w:type="spellStart"/>
      <w:r>
        <w:t>randomised</w:t>
      </w:r>
      <w:proofErr w:type="spellEnd"/>
      <w:r>
        <w:t xml:space="preserve"> in CL0600-020 because of closed </w:t>
      </w:r>
      <w:r>
        <w:rPr>
          <w:lang w:val="en-GB"/>
        </w:rPr>
        <w:t>enrolment</w:t>
      </w:r>
      <w:r w:rsidR="0023367F">
        <w:t>.</w:t>
      </w:r>
    </w:p>
    <w:p w:rsidR="000432D2" w:rsidRDefault="00F9490C" w:rsidP="00DC4117">
      <w:pPr>
        <w:pStyle w:val="Heading3"/>
      </w:pPr>
      <w:r>
        <w:t>24 months exposure</w:t>
      </w:r>
    </w:p>
    <w:p w:rsidR="0023367F" w:rsidRDefault="00F9490C" w:rsidP="0023367F">
      <w:r>
        <w:t xml:space="preserve">Of the 39 placebo subjects from CL0600-020 entering CL0600-021, 29 completed 24 months of treatment with </w:t>
      </w:r>
      <w:r w:rsidR="004C1849">
        <w:t>REVESTIVE</w:t>
      </w:r>
      <w:r>
        <w:t xml:space="preserve">. The mean reduction in PN/IV was 3.11 L/week (an additional 28.3% reduction) from the start of CL0600-021. Sixteen (55.2%) of the 29 completers achieved a 20% or greater reduction in parenteral support. At the end of the study, 14 (48.3%), 7 (24.1%) and 5 (17.2%) subjects achieved a reduction of 1, 2, or 3 days per week in PN/IV support, respectively. Two subjects were weaned off their PN/IV support while on </w:t>
      </w:r>
      <w:r w:rsidR="004C1849">
        <w:t>REVESTIVE</w:t>
      </w:r>
      <w:r w:rsidR="0023367F">
        <w:t>.</w:t>
      </w:r>
    </w:p>
    <w:p w:rsidR="0023367F" w:rsidRDefault="00F9490C" w:rsidP="004C1849">
      <w:pPr>
        <w:pStyle w:val="Default"/>
        <w:rPr>
          <w:rFonts w:ascii="Arial" w:hAnsi="Arial" w:cs="Arial"/>
          <w:color w:val="auto"/>
          <w:sz w:val="22"/>
          <w:szCs w:val="22"/>
        </w:rPr>
      </w:pPr>
      <w:r>
        <w:rPr>
          <w:rFonts w:ascii="Arial" w:hAnsi="Arial" w:cs="Arial"/>
          <w:color w:val="auto"/>
          <w:sz w:val="22"/>
          <w:szCs w:val="22"/>
        </w:rPr>
        <w:t xml:space="preserve">Of the 12 subjects entering CL0600-021 directly, 6 completed 24 months of treatment with </w:t>
      </w:r>
      <w:r w:rsidR="004C1849">
        <w:rPr>
          <w:rFonts w:ascii="Arial" w:hAnsi="Arial" w:cs="Arial"/>
          <w:color w:val="auto"/>
          <w:sz w:val="22"/>
          <w:szCs w:val="22"/>
        </w:rPr>
        <w:t>REVESTIVE</w:t>
      </w:r>
      <w:r>
        <w:rPr>
          <w:rFonts w:ascii="Arial" w:hAnsi="Arial" w:cs="Arial"/>
          <w:color w:val="auto"/>
          <w:sz w:val="22"/>
          <w:szCs w:val="22"/>
        </w:rPr>
        <w:t xml:space="preserve">. Similar effects were seen. One of the six subjects was weaned off their PN/IV support while on </w:t>
      </w:r>
      <w:r w:rsidR="004C1849">
        <w:rPr>
          <w:rFonts w:ascii="Arial" w:hAnsi="Arial" w:cs="Arial"/>
          <w:color w:val="auto"/>
          <w:sz w:val="22"/>
          <w:szCs w:val="22"/>
        </w:rPr>
        <w:t>REVESTIVE</w:t>
      </w:r>
      <w:r w:rsidR="0023367F">
        <w:rPr>
          <w:rFonts w:ascii="Arial" w:hAnsi="Arial" w:cs="Arial"/>
          <w:color w:val="auto"/>
          <w:sz w:val="22"/>
          <w:szCs w:val="22"/>
        </w:rPr>
        <w:t>.</w:t>
      </w:r>
    </w:p>
    <w:p w:rsidR="000432D2" w:rsidRDefault="00F9490C" w:rsidP="00DC4117">
      <w:pPr>
        <w:pStyle w:val="Heading3"/>
      </w:pPr>
      <w:r>
        <w:t>30 months exposure</w:t>
      </w:r>
    </w:p>
    <w:p w:rsidR="0023367F" w:rsidRDefault="00F9490C" w:rsidP="0023367F">
      <w:r>
        <w:t xml:space="preserve">Thirty subjects </w:t>
      </w:r>
      <w:r w:rsidR="00156816">
        <w:t xml:space="preserve">on REVESTIVE </w:t>
      </w:r>
      <w:r>
        <w:t xml:space="preserve">completed a total duration of 30 months (CL0600-020 followed by CL0600-021 treatment). Of these, 28 subjects (93%) achieved a 20% or greater reduction of parenteral support. Of the responders in CL0600-020 who had completed 2 </w:t>
      </w:r>
      <w:r>
        <w:lastRenderedPageBreak/>
        <w:t xml:space="preserve">additional years of continuous treatment with </w:t>
      </w:r>
      <w:r w:rsidR="004C1849">
        <w:t>REVESTIVE</w:t>
      </w:r>
      <w:r>
        <w:t>, 96% (21/22) demonstrated durability in the effect of REVESTIVE</w:t>
      </w:r>
      <w:r w:rsidR="0023367F">
        <w:t>.</w:t>
      </w:r>
    </w:p>
    <w:p w:rsidR="000432D2" w:rsidRPr="00DC4117" w:rsidRDefault="00F9490C" w:rsidP="00DC4117">
      <w:pPr>
        <w:pStyle w:val="Default"/>
        <w:rPr>
          <w:rFonts w:ascii="Arial" w:hAnsi="Arial" w:cs="Arial"/>
          <w:color w:val="auto"/>
          <w:sz w:val="22"/>
          <w:szCs w:val="22"/>
        </w:rPr>
      </w:pPr>
      <w:r>
        <w:rPr>
          <w:rFonts w:ascii="Arial" w:hAnsi="Arial" w:cs="Arial"/>
          <w:color w:val="auto"/>
          <w:sz w:val="22"/>
          <w:szCs w:val="22"/>
        </w:rPr>
        <w:t xml:space="preserve">The mean reduction in PN/IV (n=30) was 7.55 L/week (a 65.6% reduction from baseline). Ten subjects were weaned off their PN/IV support while on treatment with REVESTIVE for 30 months. Subjects were maintained on REVESTIVE even if no longer requiring PN/IV support. These 10 subjects had required PN/IV support for 1.2 to 15.5 years, and prior to </w:t>
      </w:r>
      <w:r w:rsidR="004C1849">
        <w:rPr>
          <w:rFonts w:ascii="Arial" w:hAnsi="Arial" w:cs="Arial"/>
          <w:color w:val="auto"/>
          <w:sz w:val="22"/>
          <w:szCs w:val="22"/>
        </w:rPr>
        <w:t>REVESTIVE</w:t>
      </w:r>
      <w:r>
        <w:rPr>
          <w:rFonts w:ascii="Arial" w:hAnsi="Arial" w:cs="Arial"/>
          <w:color w:val="auto"/>
          <w:sz w:val="22"/>
          <w:szCs w:val="22"/>
        </w:rPr>
        <w:t xml:space="preserve"> had required between 3.5 L/week and 13.4 L/week of PN/IV support. At</w:t>
      </w:r>
      <w:r w:rsidR="00F2606D">
        <w:rPr>
          <w:rFonts w:ascii="Arial" w:hAnsi="Arial" w:cs="Arial"/>
          <w:color w:val="auto"/>
          <w:sz w:val="22"/>
          <w:szCs w:val="22"/>
        </w:rPr>
        <w:t xml:space="preserve"> </w:t>
      </w:r>
      <w:r w:rsidR="00517347">
        <w:rPr>
          <w:rFonts w:ascii="Arial" w:hAnsi="Arial" w:cs="Arial"/>
          <w:color w:val="auto"/>
          <w:sz w:val="22"/>
          <w:szCs w:val="22"/>
        </w:rPr>
        <w:t>24 months</w:t>
      </w:r>
      <w:r>
        <w:rPr>
          <w:rFonts w:ascii="Arial" w:hAnsi="Arial" w:cs="Arial"/>
          <w:color w:val="auto"/>
          <w:sz w:val="22"/>
          <w:szCs w:val="22"/>
        </w:rPr>
        <w:t>, 21 (70%), 18 (60%) and 18 (60%) of the 30 completers achieved a reduction of 1, 2, or 3 days per week in PN/IV support, respectively.</w:t>
      </w:r>
    </w:p>
    <w:p w:rsidR="000432D2" w:rsidRDefault="00DC4117" w:rsidP="00DC4117">
      <w:pPr>
        <w:pStyle w:val="Heading2"/>
      </w:pPr>
      <w:r>
        <w:t>Study CL0600-004</w:t>
      </w:r>
    </w:p>
    <w:p w:rsidR="0023367F" w:rsidRDefault="001139AC" w:rsidP="001139AC">
      <w:pPr>
        <w:widowControl/>
        <w:autoSpaceDE w:val="0"/>
        <w:autoSpaceDN w:val="0"/>
        <w:adjustRightInd w:val="0"/>
        <w:spacing w:after="0"/>
        <w:rPr>
          <w:rFonts w:cs="Arial"/>
        </w:rPr>
      </w:pPr>
      <w:r>
        <w:rPr>
          <w:rFonts w:cs="Arial"/>
        </w:rPr>
        <w:t xml:space="preserve">CL0600-004 was a </w:t>
      </w:r>
      <w:proofErr w:type="spellStart"/>
      <w:r>
        <w:rPr>
          <w:rFonts w:cs="Arial"/>
        </w:rPr>
        <w:t>randomised</w:t>
      </w:r>
      <w:proofErr w:type="spellEnd"/>
      <w:r>
        <w:rPr>
          <w:rFonts w:cs="Arial"/>
        </w:rPr>
        <w:t xml:space="preserve">, double-blind, placebo-controlled, three-arm parallel-group, multinational study in adults with SBS who were dependent on PN/IV support for at least 12 months and required PN at least 3 times per week. After a period of </w:t>
      </w:r>
      <w:proofErr w:type="spellStart"/>
      <w:r>
        <w:rPr>
          <w:rFonts w:cs="Arial"/>
        </w:rPr>
        <w:t>optimisation</w:t>
      </w:r>
      <w:proofErr w:type="spellEnd"/>
      <w:r>
        <w:rPr>
          <w:rFonts w:cs="Arial"/>
        </w:rPr>
        <w:t xml:space="preserve"> and stabilisation similar to CL0600-020, subjects were </w:t>
      </w:r>
      <w:proofErr w:type="spellStart"/>
      <w:r>
        <w:rPr>
          <w:rFonts w:cs="Arial"/>
        </w:rPr>
        <w:t>randomised</w:t>
      </w:r>
      <w:proofErr w:type="spellEnd"/>
      <w:r>
        <w:rPr>
          <w:rFonts w:cs="Arial"/>
        </w:rPr>
        <w:t xml:space="preserve"> to receive 24 weeks of one of the following treatment regimens: REVESTIVE 0.05 mg/kg/day (n=35), REVESTIVE 0.10 mg/kg/day dose (n=33), or placebo (n=16). The primary efficacy endpoint was a graded categorical score that did not achieve statistical significance for the high dose</w:t>
      </w:r>
      <w:r w:rsidR="008979BF">
        <w:rPr>
          <w:rFonts w:cs="Arial"/>
        </w:rPr>
        <w:t xml:space="preserve"> (0.10 mg/kg/day)</w:t>
      </w:r>
      <w:r w:rsidR="0023367F">
        <w:rPr>
          <w:rFonts w:cs="Arial"/>
        </w:rPr>
        <w:t>.</w:t>
      </w:r>
    </w:p>
    <w:p w:rsidR="000432D2" w:rsidRDefault="00F9490C" w:rsidP="00DC4117">
      <w:pPr>
        <w:pStyle w:val="Heading2"/>
      </w:pPr>
      <w:r>
        <w:t>Study CL0600-005</w:t>
      </w:r>
    </w:p>
    <w:p w:rsidR="000432D2" w:rsidRDefault="00F9490C" w:rsidP="00DC4117">
      <w:r>
        <w:t>CL0600-005 was a randomised, double-blinded, parallel-group, extension of CL0600-004, in which 65 subjects from CL0600-004 received REVESTIVE for up to an additional 28 weeks of treatment. Of the responders in CL0600-004 who entered CL0600-005, 75%</w:t>
      </w:r>
      <w:r w:rsidR="00FC4710">
        <w:t xml:space="preserve"> (12/16)</w:t>
      </w:r>
      <w:r w:rsidR="00F2606D">
        <w:t xml:space="preserve"> </w:t>
      </w:r>
      <w:r>
        <w:t xml:space="preserve">demonstrated durability in the effect of REVESTIVE after one year of treatment. In the REVESTIVE 0.05 mg/kg/day dose group, a 20% or greater reduction of parenteral support was achieved in 68% (17/25) of subjects. The mean reduction of weekly PN/IV volume was 4.9 L/week (52% reduction from baseline) after one year of continuous treatment with REVESTIVE. The subjects who had been completely weaned off PN/IV support in CL0600-004 remained off parenteral support through CL0600-005. During CL0600-005, an additional subject from CL0600-005 was </w:t>
      </w:r>
      <w:r w:rsidR="00DC4117">
        <w:t>weaned off parenteral support.</w:t>
      </w:r>
    </w:p>
    <w:p w:rsidR="000432D2" w:rsidRDefault="00F9490C" w:rsidP="00DC4117">
      <w:pPr>
        <w:pStyle w:val="Heading1"/>
      </w:pPr>
      <w:r>
        <w:t>INDICAT</w:t>
      </w:r>
      <w:r>
        <w:rPr>
          <w:spacing w:val="1"/>
        </w:rPr>
        <w:t>IO</w:t>
      </w:r>
      <w:r>
        <w:t>NS</w:t>
      </w:r>
    </w:p>
    <w:p w:rsidR="001B59BD" w:rsidRDefault="00F9490C" w:rsidP="004C1849">
      <w:pPr>
        <w:spacing w:after="0"/>
        <w:rPr>
          <w:rFonts w:eastAsia="Arial" w:cs="Arial"/>
          <w:lang w:val="en-AU"/>
        </w:rPr>
      </w:pPr>
      <w:r>
        <w:rPr>
          <w:rFonts w:eastAsia="Arial" w:cs="Arial"/>
          <w:lang w:val="en-AU"/>
        </w:rPr>
        <w:t>REVESTIVE is indicated for the treatment of adult patients with Short Bowel Syndrome (SBS) who are dependent on parenteral support.</w:t>
      </w:r>
    </w:p>
    <w:p w:rsidR="000432D2" w:rsidRDefault="001B59BD" w:rsidP="004C1849">
      <w:pPr>
        <w:spacing w:after="0"/>
        <w:rPr>
          <w:rFonts w:eastAsia="Arial" w:cs="Arial"/>
          <w:lang w:val="en-AU"/>
        </w:rPr>
      </w:pPr>
      <w:r>
        <w:rPr>
          <w:rFonts w:eastAsia="Arial" w:cs="Arial"/>
          <w:lang w:val="en-AU"/>
        </w:rPr>
        <w:t xml:space="preserve">Patients should be stable </w:t>
      </w:r>
      <w:r w:rsidR="00012B8E">
        <w:rPr>
          <w:rFonts w:eastAsia="Arial" w:cs="Arial"/>
          <w:lang w:val="en-AU"/>
        </w:rPr>
        <w:t xml:space="preserve">at least to 4 weeks </w:t>
      </w:r>
      <w:r>
        <w:rPr>
          <w:rFonts w:eastAsia="Arial" w:cs="Arial"/>
          <w:lang w:val="en-AU"/>
        </w:rPr>
        <w:t xml:space="preserve">on their parenteral support regimen before </w:t>
      </w:r>
      <w:r w:rsidR="00DC4117">
        <w:rPr>
          <w:rFonts w:eastAsia="Arial" w:cs="Arial"/>
          <w:lang w:val="en-AU"/>
        </w:rPr>
        <w:t xml:space="preserve">initiating </w:t>
      </w:r>
      <w:proofErr w:type="spellStart"/>
      <w:r w:rsidR="00DC4117">
        <w:rPr>
          <w:rFonts w:eastAsia="Arial" w:cs="Arial"/>
          <w:lang w:val="en-AU"/>
        </w:rPr>
        <w:t>teduglutide</w:t>
      </w:r>
      <w:proofErr w:type="spellEnd"/>
      <w:r w:rsidR="00DC4117">
        <w:rPr>
          <w:rFonts w:eastAsia="Arial" w:cs="Arial"/>
          <w:lang w:val="en-AU"/>
        </w:rPr>
        <w:t xml:space="preserve"> therapy.</w:t>
      </w:r>
    </w:p>
    <w:p w:rsidR="000432D2" w:rsidRDefault="00F9490C" w:rsidP="00DC4117">
      <w:pPr>
        <w:pStyle w:val="Heading1"/>
      </w:pPr>
      <w:r>
        <w:t>CONTRAINDICATIONS</w:t>
      </w:r>
    </w:p>
    <w:p w:rsidR="0023367F" w:rsidRDefault="00F9490C" w:rsidP="004C1849">
      <w:pPr>
        <w:spacing w:after="0"/>
        <w:rPr>
          <w:rFonts w:eastAsia="Arial" w:cs="Arial"/>
        </w:rPr>
      </w:pPr>
      <w:proofErr w:type="gramStart"/>
      <w:r>
        <w:rPr>
          <w:rFonts w:eastAsia="Arial" w:cs="Arial"/>
        </w:rPr>
        <w:t>Hypersensitivity to the active ingredient or to any of the excipients</w:t>
      </w:r>
      <w:r w:rsidR="0023367F">
        <w:rPr>
          <w:rFonts w:eastAsia="Arial" w:cs="Arial"/>
        </w:rPr>
        <w:t>.</w:t>
      </w:r>
      <w:proofErr w:type="gramEnd"/>
    </w:p>
    <w:p w:rsidR="000432D2" w:rsidRDefault="00F9490C" w:rsidP="004C1849">
      <w:pPr>
        <w:spacing w:after="0"/>
        <w:rPr>
          <w:rFonts w:eastAsia="Arial" w:cs="Arial"/>
        </w:rPr>
      </w:pPr>
      <w:proofErr w:type="gramStart"/>
      <w:r>
        <w:rPr>
          <w:rFonts w:eastAsia="Arial" w:cs="Arial"/>
        </w:rPr>
        <w:t>Active gastrointestinal malignancy (gastrointestinal tract, hepatobiliary, pancreatic).</w:t>
      </w:r>
      <w:proofErr w:type="gramEnd"/>
    </w:p>
    <w:p w:rsidR="0023367F" w:rsidRDefault="00F9490C" w:rsidP="004C1849">
      <w:pPr>
        <w:spacing w:after="0"/>
        <w:rPr>
          <w:rFonts w:eastAsia="Arial" w:cs="Arial"/>
        </w:rPr>
      </w:pPr>
      <w:proofErr w:type="gramStart"/>
      <w:r>
        <w:rPr>
          <w:rFonts w:eastAsia="Arial" w:cs="Arial"/>
        </w:rPr>
        <w:t>Patients with a history of malignancies in the gastrointestinal tract including the hepatobiliary</w:t>
      </w:r>
      <w:r w:rsidR="00012B8E">
        <w:rPr>
          <w:rFonts w:eastAsia="Arial" w:cs="Arial"/>
        </w:rPr>
        <w:t xml:space="preserve"> </w:t>
      </w:r>
      <w:r>
        <w:rPr>
          <w:rFonts w:eastAsia="Arial" w:cs="Arial"/>
        </w:rPr>
        <w:t>system within the last 5 years</w:t>
      </w:r>
      <w:r w:rsidR="0023367F">
        <w:rPr>
          <w:rFonts w:eastAsia="Arial" w:cs="Arial"/>
        </w:rPr>
        <w:t>.</w:t>
      </w:r>
      <w:proofErr w:type="gramEnd"/>
    </w:p>
    <w:p w:rsidR="000432D2" w:rsidRDefault="00F9490C" w:rsidP="00DC4117">
      <w:pPr>
        <w:pStyle w:val="Heading1"/>
      </w:pPr>
      <w:r>
        <w:t>PRECAUTIONS</w:t>
      </w:r>
    </w:p>
    <w:p w:rsidR="000432D2" w:rsidRDefault="00DC4117" w:rsidP="00DD4838">
      <w:pPr>
        <w:pStyle w:val="Heading2"/>
      </w:pPr>
      <w:r>
        <w:t>Colorectal Polyps</w:t>
      </w:r>
    </w:p>
    <w:p w:rsidR="000432D2" w:rsidRDefault="00F9490C" w:rsidP="004C1849">
      <w:pPr>
        <w:spacing w:after="0"/>
        <w:ind w:right="-14"/>
        <w:rPr>
          <w:rFonts w:eastAsia="Arial" w:cs="Arial"/>
          <w:bCs/>
          <w:lang w:val="en-AU"/>
        </w:rPr>
      </w:pPr>
      <w:r>
        <w:rPr>
          <w:rFonts w:eastAsia="Arial" w:cs="Arial"/>
          <w:bCs/>
          <w:lang w:val="en-AU"/>
        </w:rPr>
        <w:t xml:space="preserve">Colorectal polyps were identified during the clinical trials. Colonoscopy of the entire colon with removal of polyps should be done within 6 months prior to starting treatment with teduglutide. A follow-up colonoscopy (or alternate imaging) is recommended between 1-2 years after initiating teduglutide. </w:t>
      </w:r>
      <w:r>
        <w:rPr>
          <w:rFonts w:cs="Arial"/>
        </w:rPr>
        <w:t xml:space="preserve">Subsequent colonoscopies should be done every 5 years or more often as needed in high risk individuals. If a polyp is found, adherence to current polyp follow-up guidelines is recommended. In case of diagnosis of colorectal cancer, teduglutide </w:t>
      </w:r>
      <w:r>
        <w:rPr>
          <w:rFonts w:cs="Arial"/>
        </w:rPr>
        <w:lastRenderedPageBreak/>
        <w:t>th</w:t>
      </w:r>
      <w:r w:rsidR="00DC4117">
        <w:rPr>
          <w:rFonts w:cs="Arial"/>
        </w:rPr>
        <w:t>erapy should be discontinued.</w:t>
      </w:r>
    </w:p>
    <w:p w:rsidR="000432D2" w:rsidRDefault="00F9490C" w:rsidP="00DD4838">
      <w:pPr>
        <w:pStyle w:val="Heading2"/>
      </w:pPr>
      <w:r>
        <w:t xml:space="preserve">Gastrointestinal </w:t>
      </w:r>
      <w:r w:rsidRPr="00DD4838">
        <w:t>Neoplasia</w:t>
      </w:r>
      <w:r w:rsidR="00DD4838">
        <w:t xml:space="preserve"> including Hepatobiliary Tract</w:t>
      </w:r>
    </w:p>
    <w:p w:rsidR="000432D2" w:rsidRDefault="00F9490C" w:rsidP="004C1849">
      <w:pPr>
        <w:pStyle w:val="BodyText"/>
        <w:keepNext/>
        <w:keepLines/>
        <w:tabs>
          <w:tab w:val="left" w:pos="2504"/>
        </w:tabs>
        <w:spacing w:after="0"/>
        <w:jc w:val="left"/>
        <w:rPr>
          <w:rFonts w:cs="Arial"/>
          <w:szCs w:val="22"/>
        </w:rPr>
      </w:pPr>
      <w:r>
        <w:rPr>
          <w:rFonts w:cs="Arial"/>
          <w:szCs w:val="22"/>
        </w:rPr>
        <w:t>Based on the pharmacologic activity and findings in animals, teduglutide has the potential to cause hyperplastic changes, including neoplasia, in the small bowel and hepatobiliary tract. These observations were not confirmed in clinical studies of more than one year duration.</w:t>
      </w:r>
    </w:p>
    <w:p w:rsidR="000432D2" w:rsidRDefault="00F9490C" w:rsidP="004C1849">
      <w:pPr>
        <w:spacing w:after="0"/>
        <w:ind w:right="-20"/>
        <w:rPr>
          <w:rFonts w:eastAsia="Arial" w:cs="Arial"/>
          <w:bCs/>
          <w:lang w:val="en-AU"/>
        </w:rPr>
      </w:pPr>
      <w:r>
        <w:rPr>
          <w:rFonts w:cs="Arial"/>
        </w:rPr>
        <w:t>Patients should be monitored clinically for small bowel and hepatobiliary neoplasia. If a benign neoplasm is found, it should be removed. In patients with active gastrointestinal malignancy (gastrointestinal tract, hepatobiliary, pancreatic), teduglutide therapy should be discontinued. In patients with active non-gastrointestinal malignancy or who are at increased risk for malignancy, the clinical decision to continue teduglutide should be made based on risk-benefit considerations.</w:t>
      </w:r>
    </w:p>
    <w:p w:rsidR="000432D2" w:rsidRPr="00DD4838" w:rsidRDefault="00F9490C" w:rsidP="00DD4838">
      <w:pPr>
        <w:pStyle w:val="Heading2"/>
      </w:pPr>
      <w:r>
        <w:t>Gal</w:t>
      </w:r>
      <w:r w:rsidR="00DC4117">
        <w:t>lbladder and Bile Tract Disease</w:t>
      </w:r>
    </w:p>
    <w:p w:rsidR="0023367F" w:rsidRDefault="00F9490C" w:rsidP="004C1849">
      <w:pPr>
        <w:spacing w:after="0"/>
        <w:ind w:right="-14"/>
        <w:rPr>
          <w:rFonts w:cs="Arial"/>
        </w:rPr>
      </w:pPr>
      <w:r>
        <w:rPr>
          <w:rFonts w:cs="Arial"/>
        </w:rPr>
        <w:t xml:space="preserve">Cholecystitis, cholangitis, and </w:t>
      </w:r>
      <w:proofErr w:type="spellStart"/>
      <w:r>
        <w:rPr>
          <w:rFonts w:cs="Arial"/>
        </w:rPr>
        <w:t>cholelithiasis</w:t>
      </w:r>
      <w:proofErr w:type="spellEnd"/>
      <w:r>
        <w:rPr>
          <w:rFonts w:cs="Arial"/>
        </w:rPr>
        <w:t xml:space="preserve"> have been reported in clinical studies. For identification of the onset or worsening of gallbladder/biliary disease, patients should undergo laboratory assessment of bilirubin and alkaline phosphatase prior to starting teduglutide, and while on teduglutide. If clinically meaningful changes are seen, further evaluation including imaging of the gallbladder and/or biliary tract is recommended and the need for continued teduglutide treatment should be reassessed</w:t>
      </w:r>
      <w:r w:rsidR="0023367F">
        <w:rPr>
          <w:rFonts w:cs="Arial"/>
        </w:rPr>
        <w:t>.</w:t>
      </w:r>
    </w:p>
    <w:p w:rsidR="000432D2" w:rsidRDefault="00DC4117" w:rsidP="00DD4838">
      <w:pPr>
        <w:pStyle w:val="Heading2"/>
      </w:pPr>
      <w:r>
        <w:t xml:space="preserve">Pancreatic </w:t>
      </w:r>
      <w:r w:rsidRPr="00DD4838">
        <w:t>Diseases</w:t>
      </w:r>
    </w:p>
    <w:p w:rsidR="0023367F" w:rsidRDefault="00F9490C" w:rsidP="004C1849">
      <w:pPr>
        <w:spacing w:after="0"/>
        <w:ind w:right="-14"/>
        <w:rPr>
          <w:rFonts w:eastAsia="Arial" w:cs="Arial"/>
          <w:bCs/>
          <w:lang w:val="en-AU"/>
        </w:rPr>
      </w:pPr>
      <w:r>
        <w:rPr>
          <w:rFonts w:eastAsia="Arial" w:cs="Arial"/>
          <w:bCs/>
          <w:lang w:val="en-AU"/>
        </w:rPr>
        <w:t>Pancreatic adverse events such as chronic and acute pancreatitis, pancreatic duct stenosis, pancreas infection and increased blood amylase and lipase have been reported in clinical studies</w:t>
      </w:r>
      <w:r w:rsidR="0023367F">
        <w:rPr>
          <w:rFonts w:eastAsia="Arial" w:cs="Arial"/>
          <w:bCs/>
          <w:lang w:val="en-AU"/>
        </w:rPr>
        <w:t>.</w:t>
      </w:r>
    </w:p>
    <w:p w:rsidR="000432D2" w:rsidRDefault="00F9490C" w:rsidP="004C1849">
      <w:pPr>
        <w:spacing w:after="0"/>
        <w:ind w:right="-14"/>
        <w:rPr>
          <w:rFonts w:cs="Arial"/>
        </w:rPr>
      </w:pPr>
      <w:r>
        <w:rPr>
          <w:rFonts w:cs="Arial"/>
        </w:rPr>
        <w:t>For identification of onset or worsening of pancreatic disease, patients should undergo laboratory assessment of lipase and amylase prior to starting teduglutide, and while on teduglutide. If clinically meaningful changes are seen, further evaluation such as imaging of the pancreas is recommended; and the need for continued teduglutide treatment should be reassessed.</w:t>
      </w:r>
    </w:p>
    <w:p w:rsidR="000432D2" w:rsidRDefault="00DC4117" w:rsidP="00DC4117">
      <w:pPr>
        <w:pStyle w:val="Heading2"/>
      </w:pPr>
      <w:r>
        <w:t>Intestinal Obstruction</w:t>
      </w:r>
    </w:p>
    <w:p w:rsidR="000432D2" w:rsidRDefault="00F9490C" w:rsidP="004C1849">
      <w:pPr>
        <w:spacing w:after="0"/>
        <w:ind w:right="-14"/>
        <w:rPr>
          <w:rFonts w:cs="Arial"/>
        </w:rPr>
      </w:pPr>
      <w:r>
        <w:rPr>
          <w:rFonts w:cs="Arial"/>
        </w:rPr>
        <w:t>Intestinal obstruction has been reported in clinical trials. In patients who develop intestinal or</w:t>
      </w:r>
      <w:r w:rsidR="008B75BC">
        <w:rPr>
          <w:rFonts w:cs="Arial"/>
        </w:rPr>
        <w:t xml:space="preserve"> </w:t>
      </w:r>
      <w:proofErr w:type="spellStart"/>
      <w:r>
        <w:rPr>
          <w:rFonts w:cs="Arial"/>
        </w:rPr>
        <w:t>stomal</w:t>
      </w:r>
      <w:proofErr w:type="spellEnd"/>
      <w:r>
        <w:rPr>
          <w:rFonts w:cs="Arial"/>
        </w:rPr>
        <w:t xml:space="preserve"> obstruction, teduglutide should be temporarily discontinued while the patient is clinically managed. Teduglutide may be restarted when the obstructive presentation resolves, if clinically indicated.</w:t>
      </w:r>
    </w:p>
    <w:p w:rsidR="000432D2" w:rsidRDefault="00F9490C" w:rsidP="00DC4117">
      <w:pPr>
        <w:pStyle w:val="Heading2"/>
      </w:pPr>
      <w:r>
        <w:t xml:space="preserve">Fluid </w:t>
      </w:r>
      <w:r w:rsidR="00914585">
        <w:t>O</w:t>
      </w:r>
      <w:r w:rsidR="00DC4117">
        <w:t>verload</w:t>
      </w:r>
    </w:p>
    <w:p w:rsidR="0023367F" w:rsidRDefault="00F9490C" w:rsidP="0023367F">
      <w:pPr>
        <w:rPr>
          <w:lang w:val="en-GB"/>
        </w:rPr>
      </w:pPr>
      <w:r>
        <w:t xml:space="preserve">Fluid overload and congestive heart failure have been observed in clinical trials. </w:t>
      </w:r>
      <w:r>
        <w:rPr>
          <w:lang w:val="en-GB"/>
        </w:rPr>
        <w:t>Fluid overload adverse events occurred most frequently during the first 4 weeks of therapy and decreased over time.</w:t>
      </w:r>
      <w:r w:rsidR="004D64DC">
        <w:rPr>
          <w:lang w:val="en-GB"/>
        </w:rPr>
        <w:t xml:space="preserve"> There is a theoretical rationale that, during the initial several weeks of teduglutide treatment, subjects may become volume expanded if their PN</w:t>
      </w:r>
      <w:r w:rsidR="00F2606D">
        <w:rPr>
          <w:lang w:val="en-GB"/>
        </w:rPr>
        <w:t>/IV</w:t>
      </w:r>
      <w:r w:rsidR="004D64DC">
        <w:rPr>
          <w:lang w:val="en-GB"/>
        </w:rPr>
        <w:t xml:space="preserve"> volumes are not appropriately down titrated</w:t>
      </w:r>
      <w:r w:rsidR="0023367F">
        <w:rPr>
          <w:lang w:val="en-GB"/>
        </w:rPr>
        <w:t>.</w:t>
      </w:r>
    </w:p>
    <w:p w:rsidR="000432D2" w:rsidRDefault="00F9490C" w:rsidP="004C1849">
      <w:pPr>
        <w:spacing w:after="0"/>
        <w:ind w:right="-20"/>
        <w:rPr>
          <w:rFonts w:eastAsia="Arial" w:cs="Arial"/>
          <w:bCs/>
          <w:lang w:val="en-AU"/>
        </w:rPr>
      </w:pPr>
      <w:r>
        <w:rPr>
          <w:rFonts w:cs="Arial"/>
        </w:rPr>
        <w:t xml:space="preserve">Due to increased fluid absorption, patients with and without a history of cardiovascular disease, such as cardiac insufficiency and hypertension, should be monitored with regard to fluid overload, especially during initiation of therapy. Patients should be advised to contact their physician in case of sudden weight gain, swollen ankles and/or </w:t>
      </w:r>
      <w:proofErr w:type="spellStart"/>
      <w:r>
        <w:rPr>
          <w:rFonts w:cs="Arial"/>
        </w:rPr>
        <w:t>dyspn</w:t>
      </w:r>
      <w:r w:rsidR="00170961">
        <w:rPr>
          <w:rFonts w:cs="Arial"/>
        </w:rPr>
        <w:t>o</w:t>
      </w:r>
      <w:r>
        <w:rPr>
          <w:rFonts w:cs="Arial"/>
        </w:rPr>
        <w:t>ea</w:t>
      </w:r>
      <w:proofErr w:type="spellEnd"/>
      <w:r>
        <w:rPr>
          <w:rFonts w:cs="Arial"/>
        </w:rPr>
        <w:t>. In general, fluid overload can be prevented by appropriate and timely assessment and adjustment of parenteral nutrition needs. This assessment should be conducted more frequently within the first months of treatment with close monitoring afterwards. In case of a significant deterioration of cardiovascular disease, the need for continued teduglutide</w:t>
      </w:r>
      <w:r>
        <w:rPr>
          <w:rStyle w:val="CommentReference"/>
          <w:rFonts w:cs="Arial"/>
          <w:lang w:val="en-GB"/>
        </w:rPr>
        <w:t xml:space="preserve"> </w:t>
      </w:r>
      <w:r>
        <w:rPr>
          <w:rFonts w:cs="Arial"/>
        </w:rPr>
        <w:t>treatment should be reassessed.</w:t>
      </w:r>
    </w:p>
    <w:p w:rsidR="000432D2" w:rsidRDefault="00DC4117" w:rsidP="004C1849">
      <w:pPr>
        <w:spacing w:after="0"/>
        <w:ind w:right="-20"/>
        <w:rPr>
          <w:rFonts w:eastAsia="Arial" w:cs="Arial"/>
          <w:b/>
          <w:bCs/>
          <w:lang w:val="en-AU"/>
        </w:rPr>
      </w:pPr>
      <w:r>
        <w:rPr>
          <w:rFonts w:eastAsia="Arial" w:cs="Arial"/>
          <w:b/>
          <w:bCs/>
          <w:lang w:val="en-AU"/>
        </w:rPr>
        <w:lastRenderedPageBreak/>
        <w:t>Concomitant Medication</w:t>
      </w:r>
    </w:p>
    <w:p w:rsidR="000432D2" w:rsidRDefault="00F9490C" w:rsidP="0023367F">
      <w:r>
        <w:t xml:space="preserve">Patients receiving oral concomitant medicinal products requiring titration or with a narrow therapeutic index should be monitored closely due to potential increased absorption and may require dose adjustment of these medications while on teduglutide. Examples of such medications include benzodiazepines, opioids, digoxin, </w:t>
      </w:r>
      <w:proofErr w:type="gramStart"/>
      <w:r>
        <w:t>anti</w:t>
      </w:r>
      <w:proofErr w:type="gramEnd"/>
      <w:r>
        <w:t>-hypertensives.</w:t>
      </w:r>
    </w:p>
    <w:p w:rsidR="00786D8E" w:rsidRDefault="00DC4117" w:rsidP="00DC4117">
      <w:pPr>
        <w:pStyle w:val="Heading2"/>
      </w:pPr>
      <w:r>
        <w:t>Special Clinical Conditions</w:t>
      </w:r>
    </w:p>
    <w:p w:rsidR="0023367F" w:rsidRDefault="00AD06A1" w:rsidP="0023367F">
      <w:pPr>
        <w:rPr>
          <w:lang w:val="en-AU"/>
        </w:rPr>
      </w:pPr>
      <w:r>
        <w:rPr>
          <w:lang w:val="en-AU"/>
        </w:rPr>
        <w:t>REVESTIVE has not been studied in patients with severe, clinically unstable concomitant diseases (e.g. cardiovascular, respiratory, renal, infectious, endocrine, hepatic, or CNS), or in patients with malignancies within the last 5 years (</w:t>
      </w:r>
      <w:r w:rsidR="00CE0BC5">
        <w:rPr>
          <w:lang w:val="en-AU"/>
        </w:rPr>
        <w:t xml:space="preserve">also </w:t>
      </w:r>
      <w:r>
        <w:rPr>
          <w:lang w:val="en-AU"/>
        </w:rPr>
        <w:t>see CONTRAINDICATIONS)</w:t>
      </w:r>
      <w:r w:rsidR="0023367F">
        <w:rPr>
          <w:lang w:val="en-AU"/>
        </w:rPr>
        <w:t>.</w:t>
      </w:r>
    </w:p>
    <w:p w:rsidR="000432D2" w:rsidRDefault="00DC4117" w:rsidP="004C1849">
      <w:pPr>
        <w:spacing w:after="0"/>
        <w:ind w:right="-20"/>
        <w:rPr>
          <w:rFonts w:eastAsia="Arial" w:cs="Arial"/>
          <w:b/>
          <w:bCs/>
          <w:lang w:val="en-AU"/>
        </w:rPr>
      </w:pPr>
      <w:r>
        <w:rPr>
          <w:rFonts w:eastAsia="Arial" w:cs="Arial"/>
          <w:b/>
          <w:bCs/>
          <w:lang w:val="en-AU"/>
        </w:rPr>
        <w:t>Discontinuation of Treatment</w:t>
      </w:r>
    </w:p>
    <w:p w:rsidR="000432D2" w:rsidRDefault="00F9490C" w:rsidP="004C1849">
      <w:pPr>
        <w:spacing w:after="0"/>
        <w:ind w:right="-20"/>
        <w:rPr>
          <w:rFonts w:cs="Arial"/>
        </w:rPr>
      </w:pPr>
      <w:r>
        <w:rPr>
          <w:rFonts w:cs="Arial"/>
        </w:rPr>
        <w:t xml:space="preserve">Discontinuation of treatment with </w:t>
      </w:r>
      <w:r w:rsidR="00275567">
        <w:rPr>
          <w:rFonts w:cs="Arial"/>
        </w:rPr>
        <w:t xml:space="preserve">REVESTIVE </w:t>
      </w:r>
      <w:r>
        <w:rPr>
          <w:rFonts w:cs="Arial"/>
        </w:rPr>
        <w:t>may result in fluid and electrolyte imbalance leading to potential dehydration. Therefore, patients’ fluid and electrolyte status should be carefully monitored.</w:t>
      </w:r>
    </w:p>
    <w:p w:rsidR="000432D2" w:rsidRDefault="00F9490C" w:rsidP="00DC4117">
      <w:pPr>
        <w:pStyle w:val="Heading2"/>
      </w:pPr>
      <w:r w:rsidRPr="0070788C">
        <w:t>Effects on Fertility</w:t>
      </w:r>
    </w:p>
    <w:p w:rsidR="0023367F" w:rsidRDefault="00F9490C" w:rsidP="004C1849">
      <w:pPr>
        <w:widowControl/>
        <w:autoSpaceDE w:val="0"/>
        <w:autoSpaceDN w:val="0"/>
        <w:adjustRightInd w:val="0"/>
        <w:spacing w:after="0"/>
        <w:rPr>
          <w:rFonts w:cs="Arial"/>
        </w:rPr>
      </w:pPr>
      <w:r>
        <w:rPr>
          <w:rFonts w:cs="Arial"/>
        </w:rPr>
        <w:t xml:space="preserve">There are no data on the effects of teduglutide on human fertility. </w:t>
      </w:r>
      <w:r w:rsidR="00E855BC">
        <w:rPr>
          <w:rFonts w:cs="Arial"/>
        </w:rPr>
        <w:t xml:space="preserve">There were no effects on fertility in rats administered </w:t>
      </w:r>
      <w:r w:rsidR="00511007">
        <w:rPr>
          <w:rFonts w:cs="Arial"/>
        </w:rPr>
        <w:t xml:space="preserve">with </w:t>
      </w:r>
      <w:r>
        <w:rPr>
          <w:rFonts w:cs="Arial"/>
        </w:rPr>
        <w:t xml:space="preserve">teduglutide at </w:t>
      </w:r>
      <w:r w:rsidR="00825957">
        <w:rPr>
          <w:rFonts w:cs="Arial"/>
        </w:rPr>
        <w:t xml:space="preserve">subcutaneous </w:t>
      </w:r>
      <w:r>
        <w:rPr>
          <w:rFonts w:cs="Arial"/>
        </w:rPr>
        <w:t xml:space="preserve">doses </w:t>
      </w:r>
      <w:r w:rsidR="00825957">
        <w:rPr>
          <w:rFonts w:cs="Arial"/>
        </w:rPr>
        <w:t>up to</w:t>
      </w:r>
      <w:r>
        <w:rPr>
          <w:rFonts w:cs="Arial"/>
        </w:rPr>
        <w:t xml:space="preserve"> 50 mg/kg/day</w:t>
      </w:r>
      <w:r w:rsidR="00825957">
        <w:rPr>
          <w:rFonts w:cs="Arial"/>
        </w:rPr>
        <w:t xml:space="preserve"> (about 180 times the recommended human dose of 0.05 mg/kg/day, based on body surface area)</w:t>
      </w:r>
      <w:r w:rsidR="0023367F">
        <w:rPr>
          <w:rFonts w:cs="Arial"/>
        </w:rPr>
        <w:t>.</w:t>
      </w:r>
    </w:p>
    <w:p w:rsidR="00F243A4" w:rsidRPr="0070788C" w:rsidRDefault="00F9490C" w:rsidP="00DC4117">
      <w:pPr>
        <w:pStyle w:val="Heading2"/>
      </w:pPr>
      <w:r w:rsidRPr="0070788C">
        <w:t xml:space="preserve">Use in Pregnancy </w:t>
      </w:r>
      <w:r w:rsidR="00AD06A1" w:rsidRPr="0070788C">
        <w:t>(Category B1)</w:t>
      </w:r>
    </w:p>
    <w:p w:rsidR="000432D2" w:rsidRDefault="00F9490C" w:rsidP="00B83AF5">
      <w:pPr>
        <w:widowControl/>
        <w:spacing w:after="0"/>
        <w:rPr>
          <w:rFonts w:eastAsia="Arial" w:cs="Arial"/>
          <w:bCs/>
          <w:lang w:val="en-AU"/>
        </w:rPr>
      </w:pPr>
      <w:r w:rsidRPr="007620CB">
        <w:rPr>
          <w:rFonts w:cs="Arial"/>
        </w:rPr>
        <w:t xml:space="preserve">There are no data from the use of </w:t>
      </w:r>
      <w:r w:rsidR="00B20359" w:rsidRPr="007620CB">
        <w:rPr>
          <w:rFonts w:cs="Arial"/>
        </w:rPr>
        <w:t xml:space="preserve">teduglutide </w:t>
      </w:r>
      <w:r w:rsidRPr="008B3A6C">
        <w:rPr>
          <w:rFonts w:cs="Arial"/>
        </w:rPr>
        <w:t>in pregnant women.</w:t>
      </w:r>
      <w:r w:rsidR="00F243A4" w:rsidRPr="008B3A6C">
        <w:rPr>
          <w:rFonts w:cs="Arial"/>
        </w:rPr>
        <w:t xml:space="preserve"> </w:t>
      </w:r>
      <w:r w:rsidRPr="008B3A6C">
        <w:rPr>
          <w:rFonts w:cs="Arial"/>
        </w:rPr>
        <w:t>In animal studies, no</w:t>
      </w:r>
      <w:r w:rsidR="00825957" w:rsidRPr="008B3A6C">
        <w:rPr>
          <w:rFonts w:cs="Arial"/>
        </w:rPr>
        <w:t xml:space="preserve"> adverse </w:t>
      </w:r>
      <w:r w:rsidRPr="00F2606D">
        <w:rPr>
          <w:rFonts w:cs="Arial"/>
        </w:rPr>
        <w:t xml:space="preserve">effects on </w:t>
      </w:r>
      <w:proofErr w:type="spellStart"/>
      <w:r w:rsidR="00825957" w:rsidRPr="00F2606D">
        <w:rPr>
          <w:rFonts w:cs="Arial"/>
        </w:rPr>
        <w:t>embryofetal</w:t>
      </w:r>
      <w:proofErr w:type="spellEnd"/>
      <w:r w:rsidR="00825957" w:rsidRPr="00F2606D">
        <w:rPr>
          <w:rFonts w:cs="Arial"/>
        </w:rPr>
        <w:t xml:space="preserve"> </w:t>
      </w:r>
      <w:r w:rsidRPr="00F2606D">
        <w:rPr>
          <w:rFonts w:cs="Arial"/>
        </w:rPr>
        <w:t>development were observed in rats</w:t>
      </w:r>
      <w:r w:rsidR="00825957" w:rsidRPr="00F2606D">
        <w:rPr>
          <w:rFonts w:cs="Arial"/>
        </w:rPr>
        <w:t xml:space="preserve"> or rabbits</w:t>
      </w:r>
      <w:r w:rsidRPr="00F2606D">
        <w:rPr>
          <w:rFonts w:cs="Arial"/>
        </w:rPr>
        <w:t xml:space="preserve"> given teduglutide </w:t>
      </w:r>
      <w:r w:rsidR="00825957" w:rsidRPr="00F2606D">
        <w:rPr>
          <w:rFonts w:cs="Arial"/>
        </w:rPr>
        <w:t xml:space="preserve">during the period of organogenesis </w:t>
      </w:r>
      <w:r w:rsidRPr="00F2606D">
        <w:rPr>
          <w:rFonts w:cs="Arial"/>
        </w:rPr>
        <w:t xml:space="preserve">at </w:t>
      </w:r>
      <w:r w:rsidR="00825957" w:rsidRPr="00F2606D">
        <w:rPr>
          <w:rFonts w:cs="Arial"/>
        </w:rPr>
        <w:t xml:space="preserve">subcutaneous </w:t>
      </w:r>
      <w:r w:rsidRPr="00F2606D">
        <w:rPr>
          <w:rFonts w:cs="Arial"/>
        </w:rPr>
        <w:t>doses up to 50 mg/kg/day (</w:t>
      </w:r>
      <w:r w:rsidR="00825957" w:rsidRPr="00F2606D">
        <w:rPr>
          <w:rFonts w:cs="Arial"/>
        </w:rPr>
        <w:t xml:space="preserve">plasma AUC exposure more than 400 </w:t>
      </w:r>
      <w:r w:rsidRPr="00F2606D">
        <w:rPr>
          <w:rFonts w:cs="Arial"/>
        </w:rPr>
        <w:t xml:space="preserve">times </w:t>
      </w:r>
      <w:r w:rsidR="00825957" w:rsidRPr="00F2606D">
        <w:rPr>
          <w:rFonts w:cs="Arial"/>
        </w:rPr>
        <w:t xml:space="preserve">clinical exposure at </w:t>
      </w:r>
      <w:r w:rsidRPr="00F2606D">
        <w:rPr>
          <w:rFonts w:cs="Arial"/>
        </w:rPr>
        <w:t>the recommended human dose of 0.05 mg/kg</w:t>
      </w:r>
      <w:r w:rsidR="00700DF8" w:rsidRPr="00F2606D">
        <w:rPr>
          <w:rFonts w:cs="Arial"/>
        </w:rPr>
        <w:t>/day</w:t>
      </w:r>
      <w:r w:rsidRPr="00F2606D">
        <w:rPr>
          <w:rFonts w:cs="Arial"/>
        </w:rPr>
        <w:t>)</w:t>
      </w:r>
      <w:r w:rsidRPr="001659D4">
        <w:rPr>
          <w:rFonts w:cs="Arial"/>
        </w:rPr>
        <w:t xml:space="preserve">. </w:t>
      </w:r>
      <w:r w:rsidR="0070788C" w:rsidRPr="001659D4">
        <w:rPr>
          <w:rFonts w:cs="Arial"/>
        </w:rPr>
        <w:t>There were n</w:t>
      </w:r>
      <w:r w:rsidR="00825957" w:rsidRPr="001659D4">
        <w:rPr>
          <w:rFonts w:cs="Arial"/>
        </w:rPr>
        <w:t xml:space="preserve">o </w:t>
      </w:r>
      <w:r w:rsidRPr="001659D4">
        <w:rPr>
          <w:rFonts w:cs="Arial"/>
        </w:rPr>
        <w:t>adverse effect</w:t>
      </w:r>
      <w:r w:rsidR="00825957" w:rsidRPr="001659D4">
        <w:rPr>
          <w:rFonts w:cs="Arial"/>
        </w:rPr>
        <w:t>s</w:t>
      </w:r>
      <w:r w:rsidRPr="001659D4">
        <w:rPr>
          <w:rFonts w:cs="Arial"/>
        </w:rPr>
        <w:t xml:space="preserve"> on pre- and postnatal development </w:t>
      </w:r>
      <w:r w:rsidR="00825957" w:rsidRPr="001659D4">
        <w:rPr>
          <w:rFonts w:cs="Arial"/>
        </w:rPr>
        <w:t xml:space="preserve">in rats given teduglutide from early gestation to weaning </w:t>
      </w:r>
      <w:r w:rsidRPr="001659D4">
        <w:rPr>
          <w:rFonts w:cs="Arial"/>
        </w:rPr>
        <w:t xml:space="preserve">at subcutaneous doses up to 50 mg/kg/day (about </w:t>
      </w:r>
      <w:r w:rsidR="00825957" w:rsidRPr="001659D4">
        <w:rPr>
          <w:rFonts w:cs="Arial"/>
        </w:rPr>
        <w:t>180</w:t>
      </w:r>
      <w:r w:rsidRPr="001659D4">
        <w:rPr>
          <w:rFonts w:cs="Arial"/>
        </w:rPr>
        <w:t xml:space="preserve"> times the recommended human dose of 0.05 mg/kg</w:t>
      </w:r>
      <w:r w:rsidR="00700DF8" w:rsidRPr="001659D4">
        <w:rPr>
          <w:rFonts w:cs="Arial"/>
        </w:rPr>
        <w:t>/day</w:t>
      </w:r>
      <w:r w:rsidR="00825957" w:rsidRPr="001659D4">
        <w:rPr>
          <w:rFonts w:cs="Arial"/>
        </w:rPr>
        <w:t>, based on body surface area</w:t>
      </w:r>
      <w:r w:rsidRPr="001659D4">
        <w:rPr>
          <w:rFonts w:cs="Arial"/>
        </w:rPr>
        <w:t>).</w:t>
      </w:r>
      <w:r w:rsidR="00825957" w:rsidRPr="001659D4">
        <w:rPr>
          <w:rFonts w:cs="Arial"/>
        </w:rPr>
        <w:t xml:space="preserve"> </w:t>
      </w:r>
      <w:r w:rsidR="00B83AF5" w:rsidRPr="001659D4">
        <w:rPr>
          <w:rFonts w:cs="Arial"/>
        </w:rPr>
        <w:t>Pharmacokinetic</w:t>
      </w:r>
      <w:r w:rsidR="00825957" w:rsidRPr="001659D4">
        <w:rPr>
          <w:rFonts w:cs="Arial"/>
        </w:rPr>
        <w:t xml:space="preserve"> data demonstrated that the teduglutide exposure of fetal rabbits and suckling rat pups was low. </w:t>
      </w:r>
      <w:r w:rsidRPr="001659D4">
        <w:rPr>
          <w:rFonts w:cs="Arial"/>
        </w:rPr>
        <w:t xml:space="preserve">Because animal reproductive studies are not always predictive of human response, </w:t>
      </w:r>
      <w:r w:rsidR="00B20359" w:rsidRPr="001659D4">
        <w:rPr>
          <w:rFonts w:cs="Arial"/>
        </w:rPr>
        <w:t>REVESTIVE</w:t>
      </w:r>
      <w:r w:rsidRPr="001659D4">
        <w:rPr>
          <w:rFonts w:cs="Arial"/>
        </w:rPr>
        <w:t xml:space="preserve"> should be used during pregnancy only if clearly needed.</w:t>
      </w:r>
    </w:p>
    <w:p w:rsidR="000432D2" w:rsidRDefault="00F9490C" w:rsidP="00DC4117">
      <w:pPr>
        <w:pStyle w:val="Heading2"/>
      </w:pPr>
      <w:r w:rsidRPr="0070788C">
        <w:t>Use in Lactation</w:t>
      </w:r>
    </w:p>
    <w:p w:rsidR="000432D2" w:rsidRDefault="00F9490C" w:rsidP="00387DE1">
      <w:pPr>
        <w:pStyle w:val="BodyText"/>
        <w:keepNext/>
        <w:keepLines/>
        <w:spacing w:after="0"/>
        <w:jc w:val="left"/>
        <w:rPr>
          <w:rFonts w:eastAsia="Arial" w:cs="Arial"/>
          <w:bCs/>
          <w:lang w:val="en-AU"/>
        </w:rPr>
      </w:pPr>
      <w:r>
        <w:rPr>
          <w:rFonts w:cs="Arial"/>
          <w:szCs w:val="22"/>
        </w:rPr>
        <w:t xml:space="preserve">It is not known whether teduglutide is </w:t>
      </w:r>
      <w:r w:rsidR="00D951D9">
        <w:rPr>
          <w:rFonts w:cs="Arial"/>
          <w:szCs w:val="22"/>
        </w:rPr>
        <w:t xml:space="preserve">excreted </w:t>
      </w:r>
      <w:r>
        <w:rPr>
          <w:rFonts w:cs="Arial"/>
          <w:szCs w:val="22"/>
        </w:rPr>
        <w:t xml:space="preserve">in human milk. </w:t>
      </w:r>
      <w:r>
        <w:rPr>
          <w:rFonts w:cs="Arial"/>
        </w:rPr>
        <w:t xml:space="preserve">Teduglutide </w:t>
      </w:r>
      <w:r w:rsidR="00D951D9">
        <w:rPr>
          <w:rFonts w:cs="Arial"/>
        </w:rPr>
        <w:t>was</w:t>
      </w:r>
      <w:r>
        <w:rPr>
          <w:rFonts w:cs="Arial"/>
        </w:rPr>
        <w:t xml:space="preserve"> excreted in the </w:t>
      </w:r>
      <w:proofErr w:type="spellStart"/>
      <w:r w:rsidR="00D951D9">
        <w:rPr>
          <w:rFonts w:cs="Arial"/>
        </w:rPr>
        <w:t>noncolostral</w:t>
      </w:r>
      <w:proofErr w:type="spellEnd"/>
      <w:r w:rsidR="00D951D9">
        <w:rPr>
          <w:rFonts w:cs="Arial"/>
        </w:rPr>
        <w:t xml:space="preserve"> </w:t>
      </w:r>
      <w:r>
        <w:rPr>
          <w:rFonts w:cs="Arial"/>
        </w:rPr>
        <w:t xml:space="preserve">milk of lactating rats </w:t>
      </w:r>
      <w:r w:rsidR="00D951D9">
        <w:rPr>
          <w:rFonts w:cs="Arial"/>
        </w:rPr>
        <w:t>(</w:t>
      </w:r>
      <w:r>
        <w:rPr>
          <w:rFonts w:cs="Arial"/>
        </w:rPr>
        <w:t>highest concentration 2.9% of the plasma concentration</w:t>
      </w:r>
      <w:r w:rsidR="00D951D9">
        <w:rPr>
          <w:rFonts w:cs="Arial"/>
        </w:rPr>
        <w:t>)</w:t>
      </w:r>
      <w:r>
        <w:rPr>
          <w:rFonts w:cs="Arial"/>
        </w:rPr>
        <w:t xml:space="preserve"> following a single subcutaneous injection of 25 mg/kg</w:t>
      </w:r>
      <w:r w:rsidR="00D951D9">
        <w:rPr>
          <w:rFonts w:cs="Arial"/>
        </w:rPr>
        <w:t xml:space="preserve"> (about 90 times the recommended human dose, based on body surface area)</w:t>
      </w:r>
      <w:r>
        <w:rPr>
          <w:rFonts w:cs="Arial"/>
        </w:rPr>
        <w:t xml:space="preserve">. Because many drugs are excreted in human milk, because of the potential for serious adverse reactions to nursing infants from teduglutide and because of the potential for tumorigenicity shown for teduglutide in mice and rats, a decision should be made whether to discontinue nursing or to discontinue the drug, taking into account the importance of the drug to the mother.  </w:t>
      </w:r>
    </w:p>
    <w:p w:rsidR="000432D2" w:rsidRDefault="00DC4117" w:rsidP="00DC4117">
      <w:pPr>
        <w:pStyle w:val="Heading2"/>
      </w:pPr>
      <w:r>
        <w:t>Paediatric Use</w:t>
      </w:r>
    </w:p>
    <w:p w:rsidR="000432D2" w:rsidRDefault="00F9490C" w:rsidP="004C1849">
      <w:pPr>
        <w:widowControl/>
        <w:autoSpaceDE w:val="0"/>
        <w:autoSpaceDN w:val="0"/>
        <w:adjustRightInd w:val="0"/>
        <w:spacing w:after="0"/>
        <w:rPr>
          <w:rFonts w:cs="Arial"/>
        </w:rPr>
      </w:pPr>
      <w:r>
        <w:rPr>
          <w:rFonts w:cs="Arial"/>
        </w:rPr>
        <w:t xml:space="preserve">The safety and efficacy of teduglutide in the paediatric population has not been established.  </w:t>
      </w:r>
    </w:p>
    <w:p w:rsidR="000432D2" w:rsidRDefault="00F9490C" w:rsidP="00DC4117">
      <w:pPr>
        <w:pStyle w:val="Heading2"/>
      </w:pPr>
      <w:r>
        <w:t>Use in the Elderly</w:t>
      </w:r>
    </w:p>
    <w:p w:rsidR="000432D2" w:rsidRDefault="00F9490C" w:rsidP="004C1849">
      <w:pPr>
        <w:widowControl/>
        <w:autoSpaceDE w:val="0"/>
        <w:autoSpaceDN w:val="0"/>
        <w:adjustRightInd w:val="0"/>
        <w:spacing w:after="0"/>
        <w:rPr>
          <w:rFonts w:cs="Arial"/>
        </w:rPr>
      </w:pPr>
      <w:r>
        <w:rPr>
          <w:rFonts w:cs="Arial"/>
        </w:rPr>
        <w:t>No differences were observed between healthy subjects younger than 65 years and those older than 65 years. Experience in subjects 75 years and above is limited.</w:t>
      </w:r>
    </w:p>
    <w:p w:rsidR="000432D2" w:rsidRDefault="00F9490C" w:rsidP="00DC4117">
      <w:pPr>
        <w:pStyle w:val="Heading2"/>
      </w:pPr>
      <w:r w:rsidRPr="0070788C">
        <w:t>Genotoxicity</w:t>
      </w:r>
    </w:p>
    <w:p w:rsidR="000432D2" w:rsidRDefault="00F9490C" w:rsidP="004C1849">
      <w:pPr>
        <w:pStyle w:val="BodyText"/>
        <w:keepNext/>
        <w:keepLines/>
        <w:spacing w:after="0"/>
        <w:jc w:val="left"/>
        <w:rPr>
          <w:rFonts w:cs="Arial"/>
          <w:szCs w:val="22"/>
        </w:rPr>
      </w:pPr>
      <w:proofErr w:type="spellStart"/>
      <w:r>
        <w:rPr>
          <w:rFonts w:cs="Arial"/>
          <w:szCs w:val="22"/>
        </w:rPr>
        <w:lastRenderedPageBreak/>
        <w:t>Teduglutide</w:t>
      </w:r>
      <w:proofErr w:type="spellEnd"/>
      <w:r>
        <w:rPr>
          <w:rFonts w:cs="Arial"/>
          <w:szCs w:val="22"/>
        </w:rPr>
        <w:t xml:space="preserve"> was negative in the Ames test, chromosomal aberration test in Chinese hamster ovary cells, and in an </w:t>
      </w:r>
      <w:r>
        <w:rPr>
          <w:rFonts w:cs="Arial"/>
          <w:i/>
          <w:szCs w:val="22"/>
        </w:rPr>
        <w:t>in vivo</w:t>
      </w:r>
      <w:r>
        <w:rPr>
          <w:rFonts w:cs="Arial"/>
          <w:szCs w:val="22"/>
        </w:rPr>
        <w:t xml:space="preserve"> mouse micronucleus assay.</w:t>
      </w:r>
      <w:r w:rsidR="00D951D9">
        <w:rPr>
          <w:rFonts w:cs="Arial"/>
          <w:szCs w:val="22"/>
        </w:rPr>
        <w:t xml:space="preserve"> The genotoxic potential of teduglutide is considered to be low.</w:t>
      </w:r>
    </w:p>
    <w:p w:rsidR="000432D2" w:rsidRDefault="00F9490C" w:rsidP="00DC4117">
      <w:pPr>
        <w:pStyle w:val="Heading2"/>
      </w:pPr>
      <w:r w:rsidRPr="0070788C">
        <w:t>Carcinogenicity</w:t>
      </w:r>
    </w:p>
    <w:p w:rsidR="0023367F" w:rsidRDefault="00AD45FD" w:rsidP="004C1849">
      <w:pPr>
        <w:widowControl/>
        <w:autoSpaceDE w:val="0"/>
        <w:autoSpaceDN w:val="0"/>
        <w:adjustRightInd w:val="0"/>
        <w:spacing w:after="0"/>
        <w:rPr>
          <w:rFonts w:eastAsia="Arial" w:cs="Arial"/>
          <w:bCs/>
          <w:lang w:val="en-AU"/>
        </w:rPr>
      </w:pPr>
      <w:r>
        <w:rPr>
          <w:rFonts w:eastAsia="Arial" w:cs="Arial"/>
          <w:bCs/>
          <w:lang w:val="en-AU"/>
        </w:rPr>
        <w:t>In a 2-year rat carcinogen</w:t>
      </w:r>
      <w:r w:rsidR="00C15B8D">
        <w:rPr>
          <w:rFonts w:eastAsia="Arial" w:cs="Arial"/>
          <w:bCs/>
          <w:lang w:val="en-AU"/>
        </w:rPr>
        <w:t>i</w:t>
      </w:r>
      <w:r>
        <w:rPr>
          <w:rFonts w:eastAsia="Arial" w:cs="Arial"/>
          <w:bCs/>
          <w:lang w:val="en-AU"/>
        </w:rPr>
        <w:t>city study with subcutaneous doses of 3, 10 and 35 mg/kg/day, treatment rel</w:t>
      </w:r>
      <w:r w:rsidR="00C15B8D">
        <w:rPr>
          <w:rFonts w:eastAsia="Arial" w:cs="Arial"/>
          <w:bCs/>
          <w:lang w:val="en-AU"/>
        </w:rPr>
        <w:t>at</w:t>
      </w:r>
      <w:r>
        <w:rPr>
          <w:rFonts w:eastAsia="Arial" w:cs="Arial"/>
          <w:bCs/>
          <w:lang w:val="en-AU"/>
        </w:rPr>
        <w:t>ed benign neoplasm</w:t>
      </w:r>
      <w:r w:rsidR="00C15B8D">
        <w:rPr>
          <w:rFonts w:eastAsia="Arial" w:cs="Arial"/>
          <w:bCs/>
          <w:lang w:val="en-AU"/>
        </w:rPr>
        <w:t>s</w:t>
      </w:r>
      <w:r>
        <w:rPr>
          <w:rFonts w:eastAsia="Arial" w:cs="Arial"/>
          <w:bCs/>
          <w:lang w:val="en-AU"/>
        </w:rPr>
        <w:t xml:space="preserve"> included tumours of the bile duct epithelium in 1 out of 44 males at 10 mg/kg and 4 out of 48 males </w:t>
      </w:r>
      <w:r w:rsidR="000D60E4">
        <w:rPr>
          <w:rFonts w:eastAsia="Arial" w:cs="Arial"/>
          <w:bCs/>
          <w:lang w:val="en-AU"/>
        </w:rPr>
        <w:t xml:space="preserve">and 1 out of 48 females </w:t>
      </w:r>
      <w:r>
        <w:rPr>
          <w:rFonts w:eastAsia="Arial" w:cs="Arial"/>
          <w:bCs/>
          <w:lang w:val="en-AU"/>
        </w:rPr>
        <w:t xml:space="preserve">at 35 mg/kg, associated with respective exposures </w:t>
      </w:r>
      <w:r w:rsidR="00C15B8D">
        <w:rPr>
          <w:rFonts w:eastAsia="Arial" w:cs="Arial"/>
          <w:bCs/>
          <w:lang w:val="en-AU"/>
        </w:rPr>
        <w:t>(</w:t>
      </w:r>
      <w:r>
        <w:rPr>
          <w:rFonts w:eastAsia="Arial" w:cs="Arial"/>
          <w:bCs/>
          <w:lang w:val="en-AU"/>
        </w:rPr>
        <w:t>plasma AUC) approximately 32-fold and 155-fold clinical exposure at the recommended dose. Adenomas of the jejunal mucosa were observed in 5 out of 50 males at 155-fold clinical exposure, and jejunal adenocarcinoma and jejunal adenoma were observed in 1 out of 50 males at 3 mg/kg (approximately 10-fold clinical exposure). These tumo</w:t>
      </w:r>
      <w:r w:rsidR="00C15B8D">
        <w:rPr>
          <w:rFonts w:eastAsia="Arial" w:cs="Arial"/>
          <w:bCs/>
          <w:lang w:val="en-AU"/>
        </w:rPr>
        <w:t>u</w:t>
      </w:r>
      <w:r>
        <w:rPr>
          <w:rFonts w:eastAsia="Arial" w:cs="Arial"/>
          <w:bCs/>
          <w:lang w:val="en-AU"/>
        </w:rPr>
        <w:t>rs were not observed in females at exposures up to 97-fold clinical exposure</w:t>
      </w:r>
      <w:r w:rsidR="0023367F">
        <w:rPr>
          <w:rFonts w:eastAsia="Arial" w:cs="Arial"/>
          <w:bCs/>
          <w:lang w:val="en-AU"/>
        </w:rPr>
        <w:t>.</w:t>
      </w:r>
    </w:p>
    <w:p w:rsidR="00AD45FD" w:rsidRDefault="00AD45FD" w:rsidP="004C1849">
      <w:pPr>
        <w:widowControl/>
        <w:autoSpaceDE w:val="0"/>
        <w:autoSpaceDN w:val="0"/>
        <w:adjustRightInd w:val="0"/>
        <w:spacing w:after="0"/>
        <w:rPr>
          <w:rFonts w:eastAsia="Arial" w:cs="Arial"/>
          <w:bCs/>
          <w:lang w:val="en-AU"/>
        </w:rPr>
      </w:pPr>
      <w:r>
        <w:rPr>
          <w:rFonts w:eastAsia="Arial" w:cs="Arial"/>
          <w:bCs/>
          <w:lang w:val="en-AU"/>
        </w:rPr>
        <w:t>In a 2-year mouse subcutaneous carcinogenicity study, treatment related benign neoplasms of the gallbladder developed in 5 out of 7</w:t>
      </w:r>
      <w:r w:rsidR="000D60E4">
        <w:rPr>
          <w:rFonts w:eastAsia="Arial" w:cs="Arial"/>
          <w:bCs/>
          <w:lang w:val="en-AU"/>
        </w:rPr>
        <w:t>1</w:t>
      </w:r>
      <w:r>
        <w:rPr>
          <w:rFonts w:eastAsia="Arial" w:cs="Arial"/>
          <w:bCs/>
          <w:lang w:val="en-AU"/>
        </w:rPr>
        <w:t>, 2 out of 70 and 6 out of 70 males dosed at 1, 3.5 and 12.5 mg/kg/day respectively, associated with respective exposures (plasm</w:t>
      </w:r>
      <w:r w:rsidR="003065D9">
        <w:rPr>
          <w:rFonts w:eastAsia="Arial" w:cs="Arial"/>
          <w:bCs/>
          <w:lang w:val="en-AU"/>
        </w:rPr>
        <w:t>a</w:t>
      </w:r>
      <w:r>
        <w:rPr>
          <w:rFonts w:eastAsia="Arial" w:cs="Arial"/>
          <w:bCs/>
          <w:lang w:val="en-AU"/>
        </w:rPr>
        <w:t xml:space="preserve"> AUC) appro</w:t>
      </w:r>
      <w:r w:rsidR="003065D9">
        <w:rPr>
          <w:rFonts w:eastAsia="Arial" w:cs="Arial"/>
          <w:bCs/>
          <w:lang w:val="en-AU"/>
        </w:rPr>
        <w:t>x</w:t>
      </w:r>
      <w:r>
        <w:rPr>
          <w:rFonts w:eastAsia="Arial" w:cs="Arial"/>
          <w:bCs/>
          <w:lang w:val="en-AU"/>
        </w:rPr>
        <w:t>imately 1</w:t>
      </w:r>
      <w:r w:rsidR="000D60E4">
        <w:rPr>
          <w:rFonts w:eastAsia="Arial" w:cs="Arial"/>
          <w:bCs/>
          <w:lang w:val="en-AU"/>
        </w:rPr>
        <w:t>2</w:t>
      </w:r>
      <w:r>
        <w:rPr>
          <w:rFonts w:eastAsia="Arial" w:cs="Arial"/>
          <w:bCs/>
          <w:lang w:val="en-AU"/>
        </w:rPr>
        <w:t xml:space="preserve">-, </w:t>
      </w:r>
      <w:r w:rsidR="000D60E4">
        <w:rPr>
          <w:rFonts w:eastAsia="Arial" w:cs="Arial"/>
          <w:bCs/>
          <w:lang w:val="en-AU"/>
        </w:rPr>
        <w:t>45</w:t>
      </w:r>
      <w:r>
        <w:rPr>
          <w:rFonts w:eastAsia="Arial" w:cs="Arial"/>
          <w:bCs/>
          <w:lang w:val="en-AU"/>
        </w:rPr>
        <w:t>- and 18</w:t>
      </w:r>
      <w:r w:rsidR="000D60E4">
        <w:rPr>
          <w:rFonts w:eastAsia="Arial" w:cs="Arial"/>
          <w:bCs/>
          <w:lang w:val="en-AU"/>
        </w:rPr>
        <w:t>6</w:t>
      </w:r>
      <w:r>
        <w:rPr>
          <w:rFonts w:eastAsia="Arial" w:cs="Arial"/>
          <w:bCs/>
          <w:lang w:val="en-AU"/>
        </w:rPr>
        <w:t>-fold clinical exposure at the recommended dose. Four out of 6</w:t>
      </w:r>
      <w:r w:rsidR="000D60E4">
        <w:rPr>
          <w:rFonts w:eastAsia="Arial" w:cs="Arial"/>
          <w:bCs/>
          <w:lang w:val="en-AU"/>
        </w:rPr>
        <w:t>8</w:t>
      </w:r>
      <w:r>
        <w:rPr>
          <w:rFonts w:eastAsia="Arial" w:cs="Arial"/>
          <w:bCs/>
          <w:lang w:val="en-AU"/>
        </w:rPr>
        <w:t xml:space="preserve"> males </w:t>
      </w:r>
      <w:r w:rsidR="000D60E4">
        <w:rPr>
          <w:rFonts w:eastAsia="Arial" w:cs="Arial"/>
          <w:bCs/>
          <w:lang w:val="en-AU"/>
        </w:rPr>
        <w:t xml:space="preserve">and 1 out of 69 females </w:t>
      </w:r>
      <w:r>
        <w:rPr>
          <w:rFonts w:eastAsia="Arial" w:cs="Arial"/>
          <w:bCs/>
          <w:lang w:val="en-AU"/>
        </w:rPr>
        <w:t>dosed at 12.5 mg/kg developed a jejunal adenocarcinoma.</w:t>
      </w:r>
    </w:p>
    <w:p w:rsidR="0023367F" w:rsidRDefault="00AD45FD" w:rsidP="004C1849">
      <w:pPr>
        <w:widowControl/>
        <w:autoSpaceDE w:val="0"/>
        <w:autoSpaceDN w:val="0"/>
        <w:adjustRightInd w:val="0"/>
        <w:spacing w:after="0"/>
        <w:rPr>
          <w:rFonts w:eastAsia="Arial" w:cs="Arial"/>
          <w:bCs/>
          <w:lang w:val="en-AU"/>
        </w:rPr>
      </w:pPr>
      <w:r>
        <w:rPr>
          <w:rFonts w:eastAsia="Arial" w:cs="Arial"/>
          <w:bCs/>
          <w:lang w:val="en-AU"/>
        </w:rPr>
        <w:t>There is limited evidence that sub-therapeutic doses of teduglutide may accelerate tumour growth in rodent models of chemically-induced intestinal neoplasia. The human clinical relevance of roden</w:t>
      </w:r>
      <w:r w:rsidR="003065D9">
        <w:rPr>
          <w:rFonts w:eastAsia="Arial" w:cs="Arial"/>
          <w:bCs/>
          <w:lang w:val="en-AU"/>
        </w:rPr>
        <w:t>t</w:t>
      </w:r>
      <w:r>
        <w:rPr>
          <w:rFonts w:eastAsia="Arial" w:cs="Arial"/>
          <w:bCs/>
          <w:lang w:val="en-AU"/>
        </w:rPr>
        <w:t xml:space="preserve"> models of chemically-induced intestinal neopla</w:t>
      </w:r>
      <w:r w:rsidR="003065D9">
        <w:rPr>
          <w:rFonts w:eastAsia="Arial" w:cs="Arial"/>
          <w:bCs/>
          <w:lang w:val="en-AU"/>
        </w:rPr>
        <w:t>sia</w:t>
      </w:r>
      <w:r>
        <w:rPr>
          <w:rFonts w:eastAsia="Arial" w:cs="Arial"/>
          <w:bCs/>
          <w:lang w:val="en-AU"/>
        </w:rPr>
        <w:t xml:space="preserve"> is uncertain</w:t>
      </w:r>
      <w:r w:rsidR="0023367F">
        <w:rPr>
          <w:rFonts w:eastAsia="Arial" w:cs="Arial"/>
          <w:bCs/>
          <w:lang w:val="en-AU"/>
        </w:rPr>
        <w:t>.</w:t>
      </w:r>
    </w:p>
    <w:p w:rsidR="000432D2" w:rsidRDefault="00F9490C" w:rsidP="00DC4117">
      <w:pPr>
        <w:pStyle w:val="Heading2"/>
      </w:pPr>
      <w:r>
        <w:t>Effect on Ability to Drive and Use Machines</w:t>
      </w:r>
    </w:p>
    <w:p w:rsidR="000432D2" w:rsidRDefault="00F9490C" w:rsidP="004C1849">
      <w:pPr>
        <w:spacing w:after="0"/>
        <w:ind w:right="-14"/>
        <w:rPr>
          <w:rFonts w:eastAsia="Arial" w:cs="Arial"/>
          <w:b/>
          <w:bCs/>
        </w:rPr>
      </w:pPr>
      <w:proofErr w:type="spellStart"/>
      <w:r>
        <w:rPr>
          <w:rFonts w:cs="Arial"/>
        </w:rPr>
        <w:t>Teduglutide</w:t>
      </w:r>
      <w:proofErr w:type="spellEnd"/>
      <w:r>
        <w:rPr>
          <w:rFonts w:cs="Arial"/>
        </w:rPr>
        <w:t xml:space="preserve"> has minor influence on the ability to drive and use machines. However, cases of syncope have been reported in clinical studies. Such events might impact the ability to drive and use machines.</w:t>
      </w:r>
    </w:p>
    <w:p w:rsidR="000432D2" w:rsidRDefault="00F9490C" w:rsidP="00DC4117">
      <w:pPr>
        <w:pStyle w:val="Heading1"/>
      </w:pPr>
      <w:r w:rsidRPr="000D60E4">
        <w:t>INTERACTIONS WITH OTHER MEDICINES</w:t>
      </w:r>
    </w:p>
    <w:p w:rsidR="000432D2" w:rsidRDefault="00F9490C" w:rsidP="00DC4117">
      <w:r>
        <w:t xml:space="preserve">Based upon the </w:t>
      </w:r>
      <w:proofErr w:type="spellStart"/>
      <w:r w:rsidR="00E30A32">
        <w:t>pharmacodynamic</w:t>
      </w:r>
      <w:proofErr w:type="spellEnd"/>
      <w:r>
        <w:t xml:space="preserve"> effect</w:t>
      </w:r>
      <w:r w:rsidR="00170961">
        <w:t>s</w:t>
      </w:r>
      <w:r>
        <w:t xml:space="preserve"> of teduglutide, there is a potential for increased absorption of concomitant oral medications, which should be considered if these drugs require titration or ha</w:t>
      </w:r>
      <w:r w:rsidR="00DC4117">
        <w:t>ve a narrow therapeutic index.</w:t>
      </w:r>
    </w:p>
    <w:p w:rsidR="000432D2" w:rsidRDefault="00F9490C" w:rsidP="004C1849">
      <w:pPr>
        <w:spacing w:after="0"/>
        <w:ind w:right="-29"/>
        <w:rPr>
          <w:rFonts w:eastAsia="Arial" w:cs="Arial"/>
          <w:b/>
          <w:bCs/>
        </w:rPr>
      </w:pPr>
      <w:r>
        <w:rPr>
          <w:rFonts w:cs="Arial"/>
        </w:rPr>
        <w:t xml:space="preserve">Clinical interaction studies were not performed. No inhibition or induction of the cytochrome P450 enzyme system </w:t>
      </w:r>
      <w:r w:rsidR="003065D9">
        <w:rPr>
          <w:rFonts w:cs="Arial"/>
        </w:rPr>
        <w:t>(CYP1A2, CYP2A6, CYP2B6, CYP2C8, CYP2C9, CYP2C19, CYP2D6, CYP2E1, and CYP3A4 [10HMDZ and 6</w:t>
      </w:r>
      <w:r w:rsidR="003065D9">
        <w:rPr>
          <w:rFonts w:cs="Arial"/>
        </w:rPr>
        <w:sym w:font="Symbol" w:char="F062"/>
      </w:r>
      <w:r w:rsidR="003065D9">
        <w:rPr>
          <w:rFonts w:cs="Arial"/>
        </w:rPr>
        <w:t xml:space="preserve">T]) </w:t>
      </w:r>
      <w:r>
        <w:rPr>
          <w:rFonts w:cs="Arial"/>
        </w:rPr>
        <w:t xml:space="preserve">has been observed based on </w:t>
      </w:r>
      <w:r>
        <w:rPr>
          <w:rFonts w:cs="Arial"/>
          <w:i/>
        </w:rPr>
        <w:t>in vitro</w:t>
      </w:r>
      <w:r>
        <w:rPr>
          <w:rFonts w:cs="Arial"/>
        </w:rPr>
        <w:t xml:space="preserve"> studies</w:t>
      </w:r>
      <w:r w:rsidR="00511007">
        <w:rPr>
          <w:rFonts w:cs="Arial"/>
        </w:rPr>
        <w:t>,</w:t>
      </w:r>
      <w:r>
        <w:rPr>
          <w:rFonts w:cs="Arial"/>
        </w:rPr>
        <w:t xml:space="preserve"> although the relevance of </w:t>
      </w:r>
      <w:r>
        <w:rPr>
          <w:rFonts w:cs="Arial"/>
          <w:i/>
        </w:rPr>
        <w:t>in vitro</w:t>
      </w:r>
      <w:r>
        <w:rPr>
          <w:rFonts w:cs="Arial"/>
        </w:rPr>
        <w:t xml:space="preserve"> studies to an </w:t>
      </w:r>
      <w:r>
        <w:rPr>
          <w:rFonts w:cs="Arial"/>
          <w:i/>
        </w:rPr>
        <w:t xml:space="preserve">in vivo </w:t>
      </w:r>
      <w:r>
        <w:rPr>
          <w:rFonts w:cs="Arial"/>
        </w:rPr>
        <w:t>setting is unknown.</w:t>
      </w:r>
      <w:r w:rsidR="003065D9">
        <w:rPr>
          <w:rFonts w:cs="Arial"/>
        </w:rPr>
        <w:t xml:space="preserve"> Teduglutide treatment is unlikely to result in P-glycoprotein-mediated drug interactions.</w:t>
      </w:r>
    </w:p>
    <w:p w:rsidR="000432D2" w:rsidRDefault="00F9490C" w:rsidP="00DC4117">
      <w:pPr>
        <w:pStyle w:val="Heading1"/>
      </w:pPr>
      <w:r>
        <w:t>ADV</w:t>
      </w:r>
      <w:r>
        <w:rPr>
          <w:spacing w:val="1"/>
        </w:rPr>
        <w:t>E</w:t>
      </w:r>
      <w:r>
        <w:t>RSE</w:t>
      </w:r>
      <w:r>
        <w:rPr>
          <w:spacing w:val="-10"/>
        </w:rPr>
        <w:t xml:space="preserve"> </w:t>
      </w:r>
      <w:r>
        <w:t>EFFECTS</w:t>
      </w:r>
    </w:p>
    <w:p w:rsidR="0023367F" w:rsidRDefault="00F9490C" w:rsidP="0073064E">
      <w:pPr>
        <w:widowControl/>
        <w:autoSpaceDE w:val="0"/>
        <w:autoSpaceDN w:val="0"/>
        <w:adjustRightInd w:val="0"/>
        <w:spacing w:after="0"/>
        <w:rPr>
          <w:rFonts w:cs="Arial"/>
        </w:rPr>
      </w:pPr>
      <w:r w:rsidRPr="005F405D">
        <w:rPr>
          <w:rFonts w:cs="Arial"/>
        </w:rPr>
        <w:t xml:space="preserve">Adverse </w:t>
      </w:r>
      <w:r w:rsidR="004D64DC" w:rsidRPr="005F405D">
        <w:rPr>
          <w:rFonts w:cs="Arial"/>
        </w:rPr>
        <w:t xml:space="preserve">events </w:t>
      </w:r>
      <w:r w:rsidR="00FE1779" w:rsidRPr="005F405D">
        <w:rPr>
          <w:rFonts w:cs="Arial"/>
        </w:rPr>
        <w:t xml:space="preserve">in REVESTIVE-treated patients with SBS participating in 2 </w:t>
      </w:r>
      <w:proofErr w:type="spellStart"/>
      <w:r w:rsidR="00FE1779" w:rsidRPr="005F405D">
        <w:rPr>
          <w:rFonts w:cs="Arial"/>
        </w:rPr>
        <w:t>randomised</w:t>
      </w:r>
      <w:proofErr w:type="spellEnd"/>
      <w:r w:rsidR="00FE1779" w:rsidRPr="005F405D">
        <w:rPr>
          <w:rFonts w:cs="Arial"/>
        </w:rPr>
        <w:t xml:space="preserve">, placebo-controlled, 24-week, double-blind clinical studies (Studies CL0600-020 and CL0600-004, involving in total 109 patients treated with REVESTIVE) are </w:t>
      </w:r>
      <w:r w:rsidR="00511007">
        <w:rPr>
          <w:rFonts w:cs="Arial"/>
        </w:rPr>
        <w:t xml:space="preserve">listed </w:t>
      </w:r>
      <w:r w:rsidR="004D64DC" w:rsidRPr="005F405D">
        <w:rPr>
          <w:rFonts w:cs="Arial"/>
        </w:rPr>
        <w:t xml:space="preserve">in Table </w:t>
      </w:r>
      <w:r w:rsidR="00012B8E">
        <w:rPr>
          <w:rFonts w:cs="Arial"/>
        </w:rPr>
        <w:t xml:space="preserve">1 </w:t>
      </w:r>
      <w:r w:rsidR="00FE1779" w:rsidRPr="005F405D">
        <w:rPr>
          <w:rFonts w:cs="Arial"/>
        </w:rPr>
        <w:t xml:space="preserve">below. The most commonly reported adverse </w:t>
      </w:r>
      <w:r w:rsidR="004D64DC" w:rsidRPr="005F405D">
        <w:rPr>
          <w:rFonts w:cs="Arial"/>
        </w:rPr>
        <w:t xml:space="preserve">events </w:t>
      </w:r>
      <w:r w:rsidR="00FE1779" w:rsidRPr="005F405D">
        <w:rPr>
          <w:rFonts w:cs="Arial"/>
        </w:rPr>
        <w:t xml:space="preserve">were abdominal </w:t>
      </w:r>
      <w:r w:rsidR="00E352F7" w:rsidRPr="005F405D">
        <w:rPr>
          <w:rFonts w:cs="Arial"/>
        </w:rPr>
        <w:t xml:space="preserve">pain </w:t>
      </w:r>
      <w:r w:rsidR="004E7A53" w:rsidRPr="005F405D">
        <w:rPr>
          <w:rFonts w:cs="Arial"/>
        </w:rPr>
        <w:t>(</w:t>
      </w:r>
      <w:r w:rsidR="00842D11" w:rsidRPr="005F405D">
        <w:rPr>
          <w:rFonts w:cs="Arial"/>
        </w:rPr>
        <w:t>28</w:t>
      </w:r>
      <w:r w:rsidR="004E7A53" w:rsidRPr="005F405D">
        <w:rPr>
          <w:rFonts w:cs="Arial"/>
        </w:rPr>
        <w:t xml:space="preserve">%) </w:t>
      </w:r>
      <w:r w:rsidR="00E352F7" w:rsidRPr="005F405D">
        <w:rPr>
          <w:rFonts w:cs="Arial"/>
        </w:rPr>
        <w:t xml:space="preserve">and </w:t>
      </w:r>
      <w:r w:rsidR="004E7A53" w:rsidRPr="005F405D">
        <w:rPr>
          <w:rFonts w:cs="Arial"/>
        </w:rPr>
        <w:t xml:space="preserve">abdominal </w:t>
      </w:r>
      <w:r w:rsidR="00E352F7" w:rsidRPr="005F405D">
        <w:rPr>
          <w:rFonts w:cs="Arial"/>
        </w:rPr>
        <w:t>distension</w:t>
      </w:r>
      <w:r w:rsidR="004E7A53" w:rsidRPr="005F405D">
        <w:rPr>
          <w:rFonts w:cs="Arial"/>
        </w:rPr>
        <w:t xml:space="preserve"> (17%)</w:t>
      </w:r>
      <w:r w:rsidR="00E352F7" w:rsidRPr="005F405D">
        <w:rPr>
          <w:rFonts w:cs="Arial"/>
        </w:rPr>
        <w:t xml:space="preserve">, </w:t>
      </w:r>
      <w:r w:rsidRPr="005F405D">
        <w:rPr>
          <w:rFonts w:cs="Arial"/>
        </w:rPr>
        <w:t>nausea (</w:t>
      </w:r>
      <w:r w:rsidR="00842D11" w:rsidRPr="005F405D">
        <w:rPr>
          <w:rFonts w:cs="Arial"/>
        </w:rPr>
        <w:t>26</w:t>
      </w:r>
      <w:r w:rsidRPr="005F405D">
        <w:rPr>
          <w:rFonts w:cs="Arial"/>
        </w:rPr>
        <w:t xml:space="preserve">%), injection site reactions </w:t>
      </w:r>
      <w:r w:rsidR="00E352F7" w:rsidRPr="005F405D">
        <w:rPr>
          <w:rFonts w:cs="Arial"/>
        </w:rPr>
        <w:t>(</w:t>
      </w:r>
      <w:r w:rsidR="005F405D" w:rsidRPr="005F405D">
        <w:rPr>
          <w:rFonts w:cs="Arial"/>
        </w:rPr>
        <w:t>26</w:t>
      </w:r>
      <w:r w:rsidR="00E352F7" w:rsidRPr="005F405D">
        <w:rPr>
          <w:rFonts w:cs="Arial"/>
        </w:rPr>
        <w:t>%),</w:t>
      </w:r>
      <w:r w:rsidRPr="005F405D">
        <w:rPr>
          <w:rFonts w:cs="Arial"/>
        </w:rPr>
        <w:t xml:space="preserve"> headache (</w:t>
      </w:r>
      <w:r w:rsidR="00842D11" w:rsidRPr="005F405D">
        <w:rPr>
          <w:rFonts w:cs="Arial"/>
        </w:rPr>
        <w:t>16</w:t>
      </w:r>
      <w:r w:rsidRPr="005F405D">
        <w:rPr>
          <w:rFonts w:cs="Arial"/>
        </w:rPr>
        <w:t>%), vomiting (14%)</w:t>
      </w:r>
      <w:r w:rsidR="004E7A53" w:rsidRPr="005F405D">
        <w:rPr>
          <w:rFonts w:cs="Arial"/>
        </w:rPr>
        <w:t>,</w:t>
      </w:r>
      <w:r w:rsidR="00842D11" w:rsidRPr="005F405D">
        <w:rPr>
          <w:rFonts w:cs="Arial"/>
        </w:rPr>
        <w:t xml:space="preserve"> </w:t>
      </w:r>
      <w:r w:rsidR="00511007">
        <w:rPr>
          <w:rFonts w:cs="Arial"/>
        </w:rPr>
        <w:t xml:space="preserve">urinary tract infection (13%), </w:t>
      </w:r>
      <w:r w:rsidR="00842D11" w:rsidRPr="005F405D">
        <w:rPr>
          <w:rFonts w:cs="Arial"/>
        </w:rPr>
        <w:t>and nasopharyngitis (13%)</w:t>
      </w:r>
      <w:r w:rsidRPr="005F405D">
        <w:rPr>
          <w:rFonts w:cs="Arial"/>
        </w:rPr>
        <w:t xml:space="preserve">. Approximately 38% of the treated patients with a stoma experienced gastrointestinal stoma complications. The majority of these </w:t>
      </w:r>
      <w:r w:rsidR="004D64DC" w:rsidRPr="005F405D">
        <w:rPr>
          <w:rFonts w:cs="Arial"/>
        </w:rPr>
        <w:t xml:space="preserve">events </w:t>
      </w:r>
      <w:r w:rsidRPr="005F405D">
        <w:rPr>
          <w:rFonts w:cs="Arial"/>
        </w:rPr>
        <w:t>were mild or moderate</w:t>
      </w:r>
      <w:r w:rsidR="0023367F">
        <w:rPr>
          <w:rFonts w:cs="Arial"/>
        </w:rPr>
        <w:t>.</w:t>
      </w:r>
    </w:p>
    <w:p w:rsidR="0023367F" w:rsidRDefault="0023367F" w:rsidP="0023367F">
      <w:pPr>
        <w:pStyle w:val="Caption"/>
        <w:rPr>
          <w:rFonts w:cs="Arial"/>
        </w:rPr>
      </w:pPr>
      <w:bookmarkStart w:id="1" w:name="_Toc467227752"/>
      <w:r>
        <w:lastRenderedPageBreak/>
        <w:t xml:space="preserve">Table </w:t>
      </w:r>
      <w:r>
        <w:fldChar w:fldCharType="begin"/>
      </w:r>
      <w:r>
        <w:instrText xml:space="preserve"> SEQ Table \* ARABIC </w:instrText>
      </w:r>
      <w:r>
        <w:fldChar w:fldCharType="separate"/>
      </w:r>
      <w:r>
        <w:rPr>
          <w:noProof/>
        </w:rPr>
        <w:t>1</w:t>
      </w:r>
      <w:r>
        <w:fldChar w:fldCharType="end"/>
      </w:r>
      <w:r>
        <w:rPr>
          <w:rFonts w:cs="Arial"/>
          <w:sz w:val="21"/>
          <w:szCs w:val="21"/>
        </w:rPr>
        <w:t xml:space="preserve"> S</w:t>
      </w:r>
      <w:r w:rsidRPr="008E6243">
        <w:rPr>
          <w:rFonts w:cs="Arial"/>
          <w:sz w:val="21"/>
          <w:szCs w:val="21"/>
        </w:rPr>
        <w:t xml:space="preserve">ummary of Treatment-emergent Adverse Events by System Organ Class and Preferred Term (Reported in ≥5% of Subjects in All </w:t>
      </w:r>
      <w:proofErr w:type="spellStart"/>
      <w:r w:rsidRPr="008E6243">
        <w:rPr>
          <w:rFonts w:cs="Arial"/>
          <w:sz w:val="21"/>
          <w:szCs w:val="21"/>
        </w:rPr>
        <w:t>Teduglutide</w:t>
      </w:r>
      <w:proofErr w:type="spellEnd"/>
      <w:r w:rsidRPr="008E6243">
        <w:rPr>
          <w:rFonts w:cs="Arial"/>
          <w:sz w:val="21"/>
          <w:szCs w:val="21"/>
        </w:rPr>
        <w:t>) - Safety Population - SBS Placebo</w:t>
      </w:r>
      <w:r>
        <w:rPr>
          <w:rFonts w:cs="Arial"/>
          <w:sz w:val="21"/>
          <w:szCs w:val="21"/>
        </w:rPr>
        <w:t>-controlled</w:t>
      </w:r>
      <w:r w:rsidRPr="008E6243">
        <w:rPr>
          <w:rFonts w:cs="Arial"/>
          <w:sz w:val="21"/>
          <w:szCs w:val="21"/>
        </w:rPr>
        <w:t xml:space="preserve"> Studies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2350"/>
        <w:gridCol w:w="2285"/>
      </w:tblGrid>
      <w:tr w:rsidR="008E6243" w:rsidRPr="008E6243" w:rsidTr="0023367F">
        <w:trPr>
          <w:tblHeader/>
        </w:trPr>
        <w:tc>
          <w:tcPr>
            <w:tcW w:w="4621" w:type="dxa"/>
            <w:vMerge w:val="restart"/>
          </w:tcPr>
          <w:p w:rsidR="008E6243" w:rsidRPr="008E6243" w:rsidRDefault="008E6243" w:rsidP="008E6243">
            <w:pPr>
              <w:spacing w:before="40" w:after="40"/>
              <w:rPr>
                <w:rFonts w:cs="Arial"/>
                <w:b/>
                <w:sz w:val="21"/>
                <w:szCs w:val="21"/>
              </w:rPr>
            </w:pPr>
          </w:p>
        </w:tc>
        <w:tc>
          <w:tcPr>
            <w:tcW w:w="2350" w:type="dxa"/>
            <w:hideMark/>
          </w:tcPr>
          <w:p w:rsidR="008E6243" w:rsidRPr="008E6243" w:rsidRDefault="008E6243" w:rsidP="008E6243">
            <w:pPr>
              <w:spacing w:before="40" w:after="40"/>
              <w:jc w:val="center"/>
              <w:rPr>
                <w:rFonts w:cs="Arial"/>
                <w:b/>
                <w:sz w:val="21"/>
                <w:szCs w:val="21"/>
              </w:rPr>
            </w:pPr>
            <w:r w:rsidRPr="008E6243">
              <w:rPr>
                <w:rFonts w:cs="Arial"/>
                <w:b/>
                <w:sz w:val="21"/>
                <w:szCs w:val="21"/>
              </w:rPr>
              <w:t>Placebo</w:t>
            </w:r>
          </w:p>
          <w:p w:rsidR="008E6243" w:rsidRPr="008E6243" w:rsidRDefault="008E6243" w:rsidP="008E6243">
            <w:pPr>
              <w:spacing w:before="40" w:after="40"/>
              <w:jc w:val="center"/>
              <w:rPr>
                <w:rFonts w:cs="Arial"/>
                <w:b/>
                <w:sz w:val="21"/>
                <w:szCs w:val="21"/>
              </w:rPr>
            </w:pPr>
            <w:r w:rsidRPr="008E6243">
              <w:rPr>
                <w:rFonts w:cs="Arial"/>
                <w:b/>
                <w:sz w:val="21"/>
                <w:szCs w:val="21"/>
              </w:rPr>
              <w:t>(N=59)</w:t>
            </w:r>
          </w:p>
        </w:tc>
        <w:tc>
          <w:tcPr>
            <w:tcW w:w="2285" w:type="dxa"/>
            <w:hideMark/>
          </w:tcPr>
          <w:p w:rsidR="008E6243" w:rsidRPr="008E6243" w:rsidRDefault="008E6243" w:rsidP="008E6243">
            <w:pPr>
              <w:spacing w:before="40" w:after="40"/>
              <w:jc w:val="center"/>
              <w:rPr>
                <w:rFonts w:cs="Arial"/>
                <w:b/>
                <w:sz w:val="21"/>
                <w:szCs w:val="21"/>
              </w:rPr>
            </w:pPr>
            <w:r w:rsidRPr="008E6243">
              <w:rPr>
                <w:rFonts w:cs="Arial"/>
                <w:b/>
                <w:sz w:val="21"/>
                <w:szCs w:val="21"/>
              </w:rPr>
              <w:t>Teduglutide</w:t>
            </w:r>
          </w:p>
          <w:p w:rsidR="008E6243" w:rsidRPr="008E6243" w:rsidRDefault="008E6243" w:rsidP="008E6243">
            <w:pPr>
              <w:spacing w:before="40" w:after="40"/>
              <w:jc w:val="center"/>
              <w:rPr>
                <w:rFonts w:cs="Arial"/>
                <w:b/>
                <w:sz w:val="21"/>
                <w:szCs w:val="21"/>
              </w:rPr>
            </w:pPr>
            <w:r w:rsidRPr="008E6243">
              <w:rPr>
                <w:rFonts w:cs="Arial"/>
                <w:b/>
                <w:sz w:val="21"/>
                <w:szCs w:val="21"/>
              </w:rPr>
              <w:t>(N=109)</w:t>
            </w:r>
          </w:p>
        </w:tc>
      </w:tr>
      <w:tr w:rsidR="008E6243" w:rsidRPr="008E6243" w:rsidTr="0023367F">
        <w:trPr>
          <w:tblHeader/>
        </w:trPr>
        <w:tc>
          <w:tcPr>
            <w:tcW w:w="0" w:type="auto"/>
            <w:vMerge/>
            <w:vAlign w:val="center"/>
            <w:hideMark/>
          </w:tcPr>
          <w:p w:rsidR="008E6243" w:rsidRPr="008E6243" w:rsidRDefault="008E6243" w:rsidP="008E6243">
            <w:pPr>
              <w:spacing w:before="40" w:after="40"/>
              <w:rPr>
                <w:rFonts w:cs="Arial"/>
                <w:b/>
                <w:sz w:val="21"/>
                <w:szCs w:val="21"/>
              </w:rPr>
            </w:pPr>
          </w:p>
        </w:tc>
        <w:tc>
          <w:tcPr>
            <w:tcW w:w="2350" w:type="dxa"/>
            <w:hideMark/>
          </w:tcPr>
          <w:p w:rsidR="008E6243" w:rsidRPr="008E6243" w:rsidRDefault="008E6243" w:rsidP="008E6243">
            <w:pPr>
              <w:spacing w:before="40" w:after="40"/>
              <w:jc w:val="center"/>
              <w:rPr>
                <w:rFonts w:cs="Arial"/>
                <w:b/>
                <w:sz w:val="21"/>
                <w:szCs w:val="21"/>
              </w:rPr>
            </w:pPr>
            <w:proofErr w:type="gramStart"/>
            <w:r w:rsidRPr="008E6243">
              <w:rPr>
                <w:rFonts w:cs="Arial"/>
                <w:b/>
                <w:sz w:val="21"/>
                <w:szCs w:val="21"/>
              </w:rPr>
              <w:t>n</w:t>
            </w:r>
            <w:proofErr w:type="gramEnd"/>
            <w:r w:rsidRPr="008E6243">
              <w:rPr>
                <w:rFonts w:cs="Arial"/>
                <w:b/>
                <w:sz w:val="21"/>
                <w:szCs w:val="21"/>
              </w:rPr>
              <w:t xml:space="preserve"> (%)</w:t>
            </w:r>
          </w:p>
        </w:tc>
        <w:tc>
          <w:tcPr>
            <w:tcW w:w="2285" w:type="dxa"/>
            <w:hideMark/>
          </w:tcPr>
          <w:p w:rsidR="008E6243" w:rsidRPr="008E6243" w:rsidRDefault="008E6243" w:rsidP="008E6243">
            <w:pPr>
              <w:spacing w:before="40" w:after="40"/>
              <w:jc w:val="center"/>
              <w:rPr>
                <w:rFonts w:cs="Arial"/>
                <w:b/>
                <w:sz w:val="21"/>
                <w:szCs w:val="21"/>
              </w:rPr>
            </w:pPr>
            <w:proofErr w:type="gramStart"/>
            <w:r w:rsidRPr="008E6243">
              <w:rPr>
                <w:rFonts w:cs="Arial"/>
                <w:b/>
                <w:sz w:val="21"/>
                <w:szCs w:val="21"/>
              </w:rPr>
              <w:t>n</w:t>
            </w:r>
            <w:proofErr w:type="gramEnd"/>
            <w:r w:rsidRPr="008E6243">
              <w:rPr>
                <w:rFonts w:cs="Arial"/>
                <w:b/>
                <w:sz w:val="21"/>
                <w:szCs w:val="21"/>
              </w:rPr>
              <w:t xml:space="preserve"> (%)</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b/>
                <w:color w:val="000000"/>
                <w:sz w:val="21"/>
                <w:szCs w:val="21"/>
              </w:rPr>
            </w:pPr>
            <w:r w:rsidRPr="008E6243">
              <w:rPr>
                <w:rFonts w:cs="Arial"/>
                <w:b/>
                <w:color w:val="000000"/>
                <w:sz w:val="21"/>
                <w:szCs w:val="21"/>
              </w:rPr>
              <w:t>Gastrointestinal Disorders</w:t>
            </w:r>
          </w:p>
        </w:tc>
        <w:tc>
          <w:tcPr>
            <w:tcW w:w="2350" w:type="dxa"/>
          </w:tcPr>
          <w:p w:rsidR="008E6243" w:rsidRPr="008E6243" w:rsidRDefault="008E6243" w:rsidP="008E6243">
            <w:pPr>
              <w:spacing w:before="40" w:after="40"/>
              <w:jc w:val="center"/>
              <w:rPr>
                <w:rFonts w:cs="Arial"/>
                <w:b/>
                <w:sz w:val="21"/>
                <w:szCs w:val="21"/>
              </w:rPr>
            </w:pPr>
          </w:p>
        </w:tc>
        <w:tc>
          <w:tcPr>
            <w:tcW w:w="2285" w:type="dxa"/>
          </w:tcPr>
          <w:p w:rsidR="008E6243" w:rsidRPr="008E6243" w:rsidRDefault="008E6243" w:rsidP="008E6243">
            <w:pPr>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Abdominal pain</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12 (20.3)</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31 (28.4)</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Nausea</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12 (20.3)</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28 (25.7)</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Abdominal distension</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1 (1.7)</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18 (16.5)</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Vomiting</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6 (10.2)</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15 (13.8)</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Flatulence</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4 (6.8)</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9 (8.3)</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w:t>
            </w:r>
            <w:proofErr w:type="spellStart"/>
            <w:r w:rsidRPr="008E6243">
              <w:rPr>
                <w:rFonts w:cs="Arial"/>
                <w:color w:val="000000"/>
                <w:sz w:val="21"/>
                <w:szCs w:val="21"/>
              </w:rPr>
              <w:t>Diarrhoea</w:t>
            </w:r>
            <w:proofErr w:type="spellEnd"/>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6 (10.2)</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7 (6.4)</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Abdominal pain upper</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1 (1.7)</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6 (5.5)</w:t>
            </w:r>
          </w:p>
        </w:tc>
      </w:tr>
      <w:tr w:rsidR="008E6243" w:rsidRPr="008E6243" w:rsidTr="0023367F">
        <w:tc>
          <w:tcPr>
            <w:tcW w:w="4621" w:type="dxa"/>
            <w:hideMark/>
          </w:tcPr>
          <w:p w:rsidR="008E6243" w:rsidRPr="008E6243" w:rsidRDefault="008E6243" w:rsidP="008E6243">
            <w:pPr>
              <w:spacing w:before="40" w:after="40"/>
              <w:rPr>
                <w:rFonts w:cs="Arial"/>
                <w:b/>
                <w:sz w:val="21"/>
                <w:szCs w:val="21"/>
              </w:rPr>
            </w:pPr>
            <w:r w:rsidRPr="008E6243">
              <w:rPr>
                <w:rFonts w:cs="Arial"/>
                <w:b/>
                <w:sz w:val="21"/>
                <w:szCs w:val="21"/>
              </w:rPr>
              <w:t>General Disorders and Administration Site Conditions</w:t>
            </w:r>
          </w:p>
        </w:tc>
        <w:tc>
          <w:tcPr>
            <w:tcW w:w="2350" w:type="dxa"/>
          </w:tcPr>
          <w:p w:rsidR="008E6243" w:rsidRPr="008E6243" w:rsidRDefault="008E6243" w:rsidP="008E6243">
            <w:pPr>
              <w:spacing w:before="40" w:after="40"/>
              <w:jc w:val="center"/>
              <w:rPr>
                <w:rFonts w:cs="Arial"/>
                <w:b/>
                <w:sz w:val="21"/>
                <w:szCs w:val="21"/>
              </w:rPr>
            </w:pPr>
          </w:p>
        </w:tc>
        <w:tc>
          <w:tcPr>
            <w:tcW w:w="2285" w:type="dxa"/>
          </w:tcPr>
          <w:p w:rsidR="008E6243" w:rsidRPr="008E6243" w:rsidRDefault="008E6243" w:rsidP="008E6243">
            <w:pPr>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Injection site </w:t>
            </w:r>
            <w:proofErr w:type="spellStart"/>
            <w:r w:rsidRPr="008E6243">
              <w:rPr>
                <w:rFonts w:cs="Arial"/>
                <w:color w:val="000000"/>
                <w:sz w:val="21"/>
                <w:szCs w:val="21"/>
              </w:rPr>
              <w:t>haematoma</w:t>
            </w:r>
            <w:proofErr w:type="spellEnd"/>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3 (5.1)</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12 (11.0)</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Fatigue</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5 (8.5)</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10 (9.2)</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Pyrexia</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5 (8.5)</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10 (9.2)</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w:t>
            </w:r>
            <w:proofErr w:type="spellStart"/>
            <w:r w:rsidRPr="008E6243">
              <w:rPr>
                <w:rFonts w:cs="Arial"/>
                <w:color w:val="000000"/>
                <w:sz w:val="21"/>
                <w:szCs w:val="21"/>
              </w:rPr>
              <w:t>Oedema</w:t>
            </w:r>
            <w:proofErr w:type="spellEnd"/>
            <w:r w:rsidRPr="008E6243">
              <w:rPr>
                <w:rFonts w:cs="Arial"/>
                <w:color w:val="000000"/>
                <w:sz w:val="21"/>
                <w:szCs w:val="21"/>
              </w:rPr>
              <w:t xml:space="preserve"> peripheral</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2 (3.4)</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9 (8.3)</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Injection site erythema</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0</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8 (7.3)</w:t>
            </w: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b/>
                <w:color w:val="000000"/>
                <w:sz w:val="21"/>
                <w:szCs w:val="21"/>
              </w:rPr>
            </w:pPr>
            <w:r w:rsidRPr="008E6243">
              <w:rPr>
                <w:rFonts w:cs="Arial"/>
                <w:b/>
                <w:color w:val="000000"/>
                <w:sz w:val="21"/>
                <w:szCs w:val="21"/>
              </w:rPr>
              <w:t>Infections and Infestations</w:t>
            </w:r>
          </w:p>
        </w:tc>
        <w:tc>
          <w:tcPr>
            <w:tcW w:w="2350" w:type="dxa"/>
          </w:tcPr>
          <w:p w:rsidR="008E6243" w:rsidRPr="008E6243" w:rsidRDefault="008E6243" w:rsidP="008E6243">
            <w:pPr>
              <w:spacing w:before="40" w:after="40"/>
              <w:jc w:val="center"/>
              <w:rPr>
                <w:rFonts w:cs="Arial"/>
                <w:b/>
                <w:sz w:val="21"/>
                <w:szCs w:val="21"/>
              </w:rPr>
            </w:pPr>
          </w:p>
        </w:tc>
        <w:tc>
          <w:tcPr>
            <w:tcW w:w="2285" w:type="dxa"/>
          </w:tcPr>
          <w:p w:rsidR="008E6243" w:rsidRPr="008E6243" w:rsidRDefault="008E6243" w:rsidP="008E6243">
            <w:pPr>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color w:val="000000"/>
                <w:sz w:val="21"/>
                <w:szCs w:val="21"/>
              </w:rPr>
            </w:pPr>
            <w:r w:rsidRPr="008E6243">
              <w:rPr>
                <w:rFonts w:cs="Arial"/>
                <w:color w:val="000000"/>
                <w:sz w:val="21"/>
                <w:szCs w:val="21"/>
              </w:rPr>
              <w:t xml:space="preserve">   Nasopharyngitis</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2 (3.4)</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14 (12.8)</w:t>
            </w: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color w:val="000000"/>
                <w:sz w:val="21"/>
                <w:szCs w:val="21"/>
              </w:rPr>
            </w:pPr>
            <w:r w:rsidRPr="008E6243">
              <w:rPr>
                <w:rFonts w:cs="Arial"/>
                <w:color w:val="000000"/>
                <w:sz w:val="21"/>
                <w:szCs w:val="21"/>
              </w:rPr>
              <w:t xml:space="preserve">   Urinary tract infection</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7 (11.9)</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14 (12.8)</w:t>
            </w: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color w:val="000000"/>
                <w:sz w:val="21"/>
                <w:szCs w:val="21"/>
              </w:rPr>
            </w:pPr>
            <w:r w:rsidRPr="008E6243">
              <w:rPr>
                <w:rFonts w:cs="Arial"/>
                <w:color w:val="000000"/>
                <w:sz w:val="21"/>
                <w:szCs w:val="21"/>
              </w:rPr>
              <w:t xml:space="preserve">   Catheter sepsis</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2 (3.4)</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9 (8.3)</w:t>
            </w: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color w:val="000000"/>
                <w:sz w:val="21"/>
                <w:szCs w:val="21"/>
              </w:rPr>
            </w:pPr>
            <w:r w:rsidRPr="008E6243">
              <w:rPr>
                <w:rFonts w:cs="Arial"/>
                <w:color w:val="000000"/>
                <w:sz w:val="21"/>
                <w:szCs w:val="21"/>
              </w:rPr>
              <w:t xml:space="preserve">   Influenza</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1 (1.7)</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8 (7.3)</w:t>
            </w: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color w:val="000000"/>
                <w:sz w:val="21"/>
                <w:szCs w:val="21"/>
              </w:rPr>
            </w:pPr>
            <w:r w:rsidRPr="008E6243">
              <w:rPr>
                <w:rFonts w:cs="Arial"/>
                <w:color w:val="000000"/>
                <w:sz w:val="21"/>
                <w:szCs w:val="21"/>
              </w:rPr>
              <w:t xml:space="preserve">   Catheter related infection </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1 (1.7)</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6 (5.5)</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b/>
                <w:color w:val="000000"/>
                <w:sz w:val="21"/>
                <w:szCs w:val="21"/>
              </w:rPr>
            </w:pPr>
            <w:r w:rsidRPr="008E6243">
              <w:rPr>
                <w:rFonts w:cs="Arial"/>
                <w:b/>
                <w:color w:val="000000"/>
                <w:sz w:val="21"/>
                <w:szCs w:val="21"/>
              </w:rPr>
              <w:t>Injury, Poisoning and Procedural Complications</w:t>
            </w:r>
          </w:p>
        </w:tc>
        <w:tc>
          <w:tcPr>
            <w:tcW w:w="2350" w:type="dxa"/>
          </w:tcPr>
          <w:p w:rsidR="008E6243" w:rsidRPr="008E6243" w:rsidRDefault="008E6243" w:rsidP="008E6243">
            <w:pPr>
              <w:spacing w:before="40" w:after="40"/>
              <w:jc w:val="center"/>
              <w:rPr>
                <w:rFonts w:cs="Arial"/>
                <w:b/>
                <w:sz w:val="21"/>
                <w:szCs w:val="21"/>
              </w:rPr>
            </w:pPr>
          </w:p>
        </w:tc>
        <w:tc>
          <w:tcPr>
            <w:tcW w:w="2285" w:type="dxa"/>
          </w:tcPr>
          <w:p w:rsidR="008E6243" w:rsidRPr="008E6243" w:rsidRDefault="008E6243" w:rsidP="008E6243">
            <w:pPr>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Gastrointestinal stoma complication</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3 (5.1)</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17 (15.6)</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b/>
                <w:color w:val="000000"/>
                <w:sz w:val="21"/>
                <w:szCs w:val="21"/>
              </w:rPr>
            </w:pPr>
            <w:r w:rsidRPr="008E6243">
              <w:rPr>
                <w:rFonts w:cs="Arial"/>
                <w:b/>
                <w:color w:val="000000"/>
                <w:sz w:val="21"/>
                <w:szCs w:val="21"/>
              </w:rPr>
              <w:t>Metabolism and Nutrition Disorders</w:t>
            </w:r>
          </w:p>
        </w:tc>
        <w:tc>
          <w:tcPr>
            <w:tcW w:w="2350" w:type="dxa"/>
          </w:tcPr>
          <w:p w:rsidR="008E6243" w:rsidRPr="008E6243" w:rsidRDefault="008E6243" w:rsidP="008E6243">
            <w:pPr>
              <w:spacing w:before="40" w:after="40"/>
              <w:jc w:val="center"/>
              <w:rPr>
                <w:rFonts w:cs="Arial"/>
                <w:b/>
                <w:sz w:val="21"/>
                <w:szCs w:val="21"/>
              </w:rPr>
            </w:pPr>
          </w:p>
        </w:tc>
        <w:tc>
          <w:tcPr>
            <w:tcW w:w="2285" w:type="dxa"/>
          </w:tcPr>
          <w:p w:rsidR="008E6243" w:rsidRPr="008E6243" w:rsidRDefault="008E6243" w:rsidP="008E6243">
            <w:pPr>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Decreased appetite</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2 (3.4)</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8 (7.3)</w:t>
            </w: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b/>
                <w:color w:val="000000"/>
                <w:sz w:val="21"/>
                <w:szCs w:val="21"/>
              </w:rPr>
            </w:pPr>
            <w:r w:rsidRPr="008E6243">
              <w:rPr>
                <w:rFonts w:cs="Arial"/>
                <w:b/>
                <w:color w:val="000000"/>
                <w:sz w:val="21"/>
                <w:szCs w:val="21"/>
              </w:rPr>
              <w:t>Musculoskeletal and Connective Tissue Disorders</w:t>
            </w:r>
          </w:p>
        </w:tc>
        <w:tc>
          <w:tcPr>
            <w:tcW w:w="2350" w:type="dxa"/>
          </w:tcPr>
          <w:p w:rsidR="008E6243" w:rsidRPr="008E6243" w:rsidRDefault="008E6243" w:rsidP="008E6243">
            <w:pPr>
              <w:spacing w:before="40" w:after="40"/>
              <w:jc w:val="center"/>
              <w:rPr>
                <w:rFonts w:cs="Arial"/>
                <w:b/>
                <w:sz w:val="21"/>
                <w:szCs w:val="21"/>
              </w:rPr>
            </w:pPr>
          </w:p>
        </w:tc>
        <w:tc>
          <w:tcPr>
            <w:tcW w:w="2285" w:type="dxa"/>
          </w:tcPr>
          <w:p w:rsidR="008E6243" w:rsidRPr="008E6243" w:rsidRDefault="008E6243" w:rsidP="008E6243">
            <w:pPr>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tabs>
                <w:tab w:val="left" w:pos="4860"/>
              </w:tabs>
              <w:adjustRightInd w:val="0"/>
              <w:spacing w:before="40" w:after="40"/>
              <w:rPr>
                <w:rFonts w:cs="Arial"/>
                <w:color w:val="000000"/>
                <w:sz w:val="21"/>
                <w:szCs w:val="21"/>
              </w:rPr>
            </w:pPr>
            <w:r w:rsidRPr="008E6243">
              <w:rPr>
                <w:rFonts w:cs="Arial"/>
                <w:color w:val="000000"/>
                <w:sz w:val="21"/>
                <w:szCs w:val="21"/>
              </w:rPr>
              <w:t xml:space="preserve">   Arthralgia </w:t>
            </w:r>
          </w:p>
        </w:tc>
        <w:tc>
          <w:tcPr>
            <w:tcW w:w="2350" w:type="dxa"/>
            <w:hideMark/>
          </w:tcPr>
          <w:p w:rsidR="008E6243" w:rsidRPr="008E6243" w:rsidRDefault="008E6243" w:rsidP="008E6243">
            <w:pPr>
              <w:spacing w:before="40" w:after="40"/>
              <w:jc w:val="center"/>
              <w:rPr>
                <w:rFonts w:cs="Arial"/>
                <w:sz w:val="21"/>
                <w:szCs w:val="21"/>
              </w:rPr>
            </w:pPr>
            <w:r w:rsidRPr="008E6243">
              <w:rPr>
                <w:rFonts w:cs="Arial"/>
                <w:sz w:val="21"/>
                <w:szCs w:val="21"/>
              </w:rPr>
              <w:t>3 (5.1)</w:t>
            </w:r>
          </w:p>
        </w:tc>
        <w:tc>
          <w:tcPr>
            <w:tcW w:w="2285" w:type="dxa"/>
            <w:hideMark/>
          </w:tcPr>
          <w:p w:rsidR="008E6243" w:rsidRPr="008E6243" w:rsidRDefault="008E6243" w:rsidP="008E6243">
            <w:pPr>
              <w:spacing w:before="40" w:after="40"/>
              <w:jc w:val="center"/>
              <w:rPr>
                <w:rFonts w:cs="Arial"/>
                <w:sz w:val="21"/>
                <w:szCs w:val="21"/>
              </w:rPr>
            </w:pPr>
            <w:r w:rsidRPr="008E6243">
              <w:rPr>
                <w:rFonts w:cs="Arial"/>
                <w:sz w:val="21"/>
                <w:szCs w:val="21"/>
              </w:rPr>
              <w:t>7 (6.4)</w:t>
            </w: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b/>
                <w:color w:val="000000"/>
                <w:sz w:val="21"/>
                <w:szCs w:val="21"/>
              </w:rPr>
            </w:pPr>
            <w:r w:rsidRPr="008E6243">
              <w:rPr>
                <w:rFonts w:cs="Arial"/>
                <w:b/>
                <w:color w:val="000000"/>
                <w:sz w:val="21"/>
                <w:szCs w:val="21"/>
              </w:rPr>
              <w:t>Nervous System Disorders</w:t>
            </w:r>
          </w:p>
        </w:tc>
        <w:tc>
          <w:tcPr>
            <w:tcW w:w="2350" w:type="dxa"/>
          </w:tcPr>
          <w:p w:rsidR="008E6243" w:rsidRPr="008E6243" w:rsidRDefault="008E6243" w:rsidP="008E6243">
            <w:pPr>
              <w:keepNext/>
              <w:spacing w:before="40" w:after="40"/>
              <w:jc w:val="center"/>
              <w:rPr>
                <w:rFonts w:cs="Arial"/>
                <w:b/>
                <w:sz w:val="21"/>
                <w:szCs w:val="21"/>
              </w:rPr>
            </w:pPr>
          </w:p>
        </w:tc>
        <w:tc>
          <w:tcPr>
            <w:tcW w:w="2285" w:type="dxa"/>
          </w:tcPr>
          <w:p w:rsidR="008E6243" w:rsidRPr="008E6243" w:rsidRDefault="008E6243" w:rsidP="008E6243">
            <w:pPr>
              <w:keepNext/>
              <w:spacing w:before="40" w:after="40"/>
              <w:jc w:val="center"/>
              <w:rPr>
                <w:rFonts w:cs="Arial"/>
                <w:b/>
                <w:sz w:val="21"/>
                <w:szCs w:val="21"/>
              </w:rPr>
            </w:pPr>
          </w:p>
        </w:tc>
      </w:tr>
      <w:tr w:rsidR="008E6243" w:rsidRPr="008E6243" w:rsidTr="0023367F">
        <w:tc>
          <w:tcPr>
            <w:tcW w:w="4621" w:type="dxa"/>
            <w:hideMark/>
          </w:tcPr>
          <w:p w:rsidR="008E6243" w:rsidRPr="008E6243" w:rsidRDefault="008E6243" w:rsidP="008E6243">
            <w:pPr>
              <w:keepNext/>
              <w:tabs>
                <w:tab w:val="left" w:pos="4860"/>
              </w:tabs>
              <w:adjustRightInd w:val="0"/>
              <w:spacing w:before="40" w:after="40"/>
              <w:rPr>
                <w:rFonts w:cs="Arial"/>
                <w:color w:val="000000"/>
                <w:sz w:val="21"/>
                <w:szCs w:val="21"/>
              </w:rPr>
            </w:pPr>
            <w:r w:rsidRPr="008E6243">
              <w:rPr>
                <w:rFonts w:cs="Arial"/>
                <w:color w:val="000000"/>
                <w:sz w:val="21"/>
                <w:szCs w:val="21"/>
              </w:rPr>
              <w:t xml:space="preserve">   Headache </w:t>
            </w:r>
          </w:p>
        </w:tc>
        <w:tc>
          <w:tcPr>
            <w:tcW w:w="2350" w:type="dxa"/>
            <w:hideMark/>
          </w:tcPr>
          <w:p w:rsidR="008E6243" w:rsidRPr="008E6243" w:rsidRDefault="008E6243" w:rsidP="008E6243">
            <w:pPr>
              <w:keepNext/>
              <w:spacing w:before="40" w:after="40"/>
              <w:jc w:val="center"/>
              <w:rPr>
                <w:rFonts w:cs="Arial"/>
                <w:sz w:val="21"/>
                <w:szCs w:val="21"/>
              </w:rPr>
            </w:pPr>
            <w:r w:rsidRPr="008E6243">
              <w:rPr>
                <w:rFonts w:cs="Arial"/>
                <w:sz w:val="21"/>
                <w:szCs w:val="21"/>
              </w:rPr>
              <w:t>8 (13.6)</w:t>
            </w:r>
          </w:p>
        </w:tc>
        <w:tc>
          <w:tcPr>
            <w:tcW w:w="2285" w:type="dxa"/>
            <w:hideMark/>
          </w:tcPr>
          <w:p w:rsidR="008E6243" w:rsidRPr="008E6243" w:rsidRDefault="008E6243" w:rsidP="008E6243">
            <w:pPr>
              <w:keepNext/>
              <w:spacing w:before="40" w:after="40"/>
              <w:jc w:val="center"/>
              <w:rPr>
                <w:rFonts w:cs="Arial"/>
                <w:sz w:val="21"/>
                <w:szCs w:val="21"/>
              </w:rPr>
            </w:pPr>
            <w:r w:rsidRPr="008E6243">
              <w:rPr>
                <w:rFonts w:cs="Arial"/>
                <w:sz w:val="21"/>
                <w:szCs w:val="21"/>
              </w:rPr>
              <w:t>17 (15.6)</w:t>
            </w:r>
          </w:p>
        </w:tc>
      </w:tr>
    </w:tbl>
    <w:p w:rsidR="0073064E" w:rsidRPr="0073064E" w:rsidRDefault="00F9490C" w:rsidP="0023367F">
      <w:pPr>
        <w:widowControl/>
        <w:spacing w:after="0"/>
        <w:rPr>
          <w:rFonts w:cs="Arial"/>
        </w:rPr>
      </w:pPr>
      <w:r w:rsidRPr="0073064E">
        <w:rPr>
          <w:rFonts w:cs="Arial"/>
        </w:rPr>
        <w:t>Adverse reactions are listed by MedDRA system organ class and by frequency. Frequencies are defined as very common (≥1/10)</w:t>
      </w:r>
      <w:r w:rsidR="004E7A53">
        <w:rPr>
          <w:rFonts w:cs="Arial"/>
        </w:rPr>
        <w:t>;</w:t>
      </w:r>
      <w:r w:rsidRPr="0073064E">
        <w:rPr>
          <w:rFonts w:cs="Arial"/>
        </w:rPr>
        <w:t xml:space="preserve"> common (≥1/100 to &lt;1/10)</w:t>
      </w:r>
      <w:r w:rsidR="004E7A53">
        <w:rPr>
          <w:rFonts w:cs="Arial"/>
        </w:rPr>
        <w:t>;</w:t>
      </w:r>
      <w:r w:rsidRPr="0073064E">
        <w:rPr>
          <w:rFonts w:cs="Arial"/>
        </w:rPr>
        <w:t xml:space="preserve"> uncommon (≥1/1,000 to &lt;1/100)</w:t>
      </w:r>
      <w:r w:rsidR="004E7A53">
        <w:rPr>
          <w:rFonts w:cs="Arial"/>
        </w:rPr>
        <w:t>;</w:t>
      </w:r>
      <w:r w:rsidRPr="0073064E">
        <w:rPr>
          <w:rFonts w:cs="Arial"/>
        </w:rPr>
        <w:t xml:space="preserve"> rare (≥1/10,000 to &lt;1/1,000)</w:t>
      </w:r>
      <w:r w:rsidR="004E7A53">
        <w:rPr>
          <w:rFonts w:cs="Arial"/>
        </w:rPr>
        <w:t>;</w:t>
      </w:r>
      <w:r w:rsidRPr="0073064E">
        <w:rPr>
          <w:rFonts w:cs="Arial"/>
        </w:rPr>
        <w:t xml:space="preserve"> very rare (&lt;1/10,000).</w:t>
      </w:r>
      <w:r w:rsidR="0073064E" w:rsidRPr="0073064E">
        <w:rPr>
          <w:rFonts w:cs="Arial"/>
        </w:rPr>
        <w:t xml:space="preserve"> </w:t>
      </w:r>
      <w:r w:rsidR="00635ACA">
        <w:rPr>
          <w:rFonts w:cs="Arial"/>
        </w:rPr>
        <w:t xml:space="preserve">Adverse reactions from </w:t>
      </w:r>
      <w:proofErr w:type="spellStart"/>
      <w:r w:rsidR="00635ACA">
        <w:rPr>
          <w:rFonts w:cs="Arial"/>
        </w:rPr>
        <w:t>postmarketing</w:t>
      </w:r>
      <w:proofErr w:type="spellEnd"/>
      <w:r w:rsidR="00635ACA">
        <w:rPr>
          <w:rFonts w:cs="Arial"/>
        </w:rPr>
        <w:t xml:space="preserve"> experience are </w:t>
      </w:r>
      <w:proofErr w:type="spellStart"/>
      <w:r w:rsidR="00635ACA" w:rsidRPr="00635ACA">
        <w:rPr>
          <w:rFonts w:cs="Arial"/>
          <w:i/>
        </w:rPr>
        <w:t>italicised</w:t>
      </w:r>
      <w:proofErr w:type="spellEnd"/>
      <w:r w:rsidR="00635ACA">
        <w:rPr>
          <w:rFonts w:cs="Arial"/>
        </w:rPr>
        <w:t>.</w:t>
      </w:r>
    </w:p>
    <w:p w:rsidR="00B75016" w:rsidRDefault="00B75016" w:rsidP="00DD4838">
      <w:pPr>
        <w:pStyle w:val="Heading2"/>
      </w:pPr>
      <w:r w:rsidRPr="00B75016">
        <w:t xml:space="preserve">Infections and infestations </w:t>
      </w:r>
    </w:p>
    <w:p w:rsidR="00B75016" w:rsidRPr="00B75016" w:rsidRDefault="00B75016" w:rsidP="003F4E96">
      <w:pPr>
        <w:autoSpaceDE w:val="0"/>
        <w:autoSpaceDN w:val="0"/>
        <w:adjustRightInd w:val="0"/>
        <w:spacing w:after="0"/>
        <w:ind w:firstLine="187"/>
        <w:rPr>
          <w:rFonts w:cs="Arial"/>
          <w:b/>
          <w:color w:val="000000"/>
        </w:rPr>
      </w:pPr>
      <w:r w:rsidRPr="00B75016">
        <w:rPr>
          <w:rFonts w:cs="Arial"/>
          <w:color w:val="000000"/>
        </w:rPr>
        <w:lastRenderedPageBreak/>
        <w:t xml:space="preserve">Very common: Nasopharyngitis </w:t>
      </w:r>
    </w:p>
    <w:p w:rsidR="00B75016" w:rsidRPr="0023367F" w:rsidRDefault="00B75016" w:rsidP="003F4E96">
      <w:pPr>
        <w:autoSpaceDE w:val="0"/>
        <w:autoSpaceDN w:val="0"/>
        <w:adjustRightInd w:val="0"/>
        <w:spacing w:after="0"/>
        <w:ind w:firstLine="187"/>
      </w:pPr>
      <w:r w:rsidRPr="00B75016">
        <w:rPr>
          <w:rFonts w:cs="Arial"/>
          <w:color w:val="000000"/>
        </w:rPr>
        <w:t xml:space="preserve">Common: Influenza; </w:t>
      </w:r>
      <w:r w:rsidRPr="00B75016">
        <w:rPr>
          <w:rFonts w:cs="Arial"/>
          <w:i/>
        </w:rPr>
        <w:t>Influenza-like illness</w:t>
      </w:r>
    </w:p>
    <w:p w:rsidR="00B75016" w:rsidRPr="00B75016" w:rsidRDefault="00B75016" w:rsidP="00DD4838">
      <w:pPr>
        <w:pStyle w:val="Heading2"/>
      </w:pPr>
      <w:r w:rsidRPr="00B75016">
        <w:t>Immune system disorders</w:t>
      </w:r>
    </w:p>
    <w:p w:rsidR="00B75016" w:rsidRPr="00B75016" w:rsidRDefault="00B75016" w:rsidP="003F4E96">
      <w:pPr>
        <w:autoSpaceDE w:val="0"/>
        <w:autoSpaceDN w:val="0"/>
        <w:adjustRightInd w:val="0"/>
        <w:spacing w:after="0"/>
        <w:ind w:firstLine="180"/>
        <w:rPr>
          <w:rFonts w:eastAsia="TimesNewRoman" w:cs="Arial"/>
          <w:i/>
        </w:rPr>
      </w:pPr>
      <w:r w:rsidRPr="00B75016">
        <w:rPr>
          <w:rFonts w:eastAsia="TimesNewRoman" w:cs="Arial"/>
        </w:rPr>
        <w:t xml:space="preserve">Not known: </w:t>
      </w:r>
      <w:r w:rsidRPr="00B75016">
        <w:rPr>
          <w:rFonts w:eastAsia="TimesNewRoman" w:cs="Arial"/>
          <w:i/>
        </w:rPr>
        <w:t>Hypersensitivity</w:t>
      </w:r>
    </w:p>
    <w:p w:rsidR="00B75016" w:rsidRPr="00B75016" w:rsidRDefault="00B75016" w:rsidP="00DD4838">
      <w:pPr>
        <w:pStyle w:val="Heading2"/>
      </w:pPr>
      <w:r w:rsidRPr="00B75016">
        <w:t>Metabolism and nutrition disorders</w:t>
      </w:r>
    </w:p>
    <w:p w:rsidR="00B75016" w:rsidRPr="00B75016" w:rsidRDefault="00B75016" w:rsidP="003F4E96">
      <w:pPr>
        <w:autoSpaceDE w:val="0"/>
        <w:autoSpaceDN w:val="0"/>
        <w:adjustRightInd w:val="0"/>
        <w:spacing w:after="0"/>
        <w:ind w:firstLine="180"/>
        <w:rPr>
          <w:rFonts w:eastAsia="TimesNewRoman" w:cs="Arial"/>
          <w:strike/>
        </w:rPr>
      </w:pPr>
      <w:r w:rsidRPr="00B75016">
        <w:rPr>
          <w:rFonts w:eastAsia="TimesNewRoman" w:cs="Arial"/>
        </w:rPr>
        <w:t>Common: Decreased appetite</w:t>
      </w:r>
    </w:p>
    <w:p w:rsidR="00B75016" w:rsidRPr="00B75016" w:rsidRDefault="00B75016" w:rsidP="003F4E96">
      <w:pPr>
        <w:autoSpaceDE w:val="0"/>
        <w:autoSpaceDN w:val="0"/>
        <w:adjustRightInd w:val="0"/>
        <w:spacing w:after="0"/>
        <w:ind w:firstLine="180"/>
        <w:rPr>
          <w:rFonts w:eastAsia="TimesNewRoman" w:cs="Arial"/>
        </w:rPr>
      </w:pPr>
      <w:r w:rsidRPr="00B75016">
        <w:rPr>
          <w:rFonts w:eastAsia="TimesNewRoman" w:cs="Arial"/>
        </w:rPr>
        <w:t>Uncommon: Fluid overload</w:t>
      </w:r>
    </w:p>
    <w:p w:rsidR="00B75016" w:rsidRPr="00B75016" w:rsidRDefault="00B75016" w:rsidP="00DD4838">
      <w:pPr>
        <w:pStyle w:val="Heading2"/>
      </w:pPr>
      <w:r w:rsidRPr="00B75016">
        <w:t>Psychiatric disorders</w:t>
      </w:r>
    </w:p>
    <w:p w:rsidR="00B75016" w:rsidRPr="00B75016" w:rsidRDefault="00B75016" w:rsidP="003F4E96">
      <w:pPr>
        <w:autoSpaceDE w:val="0"/>
        <w:autoSpaceDN w:val="0"/>
        <w:adjustRightInd w:val="0"/>
        <w:spacing w:after="0"/>
        <w:ind w:firstLine="180"/>
        <w:rPr>
          <w:rFonts w:eastAsia="TimesNewRoman" w:cs="Arial"/>
        </w:rPr>
      </w:pPr>
      <w:r w:rsidRPr="00B75016">
        <w:rPr>
          <w:rFonts w:eastAsia="TimesNewRoman" w:cs="Arial"/>
        </w:rPr>
        <w:t>Common: Insomnia</w:t>
      </w:r>
    </w:p>
    <w:p w:rsidR="00B75016" w:rsidRPr="00B75016" w:rsidRDefault="00B75016" w:rsidP="003F4E96">
      <w:pPr>
        <w:autoSpaceDE w:val="0"/>
        <w:autoSpaceDN w:val="0"/>
        <w:adjustRightInd w:val="0"/>
        <w:spacing w:after="0"/>
        <w:rPr>
          <w:rFonts w:cs="Arial"/>
          <w:b/>
          <w:color w:val="000000"/>
        </w:rPr>
      </w:pPr>
      <w:r w:rsidRPr="00B75016">
        <w:rPr>
          <w:rFonts w:cs="Arial"/>
          <w:b/>
          <w:color w:val="000000"/>
        </w:rPr>
        <w:t>Nervous system disorders</w:t>
      </w:r>
    </w:p>
    <w:p w:rsidR="00B75016" w:rsidRPr="00B75016" w:rsidRDefault="00B75016" w:rsidP="003F4E96">
      <w:pPr>
        <w:autoSpaceDE w:val="0"/>
        <w:autoSpaceDN w:val="0"/>
        <w:adjustRightInd w:val="0"/>
        <w:spacing w:after="0"/>
        <w:ind w:firstLine="180"/>
        <w:rPr>
          <w:rFonts w:cs="Arial"/>
          <w:color w:val="000000"/>
        </w:rPr>
      </w:pPr>
      <w:r w:rsidRPr="00B75016">
        <w:rPr>
          <w:rFonts w:cs="Arial"/>
          <w:color w:val="000000"/>
        </w:rPr>
        <w:t>Very common: Headache</w:t>
      </w:r>
    </w:p>
    <w:p w:rsidR="00B75016" w:rsidRPr="00B75016" w:rsidRDefault="00B75016" w:rsidP="00DD4838">
      <w:pPr>
        <w:pStyle w:val="Heading2"/>
      </w:pPr>
      <w:r w:rsidRPr="00B75016">
        <w:t>Cardiac disorders</w:t>
      </w:r>
    </w:p>
    <w:p w:rsidR="00B75016" w:rsidRPr="00B75016" w:rsidRDefault="00B75016" w:rsidP="003F4E96">
      <w:pPr>
        <w:autoSpaceDE w:val="0"/>
        <w:autoSpaceDN w:val="0"/>
        <w:adjustRightInd w:val="0"/>
        <w:spacing w:after="0"/>
        <w:ind w:firstLine="180"/>
        <w:rPr>
          <w:rFonts w:cs="Arial"/>
          <w:color w:val="000000"/>
        </w:rPr>
      </w:pPr>
      <w:r w:rsidRPr="00B75016">
        <w:rPr>
          <w:rFonts w:cs="Arial"/>
          <w:color w:val="000000"/>
        </w:rPr>
        <w:t>Common: Cardiac failure congestive</w:t>
      </w:r>
    </w:p>
    <w:p w:rsidR="00B75016" w:rsidRPr="00B75016" w:rsidRDefault="00B75016" w:rsidP="00DD4838">
      <w:pPr>
        <w:pStyle w:val="Heading2"/>
      </w:pPr>
      <w:r w:rsidRPr="00B75016">
        <w:t>Respiratory, thoracic and mediastinal disorders</w:t>
      </w:r>
    </w:p>
    <w:p w:rsidR="00B75016" w:rsidRPr="00B75016" w:rsidRDefault="00B75016" w:rsidP="003F4E96">
      <w:pPr>
        <w:autoSpaceDE w:val="0"/>
        <w:autoSpaceDN w:val="0"/>
        <w:adjustRightInd w:val="0"/>
        <w:spacing w:after="0"/>
        <w:ind w:firstLine="180"/>
        <w:rPr>
          <w:rFonts w:cs="Arial"/>
          <w:color w:val="000000"/>
        </w:rPr>
      </w:pPr>
      <w:r w:rsidRPr="00B75016">
        <w:rPr>
          <w:rFonts w:cs="Arial"/>
          <w:color w:val="000000"/>
        </w:rPr>
        <w:t xml:space="preserve">Common: Cough; </w:t>
      </w:r>
      <w:proofErr w:type="spellStart"/>
      <w:r w:rsidRPr="00B75016">
        <w:rPr>
          <w:rFonts w:cs="Arial"/>
          <w:color w:val="000000"/>
        </w:rPr>
        <w:t>Dyspnoea</w:t>
      </w:r>
      <w:proofErr w:type="spellEnd"/>
    </w:p>
    <w:p w:rsidR="00B75016" w:rsidRPr="00B75016" w:rsidRDefault="00B75016" w:rsidP="00DD4838">
      <w:pPr>
        <w:pStyle w:val="Heading2"/>
      </w:pPr>
      <w:r w:rsidRPr="00B75016">
        <w:t>Gastrointestinal disorders</w:t>
      </w:r>
    </w:p>
    <w:p w:rsidR="00B75016" w:rsidRPr="003F4E96" w:rsidRDefault="00B75016" w:rsidP="003F4E96">
      <w:pPr>
        <w:autoSpaceDE w:val="0"/>
        <w:autoSpaceDN w:val="0"/>
        <w:adjustRightInd w:val="0"/>
        <w:spacing w:after="0"/>
        <w:ind w:firstLine="180"/>
        <w:rPr>
          <w:rFonts w:cs="Arial"/>
          <w:color w:val="000000"/>
        </w:rPr>
      </w:pPr>
      <w:r w:rsidRPr="003F4E96">
        <w:rPr>
          <w:rFonts w:cs="Arial"/>
          <w:color w:val="000000"/>
        </w:rPr>
        <w:t xml:space="preserve">Very common: Abdominal distension; </w:t>
      </w:r>
      <w:proofErr w:type="gramStart"/>
      <w:r w:rsidRPr="003F4E96">
        <w:rPr>
          <w:rFonts w:cs="Arial"/>
          <w:color w:val="000000"/>
        </w:rPr>
        <w:t>Abdominal</w:t>
      </w:r>
      <w:proofErr w:type="gramEnd"/>
      <w:r w:rsidRPr="003F4E96">
        <w:rPr>
          <w:rFonts w:cs="Arial"/>
          <w:color w:val="000000"/>
        </w:rPr>
        <w:t xml:space="preserve"> pain; Flatulence; Nausea; Vomiting</w:t>
      </w:r>
    </w:p>
    <w:p w:rsidR="00B75016" w:rsidRPr="003F4E96" w:rsidRDefault="00B75016" w:rsidP="003F4E96">
      <w:pPr>
        <w:autoSpaceDE w:val="0"/>
        <w:autoSpaceDN w:val="0"/>
        <w:adjustRightInd w:val="0"/>
        <w:spacing w:after="0"/>
        <w:ind w:left="180"/>
        <w:rPr>
          <w:rFonts w:cs="Arial"/>
          <w:color w:val="000000"/>
        </w:rPr>
      </w:pPr>
      <w:r w:rsidRPr="003F4E96">
        <w:rPr>
          <w:rFonts w:cs="Arial"/>
          <w:color w:val="000000"/>
        </w:rPr>
        <w:t>Common: Colonic polyp; Intestinal obstruction; Pancreatitis*; Small intestinal stenosis</w:t>
      </w:r>
    </w:p>
    <w:p w:rsidR="00B75016" w:rsidRPr="003F4E96" w:rsidRDefault="00B75016" w:rsidP="003F4E96">
      <w:pPr>
        <w:autoSpaceDE w:val="0"/>
        <w:autoSpaceDN w:val="0"/>
        <w:adjustRightInd w:val="0"/>
        <w:spacing w:after="0"/>
        <w:ind w:firstLine="180"/>
        <w:rPr>
          <w:rFonts w:cs="Arial"/>
          <w:color w:val="000000"/>
        </w:rPr>
      </w:pPr>
      <w:r w:rsidRPr="003F4E96">
        <w:rPr>
          <w:rFonts w:cs="Arial"/>
          <w:color w:val="000000"/>
        </w:rPr>
        <w:t xml:space="preserve">Uncommon: Duodenal polyp; Colonic stenosis; </w:t>
      </w:r>
      <w:proofErr w:type="gramStart"/>
      <w:r w:rsidRPr="003F4E96">
        <w:rPr>
          <w:rFonts w:cs="Arial"/>
          <w:color w:val="000000"/>
        </w:rPr>
        <w:t>Pancreatic</w:t>
      </w:r>
      <w:proofErr w:type="gramEnd"/>
      <w:r w:rsidRPr="003F4E96">
        <w:rPr>
          <w:rFonts w:cs="Arial"/>
          <w:color w:val="000000"/>
        </w:rPr>
        <w:t xml:space="preserve"> duct stenosis</w:t>
      </w:r>
    </w:p>
    <w:p w:rsidR="00B75016" w:rsidRPr="003F4E96" w:rsidRDefault="00B75016" w:rsidP="00DD4838">
      <w:pPr>
        <w:pStyle w:val="Heading2"/>
      </w:pPr>
      <w:r w:rsidRPr="003F4E96">
        <w:t>Hepatobiliary disorders</w:t>
      </w:r>
    </w:p>
    <w:p w:rsidR="00B75016" w:rsidRPr="003F4E96" w:rsidRDefault="00B75016" w:rsidP="003F4E96">
      <w:pPr>
        <w:autoSpaceDE w:val="0"/>
        <w:autoSpaceDN w:val="0"/>
        <w:adjustRightInd w:val="0"/>
        <w:spacing w:after="0"/>
        <w:ind w:firstLine="180"/>
        <w:rPr>
          <w:rFonts w:cs="Arial"/>
          <w:color w:val="000000"/>
        </w:rPr>
      </w:pPr>
      <w:r w:rsidRPr="003F4E96">
        <w:rPr>
          <w:rFonts w:cs="Arial"/>
          <w:color w:val="000000"/>
        </w:rPr>
        <w:t>Common: Cholecystitis; Cholecystitis acute</w:t>
      </w:r>
    </w:p>
    <w:p w:rsidR="00B75016" w:rsidRPr="003F4E96" w:rsidRDefault="00B75016" w:rsidP="00DD4838">
      <w:pPr>
        <w:pStyle w:val="Heading2"/>
      </w:pPr>
      <w:r w:rsidRPr="003F4E96">
        <w:t>General disorders and administration site conditions</w:t>
      </w:r>
    </w:p>
    <w:p w:rsidR="00B75016" w:rsidRPr="003F4E96" w:rsidRDefault="00B75016" w:rsidP="003F4E96">
      <w:pPr>
        <w:autoSpaceDE w:val="0"/>
        <w:autoSpaceDN w:val="0"/>
        <w:adjustRightInd w:val="0"/>
        <w:spacing w:after="0"/>
        <w:ind w:firstLine="180"/>
        <w:rPr>
          <w:rFonts w:cs="Arial"/>
          <w:color w:val="000000"/>
        </w:rPr>
      </w:pPr>
      <w:r w:rsidRPr="003F4E96">
        <w:rPr>
          <w:rFonts w:cs="Arial"/>
          <w:color w:val="000000"/>
        </w:rPr>
        <w:t xml:space="preserve">Very common: Injection site reaction**; </w:t>
      </w:r>
      <w:proofErr w:type="spellStart"/>
      <w:r w:rsidRPr="003F4E96">
        <w:rPr>
          <w:rFonts w:cs="Arial"/>
          <w:color w:val="000000"/>
        </w:rPr>
        <w:t>Oedema</w:t>
      </w:r>
      <w:proofErr w:type="spellEnd"/>
      <w:r w:rsidRPr="003F4E96">
        <w:rPr>
          <w:rFonts w:cs="Arial"/>
          <w:color w:val="000000"/>
        </w:rPr>
        <w:t xml:space="preserve"> peripheral</w:t>
      </w:r>
    </w:p>
    <w:p w:rsidR="00B75016" w:rsidRPr="00DD4838" w:rsidRDefault="00B75016" w:rsidP="003F4E96">
      <w:pPr>
        <w:autoSpaceDE w:val="0"/>
        <w:autoSpaceDN w:val="0"/>
        <w:adjustRightInd w:val="0"/>
        <w:spacing w:after="0"/>
        <w:ind w:firstLine="180"/>
      </w:pPr>
      <w:r w:rsidRPr="003F4E96">
        <w:rPr>
          <w:rFonts w:cs="Arial"/>
          <w:color w:val="000000"/>
        </w:rPr>
        <w:t xml:space="preserve">Not known: </w:t>
      </w:r>
      <w:r w:rsidRPr="003F4E96">
        <w:rPr>
          <w:rFonts w:cs="Arial"/>
          <w:i/>
        </w:rPr>
        <w:t>Fluid retention</w:t>
      </w:r>
    </w:p>
    <w:p w:rsidR="00B75016" w:rsidRPr="003F4E96" w:rsidRDefault="00B75016" w:rsidP="00DD4838">
      <w:pPr>
        <w:pStyle w:val="Heading2"/>
      </w:pPr>
      <w:r w:rsidRPr="003F4E96">
        <w:t>Injury, poisoning and procedural complications</w:t>
      </w:r>
    </w:p>
    <w:p w:rsidR="00B75016" w:rsidRPr="003F4E96" w:rsidRDefault="00B75016" w:rsidP="003F4E96">
      <w:pPr>
        <w:autoSpaceDE w:val="0"/>
        <w:autoSpaceDN w:val="0"/>
        <w:adjustRightInd w:val="0"/>
        <w:spacing w:after="0"/>
        <w:ind w:firstLine="180"/>
        <w:rPr>
          <w:rFonts w:cs="Arial"/>
          <w:color w:val="000000"/>
        </w:rPr>
      </w:pPr>
      <w:r w:rsidRPr="003F4E96">
        <w:rPr>
          <w:rFonts w:cs="Arial"/>
          <w:color w:val="000000"/>
        </w:rPr>
        <w:t>Very common: Gastrointestinal stoma complication</w:t>
      </w:r>
    </w:p>
    <w:p w:rsidR="00B75016" w:rsidRPr="003F4E96" w:rsidRDefault="00B75016" w:rsidP="00B75016">
      <w:pPr>
        <w:spacing w:after="0"/>
        <w:rPr>
          <w:rFonts w:cs="Arial"/>
          <w:sz w:val="21"/>
          <w:szCs w:val="21"/>
        </w:rPr>
      </w:pPr>
      <w:r w:rsidRPr="003F4E96">
        <w:rPr>
          <w:rFonts w:cs="Arial"/>
          <w:sz w:val="21"/>
          <w:szCs w:val="21"/>
        </w:rPr>
        <w:t xml:space="preserve">*Includes the following preferred terms: Pancreatitis, </w:t>
      </w:r>
      <w:r w:rsidRPr="00CF5266">
        <w:rPr>
          <w:rFonts w:cs="Arial"/>
          <w:i/>
          <w:sz w:val="21"/>
          <w:szCs w:val="21"/>
        </w:rPr>
        <w:t>Pancreatitis acute</w:t>
      </w:r>
      <w:r w:rsidRPr="003F4E96">
        <w:rPr>
          <w:rFonts w:cs="Arial"/>
          <w:sz w:val="21"/>
          <w:szCs w:val="21"/>
        </w:rPr>
        <w:t>, and Pancreatitis chronic.</w:t>
      </w:r>
    </w:p>
    <w:p w:rsidR="00B75016" w:rsidRPr="003F4E96" w:rsidRDefault="00B75016" w:rsidP="00B75016">
      <w:pPr>
        <w:autoSpaceDE w:val="0"/>
        <w:autoSpaceDN w:val="0"/>
        <w:adjustRightInd w:val="0"/>
        <w:spacing w:after="0"/>
        <w:rPr>
          <w:rFonts w:eastAsia="TimesNewRoman" w:cs="Arial"/>
          <w:sz w:val="21"/>
          <w:szCs w:val="21"/>
        </w:rPr>
      </w:pPr>
      <w:r w:rsidRPr="003F4E96">
        <w:rPr>
          <w:rFonts w:cs="Arial"/>
          <w:sz w:val="21"/>
          <w:szCs w:val="21"/>
        </w:rPr>
        <w:t xml:space="preserve">**Includes the following preferred terms: Injection site </w:t>
      </w:r>
      <w:proofErr w:type="spellStart"/>
      <w:r w:rsidRPr="003F4E96">
        <w:rPr>
          <w:rFonts w:cs="Arial"/>
          <w:sz w:val="21"/>
          <w:szCs w:val="21"/>
        </w:rPr>
        <w:t>haematoma</w:t>
      </w:r>
      <w:proofErr w:type="spellEnd"/>
      <w:r w:rsidRPr="003F4E96">
        <w:rPr>
          <w:rFonts w:cs="Arial"/>
          <w:sz w:val="21"/>
          <w:szCs w:val="21"/>
        </w:rPr>
        <w:t xml:space="preserve">, Injection site erythema, Injection site pain, Injection site swelling and Injection site </w:t>
      </w:r>
      <w:proofErr w:type="spellStart"/>
      <w:r w:rsidRPr="003F4E96">
        <w:rPr>
          <w:rFonts w:cs="Arial"/>
          <w:sz w:val="21"/>
          <w:szCs w:val="21"/>
        </w:rPr>
        <w:t>haemorrhage</w:t>
      </w:r>
      <w:proofErr w:type="spellEnd"/>
      <w:r w:rsidRPr="003F4E96">
        <w:rPr>
          <w:rFonts w:cs="Arial"/>
          <w:sz w:val="21"/>
          <w:szCs w:val="21"/>
        </w:rPr>
        <w:t>.</w:t>
      </w:r>
    </w:p>
    <w:p w:rsidR="000432D2" w:rsidRPr="00275567" w:rsidRDefault="00F9490C" w:rsidP="00DD4838">
      <w:pPr>
        <w:pStyle w:val="Heading3"/>
      </w:pPr>
      <w:r w:rsidRPr="00275567">
        <w:t>Immunogen</w:t>
      </w:r>
      <w:r w:rsidR="00DD4838">
        <w:t>icity</w:t>
      </w:r>
    </w:p>
    <w:p w:rsidR="0023367F" w:rsidRDefault="00F9490C" w:rsidP="004C1849">
      <w:pPr>
        <w:pStyle w:val="BodyText"/>
        <w:keepNext/>
        <w:keepLines/>
        <w:spacing w:after="0"/>
        <w:jc w:val="left"/>
        <w:rPr>
          <w:rFonts w:cs="Arial"/>
          <w:szCs w:val="22"/>
        </w:rPr>
      </w:pPr>
      <w:r w:rsidRPr="007760E1">
        <w:rPr>
          <w:rFonts w:cs="Arial"/>
          <w:szCs w:val="22"/>
        </w:rPr>
        <w:t>Based on</w:t>
      </w:r>
      <w:r w:rsidR="00AD6196">
        <w:rPr>
          <w:rFonts w:cs="Arial"/>
          <w:szCs w:val="22"/>
        </w:rPr>
        <w:t xml:space="preserve"> </w:t>
      </w:r>
      <w:r w:rsidRPr="007760E1">
        <w:rPr>
          <w:rFonts w:cs="Arial"/>
          <w:szCs w:val="22"/>
        </w:rPr>
        <w:t xml:space="preserve">data from </w:t>
      </w:r>
      <w:r w:rsidR="003F4E96">
        <w:rPr>
          <w:rFonts w:cs="Arial"/>
          <w:szCs w:val="22"/>
        </w:rPr>
        <w:t xml:space="preserve">a trial and its extension </w:t>
      </w:r>
      <w:r w:rsidRPr="007760E1">
        <w:rPr>
          <w:rFonts w:cs="Arial"/>
          <w:szCs w:val="22"/>
        </w:rPr>
        <w:t xml:space="preserve">in adults with </w:t>
      </w:r>
      <w:r w:rsidR="003F4E96">
        <w:rPr>
          <w:rFonts w:cs="Arial"/>
          <w:szCs w:val="22"/>
        </w:rPr>
        <w:t xml:space="preserve">Short Bowel Syndrome </w:t>
      </w:r>
      <w:r w:rsidRPr="007760E1">
        <w:rPr>
          <w:rFonts w:cs="Arial"/>
          <w:szCs w:val="22"/>
        </w:rPr>
        <w:t>(a 6-month randomi</w:t>
      </w:r>
      <w:r w:rsidR="00B05887" w:rsidRPr="007760E1">
        <w:rPr>
          <w:rFonts w:cs="Arial"/>
          <w:szCs w:val="22"/>
        </w:rPr>
        <w:t>s</w:t>
      </w:r>
      <w:r w:rsidRPr="007760E1">
        <w:rPr>
          <w:rFonts w:cs="Arial"/>
          <w:szCs w:val="22"/>
        </w:rPr>
        <w:t>ed placebo-controlled trial, followed by a 24-month open-label</w:t>
      </w:r>
      <w:r w:rsidR="003F4E96">
        <w:rPr>
          <w:rFonts w:cs="Arial"/>
          <w:szCs w:val="22"/>
        </w:rPr>
        <w:t xml:space="preserve"> extension</w:t>
      </w:r>
      <w:r w:rsidRPr="007760E1">
        <w:rPr>
          <w:rFonts w:cs="Arial"/>
          <w:szCs w:val="22"/>
        </w:rPr>
        <w:t xml:space="preserve">), the </w:t>
      </w:r>
      <w:r w:rsidR="000D60E4" w:rsidRPr="007760E1">
        <w:rPr>
          <w:rFonts w:cs="Arial"/>
          <w:szCs w:val="22"/>
        </w:rPr>
        <w:t xml:space="preserve">development </w:t>
      </w:r>
      <w:r w:rsidRPr="007760E1">
        <w:rPr>
          <w:rFonts w:cs="Arial"/>
          <w:szCs w:val="22"/>
        </w:rPr>
        <w:t>of anti-teduglutide antibod</w:t>
      </w:r>
      <w:r w:rsidR="000D60E4" w:rsidRPr="007760E1">
        <w:rPr>
          <w:rFonts w:cs="Arial"/>
          <w:szCs w:val="22"/>
        </w:rPr>
        <w:t>ies</w:t>
      </w:r>
      <w:r w:rsidRPr="007760E1">
        <w:rPr>
          <w:rFonts w:cs="Arial"/>
          <w:szCs w:val="22"/>
        </w:rPr>
        <w:t xml:space="preserve"> </w:t>
      </w:r>
      <w:r w:rsidR="000D60E4" w:rsidRPr="007760E1">
        <w:rPr>
          <w:rFonts w:cs="Arial"/>
          <w:szCs w:val="22"/>
        </w:rPr>
        <w:t xml:space="preserve">in subjects who received subcutaneous administration of 0.05 mg/kg teduglutide once daily </w:t>
      </w:r>
      <w:r w:rsidRPr="007760E1">
        <w:rPr>
          <w:rFonts w:cs="Arial"/>
          <w:szCs w:val="22"/>
        </w:rPr>
        <w:t xml:space="preserve">was 3% (2/60) at Month 3, </w:t>
      </w:r>
      <w:r w:rsidR="000D60E4" w:rsidRPr="007760E1">
        <w:rPr>
          <w:rFonts w:cs="Arial"/>
          <w:szCs w:val="22"/>
        </w:rPr>
        <w:t>17</w:t>
      </w:r>
      <w:r w:rsidRPr="007760E1">
        <w:rPr>
          <w:rFonts w:cs="Arial"/>
          <w:szCs w:val="22"/>
        </w:rPr>
        <w:t>% (13/</w:t>
      </w:r>
      <w:r w:rsidR="000D60E4" w:rsidRPr="007760E1">
        <w:rPr>
          <w:rFonts w:cs="Arial"/>
          <w:szCs w:val="22"/>
        </w:rPr>
        <w:t>77</w:t>
      </w:r>
      <w:r w:rsidRPr="007760E1">
        <w:rPr>
          <w:rFonts w:cs="Arial"/>
          <w:szCs w:val="22"/>
        </w:rPr>
        <w:t xml:space="preserve">) at Month 6, </w:t>
      </w:r>
      <w:r w:rsidR="000D60E4" w:rsidRPr="007760E1">
        <w:rPr>
          <w:rFonts w:cs="Arial"/>
          <w:szCs w:val="22"/>
        </w:rPr>
        <w:t xml:space="preserve">24% (16/67) </w:t>
      </w:r>
      <w:r w:rsidRPr="007760E1">
        <w:rPr>
          <w:rFonts w:cs="Arial"/>
          <w:szCs w:val="22"/>
        </w:rPr>
        <w:t xml:space="preserve">at Month 12, </w:t>
      </w:r>
      <w:r w:rsidR="000D60E4" w:rsidRPr="007760E1">
        <w:rPr>
          <w:rFonts w:cs="Arial"/>
          <w:szCs w:val="22"/>
        </w:rPr>
        <w:t>33% (11/33)</w:t>
      </w:r>
      <w:r w:rsidRPr="007760E1">
        <w:rPr>
          <w:rFonts w:cs="Arial"/>
          <w:szCs w:val="22"/>
        </w:rPr>
        <w:t xml:space="preserve"> at Month 24 and 48% (14/29) at Month 30</w:t>
      </w:r>
      <w:r w:rsidR="0023367F">
        <w:rPr>
          <w:rFonts w:cs="Arial"/>
          <w:szCs w:val="22"/>
        </w:rPr>
        <w:t>.</w:t>
      </w:r>
    </w:p>
    <w:p w:rsidR="007760E1" w:rsidRPr="00F0139C" w:rsidRDefault="007760E1" w:rsidP="007760E1">
      <w:pPr>
        <w:pStyle w:val="BodyText"/>
        <w:keepNext/>
        <w:keepLines/>
        <w:spacing w:after="0"/>
        <w:jc w:val="left"/>
        <w:rPr>
          <w:rFonts w:cs="Arial"/>
          <w:szCs w:val="22"/>
        </w:rPr>
      </w:pPr>
      <w:r w:rsidRPr="00D32110">
        <w:rPr>
          <w:rFonts w:cs="Arial"/>
          <w:szCs w:val="22"/>
        </w:rPr>
        <w:t xml:space="preserve">The antibody formation has not been associated </w:t>
      </w:r>
      <w:r w:rsidRPr="00F0139C">
        <w:rPr>
          <w:rFonts w:cs="Arial"/>
          <w:szCs w:val="22"/>
        </w:rPr>
        <w:t>with clinically relevant safety findings, reduced efficacy or changed pharmacokinetics of R</w:t>
      </w:r>
      <w:r w:rsidR="00AD6196">
        <w:rPr>
          <w:rFonts w:cs="Arial"/>
          <w:szCs w:val="22"/>
        </w:rPr>
        <w:t>EVESTIVE</w:t>
      </w:r>
      <w:r w:rsidRPr="00F0139C">
        <w:rPr>
          <w:rFonts w:cs="Arial"/>
          <w:szCs w:val="22"/>
        </w:rPr>
        <w:t>.</w:t>
      </w:r>
    </w:p>
    <w:p w:rsidR="000432D2" w:rsidRDefault="00F9490C" w:rsidP="00DD4838">
      <w:pPr>
        <w:pStyle w:val="Heading1"/>
      </w:pPr>
      <w:r>
        <w:t>DO</w:t>
      </w:r>
      <w:r>
        <w:rPr>
          <w:spacing w:val="1"/>
        </w:rPr>
        <w:t>S</w:t>
      </w:r>
      <w:r>
        <w:t>AGE</w:t>
      </w:r>
      <w:r>
        <w:rPr>
          <w:spacing w:val="-10"/>
        </w:rPr>
        <w:t xml:space="preserve"> </w:t>
      </w:r>
      <w:r>
        <w:rPr>
          <w:spacing w:val="1"/>
        </w:rPr>
        <w:t>A</w:t>
      </w:r>
      <w:r>
        <w:t>ND</w:t>
      </w:r>
      <w:r>
        <w:rPr>
          <w:spacing w:val="-5"/>
        </w:rPr>
        <w:t xml:space="preserve"> </w:t>
      </w:r>
      <w:r>
        <w:rPr>
          <w:spacing w:val="1"/>
        </w:rPr>
        <w:t>A</w:t>
      </w:r>
      <w:r>
        <w:t>DM</w:t>
      </w:r>
      <w:r>
        <w:rPr>
          <w:spacing w:val="1"/>
        </w:rPr>
        <w:t>I</w:t>
      </w:r>
      <w:r>
        <w:t>NISTRAT</w:t>
      </w:r>
      <w:r>
        <w:rPr>
          <w:spacing w:val="1"/>
        </w:rPr>
        <w:t>I</w:t>
      </w:r>
      <w:r>
        <w:t>ON</w:t>
      </w:r>
    </w:p>
    <w:p w:rsidR="0023367F" w:rsidRDefault="00F9490C" w:rsidP="004C1849">
      <w:pPr>
        <w:widowControl/>
        <w:autoSpaceDE w:val="0"/>
        <w:autoSpaceDN w:val="0"/>
        <w:adjustRightInd w:val="0"/>
        <w:spacing w:after="0"/>
        <w:rPr>
          <w:rFonts w:eastAsia="Arial" w:cs="Arial"/>
          <w:bCs/>
          <w:lang w:val="en-AU"/>
        </w:rPr>
      </w:pPr>
      <w:r>
        <w:rPr>
          <w:rFonts w:eastAsia="Arial" w:cs="Arial"/>
          <w:bCs/>
          <w:lang w:val="en-AU"/>
        </w:rPr>
        <w:lastRenderedPageBreak/>
        <w:t>Treatment should be initiated under the supervision of a medical professional with experience in the treatment of SBS</w:t>
      </w:r>
      <w:r w:rsidR="0023367F">
        <w:rPr>
          <w:rFonts w:eastAsia="Arial" w:cs="Arial"/>
          <w:bCs/>
          <w:lang w:val="en-AU"/>
        </w:rPr>
        <w:t>.</w:t>
      </w:r>
    </w:p>
    <w:p w:rsidR="000432D2" w:rsidRDefault="0023367F" w:rsidP="00DD4838">
      <w:pPr>
        <w:pStyle w:val="Heading2"/>
      </w:pPr>
      <w:r>
        <w:t>Dosage</w:t>
      </w:r>
    </w:p>
    <w:p w:rsidR="0023367F" w:rsidRDefault="00F9490C" w:rsidP="004C1849">
      <w:pPr>
        <w:pStyle w:val="Default"/>
        <w:rPr>
          <w:rFonts w:ascii="Arial" w:eastAsia="Arial" w:hAnsi="Arial" w:cs="Arial"/>
          <w:bCs/>
          <w:sz w:val="22"/>
          <w:szCs w:val="22"/>
        </w:rPr>
      </w:pPr>
      <w:r w:rsidRPr="00BE15D3">
        <w:rPr>
          <w:rFonts w:ascii="Arial" w:eastAsia="Arial" w:hAnsi="Arial" w:cs="Arial"/>
          <w:bCs/>
          <w:sz w:val="22"/>
          <w:szCs w:val="22"/>
        </w:rPr>
        <w:t>T</w:t>
      </w:r>
      <w:r w:rsidR="00D33C7A" w:rsidRPr="00BE15D3">
        <w:rPr>
          <w:rFonts w:ascii="Arial" w:eastAsia="Arial" w:hAnsi="Arial" w:cs="Arial"/>
          <w:bCs/>
          <w:sz w:val="22"/>
          <w:szCs w:val="22"/>
        </w:rPr>
        <w:t>he recommended daily dose of REVESTIVE</w:t>
      </w:r>
      <w:r w:rsidRPr="00BE15D3">
        <w:rPr>
          <w:rFonts w:ascii="Arial" w:eastAsia="Arial" w:hAnsi="Arial" w:cs="Arial"/>
          <w:bCs/>
          <w:sz w:val="22"/>
          <w:szCs w:val="22"/>
        </w:rPr>
        <w:t xml:space="preserve"> is 0.05 mg/kg body weight administered by subcutaneous injection once daily</w:t>
      </w:r>
      <w:r w:rsidR="0023367F">
        <w:rPr>
          <w:rFonts w:ascii="Arial" w:eastAsia="Arial" w:hAnsi="Arial" w:cs="Arial"/>
          <w:bCs/>
          <w:sz w:val="22"/>
          <w:szCs w:val="22"/>
        </w:rPr>
        <w:t>.</w:t>
      </w:r>
    </w:p>
    <w:p w:rsidR="0023367F" w:rsidRDefault="00CA6C4F" w:rsidP="0023367F">
      <w:r>
        <w:t xml:space="preserve">After reconstitution with the solvent (0.5 mL water for injections), the prepared solution from each vial contains 10 mg/mL of </w:t>
      </w:r>
      <w:proofErr w:type="spellStart"/>
      <w:r>
        <w:t>teduglutide</w:t>
      </w:r>
      <w:proofErr w:type="spellEnd"/>
      <w:r w:rsidR="0023367F">
        <w:t>.</w:t>
      </w:r>
    </w:p>
    <w:p w:rsidR="0023367F" w:rsidRDefault="00095B72" w:rsidP="00387DE1">
      <w:pPr>
        <w:pStyle w:val="Default"/>
        <w:rPr>
          <w:rFonts w:ascii="Arial" w:eastAsia="Arial" w:hAnsi="Arial" w:cs="Arial"/>
          <w:bCs/>
          <w:sz w:val="22"/>
          <w:szCs w:val="22"/>
        </w:rPr>
      </w:pPr>
      <w:r w:rsidRPr="00BE15D3">
        <w:rPr>
          <w:rFonts w:ascii="Arial" w:eastAsia="Arial" w:hAnsi="Arial" w:cs="Arial"/>
          <w:bCs/>
          <w:sz w:val="22"/>
          <w:szCs w:val="22"/>
        </w:rPr>
        <w:t>Treatment effect should be evaluated on an ongoing basis. Clinical assessment by the</w:t>
      </w:r>
      <w:r w:rsidR="00387DE1" w:rsidRPr="00BE15D3">
        <w:rPr>
          <w:rFonts w:ascii="Arial" w:eastAsia="Arial" w:hAnsi="Arial" w:cs="Arial"/>
          <w:bCs/>
          <w:sz w:val="22"/>
          <w:szCs w:val="22"/>
        </w:rPr>
        <w:t xml:space="preserve"> </w:t>
      </w:r>
      <w:r w:rsidR="00F9490C" w:rsidRPr="00BE15D3">
        <w:rPr>
          <w:rFonts w:ascii="Arial" w:eastAsia="Arial" w:hAnsi="Arial" w:cs="Arial"/>
          <w:bCs/>
          <w:sz w:val="22"/>
          <w:szCs w:val="22"/>
        </w:rPr>
        <w:t>physician should consider individual treatment objectives and patient preferences. If no overall improvement is achieved after 12 months, the need for continued treatment should be assessed</w:t>
      </w:r>
      <w:r w:rsidR="0023367F">
        <w:rPr>
          <w:rFonts w:ascii="Arial" w:eastAsia="Arial" w:hAnsi="Arial" w:cs="Arial"/>
          <w:bCs/>
          <w:sz w:val="22"/>
          <w:szCs w:val="22"/>
        </w:rPr>
        <w:t>.</w:t>
      </w:r>
    </w:p>
    <w:p w:rsidR="0023367F" w:rsidRDefault="00F9490C" w:rsidP="004C1849">
      <w:pPr>
        <w:widowControl/>
        <w:autoSpaceDE w:val="0"/>
        <w:autoSpaceDN w:val="0"/>
        <w:adjustRightInd w:val="0"/>
        <w:spacing w:after="0"/>
        <w:rPr>
          <w:rFonts w:eastAsia="Arial" w:cs="Arial"/>
          <w:bCs/>
          <w:lang w:val="en-AU"/>
        </w:rPr>
      </w:pPr>
      <w:r>
        <w:rPr>
          <w:rFonts w:eastAsia="Arial" w:cs="Arial"/>
          <w:bCs/>
          <w:lang w:val="en-AU"/>
        </w:rPr>
        <w:t>Continued treatment is recommended for patients who have weaned off parenteral nutrition</w:t>
      </w:r>
      <w:r w:rsidR="0023367F">
        <w:rPr>
          <w:rFonts w:eastAsia="Arial" w:cs="Arial"/>
          <w:bCs/>
          <w:lang w:val="en-AU"/>
        </w:rPr>
        <w:t>.</w:t>
      </w:r>
    </w:p>
    <w:p w:rsidR="000432D2" w:rsidRDefault="00DD4838" w:rsidP="00DD4838">
      <w:pPr>
        <w:pStyle w:val="Heading3"/>
      </w:pPr>
      <w:r>
        <w:t>Special populations</w:t>
      </w:r>
    </w:p>
    <w:p w:rsidR="000432D2" w:rsidRDefault="00F9490C" w:rsidP="004C1849">
      <w:pPr>
        <w:widowControl/>
        <w:autoSpaceDE w:val="0"/>
        <w:autoSpaceDN w:val="0"/>
        <w:adjustRightInd w:val="0"/>
        <w:spacing w:after="0"/>
        <w:rPr>
          <w:rFonts w:eastAsia="Arial" w:cs="Arial"/>
          <w:bCs/>
          <w:lang w:val="en-AU"/>
        </w:rPr>
      </w:pPr>
      <w:r>
        <w:rPr>
          <w:rFonts w:eastAsia="Arial" w:cs="Arial"/>
          <w:bCs/>
          <w:i/>
          <w:lang w:val="en-AU"/>
        </w:rPr>
        <w:t xml:space="preserve">Elderly: </w:t>
      </w:r>
      <w:r>
        <w:rPr>
          <w:rFonts w:eastAsia="Arial" w:cs="Arial"/>
          <w:bCs/>
          <w:lang w:val="en-AU"/>
        </w:rPr>
        <w:t>No dose adjustment is necessary in patients above the age of 65 years.</w:t>
      </w:r>
    </w:p>
    <w:p w:rsidR="00345334" w:rsidRDefault="00345334" w:rsidP="00345334">
      <w:pPr>
        <w:widowControl/>
        <w:autoSpaceDE w:val="0"/>
        <w:autoSpaceDN w:val="0"/>
        <w:adjustRightInd w:val="0"/>
        <w:spacing w:after="0"/>
        <w:rPr>
          <w:rFonts w:eastAsia="Arial" w:cs="Arial"/>
          <w:bCs/>
          <w:lang w:val="en-AU"/>
        </w:rPr>
      </w:pPr>
      <w:r>
        <w:rPr>
          <w:rFonts w:eastAsia="Arial" w:cs="Arial"/>
          <w:bCs/>
          <w:i/>
          <w:lang w:val="en-AU"/>
        </w:rPr>
        <w:t xml:space="preserve">Hepatic impairment: </w:t>
      </w:r>
      <w:r>
        <w:rPr>
          <w:rFonts w:eastAsia="Arial" w:cs="Arial"/>
          <w:bCs/>
          <w:lang w:val="en-AU"/>
        </w:rPr>
        <w:t>No dose adjustment is necessary for patients with mild and moderate hepatic impairment based on a study conducted in Child-Pugh</w:t>
      </w:r>
      <w:r w:rsidR="006A7420">
        <w:rPr>
          <w:rFonts w:eastAsia="Arial" w:cs="Arial"/>
          <w:bCs/>
          <w:lang w:val="en-AU"/>
        </w:rPr>
        <w:t xml:space="preserve"> g</w:t>
      </w:r>
      <w:r>
        <w:rPr>
          <w:rFonts w:eastAsia="Arial" w:cs="Arial"/>
          <w:bCs/>
          <w:lang w:val="en-AU"/>
        </w:rPr>
        <w:t xml:space="preserve">rade B subjects. </w:t>
      </w:r>
      <w:r w:rsidR="00A47762">
        <w:rPr>
          <w:rFonts w:eastAsia="Arial" w:cs="Arial"/>
          <w:bCs/>
          <w:lang w:val="en-AU"/>
        </w:rPr>
        <w:t xml:space="preserve">Teduglutide </w:t>
      </w:r>
      <w:r>
        <w:rPr>
          <w:rFonts w:eastAsia="Arial" w:cs="Arial"/>
          <w:bCs/>
          <w:lang w:val="en-AU"/>
        </w:rPr>
        <w:t xml:space="preserve">has not been </w:t>
      </w:r>
      <w:r w:rsidR="00A47762">
        <w:rPr>
          <w:rFonts w:eastAsia="Arial" w:cs="Arial"/>
          <w:bCs/>
          <w:lang w:val="en-AU"/>
        </w:rPr>
        <w:t xml:space="preserve">formally </w:t>
      </w:r>
      <w:r>
        <w:rPr>
          <w:rFonts w:eastAsia="Arial" w:cs="Arial"/>
          <w:bCs/>
          <w:lang w:val="en-AU"/>
        </w:rPr>
        <w:t>studied in subjects with severe hepatic impairment.</w:t>
      </w:r>
    </w:p>
    <w:p w:rsidR="0023367F" w:rsidRDefault="00F9490C" w:rsidP="004C1849">
      <w:pPr>
        <w:widowControl/>
        <w:autoSpaceDE w:val="0"/>
        <w:autoSpaceDN w:val="0"/>
        <w:adjustRightInd w:val="0"/>
        <w:spacing w:after="0"/>
        <w:rPr>
          <w:rFonts w:eastAsia="Arial" w:cs="Arial"/>
          <w:bCs/>
          <w:lang w:val="en-AU"/>
        </w:rPr>
      </w:pPr>
      <w:r>
        <w:rPr>
          <w:rFonts w:eastAsia="Arial" w:cs="Arial"/>
          <w:bCs/>
          <w:i/>
          <w:lang w:val="en-AU"/>
        </w:rPr>
        <w:t xml:space="preserve">Renal impairment: </w:t>
      </w:r>
      <w:r>
        <w:rPr>
          <w:rFonts w:eastAsia="Arial" w:cs="Arial"/>
          <w:bCs/>
          <w:lang w:val="en-AU"/>
        </w:rPr>
        <w:t>Reduce the dose by 50% in patients with moderate and severe renal impairment (creatinine clearance less than 50 mL/min), and end-stage renal disease. No dose adjustment is necessary for patients with mild renal impairment</w:t>
      </w:r>
      <w:r w:rsidR="0023367F">
        <w:rPr>
          <w:rFonts w:eastAsia="Arial" w:cs="Arial"/>
          <w:bCs/>
          <w:lang w:val="en-AU"/>
        </w:rPr>
        <w:t>.</w:t>
      </w:r>
    </w:p>
    <w:p w:rsidR="0023367F" w:rsidRDefault="00F9490C" w:rsidP="004C1849">
      <w:pPr>
        <w:widowControl/>
        <w:autoSpaceDE w:val="0"/>
        <w:autoSpaceDN w:val="0"/>
        <w:adjustRightInd w:val="0"/>
        <w:spacing w:after="0"/>
        <w:rPr>
          <w:rFonts w:eastAsia="Arial" w:cs="Arial"/>
          <w:bCs/>
          <w:lang w:val="en-AU"/>
        </w:rPr>
      </w:pPr>
      <w:r>
        <w:rPr>
          <w:rFonts w:eastAsia="Arial" w:cs="Arial"/>
          <w:bCs/>
          <w:i/>
          <w:lang w:val="en-AU"/>
        </w:rPr>
        <w:t xml:space="preserve">Paediatric population: </w:t>
      </w:r>
      <w:r>
        <w:rPr>
          <w:rFonts w:eastAsia="Arial" w:cs="Arial"/>
          <w:bCs/>
          <w:lang w:val="en-AU"/>
        </w:rPr>
        <w:t>Safety and efficacy in paediatric patients have not been established</w:t>
      </w:r>
      <w:r w:rsidR="0023367F">
        <w:rPr>
          <w:rFonts w:eastAsia="Arial" w:cs="Arial"/>
          <w:bCs/>
          <w:lang w:val="en-AU"/>
        </w:rPr>
        <w:t>.</w:t>
      </w:r>
    </w:p>
    <w:p w:rsidR="000432D2" w:rsidRDefault="00DD4838" w:rsidP="00DD4838">
      <w:pPr>
        <w:pStyle w:val="Heading2"/>
      </w:pPr>
      <w:r>
        <w:t>Administration</w:t>
      </w:r>
    </w:p>
    <w:p w:rsidR="0023367F" w:rsidRDefault="00F9490C" w:rsidP="00C2604C">
      <w:pPr>
        <w:widowControl/>
        <w:autoSpaceDE w:val="0"/>
        <w:autoSpaceDN w:val="0"/>
        <w:adjustRightInd w:val="0"/>
        <w:spacing w:after="0"/>
        <w:rPr>
          <w:rFonts w:eastAsia="Arial" w:cs="Arial"/>
          <w:bCs/>
          <w:lang w:val="en-AU"/>
        </w:rPr>
      </w:pPr>
      <w:r>
        <w:rPr>
          <w:rFonts w:eastAsia="Arial" w:cs="Arial"/>
          <w:bCs/>
          <w:lang w:val="en-AU"/>
        </w:rPr>
        <w:t>Detailed instructions on the preparation (including assembly of the pre-filled syringe, dissolving the powder, preparing the injection syringe) and injection of REVESTIVE reconstituted solution are provided in the package leaflet</w:t>
      </w:r>
      <w:r w:rsidR="0023367F">
        <w:rPr>
          <w:rFonts w:eastAsia="Arial" w:cs="Arial"/>
          <w:bCs/>
          <w:lang w:val="en-AU"/>
        </w:rPr>
        <w:t>.</w:t>
      </w:r>
    </w:p>
    <w:p w:rsidR="0023367F" w:rsidRDefault="00F9490C" w:rsidP="00C2604C">
      <w:pPr>
        <w:widowControl/>
        <w:autoSpaceDE w:val="0"/>
        <w:autoSpaceDN w:val="0"/>
        <w:adjustRightInd w:val="0"/>
        <w:spacing w:after="0"/>
        <w:rPr>
          <w:rFonts w:cs="Arial"/>
        </w:rPr>
      </w:pPr>
      <w:r>
        <w:rPr>
          <w:rFonts w:eastAsia="Arial" w:cs="Arial"/>
          <w:bCs/>
        </w:rPr>
        <w:t xml:space="preserve">The reconstituted solution must be injected subcutaneously into a cleaned area on the abdomen, or if this is not possible, on the thigh using a thin needle for subcutaneous injection. REVESTIVE </w:t>
      </w:r>
      <w:r>
        <w:rPr>
          <w:rFonts w:cs="Arial"/>
        </w:rPr>
        <w:t>should not be administered intravenously or intramuscularly</w:t>
      </w:r>
      <w:r w:rsidR="0023367F">
        <w:rPr>
          <w:rFonts w:cs="Arial"/>
        </w:rPr>
        <w:t>.</w:t>
      </w:r>
    </w:p>
    <w:p w:rsidR="0023367F" w:rsidRDefault="00F9490C" w:rsidP="0023367F">
      <w:r>
        <w:t>Alternation of sites for subcutaneous injection is recommended. Sites of injection include the thighs, arms, and the quadrants of the abdomen</w:t>
      </w:r>
      <w:r w:rsidR="0023367F">
        <w:t>.</w:t>
      </w:r>
    </w:p>
    <w:p w:rsidR="00F243A4" w:rsidRDefault="00F9490C" w:rsidP="00DD4838">
      <w:r>
        <w:t xml:space="preserve">Determination of the number of vials needed for administration of one dose must be based on the individual patient’s weight and the recommended dose of 0.05 mg/kg/day. The physician should at each visit weigh the patient, determine the daily dose to be administered until next visit and inform the patient accordingly. A table with the injection volume per </w:t>
      </w:r>
      <w:r w:rsidR="00DD4838">
        <w:t>body weight is provided below:</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d a list with the injection volume per body weight. "/>
      </w:tblPr>
      <w:tblGrid>
        <w:gridCol w:w="1890"/>
        <w:gridCol w:w="3240"/>
      </w:tblGrid>
      <w:tr w:rsidR="000432D2" w:rsidRPr="00FC3C2D" w:rsidTr="00DD4838">
        <w:trPr>
          <w:tblHeader/>
        </w:trPr>
        <w:tc>
          <w:tcPr>
            <w:tcW w:w="1890" w:type="dxa"/>
            <w:shd w:val="clear" w:color="auto" w:fill="auto"/>
          </w:tcPr>
          <w:p w:rsidR="000432D2" w:rsidRPr="00FC3C2D" w:rsidRDefault="00F91F9D" w:rsidP="00FC3C2D">
            <w:pPr>
              <w:widowControl/>
              <w:autoSpaceDE w:val="0"/>
              <w:autoSpaceDN w:val="0"/>
              <w:adjustRightInd w:val="0"/>
              <w:spacing w:after="0"/>
              <w:rPr>
                <w:rFonts w:cs="Arial"/>
                <w:b/>
              </w:rPr>
            </w:pPr>
            <w:r>
              <w:rPr>
                <w:rFonts w:cs="Arial"/>
              </w:rPr>
              <w:br w:type="page"/>
            </w:r>
            <w:r w:rsidR="00F243A4" w:rsidRPr="00FC3C2D">
              <w:rPr>
                <w:rFonts w:cs="Arial"/>
              </w:rPr>
              <w:br w:type="page"/>
            </w:r>
            <w:r w:rsidR="00F9490C" w:rsidRPr="00FC3C2D">
              <w:rPr>
                <w:rFonts w:cs="Arial"/>
                <w:b/>
              </w:rPr>
              <w:t>Body weight</w:t>
            </w:r>
          </w:p>
        </w:tc>
        <w:tc>
          <w:tcPr>
            <w:tcW w:w="3240" w:type="dxa"/>
            <w:shd w:val="clear" w:color="auto" w:fill="auto"/>
          </w:tcPr>
          <w:p w:rsidR="000432D2" w:rsidRPr="00FC3C2D" w:rsidRDefault="00F9490C" w:rsidP="00FC3C2D">
            <w:pPr>
              <w:widowControl/>
              <w:autoSpaceDE w:val="0"/>
              <w:autoSpaceDN w:val="0"/>
              <w:adjustRightInd w:val="0"/>
              <w:spacing w:after="0"/>
              <w:rPr>
                <w:rFonts w:cs="Arial"/>
                <w:b/>
              </w:rPr>
            </w:pPr>
            <w:r w:rsidRPr="00FC3C2D">
              <w:rPr>
                <w:rFonts w:cs="Arial"/>
                <w:b/>
              </w:rPr>
              <w:t>Volume to be injected</w:t>
            </w:r>
          </w:p>
        </w:tc>
      </w:tr>
      <w:tr w:rsidR="000432D2" w:rsidRPr="00FC3C2D" w:rsidTr="00FC3C2D">
        <w:tc>
          <w:tcPr>
            <w:tcW w:w="1890" w:type="dxa"/>
            <w:shd w:val="clear" w:color="auto" w:fill="auto"/>
          </w:tcPr>
          <w:p w:rsidR="000432D2" w:rsidRPr="00FC3C2D" w:rsidRDefault="00F9490C" w:rsidP="00FC3C2D">
            <w:pPr>
              <w:widowControl/>
              <w:autoSpaceDE w:val="0"/>
              <w:autoSpaceDN w:val="0"/>
              <w:adjustRightInd w:val="0"/>
              <w:spacing w:after="0"/>
              <w:rPr>
                <w:rFonts w:cs="Arial"/>
              </w:rPr>
            </w:pPr>
            <w:r w:rsidRPr="00FC3C2D">
              <w:rPr>
                <w:rFonts w:cs="Arial"/>
              </w:rPr>
              <w:t>38-41 kg</w:t>
            </w:r>
          </w:p>
        </w:tc>
        <w:tc>
          <w:tcPr>
            <w:tcW w:w="3240" w:type="dxa"/>
            <w:shd w:val="clear" w:color="auto" w:fill="auto"/>
          </w:tcPr>
          <w:p w:rsidR="000432D2" w:rsidRPr="00FC3C2D" w:rsidRDefault="00F9490C" w:rsidP="00FC3C2D">
            <w:pPr>
              <w:widowControl/>
              <w:autoSpaceDE w:val="0"/>
              <w:autoSpaceDN w:val="0"/>
              <w:adjustRightInd w:val="0"/>
              <w:spacing w:after="0"/>
              <w:rPr>
                <w:rFonts w:cs="Arial"/>
              </w:rPr>
            </w:pPr>
            <w:r w:rsidRPr="00FC3C2D">
              <w:rPr>
                <w:rFonts w:cs="Arial"/>
              </w:rPr>
              <w:t>0.20 mL</w:t>
            </w:r>
          </w:p>
        </w:tc>
      </w:tr>
      <w:tr w:rsidR="000432D2" w:rsidRPr="00FC3C2D" w:rsidTr="00FC3C2D">
        <w:trPr>
          <w:trHeight w:val="233"/>
        </w:trPr>
        <w:tc>
          <w:tcPr>
            <w:tcW w:w="1890" w:type="dxa"/>
            <w:shd w:val="clear" w:color="auto" w:fill="auto"/>
          </w:tcPr>
          <w:p w:rsidR="000432D2" w:rsidRPr="00FC3C2D" w:rsidRDefault="00F9490C" w:rsidP="00FC3C2D">
            <w:pPr>
              <w:widowControl/>
              <w:autoSpaceDE w:val="0"/>
              <w:autoSpaceDN w:val="0"/>
              <w:adjustRightInd w:val="0"/>
              <w:spacing w:after="0"/>
              <w:rPr>
                <w:rFonts w:cs="Arial"/>
              </w:rPr>
            </w:pPr>
            <w:r w:rsidRPr="00FC3C2D">
              <w:rPr>
                <w:rFonts w:cs="Arial"/>
              </w:rPr>
              <w:t>42-45 kg</w:t>
            </w:r>
          </w:p>
        </w:tc>
        <w:tc>
          <w:tcPr>
            <w:tcW w:w="3240" w:type="dxa"/>
            <w:shd w:val="clear" w:color="auto" w:fill="auto"/>
          </w:tcPr>
          <w:p w:rsidR="000432D2" w:rsidRPr="00FC3C2D" w:rsidRDefault="00F9490C" w:rsidP="00FC3C2D">
            <w:pPr>
              <w:spacing w:after="0"/>
            </w:pPr>
            <w:r w:rsidRPr="00FC3C2D">
              <w:rPr>
                <w:rFonts w:cs="Arial"/>
              </w:rPr>
              <w:t>0.22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46-49 kg</w:t>
            </w:r>
          </w:p>
        </w:tc>
        <w:tc>
          <w:tcPr>
            <w:tcW w:w="3240" w:type="dxa"/>
            <w:shd w:val="clear" w:color="auto" w:fill="auto"/>
          </w:tcPr>
          <w:p w:rsidR="000432D2" w:rsidRPr="00FC3C2D" w:rsidRDefault="00F9490C" w:rsidP="00FC3C2D">
            <w:pPr>
              <w:spacing w:after="0"/>
            </w:pPr>
            <w:r w:rsidRPr="00FC3C2D">
              <w:rPr>
                <w:rFonts w:cs="Arial"/>
              </w:rPr>
              <w:t>0.24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50-53 kg</w:t>
            </w:r>
          </w:p>
        </w:tc>
        <w:tc>
          <w:tcPr>
            <w:tcW w:w="3240" w:type="dxa"/>
            <w:shd w:val="clear" w:color="auto" w:fill="auto"/>
          </w:tcPr>
          <w:p w:rsidR="000432D2" w:rsidRPr="00FC3C2D" w:rsidRDefault="00F9490C" w:rsidP="00FC3C2D">
            <w:pPr>
              <w:spacing w:after="0"/>
            </w:pPr>
            <w:r w:rsidRPr="00FC3C2D">
              <w:rPr>
                <w:rFonts w:cs="Arial"/>
              </w:rPr>
              <w:t>0.26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54-57 kg</w:t>
            </w:r>
          </w:p>
        </w:tc>
        <w:tc>
          <w:tcPr>
            <w:tcW w:w="3240" w:type="dxa"/>
            <w:shd w:val="clear" w:color="auto" w:fill="auto"/>
          </w:tcPr>
          <w:p w:rsidR="000432D2" w:rsidRPr="00FC3C2D" w:rsidRDefault="00F9490C" w:rsidP="00FC3C2D">
            <w:pPr>
              <w:spacing w:after="0"/>
            </w:pPr>
            <w:r w:rsidRPr="00FC3C2D">
              <w:rPr>
                <w:rFonts w:cs="Arial"/>
              </w:rPr>
              <w:t>0.28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58-61 kg</w:t>
            </w:r>
          </w:p>
        </w:tc>
        <w:tc>
          <w:tcPr>
            <w:tcW w:w="3240" w:type="dxa"/>
            <w:shd w:val="clear" w:color="auto" w:fill="auto"/>
          </w:tcPr>
          <w:p w:rsidR="000432D2" w:rsidRPr="00FC3C2D" w:rsidRDefault="00F9490C" w:rsidP="00FC3C2D">
            <w:pPr>
              <w:spacing w:after="0"/>
            </w:pPr>
            <w:r w:rsidRPr="00FC3C2D">
              <w:rPr>
                <w:rFonts w:cs="Arial"/>
              </w:rPr>
              <w:t>0.30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62-65 kg</w:t>
            </w:r>
          </w:p>
        </w:tc>
        <w:tc>
          <w:tcPr>
            <w:tcW w:w="3240" w:type="dxa"/>
            <w:shd w:val="clear" w:color="auto" w:fill="auto"/>
          </w:tcPr>
          <w:p w:rsidR="000432D2" w:rsidRPr="00FC3C2D" w:rsidRDefault="00F9490C" w:rsidP="00FC3C2D">
            <w:pPr>
              <w:spacing w:after="0"/>
            </w:pPr>
            <w:r w:rsidRPr="00FC3C2D">
              <w:rPr>
                <w:rFonts w:cs="Arial"/>
              </w:rPr>
              <w:t>0.32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lastRenderedPageBreak/>
              <w:t>66-69 kg</w:t>
            </w:r>
          </w:p>
        </w:tc>
        <w:tc>
          <w:tcPr>
            <w:tcW w:w="3240" w:type="dxa"/>
            <w:shd w:val="clear" w:color="auto" w:fill="auto"/>
          </w:tcPr>
          <w:p w:rsidR="000432D2" w:rsidRPr="00FC3C2D" w:rsidRDefault="00F9490C" w:rsidP="00FC3C2D">
            <w:pPr>
              <w:spacing w:after="0"/>
            </w:pPr>
            <w:r w:rsidRPr="00FC3C2D">
              <w:rPr>
                <w:rFonts w:cs="Arial"/>
              </w:rPr>
              <w:t>0.34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70-73 kg</w:t>
            </w:r>
          </w:p>
        </w:tc>
        <w:tc>
          <w:tcPr>
            <w:tcW w:w="3240" w:type="dxa"/>
            <w:shd w:val="clear" w:color="auto" w:fill="auto"/>
          </w:tcPr>
          <w:p w:rsidR="000432D2" w:rsidRPr="00FC3C2D" w:rsidRDefault="00F9490C" w:rsidP="00FC3C2D">
            <w:pPr>
              <w:spacing w:after="0"/>
            </w:pPr>
            <w:r w:rsidRPr="00FC3C2D">
              <w:rPr>
                <w:rFonts w:cs="Arial"/>
              </w:rPr>
              <w:t>0.36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74-77 kg</w:t>
            </w:r>
          </w:p>
        </w:tc>
        <w:tc>
          <w:tcPr>
            <w:tcW w:w="3240" w:type="dxa"/>
            <w:shd w:val="clear" w:color="auto" w:fill="auto"/>
          </w:tcPr>
          <w:p w:rsidR="000432D2" w:rsidRPr="00FC3C2D" w:rsidRDefault="00F9490C" w:rsidP="00FC3C2D">
            <w:pPr>
              <w:spacing w:after="0"/>
            </w:pPr>
            <w:r w:rsidRPr="00FC3C2D">
              <w:rPr>
                <w:rFonts w:cs="Arial"/>
              </w:rPr>
              <w:t>0.38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78-81 kg</w:t>
            </w:r>
          </w:p>
        </w:tc>
        <w:tc>
          <w:tcPr>
            <w:tcW w:w="3240" w:type="dxa"/>
            <w:shd w:val="clear" w:color="auto" w:fill="auto"/>
          </w:tcPr>
          <w:p w:rsidR="000432D2" w:rsidRPr="00FC3C2D" w:rsidRDefault="00F9490C" w:rsidP="00FC3C2D">
            <w:pPr>
              <w:spacing w:after="0"/>
            </w:pPr>
            <w:r w:rsidRPr="00FC3C2D">
              <w:rPr>
                <w:rFonts w:cs="Arial"/>
              </w:rPr>
              <w:t>0.40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82-85 kg</w:t>
            </w:r>
          </w:p>
        </w:tc>
        <w:tc>
          <w:tcPr>
            <w:tcW w:w="3240" w:type="dxa"/>
            <w:shd w:val="clear" w:color="auto" w:fill="auto"/>
          </w:tcPr>
          <w:p w:rsidR="000432D2" w:rsidRPr="00FC3C2D" w:rsidRDefault="00F9490C" w:rsidP="00FC3C2D">
            <w:pPr>
              <w:spacing w:after="0"/>
            </w:pPr>
            <w:r w:rsidRPr="00FC3C2D">
              <w:rPr>
                <w:rFonts w:cs="Arial"/>
              </w:rPr>
              <w:t>0.42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86-89 kg</w:t>
            </w:r>
          </w:p>
        </w:tc>
        <w:tc>
          <w:tcPr>
            <w:tcW w:w="3240" w:type="dxa"/>
            <w:shd w:val="clear" w:color="auto" w:fill="auto"/>
          </w:tcPr>
          <w:p w:rsidR="000432D2" w:rsidRPr="00FC3C2D" w:rsidRDefault="00F9490C" w:rsidP="00FC3C2D">
            <w:pPr>
              <w:spacing w:after="0"/>
            </w:pPr>
            <w:r w:rsidRPr="00FC3C2D">
              <w:rPr>
                <w:rFonts w:cs="Arial"/>
              </w:rPr>
              <w:t>0.44 mL</w:t>
            </w:r>
          </w:p>
        </w:tc>
      </w:tr>
      <w:tr w:rsidR="000432D2" w:rsidRPr="00FC3C2D" w:rsidTr="00FC3C2D">
        <w:tc>
          <w:tcPr>
            <w:tcW w:w="1890" w:type="dxa"/>
            <w:shd w:val="clear" w:color="auto" w:fill="auto"/>
          </w:tcPr>
          <w:p w:rsidR="000432D2" w:rsidRPr="00FC3C2D" w:rsidRDefault="00F9490C" w:rsidP="00FC3C2D">
            <w:pPr>
              <w:spacing w:after="0"/>
            </w:pPr>
            <w:r w:rsidRPr="00FC3C2D">
              <w:rPr>
                <w:rFonts w:cs="Arial"/>
              </w:rPr>
              <w:t>90-93 kg</w:t>
            </w:r>
          </w:p>
        </w:tc>
        <w:tc>
          <w:tcPr>
            <w:tcW w:w="3240" w:type="dxa"/>
            <w:shd w:val="clear" w:color="auto" w:fill="auto"/>
          </w:tcPr>
          <w:p w:rsidR="000432D2" w:rsidRPr="00FC3C2D" w:rsidRDefault="00F9490C" w:rsidP="00FC3C2D">
            <w:pPr>
              <w:spacing w:after="0"/>
            </w:pPr>
            <w:r w:rsidRPr="00FC3C2D">
              <w:rPr>
                <w:rFonts w:cs="Arial"/>
              </w:rPr>
              <w:t>0.46 mL</w:t>
            </w:r>
          </w:p>
        </w:tc>
      </w:tr>
    </w:tbl>
    <w:p w:rsidR="0023367F" w:rsidRDefault="00F9490C" w:rsidP="00DD4838">
      <w:r>
        <w:t>The powder in the vial must be dissolved by adding all the solvent from the pre-filled syringe. The vial should not be shaken, but can be rolled between the palms and gently turned upside-down once</w:t>
      </w:r>
      <w:r w:rsidR="0023367F">
        <w:t>.</w:t>
      </w:r>
    </w:p>
    <w:p w:rsidR="000432D2" w:rsidRDefault="00F9490C" w:rsidP="004C1849">
      <w:pPr>
        <w:widowControl/>
        <w:autoSpaceDE w:val="0"/>
        <w:autoSpaceDN w:val="0"/>
        <w:adjustRightInd w:val="0"/>
        <w:spacing w:after="0"/>
        <w:rPr>
          <w:rFonts w:cs="Arial"/>
        </w:rPr>
      </w:pPr>
      <w:r>
        <w:rPr>
          <w:rFonts w:cs="Arial"/>
        </w:rPr>
        <w:t xml:space="preserve">Reconstituted </w:t>
      </w:r>
      <w:r w:rsidR="006A7420">
        <w:rPr>
          <w:rFonts w:cs="Arial"/>
        </w:rPr>
        <w:t>REVESTIVE</w:t>
      </w:r>
      <w:r>
        <w:rPr>
          <w:rFonts w:cs="Arial"/>
        </w:rPr>
        <w:t xml:space="preserve"> is a sterile, clear, </w:t>
      </w:r>
      <w:proofErr w:type="spellStart"/>
      <w:proofErr w:type="gramStart"/>
      <w:r>
        <w:rPr>
          <w:rFonts w:cs="Arial"/>
        </w:rPr>
        <w:t>colourless</w:t>
      </w:r>
      <w:proofErr w:type="spellEnd"/>
      <w:proofErr w:type="gramEnd"/>
      <w:r>
        <w:rPr>
          <w:rFonts w:cs="Arial"/>
        </w:rPr>
        <w:t xml:space="preserve"> to light </w:t>
      </w:r>
      <w:proofErr w:type="spellStart"/>
      <w:r>
        <w:rPr>
          <w:rFonts w:cs="Arial"/>
        </w:rPr>
        <w:t>straw-coloured</w:t>
      </w:r>
      <w:proofErr w:type="spellEnd"/>
      <w:r>
        <w:rPr>
          <w:rFonts w:cs="Arial"/>
        </w:rPr>
        <w:t xml:space="preserve"> solution, which should be free from particulates. The drug should be completely dissolved before the solution is withdrawn from the vial. Do not shake or freeze the reconstituted solution. The solution should not be used if it is cloudy or contains particulate matter. REVESTIVE does not contain any preservatives and should be used within 3 hours after reconstitution.</w:t>
      </w:r>
      <w:r w:rsidR="00E95740" w:rsidRPr="00E95740">
        <w:rPr>
          <w:rFonts w:cs="Arial"/>
        </w:rPr>
        <w:t xml:space="preserve"> </w:t>
      </w:r>
      <w:r w:rsidR="00E95740">
        <w:rPr>
          <w:rFonts w:cs="Arial"/>
        </w:rPr>
        <w:t>The product is for single use in one patient only. Discard any residue.</w:t>
      </w:r>
    </w:p>
    <w:p w:rsidR="000432D2" w:rsidRDefault="00F9490C" w:rsidP="0023367F">
      <w:pPr>
        <w:rPr>
          <w:i/>
        </w:rPr>
      </w:pPr>
      <w:r>
        <w:t>Once the drug is completely dissolved, withdraw the prescribed dose solution into an injection syringe (up to 1 mL with scale intervals of 0.02 mL or lower).</w:t>
      </w:r>
    </w:p>
    <w:p w:rsidR="0023367F" w:rsidRDefault="00F9490C" w:rsidP="0023367F">
      <w:r>
        <w:t>If two vials are needed, the procedure for the second vial must be repeated and the additional solution drawn up into the injection syringe containing the solution from the first vial. Any volume exceeding the prescribed dose in mL must be expelled and discarded</w:t>
      </w:r>
      <w:r w:rsidR="0023367F">
        <w:t>.</w:t>
      </w:r>
    </w:p>
    <w:p w:rsidR="000432D2" w:rsidRDefault="00F9490C" w:rsidP="004C1849">
      <w:pPr>
        <w:widowControl/>
        <w:autoSpaceDE w:val="0"/>
        <w:autoSpaceDN w:val="0"/>
        <w:adjustRightInd w:val="0"/>
        <w:spacing w:after="0"/>
        <w:rPr>
          <w:rFonts w:cs="Arial"/>
        </w:rPr>
      </w:pPr>
      <w:r>
        <w:rPr>
          <w:rFonts w:cs="Arial"/>
        </w:rPr>
        <w:t>Any unused medicinal product or waste material should be disposed of in accordance with local requirements.</w:t>
      </w:r>
    </w:p>
    <w:p w:rsidR="000432D2" w:rsidRDefault="00F9490C" w:rsidP="00DD4838">
      <w:pPr>
        <w:pStyle w:val="Heading1"/>
      </w:pPr>
      <w:r>
        <w:t>OV</w:t>
      </w:r>
      <w:r>
        <w:rPr>
          <w:spacing w:val="1"/>
        </w:rPr>
        <w:t>E</w:t>
      </w:r>
      <w:r>
        <w:t>R</w:t>
      </w:r>
      <w:r>
        <w:rPr>
          <w:spacing w:val="1"/>
        </w:rPr>
        <w:t>D</w:t>
      </w:r>
      <w:r>
        <w:t>O</w:t>
      </w:r>
      <w:r>
        <w:rPr>
          <w:spacing w:val="1"/>
        </w:rPr>
        <w:t>S</w:t>
      </w:r>
      <w:r>
        <w:t>AGE</w:t>
      </w:r>
    </w:p>
    <w:p w:rsidR="000432D2" w:rsidRDefault="00F9490C" w:rsidP="004C1849">
      <w:pPr>
        <w:spacing w:after="0"/>
        <w:ind w:right="-20"/>
        <w:rPr>
          <w:rFonts w:cs="Arial"/>
        </w:rPr>
      </w:pPr>
      <w:r>
        <w:rPr>
          <w:rFonts w:cs="Arial"/>
        </w:rPr>
        <w:t xml:space="preserve">The maximum dose of </w:t>
      </w:r>
      <w:r w:rsidR="00B20359">
        <w:rPr>
          <w:rFonts w:cs="Arial"/>
        </w:rPr>
        <w:t xml:space="preserve">REVESTIVE </w:t>
      </w:r>
      <w:r>
        <w:rPr>
          <w:rFonts w:cs="Arial"/>
        </w:rPr>
        <w:t>studied during clinical development was 80 mg/day for 8 days. No unexpected systemic adverse reactions were seen. In the event of overdose, the patient should be carefully monitored by the medical professional.</w:t>
      </w:r>
    </w:p>
    <w:p w:rsidR="000432D2" w:rsidRDefault="00F9490C" w:rsidP="004C1849">
      <w:pPr>
        <w:spacing w:after="0"/>
        <w:ind w:right="-20"/>
        <w:rPr>
          <w:rFonts w:eastAsia="Arial" w:cs="Arial"/>
        </w:rPr>
      </w:pPr>
      <w:r>
        <w:rPr>
          <w:rFonts w:eastAsia="Arial" w:cs="Arial"/>
        </w:rPr>
        <w:t>For</w:t>
      </w:r>
      <w:r>
        <w:rPr>
          <w:rFonts w:eastAsia="Arial" w:cs="Arial"/>
          <w:spacing w:val="-3"/>
        </w:rPr>
        <w:t xml:space="preserve"> </w:t>
      </w:r>
      <w:r>
        <w:rPr>
          <w:rFonts w:eastAsia="Arial" w:cs="Arial"/>
        </w:rPr>
        <w:t>advice</w:t>
      </w:r>
      <w:r>
        <w:rPr>
          <w:rFonts w:eastAsia="Arial" w:cs="Arial"/>
          <w:spacing w:val="-6"/>
        </w:rPr>
        <w:t xml:space="preserve"> </w:t>
      </w:r>
      <w:r>
        <w:rPr>
          <w:rFonts w:eastAsia="Arial" w:cs="Arial"/>
        </w:rPr>
        <w:t>on</w:t>
      </w:r>
      <w:r>
        <w:rPr>
          <w:rFonts w:eastAsia="Arial" w:cs="Arial"/>
          <w:spacing w:val="-2"/>
        </w:rPr>
        <w:t xml:space="preserve"> </w:t>
      </w:r>
      <w:r>
        <w:rPr>
          <w:rFonts w:eastAsia="Arial" w:cs="Arial"/>
        </w:rPr>
        <w:t>the</w:t>
      </w:r>
      <w:r>
        <w:rPr>
          <w:rFonts w:eastAsia="Arial" w:cs="Arial"/>
          <w:spacing w:val="-3"/>
        </w:rPr>
        <w:t xml:space="preserve"> </w:t>
      </w:r>
      <w:r>
        <w:rPr>
          <w:rFonts w:eastAsia="Arial" w:cs="Arial"/>
        </w:rPr>
        <w:t>management</w:t>
      </w:r>
      <w:r>
        <w:rPr>
          <w:rFonts w:eastAsia="Arial" w:cs="Arial"/>
          <w:spacing w:val="-13"/>
        </w:rPr>
        <w:t xml:space="preserve"> </w:t>
      </w:r>
      <w:r>
        <w:rPr>
          <w:rFonts w:eastAsia="Arial" w:cs="Arial"/>
        </w:rPr>
        <w:t>of</w:t>
      </w:r>
      <w:r>
        <w:rPr>
          <w:rFonts w:eastAsia="Arial" w:cs="Arial"/>
          <w:spacing w:val="-2"/>
        </w:rPr>
        <w:t xml:space="preserve"> </w:t>
      </w:r>
      <w:proofErr w:type="spellStart"/>
      <w:r>
        <w:rPr>
          <w:rFonts w:eastAsia="Arial" w:cs="Arial"/>
        </w:rPr>
        <w:t>overdosage</w:t>
      </w:r>
      <w:proofErr w:type="spellEnd"/>
      <w:r>
        <w:rPr>
          <w:rFonts w:eastAsia="Arial" w:cs="Arial"/>
        </w:rPr>
        <w:t>,</w:t>
      </w:r>
      <w:r>
        <w:rPr>
          <w:rFonts w:eastAsia="Arial" w:cs="Arial"/>
          <w:spacing w:val="-12"/>
        </w:rPr>
        <w:t xml:space="preserve"> </w:t>
      </w:r>
      <w:r>
        <w:rPr>
          <w:rFonts w:eastAsia="Arial" w:cs="Arial"/>
        </w:rPr>
        <w:t>plea</w:t>
      </w:r>
      <w:r>
        <w:rPr>
          <w:rFonts w:eastAsia="Arial" w:cs="Arial"/>
          <w:spacing w:val="1"/>
        </w:rPr>
        <w:t>s</w:t>
      </w:r>
      <w:r>
        <w:rPr>
          <w:rFonts w:eastAsia="Arial" w:cs="Arial"/>
        </w:rPr>
        <w:t>e</w:t>
      </w:r>
      <w:r>
        <w:rPr>
          <w:rFonts w:eastAsia="Arial" w:cs="Arial"/>
          <w:spacing w:val="-6"/>
        </w:rPr>
        <w:t xml:space="preserve"> </w:t>
      </w:r>
      <w:r>
        <w:rPr>
          <w:rFonts w:eastAsia="Arial" w:cs="Arial"/>
        </w:rPr>
        <w:t>contact</w:t>
      </w:r>
      <w:r>
        <w:rPr>
          <w:rFonts w:eastAsia="Arial" w:cs="Arial"/>
          <w:spacing w:val="-7"/>
        </w:rPr>
        <w:t xml:space="preserve"> </w:t>
      </w:r>
      <w:r>
        <w:rPr>
          <w:rFonts w:eastAsia="Arial" w:cs="Arial"/>
        </w:rPr>
        <w:t>the</w:t>
      </w:r>
      <w:r>
        <w:rPr>
          <w:rFonts w:eastAsia="Arial" w:cs="Arial"/>
          <w:spacing w:val="-3"/>
        </w:rPr>
        <w:t xml:space="preserve"> </w:t>
      </w:r>
      <w:r>
        <w:rPr>
          <w:rFonts w:eastAsia="Arial" w:cs="Arial"/>
        </w:rPr>
        <w:t>Poiso</w:t>
      </w:r>
      <w:r>
        <w:rPr>
          <w:rFonts w:eastAsia="Arial" w:cs="Arial"/>
          <w:spacing w:val="-1"/>
        </w:rPr>
        <w:t>n</w:t>
      </w:r>
      <w:r>
        <w:rPr>
          <w:rFonts w:eastAsia="Arial" w:cs="Arial"/>
        </w:rPr>
        <w:t>s</w:t>
      </w:r>
      <w:r>
        <w:rPr>
          <w:rFonts w:eastAsia="Arial" w:cs="Arial"/>
          <w:spacing w:val="-8"/>
        </w:rPr>
        <w:t xml:space="preserve"> </w:t>
      </w:r>
      <w:r>
        <w:rPr>
          <w:rFonts w:eastAsia="Arial" w:cs="Arial"/>
        </w:rPr>
        <w:t>Information</w:t>
      </w:r>
      <w:r>
        <w:rPr>
          <w:rFonts w:eastAsia="Arial" w:cs="Arial"/>
          <w:spacing w:val="-11"/>
        </w:rPr>
        <w:t xml:space="preserve"> </w:t>
      </w:r>
      <w:r>
        <w:rPr>
          <w:rFonts w:eastAsia="Arial" w:cs="Arial"/>
        </w:rPr>
        <w:t>Centre on</w:t>
      </w:r>
      <w:r>
        <w:rPr>
          <w:rFonts w:eastAsia="Arial" w:cs="Arial"/>
          <w:spacing w:val="-10"/>
        </w:rPr>
        <w:t xml:space="preserve"> </w:t>
      </w:r>
      <w:r>
        <w:rPr>
          <w:rFonts w:eastAsia="Arial" w:cs="Arial"/>
          <w:spacing w:val="-1"/>
        </w:rPr>
        <w:t>1</w:t>
      </w:r>
      <w:r>
        <w:rPr>
          <w:rFonts w:eastAsia="Arial" w:cs="Arial"/>
        </w:rPr>
        <w:t>3</w:t>
      </w:r>
      <w:r>
        <w:rPr>
          <w:rFonts w:eastAsia="Arial" w:cs="Arial"/>
          <w:spacing w:val="-2"/>
        </w:rPr>
        <w:t xml:space="preserve"> </w:t>
      </w:r>
      <w:r>
        <w:rPr>
          <w:rFonts w:eastAsia="Arial" w:cs="Arial"/>
        </w:rPr>
        <w:t>11</w:t>
      </w:r>
      <w:r>
        <w:rPr>
          <w:rFonts w:eastAsia="Arial" w:cs="Arial"/>
          <w:spacing w:val="-2"/>
        </w:rPr>
        <w:t xml:space="preserve"> </w:t>
      </w:r>
      <w:r>
        <w:rPr>
          <w:rFonts w:eastAsia="Arial" w:cs="Arial"/>
        </w:rPr>
        <w:t xml:space="preserve">26 </w:t>
      </w:r>
      <w:r w:rsidR="00012B8E">
        <w:rPr>
          <w:rFonts w:eastAsia="Arial" w:cs="Arial"/>
        </w:rPr>
        <w:t>in Australia, or the National Poisons Centre on 0800 POISON (0800 764766) in New Zealand</w:t>
      </w:r>
      <w:r>
        <w:rPr>
          <w:rFonts w:eastAsia="Arial" w:cs="Arial"/>
        </w:rPr>
        <w:t>.</w:t>
      </w:r>
    </w:p>
    <w:p w:rsidR="000432D2" w:rsidRPr="00C27802" w:rsidRDefault="00F9490C" w:rsidP="004C1849">
      <w:pPr>
        <w:spacing w:after="0"/>
        <w:ind w:right="-34"/>
        <w:rPr>
          <w:rFonts w:eastAsia="Arial" w:cs="Arial"/>
          <w:b/>
          <w:bCs/>
        </w:rPr>
      </w:pPr>
      <w:r w:rsidRPr="00C27802">
        <w:rPr>
          <w:rFonts w:eastAsia="Arial" w:cs="Arial"/>
          <w:b/>
          <w:bCs/>
        </w:rPr>
        <w:t>PRE</w:t>
      </w:r>
      <w:r w:rsidRPr="00C27802">
        <w:rPr>
          <w:rFonts w:eastAsia="Arial" w:cs="Arial"/>
          <w:b/>
          <w:bCs/>
          <w:spacing w:val="1"/>
        </w:rPr>
        <w:t>S</w:t>
      </w:r>
      <w:r w:rsidRPr="00C27802">
        <w:rPr>
          <w:rFonts w:eastAsia="Arial" w:cs="Arial"/>
          <w:b/>
          <w:bCs/>
        </w:rPr>
        <w:t>ENTATION</w:t>
      </w:r>
      <w:r w:rsidRPr="00C27802">
        <w:rPr>
          <w:rFonts w:eastAsia="Arial" w:cs="Arial"/>
          <w:b/>
          <w:bCs/>
          <w:spacing w:val="-17"/>
        </w:rPr>
        <w:t xml:space="preserve"> </w:t>
      </w:r>
      <w:r w:rsidRPr="00C27802">
        <w:rPr>
          <w:rFonts w:eastAsia="Arial" w:cs="Arial"/>
          <w:b/>
          <w:bCs/>
        </w:rPr>
        <w:t>AND</w:t>
      </w:r>
      <w:r w:rsidRPr="00C27802">
        <w:rPr>
          <w:rFonts w:eastAsia="Arial" w:cs="Arial"/>
          <w:b/>
          <w:bCs/>
          <w:spacing w:val="-4"/>
        </w:rPr>
        <w:t xml:space="preserve"> </w:t>
      </w:r>
      <w:r w:rsidRPr="00C27802">
        <w:rPr>
          <w:rFonts w:eastAsia="Arial" w:cs="Arial"/>
          <w:b/>
          <w:bCs/>
        </w:rPr>
        <w:t>S</w:t>
      </w:r>
      <w:r w:rsidRPr="00C27802">
        <w:rPr>
          <w:rFonts w:eastAsia="Arial" w:cs="Arial"/>
          <w:b/>
          <w:bCs/>
          <w:spacing w:val="1"/>
        </w:rPr>
        <w:t>T</w:t>
      </w:r>
      <w:r w:rsidRPr="00C27802">
        <w:rPr>
          <w:rFonts w:eastAsia="Arial" w:cs="Arial"/>
          <w:b/>
          <w:bCs/>
        </w:rPr>
        <w:t>O</w:t>
      </w:r>
      <w:r w:rsidRPr="00C27802">
        <w:rPr>
          <w:rFonts w:eastAsia="Arial" w:cs="Arial"/>
          <w:b/>
          <w:bCs/>
          <w:spacing w:val="1"/>
        </w:rPr>
        <w:t>R</w:t>
      </w:r>
      <w:r w:rsidRPr="00C27802">
        <w:rPr>
          <w:rFonts w:eastAsia="Arial" w:cs="Arial"/>
          <w:b/>
          <w:bCs/>
        </w:rPr>
        <w:t>AGE</w:t>
      </w:r>
      <w:r w:rsidRPr="00C27802">
        <w:rPr>
          <w:rFonts w:eastAsia="Arial" w:cs="Arial"/>
          <w:b/>
          <w:bCs/>
          <w:spacing w:val="-11"/>
        </w:rPr>
        <w:t xml:space="preserve"> </w:t>
      </w:r>
      <w:r w:rsidRPr="00C27802">
        <w:rPr>
          <w:rFonts w:eastAsia="Arial" w:cs="Arial"/>
          <w:b/>
          <w:bCs/>
        </w:rPr>
        <w:t>CO</w:t>
      </w:r>
      <w:r w:rsidRPr="00C27802">
        <w:rPr>
          <w:rFonts w:eastAsia="Arial" w:cs="Arial"/>
          <w:b/>
          <w:bCs/>
          <w:spacing w:val="1"/>
        </w:rPr>
        <w:t>N</w:t>
      </w:r>
      <w:r w:rsidRPr="00C27802">
        <w:rPr>
          <w:rFonts w:eastAsia="Arial" w:cs="Arial"/>
          <w:b/>
          <w:bCs/>
        </w:rPr>
        <w:t xml:space="preserve">DITIONS </w:t>
      </w:r>
    </w:p>
    <w:p w:rsidR="000432D2" w:rsidRPr="00C27802" w:rsidRDefault="00F9490C" w:rsidP="00DD4838">
      <w:pPr>
        <w:pStyle w:val="Heading2"/>
      </w:pPr>
      <w:r w:rsidRPr="00C27802">
        <w:t>Presentation</w:t>
      </w:r>
    </w:p>
    <w:p w:rsidR="000432D2" w:rsidRPr="00C27802" w:rsidRDefault="00F9490C" w:rsidP="004C1849">
      <w:pPr>
        <w:spacing w:after="0"/>
        <w:ind w:right="321"/>
        <w:rPr>
          <w:rFonts w:eastAsia="Arial" w:cs="Arial"/>
          <w:lang w:val="en-AU"/>
        </w:rPr>
      </w:pPr>
      <w:r w:rsidRPr="00C27802">
        <w:rPr>
          <w:rFonts w:eastAsia="Arial" w:cs="Arial"/>
          <w:lang w:val="en-AU"/>
        </w:rPr>
        <w:t xml:space="preserve">Each pack of REVESTIVE contains: </w:t>
      </w:r>
    </w:p>
    <w:p w:rsidR="000432D2" w:rsidRPr="00C27802" w:rsidRDefault="00F9490C" w:rsidP="004C1849">
      <w:pPr>
        <w:pStyle w:val="ListParagraph"/>
        <w:numPr>
          <w:ilvl w:val="0"/>
          <w:numId w:val="7"/>
        </w:numPr>
        <w:spacing w:after="0"/>
        <w:ind w:left="288" w:right="317" w:hanging="288"/>
        <w:rPr>
          <w:rFonts w:eastAsia="Arial" w:cs="Arial"/>
          <w:lang w:val="en-AU"/>
        </w:rPr>
      </w:pPr>
      <w:r w:rsidRPr="00C27802">
        <w:rPr>
          <w:rFonts w:eastAsia="Arial" w:cs="Arial"/>
          <w:b/>
          <w:lang w:val="en-AU"/>
        </w:rPr>
        <w:t>5 mg teduglutide powder</w:t>
      </w:r>
      <w:r w:rsidRPr="00C27802">
        <w:rPr>
          <w:rFonts w:eastAsia="Arial" w:cs="Arial"/>
          <w:lang w:val="en-AU"/>
        </w:rPr>
        <w:t xml:space="preserve"> in glass vial with rubber stopper </w:t>
      </w:r>
    </w:p>
    <w:p w:rsidR="0023367F" w:rsidRDefault="00F9490C" w:rsidP="004C1849">
      <w:pPr>
        <w:pStyle w:val="ListParagraph"/>
        <w:numPr>
          <w:ilvl w:val="0"/>
          <w:numId w:val="7"/>
        </w:numPr>
        <w:spacing w:after="0"/>
        <w:ind w:left="288" w:right="317" w:hanging="288"/>
        <w:rPr>
          <w:rFonts w:eastAsia="Arial" w:cs="Arial"/>
          <w:lang w:val="en-AU"/>
        </w:rPr>
      </w:pPr>
      <w:r w:rsidRPr="00C27802">
        <w:rPr>
          <w:rFonts w:eastAsia="Arial" w:cs="Arial"/>
          <w:b/>
          <w:lang w:val="en-AU"/>
        </w:rPr>
        <w:t>0.5 mL of solvent of sterile water for injections</w:t>
      </w:r>
      <w:r w:rsidRPr="00C27802">
        <w:rPr>
          <w:rFonts w:eastAsia="Arial" w:cs="Arial"/>
          <w:lang w:val="en-AU"/>
        </w:rPr>
        <w:t xml:space="preserve"> in pre-filled glass syringe and plastic plunger for assembly with the pre-filled syringe</w:t>
      </w:r>
      <w:r w:rsidR="0023367F">
        <w:rPr>
          <w:rFonts w:eastAsia="Arial" w:cs="Arial"/>
          <w:lang w:val="en-AU"/>
        </w:rPr>
        <w:t>.</w:t>
      </w:r>
    </w:p>
    <w:p w:rsidR="0023367F" w:rsidRDefault="00F9490C" w:rsidP="004C1849">
      <w:pPr>
        <w:spacing w:after="0"/>
        <w:ind w:right="321"/>
        <w:rPr>
          <w:rFonts w:eastAsia="Arial" w:cs="Arial"/>
          <w:lang w:val="en-AU"/>
        </w:rPr>
      </w:pPr>
      <w:r w:rsidRPr="00C27802">
        <w:rPr>
          <w:rFonts w:eastAsia="Arial" w:cs="Arial"/>
          <w:lang w:val="en-AU"/>
        </w:rPr>
        <w:t>Pack size of 28 vials of powder, 28 pre-filled syringes and 6 plungers</w:t>
      </w:r>
      <w:r w:rsidR="0023367F">
        <w:rPr>
          <w:rFonts w:eastAsia="Arial" w:cs="Arial"/>
          <w:lang w:val="en-AU"/>
        </w:rPr>
        <w:t>.</w:t>
      </w:r>
    </w:p>
    <w:p w:rsidR="000432D2" w:rsidRPr="00C27802" w:rsidRDefault="00693BC5" w:rsidP="00DD4838">
      <w:pPr>
        <w:pStyle w:val="Heading2"/>
      </w:pPr>
      <w:r>
        <w:t>S</w:t>
      </w:r>
      <w:r w:rsidR="00F9490C" w:rsidRPr="00C27802">
        <w:t>torage</w:t>
      </w:r>
    </w:p>
    <w:p w:rsidR="00A22BAF" w:rsidRPr="00C27802" w:rsidRDefault="00F9490C" w:rsidP="004C1849">
      <w:pPr>
        <w:spacing w:after="0"/>
        <w:ind w:right="-20"/>
        <w:rPr>
          <w:rFonts w:cs="Arial"/>
          <w:bCs/>
        </w:rPr>
      </w:pPr>
      <w:r w:rsidRPr="00C27802">
        <w:rPr>
          <w:rFonts w:cs="Arial"/>
          <w:bCs/>
        </w:rPr>
        <w:t>Store below 25°C</w:t>
      </w:r>
      <w:r w:rsidR="00B05887" w:rsidRPr="00C27802">
        <w:rPr>
          <w:rFonts w:cs="Arial"/>
          <w:bCs/>
        </w:rPr>
        <w:t xml:space="preserve">. </w:t>
      </w:r>
      <w:r w:rsidR="00A22BAF" w:rsidRPr="00C27802">
        <w:rPr>
          <w:rFonts w:cs="Arial"/>
          <w:bCs/>
        </w:rPr>
        <w:t>(</w:t>
      </w:r>
      <w:r w:rsidR="00B05887" w:rsidRPr="00C27802">
        <w:rPr>
          <w:rFonts w:cs="Arial"/>
          <w:bCs/>
        </w:rPr>
        <w:t>D</w:t>
      </w:r>
      <w:r w:rsidRPr="00C27802">
        <w:rPr>
          <w:rFonts w:cs="Arial"/>
          <w:bCs/>
        </w:rPr>
        <w:t>o not freeze</w:t>
      </w:r>
      <w:r w:rsidR="00B05887" w:rsidRPr="00C27802">
        <w:rPr>
          <w:rFonts w:cs="Arial"/>
          <w:bCs/>
        </w:rPr>
        <w:t>.</w:t>
      </w:r>
      <w:r w:rsidR="00A22BAF" w:rsidRPr="00C27802">
        <w:rPr>
          <w:rFonts w:cs="Arial"/>
          <w:bCs/>
        </w:rPr>
        <w:t>)</w:t>
      </w:r>
    </w:p>
    <w:p w:rsidR="000432D2" w:rsidRPr="00C27802" w:rsidRDefault="00F9490C" w:rsidP="00DD4838">
      <w:pPr>
        <w:pStyle w:val="Heading1"/>
      </w:pPr>
      <w:r w:rsidRPr="00C27802">
        <w:t>NAME AND ADDRESS OF THE SPONSOR</w:t>
      </w:r>
    </w:p>
    <w:p w:rsidR="000432D2" w:rsidRPr="00C27802" w:rsidRDefault="00F9490C" w:rsidP="004C1849">
      <w:pPr>
        <w:spacing w:after="0"/>
        <w:ind w:right="-20"/>
        <w:rPr>
          <w:rFonts w:eastAsia="Arial" w:cs="Arial"/>
        </w:rPr>
      </w:pPr>
      <w:r w:rsidRPr="00C27802">
        <w:rPr>
          <w:rFonts w:eastAsia="Arial" w:cs="Arial"/>
        </w:rPr>
        <w:t>Shire</w:t>
      </w:r>
      <w:r w:rsidRPr="00C27802">
        <w:rPr>
          <w:rFonts w:eastAsia="Arial" w:cs="Arial"/>
          <w:spacing w:val="-5"/>
        </w:rPr>
        <w:t xml:space="preserve"> </w:t>
      </w:r>
      <w:r w:rsidRPr="00C27802">
        <w:rPr>
          <w:rFonts w:eastAsia="Arial" w:cs="Arial"/>
        </w:rPr>
        <w:t>Australia</w:t>
      </w:r>
      <w:r w:rsidRPr="00C27802">
        <w:rPr>
          <w:rFonts w:eastAsia="Arial" w:cs="Arial"/>
          <w:spacing w:val="-9"/>
        </w:rPr>
        <w:t xml:space="preserve"> </w:t>
      </w:r>
      <w:r w:rsidRPr="00C27802">
        <w:rPr>
          <w:rFonts w:eastAsia="Arial" w:cs="Arial"/>
        </w:rPr>
        <w:t>Pty</w:t>
      </w:r>
      <w:r w:rsidRPr="00C27802">
        <w:rPr>
          <w:rFonts w:eastAsia="Arial" w:cs="Arial"/>
          <w:spacing w:val="-4"/>
        </w:rPr>
        <w:t xml:space="preserve"> </w:t>
      </w:r>
      <w:r w:rsidRPr="00C27802">
        <w:rPr>
          <w:rFonts w:eastAsia="Arial" w:cs="Arial"/>
        </w:rPr>
        <w:t>Limited</w:t>
      </w:r>
    </w:p>
    <w:p w:rsidR="00ED791E" w:rsidRDefault="004A7489" w:rsidP="004A7489">
      <w:pPr>
        <w:spacing w:after="0"/>
        <w:ind w:right="-20"/>
        <w:rPr>
          <w:rFonts w:eastAsia="Arial" w:cs="Arial"/>
        </w:rPr>
      </w:pPr>
      <w:r>
        <w:rPr>
          <w:rFonts w:eastAsia="Arial" w:cs="Arial"/>
        </w:rPr>
        <w:lastRenderedPageBreak/>
        <w:t>Level 39</w:t>
      </w:r>
    </w:p>
    <w:p w:rsidR="004A7489" w:rsidRDefault="004A7489" w:rsidP="004A7489">
      <w:pPr>
        <w:spacing w:after="0"/>
        <w:ind w:right="-20"/>
        <w:rPr>
          <w:rFonts w:eastAsia="Arial" w:cs="Arial"/>
        </w:rPr>
      </w:pPr>
      <w:r>
        <w:rPr>
          <w:rFonts w:eastAsia="Arial" w:cs="Arial"/>
        </w:rPr>
        <w:t>225 George Street</w:t>
      </w:r>
    </w:p>
    <w:p w:rsidR="00EB708F" w:rsidRDefault="004A7489" w:rsidP="004C1849">
      <w:pPr>
        <w:spacing w:after="0"/>
        <w:ind w:right="-20"/>
        <w:rPr>
          <w:rFonts w:eastAsia="Arial" w:cs="Arial"/>
        </w:rPr>
      </w:pPr>
      <w:r>
        <w:rPr>
          <w:rFonts w:eastAsia="Arial" w:cs="Arial"/>
        </w:rPr>
        <w:t>Sydney, NSW 2000</w:t>
      </w:r>
    </w:p>
    <w:p w:rsidR="000432D2" w:rsidRDefault="00F9490C" w:rsidP="004C1849">
      <w:pPr>
        <w:spacing w:after="0"/>
        <w:ind w:right="-20"/>
        <w:rPr>
          <w:rFonts w:eastAsia="Arial" w:cs="Arial"/>
        </w:rPr>
      </w:pPr>
      <w:r>
        <w:rPr>
          <w:rFonts w:eastAsia="Arial" w:cs="Arial"/>
        </w:rPr>
        <w:t>Australia</w:t>
      </w:r>
    </w:p>
    <w:p w:rsidR="000432D2" w:rsidRDefault="00F9490C" w:rsidP="00DD4838">
      <w:pPr>
        <w:pStyle w:val="Heading1"/>
      </w:pPr>
      <w:r>
        <w:t>POI</w:t>
      </w:r>
      <w:r>
        <w:rPr>
          <w:spacing w:val="1"/>
        </w:rPr>
        <w:t>S</w:t>
      </w:r>
      <w:r>
        <w:t>ON</w:t>
      </w:r>
      <w:r>
        <w:rPr>
          <w:spacing w:val="-9"/>
        </w:rPr>
        <w:t xml:space="preserve"> </w:t>
      </w:r>
      <w:r>
        <w:rPr>
          <w:spacing w:val="1"/>
        </w:rPr>
        <w:t>SC</w:t>
      </w:r>
      <w:r>
        <w:t>HEDU</w:t>
      </w:r>
      <w:r>
        <w:rPr>
          <w:spacing w:val="1"/>
        </w:rPr>
        <w:t>L</w:t>
      </w:r>
      <w:r>
        <w:t>E OF THE MEDICINE</w:t>
      </w:r>
    </w:p>
    <w:p w:rsidR="000432D2" w:rsidRDefault="00F9490C" w:rsidP="004C1849">
      <w:pPr>
        <w:spacing w:after="0"/>
        <w:ind w:right="-20"/>
        <w:rPr>
          <w:rFonts w:eastAsia="Arial" w:cs="Arial"/>
        </w:rPr>
      </w:pPr>
      <w:r>
        <w:rPr>
          <w:rFonts w:eastAsia="Arial" w:cs="Arial"/>
        </w:rPr>
        <w:t xml:space="preserve">Prescription Medicine </w:t>
      </w:r>
    </w:p>
    <w:p w:rsidR="000432D2" w:rsidRDefault="00F9490C" w:rsidP="00DD4838">
      <w:pPr>
        <w:pStyle w:val="Heading1"/>
      </w:pPr>
      <w:r>
        <w:t>DATE</w:t>
      </w:r>
      <w:r>
        <w:rPr>
          <w:spacing w:val="18"/>
        </w:rPr>
        <w:t xml:space="preserve"> </w:t>
      </w:r>
      <w:r>
        <w:t>OF</w:t>
      </w:r>
      <w:r>
        <w:rPr>
          <w:spacing w:val="20"/>
        </w:rPr>
        <w:t xml:space="preserve"> </w:t>
      </w:r>
      <w:r>
        <w:rPr>
          <w:spacing w:val="1"/>
        </w:rPr>
        <w:t>F</w:t>
      </w:r>
      <w:r>
        <w:t>IRST</w:t>
      </w:r>
      <w:r>
        <w:rPr>
          <w:spacing w:val="17"/>
        </w:rPr>
        <w:t xml:space="preserve"> </w:t>
      </w:r>
      <w:r>
        <w:t>I</w:t>
      </w:r>
      <w:r>
        <w:rPr>
          <w:spacing w:val="1"/>
        </w:rPr>
        <w:t>N</w:t>
      </w:r>
      <w:r>
        <w:t>C</w:t>
      </w:r>
      <w:r>
        <w:rPr>
          <w:spacing w:val="1"/>
        </w:rPr>
        <w:t>L</w:t>
      </w:r>
      <w:r>
        <w:t>USION</w:t>
      </w:r>
      <w:r>
        <w:rPr>
          <w:spacing w:val="11"/>
        </w:rPr>
        <w:t xml:space="preserve"> </w:t>
      </w:r>
      <w:r>
        <w:t>IN</w:t>
      </w:r>
      <w:r>
        <w:rPr>
          <w:spacing w:val="22"/>
        </w:rPr>
        <w:t xml:space="preserve"> </w:t>
      </w:r>
      <w:r>
        <w:rPr>
          <w:spacing w:val="1"/>
        </w:rPr>
        <w:t>T</w:t>
      </w:r>
      <w:r>
        <w:t>HE</w:t>
      </w:r>
      <w:r>
        <w:rPr>
          <w:spacing w:val="19"/>
        </w:rPr>
        <w:t xml:space="preserve"> </w:t>
      </w:r>
      <w:r>
        <w:rPr>
          <w:spacing w:val="1"/>
        </w:rPr>
        <w:t>A</w:t>
      </w:r>
      <w:r>
        <w:t>UST</w:t>
      </w:r>
      <w:r>
        <w:rPr>
          <w:spacing w:val="1"/>
        </w:rPr>
        <w:t>R</w:t>
      </w:r>
      <w:r>
        <w:t>ALIAN</w:t>
      </w:r>
      <w:r>
        <w:rPr>
          <w:spacing w:val="10"/>
        </w:rPr>
        <w:t xml:space="preserve"> </w:t>
      </w:r>
      <w:r>
        <w:t>R</w:t>
      </w:r>
      <w:r>
        <w:rPr>
          <w:spacing w:val="1"/>
        </w:rPr>
        <w:t>E</w:t>
      </w:r>
      <w:r>
        <w:t>GISTER</w:t>
      </w:r>
      <w:r>
        <w:rPr>
          <w:spacing w:val="13"/>
        </w:rPr>
        <w:t xml:space="preserve"> </w:t>
      </w:r>
      <w:r>
        <w:t>OF</w:t>
      </w:r>
      <w:r>
        <w:rPr>
          <w:spacing w:val="21"/>
        </w:rPr>
        <w:t xml:space="preserve"> </w:t>
      </w:r>
      <w:r>
        <w:t>THE</w:t>
      </w:r>
      <w:r>
        <w:rPr>
          <w:spacing w:val="1"/>
        </w:rPr>
        <w:t>R</w:t>
      </w:r>
      <w:r>
        <w:t>AP</w:t>
      </w:r>
      <w:r>
        <w:rPr>
          <w:spacing w:val="1"/>
        </w:rPr>
        <w:t>E</w:t>
      </w:r>
      <w:r>
        <w:t>UTIC</w:t>
      </w:r>
      <w:r>
        <w:rPr>
          <w:spacing w:val="8"/>
        </w:rPr>
        <w:t xml:space="preserve"> </w:t>
      </w:r>
      <w:r>
        <w:t>GOODS (ARTG)</w:t>
      </w:r>
    </w:p>
    <w:p w:rsidR="000432D2" w:rsidRPr="00F243A4" w:rsidRDefault="00226EA4" w:rsidP="004C1849">
      <w:pPr>
        <w:spacing w:after="0"/>
        <w:ind w:right="96"/>
        <w:rPr>
          <w:rFonts w:eastAsia="Arial" w:cs="Arial"/>
        </w:rPr>
      </w:pPr>
      <w:r>
        <w:rPr>
          <w:rFonts w:eastAsia="Arial" w:cs="Arial"/>
        </w:rPr>
        <w:t>19 May 2017</w:t>
      </w:r>
    </w:p>
    <w:p w:rsidR="000432D2" w:rsidRPr="00DD4838" w:rsidRDefault="00F9490C" w:rsidP="004C1849">
      <w:pPr>
        <w:spacing w:after="0"/>
        <w:rPr>
          <w:rFonts w:eastAsia="Arial" w:cs="Arial"/>
          <w:spacing w:val="-2"/>
        </w:rPr>
      </w:pPr>
      <w:r w:rsidRPr="00B05887">
        <w:rPr>
          <w:rFonts w:eastAsia="Arial" w:cs="Arial"/>
        </w:rPr>
        <w:t>REVESTIVE</w:t>
      </w:r>
      <w:r w:rsidRPr="00B05887">
        <w:rPr>
          <w:rFonts w:eastAsia="Arial" w:cs="Arial"/>
          <w:position w:val="10"/>
        </w:rPr>
        <w:t>®</w:t>
      </w:r>
      <w:r w:rsidRPr="00B05887">
        <w:rPr>
          <w:rFonts w:eastAsia="Arial" w:cs="Arial"/>
          <w:spacing w:val="13"/>
          <w:position w:val="10"/>
        </w:rPr>
        <w:t xml:space="preserve"> </w:t>
      </w:r>
      <w:r w:rsidRPr="00B05887">
        <w:rPr>
          <w:rFonts w:eastAsia="Arial" w:cs="Arial"/>
        </w:rPr>
        <w:t>is</w:t>
      </w:r>
      <w:r w:rsidRPr="00B05887">
        <w:rPr>
          <w:rFonts w:eastAsia="Arial" w:cs="Arial"/>
          <w:spacing w:val="-2"/>
        </w:rPr>
        <w:t xml:space="preserve"> </w:t>
      </w:r>
      <w:r w:rsidRPr="00B05887">
        <w:rPr>
          <w:rFonts w:eastAsia="Arial" w:cs="Arial"/>
        </w:rPr>
        <w:t>a</w:t>
      </w:r>
      <w:r w:rsidRPr="00B05887">
        <w:rPr>
          <w:rFonts w:eastAsia="Arial" w:cs="Arial"/>
          <w:spacing w:val="-1"/>
        </w:rPr>
        <w:t xml:space="preserve"> </w:t>
      </w:r>
      <w:r w:rsidRPr="00B05887">
        <w:rPr>
          <w:rFonts w:eastAsia="Arial" w:cs="Arial"/>
        </w:rPr>
        <w:t>regis</w:t>
      </w:r>
      <w:r w:rsidRPr="00B05887">
        <w:rPr>
          <w:rFonts w:eastAsia="Arial" w:cs="Arial"/>
          <w:spacing w:val="-1"/>
        </w:rPr>
        <w:t>t</w:t>
      </w:r>
      <w:r w:rsidRPr="00B05887">
        <w:rPr>
          <w:rFonts w:eastAsia="Arial" w:cs="Arial"/>
        </w:rPr>
        <w:t>ered</w:t>
      </w:r>
      <w:r w:rsidRPr="00B05887">
        <w:rPr>
          <w:rFonts w:eastAsia="Arial" w:cs="Arial"/>
          <w:spacing w:val="-10"/>
        </w:rPr>
        <w:t xml:space="preserve"> </w:t>
      </w:r>
      <w:r w:rsidRPr="00B05887">
        <w:rPr>
          <w:rFonts w:eastAsia="Arial" w:cs="Arial"/>
        </w:rPr>
        <w:t>trademark</w:t>
      </w:r>
      <w:r w:rsidRPr="00B05887">
        <w:rPr>
          <w:rFonts w:eastAsia="Arial" w:cs="Arial"/>
          <w:spacing w:val="-10"/>
        </w:rPr>
        <w:t xml:space="preserve"> </w:t>
      </w:r>
      <w:r w:rsidRPr="00B05887">
        <w:rPr>
          <w:rFonts w:eastAsia="Arial" w:cs="Arial"/>
        </w:rPr>
        <w:t>of</w:t>
      </w:r>
      <w:r w:rsidRPr="00B05887">
        <w:rPr>
          <w:rFonts w:eastAsia="Arial" w:cs="Arial"/>
          <w:spacing w:val="-2"/>
        </w:rPr>
        <w:t xml:space="preserve"> </w:t>
      </w:r>
      <w:r w:rsidR="00B05887" w:rsidRPr="00B05887">
        <w:rPr>
          <w:rFonts w:eastAsia="Arial" w:cs="Arial"/>
          <w:spacing w:val="-2"/>
        </w:rPr>
        <w:t>Shire-NPS Pharmaceuticals, Inc</w:t>
      </w:r>
      <w:r w:rsidR="00DD4838">
        <w:rPr>
          <w:rFonts w:eastAsia="Arial" w:cs="Arial"/>
          <w:spacing w:val="-2"/>
        </w:rPr>
        <w:t>.</w:t>
      </w:r>
    </w:p>
    <w:sectPr w:rsidR="000432D2" w:rsidRPr="00DD4838" w:rsidSect="00C3186C">
      <w:headerReference w:type="default" r:id="rId11"/>
      <w:footerReference w:type="default" r:id="rId12"/>
      <w:pgSz w:w="11920" w:h="16840"/>
      <w:pgMar w:top="1296" w:right="1440" w:bottom="1152"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1E" w:rsidRDefault="000F2F1E">
      <w:pPr>
        <w:spacing w:after="0"/>
      </w:pPr>
      <w:r>
        <w:separator/>
      </w:r>
    </w:p>
  </w:endnote>
  <w:endnote w:type="continuationSeparator" w:id="0">
    <w:p w:rsidR="000F2F1E" w:rsidRDefault="000F2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83" w:usb1="09070000" w:usb2="00000010" w:usb3="00000000" w:csb0="000A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CC" w:rsidRDefault="00C565CC">
    <w:pPr>
      <w:pStyle w:val="Footer"/>
      <w:pBdr>
        <w:top w:val="single" w:sz="4" w:space="1" w:color="auto"/>
      </w:pBdr>
      <w:tabs>
        <w:tab w:val="right" w:pos="9498"/>
      </w:tabs>
      <w:rPr>
        <w:rFonts w:cs="Arial"/>
        <w:sz w:val="16"/>
        <w:szCs w:val="16"/>
      </w:rPr>
    </w:pPr>
    <w:r w:rsidRPr="00E34A6F">
      <w:rPr>
        <w:rFonts w:cs="Arial"/>
        <w:sz w:val="16"/>
        <w:szCs w:val="16"/>
      </w:rPr>
      <w:t>REVESTIVE</w:t>
    </w:r>
    <w:r w:rsidR="00E34A6F" w:rsidRPr="00E34A6F">
      <w:rPr>
        <w:rFonts w:cs="Arial"/>
        <w:sz w:val="16"/>
        <w:szCs w:val="16"/>
        <w:vertAlign w:val="superscript"/>
      </w:rPr>
      <w:t>®</w:t>
    </w:r>
    <w:r w:rsidRPr="00E34A6F">
      <w:rPr>
        <w:rFonts w:cs="Arial"/>
        <w:sz w:val="16"/>
        <w:szCs w:val="16"/>
      </w:rPr>
      <w:t xml:space="preserve"> P</w:t>
    </w:r>
    <w:r w:rsidR="00E34A6F" w:rsidRPr="00E34A6F">
      <w:rPr>
        <w:rFonts w:cs="Arial"/>
        <w:sz w:val="16"/>
        <w:szCs w:val="16"/>
      </w:rPr>
      <w:t>I</w:t>
    </w:r>
    <w:r>
      <w:rPr>
        <w:rFonts w:cs="Arial"/>
        <w:sz w:val="16"/>
        <w:szCs w:val="16"/>
      </w:rPr>
      <w:tab/>
      <w:t xml:space="preserve">Page </w:t>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184215">
      <w:rPr>
        <w:rStyle w:val="PageNumber"/>
        <w:rFonts w:cs="Arial"/>
        <w:noProof/>
        <w:sz w:val="16"/>
        <w:szCs w:val="16"/>
      </w:rPr>
      <w:t>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184215">
      <w:rPr>
        <w:rStyle w:val="PageNumber"/>
        <w:rFonts w:cs="Arial"/>
        <w:noProof/>
        <w:sz w:val="16"/>
        <w:szCs w:val="16"/>
      </w:rPr>
      <w:t>13</w:t>
    </w:r>
    <w:r>
      <w:rPr>
        <w:rStyle w:val="PageNumber"/>
        <w:rFonts w:cs="Arial"/>
        <w:sz w:val="16"/>
        <w:szCs w:val="16"/>
      </w:rPr>
      <w:fldChar w:fldCharType="end"/>
    </w:r>
    <w:r>
      <w:rPr>
        <w:rFonts w:cs="Arial"/>
        <w:sz w:val="16"/>
        <w:szCs w:val="16"/>
      </w:rPr>
      <w:tab/>
    </w:r>
    <w:r w:rsidR="00012B8E">
      <w:rPr>
        <w:rFonts w:cs="Arial"/>
        <w:sz w:val="16"/>
        <w:szCs w:val="16"/>
      </w:rPr>
      <w:t>May</w:t>
    </w:r>
    <w:r w:rsidR="00010075">
      <w:rPr>
        <w:rFonts w:cs="Arial"/>
        <w:sz w:val="16"/>
        <w:szCs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1E" w:rsidRDefault="000F2F1E">
      <w:pPr>
        <w:spacing w:after="0"/>
      </w:pPr>
      <w:r>
        <w:separator/>
      </w:r>
    </w:p>
  </w:footnote>
  <w:footnote w:type="continuationSeparator" w:id="0">
    <w:p w:rsidR="000F2F1E" w:rsidRDefault="000F2F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15" w:rsidRPr="00D361CA" w:rsidRDefault="00184215" w:rsidP="00184215">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Pr="00184215">
      <w:rPr>
        <w:b/>
        <w:sz w:val="20"/>
        <w:szCs w:val="20"/>
      </w:rPr>
      <w:t>AusPAR</w:t>
    </w:r>
    <w:proofErr w:type="spellEnd"/>
    <w:r w:rsidRPr="00184215">
      <w:rPr>
        <w:b/>
        <w:sz w:val="20"/>
        <w:szCs w:val="20"/>
      </w:rPr>
      <w:t xml:space="preserve"> </w:t>
    </w:r>
    <w:proofErr w:type="spellStart"/>
    <w:r w:rsidRPr="00184215">
      <w:rPr>
        <w:b/>
        <w:sz w:val="20"/>
        <w:szCs w:val="20"/>
      </w:rPr>
      <w:t>Revestive</w:t>
    </w:r>
    <w:proofErr w:type="spellEnd"/>
    <w:r w:rsidRPr="00184215">
      <w:rPr>
        <w:b/>
        <w:sz w:val="20"/>
        <w:szCs w:val="20"/>
      </w:rPr>
      <w:t xml:space="preserve"> Shire Australia Pty Ltd PM-2016-01314-1-1 Final 6 April 2018</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p w:rsidR="00184215" w:rsidRDefault="00184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972"/>
    <w:multiLevelType w:val="hybridMultilevel"/>
    <w:tmpl w:val="2B860778"/>
    <w:lvl w:ilvl="0" w:tplc="360269EE">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7B512C"/>
    <w:multiLevelType w:val="hybridMultilevel"/>
    <w:tmpl w:val="73307696"/>
    <w:lvl w:ilvl="0" w:tplc="360269EE">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D023BB"/>
    <w:multiLevelType w:val="hybridMultilevel"/>
    <w:tmpl w:val="2E8634D0"/>
    <w:lvl w:ilvl="0" w:tplc="360269EE">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CA35B3"/>
    <w:multiLevelType w:val="hybridMultilevel"/>
    <w:tmpl w:val="C6D6A898"/>
    <w:lvl w:ilvl="0" w:tplc="1FDA582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7517AE7"/>
    <w:multiLevelType w:val="hybridMultilevel"/>
    <w:tmpl w:val="763C703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B075B55"/>
    <w:multiLevelType w:val="hybridMultilevel"/>
    <w:tmpl w:val="4CF8209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732605"/>
    <w:multiLevelType w:val="hybridMultilevel"/>
    <w:tmpl w:val="F6D011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64001DF8"/>
    <w:multiLevelType w:val="hybridMultilevel"/>
    <w:tmpl w:val="B75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D038CE"/>
    <w:multiLevelType w:val="hybridMultilevel"/>
    <w:tmpl w:val="98D8396C"/>
    <w:lvl w:ilvl="0" w:tplc="748CA29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C341DB4"/>
    <w:multiLevelType w:val="hybridMultilevel"/>
    <w:tmpl w:val="8F5E6F5A"/>
    <w:lvl w:ilvl="0" w:tplc="9574272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0"/>
  </w:num>
  <w:num w:numId="7">
    <w:abstractNumId w:val="5"/>
  </w:num>
  <w:num w:numId="8">
    <w:abstractNumId w:val="8"/>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5C"/>
    <w:rsid w:val="000017C2"/>
    <w:rsid w:val="000021B9"/>
    <w:rsid w:val="000045AD"/>
    <w:rsid w:val="00004E8C"/>
    <w:rsid w:val="00005F81"/>
    <w:rsid w:val="00006B0A"/>
    <w:rsid w:val="00006C44"/>
    <w:rsid w:val="00010075"/>
    <w:rsid w:val="000100D2"/>
    <w:rsid w:val="00010726"/>
    <w:rsid w:val="00010B85"/>
    <w:rsid w:val="00011F6A"/>
    <w:rsid w:val="00012B8E"/>
    <w:rsid w:val="000136B9"/>
    <w:rsid w:val="000148C7"/>
    <w:rsid w:val="00017029"/>
    <w:rsid w:val="00020396"/>
    <w:rsid w:val="0002131D"/>
    <w:rsid w:val="00022DD1"/>
    <w:rsid w:val="000243BC"/>
    <w:rsid w:val="000261D8"/>
    <w:rsid w:val="00026D0A"/>
    <w:rsid w:val="00027974"/>
    <w:rsid w:val="00030DE0"/>
    <w:rsid w:val="00033F04"/>
    <w:rsid w:val="000340FF"/>
    <w:rsid w:val="00034670"/>
    <w:rsid w:val="00034C27"/>
    <w:rsid w:val="000352A4"/>
    <w:rsid w:val="00035354"/>
    <w:rsid w:val="0003581D"/>
    <w:rsid w:val="0003757A"/>
    <w:rsid w:val="00041C4B"/>
    <w:rsid w:val="00041D07"/>
    <w:rsid w:val="00042ACF"/>
    <w:rsid w:val="000432D2"/>
    <w:rsid w:val="0004371F"/>
    <w:rsid w:val="00043C27"/>
    <w:rsid w:val="00045BFD"/>
    <w:rsid w:val="00046052"/>
    <w:rsid w:val="0004662A"/>
    <w:rsid w:val="00046FDF"/>
    <w:rsid w:val="000512CF"/>
    <w:rsid w:val="00051595"/>
    <w:rsid w:val="00052868"/>
    <w:rsid w:val="0005304C"/>
    <w:rsid w:val="0005334F"/>
    <w:rsid w:val="00054868"/>
    <w:rsid w:val="0005547A"/>
    <w:rsid w:val="00055E72"/>
    <w:rsid w:val="000576CC"/>
    <w:rsid w:val="0005774F"/>
    <w:rsid w:val="00057FBE"/>
    <w:rsid w:val="000606FB"/>
    <w:rsid w:val="00060EA7"/>
    <w:rsid w:val="00061AE1"/>
    <w:rsid w:val="00061E84"/>
    <w:rsid w:val="00061FE7"/>
    <w:rsid w:val="00062EA6"/>
    <w:rsid w:val="00062F45"/>
    <w:rsid w:val="000637A3"/>
    <w:rsid w:val="00063C89"/>
    <w:rsid w:val="00064DDE"/>
    <w:rsid w:val="00067CDF"/>
    <w:rsid w:val="000727E0"/>
    <w:rsid w:val="00073850"/>
    <w:rsid w:val="00074C57"/>
    <w:rsid w:val="00075AC5"/>
    <w:rsid w:val="00075C33"/>
    <w:rsid w:val="000772C8"/>
    <w:rsid w:val="00080776"/>
    <w:rsid w:val="00080D07"/>
    <w:rsid w:val="000819DB"/>
    <w:rsid w:val="0008245F"/>
    <w:rsid w:val="00082BCE"/>
    <w:rsid w:val="0008332B"/>
    <w:rsid w:val="0008540C"/>
    <w:rsid w:val="00085D54"/>
    <w:rsid w:val="000877AC"/>
    <w:rsid w:val="00091FF2"/>
    <w:rsid w:val="00094E0D"/>
    <w:rsid w:val="00095B72"/>
    <w:rsid w:val="000978F2"/>
    <w:rsid w:val="00097AA0"/>
    <w:rsid w:val="000A01B3"/>
    <w:rsid w:val="000A1229"/>
    <w:rsid w:val="000A263C"/>
    <w:rsid w:val="000A7D93"/>
    <w:rsid w:val="000B0374"/>
    <w:rsid w:val="000B2325"/>
    <w:rsid w:val="000B2B20"/>
    <w:rsid w:val="000B35A8"/>
    <w:rsid w:val="000B3766"/>
    <w:rsid w:val="000B5830"/>
    <w:rsid w:val="000B5873"/>
    <w:rsid w:val="000B6DB6"/>
    <w:rsid w:val="000C1CB4"/>
    <w:rsid w:val="000C2326"/>
    <w:rsid w:val="000C2633"/>
    <w:rsid w:val="000C2B7B"/>
    <w:rsid w:val="000C396B"/>
    <w:rsid w:val="000C4952"/>
    <w:rsid w:val="000C4AC0"/>
    <w:rsid w:val="000C600F"/>
    <w:rsid w:val="000C6045"/>
    <w:rsid w:val="000C6D5F"/>
    <w:rsid w:val="000C7618"/>
    <w:rsid w:val="000C7EB2"/>
    <w:rsid w:val="000D12DC"/>
    <w:rsid w:val="000D2241"/>
    <w:rsid w:val="000D2B42"/>
    <w:rsid w:val="000D2D6C"/>
    <w:rsid w:val="000D306A"/>
    <w:rsid w:val="000D5723"/>
    <w:rsid w:val="000D60E4"/>
    <w:rsid w:val="000D746C"/>
    <w:rsid w:val="000E423B"/>
    <w:rsid w:val="000E44D1"/>
    <w:rsid w:val="000E4D00"/>
    <w:rsid w:val="000E5988"/>
    <w:rsid w:val="000E7BB0"/>
    <w:rsid w:val="000E7CFD"/>
    <w:rsid w:val="000E7F9C"/>
    <w:rsid w:val="000F212E"/>
    <w:rsid w:val="000F2782"/>
    <w:rsid w:val="000F2F1E"/>
    <w:rsid w:val="000F4938"/>
    <w:rsid w:val="000F4C15"/>
    <w:rsid w:val="000F50BC"/>
    <w:rsid w:val="000F5D31"/>
    <w:rsid w:val="000F6346"/>
    <w:rsid w:val="000F6EAC"/>
    <w:rsid w:val="000F7A5C"/>
    <w:rsid w:val="000F7CA2"/>
    <w:rsid w:val="00101812"/>
    <w:rsid w:val="00101AAA"/>
    <w:rsid w:val="00102B42"/>
    <w:rsid w:val="001036DB"/>
    <w:rsid w:val="00104392"/>
    <w:rsid w:val="0010626A"/>
    <w:rsid w:val="0010770E"/>
    <w:rsid w:val="00110BA4"/>
    <w:rsid w:val="0011101E"/>
    <w:rsid w:val="00111198"/>
    <w:rsid w:val="001139AC"/>
    <w:rsid w:val="00115D93"/>
    <w:rsid w:val="00116049"/>
    <w:rsid w:val="00120BE9"/>
    <w:rsid w:val="0012153D"/>
    <w:rsid w:val="00121E3E"/>
    <w:rsid w:val="00122772"/>
    <w:rsid w:val="00123593"/>
    <w:rsid w:val="00123EAA"/>
    <w:rsid w:val="0012412D"/>
    <w:rsid w:val="00124E06"/>
    <w:rsid w:val="00124F72"/>
    <w:rsid w:val="001251FA"/>
    <w:rsid w:val="00125883"/>
    <w:rsid w:val="00126591"/>
    <w:rsid w:val="001267F3"/>
    <w:rsid w:val="00126E57"/>
    <w:rsid w:val="00130B65"/>
    <w:rsid w:val="0013272C"/>
    <w:rsid w:val="00134C39"/>
    <w:rsid w:val="00136C1A"/>
    <w:rsid w:val="00140CA6"/>
    <w:rsid w:val="00141E0E"/>
    <w:rsid w:val="00144CAC"/>
    <w:rsid w:val="00145ADA"/>
    <w:rsid w:val="00146051"/>
    <w:rsid w:val="001470C5"/>
    <w:rsid w:val="001521A0"/>
    <w:rsid w:val="001524ED"/>
    <w:rsid w:val="0015358A"/>
    <w:rsid w:val="001539B1"/>
    <w:rsid w:val="0015476C"/>
    <w:rsid w:val="00154B82"/>
    <w:rsid w:val="00154CC6"/>
    <w:rsid w:val="0015630D"/>
    <w:rsid w:val="00156816"/>
    <w:rsid w:val="001571A5"/>
    <w:rsid w:val="0015734F"/>
    <w:rsid w:val="0015789D"/>
    <w:rsid w:val="0016028C"/>
    <w:rsid w:val="0016064D"/>
    <w:rsid w:val="00160A00"/>
    <w:rsid w:val="00160DEC"/>
    <w:rsid w:val="001611B7"/>
    <w:rsid w:val="0016163B"/>
    <w:rsid w:val="00161E33"/>
    <w:rsid w:val="001645CE"/>
    <w:rsid w:val="0016513E"/>
    <w:rsid w:val="001652FC"/>
    <w:rsid w:val="001659D4"/>
    <w:rsid w:val="00170961"/>
    <w:rsid w:val="00170ADF"/>
    <w:rsid w:val="001717F2"/>
    <w:rsid w:val="0017194C"/>
    <w:rsid w:val="001735DD"/>
    <w:rsid w:val="001741E8"/>
    <w:rsid w:val="00174FF3"/>
    <w:rsid w:val="001765BB"/>
    <w:rsid w:val="001837BD"/>
    <w:rsid w:val="00184215"/>
    <w:rsid w:val="00184F68"/>
    <w:rsid w:val="001850AA"/>
    <w:rsid w:val="00185928"/>
    <w:rsid w:val="00185CE7"/>
    <w:rsid w:val="00187599"/>
    <w:rsid w:val="00187845"/>
    <w:rsid w:val="00187BCA"/>
    <w:rsid w:val="00190449"/>
    <w:rsid w:val="001909DD"/>
    <w:rsid w:val="0019178A"/>
    <w:rsid w:val="0019209F"/>
    <w:rsid w:val="001920C7"/>
    <w:rsid w:val="00193EBD"/>
    <w:rsid w:val="00195CFC"/>
    <w:rsid w:val="00196A97"/>
    <w:rsid w:val="001A0F58"/>
    <w:rsid w:val="001A19FC"/>
    <w:rsid w:val="001A2A6A"/>
    <w:rsid w:val="001A362F"/>
    <w:rsid w:val="001A39F4"/>
    <w:rsid w:val="001A538B"/>
    <w:rsid w:val="001A660C"/>
    <w:rsid w:val="001A699D"/>
    <w:rsid w:val="001A6A67"/>
    <w:rsid w:val="001A7A8C"/>
    <w:rsid w:val="001A7BAD"/>
    <w:rsid w:val="001B056F"/>
    <w:rsid w:val="001B09BF"/>
    <w:rsid w:val="001B19F1"/>
    <w:rsid w:val="001B1AEB"/>
    <w:rsid w:val="001B21E8"/>
    <w:rsid w:val="001B3A5E"/>
    <w:rsid w:val="001B444B"/>
    <w:rsid w:val="001B59BD"/>
    <w:rsid w:val="001B7BAE"/>
    <w:rsid w:val="001C0420"/>
    <w:rsid w:val="001C168E"/>
    <w:rsid w:val="001C2005"/>
    <w:rsid w:val="001C437F"/>
    <w:rsid w:val="001C57BC"/>
    <w:rsid w:val="001C607F"/>
    <w:rsid w:val="001C68E4"/>
    <w:rsid w:val="001C6BAD"/>
    <w:rsid w:val="001D0D33"/>
    <w:rsid w:val="001D1206"/>
    <w:rsid w:val="001D3240"/>
    <w:rsid w:val="001D3AFF"/>
    <w:rsid w:val="001D4DFC"/>
    <w:rsid w:val="001D50A4"/>
    <w:rsid w:val="001D516B"/>
    <w:rsid w:val="001D6FC7"/>
    <w:rsid w:val="001E0C51"/>
    <w:rsid w:val="001E16A8"/>
    <w:rsid w:val="001E1732"/>
    <w:rsid w:val="001E1E7D"/>
    <w:rsid w:val="001E2181"/>
    <w:rsid w:val="001E2E4F"/>
    <w:rsid w:val="001E3B10"/>
    <w:rsid w:val="001E466E"/>
    <w:rsid w:val="001E55A8"/>
    <w:rsid w:val="001E606E"/>
    <w:rsid w:val="001E7BC4"/>
    <w:rsid w:val="001F0365"/>
    <w:rsid w:val="001F0B4C"/>
    <w:rsid w:val="001F2225"/>
    <w:rsid w:val="001F2C78"/>
    <w:rsid w:val="001F344D"/>
    <w:rsid w:val="001F459B"/>
    <w:rsid w:val="001F4934"/>
    <w:rsid w:val="001F4DBE"/>
    <w:rsid w:val="001F57BD"/>
    <w:rsid w:val="00201764"/>
    <w:rsid w:val="00201C54"/>
    <w:rsid w:val="00202023"/>
    <w:rsid w:val="002024A6"/>
    <w:rsid w:val="0020294C"/>
    <w:rsid w:val="00202D05"/>
    <w:rsid w:val="002042ED"/>
    <w:rsid w:val="00204675"/>
    <w:rsid w:val="00205470"/>
    <w:rsid w:val="00206BBB"/>
    <w:rsid w:val="00206EB5"/>
    <w:rsid w:val="002072DC"/>
    <w:rsid w:val="00210985"/>
    <w:rsid w:val="00211AE2"/>
    <w:rsid w:val="00212A62"/>
    <w:rsid w:val="00213612"/>
    <w:rsid w:val="00214315"/>
    <w:rsid w:val="00215157"/>
    <w:rsid w:val="00215181"/>
    <w:rsid w:val="00215CB3"/>
    <w:rsid w:val="00216B73"/>
    <w:rsid w:val="002178DA"/>
    <w:rsid w:val="002227DB"/>
    <w:rsid w:val="00222C2B"/>
    <w:rsid w:val="00226E40"/>
    <w:rsid w:val="00226EA4"/>
    <w:rsid w:val="0022737D"/>
    <w:rsid w:val="00230718"/>
    <w:rsid w:val="00230782"/>
    <w:rsid w:val="0023367F"/>
    <w:rsid w:val="0023512B"/>
    <w:rsid w:val="002357C9"/>
    <w:rsid w:val="00241839"/>
    <w:rsid w:val="002424AE"/>
    <w:rsid w:val="00243A86"/>
    <w:rsid w:val="002445A2"/>
    <w:rsid w:val="002453E3"/>
    <w:rsid w:val="0024555E"/>
    <w:rsid w:val="00246028"/>
    <w:rsid w:val="00250B77"/>
    <w:rsid w:val="00251810"/>
    <w:rsid w:val="002521CD"/>
    <w:rsid w:val="002543D0"/>
    <w:rsid w:val="0025511F"/>
    <w:rsid w:val="002600BF"/>
    <w:rsid w:val="00263004"/>
    <w:rsid w:val="002631FD"/>
    <w:rsid w:val="00263B0E"/>
    <w:rsid w:val="002652A3"/>
    <w:rsid w:val="00265AB7"/>
    <w:rsid w:val="00265BDB"/>
    <w:rsid w:val="00270AC5"/>
    <w:rsid w:val="002717C4"/>
    <w:rsid w:val="00272D1A"/>
    <w:rsid w:val="00274523"/>
    <w:rsid w:val="002747BF"/>
    <w:rsid w:val="002750A3"/>
    <w:rsid w:val="00275567"/>
    <w:rsid w:val="00275E42"/>
    <w:rsid w:val="002810D2"/>
    <w:rsid w:val="00283E34"/>
    <w:rsid w:val="002852A2"/>
    <w:rsid w:val="00287801"/>
    <w:rsid w:val="002900FD"/>
    <w:rsid w:val="0029121D"/>
    <w:rsid w:val="00293290"/>
    <w:rsid w:val="0029602A"/>
    <w:rsid w:val="00296E51"/>
    <w:rsid w:val="002975CC"/>
    <w:rsid w:val="002A004A"/>
    <w:rsid w:val="002A0CCB"/>
    <w:rsid w:val="002A0F3F"/>
    <w:rsid w:val="002A10D2"/>
    <w:rsid w:val="002A1729"/>
    <w:rsid w:val="002A17B5"/>
    <w:rsid w:val="002A2E45"/>
    <w:rsid w:val="002A345A"/>
    <w:rsid w:val="002A39EC"/>
    <w:rsid w:val="002A4228"/>
    <w:rsid w:val="002A4486"/>
    <w:rsid w:val="002A462B"/>
    <w:rsid w:val="002A5B61"/>
    <w:rsid w:val="002A5D9A"/>
    <w:rsid w:val="002A6186"/>
    <w:rsid w:val="002A685E"/>
    <w:rsid w:val="002B0B2E"/>
    <w:rsid w:val="002B2177"/>
    <w:rsid w:val="002B2902"/>
    <w:rsid w:val="002B37E0"/>
    <w:rsid w:val="002B389D"/>
    <w:rsid w:val="002B410B"/>
    <w:rsid w:val="002B4DB4"/>
    <w:rsid w:val="002B72DF"/>
    <w:rsid w:val="002B736C"/>
    <w:rsid w:val="002C0B6D"/>
    <w:rsid w:val="002C0B75"/>
    <w:rsid w:val="002C3836"/>
    <w:rsid w:val="002C4719"/>
    <w:rsid w:val="002C5205"/>
    <w:rsid w:val="002C648F"/>
    <w:rsid w:val="002D4A3E"/>
    <w:rsid w:val="002D4B87"/>
    <w:rsid w:val="002D4D07"/>
    <w:rsid w:val="002D53A1"/>
    <w:rsid w:val="002D5922"/>
    <w:rsid w:val="002D60C9"/>
    <w:rsid w:val="002D6A79"/>
    <w:rsid w:val="002D78F4"/>
    <w:rsid w:val="002E001A"/>
    <w:rsid w:val="002E0CBC"/>
    <w:rsid w:val="002E260B"/>
    <w:rsid w:val="002E29A8"/>
    <w:rsid w:val="002E3BD5"/>
    <w:rsid w:val="002E5F95"/>
    <w:rsid w:val="002E60FC"/>
    <w:rsid w:val="002E6DDE"/>
    <w:rsid w:val="002E7670"/>
    <w:rsid w:val="002E7A3E"/>
    <w:rsid w:val="002F0498"/>
    <w:rsid w:val="002F072D"/>
    <w:rsid w:val="002F10A6"/>
    <w:rsid w:val="002F22B3"/>
    <w:rsid w:val="002F2CA9"/>
    <w:rsid w:val="002F39CA"/>
    <w:rsid w:val="002F456F"/>
    <w:rsid w:val="002F537F"/>
    <w:rsid w:val="002F6E98"/>
    <w:rsid w:val="002F7412"/>
    <w:rsid w:val="0030351C"/>
    <w:rsid w:val="00303CBE"/>
    <w:rsid w:val="003058F3"/>
    <w:rsid w:val="00305C2A"/>
    <w:rsid w:val="003065D9"/>
    <w:rsid w:val="00307065"/>
    <w:rsid w:val="00307CF4"/>
    <w:rsid w:val="0031106F"/>
    <w:rsid w:val="00311F30"/>
    <w:rsid w:val="00313811"/>
    <w:rsid w:val="00313BFC"/>
    <w:rsid w:val="00314C93"/>
    <w:rsid w:val="00315297"/>
    <w:rsid w:val="003152B1"/>
    <w:rsid w:val="0031658B"/>
    <w:rsid w:val="003170D8"/>
    <w:rsid w:val="003175A7"/>
    <w:rsid w:val="00317CA9"/>
    <w:rsid w:val="00317D8D"/>
    <w:rsid w:val="003219B1"/>
    <w:rsid w:val="00322E56"/>
    <w:rsid w:val="0032398D"/>
    <w:rsid w:val="003248F5"/>
    <w:rsid w:val="00324DDF"/>
    <w:rsid w:val="003251A8"/>
    <w:rsid w:val="00325672"/>
    <w:rsid w:val="00325C96"/>
    <w:rsid w:val="003262D9"/>
    <w:rsid w:val="00327976"/>
    <w:rsid w:val="003312E1"/>
    <w:rsid w:val="0033275F"/>
    <w:rsid w:val="00332F91"/>
    <w:rsid w:val="00333AE0"/>
    <w:rsid w:val="00334440"/>
    <w:rsid w:val="00334737"/>
    <w:rsid w:val="00334946"/>
    <w:rsid w:val="00335762"/>
    <w:rsid w:val="00337ADB"/>
    <w:rsid w:val="00340C1D"/>
    <w:rsid w:val="00342A39"/>
    <w:rsid w:val="00343055"/>
    <w:rsid w:val="00343302"/>
    <w:rsid w:val="003449B5"/>
    <w:rsid w:val="00345334"/>
    <w:rsid w:val="0034666C"/>
    <w:rsid w:val="003473AB"/>
    <w:rsid w:val="00347616"/>
    <w:rsid w:val="00351CF7"/>
    <w:rsid w:val="00352083"/>
    <w:rsid w:val="00352903"/>
    <w:rsid w:val="00352C42"/>
    <w:rsid w:val="003539B2"/>
    <w:rsid w:val="00353D5E"/>
    <w:rsid w:val="0035412D"/>
    <w:rsid w:val="00354EFE"/>
    <w:rsid w:val="003552F0"/>
    <w:rsid w:val="00356EDD"/>
    <w:rsid w:val="003648BB"/>
    <w:rsid w:val="00366C47"/>
    <w:rsid w:val="00370EFC"/>
    <w:rsid w:val="003716D2"/>
    <w:rsid w:val="003725A4"/>
    <w:rsid w:val="00372B3B"/>
    <w:rsid w:val="00372E45"/>
    <w:rsid w:val="00373708"/>
    <w:rsid w:val="00373733"/>
    <w:rsid w:val="00373A60"/>
    <w:rsid w:val="00374910"/>
    <w:rsid w:val="003775A8"/>
    <w:rsid w:val="00377D87"/>
    <w:rsid w:val="0038099F"/>
    <w:rsid w:val="003830A9"/>
    <w:rsid w:val="003848CB"/>
    <w:rsid w:val="00384FF7"/>
    <w:rsid w:val="00387AB5"/>
    <w:rsid w:val="00387CE0"/>
    <w:rsid w:val="00387DE1"/>
    <w:rsid w:val="003928D9"/>
    <w:rsid w:val="00393E1A"/>
    <w:rsid w:val="00395638"/>
    <w:rsid w:val="003961D5"/>
    <w:rsid w:val="00396251"/>
    <w:rsid w:val="00396D5D"/>
    <w:rsid w:val="00397240"/>
    <w:rsid w:val="00397A5A"/>
    <w:rsid w:val="00397BF4"/>
    <w:rsid w:val="003A00D4"/>
    <w:rsid w:val="003A0CCF"/>
    <w:rsid w:val="003A1A48"/>
    <w:rsid w:val="003A1AED"/>
    <w:rsid w:val="003A2414"/>
    <w:rsid w:val="003A2EEE"/>
    <w:rsid w:val="003A3165"/>
    <w:rsid w:val="003A3872"/>
    <w:rsid w:val="003A4AC2"/>
    <w:rsid w:val="003A5FCD"/>
    <w:rsid w:val="003A60BB"/>
    <w:rsid w:val="003A744A"/>
    <w:rsid w:val="003A7F97"/>
    <w:rsid w:val="003A7FEC"/>
    <w:rsid w:val="003B13C8"/>
    <w:rsid w:val="003B1BCD"/>
    <w:rsid w:val="003B1FED"/>
    <w:rsid w:val="003B3353"/>
    <w:rsid w:val="003B3F5D"/>
    <w:rsid w:val="003B42F7"/>
    <w:rsid w:val="003B7D33"/>
    <w:rsid w:val="003B7DDA"/>
    <w:rsid w:val="003B7F05"/>
    <w:rsid w:val="003C0E39"/>
    <w:rsid w:val="003C116C"/>
    <w:rsid w:val="003C1C4A"/>
    <w:rsid w:val="003C2711"/>
    <w:rsid w:val="003C2A71"/>
    <w:rsid w:val="003C360A"/>
    <w:rsid w:val="003C3A25"/>
    <w:rsid w:val="003C47A9"/>
    <w:rsid w:val="003C4D46"/>
    <w:rsid w:val="003C6150"/>
    <w:rsid w:val="003C6BBF"/>
    <w:rsid w:val="003C6C42"/>
    <w:rsid w:val="003C6D61"/>
    <w:rsid w:val="003C7FBC"/>
    <w:rsid w:val="003D046B"/>
    <w:rsid w:val="003D079E"/>
    <w:rsid w:val="003D0AF0"/>
    <w:rsid w:val="003D1288"/>
    <w:rsid w:val="003D15AE"/>
    <w:rsid w:val="003D1E63"/>
    <w:rsid w:val="003D319C"/>
    <w:rsid w:val="003D340A"/>
    <w:rsid w:val="003D3807"/>
    <w:rsid w:val="003D575D"/>
    <w:rsid w:val="003D61AA"/>
    <w:rsid w:val="003D6B5B"/>
    <w:rsid w:val="003E01C9"/>
    <w:rsid w:val="003E3201"/>
    <w:rsid w:val="003E42D7"/>
    <w:rsid w:val="003E58D3"/>
    <w:rsid w:val="003E5A1F"/>
    <w:rsid w:val="003F05B8"/>
    <w:rsid w:val="003F0B7E"/>
    <w:rsid w:val="003F28DF"/>
    <w:rsid w:val="003F2A7A"/>
    <w:rsid w:val="003F3F5C"/>
    <w:rsid w:val="003F4E96"/>
    <w:rsid w:val="003F609F"/>
    <w:rsid w:val="003F62AD"/>
    <w:rsid w:val="003F6CAF"/>
    <w:rsid w:val="003F722F"/>
    <w:rsid w:val="00400865"/>
    <w:rsid w:val="00400DB7"/>
    <w:rsid w:val="00400DD3"/>
    <w:rsid w:val="00402CEB"/>
    <w:rsid w:val="00403E62"/>
    <w:rsid w:val="0040465A"/>
    <w:rsid w:val="00405655"/>
    <w:rsid w:val="00405675"/>
    <w:rsid w:val="0040578F"/>
    <w:rsid w:val="00405DE7"/>
    <w:rsid w:val="00414364"/>
    <w:rsid w:val="00414600"/>
    <w:rsid w:val="00414B86"/>
    <w:rsid w:val="00414C12"/>
    <w:rsid w:val="0041573C"/>
    <w:rsid w:val="0041662A"/>
    <w:rsid w:val="004166AF"/>
    <w:rsid w:val="00416C9A"/>
    <w:rsid w:val="00416F03"/>
    <w:rsid w:val="0041712F"/>
    <w:rsid w:val="0042096B"/>
    <w:rsid w:val="00422ED1"/>
    <w:rsid w:val="00422FD7"/>
    <w:rsid w:val="00423856"/>
    <w:rsid w:val="00424DE0"/>
    <w:rsid w:val="00425985"/>
    <w:rsid w:val="004261D5"/>
    <w:rsid w:val="00427931"/>
    <w:rsid w:val="00432299"/>
    <w:rsid w:val="00433973"/>
    <w:rsid w:val="00434B92"/>
    <w:rsid w:val="00434E7C"/>
    <w:rsid w:val="004351CB"/>
    <w:rsid w:val="004367F4"/>
    <w:rsid w:val="00437352"/>
    <w:rsid w:val="00437416"/>
    <w:rsid w:val="00437421"/>
    <w:rsid w:val="0043755C"/>
    <w:rsid w:val="0044023C"/>
    <w:rsid w:val="0044069F"/>
    <w:rsid w:val="00441FE9"/>
    <w:rsid w:val="00442F31"/>
    <w:rsid w:val="004434E8"/>
    <w:rsid w:val="00443D9C"/>
    <w:rsid w:val="00444F89"/>
    <w:rsid w:val="00445A85"/>
    <w:rsid w:val="00446ABF"/>
    <w:rsid w:val="00447C43"/>
    <w:rsid w:val="00450C7A"/>
    <w:rsid w:val="00453DC0"/>
    <w:rsid w:val="004570C7"/>
    <w:rsid w:val="00457E2A"/>
    <w:rsid w:val="00462633"/>
    <w:rsid w:val="004630C7"/>
    <w:rsid w:val="0046503F"/>
    <w:rsid w:val="0047208E"/>
    <w:rsid w:val="004724EF"/>
    <w:rsid w:val="0047293A"/>
    <w:rsid w:val="0047419D"/>
    <w:rsid w:val="0047681B"/>
    <w:rsid w:val="00477FB4"/>
    <w:rsid w:val="00480691"/>
    <w:rsid w:val="004807DF"/>
    <w:rsid w:val="00480A39"/>
    <w:rsid w:val="0048196D"/>
    <w:rsid w:val="0048401A"/>
    <w:rsid w:val="004851D5"/>
    <w:rsid w:val="004858BB"/>
    <w:rsid w:val="00490192"/>
    <w:rsid w:val="00490AF0"/>
    <w:rsid w:val="0049215B"/>
    <w:rsid w:val="00492556"/>
    <w:rsid w:val="00494200"/>
    <w:rsid w:val="00494509"/>
    <w:rsid w:val="00494B53"/>
    <w:rsid w:val="00495712"/>
    <w:rsid w:val="00495F22"/>
    <w:rsid w:val="00497113"/>
    <w:rsid w:val="00497D7D"/>
    <w:rsid w:val="004A1371"/>
    <w:rsid w:val="004A1380"/>
    <w:rsid w:val="004A20F9"/>
    <w:rsid w:val="004A4E00"/>
    <w:rsid w:val="004A7489"/>
    <w:rsid w:val="004B039C"/>
    <w:rsid w:val="004B1084"/>
    <w:rsid w:val="004B2411"/>
    <w:rsid w:val="004B3347"/>
    <w:rsid w:val="004B4BB2"/>
    <w:rsid w:val="004B4CA4"/>
    <w:rsid w:val="004C0453"/>
    <w:rsid w:val="004C046D"/>
    <w:rsid w:val="004C095F"/>
    <w:rsid w:val="004C13BB"/>
    <w:rsid w:val="004C1849"/>
    <w:rsid w:val="004C3C6E"/>
    <w:rsid w:val="004C4D38"/>
    <w:rsid w:val="004C4FB2"/>
    <w:rsid w:val="004C4FE8"/>
    <w:rsid w:val="004C6906"/>
    <w:rsid w:val="004C6FA8"/>
    <w:rsid w:val="004D0D68"/>
    <w:rsid w:val="004D154B"/>
    <w:rsid w:val="004D1BBB"/>
    <w:rsid w:val="004D3B17"/>
    <w:rsid w:val="004D3C9F"/>
    <w:rsid w:val="004D52B8"/>
    <w:rsid w:val="004D5F1D"/>
    <w:rsid w:val="004D64DC"/>
    <w:rsid w:val="004E0F18"/>
    <w:rsid w:val="004E0FC2"/>
    <w:rsid w:val="004E1C67"/>
    <w:rsid w:val="004E1E03"/>
    <w:rsid w:val="004E25C8"/>
    <w:rsid w:val="004E274A"/>
    <w:rsid w:val="004E3EA8"/>
    <w:rsid w:val="004E474C"/>
    <w:rsid w:val="004E4E85"/>
    <w:rsid w:val="004E520D"/>
    <w:rsid w:val="004E7856"/>
    <w:rsid w:val="004E7A53"/>
    <w:rsid w:val="004F0C40"/>
    <w:rsid w:val="004F4498"/>
    <w:rsid w:val="004F5133"/>
    <w:rsid w:val="004F6FFF"/>
    <w:rsid w:val="004F707A"/>
    <w:rsid w:val="00501999"/>
    <w:rsid w:val="00501F17"/>
    <w:rsid w:val="00503E6C"/>
    <w:rsid w:val="00504028"/>
    <w:rsid w:val="00504060"/>
    <w:rsid w:val="00504538"/>
    <w:rsid w:val="00504C9C"/>
    <w:rsid w:val="005066C9"/>
    <w:rsid w:val="005071BF"/>
    <w:rsid w:val="00511007"/>
    <w:rsid w:val="005149B2"/>
    <w:rsid w:val="00514D3D"/>
    <w:rsid w:val="00514DF1"/>
    <w:rsid w:val="005160F8"/>
    <w:rsid w:val="00516E29"/>
    <w:rsid w:val="00517347"/>
    <w:rsid w:val="00520939"/>
    <w:rsid w:val="005210B7"/>
    <w:rsid w:val="005213C5"/>
    <w:rsid w:val="00522E71"/>
    <w:rsid w:val="00522F66"/>
    <w:rsid w:val="00523BCC"/>
    <w:rsid w:val="00524FE1"/>
    <w:rsid w:val="005252DF"/>
    <w:rsid w:val="00525A2E"/>
    <w:rsid w:val="005261AF"/>
    <w:rsid w:val="0053039E"/>
    <w:rsid w:val="00531120"/>
    <w:rsid w:val="00531B0D"/>
    <w:rsid w:val="00531C42"/>
    <w:rsid w:val="00531CA1"/>
    <w:rsid w:val="00534978"/>
    <w:rsid w:val="00535155"/>
    <w:rsid w:val="005360C7"/>
    <w:rsid w:val="00537A35"/>
    <w:rsid w:val="00537CA0"/>
    <w:rsid w:val="005401C7"/>
    <w:rsid w:val="00541576"/>
    <w:rsid w:val="005422C9"/>
    <w:rsid w:val="00542374"/>
    <w:rsid w:val="00543D66"/>
    <w:rsid w:val="0054452A"/>
    <w:rsid w:val="00545D5D"/>
    <w:rsid w:val="0054617F"/>
    <w:rsid w:val="00546628"/>
    <w:rsid w:val="00547004"/>
    <w:rsid w:val="0054731D"/>
    <w:rsid w:val="00551D26"/>
    <w:rsid w:val="00551D8F"/>
    <w:rsid w:val="00552DDF"/>
    <w:rsid w:val="0055337F"/>
    <w:rsid w:val="005540D5"/>
    <w:rsid w:val="0055613D"/>
    <w:rsid w:val="0055674A"/>
    <w:rsid w:val="005567C5"/>
    <w:rsid w:val="00556BCF"/>
    <w:rsid w:val="00557240"/>
    <w:rsid w:val="00557BC3"/>
    <w:rsid w:val="005637E6"/>
    <w:rsid w:val="00564CA9"/>
    <w:rsid w:val="005650E1"/>
    <w:rsid w:val="00565B47"/>
    <w:rsid w:val="00566DC4"/>
    <w:rsid w:val="0057058A"/>
    <w:rsid w:val="005710AF"/>
    <w:rsid w:val="0057351F"/>
    <w:rsid w:val="005743FA"/>
    <w:rsid w:val="00574BFD"/>
    <w:rsid w:val="00575A38"/>
    <w:rsid w:val="00576B5E"/>
    <w:rsid w:val="00577427"/>
    <w:rsid w:val="00583810"/>
    <w:rsid w:val="0058435E"/>
    <w:rsid w:val="00586524"/>
    <w:rsid w:val="005865CA"/>
    <w:rsid w:val="0058737D"/>
    <w:rsid w:val="00587480"/>
    <w:rsid w:val="005874FD"/>
    <w:rsid w:val="00587C2A"/>
    <w:rsid w:val="0059046B"/>
    <w:rsid w:val="00593363"/>
    <w:rsid w:val="00594759"/>
    <w:rsid w:val="00596070"/>
    <w:rsid w:val="00597642"/>
    <w:rsid w:val="005979D5"/>
    <w:rsid w:val="005A0717"/>
    <w:rsid w:val="005A13A1"/>
    <w:rsid w:val="005A3638"/>
    <w:rsid w:val="005A3AA8"/>
    <w:rsid w:val="005A4DE9"/>
    <w:rsid w:val="005A6BE3"/>
    <w:rsid w:val="005A7496"/>
    <w:rsid w:val="005B3C51"/>
    <w:rsid w:val="005B48F0"/>
    <w:rsid w:val="005B49B1"/>
    <w:rsid w:val="005B72B8"/>
    <w:rsid w:val="005C06D0"/>
    <w:rsid w:val="005C0863"/>
    <w:rsid w:val="005C1682"/>
    <w:rsid w:val="005C1ADA"/>
    <w:rsid w:val="005C1F82"/>
    <w:rsid w:val="005C2A60"/>
    <w:rsid w:val="005C4C34"/>
    <w:rsid w:val="005C4F6E"/>
    <w:rsid w:val="005C56C9"/>
    <w:rsid w:val="005C7160"/>
    <w:rsid w:val="005C7523"/>
    <w:rsid w:val="005D0C6E"/>
    <w:rsid w:val="005D10CC"/>
    <w:rsid w:val="005D24E8"/>
    <w:rsid w:val="005D3556"/>
    <w:rsid w:val="005D4AC6"/>
    <w:rsid w:val="005D7F49"/>
    <w:rsid w:val="005E11BE"/>
    <w:rsid w:val="005E5360"/>
    <w:rsid w:val="005E547C"/>
    <w:rsid w:val="005E5850"/>
    <w:rsid w:val="005E5ACE"/>
    <w:rsid w:val="005F0795"/>
    <w:rsid w:val="005F21DA"/>
    <w:rsid w:val="005F2DDD"/>
    <w:rsid w:val="005F33BF"/>
    <w:rsid w:val="005F3433"/>
    <w:rsid w:val="005F3A84"/>
    <w:rsid w:val="005F405D"/>
    <w:rsid w:val="005F689C"/>
    <w:rsid w:val="005F6AFE"/>
    <w:rsid w:val="0060108B"/>
    <w:rsid w:val="006010C2"/>
    <w:rsid w:val="0060178D"/>
    <w:rsid w:val="00601BE6"/>
    <w:rsid w:val="00603F02"/>
    <w:rsid w:val="006046A1"/>
    <w:rsid w:val="00606A14"/>
    <w:rsid w:val="00612356"/>
    <w:rsid w:val="006129EC"/>
    <w:rsid w:val="00612B33"/>
    <w:rsid w:val="00612D75"/>
    <w:rsid w:val="006135A9"/>
    <w:rsid w:val="00614241"/>
    <w:rsid w:val="00615747"/>
    <w:rsid w:val="006160DC"/>
    <w:rsid w:val="00616139"/>
    <w:rsid w:val="00617EC0"/>
    <w:rsid w:val="00617EDC"/>
    <w:rsid w:val="00621E53"/>
    <w:rsid w:val="006225ED"/>
    <w:rsid w:val="006239F2"/>
    <w:rsid w:val="006260F7"/>
    <w:rsid w:val="00631775"/>
    <w:rsid w:val="00631AD4"/>
    <w:rsid w:val="00632C07"/>
    <w:rsid w:val="006339A2"/>
    <w:rsid w:val="00633BB9"/>
    <w:rsid w:val="0063569C"/>
    <w:rsid w:val="006357F5"/>
    <w:rsid w:val="00635ACA"/>
    <w:rsid w:val="00635E58"/>
    <w:rsid w:val="00636ED0"/>
    <w:rsid w:val="00640F7A"/>
    <w:rsid w:val="006417A5"/>
    <w:rsid w:val="006438A8"/>
    <w:rsid w:val="0064398A"/>
    <w:rsid w:val="00643ABB"/>
    <w:rsid w:val="0064450A"/>
    <w:rsid w:val="0064493B"/>
    <w:rsid w:val="006462E1"/>
    <w:rsid w:val="00646A24"/>
    <w:rsid w:val="00647E4E"/>
    <w:rsid w:val="00650A38"/>
    <w:rsid w:val="00651C42"/>
    <w:rsid w:val="00653D62"/>
    <w:rsid w:val="00655244"/>
    <w:rsid w:val="00655C6C"/>
    <w:rsid w:val="00656F7A"/>
    <w:rsid w:val="00656FA4"/>
    <w:rsid w:val="00657197"/>
    <w:rsid w:val="006604C3"/>
    <w:rsid w:val="00660965"/>
    <w:rsid w:val="00662990"/>
    <w:rsid w:val="00666FAD"/>
    <w:rsid w:val="00667BD7"/>
    <w:rsid w:val="006717C9"/>
    <w:rsid w:val="00672660"/>
    <w:rsid w:val="00674AF9"/>
    <w:rsid w:val="006751F8"/>
    <w:rsid w:val="00677ED8"/>
    <w:rsid w:val="0068031A"/>
    <w:rsid w:val="00682570"/>
    <w:rsid w:val="00684308"/>
    <w:rsid w:val="00686760"/>
    <w:rsid w:val="00690392"/>
    <w:rsid w:val="00691A70"/>
    <w:rsid w:val="00692C65"/>
    <w:rsid w:val="00692E58"/>
    <w:rsid w:val="00693BC5"/>
    <w:rsid w:val="0069521E"/>
    <w:rsid w:val="0069644C"/>
    <w:rsid w:val="006973A8"/>
    <w:rsid w:val="00697D9B"/>
    <w:rsid w:val="006A057F"/>
    <w:rsid w:val="006A3010"/>
    <w:rsid w:val="006A3B0A"/>
    <w:rsid w:val="006A4F4A"/>
    <w:rsid w:val="006A6D12"/>
    <w:rsid w:val="006A6D22"/>
    <w:rsid w:val="006A7179"/>
    <w:rsid w:val="006A72F7"/>
    <w:rsid w:val="006A7420"/>
    <w:rsid w:val="006B062E"/>
    <w:rsid w:val="006B07D3"/>
    <w:rsid w:val="006B0B2C"/>
    <w:rsid w:val="006B173F"/>
    <w:rsid w:val="006B17C0"/>
    <w:rsid w:val="006B1C25"/>
    <w:rsid w:val="006B2A10"/>
    <w:rsid w:val="006B6AC0"/>
    <w:rsid w:val="006B783C"/>
    <w:rsid w:val="006C080B"/>
    <w:rsid w:val="006C28B2"/>
    <w:rsid w:val="006C28B4"/>
    <w:rsid w:val="006C3277"/>
    <w:rsid w:val="006C35FE"/>
    <w:rsid w:val="006C3C00"/>
    <w:rsid w:val="006C4901"/>
    <w:rsid w:val="006C4AB5"/>
    <w:rsid w:val="006C521D"/>
    <w:rsid w:val="006C52BC"/>
    <w:rsid w:val="006C55A5"/>
    <w:rsid w:val="006C6E9F"/>
    <w:rsid w:val="006D0509"/>
    <w:rsid w:val="006D0A45"/>
    <w:rsid w:val="006D0B9E"/>
    <w:rsid w:val="006D0C80"/>
    <w:rsid w:val="006D2150"/>
    <w:rsid w:val="006D21E5"/>
    <w:rsid w:val="006D2B49"/>
    <w:rsid w:val="006D4181"/>
    <w:rsid w:val="006D5643"/>
    <w:rsid w:val="006D6DD1"/>
    <w:rsid w:val="006D7487"/>
    <w:rsid w:val="006D786F"/>
    <w:rsid w:val="006D7A7D"/>
    <w:rsid w:val="006E1DF2"/>
    <w:rsid w:val="006E2E84"/>
    <w:rsid w:val="006E3139"/>
    <w:rsid w:val="006E370E"/>
    <w:rsid w:val="006E46EF"/>
    <w:rsid w:val="006E522D"/>
    <w:rsid w:val="006E6FDB"/>
    <w:rsid w:val="006E76D6"/>
    <w:rsid w:val="006E7CCF"/>
    <w:rsid w:val="006E7D0C"/>
    <w:rsid w:val="006F0545"/>
    <w:rsid w:val="006F0B67"/>
    <w:rsid w:val="006F1798"/>
    <w:rsid w:val="006F2895"/>
    <w:rsid w:val="006F6BE3"/>
    <w:rsid w:val="007003EC"/>
    <w:rsid w:val="00700DD8"/>
    <w:rsid w:val="00700DF8"/>
    <w:rsid w:val="0070110A"/>
    <w:rsid w:val="007017E3"/>
    <w:rsid w:val="0070234C"/>
    <w:rsid w:val="00702C96"/>
    <w:rsid w:val="0070314E"/>
    <w:rsid w:val="0070389B"/>
    <w:rsid w:val="0070396F"/>
    <w:rsid w:val="00703C2E"/>
    <w:rsid w:val="007041D3"/>
    <w:rsid w:val="007058C9"/>
    <w:rsid w:val="00706CC5"/>
    <w:rsid w:val="0070788C"/>
    <w:rsid w:val="007079E4"/>
    <w:rsid w:val="00711123"/>
    <w:rsid w:val="007133E0"/>
    <w:rsid w:val="007137AD"/>
    <w:rsid w:val="00715616"/>
    <w:rsid w:val="00715CEB"/>
    <w:rsid w:val="0071738A"/>
    <w:rsid w:val="00717431"/>
    <w:rsid w:val="007178F3"/>
    <w:rsid w:val="00717B1A"/>
    <w:rsid w:val="00717D8A"/>
    <w:rsid w:val="00720ADF"/>
    <w:rsid w:val="007228AE"/>
    <w:rsid w:val="0072371E"/>
    <w:rsid w:val="0072505B"/>
    <w:rsid w:val="00725289"/>
    <w:rsid w:val="007258F4"/>
    <w:rsid w:val="00725DD1"/>
    <w:rsid w:val="0073064E"/>
    <w:rsid w:val="007326E4"/>
    <w:rsid w:val="007332B5"/>
    <w:rsid w:val="007335EB"/>
    <w:rsid w:val="0073383F"/>
    <w:rsid w:val="00733CA2"/>
    <w:rsid w:val="00734FE5"/>
    <w:rsid w:val="00735818"/>
    <w:rsid w:val="00735C3C"/>
    <w:rsid w:val="00735CF9"/>
    <w:rsid w:val="00735DFE"/>
    <w:rsid w:val="0073660E"/>
    <w:rsid w:val="007419E1"/>
    <w:rsid w:val="00741F8A"/>
    <w:rsid w:val="00742869"/>
    <w:rsid w:val="0074403D"/>
    <w:rsid w:val="007445E1"/>
    <w:rsid w:val="00745ED7"/>
    <w:rsid w:val="00747D9C"/>
    <w:rsid w:val="007504A7"/>
    <w:rsid w:val="00751A00"/>
    <w:rsid w:val="00751BF9"/>
    <w:rsid w:val="00752CD3"/>
    <w:rsid w:val="007537AB"/>
    <w:rsid w:val="00753A88"/>
    <w:rsid w:val="00753D35"/>
    <w:rsid w:val="00753ED4"/>
    <w:rsid w:val="00754B09"/>
    <w:rsid w:val="007568CC"/>
    <w:rsid w:val="00757806"/>
    <w:rsid w:val="00757CEA"/>
    <w:rsid w:val="00760E00"/>
    <w:rsid w:val="007610E6"/>
    <w:rsid w:val="007612B4"/>
    <w:rsid w:val="0076147B"/>
    <w:rsid w:val="0076162D"/>
    <w:rsid w:val="007620CB"/>
    <w:rsid w:val="007623F9"/>
    <w:rsid w:val="00762D85"/>
    <w:rsid w:val="0076398E"/>
    <w:rsid w:val="007639B7"/>
    <w:rsid w:val="00764C50"/>
    <w:rsid w:val="00770D00"/>
    <w:rsid w:val="00772B86"/>
    <w:rsid w:val="0077338D"/>
    <w:rsid w:val="00775AA7"/>
    <w:rsid w:val="007760E1"/>
    <w:rsid w:val="00777BBD"/>
    <w:rsid w:val="00777F41"/>
    <w:rsid w:val="00780E4C"/>
    <w:rsid w:val="00782EED"/>
    <w:rsid w:val="007831A7"/>
    <w:rsid w:val="00783CAB"/>
    <w:rsid w:val="00783F1F"/>
    <w:rsid w:val="00785A3B"/>
    <w:rsid w:val="00785CB7"/>
    <w:rsid w:val="00786D8E"/>
    <w:rsid w:val="00787647"/>
    <w:rsid w:val="00787C4B"/>
    <w:rsid w:val="0079068A"/>
    <w:rsid w:val="00792BFA"/>
    <w:rsid w:val="0079369E"/>
    <w:rsid w:val="00793AA4"/>
    <w:rsid w:val="00794B70"/>
    <w:rsid w:val="00794FD4"/>
    <w:rsid w:val="0079567C"/>
    <w:rsid w:val="00797BB9"/>
    <w:rsid w:val="007A07C2"/>
    <w:rsid w:val="007A09F6"/>
    <w:rsid w:val="007A0E89"/>
    <w:rsid w:val="007A133A"/>
    <w:rsid w:val="007A2C9C"/>
    <w:rsid w:val="007A3A88"/>
    <w:rsid w:val="007A3E92"/>
    <w:rsid w:val="007A4129"/>
    <w:rsid w:val="007A48B8"/>
    <w:rsid w:val="007A5749"/>
    <w:rsid w:val="007A6B59"/>
    <w:rsid w:val="007A7D4B"/>
    <w:rsid w:val="007B01B1"/>
    <w:rsid w:val="007B0507"/>
    <w:rsid w:val="007B0D91"/>
    <w:rsid w:val="007B2AAD"/>
    <w:rsid w:val="007B2BCC"/>
    <w:rsid w:val="007B38F3"/>
    <w:rsid w:val="007B3F4D"/>
    <w:rsid w:val="007B41FC"/>
    <w:rsid w:val="007B4BEC"/>
    <w:rsid w:val="007B5056"/>
    <w:rsid w:val="007B662C"/>
    <w:rsid w:val="007B7327"/>
    <w:rsid w:val="007C069A"/>
    <w:rsid w:val="007C11A2"/>
    <w:rsid w:val="007D0693"/>
    <w:rsid w:val="007D13C0"/>
    <w:rsid w:val="007D3B69"/>
    <w:rsid w:val="007D40C5"/>
    <w:rsid w:val="007D437E"/>
    <w:rsid w:val="007D57D5"/>
    <w:rsid w:val="007D66AB"/>
    <w:rsid w:val="007D7AFD"/>
    <w:rsid w:val="007D7EB8"/>
    <w:rsid w:val="007E1261"/>
    <w:rsid w:val="007E130A"/>
    <w:rsid w:val="007E1DD9"/>
    <w:rsid w:val="007E6EE7"/>
    <w:rsid w:val="007E7C83"/>
    <w:rsid w:val="007F2E78"/>
    <w:rsid w:val="007F2F8D"/>
    <w:rsid w:val="007F3607"/>
    <w:rsid w:val="007F44F0"/>
    <w:rsid w:val="007F4B90"/>
    <w:rsid w:val="007F5075"/>
    <w:rsid w:val="007F5638"/>
    <w:rsid w:val="007F56AB"/>
    <w:rsid w:val="007F6666"/>
    <w:rsid w:val="007F6FB0"/>
    <w:rsid w:val="007F751E"/>
    <w:rsid w:val="00800D57"/>
    <w:rsid w:val="00804F67"/>
    <w:rsid w:val="008103E1"/>
    <w:rsid w:val="008109DE"/>
    <w:rsid w:val="00811238"/>
    <w:rsid w:val="00812B6E"/>
    <w:rsid w:val="00813741"/>
    <w:rsid w:val="0081545C"/>
    <w:rsid w:val="00815988"/>
    <w:rsid w:val="0081748F"/>
    <w:rsid w:val="008224A8"/>
    <w:rsid w:val="00822958"/>
    <w:rsid w:val="008236E0"/>
    <w:rsid w:val="00824206"/>
    <w:rsid w:val="0082436E"/>
    <w:rsid w:val="008248CF"/>
    <w:rsid w:val="00824FB3"/>
    <w:rsid w:val="00825957"/>
    <w:rsid w:val="00826A6A"/>
    <w:rsid w:val="008279DE"/>
    <w:rsid w:val="00830149"/>
    <w:rsid w:val="0083103D"/>
    <w:rsid w:val="008316A8"/>
    <w:rsid w:val="00831803"/>
    <w:rsid w:val="00833D2D"/>
    <w:rsid w:val="0083570F"/>
    <w:rsid w:val="00835CEA"/>
    <w:rsid w:val="008361F4"/>
    <w:rsid w:val="008400C4"/>
    <w:rsid w:val="008401B8"/>
    <w:rsid w:val="008408BD"/>
    <w:rsid w:val="00841D10"/>
    <w:rsid w:val="00842D11"/>
    <w:rsid w:val="008441C3"/>
    <w:rsid w:val="00845622"/>
    <w:rsid w:val="00845B13"/>
    <w:rsid w:val="00845E2E"/>
    <w:rsid w:val="00846011"/>
    <w:rsid w:val="00852DDD"/>
    <w:rsid w:val="00853851"/>
    <w:rsid w:val="00853FBA"/>
    <w:rsid w:val="00854290"/>
    <w:rsid w:val="00856B71"/>
    <w:rsid w:val="00857EAD"/>
    <w:rsid w:val="008612F7"/>
    <w:rsid w:val="00861D57"/>
    <w:rsid w:val="00864257"/>
    <w:rsid w:val="00864944"/>
    <w:rsid w:val="00864ED6"/>
    <w:rsid w:val="008659D6"/>
    <w:rsid w:val="00866FE1"/>
    <w:rsid w:val="0087083C"/>
    <w:rsid w:val="00870BCE"/>
    <w:rsid w:val="00872AD4"/>
    <w:rsid w:val="00873BB9"/>
    <w:rsid w:val="00876CD1"/>
    <w:rsid w:val="0088031A"/>
    <w:rsid w:val="00880F55"/>
    <w:rsid w:val="008810E0"/>
    <w:rsid w:val="00882D1C"/>
    <w:rsid w:val="00883B5C"/>
    <w:rsid w:val="00885EEC"/>
    <w:rsid w:val="0088618A"/>
    <w:rsid w:val="00886AC0"/>
    <w:rsid w:val="00886EC1"/>
    <w:rsid w:val="00887130"/>
    <w:rsid w:val="00887398"/>
    <w:rsid w:val="00887F8F"/>
    <w:rsid w:val="008913A5"/>
    <w:rsid w:val="00891406"/>
    <w:rsid w:val="00891731"/>
    <w:rsid w:val="00892535"/>
    <w:rsid w:val="0089434D"/>
    <w:rsid w:val="00894772"/>
    <w:rsid w:val="008947B8"/>
    <w:rsid w:val="00895092"/>
    <w:rsid w:val="008953E9"/>
    <w:rsid w:val="00896BB1"/>
    <w:rsid w:val="00897539"/>
    <w:rsid w:val="008979BF"/>
    <w:rsid w:val="008A032E"/>
    <w:rsid w:val="008A09F1"/>
    <w:rsid w:val="008A1C1E"/>
    <w:rsid w:val="008A2013"/>
    <w:rsid w:val="008A284C"/>
    <w:rsid w:val="008A3B48"/>
    <w:rsid w:val="008A58CF"/>
    <w:rsid w:val="008A58E1"/>
    <w:rsid w:val="008A73EB"/>
    <w:rsid w:val="008A753F"/>
    <w:rsid w:val="008A7EA6"/>
    <w:rsid w:val="008B06E3"/>
    <w:rsid w:val="008B1244"/>
    <w:rsid w:val="008B3A6C"/>
    <w:rsid w:val="008B54A5"/>
    <w:rsid w:val="008B6931"/>
    <w:rsid w:val="008B75BC"/>
    <w:rsid w:val="008B7DE7"/>
    <w:rsid w:val="008C16A5"/>
    <w:rsid w:val="008C427B"/>
    <w:rsid w:val="008C42A6"/>
    <w:rsid w:val="008C540D"/>
    <w:rsid w:val="008C54E3"/>
    <w:rsid w:val="008C7C41"/>
    <w:rsid w:val="008D691D"/>
    <w:rsid w:val="008D79D4"/>
    <w:rsid w:val="008E0E21"/>
    <w:rsid w:val="008E149C"/>
    <w:rsid w:val="008E1CE0"/>
    <w:rsid w:val="008E3320"/>
    <w:rsid w:val="008E408B"/>
    <w:rsid w:val="008E4AF6"/>
    <w:rsid w:val="008E556A"/>
    <w:rsid w:val="008E5A00"/>
    <w:rsid w:val="008E6243"/>
    <w:rsid w:val="008E6340"/>
    <w:rsid w:val="008E79D9"/>
    <w:rsid w:val="008E7C9E"/>
    <w:rsid w:val="008F0364"/>
    <w:rsid w:val="008F0FD8"/>
    <w:rsid w:val="008F1DD4"/>
    <w:rsid w:val="008F442B"/>
    <w:rsid w:val="008F4FFE"/>
    <w:rsid w:val="008F5048"/>
    <w:rsid w:val="008F5489"/>
    <w:rsid w:val="008F5622"/>
    <w:rsid w:val="008F69BE"/>
    <w:rsid w:val="00900841"/>
    <w:rsid w:val="00902844"/>
    <w:rsid w:val="0090505B"/>
    <w:rsid w:val="009051FD"/>
    <w:rsid w:val="009056C6"/>
    <w:rsid w:val="009056F2"/>
    <w:rsid w:val="00906E95"/>
    <w:rsid w:val="0090753E"/>
    <w:rsid w:val="00907669"/>
    <w:rsid w:val="009079DC"/>
    <w:rsid w:val="00907D15"/>
    <w:rsid w:val="00914515"/>
    <w:rsid w:val="00914585"/>
    <w:rsid w:val="00915D9B"/>
    <w:rsid w:val="00917B7C"/>
    <w:rsid w:val="009206FC"/>
    <w:rsid w:val="00920DBA"/>
    <w:rsid w:val="00923E41"/>
    <w:rsid w:val="009240FA"/>
    <w:rsid w:val="00924374"/>
    <w:rsid w:val="00927455"/>
    <w:rsid w:val="0093136E"/>
    <w:rsid w:val="009337A6"/>
    <w:rsid w:val="00934BC3"/>
    <w:rsid w:val="00934D70"/>
    <w:rsid w:val="00935980"/>
    <w:rsid w:val="00935A77"/>
    <w:rsid w:val="00936A3D"/>
    <w:rsid w:val="00936DB6"/>
    <w:rsid w:val="00936FB0"/>
    <w:rsid w:val="00940720"/>
    <w:rsid w:val="00940743"/>
    <w:rsid w:val="00940E73"/>
    <w:rsid w:val="00941517"/>
    <w:rsid w:val="00941723"/>
    <w:rsid w:val="00941A36"/>
    <w:rsid w:val="00941D78"/>
    <w:rsid w:val="00943996"/>
    <w:rsid w:val="00944A37"/>
    <w:rsid w:val="009467A6"/>
    <w:rsid w:val="0095021A"/>
    <w:rsid w:val="00950E95"/>
    <w:rsid w:val="00952D52"/>
    <w:rsid w:val="009546C1"/>
    <w:rsid w:val="0096271F"/>
    <w:rsid w:val="00962E14"/>
    <w:rsid w:val="0096322D"/>
    <w:rsid w:val="00963908"/>
    <w:rsid w:val="0096466E"/>
    <w:rsid w:val="00967601"/>
    <w:rsid w:val="009702FF"/>
    <w:rsid w:val="00971BBD"/>
    <w:rsid w:val="0097679B"/>
    <w:rsid w:val="00976D62"/>
    <w:rsid w:val="0097764F"/>
    <w:rsid w:val="009777DA"/>
    <w:rsid w:val="00977997"/>
    <w:rsid w:val="00980E50"/>
    <w:rsid w:val="00981405"/>
    <w:rsid w:val="009817BA"/>
    <w:rsid w:val="00985085"/>
    <w:rsid w:val="00985496"/>
    <w:rsid w:val="009866DF"/>
    <w:rsid w:val="009870BD"/>
    <w:rsid w:val="0099120C"/>
    <w:rsid w:val="00993469"/>
    <w:rsid w:val="00993C73"/>
    <w:rsid w:val="00995410"/>
    <w:rsid w:val="00996897"/>
    <w:rsid w:val="009A012A"/>
    <w:rsid w:val="009A0932"/>
    <w:rsid w:val="009A1BCA"/>
    <w:rsid w:val="009A1F60"/>
    <w:rsid w:val="009A1F9A"/>
    <w:rsid w:val="009A335E"/>
    <w:rsid w:val="009A47D2"/>
    <w:rsid w:val="009A5182"/>
    <w:rsid w:val="009A5225"/>
    <w:rsid w:val="009A52CA"/>
    <w:rsid w:val="009A5683"/>
    <w:rsid w:val="009A5B1B"/>
    <w:rsid w:val="009A5F2B"/>
    <w:rsid w:val="009B05A7"/>
    <w:rsid w:val="009B0C04"/>
    <w:rsid w:val="009B1936"/>
    <w:rsid w:val="009B2C33"/>
    <w:rsid w:val="009B32F1"/>
    <w:rsid w:val="009B3FB7"/>
    <w:rsid w:val="009B4A83"/>
    <w:rsid w:val="009B4DDA"/>
    <w:rsid w:val="009B4F7B"/>
    <w:rsid w:val="009B5E44"/>
    <w:rsid w:val="009B6C59"/>
    <w:rsid w:val="009B6E6B"/>
    <w:rsid w:val="009B7E62"/>
    <w:rsid w:val="009C08FB"/>
    <w:rsid w:val="009C0A6A"/>
    <w:rsid w:val="009C1514"/>
    <w:rsid w:val="009C1DAA"/>
    <w:rsid w:val="009C392F"/>
    <w:rsid w:val="009C4777"/>
    <w:rsid w:val="009C6490"/>
    <w:rsid w:val="009C6EEE"/>
    <w:rsid w:val="009C7A18"/>
    <w:rsid w:val="009D02B7"/>
    <w:rsid w:val="009D0821"/>
    <w:rsid w:val="009D0C89"/>
    <w:rsid w:val="009D11AD"/>
    <w:rsid w:val="009D2A09"/>
    <w:rsid w:val="009D3D10"/>
    <w:rsid w:val="009D497F"/>
    <w:rsid w:val="009D5C9C"/>
    <w:rsid w:val="009D5FD1"/>
    <w:rsid w:val="009D60AD"/>
    <w:rsid w:val="009D658A"/>
    <w:rsid w:val="009D7445"/>
    <w:rsid w:val="009E0A23"/>
    <w:rsid w:val="009E13E6"/>
    <w:rsid w:val="009E1660"/>
    <w:rsid w:val="009E1F70"/>
    <w:rsid w:val="009E205B"/>
    <w:rsid w:val="009E223E"/>
    <w:rsid w:val="009E24E0"/>
    <w:rsid w:val="009E4767"/>
    <w:rsid w:val="009E4C81"/>
    <w:rsid w:val="009E51FD"/>
    <w:rsid w:val="009E7335"/>
    <w:rsid w:val="009E7BB0"/>
    <w:rsid w:val="009F0DDE"/>
    <w:rsid w:val="009F11FF"/>
    <w:rsid w:val="009F1919"/>
    <w:rsid w:val="009F1C99"/>
    <w:rsid w:val="009F40C4"/>
    <w:rsid w:val="009F4B09"/>
    <w:rsid w:val="009F558C"/>
    <w:rsid w:val="009F6781"/>
    <w:rsid w:val="009F6D8C"/>
    <w:rsid w:val="009F71D1"/>
    <w:rsid w:val="009F7B81"/>
    <w:rsid w:val="009F7BA3"/>
    <w:rsid w:val="009F7FB2"/>
    <w:rsid w:val="00A003CA"/>
    <w:rsid w:val="00A0078B"/>
    <w:rsid w:val="00A00EEB"/>
    <w:rsid w:val="00A02516"/>
    <w:rsid w:val="00A02F8B"/>
    <w:rsid w:val="00A05657"/>
    <w:rsid w:val="00A05DF8"/>
    <w:rsid w:val="00A07389"/>
    <w:rsid w:val="00A1099B"/>
    <w:rsid w:val="00A10E20"/>
    <w:rsid w:val="00A12293"/>
    <w:rsid w:val="00A14572"/>
    <w:rsid w:val="00A148C1"/>
    <w:rsid w:val="00A17009"/>
    <w:rsid w:val="00A22BAF"/>
    <w:rsid w:val="00A23C3E"/>
    <w:rsid w:val="00A24A56"/>
    <w:rsid w:val="00A26872"/>
    <w:rsid w:val="00A26B55"/>
    <w:rsid w:val="00A3103E"/>
    <w:rsid w:val="00A338C8"/>
    <w:rsid w:val="00A33B73"/>
    <w:rsid w:val="00A3504D"/>
    <w:rsid w:val="00A4045F"/>
    <w:rsid w:val="00A430BC"/>
    <w:rsid w:val="00A44116"/>
    <w:rsid w:val="00A44D6C"/>
    <w:rsid w:val="00A4675E"/>
    <w:rsid w:val="00A47762"/>
    <w:rsid w:val="00A47E63"/>
    <w:rsid w:val="00A508EC"/>
    <w:rsid w:val="00A510DA"/>
    <w:rsid w:val="00A510E5"/>
    <w:rsid w:val="00A52684"/>
    <w:rsid w:val="00A53287"/>
    <w:rsid w:val="00A53E39"/>
    <w:rsid w:val="00A552C5"/>
    <w:rsid w:val="00A554F9"/>
    <w:rsid w:val="00A56391"/>
    <w:rsid w:val="00A56DA6"/>
    <w:rsid w:val="00A604D4"/>
    <w:rsid w:val="00A60641"/>
    <w:rsid w:val="00A60B41"/>
    <w:rsid w:val="00A6147C"/>
    <w:rsid w:val="00A6375E"/>
    <w:rsid w:val="00A64835"/>
    <w:rsid w:val="00A64A28"/>
    <w:rsid w:val="00A652BD"/>
    <w:rsid w:val="00A656C5"/>
    <w:rsid w:val="00A70339"/>
    <w:rsid w:val="00A709EF"/>
    <w:rsid w:val="00A7119E"/>
    <w:rsid w:val="00A71F38"/>
    <w:rsid w:val="00A72B2A"/>
    <w:rsid w:val="00A72D58"/>
    <w:rsid w:val="00A74D11"/>
    <w:rsid w:val="00A7659C"/>
    <w:rsid w:val="00A77531"/>
    <w:rsid w:val="00A81AFE"/>
    <w:rsid w:val="00A83F16"/>
    <w:rsid w:val="00A851BD"/>
    <w:rsid w:val="00A92BE2"/>
    <w:rsid w:val="00A93F2F"/>
    <w:rsid w:val="00A948C0"/>
    <w:rsid w:val="00A95202"/>
    <w:rsid w:val="00A954C1"/>
    <w:rsid w:val="00A95D1B"/>
    <w:rsid w:val="00A97425"/>
    <w:rsid w:val="00AA0C4B"/>
    <w:rsid w:val="00AA22D4"/>
    <w:rsid w:val="00AA384A"/>
    <w:rsid w:val="00AA3B03"/>
    <w:rsid w:val="00AA43F0"/>
    <w:rsid w:val="00AA500A"/>
    <w:rsid w:val="00AA78F4"/>
    <w:rsid w:val="00AB0614"/>
    <w:rsid w:val="00AB0C6A"/>
    <w:rsid w:val="00AB131C"/>
    <w:rsid w:val="00AB1994"/>
    <w:rsid w:val="00AB3A49"/>
    <w:rsid w:val="00AB3D1B"/>
    <w:rsid w:val="00AB3E0B"/>
    <w:rsid w:val="00AB45B2"/>
    <w:rsid w:val="00AB5C1A"/>
    <w:rsid w:val="00AB6AE4"/>
    <w:rsid w:val="00AB79C3"/>
    <w:rsid w:val="00AC188D"/>
    <w:rsid w:val="00AC21E2"/>
    <w:rsid w:val="00AC2B39"/>
    <w:rsid w:val="00AC4EB9"/>
    <w:rsid w:val="00AC5AE0"/>
    <w:rsid w:val="00AC5D22"/>
    <w:rsid w:val="00AC66A6"/>
    <w:rsid w:val="00AC73DD"/>
    <w:rsid w:val="00AD06A1"/>
    <w:rsid w:val="00AD0B06"/>
    <w:rsid w:val="00AD17AA"/>
    <w:rsid w:val="00AD29CA"/>
    <w:rsid w:val="00AD45FD"/>
    <w:rsid w:val="00AD6196"/>
    <w:rsid w:val="00AD6E8E"/>
    <w:rsid w:val="00AE0F0C"/>
    <w:rsid w:val="00AE2C4E"/>
    <w:rsid w:val="00AE369E"/>
    <w:rsid w:val="00AE39F0"/>
    <w:rsid w:val="00AE3DDE"/>
    <w:rsid w:val="00AE4748"/>
    <w:rsid w:val="00AE5AC4"/>
    <w:rsid w:val="00AE741D"/>
    <w:rsid w:val="00AE7C86"/>
    <w:rsid w:val="00AF0A13"/>
    <w:rsid w:val="00AF3808"/>
    <w:rsid w:val="00AF5F99"/>
    <w:rsid w:val="00AF7C81"/>
    <w:rsid w:val="00B00FF8"/>
    <w:rsid w:val="00B0162B"/>
    <w:rsid w:val="00B01ECE"/>
    <w:rsid w:val="00B03F3C"/>
    <w:rsid w:val="00B04743"/>
    <w:rsid w:val="00B05887"/>
    <w:rsid w:val="00B05AE8"/>
    <w:rsid w:val="00B05B07"/>
    <w:rsid w:val="00B075A6"/>
    <w:rsid w:val="00B07EA7"/>
    <w:rsid w:val="00B1040B"/>
    <w:rsid w:val="00B117E5"/>
    <w:rsid w:val="00B13E90"/>
    <w:rsid w:val="00B166EA"/>
    <w:rsid w:val="00B17359"/>
    <w:rsid w:val="00B17E71"/>
    <w:rsid w:val="00B20359"/>
    <w:rsid w:val="00B20ADF"/>
    <w:rsid w:val="00B21110"/>
    <w:rsid w:val="00B224F5"/>
    <w:rsid w:val="00B22696"/>
    <w:rsid w:val="00B23326"/>
    <w:rsid w:val="00B23B6B"/>
    <w:rsid w:val="00B24480"/>
    <w:rsid w:val="00B249E5"/>
    <w:rsid w:val="00B24A6C"/>
    <w:rsid w:val="00B25632"/>
    <w:rsid w:val="00B26F28"/>
    <w:rsid w:val="00B303BE"/>
    <w:rsid w:val="00B31F9D"/>
    <w:rsid w:val="00B32DE7"/>
    <w:rsid w:val="00B33B0C"/>
    <w:rsid w:val="00B33B78"/>
    <w:rsid w:val="00B33EF6"/>
    <w:rsid w:val="00B34956"/>
    <w:rsid w:val="00B36542"/>
    <w:rsid w:val="00B368C2"/>
    <w:rsid w:val="00B42886"/>
    <w:rsid w:val="00B4296D"/>
    <w:rsid w:val="00B42A71"/>
    <w:rsid w:val="00B441DD"/>
    <w:rsid w:val="00B44ACA"/>
    <w:rsid w:val="00B45009"/>
    <w:rsid w:val="00B458EB"/>
    <w:rsid w:val="00B50877"/>
    <w:rsid w:val="00B517B7"/>
    <w:rsid w:val="00B60B59"/>
    <w:rsid w:val="00B61037"/>
    <w:rsid w:val="00B62910"/>
    <w:rsid w:val="00B64269"/>
    <w:rsid w:val="00B648F1"/>
    <w:rsid w:val="00B66558"/>
    <w:rsid w:val="00B70241"/>
    <w:rsid w:val="00B7058C"/>
    <w:rsid w:val="00B71793"/>
    <w:rsid w:val="00B72503"/>
    <w:rsid w:val="00B72DB4"/>
    <w:rsid w:val="00B7349D"/>
    <w:rsid w:val="00B73ACB"/>
    <w:rsid w:val="00B74C23"/>
    <w:rsid w:val="00B75016"/>
    <w:rsid w:val="00B75296"/>
    <w:rsid w:val="00B76C50"/>
    <w:rsid w:val="00B773FD"/>
    <w:rsid w:val="00B8057C"/>
    <w:rsid w:val="00B80CE9"/>
    <w:rsid w:val="00B8179E"/>
    <w:rsid w:val="00B82D0E"/>
    <w:rsid w:val="00B830F5"/>
    <w:rsid w:val="00B83231"/>
    <w:rsid w:val="00B83AF5"/>
    <w:rsid w:val="00B902FE"/>
    <w:rsid w:val="00B91177"/>
    <w:rsid w:val="00B934D1"/>
    <w:rsid w:val="00B9399F"/>
    <w:rsid w:val="00B9467C"/>
    <w:rsid w:val="00B95E90"/>
    <w:rsid w:val="00B9671E"/>
    <w:rsid w:val="00B96F81"/>
    <w:rsid w:val="00B97F05"/>
    <w:rsid w:val="00BA010C"/>
    <w:rsid w:val="00BA03EE"/>
    <w:rsid w:val="00BA2AD7"/>
    <w:rsid w:val="00BA2F7A"/>
    <w:rsid w:val="00BA4C5C"/>
    <w:rsid w:val="00BA51AB"/>
    <w:rsid w:val="00BA5F0A"/>
    <w:rsid w:val="00BA61AE"/>
    <w:rsid w:val="00BA7955"/>
    <w:rsid w:val="00BB0FBF"/>
    <w:rsid w:val="00BB197E"/>
    <w:rsid w:val="00BB342D"/>
    <w:rsid w:val="00BB3FB1"/>
    <w:rsid w:val="00BB5043"/>
    <w:rsid w:val="00BB68F2"/>
    <w:rsid w:val="00BB6E01"/>
    <w:rsid w:val="00BB7276"/>
    <w:rsid w:val="00BB735C"/>
    <w:rsid w:val="00BB73FB"/>
    <w:rsid w:val="00BB7AC3"/>
    <w:rsid w:val="00BC0AC1"/>
    <w:rsid w:val="00BC2F30"/>
    <w:rsid w:val="00BC44B2"/>
    <w:rsid w:val="00BC4B32"/>
    <w:rsid w:val="00BC4CC1"/>
    <w:rsid w:val="00BC68A0"/>
    <w:rsid w:val="00BC7309"/>
    <w:rsid w:val="00BC78AA"/>
    <w:rsid w:val="00BC7AD8"/>
    <w:rsid w:val="00BD0391"/>
    <w:rsid w:val="00BD052C"/>
    <w:rsid w:val="00BD113C"/>
    <w:rsid w:val="00BD1360"/>
    <w:rsid w:val="00BD362D"/>
    <w:rsid w:val="00BD376C"/>
    <w:rsid w:val="00BD7A0F"/>
    <w:rsid w:val="00BD7C0F"/>
    <w:rsid w:val="00BE11AF"/>
    <w:rsid w:val="00BE15D3"/>
    <w:rsid w:val="00BE173E"/>
    <w:rsid w:val="00BE2344"/>
    <w:rsid w:val="00BE352B"/>
    <w:rsid w:val="00BE3DFF"/>
    <w:rsid w:val="00BE466C"/>
    <w:rsid w:val="00BE471C"/>
    <w:rsid w:val="00BE4B40"/>
    <w:rsid w:val="00BE752B"/>
    <w:rsid w:val="00BF0561"/>
    <w:rsid w:val="00BF3839"/>
    <w:rsid w:val="00BF3C16"/>
    <w:rsid w:val="00BF51A7"/>
    <w:rsid w:val="00BF5468"/>
    <w:rsid w:val="00BF582E"/>
    <w:rsid w:val="00BF60F7"/>
    <w:rsid w:val="00BF7A53"/>
    <w:rsid w:val="00C00F26"/>
    <w:rsid w:val="00C0390E"/>
    <w:rsid w:val="00C048BA"/>
    <w:rsid w:val="00C04C81"/>
    <w:rsid w:val="00C04E0A"/>
    <w:rsid w:val="00C05A30"/>
    <w:rsid w:val="00C05C9F"/>
    <w:rsid w:val="00C06690"/>
    <w:rsid w:val="00C10204"/>
    <w:rsid w:val="00C11DD7"/>
    <w:rsid w:val="00C12887"/>
    <w:rsid w:val="00C13239"/>
    <w:rsid w:val="00C14AE1"/>
    <w:rsid w:val="00C15B8D"/>
    <w:rsid w:val="00C16953"/>
    <w:rsid w:val="00C21675"/>
    <w:rsid w:val="00C21FFF"/>
    <w:rsid w:val="00C224B1"/>
    <w:rsid w:val="00C2323E"/>
    <w:rsid w:val="00C237E4"/>
    <w:rsid w:val="00C24015"/>
    <w:rsid w:val="00C24754"/>
    <w:rsid w:val="00C247FD"/>
    <w:rsid w:val="00C25172"/>
    <w:rsid w:val="00C25AE4"/>
    <w:rsid w:val="00C25CE0"/>
    <w:rsid w:val="00C2604C"/>
    <w:rsid w:val="00C26670"/>
    <w:rsid w:val="00C26AB4"/>
    <w:rsid w:val="00C2707B"/>
    <w:rsid w:val="00C27083"/>
    <w:rsid w:val="00C27802"/>
    <w:rsid w:val="00C30DF8"/>
    <w:rsid w:val="00C312F7"/>
    <w:rsid w:val="00C3186C"/>
    <w:rsid w:val="00C31890"/>
    <w:rsid w:val="00C3217C"/>
    <w:rsid w:val="00C32A8C"/>
    <w:rsid w:val="00C34BA0"/>
    <w:rsid w:val="00C3546D"/>
    <w:rsid w:val="00C36EDA"/>
    <w:rsid w:val="00C37464"/>
    <w:rsid w:val="00C377EE"/>
    <w:rsid w:val="00C37884"/>
    <w:rsid w:val="00C4032F"/>
    <w:rsid w:val="00C40F51"/>
    <w:rsid w:val="00C41EA5"/>
    <w:rsid w:val="00C42359"/>
    <w:rsid w:val="00C42A76"/>
    <w:rsid w:val="00C44CE6"/>
    <w:rsid w:val="00C4584B"/>
    <w:rsid w:val="00C45FAF"/>
    <w:rsid w:val="00C466A0"/>
    <w:rsid w:val="00C46956"/>
    <w:rsid w:val="00C472A4"/>
    <w:rsid w:val="00C50CC3"/>
    <w:rsid w:val="00C519CF"/>
    <w:rsid w:val="00C523EA"/>
    <w:rsid w:val="00C52594"/>
    <w:rsid w:val="00C52F75"/>
    <w:rsid w:val="00C54FC6"/>
    <w:rsid w:val="00C55652"/>
    <w:rsid w:val="00C5576B"/>
    <w:rsid w:val="00C55B44"/>
    <w:rsid w:val="00C55CDB"/>
    <w:rsid w:val="00C5658D"/>
    <w:rsid w:val="00C565CC"/>
    <w:rsid w:val="00C578AA"/>
    <w:rsid w:val="00C60D1A"/>
    <w:rsid w:val="00C631FF"/>
    <w:rsid w:val="00C63821"/>
    <w:rsid w:val="00C63950"/>
    <w:rsid w:val="00C642A0"/>
    <w:rsid w:val="00C65B9B"/>
    <w:rsid w:val="00C709D2"/>
    <w:rsid w:val="00C71D46"/>
    <w:rsid w:val="00C71F34"/>
    <w:rsid w:val="00C74002"/>
    <w:rsid w:val="00C749AA"/>
    <w:rsid w:val="00C76442"/>
    <w:rsid w:val="00C766F5"/>
    <w:rsid w:val="00C76AA9"/>
    <w:rsid w:val="00C77704"/>
    <w:rsid w:val="00C77777"/>
    <w:rsid w:val="00C77AE0"/>
    <w:rsid w:val="00C8008A"/>
    <w:rsid w:val="00C805AB"/>
    <w:rsid w:val="00C80CB5"/>
    <w:rsid w:val="00C818B4"/>
    <w:rsid w:val="00C82075"/>
    <w:rsid w:val="00C82A8E"/>
    <w:rsid w:val="00C84EE8"/>
    <w:rsid w:val="00C85653"/>
    <w:rsid w:val="00C857E5"/>
    <w:rsid w:val="00C85C01"/>
    <w:rsid w:val="00C85CF2"/>
    <w:rsid w:val="00C87922"/>
    <w:rsid w:val="00C87D59"/>
    <w:rsid w:val="00C9163B"/>
    <w:rsid w:val="00C91DE2"/>
    <w:rsid w:val="00C91E7B"/>
    <w:rsid w:val="00C93182"/>
    <w:rsid w:val="00C9474E"/>
    <w:rsid w:val="00C974C8"/>
    <w:rsid w:val="00C978AF"/>
    <w:rsid w:val="00CA1607"/>
    <w:rsid w:val="00CA29D0"/>
    <w:rsid w:val="00CA3C8E"/>
    <w:rsid w:val="00CA425C"/>
    <w:rsid w:val="00CA6C4F"/>
    <w:rsid w:val="00CA6FDE"/>
    <w:rsid w:val="00CB25E9"/>
    <w:rsid w:val="00CB457A"/>
    <w:rsid w:val="00CB61BF"/>
    <w:rsid w:val="00CB67D8"/>
    <w:rsid w:val="00CB69D3"/>
    <w:rsid w:val="00CC0B7A"/>
    <w:rsid w:val="00CC1B8E"/>
    <w:rsid w:val="00CC2645"/>
    <w:rsid w:val="00CC2B91"/>
    <w:rsid w:val="00CC33AA"/>
    <w:rsid w:val="00CC4E65"/>
    <w:rsid w:val="00CD131F"/>
    <w:rsid w:val="00CD2215"/>
    <w:rsid w:val="00CD250F"/>
    <w:rsid w:val="00CD265D"/>
    <w:rsid w:val="00CD345A"/>
    <w:rsid w:val="00CD4AA5"/>
    <w:rsid w:val="00CD4DC1"/>
    <w:rsid w:val="00CD5003"/>
    <w:rsid w:val="00CE0BC5"/>
    <w:rsid w:val="00CE1181"/>
    <w:rsid w:val="00CE44D2"/>
    <w:rsid w:val="00CE571F"/>
    <w:rsid w:val="00CE5D58"/>
    <w:rsid w:val="00CE62FC"/>
    <w:rsid w:val="00CE7221"/>
    <w:rsid w:val="00CF359B"/>
    <w:rsid w:val="00CF5266"/>
    <w:rsid w:val="00CF58D5"/>
    <w:rsid w:val="00CF5ACB"/>
    <w:rsid w:val="00CF5AD2"/>
    <w:rsid w:val="00CF6996"/>
    <w:rsid w:val="00CF7994"/>
    <w:rsid w:val="00D00D73"/>
    <w:rsid w:val="00D03067"/>
    <w:rsid w:val="00D0444B"/>
    <w:rsid w:val="00D0641A"/>
    <w:rsid w:val="00D12DF5"/>
    <w:rsid w:val="00D13FF7"/>
    <w:rsid w:val="00D14682"/>
    <w:rsid w:val="00D20C4E"/>
    <w:rsid w:val="00D20FF9"/>
    <w:rsid w:val="00D221A3"/>
    <w:rsid w:val="00D231BD"/>
    <w:rsid w:val="00D23AC4"/>
    <w:rsid w:val="00D23C82"/>
    <w:rsid w:val="00D23CE9"/>
    <w:rsid w:val="00D262FA"/>
    <w:rsid w:val="00D27423"/>
    <w:rsid w:val="00D314EE"/>
    <w:rsid w:val="00D31581"/>
    <w:rsid w:val="00D33C7A"/>
    <w:rsid w:val="00D35438"/>
    <w:rsid w:val="00D355B5"/>
    <w:rsid w:val="00D35A04"/>
    <w:rsid w:val="00D35FC5"/>
    <w:rsid w:val="00D371BA"/>
    <w:rsid w:val="00D375F9"/>
    <w:rsid w:val="00D37944"/>
    <w:rsid w:val="00D44DB7"/>
    <w:rsid w:val="00D44EE7"/>
    <w:rsid w:val="00D4543A"/>
    <w:rsid w:val="00D46865"/>
    <w:rsid w:val="00D508B2"/>
    <w:rsid w:val="00D50B47"/>
    <w:rsid w:val="00D51369"/>
    <w:rsid w:val="00D5495D"/>
    <w:rsid w:val="00D56A8F"/>
    <w:rsid w:val="00D57482"/>
    <w:rsid w:val="00D57F48"/>
    <w:rsid w:val="00D60744"/>
    <w:rsid w:val="00D62506"/>
    <w:rsid w:val="00D630C3"/>
    <w:rsid w:val="00D64940"/>
    <w:rsid w:val="00D6507A"/>
    <w:rsid w:val="00D660D8"/>
    <w:rsid w:val="00D66201"/>
    <w:rsid w:val="00D66C68"/>
    <w:rsid w:val="00D66E54"/>
    <w:rsid w:val="00D67D58"/>
    <w:rsid w:val="00D70C6E"/>
    <w:rsid w:val="00D718A0"/>
    <w:rsid w:val="00D7229C"/>
    <w:rsid w:val="00D72AC9"/>
    <w:rsid w:val="00D72D4D"/>
    <w:rsid w:val="00D739F4"/>
    <w:rsid w:val="00D73CAF"/>
    <w:rsid w:val="00D74558"/>
    <w:rsid w:val="00D74C1B"/>
    <w:rsid w:val="00D771E1"/>
    <w:rsid w:val="00D81039"/>
    <w:rsid w:val="00D812BA"/>
    <w:rsid w:val="00D819BB"/>
    <w:rsid w:val="00D82AF7"/>
    <w:rsid w:val="00D82FAA"/>
    <w:rsid w:val="00D83936"/>
    <w:rsid w:val="00D83D85"/>
    <w:rsid w:val="00D85B34"/>
    <w:rsid w:val="00D8601E"/>
    <w:rsid w:val="00D862EA"/>
    <w:rsid w:val="00D86CC3"/>
    <w:rsid w:val="00D86CCB"/>
    <w:rsid w:val="00D87BFE"/>
    <w:rsid w:val="00D93AC4"/>
    <w:rsid w:val="00D951D9"/>
    <w:rsid w:val="00D96B8A"/>
    <w:rsid w:val="00D97CDF"/>
    <w:rsid w:val="00DA029A"/>
    <w:rsid w:val="00DA02C2"/>
    <w:rsid w:val="00DA12A5"/>
    <w:rsid w:val="00DA2480"/>
    <w:rsid w:val="00DA2BB4"/>
    <w:rsid w:val="00DA3878"/>
    <w:rsid w:val="00DA6C28"/>
    <w:rsid w:val="00DB0B20"/>
    <w:rsid w:val="00DB1E4D"/>
    <w:rsid w:val="00DB3738"/>
    <w:rsid w:val="00DB445F"/>
    <w:rsid w:val="00DB560C"/>
    <w:rsid w:val="00DB59CA"/>
    <w:rsid w:val="00DB6DB2"/>
    <w:rsid w:val="00DC014D"/>
    <w:rsid w:val="00DC0221"/>
    <w:rsid w:val="00DC1E88"/>
    <w:rsid w:val="00DC2094"/>
    <w:rsid w:val="00DC20EC"/>
    <w:rsid w:val="00DC359E"/>
    <w:rsid w:val="00DC36FC"/>
    <w:rsid w:val="00DC4117"/>
    <w:rsid w:val="00DC48D6"/>
    <w:rsid w:val="00DC509C"/>
    <w:rsid w:val="00DC56C2"/>
    <w:rsid w:val="00DC5EFF"/>
    <w:rsid w:val="00DC7EDE"/>
    <w:rsid w:val="00DD0570"/>
    <w:rsid w:val="00DD10C5"/>
    <w:rsid w:val="00DD34D6"/>
    <w:rsid w:val="00DD3943"/>
    <w:rsid w:val="00DD4838"/>
    <w:rsid w:val="00DD5193"/>
    <w:rsid w:val="00DE06CD"/>
    <w:rsid w:val="00DE29A0"/>
    <w:rsid w:val="00DE2D10"/>
    <w:rsid w:val="00DE2DFE"/>
    <w:rsid w:val="00DE328D"/>
    <w:rsid w:val="00DE349E"/>
    <w:rsid w:val="00DE3591"/>
    <w:rsid w:val="00DE365D"/>
    <w:rsid w:val="00DE3B74"/>
    <w:rsid w:val="00DE41FC"/>
    <w:rsid w:val="00DE5425"/>
    <w:rsid w:val="00DE56FE"/>
    <w:rsid w:val="00DE7030"/>
    <w:rsid w:val="00DE75D5"/>
    <w:rsid w:val="00DE7999"/>
    <w:rsid w:val="00DF05E6"/>
    <w:rsid w:val="00DF0663"/>
    <w:rsid w:val="00DF14CE"/>
    <w:rsid w:val="00DF26EF"/>
    <w:rsid w:val="00DF26F3"/>
    <w:rsid w:val="00DF3DC6"/>
    <w:rsid w:val="00DF3DDC"/>
    <w:rsid w:val="00DF5820"/>
    <w:rsid w:val="00DF6156"/>
    <w:rsid w:val="00E02490"/>
    <w:rsid w:val="00E03E88"/>
    <w:rsid w:val="00E04E81"/>
    <w:rsid w:val="00E05DFA"/>
    <w:rsid w:val="00E06AA5"/>
    <w:rsid w:val="00E070A9"/>
    <w:rsid w:val="00E076DF"/>
    <w:rsid w:val="00E07ABA"/>
    <w:rsid w:val="00E100F0"/>
    <w:rsid w:val="00E12BDA"/>
    <w:rsid w:val="00E13C56"/>
    <w:rsid w:val="00E150E3"/>
    <w:rsid w:val="00E163E1"/>
    <w:rsid w:val="00E16D1D"/>
    <w:rsid w:val="00E210CA"/>
    <w:rsid w:val="00E21CAB"/>
    <w:rsid w:val="00E23062"/>
    <w:rsid w:val="00E26DBE"/>
    <w:rsid w:val="00E272BB"/>
    <w:rsid w:val="00E27D3B"/>
    <w:rsid w:val="00E27D5A"/>
    <w:rsid w:val="00E30A32"/>
    <w:rsid w:val="00E32A05"/>
    <w:rsid w:val="00E33F31"/>
    <w:rsid w:val="00E34098"/>
    <w:rsid w:val="00E34A6F"/>
    <w:rsid w:val="00E34CC2"/>
    <w:rsid w:val="00E352F7"/>
    <w:rsid w:val="00E36280"/>
    <w:rsid w:val="00E36688"/>
    <w:rsid w:val="00E3777D"/>
    <w:rsid w:val="00E417FF"/>
    <w:rsid w:val="00E4264A"/>
    <w:rsid w:val="00E42682"/>
    <w:rsid w:val="00E42A3C"/>
    <w:rsid w:val="00E42E03"/>
    <w:rsid w:val="00E42E9D"/>
    <w:rsid w:val="00E46BA2"/>
    <w:rsid w:val="00E47164"/>
    <w:rsid w:val="00E4720B"/>
    <w:rsid w:val="00E474E3"/>
    <w:rsid w:val="00E50440"/>
    <w:rsid w:val="00E51DCF"/>
    <w:rsid w:val="00E52538"/>
    <w:rsid w:val="00E553A8"/>
    <w:rsid w:val="00E553CC"/>
    <w:rsid w:val="00E55983"/>
    <w:rsid w:val="00E5606B"/>
    <w:rsid w:val="00E57144"/>
    <w:rsid w:val="00E60C9B"/>
    <w:rsid w:val="00E6101A"/>
    <w:rsid w:val="00E623DC"/>
    <w:rsid w:val="00E64A31"/>
    <w:rsid w:val="00E6595B"/>
    <w:rsid w:val="00E66B14"/>
    <w:rsid w:val="00E672A9"/>
    <w:rsid w:val="00E67A27"/>
    <w:rsid w:val="00E7047D"/>
    <w:rsid w:val="00E707EF"/>
    <w:rsid w:val="00E70B6A"/>
    <w:rsid w:val="00E70E53"/>
    <w:rsid w:val="00E71247"/>
    <w:rsid w:val="00E717BE"/>
    <w:rsid w:val="00E72430"/>
    <w:rsid w:val="00E72623"/>
    <w:rsid w:val="00E72C6F"/>
    <w:rsid w:val="00E72EE8"/>
    <w:rsid w:val="00E73459"/>
    <w:rsid w:val="00E74DDF"/>
    <w:rsid w:val="00E75319"/>
    <w:rsid w:val="00E759FC"/>
    <w:rsid w:val="00E75BB1"/>
    <w:rsid w:val="00E76FB6"/>
    <w:rsid w:val="00E77BC9"/>
    <w:rsid w:val="00E77C27"/>
    <w:rsid w:val="00E80517"/>
    <w:rsid w:val="00E8176A"/>
    <w:rsid w:val="00E849DA"/>
    <w:rsid w:val="00E855BC"/>
    <w:rsid w:val="00E85824"/>
    <w:rsid w:val="00E863E0"/>
    <w:rsid w:val="00E87B57"/>
    <w:rsid w:val="00E91E73"/>
    <w:rsid w:val="00E9235D"/>
    <w:rsid w:val="00E93383"/>
    <w:rsid w:val="00E93B50"/>
    <w:rsid w:val="00E94E78"/>
    <w:rsid w:val="00E95740"/>
    <w:rsid w:val="00E96D81"/>
    <w:rsid w:val="00E97909"/>
    <w:rsid w:val="00EA24AF"/>
    <w:rsid w:val="00EA41B9"/>
    <w:rsid w:val="00EA49E0"/>
    <w:rsid w:val="00EA4AD3"/>
    <w:rsid w:val="00EA5499"/>
    <w:rsid w:val="00EA58B8"/>
    <w:rsid w:val="00EA5C38"/>
    <w:rsid w:val="00EA68FB"/>
    <w:rsid w:val="00EA78F3"/>
    <w:rsid w:val="00EA7FDF"/>
    <w:rsid w:val="00EB09E3"/>
    <w:rsid w:val="00EB0EC8"/>
    <w:rsid w:val="00EB0FB4"/>
    <w:rsid w:val="00EB565E"/>
    <w:rsid w:val="00EB66A0"/>
    <w:rsid w:val="00EB6DF8"/>
    <w:rsid w:val="00EB6E7A"/>
    <w:rsid w:val="00EB708F"/>
    <w:rsid w:val="00EB710E"/>
    <w:rsid w:val="00EC0AD0"/>
    <w:rsid w:val="00EC100E"/>
    <w:rsid w:val="00EC1EE8"/>
    <w:rsid w:val="00EC24AE"/>
    <w:rsid w:val="00EC39CD"/>
    <w:rsid w:val="00EC3A1B"/>
    <w:rsid w:val="00EC3CB9"/>
    <w:rsid w:val="00EC412B"/>
    <w:rsid w:val="00EC4389"/>
    <w:rsid w:val="00EC4AA7"/>
    <w:rsid w:val="00EC5241"/>
    <w:rsid w:val="00EC6183"/>
    <w:rsid w:val="00EC6BE4"/>
    <w:rsid w:val="00EC775A"/>
    <w:rsid w:val="00ED029F"/>
    <w:rsid w:val="00ED0DBE"/>
    <w:rsid w:val="00ED1678"/>
    <w:rsid w:val="00ED1F0E"/>
    <w:rsid w:val="00ED2569"/>
    <w:rsid w:val="00ED2D7B"/>
    <w:rsid w:val="00ED3712"/>
    <w:rsid w:val="00ED68F9"/>
    <w:rsid w:val="00ED6AA9"/>
    <w:rsid w:val="00ED791E"/>
    <w:rsid w:val="00ED7C66"/>
    <w:rsid w:val="00EE2641"/>
    <w:rsid w:val="00EE2CE9"/>
    <w:rsid w:val="00EE2F9A"/>
    <w:rsid w:val="00EE3008"/>
    <w:rsid w:val="00EE3055"/>
    <w:rsid w:val="00EE336E"/>
    <w:rsid w:val="00EE3F7F"/>
    <w:rsid w:val="00EE5341"/>
    <w:rsid w:val="00EE59D6"/>
    <w:rsid w:val="00EE5C8E"/>
    <w:rsid w:val="00EE6F44"/>
    <w:rsid w:val="00EE7B96"/>
    <w:rsid w:val="00EF2186"/>
    <w:rsid w:val="00EF3B73"/>
    <w:rsid w:val="00EF5134"/>
    <w:rsid w:val="00EF542E"/>
    <w:rsid w:val="00EF54D2"/>
    <w:rsid w:val="00EF5680"/>
    <w:rsid w:val="00EF617D"/>
    <w:rsid w:val="00EF645E"/>
    <w:rsid w:val="00EF7065"/>
    <w:rsid w:val="00F01758"/>
    <w:rsid w:val="00F030E6"/>
    <w:rsid w:val="00F05811"/>
    <w:rsid w:val="00F114CF"/>
    <w:rsid w:val="00F11535"/>
    <w:rsid w:val="00F1223C"/>
    <w:rsid w:val="00F1322B"/>
    <w:rsid w:val="00F132BC"/>
    <w:rsid w:val="00F16799"/>
    <w:rsid w:val="00F20B9D"/>
    <w:rsid w:val="00F20EE9"/>
    <w:rsid w:val="00F226F0"/>
    <w:rsid w:val="00F230A4"/>
    <w:rsid w:val="00F243A4"/>
    <w:rsid w:val="00F24EF5"/>
    <w:rsid w:val="00F252F9"/>
    <w:rsid w:val="00F2602C"/>
    <w:rsid w:val="00F2606D"/>
    <w:rsid w:val="00F261A8"/>
    <w:rsid w:val="00F27648"/>
    <w:rsid w:val="00F2787A"/>
    <w:rsid w:val="00F358D7"/>
    <w:rsid w:val="00F35B79"/>
    <w:rsid w:val="00F36172"/>
    <w:rsid w:val="00F3638C"/>
    <w:rsid w:val="00F4070D"/>
    <w:rsid w:val="00F41632"/>
    <w:rsid w:val="00F41A1D"/>
    <w:rsid w:val="00F43078"/>
    <w:rsid w:val="00F43676"/>
    <w:rsid w:val="00F44175"/>
    <w:rsid w:val="00F44367"/>
    <w:rsid w:val="00F44CD9"/>
    <w:rsid w:val="00F45376"/>
    <w:rsid w:val="00F45788"/>
    <w:rsid w:val="00F45DAE"/>
    <w:rsid w:val="00F50F1D"/>
    <w:rsid w:val="00F513C8"/>
    <w:rsid w:val="00F515E7"/>
    <w:rsid w:val="00F52E6C"/>
    <w:rsid w:val="00F5340D"/>
    <w:rsid w:val="00F534F2"/>
    <w:rsid w:val="00F53A77"/>
    <w:rsid w:val="00F549F6"/>
    <w:rsid w:val="00F54E5A"/>
    <w:rsid w:val="00F55500"/>
    <w:rsid w:val="00F56A4E"/>
    <w:rsid w:val="00F56E29"/>
    <w:rsid w:val="00F5706B"/>
    <w:rsid w:val="00F60043"/>
    <w:rsid w:val="00F60105"/>
    <w:rsid w:val="00F60F41"/>
    <w:rsid w:val="00F61449"/>
    <w:rsid w:val="00F62395"/>
    <w:rsid w:val="00F62421"/>
    <w:rsid w:val="00F62C4A"/>
    <w:rsid w:val="00F6436A"/>
    <w:rsid w:val="00F65EF5"/>
    <w:rsid w:val="00F67F32"/>
    <w:rsid w:val="00F714BE"/>
    <w:rsid w:val="00F71861"/>
    <w:rsid w:val="00F73255"/>
    <w:rsid w:val="00F7560D"/>
    <w:rsid w:val="00F75B12"/>
    <w:rsid w:val="00F76A14"/>
    <w:rsid w:val="00F77BBB"/>
    <w:rsid w:val="00F81ADA"/>
    <w:rsid w:val="00F82B0D"/>
    <w:rsid w:val="00F82DB3"/>
    <w:rsid w:val="00F91F9D"/>
    <w:rsid w:val="00F924ED"/>
    <w:rsid w:val="00F9257B"/>
    <w:rsid w:val="00F93273"/>
    <w:rsid w:val="00F9375F"/>
    <w:rsid w:val="00F943AC"/>
    <w:rsid w:val="00F9462C"/>
    <w:rsid w:val="00F9490C"/>
    <w:rsid w:val="00F967F6"/>
    <w:rsid w:val="00F96A41"/>
    <w:rsid w:val="00FA1677"/>
    <w:rsid w:val="00FA21DA"/>
    <w:rsid w:val="00FA2C8B"/>
    <w:rsid w:val="00FA4F76"/>
    <w:rsid w:val="00FA5219"/>
    <w:rsid w:val="00FA61FE"/>
    <w:rsid w:val="00FA69FD"/>
    <w:rsid w:val="00FB129B"/>
    <w:rsid w:val="00FB2C0C"/>
    <w:rsid w:val="00FB47A3"/>
    <w:rsid w:val="00FB4DF4"/>
    <w:rsid w:val="00FB5869"/>
    <w:rsid w:val="00FB6899"/>
    <w:rsid w:val="00FB6BE5"/>
    <w:rsid w:val="00FC0FA7"/>
    <w:rsid w:val="00FC11E4"/>
    <w:rsid w:val="00FC395A"/>
    <w:rsid w:val="00FC3C2D"/>
    <w:rsid w:val="00FC4710"/>
    <w:rsid w:val="00FC4C21"/>
    <w:rsid w:val="00FC4F55"/>
    <w:rsid w:val="00FC52EB"/>
    <w:rsid w:val="00FC5D94"/>
    <w:rsid w:val="00FC6807"/>
    <w:rsid w:val="00FD03ED"/>
    <w:rsid w:val="00FD19C4"/>
    <w:rsid w:val="00FD2BE9"/>
    <w:rsid w:val="00FD35BD"/>
    <w:rsid w:val="00FD6C4E"/>
    <w:rsid w:val="00FD710D"/>
    <w:rsid w:val="00FD7A8B"/>
    <w:rsid w:val="00FE0748"/>
    <w:rsid w:val="00FE0F74"/>
    <w:rsid w:val="00FE1779"/>
    <w:rsid w:val="00FE1919"/>
    <w:rsid w:val="00FE22FC"/>
    <w:rsid w:val="00FE2532"/>
    <w:rsid w:val="00FE2FFE"/>
    <w:rsid w:val="00FE31B5"/>
    <w:rsid w:val="00FE3761"/>
    <w:rsid w:val="00FE3AF0"/>
    <w:rsid w:val="00FE55AF"/>
    <w:rsid w:val="00FE5FC9"/>
    <w:rsid w:val="00FE70DF"/>
    <w:rsid w:val="00FF026C"/>
    <w:rsid w:val="00FF05AE"/>
    <w:rsid w:val="00FF10D8"/>
    <w:rsid w:val="00FF1F11"/>
    <w:rsid w:val="00FF2DF4"/>
    <w:rsid w:val="00FF3F31"/>
    <w:rsid w:val="00FF48A9"/>
    <w:rsid w:val="00FF55A1"/>
    <w:rsid w:val="00FF7594"/>
    <w:rsid w:val="00FF7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7F"/>
    <w:pPr>
      <w:widowControl w:val="0"/>
      <w:spacing w:before="120" w:after="120"/>
    </w:pPr>
    <w:rPr>
      <w:rFonts w:ascii="Arial" w:hAnsi="Arial"/>
      <w:sz w:val="22"/>
      <w:szCs w:val="22"/>
      <w:lang w:val="en-US" w:eastAsia="en-US"/>
    </w:rPr>
  </w:style>
  <w:style w:type="paragraph" w:styleId="Heading1">
    <w:name w:val="heading 1"/>
    <w:basedOn w:val="Normal"/>
    <w:next w:val="Normal"/>
    <w:link w:val="Heading1Char"/>
    <w:uiPriority w:val="9"/>
    <w:qFormat/>
    <w:rsid w:val="00DC4117"/>
    <w:pPr>
      <w:ind w:right="-28" w:hanging="11"/>
      <w:outlineLvl w:val="0"/>
    </w:pPr>
    <w:rPr>
      <w:rFonts w:eastAsia="Arial" w:cs="Arial"/>
      <w:b/>
      <w:bCs/>
    </w:rPr>
  </w:style>
  <w:style w:type="paragraph" w:styleId="Heading2">
    <w:name w:val="heading 2"/>
    <w:basedOn w:val="Normal"/>
    <w:next w:val="Normal"/>
    <w:link w:val="Heading2Char"/>
    <w:uiPriority w:val="9"/>
    <w:unhideWhenUsed/>
    <w:qFormat/>
    <w:rsid w:val="00DC4117"/>
    <w:pPr>
      <w:spacing w:after="0"/>
      <w:outlineLvl w:val="1"/>
    </w:pPr>
    <w:rPr>
      <w:rFonts w:eastAsia="Arial" w:cs="Arial"/>
      <w:b/>
      <w:lang w:val="en-AU"/>
    </w:rPr>
  </w:style>
  <w:style w:type="paragraph" w:styleId="Heading3">
    <w:name w:val="heading 3"/>
    <w:basedOn w:val="Normal"/>
    <w:next w:val="Normal"/>
    <w:link w:val="Heading3Char"/>
    <w:uiPriority w:val="9"/>
    <w:unhideWhenUsed/>
    <w:qFormat/>
    <w:rsid w:val="00DC4117"/>
    <w:pPr>
      <w:spacing w:after="0"/>
      <w:outlineLvl w:val="2"/>
    </w:pPr>
    <w:rPr>
      <w:rFonts w:eastAsia="Arial" w:cs="Arial"/>
      <w:bCs/>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lang w:val="en-US"/>
    </w:rPr>
  </w:style>
  <w:style w:type="character" w:customStyle="1" w:styleId="Heading2Char">
    <w:name w:val="Heading 2 Char"/>
    <w:link w:val="Heading2"/>
    <w:uiPriority w:val="9"/>
    <w:rsid w:val="00DC4117"/>
    <w:rPr>
      <w:rFonts w:ascii="Arial" w:eastAsia="Arial" w:hAnsi="Arial" w:cs="Arial"/>
      <w:b/>
      <w:sz w:val="22"/>
      <w:szCs w:val="22"/>
      <w:lang w:eastAsia="en-US"/>
    </w:rPr>
  </w:style>
  <w:style w:type="character" w:styleId="CommentReference">
    <w:name w:val="annotation reference"/>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widowControl/>
      <w:spacing w:after="240"/>
      <w:jc w:val="both"/>
    </w:pPr>
    <w:rPr>
      <w:rFonts w:eastAsia="Times New Roman"/>
      <w:szCs w:val="24"/>
      <w:lang w:val="en-GB"/>
    </w:rPr>
  </w:style>
  <w:style w:type="character" w:customStyle="1" w:styleId="BodyTextChar">
    <w:name w:val="Body Text Char"/>
    <w:link w:val="BodyText"/>
    <w:uiPriority w:val="99"/>
    <w:rPr>
      <w:rFonts w:ascii="Arial" w:eastAsia="Times New Roman" w:hAnsi="Arial" w:cs="Times New Roman"/>
      <w:szCs w:val="24"/>
      <w:lang w:val="en-GB"/>
    </w:rPr>
  </w:style>
  <w:style w:type="paragraph" w:customStyle="1" w:styleId="Default">
    <w:name w:val="Default"/>
    <w:pPr>
      <w:autoSpaceDE w:val="0"/>
      <w:autoSpaceDN w:val="0"/>
      <w:adjustRightInd w:val="0"/>
    </w:pPr>
    <w:rPr>
      <w:rFonts w:ascii="Cambria" w:hAnsi="Cambria" w:cs="Cambria"/>
      <w:color w:val="000000"/>
      <w:sz w:val="24"/>
      <w:szCs w:val="24"/>
      <w:lang w:eastAsia="en-US"/>
    </w:rPr>
  </w:style>
  <w:style w:type="paragraph" w:styleId="Revision">
    <w:name w:val="Revision"/>
    <w:hidden/>
    <w:uiPriority w:val="99"/>
    <w:semiHidden/>
    <w:rPr>
      <w:sz w:val="22"/>
      <w:szCs w:val="22"/>
      <w:lang w:val="en-US"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widowControl/>
      <w:spacing w:before="100" w:beforeAutospacing="1" w:after="62"/>
    </w:pPr>
    <w:rPr>
      <w:rFonts w:ascii="Times New Roman" w:eastAsia="Times New Roman" w:hAnsi="Times New Roman"/>
      <w:color w:val="000000"/>
      <w:sz w:val="24"/>
      <w:szCs w:val="24"/>
      <w:lang w:val="en-GB" w:eastAsia="en-GB"/>
    </w:rPr>
  </w:style>
  <w:style w:type="paragraph" w:customStyle="1" w:styleId="BodytextAgency">
    <w:name w:val="Body text (Agency)"/>
    <w:basedOn w:val="Normal"/>
    <w:link w:val="BodytextAgencyChar"/>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BodyText12">
    <w:name w:val="BodyText12"/>
    <w:pPr>
      <w:spacing w:after="200" w:line="300" w:lineRule="auto"/>
      <w:ind w:left="850"/>
      <w:jc w:val="both"/>
    </w:pPr>
    <w:rPr>
      <w:rFonts w:ascii="Times New Roman" w:eastAsia="Times New Roman" w:hAnsi="Times New Roman"/>
      <w:sz w:val="24"/>
      <w:lang w:val="en-US" w:eastAsia="en-US"/>
    </w:rPr>
  </w:style>
  <w:style w:type="character" w:styleId="PageNumber">
    <w:name w:val="page number"/>
    <w:uiPriority w:val="99"/>
    <w:rPr>
      <w:rFonts w:cs="Times New Roman"/>
    </w:rPr>
  </w:style>
  <w:style w:type="character" w:customStyle="1" w:styleId="BodyTextCharChar">
    <w:name w:val="Body Text Char Char"/>
    <w:aliases w:val="Body Text Char1 Char Char Char,Body Text Char Char Char Char Char,Body Text Char1 Char1 Char Char Char Char,Body Text Char Char Char Char Char Char Char,Body Text Char2 Char Char Char Char Char Char Char,Body Text Char1 Char Char1"/>
    <w:uiPriority w:val="99"/>
    <w:rPr>
      <w:sz w:val="24"/>
      <w:szCs w:val="24"/>
      <w:lang w:val="en-GB" w:eastAsia="en-US" w:bidi="ar-SA"/>
    </w:rPr>
  </w:style>
  <w:style w:type="paragraph" w:customStyle="1" w:styleId="ConfidentialityStatement">
    <w:name w:val="ConfidentialityStatement"/>
    <w:basedOn w:val="Normal"/>
    <w:next w:val="Normal"/>
    <w:semiHidden/>
    <w:pPr>
      <w:widowControl/>
      <w:suppressAutoHyphens/>
      <w:overflowPunct w:val="0"/>
      <w:autoSpaceDE w:val="0"/>
      <w:autoSpaceDN w:val="0"/>
      <w:adjustRightInd w:val="0"/>
      <w:spacing w:after="0"/>
      <w:textAlignment w:val="baseline"/>
    </w:pPr>
    <w:rPr>
      <w:rFonts w:ascii="Times New Roman" w:eastAsia="Times New Roman" w:hAnsi="Times New Roman"/>
      <w:i/>
      <w:sz w:val="20"/>
      <w:szCs w:val="20"/>
      <w:lang w:val="en-GB"/>
    </w:rPr>
  </w:style>
  <w:style w:type="character" w:customStyle="1" w:styleId="Heading3Char">
    <w:name w:val="Heading 3 Char"/>
    <w:link w:val="Heading3"/>
    <w:uiPriority w:val="9"/>
    <w:rsid w:val="00DC4117"/>
    <w:rPr>
      <w:rFonts w:ascii="Arial" w:eastAsia="Arial" w:hAnsi="Arial" w:cs="Arial"/>
      <w:bCs/>
      <w:sz w:val="22"/>
      <w:szCs w:val="22"/>
      <w:u w:val="single"/>
      <w:lang w:eastAsia="en-US"/>
    </w:rPr>
  </w:style>
  <w:style w:type="paragraph" w:styleId="Caption">
    <w:name w:val="caption"/>
    <w:aliases w:val="Caption-FUSA,Caption Char Char Char Char,Caption Char Char Char,Caption Char Char Char Char Char,Caption Char Char Char Char1 Char Char,Caption Char Char Char Char Char Char,Caption Char Char,Caption Char Char Char Char Char1,Caption Char1"/>
    <w:link w:val="CaptionChar"/>
    <w:qFormat/>
    <w:rsid w:val="00DC4117"/>
    <w:pPr>
      <w:keepNext/>
      <w:widowControl w:val="0"/>
      <w:tabs>
        <w:tab w:val="left" w:pos="1134"/>
      </w:tabs>
      <w:spacing w:before="120" w:after="240"/>
    </w:pPr>
    <w:rPr>
      <w:rFonts w:ascii="Arial" w:eastAsia="Times New Roman" w:hAnsi="Arial"/>
      <w:b/>
      <w:bCs/>
      <w:sz w:val="22"/>
      <w:lang w:val="en-US" w:eastAsia="en-US"/>
    </w:rPr>
  </w:style>
  <w:style w:type="character" w:customStyle="1" w:styleId="CaptionChar">
    <w:name w:val="Caption Char"/>
    <w:aliases w:val="Caption-FUSA Char,Caption Char Char Char Char Char2,Caption Char Char Char Char1,Caption Char Char Char Char Char Char1,Caption Char Char Char Char1 Char Char Char,Caption Char Char Char Char Char Char Char,Caption Char Char Char1"/>
    <w:link w:val="Caption"/>
    <w:locked/>
    <w:rsid w:val="00DC4117"/>
    <w:rPr>
      <w:rFonts w:ascii="Arial" w:eastAsia="Times New Roman" w:hAnsi="Arial"/>
      <w:b/>
      <w:bCs/>
      <w:sz w:val="22"/>
      <w:lang w:val="en-US" w:eastAsia="en-US"/>
    </w:rPr>
  </w:style>
  <w:style w:type="paragraph" w:styleId="Title">
    <w:name w:val="Title"/>
    <w:basedOn w:val="Normal"/>
    <w:next w:val="Normal"/>
    <w:link w:val="TitleChar"/>
    <w:uiPriority w:val="10"/>
    <w:qFormat/>
    <w:rsid w:val="00DC4117"/>
    <w:pPr>
      <w:spacing w:after="0"/>
      <w:ind w:right="39"/>
      <w:jc w:val="center"/>
    </w:pPr>
    <w:rPr>
      <w:rFonts w:eastAsia="Arial" w:cs="Arial"/>
      <w:b/>
      <w:bCs/>
      <w:position w:val="-1"/>
    </w:rPr>
  </w:style>
  <w:style w:type="character" w:customStyle="1" w:styleId="TitleChar">
    <w:name w:val="Title Char"/>
    <w:basedOn w:val="DefaultParagraphFont"/>
    <w:link w:val="Title"/>
    <w:uiPriority w:val="10"/>
    <w:rsid w:val="00DC4117"/>
    <w:rPr>
      <w:rFonts w:ascii="Arial" w:eastAsia="Arial" w:hAnsi="Arial" w:cs="Arial"/>
      <w:b/>
      <w:bCs/>
      <w:position w:val="-1"/>
      <w:sz w:val="22"/>
      <w:szCs w:val="22"/>
      <w:lang w:val="en-US" w:eastAsia="en-US"/>
    </w:rPr>
  </w:style>
  <w:style w:type="character" w:customStyle="1" w:styleId="Heading1Char">
    <w:name w:val="Heading 1 Char"/>
    <w:basedOn w:val="DefaultParagraphFont"/>
    <w:link w:val="Heading1"/>
    <w:uiPriority w:val="9"/>
    <w:rsid w:val="00DC4117"/>
    <w:rPr>
      <w:rFonts w:ascii="Arial" w:eastAsia="Arial" w:hAnsi="Arial" w:cs="Arial"/>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7F"/>
    <w:pPr>
      <w:widowControl w:val="0"/>
      <w:spacing w:before="120" w:after="120"/>
    </w:pPr>
    <w:rPr>
      <w:rFonts w:ascii="Arial" w:hAnsi="Arial"/>
      <w:sz w:val="22"/>
      <w:szCs w:val="22"/>
      <w:lang w:val="en-US" w:eastAsia="en-US"/>
    </w:rPr>
  </w:style>
  <w:style w:type="paragraph" w:styleId="Heading1">
    <w:name w:val="heading 1"/>
    <w:basedOn w:val="Normal"/>
    <w:next w:val="Normal"/>
    <w:link w:val="Heading1Char"/>
    <w:uiPriority w:val="9"/>
    <w:qFormat/>
    <w:rsid w:val="00DC4117"/>
    <w:pPr>
      <w:ind w:right="-28" w:hanging="11"/>
      <w:outlineLvl w:val="0"/>
    </w:pPr>
    <w:rPr>
      <w:rFonts w:eastAsia="Arial" w:cs="Arial"/>
      <w:b/>
      <w:bCs/>
    </w:rPr>
  </w:style>
  <w:style w:type="paragraph" w:styleId="Heading2">
    <w:name w:val="heading 2"/>
    <w:basedOn w:val="Normal"/>
    <w:next w:val="Normal"/>
    <w:link w:val="Heading2Char"/>
    <w:uiPriority w:val="9"/>
    <w:unhideWhenUsed/>
    <w:qFormat/>
    <w:rsid w:val="00DC4117"/>
    <w:pPr>
      <w:spacing w:after="0"/>
      <w:outlineLvl w:val="1"/>
    </w:pPr>
    <w:rPr>
      <w:rFonts w:eastAsia="Arial" w:cs="Arial"/>
      <w:b/>
      <w:lang w:val="en-AU"/>
    </w:rPr>
  </w:style>
  <w:style w:type="paragraph" w:styleId="Heading3">
    <w:name w:val="heading 3"/>
    <w:basedOn w:val="Normal"/>
    <w:next w:val="Normal"/>
    <w:link w:val="Heading3Char"/>
    <w:uiPriority w:val="9"/>
    <w:unhideWhenUsed/>
    <w:qFormat/>
    <w:rsid w:val="00DC4117"/>
    <w:pPr>
      <w:spacing w:after="0"/>
      <w:outlineLvl w:val="2"/>
    </w:pPr>
    <w:rPr>
      <w:rFonts w:eastAsia="Arial" w:cs="Arial"/>
      <w:bCs/>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lang w:val="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lang w:val="en-US"/>
    </w:rPr>
  </w:style>
  <w:style w:type="character" w:customStyle="1" w:styleId="Heading2Char">
    <w:name w:val="Heading 2 Char"/>
    <w:link w:val="Heading2"/>
    <w:uiPriority w:val="9"/>
    <w:rsid w:val="00DC4117"/>
    <w:rPr>
      <w:rFonts w:ascii="Arial" w:eastAsia="Arial" w:hAnsi="Arial" w:cs="Arial"/>
      <w:b/>
      <w:sz w:val="22"/>
      <w:szCs w:val="22"/>
      <w:lang w:eastAsia="en-US"/>
    </w:rPr>
  </w:style>
  <w:style w:type="character" w:styleId="CommentReference">
    <w:name w:val="annotation reference"/>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widowControl/>
      <w:spacing w:after="240"/>
      <w:jc w:val="both"/>
    </w:pPr>
    <w:rPr>
      <w:rFonts w:eastAsia="Times New Roman"/>
      <w:szCs w:val="24"/>
      <w:lang w:val="en-GB"/>
    </w:rPr>
  </w:style>
  <w:style w:type="character" w:customStyle="1" w:styleId="BodyTextChar">
    <w:name w:val="Body Text Char"/>
    <w:link w:val="BodyText"/>
    <w:uiPriority w:val="99"/>
    <w:rPr>
      <w:rFonts w:ascii="Arial" w:eastAsia="Times New Roman" w:hAnsi="Arial" w:cs="Times New Roman"/>
      <w:szCs w:val="24"/>
      <w:lang w:val="en-GB"/>
    </w:rPr>
  </w:style>
  <w:style w:type="paragraph" w:customStyle="1" w:styleId="Default">
    <w:name w:val="Default"/>
    <w:pPr>
      <w:autoSpaceDE w:val="0"/>
      <w:autoSpaceDN w:val="0"/>
      <w:adjustRightInd w:val="0"/>
    </w:pPr>
    <w:rPr>
      <w:rFonts w:ascii="Cambria" w:hAnsi="Cambria" w:cs="Cambria"/>
      <w:color w:val="000000"/>
      <w:sz w:val="24"/>
      <w:szCs w:val="24"/>
      <w:lang w:eastAsia="en-US"/>
    </w:rPr>
  </w:style>
  <w:style w:type="paragraph" w:styleId="Revision">
    <w:name w:val="Revision"/>
    <w:hidden/>
    <w:uiPriority w:val="99"/>
    <w:semiHidden/>
    <w:rPr>
      <w:sz w:val="22"/>
      <w:szCs w:val="22"/>
      <w:lang w:val="en-US"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widowControl/>
      <w:spacing w:before="100" w:beforeAutospacing="1" w:after="62"/>
    </w:pPr>
    <w:rPr>
      <w:rFonts w:ascii="Times New Roman" w:eastAsia="Times New Roman" w:hAnsi="Times New Roman"/>
      <w:color w:val="000000"/>
      <w:sz w:val="24"/>
      <w:szCs w:val="24"/>
      <w:lang w:val="en-GB" w:eastAsia="en-GB"/>
    </w:rPr>
  </w:style>
  <w:style w:type="paragraph" w:customStyle="1" w:styleId="BodytextAgency">
    <w:name w:val="Body text (Agency)"/>
    <w:basedOn w:val="Normal"/>
    <w:link w:val="BodytextAgencyChar"/>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BodyText12">
    <w:name w:val="BodyText12"/>
    <w:pPr>
      <w:spacing w:after="200" w:line="300" w:lineRule="auto"/>
      <w:ind w:left="850"/>
      <w:jc w:val="both"/>
    </w:pPr>
    <w:rPr>
      <w:rFonts w:ascii="Times New Roman" w:eastAsia="Times New Roman" w:hAnsi="Times New Roman"/>
      <w:sz w:val="24"/>
      <w:lang w:val="en-US" w:eastAsia="en-US"/>
    </w:rPr>
  </w:style>
  <w:style w:type="character" w:styleId="PageNumber">
    <w:name w:val="page number"/>
    <w:uiPriority w:val="99"/>
    <w:rPr>
      <w:rFonts w:cs="Times New Roman"/>
    </w:rPr>
  </w:style>
  <w:style w:type="character" w:customStyle="1" w:styleId="BodyTextCharChar">
    <w:name w:val="Body Text Char Char"/>
    <w:aliases w:val="Body Text Char1 Char Char Char,Body Text Char Char Char Char Char,Body Text Char1 Char1 Char Char Char Char,Body Text Char Char Char Char Char Char Char,Body Text Char2 Char Char Char Char Char Char Char,Body Text Char1 Char Char1"/>
    <w:uiPriority w:val="99"/>
    <w:rPr>
      <w:sz w:val="24"/>
      <w:szCs w:val="24"/>
      <w:lang w:val="en-GB" w:eastAsia="en-US" w:bidi="ar-SA"/>
    </w:rPr>
  </w:style>
  <w:style w:type="paragraph" w:customStyle="1" w:styleId="ConfidentialityStatement">
    <w:name w:val="ConfidentialityStatement"/>
    <w:basedOn w:val="Normal"/>
    <w:next w:val="Normal"/>
    <w:semiHidden/>
    <w:pPr>
      <w:widowControl/>
      <w:suppressAutoHyphens/>
      <w:overflowPunct w:val="0"/>
      <w:autoSpaceDE w:val="0"/>
      <w:autoSpaceDN w:val="0"/>
      <w:adjustRightInd w:val="0"/>
      <w:spacing w:after="0"/>
      <w:textAlignment w:val="baseline"/>
    </w:pPr>
    <w:rPr>
      <w:rFonts w:ascii="Times New Roman" w:eastAsia="Times New Roman" w:hAnsi="Times New Roman"/>
      <w:i/>
      <w:sz w:val="20"/>
      <w:szCs w:val="20"/>
      <w:lang w:val="en-GB"/>
    </w:rPr>
  </w:style>
  <w:style w:type="character" w:customStyle="1" w:styleId="Heading3Char">
    <w:name w:val="Heading 3 Char"/>
    <w:link w:val="Heading3"/>
    <w:uiPriority w:val="9"/>
    <w:rsid w:val="00DC4117"/>
    <w:rPr>
      <w:rFonts w:ascii="Arial" w:eastAsia="Arial" w:hAnsi="Arial" w:cs="Arial"/>
      <w:bCs/>
      <w:sz w:val="22"/>
      <w:szCs w:val="22"/>
      <w:u w:val="single"/>
      <w:lang w:eastAsia="en-US"/>
    </w:rPr>
  </w:style>
  <w:style w:type="paragraph" w:styleId="Caption">
    <w:name w:val="caption"/>
    <w:aliases w:val="Caption-FUSA,Caption Char Char Char Char,Caption Char Char Char,Caption Char Char Char Char Char,Caption Char Char Char Char1 Char Char,Caption Char Char Char Char Char Char,Caption Char Char,Caption Char Char Char Char Char1,Caption Char1"/>
    <w:link w:val="CaptionChar"/>
    <w:qFormat/>
    <w:rsid w:val="00DC4117"/>
    <w:pPr>
      <w:keepNext/>
      <w:widowControl w:val="0"/>
      <w:tabs>
        <w:tab w:val="left" w:pos="1134"/>
      </w:tabs>
      <w:spacing w:before="120" w:after="240"/>
    </w:pPr>
    <w:rPr>
      <w:rFonts w:ascii="Arial" w:eastAsia="Times New Roman" w:hAnsi="Arial"/>
      <w:b/>
      <w:bCs/>
      <w:sz w:val="22"/>
      <w:lang w:val="en-US" w:eastAsia="en-US"/>
    </w:rPr>
  </w:style>
  <w:style w:type="character" w:customStyle="1" w:styleId="CaptionChar">
    <w:name w:val="Caption Char"/>
    <w:aliases w:val="Caption-FUSA Char,Caption Char Char Char Char Char2,Caption Char Char Char Char1,Caption Char Char Char Char Char Char1,Caption Char Char Char Char1 Char Char Char,Caption Char Char Char Char Char Char Char,Caption Char Char Char1"/>
    <w:link w:val="Caption"/>
    <w:locked/>
    <w:rsid w:val="00DC4117"/>
    <w:rPr>
      <w:rFonts w:ascii="Arial" w:eastAsia="Times New Roman" w:hAnsi="Arial"/>
      <w:b/>
      <w:bCs/>
      <w:sz w:val="22"/>
      <w:lang w:val="en-US" w:eastAsia="en-US"/>
    </w:rPr>
  </w:style>
  <w:style w:type="paragraph" w:styleId="Title">
    <w:name w:val="Title"/>
    <w:basedOn w:val="Normal"/>
    <w:next w:val="Normal"/>
    <w:link w:val="TitleChar"/>
    <w:uiPriority w:val="10"/>
    <w:qFormat/>
    <w:rsid w:val="00DC4117"/>
    <w:pPr>
      <w:spacing w:after="0"/>
      <w:ind w:right="39"/>
      <w:jc w:val="center"/>
    </w:pPr>
    <w:rPr>
      <w:rFonts w:eastAsia="Arial" w:cs="Arial"/>
      <w:b/>
      <w:bCs/>
      <w:position w:val="-1"/>
    </w:rPr>
  </w:style>
  <w:style w:type="character" w:customStyle="1" w:styleId="TitleChar">
    <w:name w:val="Title Char"/>
    <w:basedOn w:val="DefaultParagraphFont"/>
    <w:link w:val="Title"/>
    <w:uiPriority w:val="10"/>
    <w:rsid w:val="00DC4117"/>
    <w:rPr>
      <w:rFonts w:ascii="Arial" w:eastAsia="Arial" w:hAnsi="Arial" w:cs="Arial"/>
      <w:b/>
      <w:bCs/>
      <w:position w:val="-1"/>
      <w:sz w:val="22"/>
      <w:szCs w:val="22"/>
      <w:lang w:val="en-US" w:eastAsia="en-US"/>
    </w:rPr>
  </w:style>
  <w:style w:type="character" w:customStyle="1" w:styleId="Heading1Char">
    <w:name w:val="Heading 1 Char"/>
    <w:basedOn w:val="DefaultParagraphFont"/>
    <w:link w:val="Heading1"/>
    <w:uiPriority w:val="9"/>
    <w:rsid w:val="00DC4117"/>
    <w:rPr>
      <w:rFonts w:ascii="Arial" w:eastAsia="Arial"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9752">
      <w:bodyDiv w:val="1"/>
      <w:marLeft w:val="0"/>
      <w:marRight w:val="0"/>
      <w:marTop w:val="0"/>
      <w:marBottom w:val="0"/>
      <w:divBdr>
        <w:top w:val="none" w:sz="0" w:space="0" w:color="auto"/>
        <w:left w:val="none" w:sz="0" w:space="0" w:color="auto"/>
        <w:bottom w:val="none" w:sz="0" w:space="0" w:color="auto"/>
        <w:right w:val="none" w:sz="0" w:space="0" w:color="auto"/>
      </w:divBdr>
    </w:div>
    <w:div w:id="615215705">
      <w:bodyDiv w:val="1"/>
      <w:marLeft w:val="0"/>
      <w:marRight w:val="0"/>
      <w:marTop w:val="0"/>
      <w:marBottom w:val="0"/>
      <w:divBdr>
        <w:top w:val="none" w:sz="0" w:space="0" w:color="auto"/>
        <w:left w:val="none" w:sz="0" w:space="0" w:color="auto"/>
        <w:bottom w:val="none" w:sz="0" w:space="0" w:color="auto"/>
        <w:right w:val="none" w:sz="0" w:space="0" w:color="auto"/>
      </w:divBdr>
    </w:div>
    <w:div w:id="690644815">
      <w:bodyDiv w:val="1"/>
      <w:marLeft w:val="0"/>
      <w:marRight w:val="0"/>
      <w:marTop w:val="0"/>
      <w:marBottom w:val="0"/>
      <w:divBdr>
        <w:top w:val="none" w:sz="0" w:space="0" w:color="auto"/>
        <w:left w:val="none" w:sz="0" w:space="0" w:color="auto"/>
        <w:bottom w:val="none" w:sz="0" w:space="0" w:color="auto"/>
        <w:right w:val="none" w:sz="0" w:space="0" w:color="auto"/>
      </w:divBdr>
    </w:div>
    <w:div w:id="886798661">
      <w:bodyDiv w:val="1"/>
      <w:marLeft w:val="0"/>
      <w:marRight w:val="0"/>
      <w:marTop w:val="0"/>
      <w:marBottom w:val="0"/>
      <w:divBdr>
        <w:top w:val="none" w:sz="0" w:space="0" w:color="auto"/>
        <w:left w:val="none" w:sz="0" w:space="0" w:color="auto"/>
        <w:bottom w:val="none" w:sz="0" w:space="0" w:color="auto"/>
        <w:right w:val="none" w:sz="0" w:space="0" w:color="auto"/>
      </w:divBdr>
    </w:div>
    <w:div w:id="907692478">
      <w:bodyDiv w:val="1"/>
      <w:marLeft w:val="0"/>
      <w:marRight w:val="0"/>
      <w:marTop w:val="0"/>
      <w:marBottom w:val="0"/>
      <w:divBdr>
        <w:top w:val="none" w:sz="0" w:space="0" w:color="auto"/>
        <w:left w:val="none" w:sz="0" w:space="0" w:color="auto"/>
        <w:bottom w:val="none" w:sz="0" w:space="0" w:color="auto"/>
        <w:right w:val="none" w:sz="0" w:space="0" w:color="auto"/>
      </w:divBdr>
    </w:div>
    <w:div w:id="1292326477">
      <w:bodyDiv w:val="1"/>
      <w:marLeft w:val="0"/>
      <w:marRight w:val="0"/>
      <w:marTop w:val="0"/>
      <w:marBottom w:val="0"/>
      <w:divBdr>
        <w:top w:val="none" w:sz="0" w:space="0" w:color="auto"/>
        <w:left w:val="none" w:sz="0" w:space="0" w:color="auto"/>
        <w:bottom w:val="none" w:sz="0" w:space="0" w:color="auto"/>
        <w:right w:val="none" w:sz="0" w:space="0" w:color="auto"/>
      </w:divBdr>
    </w:div>
    <w:div w:id="1720785106">
      <w:bodyDiv w:val="1"/>
      <w:marLeft w:val="0"/>
      <w:marRight w:val="0"/>
      <w:marTop w:val="0"/>
      <w:marBottom w:val="0"/>
      <w:divBdr>
        <w:top w:val="none" w:sz="0" w:space="0" w:color="auto"/>
        <w:left w:val="none" w:sz="0" w:space="0" w:color="auto"/>
        <w:bottom w:val="none" w:sz="0" w:space="0" w:color="auto"/>
        <w:right w:val="none" w:sz="0" w:space="0" w:color="auto"/>
      </w:divBdr>
    </w:div>
    <w:div w:id="20586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D9729BC-3E88-4A84-95B2-CBE85CBE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4744</Words>
  <Characters>27045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Teduglutide [Revestive]</dc:title>
  <dc:subject>prescription medicines</dc:subject>
  <dc:creator>Therapeutic Goods Administration</dc:creator>
  <cp:keywords>AusPAR</cp:keywords>
  <cp:lastModifiedBy>Therapeutic Goods Administration</cp:lastModifiedBy>
  <cp:revision>7</cp:revision>
  <cp:lastPrinted>2017-05-31T00:33:00Z</cp:lastPrinted>
  <dcterms:created xsi:type="dcterms:W3CDTF">2018-04-12T03:21:00Z</dcterms:created>
  <dcterms:modified xsi:type="dcterms:W3CDTF">2018-04-12T03:28:00Z</dcterms:modified>
</cp:coreProperties>
</file>