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C40" w:rsidRPr="006D7DC1" w:rsidRDefault="005E3C40" w:rsidP="00D74803">
      <w:pPr>
        <w:pStyle w:val="Heading0"/>
      </w:pPr>
      <w:r w:rsidRPr="006D7DC1">
        <w:t xml:space="preserve">NAME OF THE MEDICINE </w:t>
      </w:r>
    </w:p>
    <w:p w:rsidR="005E3C40" w:rsidRPr="006D7DC1" w:rsidRDefault="001371A5" w:rsidP="00D74803">
      <w:pPr>
        <w:pStyle w:val="Text"/>
        <w:rPr>
          <w:lang w:val="en"/>
        </w:rPr>
      </w:pPr>
      <w:r>
        <w:rPr>
          <w:lang w:val="en"/>
        </w:rPr>
        <w:t>IMLYGIC</w:t>
      </w:r>
      <w:r w:rsidR="003E5D91" w:rsidRPr="006D7DC1">
        <w:rPr>
          <w:vertAlign w:val="superscript"/>
          <w:lang w:val="en"/>
        </w:rPr>
        <w:t>TM</w:t>
      </w:r>
      <w:r w:rsidR="004950CA" w:rsidRPr="006D7DC1">
        <w:rPr>
          <w:lang w:val="en"/>
        </w:rPr>
        <w:t xml:space="preserve"> is the Amgen Inc. trademark for</w:t>
      </w:r>
      <w:r w:rsidR="004950CA" w:rsidRPr="006D7DC1">
        <w:t xml:space="preserve"> </w:t>
      </w:r>
      <w:proofErr w:type="spellStart"/>
      <w:r w:rsidR="005E3C40" w:rsidRPr="006D7DC1">
        <w:t>talimogene</w:t>
      </w:r>
      <w:proofErr w:type="spellEnd"/>
      <w:r w:rsidR="005E3C40" w:rsidRPr="006D7DC1">
        <w:rPr>
          <w:lang w:val="en"/>
        </w:rPr>
        <w:t xml:space="preserve"> </w:t>
      </w:r>
      <w:proofErr w:type="spellStart"/>
      <w:r w:rsidR="005E3C40" w:rsidRPr="006D7DC1">
        <w:rPr>
          <w:lang w:val="en"/>
        </w:rPr>
        <w:t>laherparepvec</w:t>
      </w:r>
      <w:proofErr w:type="spellEnd"/>
      <w:r w:rsidR="00482067" w:rsidRPr="006D7DC1">
        <w:rPr>
          <w:lang w:val="en"/>
        </w:rPr>
        <w:t xml:space="preserve"> </w:t>
      </w:r>
      <w:r w:rsidR="004950CA" w:rsidRPr="006D7DC1">
        <w:rPr>
          <w:lang w:val="en"/>
        </w:rPr>
        <w:t>(</w:t>
      </w:r>
      <w:proofErr w:type="spellStart"/>
      <w:r w:rsidR="00A0530A">
        <w:rPr>
          <w:lang w:val="en"/>
        </w:rPr>
        <w:t>rmv</w:t>
      </w:r>
      <w:proofErr w:type="spellEnd"/>
      <w:r w:rsidR="004950CA" w:rsidRPr="006D7DC1">
        <w:rPr>
          <w:lang w:val="en"/>
        </w:rPr>
        <w:t>)</w:t>
      </w:r>
    </w:p>
    <w:p w:rsidR="005E3C40" w:rsidRPr="006D7DC1" w:rsidRDefault="005E3C40" w:rsidP="002B6DC1">
      <w:pPr>
        <w:pStyle w:val="Heading0"/>
        <w:pageBreakBefore w:val="0"/>
      </w:pPr>
      <w:r w:rsidRPr="006D7DC1">
        <w:t>DESCRIPTION</w:t>
      </w:r>
    </w:p>
    <w:p w:rsidR="004950CA" w:rsidRPr="006D7DC1" w:rsidRDefault="005E3C40" w:rsidP="00D74803">
      <w:pPr>
        <w:pStyle w:val="Text"/>
      </w:pPr>
      <w:proofErr w:type="spellStart"/>
      <w:r w:rsidRPr="006D7DC1">
        <w:rPr>
          <w:lang w:val="en"/>
        </w:rPr>
        <w:t>Talimogene</w:t>
      </w:r>
      <w:proofErr w:type="spellEnd"/>
      <w:r w:rsidRPr="006D7DC1">
        <w:rPr>
          <w:lang w:val="en"/>
        </w:rPr>
        <w:t xml:space="preserve"> </w:t>
      </w:r>
      <w:proofErr w:type="spellStart"/>
      <w:r w:rsidRPr="006D7DC1">
        <w:rPr>
          <w:lang w:val="en"/>
        </w:rPr>
        <w:t>laherparepvec</w:t>
      </w:r>
      <w:proofErr w:type="spellEnd"/>
      <w:r w:rsidRPr="006D7DC1">
        <w:rPr>
          <w:lang w:val="en"/>
        </w:rPr>
        <w:t xml:space="preserve"> is </w:t>
      </w:r>
      <w:r w:rsidR="00482067" w:rsidRPr="006D7DC1">
        <w:rPr>
          <w:lang w:val="en"/>
        </w:rPr>
        <w:t xml:space="preserve">attenuated </w:t>
      </w:r>
      <w:r w:rsidRPr="006D7DC1">
        <w:rPr>
          <w:lang w:val="en"/>
        </w:rPr>
        <w:t xml:space="preserve">herpes simplex virus type-1 (HSV-1) derived by functional deletion of 2 genes (ICP34.5 and ICP47) and insertion of </w:t>
      </w:r>
      <w:r w:rsidR="00482067" w:rsidRPr="006D7DC1">
        <w:rPr>
          <w:lang w:val="en"/>
        </w:rPr>
        <w:t xml:space="preserve">coding sequence for </w:t>
      </w:r>
      <w:r w:rsidRPr="006D7DC1">
        <w:rPr>
          <w:lang w:val="en"/>
        </w:rPr>
        <w:t>human granulocyte macrophage colony-stimulating fa</w:t>
      </w:r>
      <w:r w:rsidR="004950CA" w:rsidRPr="006D7DC1">
        <w:rPr>
          <w:lang w:val="en"/>
        </w:rPr>
        <w:t xml:space="preserve">ctor (GM-CSF) </w:t>
      </w:r>
      <w:r w:rsidR="00195B10">
        <w:rPr>
          <w:lang w:val="en"/>
        </w:rPr>
        <w:t>[</w:t>
      </w:r>
      <w:r w:rsidR="004950CA" w:rsidRPr="006D7DC1">
        <w:rPr>
          <w:lang w:val="en"/>
        </w:rPr>
        <w:t xml:space="preserve">see </w:t>
      </w:r>
      <w:r w:rsidR="004950CA" w:rsidRPr="00195B10">
        <w:rPr>
          <w:b/>
          <w:u w:val="single"/>
          <w:lang w:val="en"/>
        </w:rPr>
        <w:t>Mechanism of Action</w:t>
      </w:r>
      <w:r w:rsidR="00195B10">
        <w:rPr>
          <w:lang w:val="en"/>
        </w:rPr>
        <w:t>]</w:t>
      </w:r>
      <w:r w:rsidR="004950CA" w:rsidRPr="006D7DC1">
        <w:rPr>
          <w:lang w:val="en"/>
        </w:rPr>
        <w:t xml:space="preserve">.  </w:t>
      </w:r>
      <w:proofErr w:type="spellStart"/>
      <w:r w:rsidR="00482067" w:rsidRPr="006D7DC1">
        <w:rPr>
          <w:lang w:val="en"/>
        </w:rPr>
        <w:t>T</w:t>
      </w:r>
      <w:r w:rsidRPr="006D7DC1">
        <w:rPr>
          <w:lang w:val="en"/>
        </w:rPr>
        <w:t>alimogene</w:t>
      </w:r>
      <w:proofErr w:type="spellEnd"/>
      <w:r w:rsidRPr="006D7DC1">
        <w:rPr>
          <w:lang w:val="en"/>
        </w:rPr>
        <w:t xml:space="preserve"> </w:t>
      </w:r>
      <w:proofErr w:type="spellStart"/>
      <w:r w:rsidRPr="006D7DC1">
        <w:rPr>
          <w:lang w:val="en"/>
        </w:rPr>
        <w:t>laherparepvec</w:t>
      </w:r>
      <w:proofErr w:type="spellEnd"/>
      <w:r w:rsidRPr="006D7DC1">
        <w:rPr>
          <w:lang w:val="en"/>
        </w:rPr>
        <w:t xml:space="preserve"> is produced in </w:t>
      </w:r>
      <w:proofErr w:type="spellStart"/>
      <w:r w:rsidRPr="006D7DC1">
        <w:rPr>
          <w:lang w:val="en"/>
        </w:rPr>
        <w:t>vero</w:t>
      </w:r>
      <w:proofErr w:type="spellEnd"/>
      <w:r w:rsidRPr="006D7DC1">
        <w:rPr>
          <w:lang w:val="en"/>
        </w:rPr>
        <w:t xml:space="preserve"> cells by recombinant DNA technology</w:t>
      </w:r>
      <w:r w:rsidR="00203F8B">
        <w:rPr>
          <w:lang w:val="en"/>
        </w:rPr>
        <w:t>.</w:t>
      </w:r>
    </w:p>
    <w:p w:rsidR="004950CA" w:rsidRPr="006D7DC1" w:rsidRDefault="001371A5" w:rsidP="00D74803">
      <w:pPr>
        <w:pStyle w:val="Text"/>
        <w:rPr>
          <w:lang w:val="en"/>
        </w:rPr>
      </w:pPr>
      <w:r>
        <w:t>IMLYGIC</w:t>
      </w:r>
      <w:r w:rsidR="004950CA" w:rsidRPr="006D7DC1">
        <w:rPr>
          <w:lang w:val="en"/>
        </w:rPr>
        <w:t xml:space="preserve"> is a sterile</w:t>
      </w:r>
      <w:r w:rsidR="00B729EE">
        <w:rPr>
          <w:lang w:val="en"/>
        </w:rPr>
        <w:t>,</w:t>
      </w:r>
      <w:r w:rsidR="004950CA" w:rsidRPr="006D7DC1">
        <w:rPr>
          <w:lang w:val="en"/>
        </w:rPr>
        <w:t xml:space="preserve"> </w:t>
      </w:r>
      <w:r w:rsidR="00F6378E" w:rsidRPr="006D7DC1">
        <w:rPr>
          <w:lang w:val="en"/>
        </w:rPr>
        <w:t xml:space="preserve">preservative free </w:t>
      </w:r>
      <w:r w:rsidR="00385AEB">
        <w:rPr>
          <w:lang w:val="en"/>
        </w:rPr>
        <w:t>solution</w:t>
      </w:r>
      <w:r w:rsidR="00556EAC">
        <w:rPr>
          <w:lang w:val="en"/>
        </w:rPr>
        <w:t xml:space="preserve"> </w:t>
      </w:r>
      <w:r w:rsidR="00F6378E" w:rsidRPr="006D7DC1">
        <w:rPr>
          <w:lang w:val="en"/>
        </w:rPr>
        <w:t xml:space="preserve">for </w:t>
      </w:r>
      <w:proofErr w:type="spellStart"/>
      <w:r w:rsidR="00F6378E" w:rsidRPr="006D7DC1">
        <w:rPr>
          <w:lang w:val="en"/>
        </w:rPr>
        <w:t>intralesional</w:t>
      </w:r>
      <w:proofErr w:type="spellEnd"/>
      <w:r w:rsidR="00F6378E" w:rsidRPr="006D7DC1">
        <w:rPr>
          <w:lang w:val="en"/>
        </w:rPr>
        <w:t xml:space="preserve"> injection.</w:t>
      </w:r>
      <w:r w:rsidR="006A7DDA" w:rsidRPr="006D7DC1">
        <w:rPr>
          <w:lang w:val="en"/>
        </w:rPr>
        <w:t xml:space="preserve"> </w:t>
      </w:r>
      <w:r w:rsidR="00F6378E" w:rsidRPr="006D7DC1">
        <w:rPr>
          <w:lang w:val="en"/>
        </w:rPr>
        <w:t xml:space="preserve"> Following thaw the liquid </w:t>
      </w:r>
      <w:r w:rsidR="006901A1" w:rsidRPr="006D7DC1">
        <w:rPr>
          <w:lang w:val="en"/>
        </w:rPr>
        <w:t xml:space="preserve">is </w:t>
      </w:r>
      <w:r w:rsidR="006901A1" w:rsidRPr="006D7DC1">
        <w:t>clear to semi-translucent (10</w:t>
      </w:r>
      <w:r w:rsidR="006901A1" w:rsidRPr="006D7DC1">
        <w:rPr>
          <w:vertAlign w:val="superscript"/>
        </w:rPr>
        <w:t>6</w:t>
      </w:r>
      <w:r w:rsidR="006901A1" w:rsidRPr="006D7DC1">
        <w:t xml:space="preserve"> P</w:t>
      </w:r>
      <w:r w:rsidR="003F482C">
        <w:t>laque forming units (P</w:t>
      </w:r>
      <w:r w:rsidR="006901A1" w:rsidRPr="006D7DC1">
        <w:t>FU</w:t>
      </w:r>
      <w:r w:rsidR="003F482C">
        <w:t>)</w:t>
      </w:r>
      <w:r w:rsidR="006901A1" w:rsidRPr="006D7DC1">
        <w:t xml:space="preserve">/mL) </w:t>
      </w:r>
      <w:r w:rsidR="00E46336" w:rsidRPr="006D7DC1">
        <w:t>or</w:t>
      </w:r>
      <w:r w:rsidR="006901A1" w:rsidRPr="006D7DC1">
        <w:t xml:space="preserve"> semi-translucent to opaque (10</w:t>
      </w:r>
      <w:r w:rsidR="006901A1" w:rsidRPr="006D7DC1">
        <w:rPr>
          <w:vertAlign w:val="superscript"/>
        </w:rPr>
        <w:t>8</w:t>
      </w:r>
      <w:r w:rsidR="006901A1" w:rsidRPr="006D7DC1">
        <w:t xml:space="preserve"> PFU/mL) and </w:t>
      </w:r>
      <w:r w:rsidR="00F6378E" w:rsidRPr="006D7DC1">
        <w:rPr>
          <w:lang w:val="en"/>
        </w:rPr>
        <w:t>may contain white, visible, variously shaped, virus</w:t>
      </w:r>
      <w:r w:rsidR="0008483F" w:rsidRPr="006D7DC1">
        <w:rPr>
          <w:lang w:val="en"/>
        </w:rPr>
        <w:t>-</w:t>
      </w:r>
      <w:r w:rsidR="00F6378E" w:rsidRPr="006D7DC1">
        <w:rPr>
          <w:lang w:val="en"/>
        </w:rPr>
        <w:t xml:space="preserve">containing </w:t>
      </w:r>
      <w:r w:rsidR="00064ECD" w:rsidRPr="006D7DC1">
        <w:rPr>
          <w:lang w:val="en"/>
        </w:rPr>
        <w:t>particles.</w:t>
      </w:r>
    </w:p>
    <w:p w:rsidR="00F6378E" w:rsidRPr="006D7DC1" w:rsidRDefault="00F6378E" w:rsidP="00D74803">
      <w:pPr>
        <w:pStyle w:val="Text"/>
        <w:rPr>
          <w:lang w:val="en"/>
        </w:rPr>
      </w:pPr>
      <w:r w:rsidRPr="006D7DC1">
        <w:rPr>
          <w:lang w:val="en"/>
        </w:rPr>
        <w:t xml:space="preserve">Each single-use vial contains </w:t>
      </w:r>
      <w:r w:rsidR="00A65FCA" w:rsidRPr="006D7DC1">
        <w:rPr>
          <w:lang w:val="en"/>
        </w:rPr>
        <w:t>1</w:t>
      </w:r>
      <w:r w:rsidR="003F482C">
        <w:rPr>
          <w:lang w:val="en"/>
        </w:rPr>
        <w:t xml:space="preserve"> </w:t>
      </w:r>
      <w:r w:rsidR="00A65FCA" w:rsidRPr="006D7DC1">
        <w:rPr>
          <w:lang w:val="en"/>
        </w:rPr>
        <w:t xml:space="preserve">mL deliverable volume of </w:t>
      </w:r>
      <w:r w:rsidR="001371A5">
        <w:rPr>
          <w:lang w:val="en"/>
        </w:rPr>
        <w:t>IMLYGIC</w:t>
      </w:r>
      <w:r w:rsidR="00A65FCA" w:rsidRPr="006D7DC1">
        <w:rPr>
          <w:lang w:val="en"/>
        </w:rPr>
        <w:t xml:space="preserve"> at a nominal concentration of 1 x </w:t>
      </w:r>
      <w:r w:rsidRPr="006D7DC1">
        <w:rPr>
          <w:lang w:val="en"/>
        </w:rPr>
        <w:t>10</w:t>
      </w:r>
      <w:r w:rsidRPr="006D7DC1">
        <w:rPr>
          <w:vertAlign w:val="superscript"/>
          <w:lang w:val="en"/>
        </w:rPr>
        <w:t>6</w:t>
      </w:r>
      <w:r w:rsidRPr="006D7DC1">
        <w:rPr>
          <w:lang w:val="en"/>
        </w:rPr>
        <w:t xml:space="preserve"> </w:t>
      </w:r>
      <w:r w:rsidR="00525210" w:rsidRPr="006D7DC1">
        <w:rPr>
          <w:lang w:val="en"/>
        </w:rPr>
        <w:t xml:space="preserve">(1 million) </w:t>
      </w:r>
      <w:r w:rsidRPr="006D7DC1">
        <w:rPr>
          <w:lang w:val="en"/>
        </w:rPr>
        <w:t xml:space="preserve">PFU/mL or </w:t>
      </w:r>
      <w:r w:rsidR="00A65FCA" w:rsidRPr="006D7DC1">
        <w:rPr>
          <w:lang w:val="en"/>
        </w:rPr>
        <w:t xml:space="preserve">1 x </w:t>
      </w:r>
      <w:r w:rsidRPr="006D7DC1">
        <w:rPr>
          <w:lang w:val="en"/>
        </w:rPr>
        <w:t>10</w:t>
      </w:r>
      <w:r w:rsidR="00064ECD" w:rsidRPr="006D7DC1">
        <w:rPr>
          <w:vertAlign w:val="superscript"/>
          <w:lang w:val="en"/>
        </w:rPr>
        <w:t>8</w:t>
      </w:r>
      <w:r w:rsidRPr="006D7DC1">
        <w:rPr>
          <w:lang w:val="en"/>
        </w:rPr>
        <w:t xml:space="preserve"> </w:t>
      </w:r>
      <w:r w:rsidR="00525210" w:rsidRPr="006D7DC1">
        <w:rPr>
          <w:lang w:val="en"/>
        </w:rPr>
        <w:t xml:space="preserve">(100 million) </w:t>
      </w:r>
      <w:r w:rsidRPr="006D7DC1">
        <w:rPr>
          <w:lang w:val="en"/>
        </w:rPr>
        <w:t xml:space="preserve">PFU/mL </w:t>
      </w:r>
      <w:r w:rsidR="001371A5">
        <w:rPr>
          <w:lang w:val="en"/>
        </w:rPr>
        <w:t>IMLYGIC</w:t>
      </w:r>
      <w:r w:rsidR="00064ECD" w:rsidRPr="006D7DC1">
        <w:rPr>
          <w:lang w:val="en"/>
        </w:rPr>
        <w:t xml:space="preserve">, </w:t>
      </w:r>
      <w:r w:rsidRPr="006D7DC1">
        <w:rPr>
          <w:lang w:val="en"/>
        </w:rPr>
        <w:t xml:space="preserve">and 15.4 mg sodium phosphate </w:t>
      </w:r>
      <w:r w:rsidR="00BD7E78">
        <w:rPr>
          <w:lang w:val="en"/>
        </w:rPr>
        <w:t xml:space="preserve">- </w:t>
      </w:r>
      <w:r w:rsidR="007D1DB5">
        <w:rPr>
          <w:lang w:val="en"/>
        </w:rPr>
        <w:t xml:space="preserve">dibasic </w:t>
      </w:r>
      <w:proofErr w:type="spellStart"/>
      <w:r w:rsidRPr="006D7DC1">
        <w:rPr>
          <w:lang w:val="en"/>
        </w:rPr>
        <w:t>dihydrate</w:t>
      </w:r>
      <w:proofErr w:type="spellEnd"/>
      <w:r w:rsidRPr="006D7DC1">
        <w:rPr>
          <w:lang w:val="en"/>
        </w:rPr>
        <w:t xml:space="preserve">, 2.44 mg sodium phosphate </w:t>
      </w:r>
      <w:r w:rsidR="00BD7E78">
        <w:rPr>
          <w:lang w:val="en"/>
        </w:rPr>
        <w:t xml:space="preserve">- </w:t>
      </w:r>
      <w:r w:rsidR="007D1DB5">
        <w:rPr>
          <w:lang w:val="en"/>
        </w:rPr>
        <w:t xml:space="preserve">monobasic </w:t>
      </w:r>
      <w:proofErr w:type="spellStart"/>
      <w:r w:rsidRPr="006D7DC1">
        <w:rPr>
          <w:lang w:val="en"/>
        </w:rPr>
        <w:t>dihydrate</w:t>
      </w:r>
      <w:proofErr w:type="spellEnd"/>
      <w:r w:rsidRPr="006D7DC1">
        <w:rPr>
          <w:lang w:val="en"/>
        </w:rPr>
        <w:t xml:space="preserve">, 8.5 mg sodium chloride, 40.0 mg </w:t>
      </w:r>
      <w:r w:rsidR="0084389B" w:rsidRPr="006D7DC1">
        <w:rPr>
          <w:lang w:val="en"/>
        </w:rPr>
        <w:t>inositol</w:t>
      </w:r>
      <w:r w:rsidRPr="006D7DC1">
        <w:rPr>
          <w:lang w:val="en"/>
        </w:rPr>
        <w:t>, 20 mg sorbitol</w:t>
      </w:r>
      <w:r w:rsidR="00064ECD" w:rsidRPr="006D7DC1">
        <w:rPr>
          <w:lang w:val="en"/>
        </w:rPr>
        <w:t>,</w:t>
      </w:r>
      <w:r w:rsidR="00BD7E78">
        <w:rPr>
          <w:lang w:val="en"/>
        </w:rPr>
        <w:t xml:space="preserve"> in water for i</w:t>
      </w:r>
      <w:r w:rsidRPr="006D7DC1">
        <w:rPr>
          <w:lang w:val="en"/>
        </w:rPr>
        <w:t>njection</w:t>
      </w:r>
      <w:r w:rsidR="007D1DB5">
        <w:rPr>
          <w:lang w:val="en"/>
        </w:rPr>
        <w:t>s</w:t>
      </w:r>
      <w:r w:rsidRPr="006D7DC1">
        <w:rPr>
          <w:lang w:val="en"/>
        </w:rPr>
        <w:t>.</w:t>
      </w:r>
    </w:p>
    <w:p w:rsidR="00631010" w:rsidRPr="002B6DC1" w:rsidRDefault="00631010" w:rsidP="002B6DC1">
      <w:pPr>
        <w:pStyle w:val="Heading0"/>
        <w:pageBreakBefore w:val="0"/>
      </w:pPr>
      <w:r w:rsidRPr="006D7DC1">
        <w:t>PHARMACOLOGY</w:t>
      </w:r>
    </w:p>
    <w:p w:rsidR="00533997" w:rsidRPr="00256F36" w:rsidRDefault="00533997" w:rsidP="00256F36">
      <w:pPr>
        <w:pStyle w:val="Heading7Bold"/>
        <w:rPr>
          <w:u w:val="single"/>
        </w:rPr>
      </w:pPr>
      <w:r w:rsidRPr="00256F36">
        <w:rPr>
          <w:u w:val="single"/>
        </w:rPr>
        <w:t>Pharmacodynamics</w:t>
      </w:r>
    </w:p>
    <w:p w:rsidR="008B719A" w:rsidRPr="00256F36" w:rsidRDefault="008B719A" w:rsidP="00256F36">
      <w:pPr>
        <w:pStyle w:val="Heading7Bold"/>
        <w:rPr>
          <w:u w:val="single"/>
        </w:rPr>
      </w:pPr>
      <w:r w:rsidRPr="00256F36">
        <w:rPr>
          <w:u w:val="single"/>
        </w:rPr>
        <w:t>Mechanism of Action</w:t>
      </w:r>
    </w:p>
    <w:p w:rsidR="00450A3C" w:rsidRPr="006D7DC1" w:rsidRDefault="001371A5" w:rsidP="00D74803">
      <w:pPr>
        <w:pStyle w:val="Text"/>
        <w:rPr>
          <w:lang w:val="en"/>
        </w:rPr>
      </w:pPr>
      <w:r>
        <w:rPr>
          <w:lang w:val="en"/>
        </w:rPr>
        <w:t>IMLYGIC</w:t>
      </w:r>
      <w:r w:rsidR="00450A3C" w:rsidRPr="006D7DC1">
        <w:rPr>
          <w:lang w:val="en"/>
        </w:rPr>
        <w:t xml:space="preserve"> is an oncolytic immunotherapy that is derived from HSV-1.</w:t>
      </w:r>
      <w:r w:rsidR="00064ECD" w:rsidRPr="006D7DC1">
        <w:rPr>
          <w:lang w:val="en"/>
        </w:rPr>
        <w:t xml:space="preserve"> </w:t>
      </w:r>
      <w:r w:rsidR="00450A3C" w:rsidRPr="006D7DC1">
        <w:rPr>
          <w:lang w:val="en"/>
        </w:rPr>
        <w:t xml:space="preserve"> </w:t>
      </w:r>
      <w:r>
        <w:rPr>
          <w:lang w:val="en"/>
        </w:rPr>
        <w:t>IMLYGIC</w:t>
      </w:r>
      <w:r w:rsidR="00450A3C" w:rsidRPr="006D7DC1">
        <w:rPr>
          <w:lang w:val="en"/>
        </w:rPr>
        <w:t xml:space="preserve"> has been modified to replicate within</w:t>
      </w:r>
      <w:r w:rsidR="00450A3C" w:rsidRPr="006D7DC1">
        <w:t xml:space="preserve"> </w:t>
      </w:r>
      <w:proofErr w:type="spellStart"/>
      <w:r w:rsidR="00450A3C" w:rsidRPr="006D7DC1">
        <w:t>tumo</w:t>
      </w:r>
      <w:r w:rsidR="00064ECD" w:rsidRPr="006D7DC1">
        <w:t>u</w:t>
      </w:r>
      <w:r w:rsidR="00450A3C" w:rsidRPr="006D7DC1">
        <w:t>rs</w:t>
      </w:r>
      <w:proofErr w:type="spellEnd"/>
      <w:r w:rsidR="00450A3C" w:rsidRPr="006D7DC1">
        <w:rPr>
          <w:lang w:val="en"/>
        </w:rPr>
        <w:t xml:space="preserve"> and to produce the immune stimulatory protein GM-CSF. </w:t>
      </w:r>
      <w:r w:rsidR="006A7DDA" w:rsidRPr="006D7DC1">
        <w:rPr>
          <w:lang w:val="en"/>
        </w:rPr>
        <w:t xml:space="preserve"> </w:t>
      </w:r>
      <w:r>
        <w:rPr>
          <w:lang w:val="en"/>
        </w:rPr>
        <w:t>IMLYGIC</w:t>
      </w:r>
      <w:r w:rsidR="00450A3C" w:rsidRPr="006D7DC1">
        <w:rPr>
          <w:lang w:val="en"/>
        </w:rPr>
        <w:t xml:space="preserve"> causes lytic</w:t>
      </w:r>
      <w:r w:rsidR="00450A3C" w:rsidRPr="006D7DC1">
        <w:t xml:space="preserve"> </w:t>
      </w:r>
      <w:proofErr w:type="spellStart"/>
      <w:r w:rsidR="00450A3C" w:rsidRPr="006D7DC1">
        <w:t>tumo</w:t>
      </w:r>
      <w:r w:rsidR="00064ECD" w:rsidRPr="006D7DC1">
        <w:t>u</w:t>
      </w:r>
      <w:r w:rsidR="00450A3C" w:rsidRPr="006D7DC1">
        <w:t>r</w:t>
      </w:r>
      <w:proofErr w:type="spellEnd"/>
      <w:r w:rsidR="00450A3C" w:rsidRPr="006D7DC1">
        <w:rPr>
          <w:lang w:val="en"/>
        </w:rPr>
        <w:t xml:space="preserve"> cell death and release of</w:t>
      </w:r>
      <w:r w:rsidR="00450A3C" w:rsidRPr="006D7DC1">
        <w:t xml:space="preserve"> </w:t>
      </w:r>
      <w:proofErr w:type="spellStart"/>
      <w:r w:rsidR="00450A3C" w:rsidRPr="006D7DC1">
        <w:t>tumo</w:t>
      </w:r>
      <w:r w:rsidR="00064ECD" w:rsidRPr="006D7DC1">
        <w:t>u</w:t>
      </w:r>
      <w:r w:rsidR="00450A3C" w:rsidRPr="006D7DC1">
        <w:t>r</w:t>
      </w:r>
      <w:proofErr w:type="spellEnd"/>
      <w:r w:rsidR="00450A3C" w:rsidRPr="006D7DC1">
        <w:rPr>
          <w:lang w:val="en"/>
        </w:rPr>
        <w:t>-derived antigens and GM-CSF, which together promote a systemic anti</w:t>
      </w:r>
      <w:r w:rsidR="00EA432D">
        <w:rPr>
          <w:lang w:val="en"/>
        </w:rPr>
        <w:t>-</w:t>
      </w:r>
      <w:proofErr w:type="spellStart"/>
      <w:r w:rsidR="00450A3C" w:rsidRPr="006D7DC1">
        <w:rPr>
          <w:lang w:val="en"/>
        </w:rPr>
        <w:t>tumo</w:t>
      </w:r>
      <w:r w:rsidR="00064ECD" w:rsidRPr="006D7DC1">
        <w:rPr>
          <w:lang w:val="en"/>
        </w:rPr>
        <w:t>u</w:t>
      </w:r>
      <w:r w:rsidR="00450A3C" w:rsidRPr="006D7DC1">
        <w:rPr>
          <w:lang w:val="en"/>
        </w:rPr>
        <w:t>r</w:t>
      </w:r>
      <w:proofErr w:type="spellEnd"/>
      <w:r w:rsidR="00450A3C" w:rsidRPr="006D7DC1">
        <w:rPr>
          <w:lang w:val="en"/>
        </w:rPr>
        <w:t xml:space="preserve"> immune response. </w:t>
      </w:r>
    </w:p>
    <w:p w:rsidR="00631010" w:rsidRPr="006D7DC1" w:rsidRDefault="00450A3C" w:rsidP="00D74803">
      <w:pPr>
        <w:pStyle w:val="Text"/>
        <w:rPr>
          <w:lang w:val="en"/>
        </w:rPr>
      </w:pPr>
      <w:r w:rsidRPr="006D7DC1">
        <w:rPr>
          <w:lang w:val="en"/>
        </w:rPr>
        <w:t xml:space="preserve">The modifications to </w:t>
      </w:r>
      <w:r w:rsidR="00064ECD" w:rsidRPr="006D7DC1">
        <w:rPr>
          <w:lang w:val="en"/>
        </w:rPr>
        <w:t xml:space="preserve">derive </w:t>
      </w:r>
      <w:r w:rsidR="001371A5">
        <w:rPr>
          <w:lang w:val="en"/>
        </w:rPr>
        <w:t>IMLYGIC</w:t>
      </w:r>
      <w:r w:rsidRPr="006D7DC1">
        <w:rPr>
          <w:lang w:val="en"/>
        </w:rPr>
        <w:t xml:space="preserve"> from HSV-1 include deletion of ICP34.5 and ICP47.</w:t>
      </w:r>
      <w:r w:rsidR="006A7DDA" w:rsidRPr="006D7DC1">
        <w:rPr>
          <w:lang w:val="en"/>
        </w:rPr>
        <w:t xml:space="preserve"> </w:t>
      </w:r>
      <w:r w:rsidRPr="006D7DC1">
        <w:rPr>
          <w:lang w:val="en"/>
        </w:rPr>
        <w:t xml:space="preserve"> </w:t>
      </w:r>
      <w:r w:rsidR="00CD34A4" w:rsidRPr="00310745">
        <w:rPr>
          <w:rFonts w:cs="Arial"/>
        </w:rPr>
        <w:t xml:space="preserve">Whereas anti-viral immune responses defend normal tissues following infection by </w:t>
      </w:r>
      <w:r w:rsidR="001371A5">
        <w:rPr>
          <w:rFonts w:cs="Arial"/>
        </w:rPr>
        <w:t>IMLYGIC</w:t>
      </w:r>
      <w:r w:rsidR="00CD34A4" w:rsidRPr="00310745">
        <w:rPr>
          <w:rFonts w:cs="Arial"/>
        </w:rPr>
        <w:t xml:space="preserve">, </w:t>
      </w:r>
      <w:proofErr w:type="spellStart"/>
      <w:r w:rsidR="00CD34A4" w:rsidRPr="00310745">
        <w:rPr>
          <w:rFonts w:cs="Arial"/>
        </w:rPr>
        <w:t>tumours</w:t>
      </w:r>
      <w:proofErr w:type="spellEnd"/>
      <w:r w:rsidR="00CD34A4" w:rsidRPr="00310745">
        <w:rPr>
          <w:rFonts w:cs="Arial"/>
        </w:rPr>
        <w:t xml:space="preserve"> have been shown to be susceptible to injury and cell death from ICP34.5-deficient HSV-1 viruses, including </w:t>
      </w:r>
      <w:r w:rsidR="001371A5">
        <w:rPr>
          <w:rFonts w:cs="Arial"/>
        </w:rPr>
        <w:t>IMLYGIC</w:t>
      </w:r>
      <w:r w:rsidRPr="00310745">
        <w:rPr>
          <w:lang w:val="en"/>
        </w:rPr>
        <w:t>.</w:t>
      </w:r>
      <w:r w:rsidR="006A7DDA" w:rsidRPr="00310745">
        <w:rPr>
          <w:lang w:val="en"/>
        </w:rPr>
        <w:t xml:space="preserve"> </w:t>
      </w:r>
      <w:r w:rsidRPr="00310745">
        <w:rPr>
          <w:lang w:val="en"/>
        </w:rPr>
        <w:t xml:space="preserve"> </w:t>
      </w:r>
      <w:r w:rsidRPr="006D7DC1">
        <w:rPr>
          <w:lang w:val="en"/>
        </w:rPr>
        <w:t xml:space="preserve">GM-CSF recruits and activates antigen presenting cells which can process and present </w:t>
      </w:r>
      <w:proofErr w:type="spellStart"/>
      <w:r w:rsidRPr="006D7DC1">
        <w:rPr>
          <w:lang w:val="en"/>
        </w:rPr>
        <w:t>tumo</w:t>
      </w:r>
      <w:r w:rsidR="00533997" w:rsidRPr="006D7DC1">
        <w:rPr>
          <w:lang w:val="en"/>
        </w:rPr>
        <w:t>u</w:t>
      </w:r>
      <w:r w:rsidRPr="006D7DC1">
        <w:rPr>
          <w:lang w:val="en"/>
        </w:rPr>
        <w:t>r</w:t>
      </w:r>
      <w:proofErr w:type="spellEnd"/>
      <w:r w:rsidRPr="006D7DC1">
        <w:rPr>
          <w:lang w:val="en"/>
        </w:rPr>
        <w:t>-derived antigens to promote an effector T-cell response</w:t>
      </w:r>
      <w:r w:rsidR="00631010" w:rsidRPr="006D7DC1">
        <w:rPr>
          <w:lang w:val="en"/>
        </w:rPr>
        <w:t>.</w:t>
      </w:r>
    </w:p>
    <w:p w:rsidR="00230913" w:rsidRPr="00D74803" w:rsidRDefault="00230913" w:rsidP="00256F36">
      <w:pPr>
        <w:pStyle w:val="Heading7Bold"/>
        <w:rPr>
          <w:u w:val="single"/>
        </w:rPr>
      </w:pPr>
      <w:r w:rsidRPr="00D74803">
        <w:rPr>
          <w:u w:val="single"/>
        </w:rPr>
        <w:lastRenderedPageBreak/>
        <w:t>Pharmacokinetics</w:t>
      </w:r>
    </w:p>
    <w:p w:rsidR="00373D10" w:rsidRPr="00D74803" w:rsidRDefault="001371A5" w:rsidP="00D74803">
      <w:pPr>
        <w:pStyle w:val="Text"/>
        <w:rPr>
          <w:lang w:val="en"/>
        </w:rPr>
      </w:pPr>
      <w:r>
        <w:rPr>
          <w:lang w:val="en"/>
        </w:rPr>
        <w:t>IMLYGIC</w:t>
      </w:r>
      <w:r w:rsidR="00631010" w:rsidRPr="006D7DC1">
        <w:rPr>
          <w:lang w:val="en"/>
        </w:rPr>
        <w:t xml:space="preserve"> is a genetically modified and replication-competent HSV-1 virus. </w:t>
      </w:r>
      <w:r w:rsidR="006A7DDA" w:rsidRPr="006D7DC1">
        <w:rPr>
          <w:lang w:val="en"/>
        </w:rPr>
        <w:t xml:space="preserve"> </w:t>
      </w:r>
      <w:r w:rsidR="00631010" w:rsidRPr="006D7DC1">
        <w:rPr>
          <w:lang w:val="en"/>
        </w:rPr>
        <w:t xml:space="preserve">Therefore, its pharmacokinetics and </w:t>
      </w:r>
      <w:proofErr w:type="spellStart"/>
      <w:r w:rsidR="00631010" w:rsidRPr="006D7DC1">
        <w:rPr>
          <w:lang w:val="en"/>
        </w:rPr>
        <w:t>biodistribution</w:t>
      </w:r>
      <w:proofErr w:type="spellEnd"/>
      <w:r w:rsidR="00631010" w:rsidRPr="006D7DC1">
        <w:rPr>
          <w:lang w:val="en"/>
        </w:rPr>
        <w:t xml:space="preserve"> are driven by the site of </w:t>
      </w:r>
      <w:proofErr w:type="spellStart"/>
      <w:r w:rsidR="00631010" w:rsidRPr="006D7DC1">
        <w:rPr>
          <w:lang w:val="en"/>
        </w:rPr>
        <w:t>intralesional</w:t>
      </w:r>
      <w:proofErr w:type="spellEnd"/>
      <w:r w:rsidR="00631010" w:rsidRPr="006D7DC1">
        <w:rPr>
          <w:lang w:val="en"/>
        </w:rPr>
        <w:t xml:space="preserve"> injection, </w:t>
      </w:r>
      <w:proofErr w:type="spellStart"/>
      <w:r w:rsidR="00631010" w:rsidRPr="006D7DC1">
        <w:rPr>
          <w:lang w:val="en"/>
        </w:rPr>
        <w:t>tumo</w:t>
      </w:r>
      <w:r w:rsidR="006A7DDA" w:rsidRPr="006D7DC1">
        <w:rPr>
          <w:lang w:val="en"/>
        </w:rPr>
        <w:t>u</w:t>
      </w:r>
      <w:r w:rsidR="00631010" w:rsidRPr="006D7DC1">
        <w:rPr>
          <w:lang w:val="en"/>
        </w:rPr>
        <w:t>r</w:t>
      </w:r>
      <w:proofErr w:type="spellEnd"/>
      <w:r w:rsidR="00631010" w:rsidRPr="006D7DC1">
        <w:rPr>
          <w:lang w:val="en"/>
        </w:rPr>
        <w:t xml:space="preserve">-selective replication, and release from </w:t>
      </w:r>
      <w:proofErr w:type="spellStart"/>
      <w:r w:rsidR="00631010" w:rsidRPr="006D7DC1">
        <w:rPr>
          <w:lang w:val="en"/>
        </w:rPr>
        <w:t>tumo</w:t>
      </w:r>
      <w:r w:rsidR="006A7DDA" w:rsidRPr="006D7DC1">
        <w:rPr>
          <w:lang w:val="en"/>
        </w:rPr>
        <w:t>u</w:t>
      </w:r>
      <w:r w:rsidR="00631010" w:rsidRPr="006D7DC1">
        <w:rPr>
          <w:lang w:val="en"/>
        </w:rPr>
        <w:t>r</w:t>
      </w:r>
      <w:proofErr w:type="spellEnd"/>
      <w:r w:rsidR="00631010" w:rsidRPr="006D7DC1">
        <w:rPr>
          <w:lang w:val="en"/>
        </w:rPr>
        <w:t xml:space="preserve"> tissue.</w:t>
      </w:r>
      <w:r w:rsidR="006A7DDA" w:rsidRPr="006D7DC1">
        <w:rPr>
          <w:lang w:val="en"/>
        </w:rPr>
        <w:t xml:space="preserve"> </w:t>
      </w:r>
      <w:r w:rsidR="00631010" w:rsidRPr="006D7DC1">
        <w:rPr>
          <w:lang w:val="en"/>
        </w:rPr>
        <w:t xml:space="preserve"> None of the genetic modifications in </w:t>
      </w:r>
      <w:r>
        <w:rPr>
          <w:lang w:val="en"/>
        </w:rPr>
        <w:t>IMLYGIC</w:t>
      </w:r>
      <w:r w:rsidR="00631010" w:rsidRPr="006D7DC1">
        <w:rPr>
          <w:lang w:val="en"/>
        </w:rPr>
        <w:t xml:space="preserve"> are expected to affect the absorption, metabolism, and elimination of </w:t>
      </w:r>
      <w:r>
        <w:rPr>
          <w:lang w:val="en"/>
        </w:rPr>
        <w:t>IMLYGIC</w:t>
      </w:r>
      <w:r w:rsidR="00631010" w:rsidRPr="006D7DC1">
        <w:rPr>
          <w:lang w:val="en"/>
        </w:rPr>
        <w:t xml:space="preserve"> compared to wild-type HSV-1.</w:t>
      </w:r>
      <w:r w:rsidR="006A7DDA" w:rsidRPr="006D7DC1">
        <w:rPr>
          <w:lang w:val="en"/>
        </w:rPr>
        <w:t xml:space="preserve"> </w:t>
      </w:r>
      <w:r w:rsidR="00631010" w:rsidRPr="006D7DC1">
        <w:rPr>
          <w:lang w:val="en"/>
        </w:rPr>
        <w:t xml:space="preserve"> The </w:t>
      </w:r>
      <w:proofErr w:type="spellStart"/>
      <w:r w:rsidR="00631010" w:rsidRPr="006D7DC1">
        <w:rPr>
          <w:lang w:val="en"/>
        </w:rPr>
        <w:t>biodistribution</w:t>
      </w:r>
      <w:proofErr w:type="spellEnd"/>
      <w:r w:rsidR="00631010" w:rsidRPr="006D7DC1">
        <w:rPr>
          <w:lang w:val="en"/>
        </w:rPr>
        <w:t xml:space="preserve"> of </w:t>
      </w:r>
      <w:r>
        <w:rPr>
          <w:lang w:val="en"/>
        </w:rPr>
        <w:t>IMLYGIC</w:t>
      </w:r>
      <w:r w:rsidR="00631010" w:rsidRPr="006D7DC1">
        <w:rPr>
          <w:lang w:val="en"/>
        </w:rPr>
        <w:t xml:space="preserve"> is consistent with </w:t>
      </w:r>
      <w:proofErr w:type="spellStart"/>
      <w:r w:rsidR="00631010" w:rsidRPr="006D7DC1">
        <w:rPr>
          <w:lang w:val="en"/>
        </w:rPr>
        <w:t>tumo</w:t>
      </w:r>
      <w:r w:rsidR="006A7DDA" w:rsidRPr="006D7DC1">
        <w:rPr>
          <w:lang w:val="en"/>
        </w:rPr>
        <w:t>u</w:t>
      </w:r>
      <w:r w:rsidR="00631010" w:rsidRPr="006D7DC1">
        <w:rPr>
          <w:lang w:val="en"/>
        </w:rPr>
        <w:t>r</w:t>
      </w:r>
      <w:proofErr w:type="spellEnd"/>
      <w:r w:rsidR="00631010" w:rsidRPr="006D7DC1">
        <w:rPr>
          <w:lang w:val="en"/>
        </w:rPr>
        <w:t>-selective replication.</w:t>
      </w:r>
    </w:p>
    <w:p w:rsidR="000E5826" w:rsidRPr="006D7DC1" w:rsidRDefault="000E5826" w:rsidP="00256F36">
      <w:pPr>
        <w:pStyle w:val="Heading7Bold"/>
      </w:pPr>
      <w:r w:rsidRPr="006D7DC1">
        <w:t>Absorption</w:t>
      </w:r>
    </w:p>
    <w:p w:rsidR="000E5826" w:rsidRPr="006D7DC1" w:rsidRDefault="000E5826" w:rsidP="00256F36">
      <w:pPr>
        <w:pStyle w:val="Text"/>
        <w:rPr>
          <w:lang w:val="en"/>
        </w:rPr>
      </w:pPr>
      <w:r w:rsidRPr="006D7DC1">
        <w:rPr>
          <w:lang w:val="en"/>
        </w:rPr>
        <w:t xml:space="preserve">Cellular uptake of </w:t>
      </w:r>
      <w:r w:rsidR="001371A5">
        <w:rPr>
          <w:lang w:val="en"/>
        </w:rPr>
        <w:t>IMLYGIC</w:t>
      </w:r>
      <w:r w:rsidRPr="006D7DC1">
        <w:rPr>
          <w:lang w:val="en"/>
        </w:rPr>
        <w:t xml:space="preserve"> occurs through HSV-1 receptors on </w:t>
      </w:r>
      <w:proofErr w:type="spellStart"/>
      <w:r w:rsidRPr="006D7DC1">
        <w:rPr>
          <w:lang w:val="en"/>
        </w:rPr>
        <w:t>tumo</w:t>
      </w:r>
      <w:r w:rsidR="006A7DDA" w:rsidRPr="006D7DC1">
        <w:rPr>
          <w:lang w:val="en"/>
        </w:rPr>
        <w:t>u</w:t>
      </w:r>
      <w:r w:rsidRPr="006D7DC1">
        <w:rPr>
          <w:lang w:val="en"/>
        </w:rPr>
        <w:t>rs</w:t>
      </w:r>
      <w:proofErr w:type="spellEnd"/>
      <w:r w:rsidRPr="006D7DC1">
        <w:rPr>
          <w:lang w:val="en"/>
        </w:rPr>
        <w:t xml:space="preserve"> and non-</w:t>
      </w:r>
      <w:proofErr w:type="spellStart"/>
      <w:r w:rsidRPr="006D7DC1">
        <w:rPr>
          <w:lang w:val="en"/>
        </w:rPr>
        <w:t>tumo</w:t>
      </w:r>
      <w:r w:rsidR="006A7DDA" w:rsidRPr="006D7DC1">
        <w:rPr>
          <w:lang w:val="en"/>
        </w:rPr>
        <w:t>u</w:t>
      </w:r>
      <w:r w:rsidRPr="006D7DC1">
        <w:rPr>
          <w:lang w:val="en"/>
        </w:rPr>
        <w:t>r</w:t>
      </w:r>
      <w:proofErr w:type="spellEnd"/>
      <w:r w:rsidRPr="006D7DC1">
        <w:rPr>
          <w:lang w:val="en"/>
        </w:rPr>
        <w:t xml:space="preserve"> cells following </w:t>
      </w:r>
      <w:proofErr w:type="spellStart"/>
      <w:r w:rsidRPr="006D7DC1">
        <w:rPr>
          <w:lang w:val="en"/>
        </w:rPr>
        <w:t>intralesional</w:t>
      </w:r>
      <w:proofErr w:type="spellEnd"/>
      <w:r w:rsidRPr="006D7DC1">
        <w:rPr>
          <w:lang w:val="en"/>
        </w:rPr>
        <w:t xml:space="preserve"> injection.</w:t>
      </w:r>
      <w:r w:rsidR="006A7DDA" w:rsidRPr="006D7DC1">
        <w:rPr>
          <w:lang w:val="en"/>
        </w:rPr>
        <w:t xml:space="preserve"> </w:t>
      </w:r>
      <w:r w:rsidRPr="006D7DC1">
        <w:rPr>
          <w:lang w:val="en"/>
        </w:rPr>
        <w:t xml:space="preserve"> As </w:t>
      </w:r>
      <w:r w:rsidR="001371A5">
        <w:rPr>
          <w:lang w:val="en"/>
        </w:rPr>
        <w:t>IMLYGIC</w:t>
      </w:r>
      <w:r w:rsidRPr="006D7DC1">
        <w:rPr>
          <w:lang w:val="en"/>
        </w:rPr>
        <w:t xml:space="preserve"> is injected and replicates </w:t>
      </w:r>
      <w:proofErr w:type="spellStart"/>
      <w:r w:rsidRPr="006D7DC1">
        <w:rPr>
          <w:lang w:val="en"/>
        </w:rPr>
        <w:t>intratumo</w:t>
      </w:r>
      <w:r w:rsidR="006A7DDA" w:rsidRPr="006D7DC1">
        <w:rPr>
          <w:lang w:val="en"/>
        </w:rPr>
        <w:t>u</w:t>
      </w:r>
      <w:r w:rsidRPr="006D7DC1">
        <w:rPr>
          <w:lang w:val="en"/>
        </w:rPr>
        <w:t>rally</w:t>
      </w:r>
      <w:proofErr w:type="spellEnd"/>
      <w:r w:rsidRPr="006D7DC1">
        <w:rPr>
          <w:lang w:val="en"/>
        </w:rPr>
        <w:t xml:space="preserve">, neither bioavailability nor systemic concentration of </w:t>
      </w:r>
      <w:r w:rsidR="001371A5">
        <w:rPr>
          <w:lang w:val="en"/>
        </w:rPr>
        <w:t>IMLYGIC</w:t>
      </w:r>
      <w:r w:rsidRPr="006D7DC1">
        <w:rPr>
          <w:lang w:val="en"/>
        </w:rPr>
        <w:t xml:space="preserve"> is predictive of drug activity.</w:t>
      </w:r>
    </w:p>
    <w:p w:rsidR="000E5826" w:rsidRPr="006D7DC1" w:rsidRDefault="000E5826" w:rsidP="00256F36">
      <w:pPr>
        <w:pStyle w:val="Heading7Bold"/>
      </w:pPr>
      <w:r w:rsidRPr="006D7DC1">
        <w:t>Metabolism/</w:t>
      </w:r>
      <w:r w:rsidR="00077E46" w:rsidRPr="006D7DC1">
        <w:t>Excretion</w:t>
      </w:r>
    </w:p>
    <w:p w:rsidR="000E5826" w:rsidRPr="006D7DC1" w:rsidRDefault="001371A5" w:rsidP="00256F36">
      <w:pPr>
        <w:pStyle w:val="Text"/>
        <w:rPr>
          <w:lang w:val="en"/>
        </w:rPr>
      </w:pPr>
      <w:r>
        <w:rPr>
          <w:lang w:val="en"/>
        </w:rPr>
        <w:t>IMLYGIC</w:t>
      </w:r>
      <w:r w:rsidR="000E5826" w:rsidRPr="006D7DC1">
        <w:rPr>
          <w:lang w:val="en"/>
        </w:rPr>
        <w:t xml:space="preserve"> is cleared through general host-</w:t>
      </w:r>
      <w:proofErr w:type="spellStart"/>
      <w:r w:rsidR="000E5826" w:rsidRPr="006D7DC1">
        <w:rPr>
          <w:lang w:val="en"/>
        </w:rPr>
        <w:t>defen</w:t>
      </w:r>
      <w:r w:rsidR="00563265">
        <w:rPr>
          <w:lang w:val="en"/>
        </w:rPr>
        <w:t>c</w:t>
      </w:r>
      <w:r w:rsidR="000E5826" w:rsidRPr="006D7DC1">
        <w:rPr>
          <w:lang w:val="en"/>
        </w:rPr>
        <w:t>e</w:t>
      </w:r>
      <w:proofErr w:type="spellEnd"/>
      <w:r w:rsidR="000E5826" w:rsidRPr="006D7DC1">
        <w:rPr>
          <w:lang w:val="en"/>
        </w:rPr>
        <w:t xml:space="preserve"> mechanisms (e.g., autophagy, adaptive immune responses).</w:t>
      </w:r>
      <w:r w:rsidR="006A7DDA" w:rsidRPr="006D7DC1">
        <w:rPr>
          <w:lang w:val="en"/>
        </w:rPr>
        <w:t xml:space="preserve"> </w:t>
      </w:r>
      <w:r w:rsidR="000E5826" w:rsidRPr="006D7DC1">
        <w:rPr>
          <w:lang w:val="en"/>
        </w:rPr>
        <w:t xml:space="preserve"> </w:t>
      </w:r>
      <w:r>
        <w:rPr>
          <w:lang w:val="en"/>
        </w:rPr>
        <w:t>IMLYGIC</w:t>
      </w:r>
      <w:r w:rsidR="000E5826" w:rsidRPr="006D7DC1">
        <w:rPr>
          <w:lang w:val="en"/>
        </w:rPr>
        <w:t xml:space="preserve"> is degraded by typical endogenous protein and DNA catabolic pathways. </w:t>
      </w:r>
      <w:r w:rsidR="006A7DDA" w:rsidRPr="006D7DC1">
        <w:rPr>
          <w:lang w:val="en"/>
        </w:rPr>
        <w:t xml:space="preserve"> </w:t>
      </w:r>
      <w:r w:rsidR="000E5826" w:rsidRPr="006D7DC1">
        <w:rPr>
          <w:lang w:val="en"/>
        </w:rPr>
        <w:t>As with other wild</w:t>
      </w:r>
      <w:r w:rsidR="00C36785" w:rsidRPr="006D7DC1">
        <w:rPr>
          <w:lang w:val="en"/>
        </w:rPr>
        <w:t>-</w:t>
      </w:r>
      <w:r w:rsidR="000E5826" w:rsidRPr="006D7DC1">
        <w:rPr>
          <w:lang w:val="en"/>
        </w:rPr>
        <w:t xml:space="preserve">type HSV-1 infections, a latent pool of </w:t>
      </w:r>
      <w:r>
        <w:rPr>
          <w:lang w:val="en"/>
        </w:rPr>
        <w:t>IMLYGIC</w:t>
      </w:r>
      <w:r w:rsidR="000E5826" w:rsidRPr="006D7DC1">
        <w:rPr>
          <w:lang w:val="en"/>
        </w:rPr>
        <w:t xml:space="preserve"> DNA may persist in neuronal cell bodies innervating the injection sites. </w:t>
      </w:r>
      <w:r w:rsidR="006A7DDA" w:rsidRPr="006D7DC1">
        <w:rPr>
          <w:lang w:val="en"/>
        </w:rPr>
        <w:t xml:space="preserve"> </w:t>
      </w:r>
      <w:r w:rsidR="00563265">
        <w:rPr>
          <w:lang w:val="en"/>
        </w:rPr>
        <w:t>T</w:t>
      </w:r>
      <w:r w:rsidR="000E5826" w:rsidRPr="006D7DC1">
        <w:rPr>
          <w:lang w:val="en"/>
        </w:rPr>
        <w:t xml:space="preserve">he occurrence of latent infection with </w:t>
      </w:r>
      <w:r>
        <w:rPr>
          <w:lang w:val="en"/>
        </w:rPr>
        <w:t>IMLYGIC</w:t>
      </w:r>
      <w:r w:rsidR="000E5826" w:rsidRPr="006D7DC1">
        <w:rPr>
          <w:lang w:val="en"/>
        </w:rPr>
        <w:t xml:space="preserve"> has not been established</w:t>
      </w:r>
      <w:r w:rsidR="00563265">
        <w:rPr>
          <w:lang w:val="en"/>
        </w:rPr>
        <w:t xml:space="preserve"> in humans</w:t>
      </w:r>
      <w:r w:rsidR="000E5826" w:rsidRPr="006D7DC1">
        <w:rPr>
          <w:lang w:val="en"/>
        </w:rPr>
        <w:t>.</w:t>
      </w:r>
      <w:r w:rsidR="00563265">
        <w:rPr>
          <w:lang w:val="en"/>
        </w:rPr>
        <w:t xml:space="preserve">  </w:t>
      </w:r>
      <w:r w:rsidR="00563265" w:rsidRPr="00310745">
        <w:t xml:space="preserve">However, </w:t>
      </w:r>
      <w:r w:rsidR="00655921" w:rsidRPr="00310745">
        <w:t>in a mouse model</w:t>
      </w:r>
      <w:r w:rsidR="00310745">
        <w:t>,</w:t>
      </w:r>
      <w:r w:rsidR="00655921" w:rsidRPr="00310745">
        <w:t xml:space="preserve"> </w:t>
      </w:r>
      <w:r w:rsidR="00563265" w:rsidRPr="00310745">
        <w:t xml:space="preserve">latency </w:t>
      </w:r>
      <w:r w:rsidR="00655921" w:rsidRPr="00310745">
        <w:t xml:space="preserve">of </w:t>
      </w:r>
      <w:r>
        <w:t>IMLYGIC</w:t>
      </w:r>
      <w:r w:rsidR="00655921" w:rsidRPr="00310745">
        <w:t xml:space="preserve"> was observed and reactivation could be induced </w:t>
      </w:r>
      <w:r w:rsidR="00655921" w:rsidRPr="00310745">
        <w:rPr>
          <w:i/>
        </w:rPr>
        <w:t>ex vivo</w:t>
      </w:r>
      <w:r w:rsidR="00655921" w:rsidRPr="00310745">
        <w:t>.</w:t>
      </w:r>
      <w:r w:rsidR="00655921">
        <w:rPr>
          <w:u w:val="single"/>
        </w:rPr>
        <w:t xml:space="preserve"> </w:t>
      </w:r>
    </w:p>
    <w:p w:rsidR="006901A1" w:rsidRPr="006D7DC1" w:rsidRDefault="006901A1" w:rsidP="00256F36">
      <w:pPr>
        <w:pStyle w:val="Heading7Bold"/>
      </w:pPr>
      <w:proofErr w:type="spellStart"/>
      <w:r w:rsidRPr="006D7DC1">
        <w:t>Biodistribution</w:t>
      </w:r>
      <w:proofErr w:type="spellEnd"/>
      <w:r w:rsidRPr="006D7DC1">
        <w:t xml:space="preserve"> (within the body) and Viral Shedding (excretion/secretion)</w:t>
      </w:r>
    </w:p>
    <w:p w:rsidR="000E5826" w:rsidRPr="006D7DC1" w:rsidRDefault="001371A5" w:rsidP="00256F36">
      <w:pPr>
        <w:pStyle w:val="Text"/>
        <w:rPr>
          <w:lang w:val="en"/>
        </w:rPr>
      </w:pPr>
      <w:r>
        <w:rPr>
          <w:lang w:val="en"/>
        </w:rPr>
        <w:t>IMLYGIC</w:t>
      </w:r>
      <w:r w:rsidR="000E5826" w:rsidRPr="006D7DC1">
        <w:rPr>
          <w:lang w:val="en"/>
        </w:rPr>
        <w:t xml:space="preserve"> </w:t>
      </w:r>
      <w:r w:rsidR="00F24207">
        <w:rPr>
          <w:lang w:val="en"/>
        </w:rPr>
        <w:t>(</w:t>
      </w:r>
      <w:proofErr w:type="spellStart"/>
      <w:r w:rsidR="00F24207">
        <w:rPr>
          <w:lang w:val="en"/>
        </w:rPr>
        <w:t>t</w:t>
      </w:r>
      <w:r w:rsidR="00F52585">
        <w:rPr>
          <w:lang w:val="en"/>
        </w:rPr>
        <w:t>alimogene</w:t>
      </w:r>
      <w:proofErr w:type="spellEnd"/>
      <w:r w:rsidR="00F52585">
        <w:rPr>
          <w:lang w:val="en"/>
        </w:rPr>
        <w:t xml:space="preserve"> </w:t>
      </w:r>
      <w:proofErr w:type="spellStart"/>
      <w:r w:rsidR="00F52585">
        <w:rPr>
          <w:lang w:val="en"/>
        </w:rPr>
        <w:t>laherparepvec</w:t>
      </w:r>
      <w:proofErr w:type="spellEnd"/>
      <w:r w:rsidR="00F24207">
        <w:rPr>
          <w:lang w:val="en"/>
        </w:rPr>
        <w:t>)</w:t>
      </w:r>
      <w:r w:rsidR="00F52585" w:rsidRPr="006D7DC1">
        <w:rPr>
          <w:lang w:val="en"/>
        </w:rPr>
        <w:t xml:space="preserve"> </w:t>
      </w:r>
      <w:r w:rsidR="000E5826" w:rsidRPr="006D7DC1">
        <w:rPr>
          <w:lang w:val="en"/>
        </w:rPr>
        <w:t>DNA was quantified with a highly sensitive and specific quantitative polymerase chain reaction (qPCR) assay, which may not correlate with viral infectivity risk.</w:t>
      </w:r>
      <w:r w:rsidR="006A7DDA" w:rsidRPr="006D7DC1">
        <w:rPr>
          <w:lang w:val="en"/>
        </w:rPr>
        <w:t xml:space="preserve"> </w:t>
      </w:r>
      <w:r w:rsidR="000E5826" w:rsidRPr="006D7DC1">
        <w:rPr>
          <w:lang w:val="en"/>
        </w:rPr>
        <w:t xml:space="preserve"> </w:t>
      </w:r>
      <w:r>
        <w:rPr>
          <w:lang w:val="en"/>
        </w:rPr>
        <w:t>IMLYGIC</w:t>
      </w:r>
      <w:r w:rsidR="000E5826" w:rsidRPr="006D7DC1">
        <w:rPr>
          <w:lang w:val="en"/>
        </w:rPr>
        <w:t xml:space="preserve"> was also quantified in selected patient samples in clinical studies using viral infectivity assays at the injection sites and in some cases of potential herpetic lesions.</w:t>
      </w:r>
    </w:p>
    <w:p w:rsidR="000E5826" w:rsidRPr="00D74803" w:rsidRDefault="000E5826" w:rsidP="00256F36">
      <w:pPr>
        <w:pStyle w:val="Heading9Italic"/>
      </w:pPr>
      <w:r w:rsidRPr="00D74803">
        <w:t xml:space="preserve">Nonclinical </w:t>
      </w:r>
      <w:proofErr w:type="spellStart"/>
      <w:r w:rsidRPr="00D74803">
        <w:t>Biodistribution</w:t>
      </w:r>
      <w:proofErr w:type="spellEnd"/>
      <w:r w:rsidRPr="00D74803">
        <w:t>, Elimination, and Shedding</w:t>
      </w:r>
    </w:p>
    <w:p w:rsidR="000E5826" w:rsidRPr="006D7DC1" w:rsidRDefault="000E5826" w:rsidP="00256F36">
      <w:pPr>
        <w:pStyle w:val="Text"/>
        <w:rPr>
          <w:lang w:val="en"/>
        </w:rPr>
      </w:pPr>
      <w:r w:rsidRPr="006D7DC1">
        <w:rPr>
          <w:lang w:val="en"/>
        </w:rPr>
        <w:t xml:space="preserve">Following </w:t>
      </w:r>
      <w:proofErr w:type="spellStart"/>
      <w:r w:rsidRPr="006D7DC1">
        <w:rPr>
          <w:lang w:val="en"/>
        </w:rPr>
        <w:t>intralesional</w:t>
      </w:r>
      <w:proofErr w:type="spellEnd"/>
      <w:r w:rsidRPr="006D7DC1">
        <w:rPr>
          <w:lang w:val="en"/>
        </w:rPr>
        <w:t xml:space="preserve"> administration in mice, </w:t>
      </w:r>
      <w:r w:rsidR="001371A5">
        <w:rPr>
          <w:lang w:val="en"/>
        </w:rPr>
        <w:t>IMLYGIC</w:t>
      </w:r>
      <w:r w:rsidRPr="006D7DC1">
        <w:rPr>
          <w:lang w:val="en"/>
        </w:rPr>
        <w:t xml:space="preserve"> DNA was detected in ~40 % of </w:t>
      </w:r>
      <w:proofErr w:type="spellStart"/>
      <w:r w:rsidRPr="006D7DC1">
        <w:rPr>
          <w:lang w:val="en"/>
        </w:rPr>
        <w:t>tumo</w:t>
      </w:r>
      <w:r w:rsidR="008F7FD1" w:rsidRPr="006D7DC1">
        <w:rPr>
          <w:lang w:val="en"/>
        </w:rPr>
        <w:t>u</w:t>
      </w:r>
      <w:r w:rsidRPr="006D7DC1">
        <w:rPr>
          <w:lang w:val="en"/>
        </w:rPr>
        <w:t>r</w:t>
      </w:r>
      <w:proofErr w:type="spellEnd"/>
      <w:r w:rsidRPr="006D7DC1">
        <w:rPr>
          <w:lang w:val="en"/>
        </w:rPr>
        <w:t xml:space="preserve"> samples and in ≤ 20% of blood and organ tissue samples (e.g. spleen, lymph node, liver, heart, and kidneys)</w:t>
      </w:r>
      <w:r w:rsidR="00563265">
        <w:rPr>
          <w:lang w:val="en"/>
        </w:rPr>
        <w:t xml:space="preserve"> </w:t>
      </w:r>
      <w:r w:rsidR="00563265" w:rsidRPr="00310745">
        <w:t>in the 84 days following injection</w:t>
      </w:r>
      <w:r w:rsidRPr="00563265">
        <w:rPr>
          <w:lang w:val="en"/>
        </w:rPr>
        <w:t>.</w:t>
      </w:r>
      <w:r w:rsidRPr="006D7DC1">
        <w:rPr>
          <w:lang w:val="en"/>
        </w:rPr>
        <w:t xml:space="preserve"> </w:t>
      </w:r>
      <w:r w:rsidR="001371A5">
        <w:rPr>
          <w:lang w:val="en"/>
        </w:rPr>
        <w:t>IMLYGIC</w:t>
      </w:r>
      <w:r w:rsidRPr="006D7DC1">
        <w:rPr>
          <w:lang w:val="en"/>
        </w:rPr>
        <w:t xml:space="preserve"> DNA was detected in ≤2% of samples of brain, ovary, and salivary gland, and was not detected in bone marrow, eyes, shedding tissues (</w:t>
      </w:r>
      <w:r w:rsidRPr="00F52585">
        <w:rPr>
          <w:lang w:val="en"/>
        </w:rPr>
        <w:t>lacr</w:t>
      </w:r>
      <w:r w:rsidR="00F52585" w:rsidRPr="00FF6E41">
        <w:rPr>
          <w:lang w:val="en"/>
        </w:rPr>
        <w:t>i</w:t>
      </w:r>
      <w:r w:rsidRPr="00F52585">
        <w:rPr>
          <w:lang w:val="en"/>
        </w:rPr>
        <w:t>mal glands</w:t>
      </w:r>
      <w:r w:rsidRPr="006D7DC1">
        <w:rPr>
          <w:lang w:val="en"/>
        </w:rPr>
        <w:t xml:space="preserve">, nasal mucosa), or </w:t>
      </w:r>
      <w:proofErr w:type="spellStart"/>
      <w:r w:rsidRPr="006D7DC1">
        <w:rPr>
          <w:lang w:val="en"/>
        </w:rPr>
        <w:t>f</w:t>
      </w:r>
      <w:r w:rsidR="003F482C">
        <w:rPr>
          <w:lang w:val="en"/>
        </w:rPr>
        <w:t>a</w:t>
      </w:r>
      <w:r w:rsidRPr="006D7DC1">
        <w:rPr>
          <w:lang w:val="en"/>
        </w:rPr>
        <w:t>eces</w:t>
      </w:r>
      <w:proofErr w:type="spellEnd"/>
      <w:r w:rsidRPr="006D7DC1">
        <w:rPr>
          <w:lang w:val="en"/>
        </w:rPr>
        <w:t>.</w:t>
      </w:r>
      <w:r w:rsidR="00FF6E41">
        <w:rPr>
          <w:lang w:val="en"/>
        </w:rPr>
        <w:t xml:space="preserve"> </w:t>
      </w:r>
      <w:r w:rsidRPr="006D7DC1">
        <w:rPr>
          <w:lang w:val="en"/>
        </w:rPr>
        <w:t xml:space="preserve"> The </w:t>
      </w:r>
      <w:proofErr w:type="gramStart"/>
      <w:r w:rsidRPr="006D7DC1">
        <w:rPr>
          <w:lang w:val="en"/>
        </w:rPr>
        <w:lastRenderedPageBreak/>
        <w:t>concentration</w:t>
      </w:r>
      <w:r w:rsidR="00224B70">
        <w:rPr>
          <w:lang w:val="en"/>
        </w:rPr>
        <w:t>s</w:t>
      </w:r>
      <w:r w:rsidRPr="006D7DC1">
        <w:rPr>
          <w:lang w:val="en"/>
        </w:rPr>
        <w:t xml:space="preserve"> of </w:t>
      </w:r>
      <w:r w:rsidR="001371A5">
        <w:rPr>
          <w:lang w:val="en"/>
        </w:rPr>
        <w:t>IMLYGIC</w:t>
      </w:r>
      <w:r w:rsidRPr="006D7DC1">
        <w:rPr>
          <w:lang w:val="en"/>
        </w:rPr>
        <w:t xml:space="preserve"> DNA was</w:t>
      </w:r>
      <w:proofErr w:type="gramEnd"/>
      <w:r w:rsidRPr="006D7DC1">
        <w:rPr>
          <w:lang w:val="en"/>
        </w:rPr>
        <w:t xml:space="preserve"> </w:t>
      </w:r>
      <w:r w:rsidR="00224B70">
        <w:rPr>
          <w:lang w:val="en"/>
        </w:rPr>
        <w:t xml:space="preserve">generally highest in </w:t>
      </w:r>
      <w:proofErr w:type="spellStart"/>
      <w:r w:rsidR="00224B70">
        <w:rPr>
          <w:lang w:val="en"/>
        </w:rPr>
        <w:t>tumours</w:t>
      </w:r>
      <w:proofErr w:type="spellEnd"/>
      <w:r w:rsidR="00224B70">
        <w:rPr>
          <w:lang w:val="en"/>
        </w:rPr>
        <w:t xml:space="preserve"> and</w:t>
      </w:r>
      <w:r w:rsidRPr="006D7DC1">
        <w:rPr>
          <w:lang w:val="en"/>
        </w:rPr>
        <w:t xml:space="preserve"> other tissues had lower levels of </w:t>
      </w:r>
      <w:r w:rsidR="001371A5">
        <w:rPr>
          <w:lang w:val="en"/>
        </w:rPr>
        <w:t>IMLYGIC</w:t>
      </w:r>
      <w:r w:rsidR="00096AD3">
        <w:rPr>
          <w:lang w:val="en"/>
        </w:rPr>
        <w:t xml:space="preserve"> </w:t>
      </w:r>
      <w:r w:rsidRPr="006D7DC1">
        <w:rPr>
          <w:lang w:val="en"/>
        </w:rPr>
        <w:t xml:space="preserve">DNA. </w:t>
      </w:r>
      <w:r w:rsidR="00310745">
        <w:rPr>
          <w:lang w:val="en"/>
        </w:rPr>
        <w:t xml:space="preserve"> </w:t>
      </w:r>
      <w:r w:rsidR="001371A5">
        <w:rPr>
          <w:lang w:val="en"/>
        </w:rPr>
        <w:t>IMLYGIC</w:t>
      </w:r>
      <w:r w:rsidRPr="006D7DC1">
        <w:rPr>
          <w:lang w:val="en"/>
        </w:rPr>
        <w:t xml:space="preserve"> DNA could be found in injected </w:t>
      </w:r>
      <w:proofErr w:type="spellStart"/>
      <w:r w:rsidRPr="006D7DC1">
        <w:rPr>
          <w:lang w:val="en"/>
        </w:rPr>
        <w:t>tumo</w:t>
      </w:r>
      <w:r w:rsidR="008F7FD1" w:rsidRPr="006D7DC1">
        <w:rPr>
          <w:lang w:val="en"/>
        </w:rPr>
        <w:t>u</w:t>
      </w:r>
      <w:r w:rsidRPr="006D7DC1">
        <w:rPr>
          <w:lang w:val="en"/>
        </w:rPr>
        <w:t>rs</w:t>
      </w:r>
      <w:proofErr w:type="spellEnd"/>
      <w:r w:rsidRPr="006D7DC1">
        <w:rPr>
          <w:lang w:val="en"/>
        </w:rPr>
        <w:t xml:space="preserve"> through 84 days after the last dose, but was cleared from the majority (94%) of blood samples by 7 days after the last dose.</w:t>
      </w:r>
      <w:r w:rsidR="00310745">
        <w:rPr>
          <w:lang w:val="en"/>
        </w:rPr>
        <w:t xml:space="preserve"> </w:t>
      </w:r>
      <w:r w:rsidRPr="006D7DC1">
        <w:rPr>
          <w:lang w:val="en"/>
        </w:rPr>
        <w:t xml:space="preserve"> Following intravenous administration in mice, </w:t>
      </w:r>
      <w:r w:rsidR="001371A5">
        <w:rPr>
          <w:lang w:val="en"/>
        </w:rPr>
        <w:t>IMLYGIC</w:t>
      </w:r>
      <w:r w:rsidRPr="006D7DC1">
        <w:rPr>
          <w:lang w:val="en"/>
        </w:rPr>
        <w:t xml:space="preserve"> DNA was </w:t>
      </w:r>
      <w:r w:rsidR="004D4798">
        <w:rPr>
          <w:lang w:val="en"/>
        </w:rPr>
        <w:t>quantifiable</w:t>
      </w:r>
      <w:r w:rsidR="004D4798" w:rsidRPr="006D7DC1">
        <w:rPr>
          <w:lang w:val="en"/>
        </w:rPr>
        <w:t xml:space="preserve"> </w:t>
      </w:r>
      <w:r w:rsidRPr="006D7DC1">
        <w:rPr>
          <w:lang w:val="en"/>
        </w:rPr>
        <w:t>in ~</w:t>
      </w:r>
      <w:r w:rsidR="004D4798">
        <w:rPr>
          <w:lang w:val="en"/>
        </w:rPr>
        <w:t>17</w:t>
      </w:r>
      <w:r w:rsidRPr="006D7DC1">
        <w:rPr>
          <w:lang w:val="en"/>
        </w:rPr>
        <w:t xml:space="preserve">% of peripheral nerve </w:t>
      </w:r>
      <w:r w:rsidR="004D4798">
        <w:rPr>
          <w:lang w:val="en"/>
        </w:rPr>
        <w:t xml:space="preserve">(trigeminal ganglion) </w:t>
      </w:r>
      <w:r w:rsidRPr="006D7DC1">
        <w:rPr>
          <w:lang w:val="en"/>
        </w:rPr>
        <w:t>samples.</w:t>
      </w:r>
    </w:p>
    <w:p w:rsidR="000E5826" w:rsidRPr="00D74803" w:rsidRDefault="000E5826" w:rsidP="00256F36">
      <w:pPr>
        <w:pStyle w:val="Heading9Italic"/>
      </w:pPr>
      <w:r w:rsidRPr="00D74803">
        <w:t xml:space="preserve">Clinical </w:t>
      </w:r>
      <w:proofErr w:type="spellStart"/>
      <w:r w:rsidRPr="00D74803">
        <w:t>Biodistribution</w:t>
      </w:r>
      <w:proofErr w:type="spellEnd"/>
      <w:r w:rsidRPr="00D74803">
        <w:t>, Elimination, and Shedding</w:t>
      </w:r>
    </w:p>
    <w:p w:rsidR="00F56174" w:rsidRPr="006D7DC1" w:rsidRDefault="00E63A63" w:rsidP="004140C5">
      <w:pPr>
        <w:pStyle w:val="Text"/>
        <w:rPr>
          <w:lang w:val="en"/>
        </w:rPr>
      </w:pPr>
      <w:r w:rsidRPr="00E63A63">
        <w:rPr>
          <w:lang w:val="en"/>
        </w:rPr>
        <w:t xml:space="preserve">The </w:t>
      </w:r>
      <w:proofErr w:type="spellStart"/>
      <w:r w:rsidRPr="00E63A63">
        <w:rPr>
          <w:lang w:val="en"/>
        </w:rPr>
        <w:t>biodistribution</w:t>
      </w:r>
      <w:proofErr w:type="spellEnd"/>
      <w:r w:rsidRPr="00E63A63">
        <w:rPr>
          <w:lang w:val="en"/>
        </w:rPr>
        <w:t xml:space="preserve"> and shedding of </w:t>
      </w:r>
      <w:proofErr w:type="spellStart"/>
      <w:r w:rsidRPr="00E63A63">
        <w:rPr>
          <w:lang w:val="en"/>
        </w:rPr>
        <w:t>intralesionally</w:t>
      </w:r>
      <w:proofErr w:type="spellEnd"/>
      <w:r w:rsidRPr="00E63A63">
        <w:rPr>
          <w:lang w:val="en"/>
        </w:rPr>
        <w:t xml:space="preserve"> administered</w:t>
      </w:r>
      <w:r w:rsidR="00797A47">
        <w:rPr>
          <w:lang w:val="en"/>
        </w:rPr>
        <w:t xml:space="preserve"> </w:t>
      </w:r>
      <w:r w:rsidR="001371A5">
        <w:rPr>
          <w:lang w:val="en"/>
        </w:rPr>
        <w:t>IMLYGIC</w:t>
      </w:r>
      <w:r w:rsidRPr="00E63A63">
        <w:rPr>
          <w:lang w:val="en"/>
        </w:rPr>
        <w:t xml:space="preserve"> are being investigated</w:t>
      </w:r>
      <w:r>
        <w:rPr>
          <w:lang w:val="en"/>
        </w:rPr>
        <w:t xml:space="preserve"> </w:t>
      </w:r>
      <w:r w:rsidRPr="00E63A63">
        <w:rPr>
          <w:lang w:val="en"/>
        </w:rPr>
        <w:t>in a dedicated study.</w:t>
      </w:r>
      <w:r w:rsidR="00FF6E41">
        <w:rPr>
          <w:lang w:val="en"/>
        </w:rPr>
        <w:t xml:space="preserve"> </w:t>
      </w:r>
      <w:r w:rsidRPr="00E63A63">
        <w:rPr>
          <w:lang w:val="en"/>
        </w:rPr>
        <w:t xml:space="preserve"> In results from 30 patients included in the interim analysis, </w:t>
      </w:r>
      <w:r w:rsidR="00F24207">
        <w:rPr>
          <w:szCs w:val="22"/>
        </w:rPr>
        <w:t>IMLYGIC</w:t>
      </w:r>
      <w:r w:rsidR="00F56174" w:rsidRPr="00E63A63">
        <w:rPr>
          <w:lang w:val="en"/>
        </w:rPr>
        <w:t xml:space="preserve"> </w:t>
      </w:r>
      <w:r w:rsidRPr="00E63A63">
        <w:rPr>
          <w:lang w:val="en"/>
        </w:rPr>
        <w:t>DNA</w:t>
      </w:r>
      <w:r>
        <w:rPr>
          <w:lang w:val="en"/>
        </w:rPr>
        <w:t xml:space="preserve"> </w:t>
      </w:r>
      <w:r w:rsidRPr="00E63A63">
        <w:rPr>
          <w:lang w:val="en"/>
        </w:rPr>
        <w:t>was detected at transient and low concentrations in blood in 90% of individuals and in urine in 20% of individuals</w:t>
      </w:r>
      <w:r>
        <w:rPr>
          <w:lang w:val="en"/>
        </w:rPr>
        <w:t xml:space="preserve"> </w:t>
      </w:r>
      <w:r w:rsidRPr="00E63A63">
        <w:rPr>
          <w:lang w:val="en"/>
        </w:rPr>
        <w:t xml:space="preserve">in the study. </w:t>
      </w:r>
      <w:r w:rsidR="00FF6E41">
        <w:rPr>
          <w:lang w:val="en"/>
        </w:rPr>
        <w:t xml:space="preserve"> </w:t>
      </w:r>
      <w:r w:rsidRPr="00E63A63">
        <w:rPr>
          <w:lang w:val="en"/>
        </w:rPr>
        <w:t xml:space="preserve">The proportion of individuals with detectable </w:t>
      </w:r>
      <w:r w:rsidR="00F24207">
        <w:rPr>
          <w:szCs w:val="22"/>
        </w:rPr>
        <w:t>IMLYGIC</w:t>
      </w:r>
      <w:r w:rsidR="00F56174" w:rsidDel="00F56174">
        <w:rPr>
          <w:lang w:val="en"/>
        </w:rPr>
        <w:t xml:space="preserve"> </w:t>
      </w:r>
      <w:r w:rsidRPr="00E63A63">
        <w:rPr>
          <w:lang w:val="en"/>
        </w:rPr>
        <w:t>DNA in blood and urine was</w:t>
      </w:r>
      <w:r>
        <w:rPr>
          <w:lang w:val="en"/>
        </w:rPr>
        <w:t xml:space="preserve"> </w:t>
      </w:r>
      <w:r w:rsidRPr="00E63A63">
        <w:rPr>
          <w:lang w:val="en"/>
        </w:rPr>
        <w:t>highest during the second cycle</w:t>
      </w:r>
      <w:r w:rsidR="00BF5CED">
        <w:rPr>
          <w:lang w:val="en"/>
        </w:rPr>
        <w:t xml:space="preserve"> of treatment</w:t>
      </w:r>
      <w:r w:rsidRPr="00E63A63">
        <w:rPr>
          <w:lang w:val="en"/>
        </w:rPr>
        <w:t xml:space="preserve">. While approximately 90% of individuals had </w:t>
      </w:r>
      <w:r w:rsidR="00F24207">
        <w:rPr>
          <w:szCs w:val="22"/>
        </w:rPr>
        <w:t>IMLYGIC</w:t>
      </w:r>
      <w:r w:rsidR="00F56174" w:rsidDel="00F56174">
        <w:rPr>
          <w:lang w:val="en"/>
        </w:rPr>
        <w:t xml:space="preserve"> </w:t>
      </w:r>
      <w:r w:rsidRPr="00E63A63">
        <w:rPr>
          <w:lang w:val="en"/>
        </w:rPr>
        <w:t>DNA in</w:t>
      </w:r>
      <w:r>
        <w:rPr>
          <w:lang w:val="en"/>
        </w:rPr>
        <w:t xml:space="preserve"> </w:t>
      </w:r>
      <w:r w:rsidRPr="00E63A63">
        <w:rPr>
          <w:lang w:val="en"/>
        </w:rPr>
        <w:t xml:space="preserve">samples obtained from </w:t>
      </w:r>
      <w:r w:rsidR="002E32E2">
        <w:rPr>
          <w:lang w:val="en"/>
        </w:rPr>
        <w:t xml:space="preserve">the surface of </w:t>
      </w:r>
      <w:r w:rsidRPr="00E63A63">
        <w:rPr>
          <w:lang w:val="en"/>
        </w:rPr>
        <w:t>injected lesions, only 14% of individuals tested positive for infective virus by TCID</w:t>
      </w:r>
      <w:r w:rsidRPr="00E63A63">
        <w:rPr>
          <w:vertAlign w:val="subscript"/>
          <w:lang w:val="en"/>
        </w:rPr>
        <w:t>50</w:t>
      </w:r>
      <w:r>
        <w:rPr>
          <w:lang w:val="en"/>
        </w:rPr>
        <w:t xml:space="preserve"> </w:t>
      </w:r>
      <w:r w:rsidRPr="00E63A63">
        <w:rPr>
          <w:lang w:val="en"/>
        </w:rPr>
        <w:t>assay.</w:t>
      </w:r>
      <w:r w:rsidR="00FF6E41">
        <w:rPr>
          <w:lang w:val="en"/>
        </w:rPr>
        <w:t xml:space="preserve"> </w:t>
      </w:r>
      <w:r w:rsidRPr="00E63A63">
        <w:rPr>
          <w:lang w:val="en"/>
        </w:rPr>
        <w:t xml:space="preserve"> </w:t>
      </w:r>
      <w:r w:rsidR="00133324" w:rsidRPr="008C7D06">
        <w:rPr>
          <w:lang w:val="en"/>
        </w:rPr>
        <w:t xml:space="preserve">Seventeen percent of samples from the exterior of occlusive dressing tested positive for </w:t>
      </w:r>
      <w:r w:rsidR="00F24207">
        <w:rPr>
          <w:lang w:val="en"/>
        </w:rPr>
        <w:t>IMLYGIC</w:t>
      </w:r>
      <w:r w:rsidR="00133324" w:rsidRPr="008C7D06">
        <w:rPr>
          <w:lang w:val="en"/>
        </w:rPr>
        <w:t xml:space="preserve"> DNA but none tested positive for presence of infective virus</w:t>
      </w:r>
      <w:r w:rsidRPr="00E63A63">
        <w:rPr>
          <w:lang w:val="en"/>
        </w:rPr>
        <w:t>.</w:t>
      </w:r>
      <w:r w:rsidR="004140C5">
        <w:rPr>
          <w:lang w:val="en"/>
        </w:rPr>
        <w:t xml:space="preserve">  </w:t>
      </w:r>
      <w:r w:rsidR="00133324" w:rsidRPr="004140C5">
        <w:rPr>
          <w:lang w:val="en"/>
        </w:rPr>
        <w:t xml:space="preserve">Among </w:t>
      </w:r>
      <w:r w:rsidR="00133324">
        <w:rPr>
          <w:lang w:val="en"/>
        </w:rPr>
        <w:t xml:space="preserve">the 30 individuals tested for presence </w:t>
      </w:r>
      <w:r w:rsidR="00133324" w:rsidRPr="008C7D06">
        <w:rPr>
          <w:lang w:val="en"/>
        </w:rPr>
        <w:t xml:space="preserve">for </w:t>
      </w:r>
      <w:r w:rsidR="00F24207">
        <w:rPr>
          <w:lang w:val="en"/>
        </w:rPr>
        <w:t>IMLYGIC</w:t>
      </w:r>
      <w:r w:rsidR="00133324" w:rsidRPr="008C7D06">
        <w:rPr>
          <w:lang w:val="en"/>
        </w:rPr>
        <w:t xml:space="preserve"> DNA</w:t>
      </w:r>
      <w:r w:rsidR="00133324">
        <w:rPr>
          <w:lang w:val="en"/>
        </w:rPr>
        <w:t xml:space="preserve"> in </w:t>
      </w:r>
      <w:proofErr w:type="spellStart"/>
      <w:r w:rsidR="00133324">
        <w:rPr>
          <w:lang w:val="en"/>
        </w:rPr>
        <w:t>oro</w:t>
      </w:r>
      <w:proofErr w:type="spellEnd"/>
      <w:r w:rsidR="00133324">
        <w:rPr>
          <w:lang w:val="en"/>
        </w:rPr>
        <w:t>-labial region</w:t>
      </w:r>
      <w:r w:rsidR="00133324" w:rsidRPr="004140C5">
        <w:rPr>
          <w:lang w:val="en"/>
        </w:rPr>
        <w:t xml:space="preserve">, </w:t>
      </w:r>
      <w:r w:rsidR="00133324">
        <w:rPr>
          <w:lang w:val="en"/>
        </w:rPr>
        <w:t>one individual h</w:t>
      </w:r>
      <w:r w:rsidR="00133324" w:rsidRPr="004140C5">
        <w:rPr>
          <w:lang w:val="en"/>
        </w:rPr>
        <w:t>ad detectable</w:t>
      </w:r>
      <w:r w:rsidR="00133324">
        <w:rPr>
          <w:lang w:val="en"/>
        </w:rPr>
        <w:t xml:space="preserve"> </w:t>
      </w:r>
      <w:r w:rsidR="00F24207">
        <w:rPr>
          <w:lang w:val="en"/>
        </w:rPr>
        <w:t>IMLYGIC</w:t>
      </w:r>
      <w:r w:rsidR="00133324" w:rsidRPr="004140C5">
        <w:rPr>
          <w:lang w:val="en"/>
        </w:rPr>
        <w:t xml:space="preserve"> DNA, but the sample did not test positive for presence of</w:t>
      </w:r>
      <w:r w:rsidR="00133324">
        <w:rPr>
          <w:lang w:val="en"/>
        </w:rPr>
        <w:t xml:space="preserve"> </w:t>
      </w:r>
      <w:r w:rsidR="00133324" w:rsidRPr="004140C5">
        <w:rPr>
          <w:lang w:val="en"/>
        </w:rPr>
        <w:t>infective</w:t>
      </w:r>
      <w:r w:rsidR="001371A5">
        <w:rPr>
          <w:lang w:val="en"/>
        </w:rPr>
        <w:t xml:space="preserve"> viru</w:t>
      </w:r>
      <w:r w:rsidR="004140C5" w:rsidRPr="004140C5">
        <w:rPr>
          <w:lang w:val="en"/>
        </w:rPr>
        <w:t>s</w:t>
      </w:r>
      <w:r w:rsidR="004140C5">
        <w:rPr>
          <w:lang w:val="en"/>
        </w:rPr>
        <w:t>.</w:t>
      </w:r>
    </w:p>
    <w:p w:rsidR="000E5826" w:rsidRPr="002B6DC1" w:rsidRDefault="000E5826" w:rsidP="002B6DC1">
      <w:pPr>
        <w:pStyle w:val="Heading7Bold"/>
        <w:rPr>
          <w:u w:val="single"/>
        </w:rPr>
      </w:pPr>
      <w:r w:rsidRPr="002B6DC1">
        <w:rPr>
          <w:rStyle w:val="Heading2Char"/>
          <w:rFonts w:eastAsia="Calibri"/>
          <w:b/>
          <w:u w:val="single"/>
        </w:rPr>
        <w:t>Special Populations</w:t>
      </w:r>
    </w:p>
    <w:p w:rsidR="006A7DDA" w:rsidRPr="006D7DC1" w:rsidRDefault="006A7DDA" w:rsidP="002B6DC1">
      <w:pPr>
        <w:pStyle w:val="Heading7Bold"/>
      </w:pPr>
      <w:r w:rsidRPr="006D7DC1">
        <w:t>Elderly</w:t>
      </w:r>
    </w:p>
    <w:p w:rsidR="00004F86" w:rsidRPr="006D7DC1" w:rsidRDefault="00004F86" w:rsidP="00D74803">
      <w:pPr>
        <w:pStyle w:val="Text"/>
        <w:rPr>
          <w:lang w:val="en"/>
        </w:rPr>
      </w:pPr>
      <w:r w:rsidRPr="006D7DC1">
        <w:rPr>
          <w:lang w:val="en"/>
        </w:rPr>
        <w:t>The pharmacokinetic profile has not been assessed in the elderly.</w:t>
      </w:r>
    </w:p>
    <w:p w:rsidR="00004F86" w:rsidRPr="006D7DC1" w:rsidRDefault="00004F86" w:rsidP="002B6DC1">
      <w:pPr>
        <w:pStyle w:val="Heading7Bold"/>
      </w:pPr>
      <w:proofErr w:type="spellStart"/>
      <w:r w:rsidRPr="006D7DC1">
        <w:t>Paediatric</w:t>
      </w:r>
      <w:proofErr w:type="spellEnd"/>
    </w:p>
    <w:p w:rsidR="00004F86" w:rsidRPr="006D7DC1" w:rsidRDefault="00004F86" w:rsidP="00D74803">
      <w:pPr>
        <w:pStyle w:val="Text"/>
        <w:rPr>
          <w:lang w:val="en"/>
        </w:rPr>
      </w:pPr>
      <w:r w:rsidRPr="006D7DC1">
        <w:rPr>
          <w:lang w:val="en"/>
        </w:rPr>
        <w:t>The pharmacokinetic profile has not been assessed in those ≤ 18 years.</w:t>
      </w:r>
    </w:p>
    <w:p w:rsidR="00004F86" w:rsidRPr="006D7DC1" w:rsidRDefault="00004F86" w:rsidP="002B6DC1">
      <w:pPr>
        <w:pStyle w:val="Heading7Bold"/>
      </w:pPr>
      <w:r w:rsidRPr="006D7DC1">
        <w:t xml:space="preserve">Impaired </w:t>
      </w:r>
      <w:r w:rsidR="00A07A29" w:rsidRPr="006D7DC1">
        <w:t xml:space="preserve">renal </w:t>
      </w:r>
      <w:r w:rsidRPr="006D7DC1">
        <w:t>function</w:t>
      </w:r>
    </w:p>
    <w:p w:rsidR="00004F86" w:rsidRPr="006D7DC1" w:rsidRDefault="00A07A29" w:rsidP="00D74803">
      <w:pPr>
        <w:pStyle w:val="Text"/>
        <w:rPr>
          <w:lang w:val="en"/>
        </w:rPr>
      </w:pPr>
      <w:r w:rsidRPr="006D7DC1">
        <w:rPr>
          <w:lang w:val="en"/>
        </w:rPr>
        <w:t xml:space="preserve">No clinical studies have been conducted to evaluate the effect of renal impairment on the pharmacokinetics of </w:t>
      </w:r>
      <w:r w:rsidR="001371A5">
        <w:rPr>
          <w:lang w:val="en"/>
        </w:rPr>
        <w:t>IMLYGIC</w:t>
      </w:r>
      <w:r w:rsidR="00004F86" w:rsidRPr="006D7DC1">
        <w:rPr>
          <w:lang w:val="en"/>
        </w:rPr>
        <w:t>.</w:t>
      </w:r>
    </w:p>
    <w:p w:rsidR="00004F86" w:rsidRPr="006D7DC1" w:rsidRDefault="00004F86" w:rsidP="002B6DC1">
      <w:pPr>
        <w:pStyle w:val="Heading7Bold"/>
      </w:pPr>
      <w:r w:rsidRPr="006D7DC1">
        <w:t xml:space="preserve">Impaired </w:t>
      </w:r>
      <w:r w:rsidR="00A07A29" w:rsidRPr="006D7DC1">
        <w:t xml:space="preserve">hepatic </w:t>
      </w:r>
      <w:r w:rsidRPr="006D7DC1">
        <w:t>function</w:t>
      </w:r>
    </w:p>
    <w:p w:rsidR="00A07A29" w:rsidRPr="006D7DC1" w:rsidRDefault="00A07A29" w:rsidP="00D74803">
      <w:pPr>
        <w:pStyle w:val="Text"/>
        <w:rPr>
          <w:lang w:val="en"/>
        </w:rPr>
      </w:pPr>
      <w:r w:rsidRPr="006D7DC1">
        <w:rPr>
          <w:lang w:val="en"/>
        </w:rPr>
        <w:t xml:space="preserve">No clinical studies have been conducted to evaluate the effect of hepatic impairment on the pharmacokinetics of </w:t>
      </w:r>
      <w:r w:rsidR="001371A5">
        <w:rPr>
          <w:lang w:val="en"/>
        </w:rPr>
        <w:t>IMLYGIC</w:t>
      </w:r>
      <w:r w:rsidRPr="006D7DC1">
        <w:rPr>
          <w:lang w:val="en"/>
        </w:rPr>
        <w:t>.</w:t>
      </w:r>
    </w:p>
    <w:p w:rsidR="00AD7AD1" w:rsidRPr="002B6DC1" w:rsidRDefault="000E5826" w:rsidP="002B6DC1">
      <w:pPr>
        <w:pStyle w:val="Heading0"/>
        <w:pageBreakBefore w:val="0"/>
      </w:pPr>
      <w:r w:rsidRPr="006D7DC1">
        <w:lastRenderedPageBreak/>
        <w:t xml:space="preserve">CLINICAL TRIALS </w:t>
      </w:r>
    </w:p>
    <w:p w:rsidR="00AD7AD1" w:rsidRPr="002B6DC1" w:rsidRDefault="00AD7AD1" w:rsidP="002B6DC1">
      <w:pPr>
        <w:pStyle w:val="Heading7Bold"/>
        <w:rPr>
          <w:u w:val="single"/>
        </w:rPr>
      </w:pPr>
      <w:r w:rsidRPr="002B6DC1">
        <w:rPr>
          <w:u w:val="single"/>
        </w:rPr>
        <w:t>Metastatic Melanoma</w:t>
      </w:r>
    </w:p>
    <w:p w:rsidR="00EA6654" w:rsidRPr="006D7DC1" w:rsidRDefault="00EA6654" w:rsidP="002B6DC1">
      <w:pPr>
        <w:pStyle w:val="Heading7Bold"/>
      </w:pPr>
      <w:r w:rsidRPr="006D7DC1">
        <w:t>Study 1</w:t>
      </w:r>
      <w:r w:rsidR="00A07A29" w:rsidRPr="006D7DC1">
        <w:t xml:space="preserve"> </w:t>
      </w:r>
    </w:p>
    <w:p w:rsidR="00EA6654" w:rsidRPr="006D7DC1" w:rsidRDefault="00EA6654" w:rsidP="00D74803">
      <w:pPr>
        <w:pStyle w:val="Text"/>
      </w:pPr>
      <w:r w:rsidRPr="006D7DC1">
        <w:t xml:space="preserve">The safety and efficacy of </w:t>
      </w:r>
      <w:r w:rsidR="001371A5">
        <w:t>IMLYGIC</w:t>
      </w:r>
      <w:r w:rsidRPr="006D7DC1">
        <w:t xml:space="preserve"> compared with subcutaneously administered GM-CSF was evaluated in a phase 3, </w:t>
      </w:r>
      <w:proofErr w:type="spellStart"/>
      <w:r w:rsidRPr="006D7DC1">
        <w:t>multicent</w:t>
      </w:r>
      <w:r w:rsidR="00004F86" w:rsidRPr="006D7DC1">
        <w:t>re</w:t>
      </w:r>
      <w:proofErr w:type="spellEnd"/>
      <w:r w:rsidRPr="006D7DC1">
        <w:t xml:space="preserve">, </w:t>
      </w:r>
      <w:proofErr w:type="gramStart"/>
      <w:r w:rsidRPr="006D7DC1">
        <w:t>open</w:t>
      </w:r>
      <w:proofErr w:type="gramEnd"/>
      <w:r w:rsidRPr="006D7DC1">
        <w:t xml:space="preserve">-label and </w:t>
      </w:r>
      <w:proofErr w:type="spellStart"/>
      <w:r w:rsidRPr="006D7DC1">
        <w:t>randomi</w:t>
      </w:r>
      <w:r w:rsidR="00004F86" w:rsidRPr="006D7DC1">
        <w:t>s</w:t>
      </w:r>
      <w:r w:rsidRPr="006D7DC1">
        <w:t>ed</w:t>
      </w:r>
      <w:proofErr w:type="spellEnd"/>
      <w:r w:rsidRPr="006D7DC1">
        <w:t xml:space="preserve"> clinical study</w:t>
      </w:r>
      <w:r w:rsidR="00E87A89" w:rsidRPr="006D7DC1">
        <w:t xml:space="preserve"> </w:t>
      </w:r>
      <w:r w:rsidRPr="006D7DC1">
        <w:t xml:space="preserve">of patients with </w:t>
      </w:r>
      <w:r w:rsidR="0075068B">
        <w:t>S</w:t>
      </w:r>
      <w:r w:rsidRPr="006D7DC1">
        <w:t xml:space="preserve">tage IIIB, IIIC, and IV melanoma that was not considered to be surgically </w:t>
      </w:r>
      <w:proofErr w:type="spellStart"/>
      <w:r w:rsidRPr="006D7DC1">
        <w:t>resectable</w:t>
      </w:r>
      <w:proofErr w:type="spellEnd"/>
      <w:r w:rsidRPr="006D7DC1">
        <w:t xml:space="preserve">.  </w:t>
      </w:r>
      <w:r w:rsidR="0075068B" w:rsidRPr="0075068B">
        <w:rPr>
          <w:rFonts w:cs="Arial"/>
          <w:color w:val="000000"/>
          <w:szCs w:val="22"/>
        </w:rPr>
        <w:t>Patients could have no more than 3 visceral metastases (not including lung metastases or nodal metastases associated with visceral organs), no visceral metastasis could be larger than 3 cm in diameter, and liver lesions had to be stable for at least 1 month.</w:t>
      </w:r>
      <w:r w:rsidR="007B13AB">
        <w:rPr>
          <w:rFonts w:cs="Arial"/>
          <w:color w:val="000000"/>
          <w:szCs w:val="22"/>
        </w:rPr>
        <w:t xml:space="preserve"> </w:t>
      </w:r>
      <w:r w:rsidR="0075068B" w:rsidRPr="0075068B">
        <w:rPr>
          <w:rFonts w:cs="Arial"/>
          <w:color w:val="000000"/>
          <w:szCs w:val="22"/>
        </w:rPr>
        <w:t xml:space="preserve"> Lactate Dehydrogenase (LDH) could not be more than 1.5 x the upper limit of normal (ULN).</w:t>
      </w:r>
      <w:r w:rsidR="007B13AB">
        <w:rPr>
          <w:rFonts w:cs="Arial"/>
          <w:color w:val="000000"/>
          <w:szCs w:val="22"/>
        </w:rPr>
        <w:t xml:space="preserve">  In the IMLYGIC arm</w:t>
      </w:r>
      <w:r w:rsidR="00B729EE">
        <w:rPr>
          <w:rFonts w:cs="Arial"/>
          <w:color w:val="000000"/>
          <w:szCs w:val="22"/>
        </w:rPr>
        <w:t>,</w:t>
      </w:r>
      <w:r w:rsidR="007B13AB">
        <w:rPr>
          <w:rFonts w:cs="Arial"/>
          <w:color w:val="000000"/>
          <w:szCs w:val="22"/>
        </w:rPr>
        <w:t xml:space="preserve"> </w:t>
      </w:r>
      <w:r w:rsidR="00A70F5E">
        <w:rPr>
          <w:rFonts w:cs="Arial"/>
          <w:color w:val="000000"/>
          <w:szCs w:val="22"/>
        </w:rPr>
        <w:t>5</w:t>
      </w:r>
      <w:r w:rsidR="007B13AB">
        <w:rPr>
          <w:rFonts w:cs="Arial"/>
          <w:color w:val="000000"/>
          <w:szCs w:val="22"/>
        </w:rPr>
        <w:t xml:space="preserve"> % of patients had LDH levels </w:t>
      </w:r>
      <w:r w:rsidR="00A70F5E">
        <w:rPr>
          <w:rFonts w:cs="Arial"/>
          <w:color w:val="000000"/>
          <w:szCs w:val="22"/>
        </w:rPr>
        <w:t xml:space="preserve">&gt; </w:t>
      </w:r>
      <w:r w:rsidR="007B13AB">
        <w:rPr>
          <w:rFonts w:cs="Arial"/>
          <w:color w:val="000000"/>
          <w:szCs w:val="22"/>
        </w:rPr>
        <w:t xml:space="preserve">ULN. </w:t>
      </w:r>
      <w:r w:rsidR="0075068B" w:rsidRPr="0075068B">
        <w:rPr>
          <w:rFonts w:cs="Arial"/>
          <w:color w:val="000000"/>
          <w:szCs w:val="22"/>
        </w:rPr>
        <w:t xml:space="preserve"> Patients with bone metastases or clinical</w:t>
      </w:r>
      <w:r w:rsidR="006C09B6">
        <w:rPr>
          <w:rFonts w:cs="Arial"/>
          <w:color w:val="000000"/>
          <w:szCs w:val="22"/>
        </w:rPr>
        <w:t xml:space="preserve">ly active cerebral metastases, </w:t>
      </w:r>
      <w:r w:rsidR="0075068B" w:rsidRPr="0075068B">
        <w:rPr>
          <w:rFonts w:cs="Arial"/>
          <w:color w:val="000000"/>
          <w:szCs w:val="22"/>
        </w:rPr>
        <w:t>evidence of immunosuppression, patients receiving treatment with a systemic anti-herpetic agent and patients with primary ocular or mucosal melanoma were also excluded</w:t>
      </w:r>
      <w:r w:rsidRPr="006D7DC1">
        <w:t>.</w:t>
      </w:r>
    </w:p>
    <w:p w:rsidR="00EA6654" w:rsidRDefault="00684817" w:rsidP="00D74803">
      <w:pPr>
        <w:pStyle w:val="Text"/>
      </w:pPr>
      <w:r w:rsidRPr="00684817">
        <w:rPr>
          <w:rFonts w:cs="Arial"/>
          <w:color w:val="000000"/>
          <w:szCs w:val="22"/>
        </w:rPr>
        <w:t xml:space="preserve">A total of 436 </w:t>
      </w:r>
      <w:r>
        <w:rPr>
          <w:rFonts w:cs="Arial"/>
          <w:color w:val="000000"/>
          <w:szCs w:val="22"/>
        </w:rPr>
        <w:t>p</w:t>
      </w:r>
      <w:r w:rsidR="00EA6654" w:rsidRPr="006D7DC1">
        <w:t xml:space="preserve">atients were </w:t>
      </w:r>
      <w:proofErr w:type="spellStart"/>
      <w:r w:rsidR="00EA6654" w:rsidRPr="006D7DC1">
        <w:t>randomi</w:t>
      </w:r>
      <w:r w:rsidR="002A669E" w:rsidRPr="006D7DC1">
        <w:t>s</w:t>
      </w:r>
      <w:r w:rsidR="00EA6654" w:rsidRPr="006D7DC1">
        <w:t>ed</w:t>
      </w:r>
      <w:proofErr w:type="spellEnd"/>
      <w:r w:rsidR="00EA6654" w:rsidRPr="006D7DC1">
        <w:t xml:space="preserve"> in a 2:1 ratio to receive either </w:t>
      </w:r>
      <w:r w:rsidR="001371A5">
        <w:t>IMLYGIC</w:t>
      </w:r>
      <w:r w:rsidR="00EA6654" w:rsidRPr="006D7DC1">
        <w:t xml:space="preserve"> </w:t>
      </w:r>
      <w:r>
        <w:t xml:space="preserve">(n=295) </w:t>
      </w:r>
      <w:r w:rsidR="00EA6654" w:rsidRPr="006D7DC1">
        <w:t>or GM-CSF</w:t>
      </w:r>
      <w:r>
        <w:t xml:space="preserve"> (n=141</w:t>
      </w:r>
      <w:r w:rsidR="00EA6654" w:rsidRPr="006D7DC1">
        <w:t xml:space="preserve">).  </w:t>
      </w:r>
      <w:r w:rsidR="001371A5">
        <w:t>IMLYGIC</w:t>
      </w:r>
      <w:r w:rsidR="00EA6654" w:rsidRPr="006D7DC1">
        <w:t xml:space="preserve"> was administered by </w:t>
      </w:r>
      <w:proofErr w:type="spellStart"/>
      <w:r w:rsidR="00EA6654" w:rsidRPr="006D7DC1">
        <w:t>intralesional</w:t>
      </w:r>
      <w:proofErr w:type="spellEnd"/>
      <w:r w:rsidR="00EA6654" w:rsidRPr="006D7DC1">
        <w:t xml:space="preserve"> injection at an initial concentration of 10</w:t>
      </w:r>
      <w:r w:rsidR="00EA6654" w:rsidRPr="006D7DC1">
        <w:rPr>
          <w:vertAlign w:val="superscript"/>
        </w:rPr>
        <w:t xml:space="preserve">6 </w:t>
      </w:r>
      <w:r w:rsidR="00EA6654" w:rsidRPr="006D7DC1">
        <w:t>(1 million) PFU/mL on Day 1, followed by a concentration of 10</w:t>
      </w:r>
      <w:r w:rsidR="00EA6654" w:rsidRPr="006D7DC1">
        <w:rPr>
          <w:vertAlign w:val="superscript"/>
        </w:rPr>
        <w:t>8</w:t>
      </w:r>
      <w:r w:rsidR="00EA6654" w:rsidRPr="006D7DC1">
        <w:t xml:space="preserve"> (100 million) PFU/mL on Day 21 and every 2 weeks thereafter at a dose of up to 4 </w:t>
      </w:r>
      <w:proofErr w:type="spellStart"/>
      <w:r w:rsidR="00EA6654" w:rsidRPr="006D7DC1">
        <w:t>mL.</w:t>
      </w:r>
      <w:proofErr w:type="spellEnd"/>
      <w:r w:rsidR="00EA6654" w:rsidRPr="006D7DC1">
        <w:t xml:space="preserve">  GM-CSF was administered subcutaneously at 125 µg/m</w:t>
      </w:r>
      <w:r w:rsidR="00EA6654" w:rsidRPr="006D7DC1">
        <w:rPr>
          <w:vertAlign w:val="superscript"/>
        </w:rPr>
        <w:t>2</w:t>
      </w:r>
      <w:r w:rsidR="00EA6654" w:rsidRPr="006D7DC1">
        <w:t xml:space="preserve"> delivered daily for 14 days followed by a 14-day rest period in repeating intervals. </w:t>
      </w:r>
    </w:p>
    <w:p w:rsidR="00986FB6" w:rsidRPr="006D7DC1" w:rsidRDefault="00986FB6" w:rsidP="00D74803">
      <w:pPr>
        <w:pStyle w:val="Text"/>
      </w:pPr>
      <w:r w:rsidRPr="006D7DC1">
        <w:t>The mean age was 63 (range: 22 to 94) years.  Male patients comprised of 57% of study population and 70% of patients were baseline ECOG 0 performance status.  Of the enrolled patients,</w:t>
      </w:r>
      <w:r w:rsidR="006C09B6">
        <w:t xml:space="preserve"> </w:t>
      </w:r>
      <w:r w:rsidR="00036178">
        <w:t xml:space="preserve">30% </w:t>
      </w:r>
      <w:r w:rsidRPr="00EE35A4">
        <w:rPr>
          <w:rFonts w:cs="Arial"/>
          <w:color w:val="000000"/>
          <w:szCs w:val="22"/>
        </w:rPr>
        <w:t xml:space="preserve"> had Stage III</w:t>
      </w:r>
      <w:r w:rsidR="00133324">
        <w:rPr>
          <w:rFonts w:cs="Arial"/>
          <w:color w:val="000000"/>
          <w:szCs w:val="22"/>
        </w:rPr>
        <w:t>;</w:t>
      </w:r>
      <w:r w:rsidR="00036178">
        <w:rPr>
          <w:rFonts w:cs="Arial"/>
          <w:color w:val="000000"/>
          <w:szCs w:val="22"/>
        </w:rPr>
        <w:t xml:space="preserve"> 27% had</w:t>
      </w:r>
      <w:r w:rsidRPr="00EE35A4">
        <w:rPr>
          <w:rFonts w:cs="Arial"/>
          <w:color w:val="000000"/>
          <w:szCs w:val="22"/>
        </w:rPr>
        <w:t xml:space="preserve"> </w:t>
      </w:r>
      <w:r w:rsidR="00556EAC">
        <w:rPr>
          <w:rFonts w:cs="Arial"/>
          <w:color w:val="000000"/>
          <w:szCs w:val="22"/>
        </w:rPr>
        <w:t xml:space="preserve">Stage </w:t>
      </w:r>
      <w:r w:rsidRPr="00EE35A4">
        <w:rPr>
          <w:rFonts w:cs="Arial"/>
          <w:color w:val="000000"/>
          <w:szCs w:val="22"/>
        </w:rPr>
        <w:t>IVM1a</w:t>
      </w:r>
      <w:r w:rsidR="00036178">
        <w:t xml:space="preserve">; 21% had </w:t>
      </w:r>
      <w:r w:rsidR="00556EAC">
        <w:t xml:space="preserve">Stage </w:t>
      </w:r>
      <w:r w:rsidR="00036178">
        <w:t xml:space="preserve">IVM1b and 22% had </w:t>
      </w:r>
      <w:r w:rsidR="00556EAC">
        <w:t xml:space="preserve">Stage </w:t>
      </w:r>
      <w:r w:rsidR="00036178">
        <w:t>IVM1c disease</w:t>
      </w:r>
      <w:r>
        <w:t>;</w:t>
      </w:r>
      <w:r w:rsidRPr="006D7DC1">
        <w:t xml:space="preserve"> 53% of patients had received prior therapy for melanoma (other than or in addition to surgery, adjuvant therapy, or radiation), and 58% were seropositive f</w:t>
      </w:r>
      <w:r>
        <w:t>or wild-type HSV-1 at baseline.</w:t>
      </w:r>
    </w:p>
    <w:p w:rsidR="00EA6654" w:rsidRPr="006D7DC1" w:rsidRDefault="00EA6654" w:rsidP="00D74803">
      <w:pPr>
        <w:pStyle w:val="Text"/>
      </w:pPr>
      <w:r w:rsidRPr="006D7DC1">
        <w:t>To allow for delayed immune-mediated anti-</w:t>
      </w:r>
      <w:proofErr w:type="spellStart"/>
      <w:r w:rsidR="003C210A" w:rsidRPr="006D7DC1">
        <w:t>tumo</w:t>
      </w:r>
      <w:r w:rsidR="002A669E" w:rsidRPr="006D7DC1">
        <w:t>u</w:t>
      </w:r>
      <w:r w:rsidR="003C210A" w:rsidRPr="006D7DC1">
        <w:t>r</w:t>
      </w:r>
      <w:proofErr w:type="spellEnd"/>
      <w:r w:rsidRPr="006D7DC1">
        <w:t xml:space="preserve"> effects to occur, patients were treated for a minimum of</w:t>
      </w:r>
      <w:r w:rsidR="002A669E" w:rsidRPr="006D7DC1">
        <w:t xml:space="preserve"> </w:t>
      </w:r>
      <w:r w:rsidRPr="006D7DC1">
        <w:t xml:space="preserve">6 months or until no injectable lesions were remaining.  During this period, treatment was to </w:t>
      </w:r>
      <w:r w:rsidR="00A07A29" w:rsidRPr="006D7DC1">
        <w:t>continue</w:t>
      </w:r>
      <w:r w:rsidRPr="006D7DC1">
        <w:t xml:space="preserve"> despite an increase in size </w:t>
      </w:r>
      <w:r w:rsidR="000E2521" w:rsidRPr="006D7DC1">
        <w:t xml:space="preserve">of </w:t>
      </w:r>
      <w:r w:rsidRPr="006D7DC1">
        <w:t>existing lesion(s) and/or development of new lesion(s) unless the patient’s clinical condition required initiation of a new therapy.  Patients experiencing a response at 12 months of treatment could continue treatment for up to an additional 6 months.</w:t>
      </w:r>
    </w:p>
    <w:p w:rsidR="00C616F5" w:rsidRPr="006D7DC1" w:rsidRDefault="00EA6654" w:rsidP="00D74803">
      <w:pPr>
        <w:pStyle w:val="Text"/>
      </w:pPr>
      <w:r w:rsidRPr="006D7DC1">
        <w:lastRenderedPageBreak/>
        <w:t>The primary endpoint was durable response rate (DRR) [defined as the percent of patients with complete response (CR) or partial response (PR) maintained continuously for a minimum of 6 months]</w:t>
      </w:r>
      <w:r w:rsidR="00A10405">
        <w:t xml:space="preserve"> per blinded central review</w:t>
      </w:r>
      <w:r w:rsidR="009D7717">
        <w:t xml:space="preserve"> </w:t>
      </w:r>
      <w:r w:rsidR="009D7717">
        <w:rPr>
          <w:rFonts w:cs="Arial"/>
          <w:color w:val="000000"/>
        </w:rPr>
        <w:t>using modified WHO criteria</w:t>
      </w:r>
      <w:r w:rsidRPr="006D7DC1">
        <w:t xml:space="preserve">.  The secondary endpoints included overall survival (OS), </w:t>
      </w:r>
      <w:r w:rsidR="00CC45A4">
        <w:t>overall</w:t>
      </w:r>
      <w:r w:rsidR="00CC45A4" w:rsidRPr="006D7DC1">
        <w:t xml:space="preserve"> </w:t>
      </w:r>
      <w:r w:rsidRPr="006D7DC1">
        <w:t>response rate (ORR) [PR+CR], time to response</w:t>
      </w:r>
      <w:r w:rsidR="00EE35A4">
        <w:t xml:space="preserve"> and</w:t>
      </w:r>
      <w:r w:rsidRPr="006D7DC1">
        <w:t xml:space="preserve"> duration of response</w:t>
      </w:r>
      <w:r w:rsidR="006C09B6">
        <w:t xml:space="preserve">.  </w:t>
      </w:r>
      <w:r w:rsidR="00C616F5" w:rsidRPr="006D7DC1">
        <w:t xml:space="preserve">Treatment with </w:t>
      </w:r>
      <w:r w:rsidR="001371A5">
        <w:t>IMLYGIC</w:t>
      </w:r>
      <w:r w:rsidR="00C616F5" w:rsidRPr="006D7DC1">
        <w:t xml:space="preserve"> statistically significantly increased DRR</w:t>
      </w:r>
      <w:r w:rsidR="00A10405">
        <w:t xml:space="preserve"> in the </w:t>
      </w:r>
      <w:r w:rsidR="00DE5BB8">
        <w:t>overall</w:t>
      </w:r>
      <w:r w:rsidR="00A10405">
        <w:t xml:space="preserve"> population (Table 1)</w:t>
      </w:r>
      <w:r w:rsidR="00C616F5" w:rsidRPr="006D7DC1">
        <w:t xml:space="preserve">.  </w:t>
      </w:r>
    </w:p>
    <w:p w:rsidR="00C616F5" w:rsidRPr="006D7DC1" w:rsidRDefault="00C616F5" w:rsidP="00D74803">
      <w:pPr>
        <w:pStyle w:val="Text"/>
      </w:pPr>
      <w:r w:rsidRPr="006D7DC1">
        <w:t xml:space="preserve">There were 78 responders in the </w:t>
      </w:r>
      <w:r w:rsidR="001371A5">
        <w:t>IMLYGIC</w:t>
      </w:r>
      <w:r w:rsidRPr="006D7DC1">
        <w:t xml:space="preserve"> arm and 8 in the GM-CSF arm.  Among the </w:t>
      </w:r>
      <w:r w:rsidR="001371A5">
        <w:t>IMLYGIC</w:t>
      </w:r>
      <w:r w:rsidRPr="006D7DC1">
        <w:t xml:space="preserve">-treated responders, 56 (72%) responses were still ongoing </w:t>
      </w:r>
      <w:r w:rsidR="00A10405">
        <w:t>at the time of primary analysis.</w:t>
      </w:r>
      <w:r w:rsidRPr="006D7DC1">
        <w:t xml:space="preserve">  There was a 65% probability that responses lasted at least 12 months.  Of the </w:t>
      </w:r>
      <w:r w:rsidR="001371A5">
        <w:t>IMLYGIC</w:t>
      </w:r>
      <w:r w:rsidR="00650BD1">
        <w:t xml:space="preserve"> </w:t>
      </w:r>
      <w:r w:rsidRPr="006D7DC1">
        <w:t>responders, 42 (54%) experienced a ≥ 50% increase in overall size of existing lesion(s) and/or developed new lesion(s) prior to ultimately achieving a response.</w:t>
      </w:r>
      <w:r w:rsidRPr="006D7DC1">
        <w:rPr>
          <w:vertAlign w:val="superscript"/>
        </w:rPr>
        <w:t xml:space="preserve"> </w:t>
      </w:r>
    </w:p>
    <w:p w:rsidR="00C616F5" w:rsidRPr="006D7DC1" w:rsidRDefault="00C616F5" w:rsidP="00D74803">
      <w:pPr>
        <w:pStyle w:val="Text"/>
      </w:pPr>
      <w:r w:rsidRPr="006D7DC1">
        <w:t xml:space="preserve">In an analysis to evaluate systemic activity of </w:t>
      </w:r>
      <w:r w:rsidR="001371A5">
        <w:t>IMLYGIC</w:t>
      </w:r>
      <w:r w:rsidRPr="006D7DC1">
        <w:t xml:space="preserve">, 27 of 79 patients (34.2%) had a ≥ 50% overall decrease in non-visceral lesions that were not injected with </w:t>
      </w:r>
      <w:r w:rsidR="001371A5">
        <w:t>IMLYGIC</w:t>
      </w:r>
      <w:r w:rsidRPr="006D7DC1">
        <w:t xml:space="preserve"> and 8 of 71 patients (11.3%) had a ≥ 50% overall decrease in visceral lesions that were not injected with </w:t>
      </w:r>
      <w:r w:rsidR="001371A5">
        <w:t>IMLYGIC</w:t>
      </w:r>
      <w:r w:rsidRPr="006D7DC1">
        <w:t>.</w:t>
      </w:r>
      <w:r w:rsidR="006C09B6">
        <w:t xml:space="preserve"> </w:t>
      </w:r>
      <w:r w:rsidRPr="006D7DC1">
        <w:t xml:space="preserve">After treatment with </w:t>
      </w:r>
      <w:r w:rsidR="001371A5">
        <w:t>IMLYGIC</w:t>
      </w:r>
      <w:r w:rsidRPr="006D7DC1">
        <w:t xml:space="preserve">, 13 </w:t>
      </w:r>
      <w:r w:rsidR="001371A5">
        <w:t>IMLYGIC</w:t>
      </w:r>
      <w:r w:rsidRPr="006D7DC1">
        <w:t>-treated patients underwent surgery with curative intent.  Of these, 9 had no evidence of disease after surgery and 4 had a pathologic CR.</w:t>
      </w:r>
    </w:p>
    <w:p w:rsidR="00EA6654" w:rsidRPr="006D7DC1" w:rsidRDefault="00200026" w:rsidP="00D74803">
      <w:pPr>
        <w:pStyle w:val="Text"/>
      </w:pPr>
      <w:r>
        <w:t xml:space="preserve">In the overall trial population, </w:t>
      </w:r>
      <w:r w:rsidR="00EA6654" w:rsidRPr="006D7DC1">
        <w:t xml:space="preserve">the median follow up time </w:t>
      </w:r>
      <w:r w:rsidR="00F46ED4">
        <w:t>was</w:t>
      </w:r>
      <w:r w:rsidR="00F46ED4" w:rsidRPr="006D7DC1">
        <w:t xml:space="preserve"> </w:t>
      </w:r>
      <w:r w:rsidR="00EA6654" w:rsidRPr="006D7DC1">
        <w:t>44.4 months</w:t>
      </w:r>
      <w:r w:rsidR="00F46ED4">
        <w:t xml:space="preserve"> and </w:t>
      </w:r>
      <w:r w:rsidR="00EA6654" w:rsidRPr="006D7DC1">
        <w:t xml:space="preserve">the median OS </w:t>
      </w:r>
      <w:r w:rsidR="00CC45A4">
        <w:t>(</w:t>
      </w:r>
      <w:r w:rsidR="00E63A63">
        <w:t xml:space="preserve">95% CI) </w:t>
      </w:r>
      <w:r w:rsidR="00EA6654" w:rsidRPr="006D7DC1">
        <w:t>was 23.3 (19.5</w:t>
      </w:r>
      <w:r w:rsidR="00E63A63">
        <w:t>,</w:t>
      </w:r>
      <w:r w:rsidR="00EA6654" w:rsidRPr="006D7DC1">
        <w:t xml:space="preserve"> 29.6) months and 18.9 (16.0</w:t>
      </w:r>
      <w:r w:rsidR="00E63A63">
        <w:t>,</w:t>
      </w:r>
      <w:r w:rsidR="00EA6654" w:rsidRPr="006D7DC1">
        <w:t xml:space="preserve"> 23.7) months for </w:t>
      </w:r>
      <w:r w:rsidR="001371A5">
        <w:t>IMLYGIC</w:t>
      </w:r>
      <w:r w:rsidR="00EA6654" w:rsidRPr="006D7DC1">
        <w:t xml:space="preserve"> and GM-CSF</w:t>
      </w:r>
      <w:r w:rsidR="00310745" w:rsidRPr="006D7DC1">
        <w:t>, respectively (HR=0.79; 95% CI: 0.62, 1.00; p =0.051)</w:t>
      </w:r>
      <w:r w:rsidR="00797A47">
        <w:t xml:space="preserve"> </w:t>
      </w:r>
      <w:r w:rsidR="00E87A89" w:rsidRPr="006D7DC1">
        <w:t>(</w:t>
      </w:r>
      <w:r w:rsidR="00AA5F09" w:rsidRPr="000E58B9">
        <w:rPr>
          <w:color w:val="0000FF"/>
        </w:rPr>
        <w:fldChar w:fldCharType="begin"/>
      </w:r>
      <w:r w:rsidR="00AA5F09" w:rsidRPr="000E58B9">
        <w:rPr>
          <w:color w:val="0000FF"/>
        </w:rPr>
        <w:instrText xml:space="preserve"> REF _Ref403992710 \h </w:instrText>
      </w:r>
      <w:r w:rsidR="000E58B9">
        <w:rPr>
          <w:color w:val="0000FF"/>
        </w:rPr>
        <w:instrText xml:space="preserve"> \* MERGEFORMAT </w:instrText>
      </w:r>
      <w:r w:rsidR="00AA5F09" w:rsidRPr="000E58B9">
        <w:rPr>
          <w:color w:val="0000FF"/>
        </w:rPr>
      </w:r>
      <w:r w:rsidR="00AA5F09" w:rsidRPr="000E58B9">
        <w:rPr>
          <w:color w:val="0000FF"/>
        </w:rPr>
        <w:fldChar w:fldCharType="separate"/>
      </w:r>
      <w:r w:rsidR="00AA5F09" w:rsidRPr="000E58B9">
        <w:rPr>
          <w:color w:val="0000FF"/>
        </w:rPr>
        <w:t>Figure 1</w:t>
      </w:r>
      <w:r w:rsidR="00AA5F09" w:rsidRPr="000E58B9">
        <w:rPr>
          <w:color w:val="0000FF"/>
        </w:rPr>
        <w:fldChar w:fldCharType="end"/>
      </w:r>
      <w:r w:rsidR="00F41B57" w:rsidRPr="006D7DC1">
        <w:t>)</w:t>
      </w:r>
      <w:r w:rsidR="00EA6654" w:rsidRPr="006D7DC1">
        <w:t xml:space="preserve">.  Among the </w:t>
      </w:r>
      <w:r w:rsidR="001371A5">
        <w:t>IMLYGIC</w:t>
      </w:r>
      <w:r w:rsidR="00EA6654" w:rsidRPr="006D7DC1">
        <w:t>-treated patients that achieved a durable response, there was a 96% probability of survival at 3 years.</w:t>
      </w:r>
    </w:p>
    <w:p w:rsidR="00EA6654" w:rsidRPr="006D7DC1" w:rsidRDefault="00047BBF" w:rsidP="00047BBF">
      <w:pPr>
        <w:pStyle w:val="Caption"/>
      </w:pPr>
      <w:bookmarkStart w:id="0" w:name="_Ref403992710"/>
      <w:proofErr w:type="gramStart"/>
      <w:r>
        <w:lastRenderedPageBreak/>
        <w:t>Figure </w:t>
      </w:r>
      <w:r>
        <w:fldChar w:fldCharType="begin"/>
      </w:r>
      <w:r>
        <w:instrText xml:space="preserve"> SEQ Figure \* ARABIC </w:instrText>
      </w:r>
      <w:r>
        <w:fldChar w:fldCharType="separate"/>
      </w:r>
      <w:r w:rsidR="002C5032">
        <w:rPr>
          <w:noProof/>
        </w:rPr>
        <w:t>1</w:t>
      </w:r>
      <w:r>
        <w:fldChar w:fldCharType="end"/>
      </w:r>
      <w:bookmarkEnd w:id="0"/>
      <w:r>
        <w:t>.</w:t>
      </w:r>
      <w:proofErr w:type="gramEnd"/>
      <w:r>
        <w:t xml:space="preserve">  </w:t>
      </w:r>
      <w:r w:rsidR="00EA6654" w:rsidRPr="006D7DC1">
        <w:t xml:space="preserve"> Kaplan-Meier Plot –</w:t>
      </w:r>
      <w:r w:rsidR="00FF6E41">
        <w:t xml:space="preserve"> </w:t>
      </w:r>
      <w:r w:rsidR="00EA6654" w:rsidRPr="006D7DC1">
        <w:t>OS (Intent to Treat Population)</w:t>
      </w:r>
    </w:p>
    <w:p w:rsidR="00447AEE" w:rsidRDefault="00B61184" w:rsidP="00447AEE">
      <w:pPr>
        <w:keepNext/>
      </w:pPr>
      <w:r>
        <w:rPr>
          <w:noProof/>
        </w:rPr>
        <w:pict>
          <v:shapetype id="_x0000_t202" coordsize="21600,21600" o:spt="202" path="m,l,21600r21600,l21600,xe">
            <v:stroke joinstyle="miter"/>
            <v:path gradientshapeok="t" o:connecttype="rect"/>
          </v:shapetype>
          <v:shape id="Text Box 2" o:spid="_x0000_s1029" type="#_x0000_t202" style="position:absolute;margin-left:-.4pt;margin-top:267.35pt;width:437.8pt;height:30.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5eIAIAACIEAAAOAAAAZHJzL2Uyb0RvYy54bWysU9tuGyEQfa/Uf0C812tv7NRZGUepU1eV&#10;0ouU9ANYlvWiAkMBe9f9+g6s41jpW1UeEMMMh5kzZ1a3g9HkIH1QYBmdTaaUSCugUXbH6I+n7bsl&#10;JSFy23ANVjJ6lIHert++WfWukiV0oBvpCYLYUPWO0S5GVxVFEJ00PEzASYvOFrzhEU2/KxrPe0Q3&#10;uiin0+uiB984D0KGgLf3o5OuM37bShG/tW2QkWhGMbeYd5/3Ou3FesWrneeuU+KUBv+HLAxXFj89&#10;Q93zyMneq7+gjBIeArRxIsAU0LZKyFwDVjObvqrmseNO5lqQnODONIX/Byu+Hr57ohpGryix3GCL&#10;nuQQyQcYSJnY6V2oMOjRYVgc8Bq7nCsN7gHEz0AsbDpud/LOe+g7yRvMbpZeFhdPR5yQQOr+CzT4&#10;Dd9HyEBD602iDskgiI5dOp47k1IReLmYXS+v5qglgb4S1yK3ruDV82vnQ/wkwZB0YNRj5zM6PzyE&#10;mLLh1XNI+iyAVs1WaZ0Nv6s32pMDR5Vs88oFvArTlvSM3izKRUa2kN5nARkVUcVaGUaX07RGXSU2&#10;Ptomh0Su9HjGTLQ90ZMYGbmJQz2c+oDxiboamiPy5WEULQ4ZHjrwvynpUbCMhl977iUl+rNFzm9m&#10;83lSeDbmi/clGv7SU196uBUIxWikZDxuYp6KRIeFO+xNqzJtL5mcUkYhZjZPQ5OUfmnnqJfRXv8B&#10;AAD//wMAUEsDBBQABgAIAAAAIQAmXZd83AAAAAcBAAAPAAAAZHJzL2Rvd25yZXYueG1sTI5BT4NA&#10;FITvJv6HzTPxYuwCLa1FlkZNNF5b+wMe8ApE9i1ht4X+e58nvUwymcnMl+9m26sLjb5zbCBeRKCI&#10;K1d33Bg4fr0/PoHyAbnG3jEZuJKHXXF7k2NWu4n3dDmERskI+wwNtCEMmda+asmiX7iBWLKTGy0G&#10;sWOj6xEnGbe9TqJorS12LA8tDvTWUvV9OFsDp8/pId1O5Uc4bvar9St2m9Jdjbm/m1+eQQWaw18Z&#10;fvEFHQphKt2Za6968cs4kaoBUYm3qzQGVRpYpgnoItf/+YsfAAAA//8DAFBLAQItABQABgAIAAAA&#10;IQC2gziS/gAAAOEBAAATAAAAAAAAAAAAAAAAAAAAAABbQ29udGVudF9UeXBlc10ueG1sUEsBAi0A&#10;FAAGAAgAAAAhADj9If/WAAAAlAEAAAsAAAAAAAAAAAAAAAAALwEAAF9yZWxzLy5yZWxzUEsBAi0A&#10;FAAGAAgAAAAhAPIHDl4gAgAAIgQAAA4AAAAAAAAAAAAAAAAALgIAAGRycy9lMm9Eb2MueG1sUEsB&#10;Ai0AFAAGAAgAAAAhACZdl3zcAAAABwEAAA8AAAAAAAAAAAAAAAAAegQAAGRycy9kb3ducmV2Lnht&#10;bFBLBQYAAAAABAAEAPMAAACDBQAAAAA=&#10;" stroked="f">
            <v:textbox style="mso-next-textbox:#Text Box 2">
              <w:txbxContent>
                <w:p w:rsidR="00C616F5" w:rsidRPr="00310745" w:rsidRDefault="00C616F5" w:rsidP="00047BBF">
                  <w:pPr>
                    <w:pStyle w:val="FootnoteText"/>
                    <w:rPr>
                      <w:sz w:val="16"/>
                      <w:szCs w:val="16"/>
                    </w:rPr>
                  </w:pPr>
                  <w:r w:rsidRPr="00310745">
                    <w:rPr>
                      <w:sz w:val="16"/>
                      <w:szCs w:val="16"/>
                    </w:rPr>
                    <w:t xml:space="preserve">Patients that have not been recorded as </w:t>
                  </w:r>
                  <w:r w:rsidR="005D2064" w:rsidRPr="00310745">
                    <w:rPr>
                      <w:sz w:val="16"/>
                      <w:szCs w:val="16"/>
                    </w:rPr>
                    <w:t xml:space="preserve">deceased </w:t>
                  </w:r>
                  <w:r w:rsidRPr="00310745">
                    <w:rPr>
                      <w:sz w:val="16"/>
                      <w:szCs w:val="16"/>
                    </w:rPr>
                    <w:t>are included as censored</w:t>
                  </w:r>
                  <w:r w:rsidR="003E1EFC" w:rsidRPr="00310745">
                    <w:rPr>
                      <w:sz w:val="16"/>
                      <w:szCs w:val="16"/>
                    </w:rPr>
                    <w:t>.</w:t>
                  </w:r>
                </w:p>
              </w:txbxContent>
            </v:textbox>
          </v:shape>
        </w:pict>
      </w:r>
      <w:r w:rsidR="00E7146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273.75pt">
            <v:imagedata r:id="rId9" o:title="GRH0124v1 Imlygic OS KM curve-AU_outline"/>
          </v:shape>
        </w:pict>
      </w:r>
    </w:p>
    <w:p w:rsidR="00EA6654" w:rsidRPr="006D7DC1" w:rsidRDefault="00EA6654" w:rsidP="00525210">
      <w:pPr>
        <w:rPr>
          <w:rFonts w:cs="Arial"/>
          <w:color w:val="000000"/>
          <w:sz w:val="20"/>
        </w:rPr>
      </w:pPr>
      <w:bookmarkStart w:id="1" w:name="IDX"/>
      <w:bookmarkEnd w:id="1"/>
    </w:p>
    <w:p w:rsidR="00B15158" w:rsidRPr="006D7DC1" w:rsidRDefault="00B15158" w:rsidP="00C616F5"/>
    <w:p w:rsidR="00EE2041" w:rsidRDefault="00EE2041" w:rsidP="00C616F5"/>
    <w:p w:rsidR="0010150C" w:rsidRDefault="00C616F5" w:rsidP="0010150C">
      <w:pPr>
        <w:rPr>
          <w:b/>
        </w:rPr>
      </w:pPr>
      <w:r w:rsidRPr="006D7DC1">
        <w:t xml:space="preserve">The results for key study endpoints </w:t>
      </w:r>
      <w:r w:rsidR="00F56174" w:rsidRPr="00E31204">
        <w:t xml:space="preserve">in </w:t>
      </w:r>
      <w:r w:rsidR="00FF6E41">
        <w:t xml:space="preserve">the </w:t>
      </w:r>
      <w:r w:rsidR="0038673D">
        <w:t>intent to treat population</w:t>
      </w:r>
      <w:r w:rsidR="00F56174">
        <w:t xml:space="preserve"> </w:t>
      </w:r>
      <w:r w:rsidRPr="006D7DC1">
        <w:t xml:space="preserve">are </w:t>
      </w:r>
      <w:proofErr w:type="spellStart"/>
      <w:r w:rsidRPr="006D7DC1">
        <w:t>summar</w:t>
      </w:r>
      <w:r w:rsidR="00AA5F09">
        <w:t>ised</w:t>
      </w:r>
      <w:proofErr w:type="spellEnd"/>
      <w:r w:rsidR="00AA5F09">
        <w:t xml:space="preserve"> in</w:t>
      </w:r>
      <w:r w:rsidR="00AA5F09" w:rsidRPr="000E58B9">
        <w:rPr>
          <w:color w:val="0000FF"/>
        </w:rPr>
        <w:t xml:space="preserve"> </w:t>
      </w:r>
      <w:r w:rsidR="00AA5F09" w:rsidRPr="000E58B9">
        <w:rPr>
          <w:color w:val="0000FF"/>
        </w:rPr>
        <w:fldChar w:fldCharType="begin"/>
      </w:r>
      <w:r w:rsidR="00AA5F09" w:rsidRPr="000E58B9">
        <w:rPr>
          <w:color w:val="0000FF"/>
        </w:rPr>
        <w:instrText xml:space="preserve"> REF _Ref426013774 \h  \* MERGEFORMAT </w:instrText>
      </w:r>
      <w:r w:rsidR="00AA5F09" w:rsidRPr="000E58B9">
        <w:rPr>
          <w:color w:val="0000FF"/>
        </w:rPr>
      </w:r>
      <w:r w:rsidR="00AA5F09" w:rsidRPr="000E58B9">
        <w:rPr>
          <w:color w:val="0000FF"/>
        </w:rPr>
        <w:fldChar w:fldCharType="separate"/>
      </w:r>
      <w:r w:rsidR="000E58B9" w:rsidRPr="000E58B9">
        <w:rPr>
          <w:color w:val="0000FF"/>
        </w:rPr>
        <w:t>Table 1</w:t>
      </w:r>
      <w:r w:rsidR="00AA5F09" w:rsidRPr="000E58B9">
        <w:rPr>
          <w:color w:val="0000FF"/>
        </w:rPr>
        <w:fldChar w:fldCharType="end"/>
      </w:r>
      <w:r w:rsidR="00AA5F09">
        <w:t>.</w:t>
      </w:r>
      <w:r w:rsidR="000E10F7">
        <w:t xml:space="preserve"> </w:t>
      </w:r>
      <w:r w:rsidR="0010150C">
        <w:t xml:space="preserve"> </w:t>
      </w:r>
      <w:bookmarkStart w:id="2" w:name="_Ref403992350"/>
      <w:bookmarkStart w:id="3" w:name="_Ref426013774"/>
    </w:p>
    <w:p w:rsidR="0010150C" w:rsidRDefault="0010150C" w:rsidP="0010150C">
      <w:pPr>
        <w:rPr>
          <w:b/>
        </w:rPr>
      </w:pPr>
    </w:p>
    <w:p w:rsidR="00C616F5" w:rsidRPr="00AA5F09" w:rsidRDefault="00047BBF" w:rsidP="0010150C">
      <w:pPr>
        <w:rPr>
          <w:b/>
        </w:rPr>
      </w:pPr>
      <w:proofErr w:type="gramStart"/>
      <w:r w:rsidRPr="00AA5F09">
        <w:rPr>
          <w:b/>
        </w:rPr>
        <w:t>Table </w:t>
      </w:r>
      <w:r w:rsidR="00AA5F09">
        <w:rPr>
          <w:b/>
        </w:rPr>
        <w:fldChar w:fldCharType="begin"/>
      </w:r>
      <w:r w:rsidR="00AA5F09">
        <w:rPr>
          <w:b/>
        </w:rPr>
        <w:instrText xml:space="preserve"> SEQ Table \* ARABIC </w:instrText>
      </w:r>
      <w:r w:rsidR="00AA5F09">
        <w:rPr>
          <w:b/>
        </w:rPr>
        <w:fldChar w:fldCharType="separate"/>
      </w:r>
      <w:r w:rsidR="00AA5F09">
        <w:rPr>
          <w:b/>
          <w:noProof/>
        </w:rPr>
        <w:t>1</w:t>
      </w:r>
      <w:r w:rsidR="00AA5F09">
        <w:rPr>
          <w:b/>
        </w:rPr>
        <w:fldChar w:fldCharType="end"/>
      </w:r>
      <w:bookmarkEnd w:id="2"/>
      <w:bookmarkEnd w:id="3"/>
      <w:r w:rsidRPr="00AA5F09">
        <w:rPr>
          <w:b/>
        </w:rPr>
        <w:t>.</w:t>
      </w:r>
      <w:proofErr w:type="gramEnd"/>
      <w:r w:rsidRPr="00AA5F09">
        <w:rPr>
          <w:b/>
        </w:rPr>
        <w:t xml:space="preserve">  </w:t>
      </w:r>
      <w:r w:rsidR="00C616F5" w:rsidRPr="00AA5F09">
        <w:rPr>
          <w:b/>
        </w:rPr>
        <w:t xml:space="preserve">Summary of Results </w:t>
      </w:r>
      <w:r w:rsidR="001A1DB7" w:rsidRPr="00AA5F09">
        <w:rPr>
          <w:b/>
        </w:rPr>
        <w:t>(Intent to Treat Po</w:t>
      </w:r>
      <w:r w:rsidR="005D2064" w:rsidRPr="00AA5F09">
        <w:rPr>
          <w:b/>
        </w:rPr>
        <w:t>pulation</w:t>
      </w:r>
      <w:r w:rsidR="001A1DB7" w:rsidRPr="00AA5F09">
        <w:rPr>
          <w:b/>
        </w:rPr>
        <w:t>)</w:t>
      </w:r>
    </w:p>
    <w:tbl>
      <w:tblPr>
        <w:tblW w:w="8892"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2693"/>
        <w:gridCol w:w="2513"/>
      </w:tblGrid>
      <w:tr w:rsidR="00852B27" w:rsidRPr="006D7DC1" w:rsidTr="001A1DB7">
        <w:trPr>
          <w:trHeight w:val="291"/>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852B27" w:rsidRPr="006D7DC1" w:rsidRDefault="00852B27" w:rsidP="00426DFB">
            <w:pPr>
              <w:spacing w:before="120" w:after="120"/>
            </w:pPr>
            <w:r w:rsidRPr="006D7DC1">
              <w:t xml:space="preserve">Study </w:t>
            </w:r>
            <w:r w:rsidRPr="006D7DC1">
              <w:br/>
              <w:t>Endpoint</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852B27" w:rsidRPr="006D7DC1" w:rsidRDefault="00852B27" w:rsidP="00426DFB">
            <w:pPr>
              <w:spacing w:before="120" w:after="120"/>
            </w:pPr>
            <w:r w:rsidRPr="006D7DC1">
              <w:t>Endpoint</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52B27" w:rsidRPr="006D7DC1" w:rsidRDefault="001371A5" w:rsidP="00047BBF">
            <w:pPr>
              <w:pStyle w:val="TableCenterAlign"/>
            </w:pPr>
            <w:r>
              <w:t>IMLYGIC</w:t>
            </w:r>
            <w:r w:rsidR="00852B27" w:rsidRPr="006D7DC1">
              <w:t xml:space="preserve">  </w:t>
            </w:r>
            <w:r w:rsidR="00852B27" w:rsidRPr="006D7DC1">
              <w:br/>
              <w:t>(N=295)</w:t>
            </w:r>
          </w:p>
        </w:tc>
        <w:tc>
          <w:tcPr>
            <w:tcW w:w="25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52B27" w:rsidRPr="006D7DC1" w:rsidRDefault="00852B27" w:rsidP="00047BBF">
            <w:pPr>
              <w:pStyle w:val="TableCenterAlign"/>
            </w:pPr>
            <w:r w:rsidRPr="006D7DC1">
              <w:t>GM-CSF</w:t>
            </w:r>
            <w:r w:rsidRPr="006D7DC1">
              <w:br/>
              <w:t>(N=141)</w:t>
            </w:r>
          </w:p>
        </w:tc>
      </w:tr>
      <w:tr w:rsidR="00852B27" w:rsidRPr="006D7DC1" w:rsidTr="001A1DB7">
        <w:trPr>
          <w:trHeight w:val="448"/>
          <w:jc w:val="center"/>
        </w:trPr>
        <w:tc>
          <w:tcPr>
            <w:tcW w:w="2410" w:type="dxa"/>
            <w:vMerge w:val="restart"/>
            <w:tcBorders>
              <w:top w:val="single" w:sz="4" w:space="0" w:color="auto"/>
              <w:left w:val="single" w:sz="4" w:space="0" w:color="auto"/>
              <w:right w:val="single" w:sz="4" w:space="0" w:color="auto"/>
            </w:tcBorders>
            <w:hideMark/>
          </w:tcPr>
          <w:p w:rsidR="00650BD1" w:rsidRPr="006D7DC1" w:rsidRDefault="00852B27" w:rsidP="00BF0506">
            <w:pPr>
              <w:pStyle w:val="TableLeftAlign"/>
              <w:rPr>
                <w:lang w:val="fr-FR"/>
              </w:rPr>
            </w:pPr>
            <w:r w:rsidRPr="006D7DC1">
              <w:rPr>
                <w:lang w:val="fr-FR"/>
              </w:rPr>
              <w:t xml:space="preserve">Durable </w:t>
            </w:r>
            <w:proofErr w:type="spellStart"/>
            <w:r w:rsidRPr="006D7DC1">
              <w:rPr>
                <w:lang w:val="fr-FR"/>
              </w:rPr>
              <w:t>Response</w:t>
            </w:r>
            <w:proofErr w:type="spellEnd"/>
            <w:r w:rsidRPr="006D7DC1">
              <w:rPr>
                <w:lang w:val="fr-FR"/>
              </w:rPr>
              <w:t xml:space="preserve"> Rate </w:t>
            </w:r>
            <w:r w:rsidR="00650BD1">
              <w:rPr>
                <w:lang w:val="fr-FR"/>
              </w:rPr>
              <w:t>(95% CI)</w:t>
            </w:r>
          </w:p>
        </w:tc>
        <w:tc>
          <w:tcPr>
            <w:tcW w:w="1276" w:type="dxa"/>
            <w:vMerge w:val="restart"/>
            <w:tcBorders>
              <w:top w:val="single" w:sz="4" w:space="0" w:color="auto"/>
              <w:left w:val="single" w:sz="4" w:space="0" w:color="auto"/>
              <w:right w:val="single" w:sz="4" w:space="0" w:color="auto"/>
            </w:tcBorders>
          </w:tcPr>
          <w:p w:rsidR="00852B27" w:rsidRPr="006D7DC1" w:rsidRDefault="00852B27" w:rsidP="00C42236">
            <w:pPr>
              <w:pStyle w:val="TableLeftAlign"/>
            </w:pPr>
            <w:r w:rsidRPr="006D7DC1">
              <w:t xml:space="preserve">Primary </w:t>
            </w:r>
          </w:p>
        </w:tc>
        <w:tc>
          <w:tcPr>
            <w:tcW w:w="2693" w:type="dxa"/>
            <w:tcBorders>
              <w:top w:val="single" w:sz="4" w:space="0" w:color="auto"/>
              <w:left w:val="single" w:sz="4" w:space="0" w:color="auto"/>
              <w:bottom w:val="single" w:sz="4" w:space="0" w:color="auto"/>
              <w:right w:val="single" w:sz="4" w:space="0" w:color="auto"/>
            </w:tcBorders>
            <w:hideMark/>
          </w:tcPr>
          <w:p w:rsidR="00852B27" w:rsidRPr="006D7DC1" w:rsidRDefault="00852B27" w:rsidP="00650BD1">
            <w:pPr>
              <w:pStyle w:val="TableCenterAlign"/>
            </w:pPr>
            <w:r w:rsidRPr="006D7DC1">
              <w:t xml:space="preserve">16.3% </w:t>
            </w:r>
            <w:r w:rsidRPr="006D7DC1">
              <w:br/>
              <w:t>(</w:t>
            </w:r>
            <w:r w:rsidR="00E63A63">
              <w:t>12.1</w:t>
            </w:r>
            <w:r w:rsidRPr="006D7DC1">
              <w:t xml:space="preserve">, </w:t>
            </w:r>
            <w:r w:rsidR="00E63A63">
              <w:t>20.5</w:t>
            </w:r>
            <w:r w:rsidRPr="006D7DC1">
              <w:t>)</w:t>
            </w:r>
          </w:p>
        </w:tc>
        <w:tc>
          <w:tcPr>
            <w:tcW w:w="2513" w:type="dxa"/>
            <w:tcBorders>
              <w:top w:val="single" w:sz="4" w:space="0" w:color="auto"/>
              <w:left w:val="single" w:sz="4" w:space="0" w:color="auto"/>
              <w:bottom w:val="single" w:sz="4" w:space="0" w:color="auto"/>
              <w:right w:val="single" w:sz="4" w:space="0" w:color="auto"/>
            </w:tcBorders>
          </w:tcPr>
          <w:p w:rsidR="00852B27" w:rsidRPr="006D7DC1" w:rsidRDefault="00852B27" w:rsidP="00650BD1">
            <w:pPr>
              <w:pStyle w:val="TableCenterAlign"/>
            </w:pPr>
            <w:r w:rsidRPr="006D7DC1">
              <w:t xml:space="preserve">2.1% </w:t>
            </w:r>
            <w:r w:rsidRPr="006D7DC1">
              <w:br/>
              <w:t>(</w:t>
            </w:r>
            <w:r w:rsidR="00E63A63">
              <w:t>0.0</w:t>
            </w:r>
            <w:r w:rsidRPr="006D7DC1">
              <w:t xml:space="preserve">, </w:t>
            </w:r>
            <w:r w:rsidR="00E63A63">
              <w:t>4</w:t>
            </w:r>
            <w:r w:rsidRPr="006D7DC1">
              <w:t>.5)</w:t>
            </w:r>
          </w:p>
        </w:tc>
      </w:tr>
      <w:tr w:rsidR="00852B27" w:rsidRPr="006D7DC1" w:rsidTr="001A1DB7">
        <w:trPr>
          <w:trHeight w:val="138"/>
          <w:jc w:val="center"/>
        </w:trPr>
        <w:tc>
          <w:tcPr>
            <w:tcW w:w="2410" w:type="dxa"/>
            <w:vMerge/>
            <w:tcBorders>
              <w:left w:val="single" w:sz="4" w:space="0" w:color="auto"/>
              <w:bottom w:val="single" w:sz="4" w:space="0" w:color="auto"/>
              <w:right w:val="single" w:sz="4" w:space="0" w:color="auto"/>
            </w:tcBorders>
            <w:hideMark/>
          </w:tcPr>
          <w:p w:rsidR="00852B27" w:rsidRPr="006D7DC1" w:rsidRDefault="00852B27" w:rsidP="00047BBF">
            <w:pPr>
              <w:pStyle w:val="TableLeftAlign"/>
              <w:rPr>
                <w:lang w:val="fr-FR"/>
              </w:rPr>
            </w:pPr>
          </w:p>
        </w:tc>
        <w:tc>
          <w:tcPr>
            <w:tcW w:w="1276" w:type="dxa"/>
            <w:vMerge/>
            <w:tcBorders>
              <w:left w:val="single" w:sz="4" w:space="0" w:color="auto"/>
              <w:bottom w:val="single" w:sz="4" w:space="0" w:color="auto"/>
              <w:right w:val="single" w:sz="4" w:space="0" w:color="auto"/>
            </w:tcBorders>
          </w:tcPr>
          <w:p w:rsidR="00852B27" w:rsidRPr="006D7DC1" w:rsidRDefault="00852B27" w:rsidP="00047BBF">
            <w:pPr>
              <w:pStyle w:val="TableLeftAlign"/>
            </w:pPr>
          </w:p>
        </w:tc>
        <w:tc>
          <w:tcPr>
            <w:tcW w:w="5206" w:type="dxa"/>
            <w:gridSpan w:val="2"/>
            <w:tcBorders>
              <w:top w:val="single" w:sz="4" w:space="0" w:color="auto"/>
              <w:left w:val="single" w:sz="4" w:space="0" w:color="auto"/>
              <w:bottom w:val="single" w:sz="4" w:space="0" w:color="auto"/>
              <w:right w:val="single" w:sz="4" w:space="0" w:color="auto"/>
            </w:tcBorders>
            <w:hideMark/>
          </w:tcPr>
          <w:p w:rsidR="00852B27" w:rsidRPr="006D7DC1" w:rsidRDefault="00852B27" w:rsidP="00047BBF">
            <w:pPr>
              <w:pStyle w:val="TableCenterAlign"/>
            </w:pPr>
            <w:r w:rsidRPr="006D7DC1">
              <w:t>Odds ratio 8.9; (95% CI: 2.7, 29.2);  p&lt;0.0001</w:t>
            </w:r>
          </w:p>
        </w:tc>
      </w:tr>
      <w:tr w:rsidR="00852B27" w:rsidRPr="006D7DC1" w:rsidTr="001A1DB7">
        <w:trPr>
          <w:trHeight w:val="271"/>
          <w:jc w:val="center"/>
        </w:trPr>
        <w:tc>
          <w:tcPr>
            <w:tcW w:w="2410" w:type="dxa"/>
            <w:tcBorders>
              <w:top w:val="single" w:sz="4" w:space="0" w:color="auto"/>
              <w:left w:val="single" w:sz="4" w:space="0" w:color="auto"/>
              <w:bottom w:val="single" w:sz="4" w:space="0" w:color="auto"/>
              <w:right w:val="single" w:sz="4" w:space="0" w:color="auto"/>
            </w:tcBorders>
            <w:hideMark/>
          </w:tcPr>
          <w:p w:rsidR="004C677B" w:rsidRDefault="00852B27" w:rsidP="00BF0506">
            <w:pPr>
              <w:pStyle w:val="TableLeftAlign"/>
              <w:spacing w:before="120"/>
              <w:rPr>
                <w:lang w:val="fr-FR"/>
              </w:rPr>
            </w:pPr>
            <w:proofErr w:type="spellStart"/>
            <w:r w:rsidRPr="006D7DC1">
              <w:rPr>
                <w:lang w:val="fr-FR"/>
              </w:rPr>
              <w:t>Overall</w:t>
            </w:r>
            <w:proofErr w:type="spellEnd"/>
            <w:r w:rsidRPr="006D7DC1">
              <w:rPr>
                <w:lang w:val="fr-FR"/>
              </w:rPr>
              <w:t xml:space="preserve"> </w:t>
            </w:r>
            <w:proofErr w:type="spellStart"/>
            <w:r w:rsidRPr="006D7DC1">
              <w:rPr>
                <w:lang w:val="fr-FR"/>
              </w:rPr>
              <w:t>Response</w:t>
            </w:r>
            <w:proofErr w:type="spellEnd"/>
            <w:r w:rsidRPr="006D7DC1">
              <w:rPr>
                <w:lang w:val="fr-FR"/>
              </w:rPr>
              <w:t xml:space="preserve"> Rate </w:t>
            </w:r>
            <w:r w:rsidR="00650BD1">
              <w:rPr>
                <w:lang w:val="fr-FR"/>
              </w:rPr>
              <w:t>(95% CI)</w:t>
            </w:r>
          </w:p>
          <w:p w:rsidR="00852B27" w:rsidRPr="006D7DC1" w:rsidRDefault="00852B27" w:rsidP="00047BBF">
            <w:pPr>
              <w:pStyle w:val="TableLeftAlign"/>
              <w:rPr>
                <w:lang w:val="fr-FR"/>
              </w:rPr>
            </w:pPr>
            <w:r w:rsidRPr="006D7DC1">
              <w:rPr>
                <w:lang w:val="fr-FR"/>
              </w:rPr>
              <w:t>(% CR, % PR)</w:t>
            </w:r>
          </w:p>
        </w:tc>
        <w:tc>
          <w:tcPr>
            <w:tcW w:w="1276" w:type="dxa"/>
            <w:tcBorders>
              <w:top w:val="single" w:sz="4" w:space="0" w:color="auto"/>
              <w:left w:val="single" w:sz="4" w:space="0" w:color="auto"/>
              <w:bottom w:val="single" w:sz="4" w:space="0" w:color="auto"/>
              <w:right w:val="single" w:sz="4" w:space="0" w:color="auto"/>
            </w:tcBorders>
          </w:tcPr>
          <w:p w:rsidR="00852B27" w:rsidRPr="006D7DC1" w:rsidRDefault="00852B27" w:rsidP="00C42236">
            <w:pPr>
              <w:pStyle w:val="TableLeftAlign"/>
            </w:pPr>
            <w:r w:rsidRPr="006D7DC1">
              <w:t xml:space="preserve">Secondary </w:t>
            </w:r>
          </w:p>
        </w:tc>
        <w:tc>
          <w:tcPr>
            <w:tcW w:w="2693" w:type="dxa"/>
            <w:tcBorders>
              <w:top w:val="single" w:sz="4" w:space="0" w:color="auto"/>
              <w:left w:val="single" w:sz="4" w:space="0" w:color="auto"/>
              <w:bottom w:val="single" w:sz="4" w:space="0" w:color="auto"/>
              <w:right w:val="single" w:sz="4" w:space="0" w:color="auto"/>
            </w:tcBorders>
            <w:hideMark/>
          </w:tcPr>
          <w:p w:rsidR="00852B27" w:rsidRPr="006D7DC1" w:rsidRDefault="00852B27" w:rsidP="00047BBF">
            <w:pPr>
              <w:pStyle w:val="TableCenterAlign"/>
            </w:pPr>
            <w:r w:rsidRPr="006D7DC1">
              <w:t xml:space="preserve">26.4% </w:t>
            </w:r>
          </w:p>
          <w:p w:rsidR="00852B27" w:rsidRPr="006D7DC1" w:rsidRDefault="00852B27" w:rsidP="00047BBF">
            <w:pPr>
              <w:pStyle w:val="TableCenterAlign"/>
            </w:pPr>
            <w:r w:rsidRPr="006D7DC1">
              <w:t>(21.4, 31.5)</w:t>
            </w:r>
          </w:p>
          <w:p w:rsidR="00852B27" w:rsidRPr="006D7DC1" w:rsidRDefault="00852B27" w:rsidP="00047BBF">
            <w:pPr>
              <w:pStyle w:val="TableCenterAlign"/>
            </w:pPr>
            <w:r w:rsidRPr="006D7DC1">
              <w:t>(10.8% CR, 15.6% PR)</w:t>
            </w:r>
          </w:p>
        </w:tc>
        <w:tc>
          <w:tcPr>
            <w:tcW w:w="2513" w:type="dxa"/>
            <w:tcBorders>
              <w:top w:val="single" w:sz="4" w:space="0" w:color="auto"/>
              <w:left w:val="single" w:sz="4" w:space="0" w:color="auto"/>
              <w:bottom w:val="single" w:sz="4" w:space="0" w:color="auto"/>
              <w:right w:val="single" w:sz="4" w:space="0" w:color="auto"/>
            </w:tcBorders>
            <w:hideMark/>
          </w:tcPr>
          <w:p w:rsidR="00852B27" w:rsidRPr="006D7DC1" w:rsidRDefault="00852B27" w:rsidP="00047BBF">
            <w:pPr>
              <w:pStyle w:val="TableCenterAlign"/>
            </w:pPr>
            <w:r w:rsidRPr="006D7DC1">
              <w:t xml:space="preserve">5.7% </w:t>
            </w:r>
          </w:p>
          <w:p w:rsidR="00852B27" w:rsidRPr="006D7DC1" w:rsidRDefault="00852B27" w:rsidP="00047BBF">
            <w:pPr>
              <w:pStyle w:val="TableCenterAlign"/>
            </w:pPr>
            <w:r w:rsidRPr="006D7DC1">
              <w:t>(1.9, 9.5)</w:t>
            </w:r>
          </w:p>
          <w:p w:rsidR="00852B27" w:rsidRPr="006D7DC1" w:rsidRDefault="00852B27" w:rsidP="00047BBF">
            <w:pPr>
              <w:pStyle w:val="TableCenterAlign"/>
            </w:pPr>
            <w:r w:rsidRPr="006D7DC1">
              <w:t>(0.7% CR, 5% PR)</w:t>
            </w:r>
          </w:p>
        </w:tc>
      </w:tr>
      <w:tr w:rsidR="00852B27" w:rsidRPr="006D7DC1" w:rsidTr="001A1DB7">
        <w:trPr>
          <w:trHeight w:val="243"/>
          <w:jc w:val="center"/>
        </w:trPr>
        <w:tc>
          <w:tcPr>
            <w:tcW w:w="2410" w:type="dxa"/>
            <w:vMerge w:val="restart"/>
            <w:tcBorders>
              <w:top w:val="single" w:sz="4" w:space="0" w:color="auto"/>
              <w:left w:val="single" w:sz="4" w:space="0" w:color="auto"/>
              <w:right w:val="single" w:sz="4" w:space="0" w:color="auto"/>
            </w:tcBorders>
            <w:hideMark/>
          </w:tcPr>
          <w:p w:rsidR="00852B27" w:rsidRDefault="00852B27" w:rsidP="00047BBF">
            <w:pPr>
              <w:pStyle w:val="TableLeftAlign"/>
            </w:pPr>
            <w:r w:rsidRPr="006D7DC1">
              <w:t>Overall Survival</w:t>
            </w:r>
          </w:p>
          <w:p w:rsidR="00650BD1" w:rsidRPr="006D7DC1" w:rsidRDefault="00BF0506" w:rsidP="00BF0506">
            <w:pPr>
              <w:pStyle w:val="TableLeftAlign"/>
            </w:pPr>
            <w:r>
              <w:rPr>
                <w:lang w:val="fr-FR"/>
              </w:rPr>
              <w:tab/>
            </w:r>
            <w:r w:rsidR="00650BD1">
              <w:rPr>
                <w:lang w:val="fr-FR"/>
              </w:rPr>
              <w:t>(95% CI)</w:t>
            </w:r>
          </w:p>
        </w:tc>
        <w:tc>
          <w:tcPr>
            <w:tcW w:w="1276" w:type="dxa"/>
            <w:vMerge w:val="restart"/>
            <w:tcBorders>
              <w:top w:val="single" w:sz="4" w:space="0" w:color="auto"/>
              <w:left w:val="single" w:sz="4" w:space="0" w:color="auto"/>
              <w:right w:val="single" w:sz="4" w:space="0" w:color="auto"/>
            </w:tcBorders>
          </w:tcPr>
          <w:p w:rsidR="00852B27" w:rsidRPr="006D7DC1" w:rsidRDefault="00852B27" w:rsidP="00C42236">
            <w:pPr>
              <w:pStyle w:val="TableLeftAlign"/>
            </w:pPr>
            <w:r w:rsidRPr="006D7DC1">
              <w:t xml:space="preserve">Secondary </w:t>
            </w:r>
          </w:p>
        </w:tc>
        <w:tc>
          <w:tcPr>
            <w:tcW w:w="2693" w:type="dxa"/>
            <w:tcBorders>
              <w:top w:val="single" w:sz="4" w:space="0" w:color="auto"/>
              <w:left w:val="single" w:sz="4" w:space="0" w:color="auto"/>
              <w:bottom w:val="single" w:sz="4" w:space="0" w:color="auto"/>
              <w:right w:val="single" w:sz="4" w:space="0" w:color="auto"/>
            </w:tcBorders>
            <w:hideMark/>
          </w:tcPr>
          <w:p w:rsidR="004C677B" w:rsidRDefault="00BF0506" w:rsidP="00047BBF">
            <w:pPr>
              <w:pStyle w:val="TableCenterAlign"/>
            </w:pPr>
            <w:r>
              <w:t xml:space="preserve">median </w:t>
            </w:r>
            <w:r w:rsidR="00852B27" w:rsidRPr="006D7DC1">
              <w:t xml:space="preserve">23.3 </w:t>
            </w:r>
          </w:p>
          <w:p w:rsidR="00852B27" w:rsidRPr="006D7DC1" w:rsidRDefault="00852B27" w:rsidP="003D0811">
            <w:pPr>
              <w:pStyle w:val="TableCenterAlign"/>
            </w:pPr>
            <w:r w:rsidRPr="006D7DC1">
              <w:t>(19.5, 29.6)</w:t>
            </w:r>
            <w:r w:rsidR="004C677B">
              <w:t xml:space="preserve"> </w:t>
            </w:r>
            <w:r w:rsidR="00BF0506">
              <w:t>months</w:t>
            </w:r>
          </w:p>
        </w:tc>
        <w:tc>
          <w:tcPr>
            <w:tcW w:w="2513" w:type="dxa"/>
            <w:tcBorders>
              <w:top w:val="single" w:sz="4" w:space="0" w:color="auto"/>
              <w:left w:val="single" w:sz="4" w:space="0" w:color="auto"/>
              <w:bottom w:val="single" w:sz="4" w:space="0" w:color="auto"/>
              <w:right w:val="single" w:sz="4" w:space="0" w:color="auto"/>
            </w:tcBorders>
          </w:tcPr>
          <w:p w:rsidR="004C677B" w:rsidRDefault="00BF0506" w:rsidP="00047BBF">
            <w:pPr>
              <w:pStyle w:val="TableCenterAlign"/>
            </w:pPr>
            <w:r>
              <w:t xml:space="preserve">median </w:t>
            </w:r>
            <w:r w:rsidR="00852B27" w:rsidRPr="006D7DC1">
              <w:t>18.9</w:t>
            </w:r>
          </w:p>
          <w:p w:rsidR="00852B27" w:rsidRPr="006D7DC1" w:rsidRDefault="00852B27" w:rsidP="003D0811">
            <w:pPr>
              <w:pStyle w:val="TableCenterAlign"/>
            </w:pPr>
            <w:r w:rsidRPr="006D7DC1">
              <w:t xml:space="preserve">(16.0, 23.7) </w:t>
            </w:r>
            <w:r w:rsidR="00BF0506">
              <w:t>months</w:t>
            </w:r>
          </w:p>
        </w:tc>
      </w:tr>
      <w:tr w:rsidR="00852B27" w:rsidRPr="006D7DC1" w:rsidTr="001A1DB7">
        <w:trPr>
          <w:trHeight w:val="124"/>
          <w:jc w:val="center"/>
        </w:trPr>
        <w:tc>
          <w:tcPr>
            <w:tcW w:w="2410" w:type="dxa"/>
            <w:vMerge/>
            <w:tcBorders>
              <w:left w:val="single" w:sz="4" w:space="0" w:color="auto"/>
              <w:bottom w:val="single" w:sz="4" w:space="0" w:color="auto"/>
              <w:right w:val="single" w:sz="4" w:space="0" w:color="auto"/>
            </w:tcBorders>
            <w:hideMark/>
          </w:tcPr>
          <w:p w:rsidR="00852B27" w:rsidRPr="006D7DC1" w:rsidRDefault="00852B27" w:rsidP="00047BBF">
            <w:pPr>
              <w:pStyle w:val="TableLeftAlign"/>
            </w:pPr>
          </w:p>
        </w:tc>
        <w:tc>
          <w:tcPr>
            <w:tcW w:w="1276" w:type="dxa"/>
            <w:vMerge/>
            <w:tcBorders>
              <w:left w:val="single" w:sz="4" w:space="0" w:color="auto"/>
              <w:bottom w:val="single" w:sz="4" w:space="0" w:color="auto"/>
              <w:right w:val="single" w:sz="4" w:space="0" w:color="auto"/>
            </w:tcBorders>
          </w:tcPr>
          <w:p w:rsidR="00852B27" w:rsidRPr="006D7DC1" w:rsidRDefault="00852B27" w:rsidP="00047BBF">
            <w:pPr>
              <w:pStyle w:val="TableLeftAlign"/>
            </w:pPr>
          </w:p>
        </w:tc>
        <w:tc>
          <w:tcPr>
            <w:tcW w:w="5206" w:type="dxa"/>
            <w:gridSpan w:val="2"/>
            <w:tcBorders>
              <w:top w:val="single" w:sz="4" w:space="0" w:color="auto"/>
              <w:left w:val="single" w:sz="4" w:space="0" w:color="auto"/>
              <w:bottom w:val="single" w:sz="4" w:space="0" w:color="auto"/>
              <w:right w:val="single" w:sz="4" w:space="0" w:color="auto"/>
            </w:tcBorders>
            <w:hideMark/>
          </w:tcPr>
          <w:p w:rsidR="00852B27" w:rsidRPr="006D7DC1" w:rsidRDefault="00852B27" w:rsidP="00047BBF">
            <w:pPr>
              <w:pStyle w:val="TableCenterAlign"/>
            </w:pPr>
            <w:r w:rsidRPr="006D7DC1">
              <w:t>HR: 0.79; (95% CI: 0.62, 1.00); p = 0.051</w:t>
            </w:r>
          </w:p>
        </w:tc>
      </w:tr>
      <w:tr w:rsidR="00852B27" w:rsidRPr="006D7DC1" w:rsidTr="001A1DB7">
        <w:trPr>
          <w:trHeight w:val="434"/>
          <w:jc w:val="center"/>
        </w:trPr>
        <w:tc>
          <w:tcPr>
            <w:tcW w:w="2410" w:type="dxa"/>
            <w:vMerge w:val="restart"/>
            <w:tcBorders>
              <w:top w:val="single" w:sz="4" w:space="0" w:color="auto"/>
              <w:left w:val="single" w:sz="4" w:space="0" w:color="auto"/>
              <w:right w:val="single" w:sz="4" w:space="0" w:color="auto"/>
            </w:tcBorders>
          </w:tcPr>
          <w:p w:rsidR="00852B27" w:rsidRDefault="00852B27" w:rsidP="001A1DB7">
            <w:pPr>
              <w:pStyle w:val="TableLeftAlign"/>
            </w:pPr>
            <w:r w:rsidRPr="006D7DC1">
              <w:t xml:space="preserve">Duration of </w:t>
            </w:r>
            <w:r w:rsidR="001A1DB7">
              <w:t>R</w:t>
            </w:r>
            <w:r w:rsidRPr="006D7DC1">
              <w:t>esponse</w:t>
            </w:r>
          </w:p>
          <w:p w:rsidR="00650BD1" w:rsidRPr="006D7DC1" w:rsidRDefault="00650BD1" w:rsidP="00BF0506">
            <w:pPr>
              <w:pStyle w:val="TableLeftAlign"/>
            </w:pPr>
          </w:p>
        </w:tc>
        <w:tc>
          <w:tcPr>
            <w:tcW w:w="1276" w:type="dxa"/>
            <w:vMerge w:val="restart"/>
            <w:tcBorders>
              <w:top w:val="single" w:sz="4" w:space="0" w:color="auto"/>
              <w:left w:val="single" w:sz="4" w:space="0" w:color="auto"/>
              <w:right w:val="single" w:sz="4" w:space="0" w:color="auto"/>
            </w:tcBorders>
          </w:tcPr>
          <w:p w:rsidR="00852B27" w:rsidRPr="006D7DC1" w:rsidDel="0073653E" w:rsidRDefault="00852B27" w:rsidP="00C42236">
            <w:pPr>
              <w:pStyle w:val="TableLeftAlign"/>
            </w:pPr>
            <w:r w:rsidRPr="006D7DC1">
              <w:t xml:space="preserve">Secondary </w:t>
            </w:r>
          </w:p>
        </w:tc>
        <w:tc>
          <w:tcPr>
            <w:tcW w:w="2693" w:type="dxa"/>
            <w:tcBorders>
              <w:top w:val="single" w:sz="4" w:space="0" w:color="auto"/>
              <w:left w:val="single" w:sz="4" w:space="0" w:color="auto"/>
              <w:bottom w:val="single" w:sz="4" w:space="0" w:color="auto"/>
              <w:right w:val="single" w:sz="4" w:space="0" w:color="auto"/>
            </w:tcBorders>
          </w:tcPr>
          <w:p w:rsidR="00852B27" w:rsidRDefault="00852B27" w:rsidP="00047BBF">
            <w:pPr>
              <w:pStyle w:val="TableCenterAlign"/>
            </w:pPr>
            <w:r w:rsidRPr="006D7DC1">
              <w:t>Not reached</w:t>
            </w:r>
          </w:p>
          <w:p w:rsidR="004376E9" w:rsidRPr="006D7DC1" w:rsidRDefault="004376E9" w:rsidP="00A16A60">
            <w:pPr>
              <w:pStyle w:val="TableCenterAlign"/>
            </w:pPr>
            <w:r>
              <w:t>(Range; &gt;0.0</w:t>
            </w:r>
            <w:r w:rsidR="009153BF" w:rsidRPr="009153BF">
              <w:rPr>
                <w:vertAlign w:val="superscript"/>
              </w:rPr>
              <w:t>a</w:t>
            </w:r>
            <w:r w:rsidR="00BF0506">
              <w:t xml:space="preserve"> to &gt; 16.8</w:t>
            </w:r>
            <w:r w:rsidR="009153BF" w:rsidRPr="009153BF">
              <w:rPr>
                <w:vertAlign w:val="superscript"/>
              </w:rPr>
              <w:t>a</w:t>
            </w:r>
            <w:r w:rsidR="00BF0506">
              <w:t xml:space="preserve"> months)</w:t>
            </w:r>
          </w:p>
        </w:tc>
        <w:tc>
          <w:tcPr>
            <w:tcW w:w="2513" w:type="dxa"/>
            <w:tcBorders>
              <w:top w:val="single" w:sz="4" w:space="0" w:color="auto"/>
              <w:left w:val="single" w:sz="4" w:space="0" w:color="auto"/>
              <w:bottom w:val="single" w:sz="4" w:space="0" w:color="auto"/>
              <w:right w:val="single" w:sz="4" w:space="0" w:color="auto"/>
            </w:tcBorders>
          </w:tcPr>
          <w:p w:rsidR="00852B27" w:rsidRDefault="00BF0506" w:rsidP="00047BBF">
            <w:pPr>
              <w:pStyle w:val="TableCenterAlign"/>
            </w:pPr>
            <w:r>
              <w:t xml:space="preserve">median </w:t>
            </w:r>
            <w:r w:rsidR="00852B27" w:rsidRPr="006D7DC1">
              <w:t>2.8</w:t>
            </w:r>
          </w:p>
          <w:p w:rsidR="004376E9" w:rsidRPr="006D7DC1" w:rsidRDefault="00FA6C52" w:rsidP="00650BD1">
            <w:pPr>
              <w:pStyle w:val="TableCenterAlign"/>
            </w:pPr>
            <w:r>
              <w:t xml:space="preserve">(Range; </w:t>
            </w:r>
            <w:r w:rsidR="004376E9">
              <w:t>1.2 to &gt; 14.9</w:t>
            </w:r>
            <w:r w:rsidR="009153BF" w:rsidRPr="009153BF">
              <w:rPr>
                <w:vertAlign w:val="superscript"/>
              </w:rPr>
              <w:t>a</w:t>
            </w:r>
            <w:r w:rsidR="00BF0506">
              <w:t xml:space="preserve"> months)</w:t>
            </w:r>
          </w:p>
        </w:tc>
      </w:tr>
      <w:tr w:rsidR="00852B27" w:rsidRPr="006D7DC1" w:rsidTr="001A1DB7">
        <w:trPr>
          <w:trHeight w:val="183"/>
          <w:jc w:val="center"/>
        </w:trPr>
        <w:tc>
          <w:tcPr>
            <w:tcW w:w="2410" w:type="dxa"/>
            <w:vMerge/>
            <w:tcBorders>
              <w:left w:val="single" w:sz="4" w:space="0" w:color="auto"/>
              <w:right w:val="single" w:sz="4" w:space="0" w:color="auto"/>
            </w:tcBorders>
          </w:tcPr>
          <w:p w:rsidR="00852B27" w:rsidRPr="006D7DC1" w:rsidRDefault="00852B27" w:rsidP="00426DFB">
            <w:pPr>
              <w:spacing w:before="120" w:after="120"/>
            </w:pPr>
          </w:p>
        </w:tc>
        <w:tc>
          <w:tcPr>
            <w:tcW w:w="1276" w:type="dxa"/>
            <w:vMerge/>
            <w:tcBorders>
              <w:left w:val="single" w:sz="4" w:space="0" w:color="auto"/>
              <w:right w:val="single" w:sz="4" w:space="0" w:color="auto"/>
            </w:tcBorders>
          </w:tcPr>
          <w:p w:rsidR="00852B27" w:rsidRPr="006D7DC1" w:rsidRDefault="00852B27" w:rsidP="00426DFB">
            <w:pPr>
              <w:spacing w:before="120" w:after="120"/>
            </w:pPr>
          </w:p>
        </w:tc>
        <w:tc>
          <w:tcPr>
            <w:tcW w:w="5206" w:type="dxa"/>
            <w:gridSpan w:val="2"/>
            <w:tcBorders>
              <w:top w:val="single" w:sz="4" w:space="0" w:color="auto"/>
              <w:left w:val="single" w:sz="4" w:space="0" w:color="auto"/>
              <w:bottom w:val="single" w:sz="4" w:space="0" w:color="auto"/>
              <w:right w:val="single" w:sz="4" w:space="0" w:color="auto"/>
            </w:tcBorders>
          </w:tcPr>
          <w:p w:rsidR="00852B27" w:rsidRPr="006D7DC1" w:rsidRDefault="00852B27" w:rsidP="00047BBF">
            <w:pPr>
              <w:pStyle w:val="TableCenterAlign"/>
            </w:pPr>
            <w:r w:rsidRPr="006D7DC1">
              <w:t>HR: 0.46; (95% CI: 0.35, 0.60)</w:t>
            </w:r>
          </w:p>
        </w:tc>
      </w:tr>
      <w:tr w:rsidR="00C42236" w:rsidRPr="006D7DC1" w:rsidTr="001A1DB7">
        <w:trPr>
          <w:trHeight w:val="183"/>
          <w:jc w:val="center"/>
        </w:trPr>
        <w:tc>
          <w:tcPr>
            <w:tcW w:w="2410" w:type="dxa"/>
            <w:tcBorders>
              <w:left w:val="single" w:sz="4" w:space="0" w:color="auto"/>
              <w:right w:val="single" w:sz="4" w:space="0" w:color="auto"/>
            </w:tcBorders>
          </w:tcPr>
          <w:p w:rsidR="00BF0506" w:rsidRDefault="00C42236" w:rsidP="003D0811">
            <w:r>
              <w:t xml:space="preserve">Time to </w:t>
            </w:r>
            <w:r w:rsidR="001A1DB7">
              <w:t>R</w:t>
            </w:r>
            <w:r>
              <w:t xml:space="preserve">esponse </w:t>
            </w:r>
            <w:r w:rsidR="00BF0506">
              <w:tab/>
            </w:r>
          </w:p>
          <w:p w:rsidR="00C42236" w:rsidRDefault="003D0811" w:rsidP="003D0811">
            <w:r>
              <w:t xml:space="preserve"> </w:t>
            </w:r>
          </w:p>
          <w:p w:rsidR="004B720D" w:rsidRDefault="00BF0506" w:rsidP="003D0811">
            <w:r>
              <w:tab/>
            </w:r>
            <w:r w:rsidR="004B720D">
              <w:t>(95% CI)</w:t>
            </w:r>
          </w:p>
          <w:p w:rsidR="003D0811" w:rsidRPr="006D7DC1" w:rsidRDefault="003D0811" w:rsidP="003D0811"/>
        </w:tc>
        <w:tc>
          <w:tcPr>
            <w:tcW w:w="1276" w:type="dxa"/>
            <w:tcBorders>
              <w:left w:val="single" w:sz="4" w:space="0" w:color="auto"/>
              <w:right w:val="single" w:sz="4" w:space="0" w:color="auto"/>
            </w:tcBorders>
          </w:tcPr>
          <w:p w:rsidR="00C42236" w:rsidRPr="006D7DC1" w:rsidRDefault="00C42236" w:rsidP="00426DFB">
            <w:pPr>
              <w:spacing w:before="120" w:after="120"/>
            </w:pPr>
            <w:r w:rsidRPr="006D7DC1">
              <w:t>Secondary</w:t>
            </w:r>
          </w:p>
        </w:tc>
        <w:tc>
          <w:tcPr>
            <w:tcW w:w="2693" w:type="dxa"/>
            <w:tcBorders>
              <w:top w:val="single" w:sz="4" w:space="0" w:color="auto"/>
              <w:left w:val="single" w:sz="4" w:space="0" w:color="auto"/>
              <w:bottom w:val="single" w:sz="4" w:space="0" w:color="auto"/>
              <w:right w:val="single" w:sz="4" w:space="0" w:color="auto"/>
            </w:tcBorders>
          </w:tcPr>
          <w:p w:rsidR="00BF0506" w:rsidRDefault="00BF0506" w:rsidP="00BF0506">
            <w:pPr>
              <w:pStyle w:val="TableCenterAlign"/>
              <w:spacing w:before="120" w:after="0"/>
            </w:pPr>
            <w:r>
              <w:t xml:space="preserve">median </w:t>
            </w:r>
            <w:r w:rsidR="00C42236">
              <w:t xml:space="preserve">4.1 </w:t>
            </w:r>
            <w:r>
              <w:t>months</w:t>
            </w:r>
          </w:p>
          <w:p w:rsidR="00C42236" w:rsidRDefault="004B720D" w:rsidP="00047BBF">
            <w:pPr>
              <w:pStyle w:val="TableCenterAlign"/>
            </w:pPr>
            <w:r>
              <w:t>(3.8, 5.4)</w:t>
            </w:r>
            <w:r w:rsidR="00BF0506">
              <w:t xml:space="preserve"> </w:t>
            </w:r>
          </w:p>
          <w:p w:rsidR="00650BD1" w:rsidRPr="006D7DC1" w:rsidRDefault="00650BD1" w:rsidP="00047BBF">
            <w:pPr>
              <w:pStyle w:val="TableCenterAlign"/>
            </w:pPr>
            <w:r>
              <w:t>(</w:t>
            </w:r>
            <w:r w:rsidR="003D0811">
              <w:t xml:space="preserve">Range; </w:t>
            </w:r>
            <w:r>
              <w:t>1.2 – 16.7</w:t>
            </w:r>
            <w:r w:rsidR="00BF0506">
              <w:t xml:space="preserve"> months</w:t>
            </w:r>
            <w:r>
              <w:t>)</w:t>
            </w:r>
          </w:p>
        </w:tc>
        <w:tc>
          <w:tcPr>
            <w:tcW w:w="2513" w:type="dxa"/>
            <w:tcBorders>
              <w:top w:val="single" w:sz="4" w:space="0" w:color="auto"/>
              <w:left w:val="single" w:sz="4" w:space="0" w:color="auto"/>
              <w:bottom w:val="single" w:sz="4" w:space="0" w:color="auto"/>
              <w:right w:val="single" w:sz="4" w:space="0" w:color="auto"/>
            </w:tcBorders>
          </w:tcPr>
          <w:p w:rsidR="00BF0506" w:rsidRDefault="00BF0506" w:rsidP="00BF0506">
            <w:pPr>
              <w:pStyle w:val="TableCenterAlign"/>
              <w:spacing w:before="120" w:after="0"/>
            </w:pPr>
            <w:r>
              <w:t xml:space="preserve">median </w:t>
            </w:r>
            <w:r w:rsidR="00C42236">
              <w:t xml:space="preserve">3.7 </w:t>
            </w:r>
            <w:r>
              <w:t>months</w:t>
            </w:r>
          </w:p>
          <w:p w:rsidR="00C42236" w:rsidRDefault="004B720D" w:rsidP="003D0811">
            <w:pPr>
              <w:pStyle w:val="TableCenterAlign"/>
            </w:pPr>
            <w:r>
              <w:t>(1.9, 5.6)</w:t>
            </w:r>
          </w:p>
          <w:p w:rsidR="00B005FA" w:rsidRPr="006D7DC1" w:rsidRDefault="00B005FA" w:rsidP="009D6A8A">
            <w:pPr>
              <w:pStyle w:val="TableCenterAlign"/>
            </w:pPr>
            <w:r>
              <w:t xml:space="preserve">(Range; </w:t>
            </w:r>
            <w:r w:rsidR="004B720D">
              <w:t>1.</w:t>
            </w:r>
            <w:r w:rsidR="009D6A8A">
              <w:t>9</w:t>
            </w:r>
            <w:r w:rsidR="004B720D">
              <w:t xml:space="preserve"> - 9.1</w:t>
            </w:r>
            <w:r w:rsidR="00BF0506">
              <w:t xml:space="preserve"> months</w:t>
            </w:r>
            <w:r w:rsidR="004B720D">
              <w:t>)</w:t>
            </w:r>
          </w:p>
        </w:tc>
      </w:tr>
      <w:tr w:rsidR="00C42236" w:rsidRPr="006D7DC1" w:rsidTr="00BF0506">
        <w:trPr>
          <w:trHeight w:val="870"/>
          <w:jc w:val="center"/>
        </w:trPr>
        <w:tc>
          <w:tcPr>
            <w:tcW w:w="2410" w:type="dxa"/>
            <w:vMerge w:val="restart"/>
            <w:tcBorders>
              <w:left w:val="single" w:sz="4" w:space="0" w:color="auto"/>
              <w:right w:val="single" w:sz="4" w:space="0" w:color="auto"/>
            </w:tcBorders>
          </w:tcPr>
          <w:p w:rsidR="00BF0506" w:rsidRDefault="001A1DB7" w:rsidP="00BF0506">
            <w:r>
              <w:t>Time to T</w:t>
            </w:r>
            <w:r w:rsidR="00C42236">
              <w:t xml:space="preserve">reatment </w:t>
            </w:r>
            <w:r>
              <w:t>F</w:t>
            </w:r>
            <w:r w:rsidR="00C42236">
              <w:t>ailure</w:t>
            </w:r>
            <w:r w:rsidR="00650BD1">
              <w:t xml:space="preserve"> </w:t>
            </w:r>
            <w:r w:rsidR="003D0811">
              <w:t xml:space="preserve"> </w:t>
            </w:r>
          </w:p>
          <w:p w:rsidR="00C42236" w:rsidRPr="006D7DC1" w:rsidRDefault="00BF0506" w:rsidP="00BF0506">
            <w:r>
              <w:tab/>
            </w:r>
            <w:r w:rsidR="003D0811">
              <w:t>(95% CI)</w:t>
            </w:r>
          </w:p>
        </w:tc>
        <w:tc>
          <w:tcPr>
            <w:tcW w:w="1276" w:type="dxa"/>
            <w:vMerge w:val="restart"/>
            <w:tcBorders>
              <w:left w:val="single" w:sz="4" w:space="0" w:color="auto"/>
              <w:right w:val="single" w:sz="4" w:space="0" w:color="auto"/>
            </w:tcBorders>
          </w:tcPr>
          <w:p w:rsidR="00C42236" w:rsidRPr="006D7DC1" w:rsidRDefault="00C42236" w:rsidP="00426DFB">
            <w:pPr>
              <w:spacing w:before="120" w:after="120"/>
            </w:pPr>
            <w:r w:rsidRPr="006D7DC1">
              <w:t>Secondary</w:t>
            </w:r>
          </w:p>
        </w:tc>
        <w:tc>
          <w:tcPr>
            <w:tcW w:w="2693" w:type="dxa"/>
            <w:tcBorders>
              <w:top w:val="single" w:sz="4" w:space="0" w:color="auto"/>
              <w:left w:val="single" w:sz="4" w:space="0" w:color="auto"/>
              <w:bottom w:val="single" w:sz="4" w:space="0" w:color="auto"/>
              <w:right w:val="single" w:sz="4" w:space="0" w:color="auto"/>
            </w:tcBorders>
          </w:tcPr>
          <w:p w:rsidR="00C42236" w:rsidRDefault="00BF0506" w:rsidP="00BF0506">
            <w:pPr>
              <w:pStyle w:val="TableCenterAlign"/>
              <w:spacing w:before="120"/>
            </w:pPr>
            <w:r>
              <w:t xml:space="preserve">median </w:t>
            </w:r>
            <w:r w:rsidR="00C42236">
              <w:t xml:space="preserve">8.2 </w:t>
            </w:r>
            <w:r>
              <w:t>months</w:t>
            </w:r>
          </w:p>
          <w:p w:rsidR="00C42236" w:rsidRPr="006D7DC1" w:rsidRDefault="00C42236" w:rsidP="00BF0506">
            <w:pPr>
              <w:pStyle w:val="TableCenterAlign"/>
              <w:spacing w:before="120"/>
            </w:pPr>
            <w:r w:rsidRPr="006D7DC1">
              <w:t>(</w:t>
            </w:r>
            <w:r>
              <w:t>6.5</w:t>
            </w:r>
            <w:r w:rsidRPr="006D7DC1">
              <w:t xml:space="preserve">, </w:t>
            </w:r>
            <w:r>
              <w:t>9.9</w:t>
            </w:r>
            <w:r w:rsidRPr="006D7DC1">
              <w:t>)</w:t>
            </w:r>
          </w:p>
        </w:tc>
        <w:tc>
          <w:tcPr>
            <w:tcW w:w="2513" w:type="dxa"/>
            <w:tcBorders>
              <w:top w:val="single" w:sz="4" w:space="0" w:color="auto"/>
              <w:left w:val="single" w:sz="4" w:space="0" w:color="auto"/>
              <w:bottom w:val="single" w:sz="4" w:space="0" w:color="auto"/>
              <w:right w:val="single" w:sz="4" w:space="0" w:color="auto"/>
            </w:tcBorders>
          </w:tcPr>
          <w:p w:rsidR="00C42236" w:rsidRDefault="00BF0506" w:rsidP="00BF0506">
            <w:pPr>
              <w:pStyle w:val="TableCenterAlign"/>
              <w:spacing w:before="120"/>
            </w:pPr>
            <w:r>
              <w:t xml:space="preserve">median </w:t>
            </w:r>
            <w:r w:rsidR="00C42236">
              <w:t xml:space="preserve">2.9 </w:t>
            </w:r>
            <w:r>
              <w:t>months</w:t>
            </w:r>
          </w:p>
          <w:p w:rsidR="00C42236" w:rsidRPr="006D7DC1" w:rsidRDefault="00C42236" w:rsidP="00BF0506">
            <w:pPr>
              <w:pStyle w:val="TableCenterAlign"/>
              <w:spacing w:before="120"/>
            </w:pPr>
            <w:r w:rsidRPr="006D7DC1">
              <w:t>(</w:t>
            </w:r>
            <w:r>
              <w:t>2.8,</w:t>
            </w:r>
            <w:r w:rsidRPr="006D7DC1">
              <w:t xml:space="preserve"> </w:t>
            </w:r>
            <w:r>
              <w:t>4.0)</w:t>
            </w:r>
          </w:p>
        </w:tc>
      </w:tr>
      <w:tr w:rsidR="00C42236" w:rsidRPr="006D7DC1" w:rsidTr="001A1DB7">
        <w:trPr>
          <w:trHeight w:val="183"/>
          <w:jc w:val="center"/>
        </w:trPr>
        <w:tc>
          <w:tcPr>
            <w:tcW w:w="2410" w:type="dxa"/>
            <w:vMerge/>
            <w:tcBorders>
              <w:left w:val="single" w:sz="4" w:space="0" w:color="auto"/>
              <w:bottom w:val="single" w:sz="4" w:space="0" w:color="auto"/>
              <w:right w:val="single" w:sz="4" w:space="0" w:color="auto"/>
            </w:tcBorders>
          </w:tcPr>
          <w:p w:rsidR="00C42236" w:rsidRDefault="00C42236" w:rsidP="00426DFB">
            <w:pPr>
              <w:spacing w:before="120" w:after="120"/>
            </w:pPr>
          </w:p>
        </w:tc>
        <w:tc>
          <w:tcPr>
            <w:tcW w:w="1276" w:type="dxa"/>
            <w:vMerge/>
            <w:tcBorders>
              <w:left w:val="single" w:sz="4" w:space="0" w:color="auto"/>
              <w:bottom w:val="single" w:sz="4" w:space="0" w:color="auto"/>
              <w:right w:val="single" w:sz="4" w:space="0" w:color="auto"/>
            </w:tcBorders>
          </w:tcPr>
          <w:p w:rsidR="00C42236" w:rsidRPr="006D7DC1" w:rsidRDefault="00C42236" w:rsidP="00426DFB">
            <w:pPr>
              <w:spacing w:before="120" w:after="120"/>
            </w:pPr>
          </w:p>
        </w:tc>
        <w:tc>
          <w:tcPr>
            <w:tcW w:w="5206" w:type="dxa"/>
            <w:gridSpan w:val="2"/>
            <w:tcBorders>
              <w:top w:val="single" w:sz="4" w:space="0" w:color="auto"/>
              <w:left w:val="single" w:sz="4" w:space="0" w:color="auto"/>
              <w:bottom w:val="single" w:sz="4" w:space="0" w:color="auto"/>
              <w:right w:val="single" w:sz="4" w:space="0" w:color="auto"/>
            </w:tcBorders>
          </w:tcPr>
          <w:p w:rsidR="00C42236" w:rsidRDefault="00C42236" w:rsidP="00047BBF">
            <w:pPr>
              <w:pStyle w:val="TableCenterAlign"/>
            </w:pPr>
            <w:r>
              <w:t>HR: 0.42: (95% CI 0.32, 0.54)</w:t>
            </w:r>
          </w:p>
        </w:tc>
      </w:tr>
    </w:tbl>
    <w:p w:rsidR="009153BF" w:rsidRPr="00686621" w:rsidRDefault="009153BF" w:rsidP="00B130DC">
      <w:pPr>
        <w:spacing w:before="120"/>
      </w:pPr>
      <w:proofErr w:type="gramStart"/>
      <w:r w:rsidRPr="00686621">
        <w:rPr>
          <w:vertAlign w:val="superscript"/>
        </w:rPr>
        <w:t>a</w:t>
      </w:r>
      <w:proofErr w:type="gramEnd"/>
      <w:r w:rsidRPr="00686621">
        <w:rPr>
          <w:vertAlign w:val="superscript"/>
        </w:rPr>
        <w:t xml:space="preserve"> </w:t>
      </w:r>
      <w:r w:rsidRPr="00686621">
        <w:rPr>
          <w:sz w:val="18"/>
          <w:szCs w:val="18"/>
        </w:rPr>
        <w:t>Response ongoing at last evaluation</w:t>
      </w:r>
    </w:p>
    <w:p w:rsidR="00245644" w:rsidRDefault="00245644" w:rsidP="00EE35A4">
      <w:pPr>
        <w:rPr>
          <w:color w:val="000000"/>
          <w:szCs w:val="22"/>
        </w:rPr>
      </w:pPr>
    </w:p>
    <w:p w:rsidR="00200026" w:rsidRPr="00B648E0" w:rsidRDefault="00EE35A4" w:rsidP="00AA5F09">
      <w:pPr>
        <w:pStyle w:val="Text"/>
      </w:pPr>
      <w:r w:rsidRPr="00B648E0">
        <w:t>Exploratory subgroup analyses for DRR</w:t>
      </w:r>
      <w:r w:rsidR="001A1DB7">
        <w:t>, ORR</w:t>
      </w:r>
      <w:r w:rsidRPr="00B648E0">
        <w:t xml:space="preserve"> and overall survival by stage of disease were also </w:t>
      </w:r>
      <w:r w:rsidR="00AA5F09">
        <w:t>conducted (</w:t>
      </w:r>
      <w:r w:rsidR="00AA5F09" w:rsidRPr="000E58B9">
        <w:rPr>
          <w:color w:val="0000FF"/>
        </w:rPr>
        <w:fldChar w:fldCharType="begin"/>
      </w:r>
      <w:r w:rsidR="00AA5F09" w:rsidRPr="000E58B9">
        <w:rPr>
          <w:color w:val="0000FF"/>
        </w:rPr>
        <w:instrText xml:space="preserve"> REF _Ref426014130 \h </w:instrText>
      </w:r>
      <w:r w:rsidR="000E58B9">
        <w:rPr>
          <w:color w:val="0000FF"/>
        </w:rPr>
        <w:instrText xml:space="preserve"> \* MERGEFORMAT </w:instrText>
      </w:r>
      <w:r w:rsidR="00AA5F09" w:rsidRPr="000E58B9">
        <w:rPr>
          <w:color w:val="0000FF"/>
        </w:rPr>
      </w:r>
      <w:r w:rsidR="00AA5F09" w:rsidRPr="000E58B9">
        <w:rPr>
          <w:color w:val="0000FF"/>
        </w:rPr>
        <w:fldChar w:fldCharType="separate"/>
      </w:r>
      <w:r w:rsidR="00AA5F09" w:rsidRPr="000E58B9">
        <w:rPr>
          <w:color w:val="0000FF"/>
        </w:rPr>
        <w:t>Table 2</w:t>
      </w:r>
      <w:r w:rsidR="00AA5F09" w:rsidRPr="000E58B9">
        <w:rPr>
          <w:color w:val="0000FF"/>
        </w:rPr>
        <w:fldChar w:fldCharType="end"/>
      </w:r>
      <w:r w:rsidR="00AA5F09">
        <w:t xml:space="preserve">). </w:t>
      </w:r>
      <w:r w:rsidR="00B86E50" w:rsidRPr="00686621">
        <w:rPr>
          <w:rFonts w:cs="Arial"/>
        </w:rPr>
        <w:t>T</w:t>
      </w:r>
      <w:r w:rsidR="00200026" w:rsidRPr="00686621">
        <w:rPr>
          <w:rFonts w:cs="Arial"/>
        </w:rPr>
        <w:t>he pivotal study was not powered to evaluate efficacy in these individual subgroups</w:t>
      </w:r>
      <w:r w:rsidR="00B86E50" w:rsidRPr="00686621">
        <w:rPr>
          <w:rFonts w:cs="Arial"/>
        </w:rPr>
        <w:t>.</w:t>
      </w:r>
    </w:p>
    <w:p w:rsidR="00EE35A4" w:rsidRPr="00B648E0" w:rsidRDefault="00AA5F09" w:rsidP="00E0301D">
      <w:pPr>
        <w:pStyle w:val="Caption"/>
        <w:pageBreakBefore/>
        <w:rPr>
          <w:b w:val="0"/>
          <w:color w:val="000000"/>
        </w:rPr>
      </w:pPr>
      <w:bookmarkStart w:id="4" w:name="_Ref426014043"/>
      <w:bookmarkStart w:id="5" w:name="_Ref426014130"/>
      <w:proofErr w:type="gramStart"/>
      <w:r>
        <w:lastRenderedPageBreak/>
        <w:t>Table </w:t>
      </w:r>
      <w:r>
        <w:fldChar w:fldCharType="begin"/>
      </w:r>
      <w:r>
        <w:instrText xml:space="preserve"> SEQ Table \* ARABIC </w:instrText>
      </w:r>
      <w:r>
        <w:fldChar w:fldCharType="separate"/>
      </w:r>
      <w:r>
        <w:rPr>
          <w:noProof/>
        </w:rPr>
        <w:t>2</w:t>
      </w:r>
      <w:r>
        <w:fldChar w:fldCharType="end"/>
      </w:r>
      <w:bookmarkEnd w:id="4"/>
      <w:bookmarkEnd w:id="5"/>
      <w:r>
        <w:t>.</w:t>
      </w:r>
      <w:proofErr w:type="gramEnd"/>
      <w:r>
        <w:t xml:space="preserve">  </w:t>
      </w:r>
      <w:r w:rsidR="00EE35A4" w:rsidRPr="00AA5F09">
        <w:rPr>
          <w:color w:val="000000"/>
          <w:szCs w:val="22"/>
        </w:rPr>
        <w:t xml:space="preserve">Summary of Results from Exploratory Analysis from </w:t>
      </w:r>
      <w:r w:rsidR="001371A5">
        <w:rPr>
          <w:color w:val="000000"/>
          <w:szCs w:val="22"/>
        </w:rPr>
        <w:t>IMLYGIC</w:t>
      </w:r>
      <w:r w:rsidR="00EE35A4" w:rsidRPr="00AA5F09">
        <w:rPr>
          <w:color w:val="000000"/>
          <w:szCs w:val="22"/>
        </w:rPr>
        <w:t xml:space="preserve"> Study 1</w:t>
      </w:r>
      <w:r w:rsidR="00F46ED4" w:rsidRPr="00AA5F09">
        <w:rPr>
          <w:color w:val="000000"/>
          <w:szCs w:val="22"/>
        </w:rPr>
        <w:t xml:space="preserve"> </w:t>
      </w:r>
    </w:p>
    <w:p w:rsidR="001A1DB7" w:rsidRDefault="001A1DB7" w:rsidP="001A1DB7"/>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134"/>
        <w:gridCol w:w="1134"/>
        <w:gridCol w:w="1134"/>
        <w:gridCol w:w="2253"/>
      </w:tblGrid>
      <w:tr w:rsidR="001A1DB7" w:rsidTr="00B729EE">
        <w:tc>
          <w:tcPr>
            <w:tcW w:w="2127" w:type="dxa"/>
            <w:tcBorders>
              <w:top w:val="nil"/>
              <w:left w:val="nil"/>
              <w:bottom w:val="nil"/>
              <w:right w:val="single" w:sz="4" w:space="0" w:color="auto"/>
            </w:tcBorders>
            <w:shd w:val="clear" w:color="auto" w:fill="auto"/>
          </w:tcPr>
          <w:p w:rsidR="001A1DB7" w:rsidRDefault="001A1DB7" w:rsidP="00686621">
            <w:pPr>
              <w:spacing w:beforeLines="60" w:before="144" w:after="60"/>
              <w:ind w:left="142" w:hanging="142"/>
            </w:pPr>
          </w:p>
        </w:tc>
        <w:tc>
          <w:tcPr>
            <w:tcW w:w="2268" w:type="dxa"/>
            <w:gridSpan w:val="2"/>
            <w:tcBorders>
              <w:left w:val="single" w:sz="4" w:space="0" w:color="auto"/>
            </w:tcBorders>
            <w:shd w:val="clear" w:color="auto" w:fill="D9D9D9"/>
          </w:tcPr>
          <w:p w:rsidR="001A1DB7" w:rsidRPr="007D579B" w:rsidRDefault="001A1DB7" w:rsidP="00686621">
            <w:pPr>
              <w:spacing w:beforeLines="60" w:before="144" w:after="60"/>
              <w:rPr>
                <w:b/>
              </w:rPr>
            </w:pPr>
            <w:r w:rsidRPr="007D579B">
              <w:rPr>
                <w:b/>
              </w:rPr>
              <w:t>DRR (%)</w:t>
            </w:r>
          </w:p>
        </w:tc>
        <w:tc>
          <w:tcPr>
            <w:tcW w:w="2268" w:type="dxa"/>
            <w:gridSpan w:val="2"/>
            <w:shd w:val="clear" w:color="auto" w:fill="D9D9D9"/>
          </w:tcPr>
          <w:p w:rsidR="001A1DB7" w:rsidRPr="007D579B" w:rsidRDefault="001A1DB7" w:rsidP="00686621">
            <w:pPr>
              <w:spacing w:beforeLines="60" w:before="144" w:after="60"/>
              <w:rPr>
                <w:b/>
              </w:rPr>
            </w:pPr>
            <w:r w:rsidRPr="007D579B">
              <w:rPr>
                <w:b/>
              </w:rPr>
              <w:t>ORR (%)</w:t>
            </w:r>
          </w:p>
        </w:tc>
        <w:tc>
          <w:tcPr>
            <w:tcW w:w="2253" w:type="dxa"/>
            <w:shd w:val="clear" w:color="auto" w:fill="D9D9D9"/>
          </w:tcPr>
          <w:p w:rsidR="001A1DB7" w:rsidRPr="007D579B" w:rsidRDefault="001A1DB7" w:rsidP="00686621">
            <w:pPr>
              <w:spacing w:beforeLines="60" w:before="144" w:after="60"/>
              <w:rPr>
                <w:b/>
              </w:rPr>
            </w:pPr>
            <w:r w:rsidRPr="007D579B">
              <w:rPr>
                <w:b/>
              </w:rPr>
              <w:t>OS (hazard Ratio)</w:t>
            </w:r>
          </w:p>
        </w:tc>
      </w:tr>
      <w:tr w:rsidR="001A1DB7" w:rsidTr="00B729EE">
        <w:tc>
          <w:tcPr>
            <w:tcW w:w="2127" w:type="dxa"/>
            <w:tcBorders>
              <w:top w:val="nil"/>
              <w:left w:val="nil"/>
              <w:bottom w:val="single" w:sz="4" w:space="0" w:color="auto"/>
              <w:right w:val="single" w:sz="4" w:space="0" w:color="auto"/>
            </w:tcBorders>
            <w:shd w:val="clear" w:color="auto" w:fill="auto"/>
          </w:tcPr>
          <w:p w:rsidR="001A1DB7" w:rsidRDefault="001A1DB7" w:rsidP="00686621">
            <w:pPr>
              <w:spacing w:beforeLines="60" w:before="144" w:after="60"/>
              <w:ind w:left="34" w:hanging="34"/>
            </w:pPr>
          </w:p>
        </w:tc>
        <w:tc>
          <w:tcPr>
            <w:tcW w:w="1134" w:type="dxa"/>
            <w:tcBorders>
              <w:left w:val="single" w:sz="4" w:space="0" w:color="auto"/>
            </w:tcBorders>
            <w:shd w:val="clear" w:color="auto" w:fill="D9D9D9"/>
          </w:tcPr>
          <w:p w:rsidR="001A1DB7" w:rsidRPr="007D579B" w:rsidRDefault="001371A5" w:rsidP="00686621">
            <w:pPr>
              <w:spacing w:beforeLines="60" w:before="144" w:after="60"/>
              <w:rPr>
                <w:b/>
              </w:rPr>
            </w:pPr>
            <w:r>
              <w:rPr>
                <w:b/>
              </w:rPr>
              <w:t>IMLYGIC</w:t>
            </w:r>
          </w:p>
        </w:tc>
        <w:tc>
          <w:tcPr>
            <w:tcW w:w="1134" w:type="dxa"/>
            <w:shd w:val="clear" w:color="auto" w:fill="D9D9D9"/>
          </w:tcPr>
          <w:p w:rsidR="001A1DB7" w:rsidRPr="007D579B" w:rsidRDefault="001A1DB7" w:rsidP="00686621">
            <w:pPr>
              <w:spacing w:beforeLines="60" w:before="144" w:after="60"/>
              <w:rPr>
                <w:b/>
              </w:rPr>
            </w:pPr>
            <w:r w:rsidRPr="007D579B">
              <w:rPr>
                <w:b/>
              </w:rPr>
              <w:t>GM-CSF</w:t>
            </w:r>
          </w:p>
        </w:tc>
        <w:tc>
          <w:tcPr>
            <w:tcW w:w="1134" w:type="dxa"/>
            <w:shd w:val="clear" w:color="auto" w:fill="D9D9D9"/>
          </w:tcPr>
          <w:p w:rsidR="001A1DB7" w:rsidRPr="007D579B" w:rsidRDefault="001371A5" w:rsidP="00686621">
            <w:pPr>
              <w:spacing w:beforeLines="60" w:before="144" w:after="60"/>
              <w:rPr>
                <w:b/>
              </w:rPr>
            </w:pPr>
            <w:r>
              <w:rPr>
                <w:b/>
              </w:rPr>
              <w:t>IMLYGIC</w:t>
            </w:r>
          </w:p>
        </w:tc>
        <w:tc>
          <w:tcPr>
            <w:tcW w:w="1134" w:type="dxa"/>
            <w:shd w:val="clear" w:color="auto" w:fill="D9D9D9"/>
          </w:tcPr>
          <w:p w:rsidR="001A1DB7" w:rsidRPr="007D579B" w:rsidRDefault="001A1DB7" w:rsidP="00686621">
            <w:pPr>
              <w:spacing w:beforeLines="60" w:before="144" w:after="60"/>
              <w:rPr>
                <w:b/>
              </w:rPr>
            </w:pPr>
            <w:r w:rsidRPr="007D579B">
              <w:rPr>
                <w:b/>
              </w:rPr>
              <w:t>GM-CSF</w:t>
            </w:r>
          </w:p>
        </w:tc>
        <w:tc>
          <w:tcPr>
            <w:tcW w:w="2253" w:type="dxa"/>
            <w:shd w:val="clear" w:color="auto" w:fill="D9D9D9"/>
          </w:tcPr>
          <w:p w:rsidR="00B729EE" w:rsidRDefault="001371A5" w:rsidP="00686621">
            <w:pPr>
              <w:spacing w:beforeLines="60" w:before="144" w:after="60"/>
              <w:rPr>
                <w:b/>
              </w:rPr>
            </w:pPr>
            <w:r>
              <w:rPr>
                <w:b/>
              </w:rPr>
              <w:t>IMLYGIC</w:t>
            </w:r>
            <w:r w:rsidR="001A1DB7" w:rsidRPr="007D579B">
              <w:rPr>
                <w:b/>
              </w:rPr>
              <w:t xml:space="preserve"> vs </w:t>
            </w:r>
          </w:p>
          <w:p w:rsidR="001A1DB7" w:rsidRPr="007D579B" w:rsidRDefault="001A1DB7" w:rsidP="00686621">
            <w:pPr>
              <w:spacing w:beforeLines="60" w:before="144" w:after="60"/>
              <w:rPr>
                <w:b/>
              </w:rPr>
            </w:pPr>
            <w:r w:rsidRPr="007D579B">
              <w:rPr>
                <w:b/>
              </w:rPr>
              <w:t>GM-CSF</w:t>
            </w:r>
          </w:p>
        </w:tc>
      </w:tr>
      <w:tr w:rsidR="001A1DB7" w:rsidTr="00B729EE">
        <w:tc>
          <w:tcPr>
            <w:tcW w:w="2127" w:type="dxa"/>
            <w:tcBorders>
              <w:top w:val="single" w:sz="4" w:space="0" w:color="auto"/>
            </w:tcBorders>
            <w:shd w:val="clear" w:color="auto" w:fill="auto"/>
          </w:tcPr>
          <w:p w:rsidR="001A1DB7" w:rsidRPr="00B729EE" w:rsidRDefault="001A1DB7" w:rsidP="00B729EE">
            <w:pPr>
              <w:spacing w:after="60"/>
              <w:rPr>
                <w:b/>
              </w:rPr>
            </w:pPr>
            <w:r w:rsidRPr="00B729EE">
              <w:rPr>
                <w:b/>
              </w:rPr>
              <w:t>Stage IIIB/IIIC/IVM1a</w:t>
            </w:r>
          </w:p>
          <w:p w:rsidR="006756D9" w:rsidRDefault="006756D9" w:rsidP="00B729EE">
            <w:pPr>
              <w:spacing w:after="60"/>
            </w:pPr>
            <w:r w:rsidRPr="00CB1EBA">
              <w:t>(</w:t>
            </w:r>
            <w:r w:rsidR="001371A5">
              <w:t>IMLYGIC</w:t>
            </w:r>
            <w:r w:rsidRPr="00CB1EBA">
              <w:t>, n = 163; GM</w:t>
            </w:r>
            <w:r w:rsidRPr="00CB1EBA">
              <w:noBreakHyphen/>
              <w:t>CSF, n = 86)</w:t>
            </w:r>
          </w:p>
        </w:tc>
        <w:tc>
          <w:tcPr>
            <w:tcW w:w="1134" w:type="dxa"/>
            <w:shd w:val="clear" w:color="auto" w:fill="auto"/>
          </w:tcPr>
          <w:p w:rsidR="001A1DB7" w:rsidRDefault="001A1DB7" w:rsidP="00B729EE">
            <w:pPr>
              <w:spacing w:before="120" w:after="60"/>
              <w:jc w:val="center"/>
            </w:pPr>
            <w:r>
              <w:t>25.2</w:t>
            </w:r>
          </w:p>
        </w:tc>
        <w:tc>
          <w:tcPr>
            <w:tcW w:w="1134" w:type="dxa"/>
            <w:shd w:val="clear" w:color="auto" w:fill="auto"/>
          </w:tcPr>
          <w:p w:rsidR="001A1DB7" w:rsidRDefault="001A1DB7" w:rsidP="00B729EE">
            <w:pPr>
              <w:spacing w:before="120" w:after="60"/>
              <w:jc w:val="center"/>
            </w:pPr>
            <w:r>
              <w:t>1.2</w:t>
            </w:r>
          </w:p>
        </w:tc>
        <w:tc>
          <w:tcPr>
            <w:tcW w:w="1134" w:type="dxa"/>
            <w:shd w:val="clear" w:color="auto" w:fill="auto"/>
          </w:tcPr>
          <w:p w:rsidR="001A1DB7" w:rsidRDefault="001A1DB7" w:rsidP="00B729EE">
            <w:pPr>
              <w:spacing w:before="120" w:after="60"/>
              <w:jc w:val="center"/>
            </w:pPr>
            <w:r>
              <w:t>40.5</w:t>
            </w:r>
          </w:p>
        </w:tc>
        <w:tc>
          <w:tcPr>
            <w:tcW w:w="1134" w:type="dxa"/>
            <w:shd w:val="clear" w:color="auto" w:fill="auto"/>
          </w:tcPr>
          <w:p w:rsidR="001A1DB7" w:rsidRDefault="001A1DB7" w:rsidP="00B729EE">
            <w:pPr>
              <w:spacing w:before="120" w:after="60"/>
              <w:jc w:val="center"/>
            </w:pPr>
            <w:r>
              <w:t>2.3</w:t>
            </w:r>
          </w:p>
        </w:tc>
        <w:tc>
          <w:tcPr>
            <w:tcW w:w="2253" w:type="dxa"/>
            <w:shd w:val="clear" w:color="auto" w:fill="auto"/>
          </w:tcPr>
          <w:p w:rsidR="001A1DB7" w:rsidRDefault="001A1DB7" w:rsidP="00B729EE">
            <w:pPr>
              <w:spacing w:before="120" w:after="60"/>
            </w:pPr>
            <w:r>
              <w:t>0.57, (95% CI 0.40, 0.80);  p* = 0.0009</w:t>
            </w:r>
          </w:p>
        </w:tc>
      </w:tr>
      <w:tr w:rsidR="001A1DB7" w:rsidTr="00B729EE">
        <w:tc>
          <w:tcPr>
            <w:tcW w:w="2127" w:type="dxa"/>
            <w:shd w:val="clear" w:color="auto" w:fill="auto"/>
          </w:tcPr>
          <w:p w:rsidR="001A1DB7" w:rsidRPr="00B729EE" w:rsidRDefault="001A1DB7" w:rsidP="00B729EE">
            <w:pPr>
              <w:rPr>
                <w:b/>
              </w:rPr>
            </w:pPr>
            <w:r w:rsidRPr="00B729EE">
              <w:rPr>
                <w:b/>
              </w:rPr>
              <w:t>Stage           IVM1b/M1</w:t>
            </w:r>
            <w:r w:rsidR="00556EAC" w:rsidRPr="00B729EE">
              <w:rPr>
                <w:b/>
              </w:rPr>
              <w:t>c</w:t>
            </w:r>
          </w:p>
          <w:p w:rsidR="006756D9" w:rsidRDefault="006756D9" w:rsidP="00B729EE">
            <w:pPr>
              <w:spacing w:before="60"/>
            </w:pPr>
            <w:r w:rsidRPr="00CB1EBA">
              <w:t>(</w:t>
            </w:r>
            <w:r w:rsidR="001371A5">
              <w:t>IMLYGIC</w:t>
            </w:r>
            <w:r w:rsidRPr="00CB1EBA">
              <w:t>, n = 131; GM</w:t>
            </w:r>
            <w:r w:rsidRPr="00CB1EBA">
              <w:noBreakHyphen/>
              <w:t>CSF, n = 55)</w:t>
            </w:r>
          </w:p>
        </w:tc>
        <w:tc>
          <w:tcPr>
            <w:tcW w:w="1134" w:type="dxa"/>
            <w:shd w:val="clear" w:color="auto" w:fill="auto"/>
          </w:tcPr>
          <w:p w:rsidR="001A1DB7" w:rsidRDefault="001A1DB7" w:rsidP="00B729EE">
            <w:pPr>
              <w:spacing w:before="120" w:after="60"/>
              <w:jc w:val="center"/>
            </w:pPr>
            <w:r>
              <w:t>5.3</w:t>
            </w:r>
          </w:p>
        </w:tc>
        <w:tc>
          <w:tcPr>
            <w:tcW w:w="1134" w:type="dxa"/>
            <w:shd w:val="clear" w:color="auto" w:fill="auto"/>
          </w:tcPr>
          <w:p w:rsidR="001A1DB7" w:rsidRDefault="001A1DB7" w:rsidP="00B729EE">
            <w:pPr>
              <w:spacing w:before="120" w:after="60"/>
              <w:jc w:val="center"/>
            </w:pPr>
            <w:r>
              <w:t>3.6</w:t>
            </w:r>
          </w:p>
        </w:tc>
        <w:tc>
          <w:tcPr>
            <w:tcW w:w="1134" w:type="dxa"/>
            <w:shd w:val="clear" w:color="auto" w:fill="auto"/>
          </w:tcPr>
          <w:p w:rsidR="001A1DB7" w:rsidRDefault="001A1DB7" w:rsidP="00B729EE">
            <w:pPr>
              <w:spacing w:before="120" w:after="60"/>
              <w:jc w:val="center"/>
            </w:pPr>
            <w:r>
              <w:t>9.2</w:t>
            </w:r>
          </w:p>
        </w:tc>
        <w:tc>
          <w:tcPr>
            <w:tcW w:w="1134" w:type="dxa"/>
            <w:shd w:val="clear" w:color="auto" w:fill="auto"/>
          </w:tcPr>
          <w:p w:rsidR="001A1DB7" w:rsidRDefault="001A1DB7" w:rsidP="00B729EE">
            <w:pPr>
              <w:spacing w:before="120" w:after="60"/>
              <w:jc w:val="center"/>
            </w:pPr>
            <w:r>
              <w:t>10.9</w:t>
            </w:r>
          </w:p>
        </w:tc>
        <w:tc>
          <w:tcPr>
            <w:tcW w:w="2253" w:type="dxa"/>
            <w:shd w:val="clear" w:color="auto" w:fill="auto"/>
          </w:tcPr>
          <w:p w:rsidR="001A1DB7" w:rsidRDefault="001A1DB7" w:rsidP="00B729EE">
            <w:pPr>
              <w:spacing w:before="120" w:after="60"/>
            </w:pPr>
            <w:r>
              <w:t>1.07, (95% CI: 0.75, 1.52); p* = 0.7094</w:t>
            </w:r>
          </w:p>
        </w:tc>
      </w:tr>
    </w:tbl>
    <w:p w:rsidR="001A1DB7" w:rsidRPr="00FC6CD4" w:rsidRDefault="001A1DB7" w:rsidP="00AA5F09">
      <w:pPr>
        <w:pStyle w:val="FootnoteText"/>
        <w:ind w:hanging="2"/>
      </w:pPr>
      <w:r>
        <w:t>*</w:t>
      </w:r>
      <w:r w:rsidRPr="00FC6CD4">
        <w:t>p-values are descriptive</w:t>
      </w:r>
    </w:p>
    <w:p w:rsidR="006C09B6" w:rsidRDefault="006C09B6" w:rsidP="00525210"/>
    <w:p w:rsidR="00EA6654" w:rsidRPr="002B6DC1" w:rsidRDefault="00EA6654" w:rsidP="002B6DC1">
      <w:pPr>
        <w:pStyle w:val="Heading7Bold"/>
        <w:rPr>
          <w:u w:val="single"/>
        </w:rPr>
      </w:pPr>
      <w:r w:rsidRPr="002B6DC1">
        <w:rPr>
          <w:u w:val="single"/>
        </w:rPr>
        <w:t xml:space="preserve">Supportive Data in Melanoma </w:t>
      </w:r>
    </w:p>
    <w:p w:rsidR="00EA6654" w:rsidRPr="006D7DC1" w:rsidRDefault="00EA6654" w:rsidP="002B6DC1">
      <w:pPr>
        <w:pStyle w:val="Heading7Bold"/>
        <w:rPr>
          <w:rFonts w:cs="Arial"/>
          <w:color w:val="000000"/>
        </w:rPr>
      </w:pPr>
      <w:r w:rsidRPr="006D7DC1">
        <w:rPr>
          <w:lang w:val="en-GB"/>
        </w:rPr>
        <w:t>Study 2</w:t>
      </w:r>
    </w:p>
    <w:p w:rsidR="00456DDE" w:rsidRPr="00456DDE" w:rsidRDefault="00EA6654" w:rsidP="00047BBF">
      <w:pPr>
        <w:pStyle w:val="Text"/>
        <w:rPr>
          <w:lang w:val="en-GB"/>
        </w:rPr>
      </w:pPr>
      <w:r w:rsidRPr="006D7DC1">
        <w:rPr>
          <w:lang w:val="en-GB"/>
        </w:rPr>
        <w:t xml:space="preserve">In the single arm open-label phase 2 study investigating </w:t>
      </w:r>
      <w:r w:rsidR="001371A5">
        <w:rPr>
          <w:lang w:val="en-GB"/>
        </w:rPr>
        <w:t>IMLYGIC</w:t>
      </w:r>
      <w:r w:rsidRPr="006D7DC1">
        <w:rPr>
          <w:lang w:val="en-GB"/>
        </w:rPr>
        <w:t xml:space="preserve">, patients with Stage IIIC or Stage IV melanoma, were treated with up to 24 doses of </w:t>
      </w:r>
      <w:r w:rsidR="001371A5">
        <w:rPr>
          <w:lang w:val="en-GB"/>
        </w:rPr>
        <w:t>IMLYGIC</w:t>
      </w:r>
      <w:r w:rsidRPr="006D7DC1">
        <w:rPr>
          <w:lang w:val="en-GB"/>
        </w:rPr>
        <w:t xml:space="preserve">.  Of the 50 patients enrolled, 14 (28%) achieved a response - 8 (16%) of which were CRs.  Three patients received additional treatment with </w:t>
      </w:r>
      <w:r w:rsidR="001371A5">
        <w:rPr>
          <w:lang w:val="en-GB"/>
        </w:rPr>
        <w:t>IMLYGIC</w:t>
      </w:r>
      <w:r w:rsidRPr="006D7DC1">
        <w:rPr>
          <w:lang w:val="en-GB"/>
        </w:rPr>
        <w:t xml:space="preserve"> in an optional extension study, in which one additional CR was observed resulting in a combined overall response rate of 30%.  Of the 15 responses that occurred, eight were still ongoing at end of year 1 and two were ongoing at the end of year 2.  The safety profile for patients in Study 2 was comparable to that in Study 1.</w:t>
      </w:r>
    </w:p>
    <w:p w:rsidR="005E3C40" w:rsidRPr="002B6DC1" w:rsidRDefault="00EA6654" w:rsidP="002B6DC1">
      <w:pPr>
        <w:pStyle w:val="Heading0"/>
        <w:pageBreakBefore w:val="0"/>
      </w:pPr>
      <w:r w:rsidRPr="002B6DC1">
        <w:t>INDICATIONS</w:t>
      </w:r>
    </w:p>
    <w:p w:rsidR="00EA6654" w:rsidRPr="006D7DC1" w:rsidRDefault="001371A5" w:rsidP="002B6DC1">
      <w:pPr>
        <w:pStyle w:val="Text"/>
        <w:rPr>
          <w:lang w:val="en"/>
        </w:rPr>
      </w:pPr>
      <w:r>
        <w:rPr>
          <w:lang w:val="en"/>
        </w:rPr>
        <w:t>IMLYGIC</w:t>
      </w:r>
      <w:r w:rsidR="003A1AD5" w:rsidRPr="006D7DC1">
        <w:rPr>
          <w:lang w:val="en"/>
        </w:rPr>
        <w:t xml:space="preserve"> is indicated </w:t>
      </w:r>
      <w:r w:rsidR="004A32A8" w:rsidRPr="004A32A8">
        <w:rPr>
          <w:lang w:val="en"/>
        </w:rPr>
        <w:t>as monotherapy</w:t>
      </w:r>
      <w:r w:rsidR="004A32A8">
        <w:rPr>
          <w:b/>
          <w:bCs/>
        </w:rPr>
        <w:t xml:space="preserve"> </w:t>
      </w:r>
      <w:r w:rsidR="003A1AD5" w:rsidRPr="006D7DC1">
        <w:rPr>
          <w:lang w:val="en"/>
        </w:rPr>
        <w:t>for the treatment of</w:t>
      </w:r>
      <w:r w:rsidR="003D07C7" w:rsidRPr="006D7DC1">
        <w:rPr>
          <w:lang w:val="en"/>
        </w:rPr>
        <w:t xml:space="preserve"> </w:t>
      </w:r>
      <w:r w:rsidR="00D74033" w:rsidRPr="006D7DC1">
        <w:rPr>
          <w:lang w:val="en"/>
        </w:rPr>
        <w:t>melanoma</w:t>
      </w:r>
      <w:r w:rsidR="00D74033">
        <w:rPr>
          <w:lang w:val="en"/>
        </w:rPr>
        <w:t xml:space="preserve"> </w:t>
      </w:r>
      <w:r w:rsidR="001113A0">
        <w:rPr>
          <w:lang w:val="en"/>
        </w:rPr>
        <w:t xml:space="preserve">in patients with </w:t>
      </w:r>
      <w:proofErr w:type="spellStart"/>
      <w:r w:rsidR="001113A0" w:rsidRPr="001113A0">
        <w:rPr>
          <w:lang w:val="en"/>
        </w:rPr>
        <w:t>unresectable</w:t>
      </w:r>
      <w:proofErr w:type="spellEnd"/>
      <w:r w:rsidR="001113A0" w:rsidRPr="001113A0">
        <w:rPr>
          <w:lang w:val="en"/>
        </w:rPr>
        <w:t xml:space="preserve"> cutaneous</w:t>
      </w:r>
      <w:r w:rsidR="001113A0">
        <w:rPr>
          <w:lang w:val="en"/>
        </w:rPr>
        <w:t>,</w:t>
      </w:r>
      <w:r w:rsidR="001113A0" w:rsidRPr="001113A0">
        <w:rPr>
          <w:lang w:val="en"/>
        </w:rPr>
        <w:t xml:space="preserve"> subcutaneous or nodal lesions </w:t>
      </w:r>
      <w:r w:rsidR="00385AEB">
        <w:rPr>
          <w:lang w:val="en"/>
        </w:rPr>
        <w:t>after</w:t>
      </w:r>
      <w:r w:rsidR="002E32E2">
        <w:rPr>
          <w:lang w:val="en"/>
        </w:rPr>
        <w:t xml:space="preserve"> initial surgery</w:t>
      </w:r>
      <w:r w:rsidR="00AB456A" w:rsidRPr="006D7DC1">
        <w:rPr>
          <w:lang w:val="en"/>
        </w:rPr>
        <w:t>.</w:t>
      </w:r>
    </w:p>
    <w:p w:rsidR="005E3C40" w:rsidRPr="002B6DC1" w:rsidRDefault="00EA6654" w:rsidP="002B6DC1">
      <w:pPr>
        <w:pStyle w:val="Heading0"/>
        <w:pageBreakBefore w:val="0"/>
      </w:pPr>
      <w:r w:rsidRPr="002B6DC1">
        <w:t>CONTRAINDICATIONS</w:t>
      </w:r>
    </w:p>
    <w:p w:rsidR="00AE1E81" w:rsidRPr="006D7DC1" w:rsidRDefault="001371A5" w:rsidP="002B6DC1">
      <w:pPr>
        <w:pStyle w:val="Text"/>
        <w:rPr>
          <w:lang w:val="en"/>
        </w:rPr>
      </w:pPr>
      <w:r>
        <w:rPr>
          <w:lang w:val="en"/>
        </w:rPr>
        <w:t>IMLYGIC</w:t>
      </w:r>
      <w:r w:rsidR="00AE1E81" w:rsidRPr="006D7DC1">
        <w:rPr>
          <w:lang w:val="en"/>
        </w:rPr>
        <w:t xml:space="preserve"> is contraindicated in</w:t>
      </w:r>
      <w:r w:rsidR="00CD3231" w:rsidRPr="006D7DC1">
        <w:rPr>
          <w:lang w:val="en"/>
        </w:rPr>
        <w:t xml:space="preserve"> patients</w:t>
      </w:r>
      <w:r w:rsidR="00AE1E81" w:rsidRPr="006D7DC1">
        <w:rPr>
          <w:lang w:val="en"/>
        </w:rPr>
        <w:t>:</w:t>
      </w:r>
    </w:p>
    <w:p w:rsidR="00755892" w:rsidRPr="006D7DC1" w:rsidRDefault="00755892" w:rsidP="002B6DC1">
      <w:pPr>
        <w:pStyle w:val="TextBullet"/>
        <w:rPr>
          <w:lang w:val="en"/>
        </w:rPr>
      </w:pPr>
      <w:r w:rsidRPr="006D7DC1">
        <w:rPr>
          <w:lang w:val="en"/>
        </w:rPr>
        <w:t xml:space="preserve">with known hypersensitivity to </w:t>
      </w:r>
      <w:proofErr w:type="spellStart"/>
      <w:r w:rsidRPr="006D7DC1">
        <w:rPr>
          <w:lang w:val="en"/>
        </w:rPr>
        <w:t>talimogene</w:t>
      </w:r>
      <w:proofErr w:type="spellEnd"/>
      <w:r w:rsidRPr="006D7DC1">
        <w:rPr>
          <w:lang w:val="en"/>
        </w:rPr>
        <w:t xml:space="preserve"> </w:t>
      </w:r>
      <w:proofErr w:type="spellStart"/>
      <w:r w:rsidRPr="006D7DC1">
        <w:rPr>
          <w:lang w:val="en"/>
        </w:rPr>
        <w:t>laherparepvec</w:t>
      </w:r>
      <w:proofErr w:type="spellEnd"/>
      <w:r w:rsidRPr="006D7DC1">
        <w:rPr>
          <w:lang w:val="en"/>
        </w:rPr>
        <w:t xml:space="preserve"> </w:t>
      </w:r>
      <w:r w:rsidR="00702FC1" w:rsidRPr="006D7DC1">
        <w:rPr>
          <w:lang w:val="en"/>
        </w:rPr>
        <w:t xml:space="preserve">or </w:t>
      </w:r>
      <w:r w:rsidR="00B15D1F">
        <w:rPr>
          <w:lang w:val="en"/>
        </w:rPr>
        <w:t xml:space="preserve">excipients [see </w:t>
      </w:r>
      <w:r w:rsidR="00B15D1F" w:rsidRPr="00B15D1F">
        <w:rPr>
          <w:b/>
          <w:lang w:val="en"/>
        </w:rPr>
        <w:t>DESCRIPTION</w:t>
      </w:r>
      <w:r w:rsidR="00B15D1F">
        <w:rPr>
          <w:lang w:val="en"/>
        </w:rPr>
        <w:t>]</w:t>
      </w:r>
    </w:p>
    <w:p w:rsidR="00AE1E81" w:rsidRPr="006D7DC1" w:rsidRDefault="00AE1E81" w:rsidP="002B6DC1">
      <w:pPr>
        <w:pStyle w:val="TextBullet"/>
        <w:rPr>
          <w:lang w:val="en"/>
        </w:rPr>
      </w:pPr>
      <w:proofErr w:type="gramStart"/>
      <w:r w:rsidRPr="006D7DC1">
        <w:rPr>
          <w:lang w:val="en"/>
        </w:rPr>
        <w:t>who</w:t>
      </w:r>
      <w:proofErr w:type="gramEnd"/>
      <w:r w:rsidRPr="006D7DC1">
        <w:rPr>
          <w:lang w:val="en"/>
        </w:rPr>
        <w:t xml:space="preserve"> are severely immunocompromised (e.g., patients with severe congenital or acquired cellular</w:t>
      </w:r>
      <w:r w:rsidR="00CD3231" w:rsidRPr="006D7DC1">
        <w:rPr>
          <w:lang w:val="en"/>
        </w:rPr>
        <w:t xml:space="preserve"> </w:t>
      </w:r>
      <w:r w:rsidRPr="006D7DC1">
        <w:rPr>
          <w:lang w:val="en"/>
        </w:rPr>
        <w:t>and/or humoral immune deficiency). These patients may be at risk for life-threatening disseminated</w:t>
      </w:r>
      <w:r w:rsidR="00CD3231" w:rsidRPr="006D7DC1">
        <w:rPr>
          <w:lang w:val="en"/>
        </w:rPr>
        <w:t xml:space="preserve"> </w:t>
      </w:r>
      <w:r w:rsidRPr="006D7DC1">
        <w:rPr>
          <w:lang w:val="en"/>
        </w:rPr>
        <w:t xml:space="preserve">herpetic infection [see </w:t>
      </w:r>
      <w:r w:rsidR="00755892" w:rsidRPr="00B15D1F">
        <w:rPr>
          <w:b/>
          <w:lang w:val="en"/>
        </w:rPr>
        <w:t>PRECAUTIONS</w:t>
      </w:r>
      <w:r w:rsidR="00755892" w:rsidRPr="006D7DC1">
        <w:rPr>
          <w:lang w:val="en"/>
        </w:rPr>
        <w:t xml:space="preserve">: </w:t>
      </w:r>
      <w:r w:rsidR="00755892" w:rsidRPr="00B15D1F">
        <w:rPr>
          <w:b/>
          <w:lang w:val="en"/>
        </w:rPr>
        <w:t xml:space="preserve">Immunocompromised </w:t>
      </w:r>
      <w:r w:rsidR="00F663CC">
        <w:rPr>
          <w:b/>
          <w:lang w:val="en"/>
        </w:rPr>
        <w:t>P</w:t>
      </w:r>
      <w:r w:rsidR="00755892" w:rsidRPr="00B15D1F">
        <w:rPr>
          <w:b/>
          <w:lang w:val="en"/>
        </w:rPr>
        <w:t>atients</w:t>
      </w:r>
      <w:r w:rsidR="00CD3231" w:rsidRPr="006D7DC1">
        <w:rPr>
          <w:lang w:val="en"/>
        </w:rPr>
        <w:t>]</w:t>
      </w:r>
    </w:p>
    <w:p w:rsidR="005E3C40" w:rsidRPr="002B6DC1" w:rsidRDefault="0042766E" w:rsidP="002B6DC1">
      <w:pPr>
        <w:pStyle w:val="Heading0"/>
        <w:pageBreakBefore w:val="0"/>
      </w:pPr>
      <w:r w:rsidRPr="002B6DC1">
        <w:lastRenderedPageBreak/>
        <w:t>PRECAUTIONS</w:t>
      </w:r>
    </w:p>
    <w:p w:rsidR="00FD23C1" w:rsidRPr="002B6DC1" w:rsidRDefault="00FD23C1" w:rsidP="002B6DC1">
      <w:pPr>
        <w:pStyle w:val="Heading7Bold"/>
      </w:pPr>
      <w:bookmarkStart w:id="6" w:name="OLE_LINK1"/>
      <w:bookmarkStart w:id="7" w:name="OLE_LINK2"/>
      <w:r w:rsidRPr="002B6DC1">
        <w:t>Immunocompromised Patients</w:t>
      </w:r>
    </w:p>
    <w:p w:rsidR="00CA47E6" w:rsidRPr="006D7DC1" w:rsidRDefault="001371A5" w:rsidP="00456DDE">
      <w:pPr>
        <w:pStyle w:val="Text"/>
        <w:rPr>
          <w:szCs w:val="22"/>
        </w:rPr>
      </w:pPr>
      <w:r>
        <w:rPr>
          <w:lang w:val="en"/>
        </w:rPr>
        <w:t>IMLYGIC</w:t>
      </w:r>
      <w:r w:rsidR="00FD23C1" w:rsidRPr="006D7DC1">
        <w:rPr>
          <w:lang w:val="en"/>
        </w:rPr>
        <w:t xml:space="preserve"> has not been studied in immunocompromised patients. </w:t>
      </w:r>
      <w:r w:rsidR="00755892" w:rsidRPr="006D7DC1">
        <w:rPr>
          <w:lang w:val="en"/>
        </w:rPr>
        <w:t xml:space="preserve"> </w:t>
      </w:r>
      <w:r>
        <w:rPr>
          <w:lang w:val="en"/>
        </w:rPr>
        <w:t>IMLYGIC</w:t>
      </w:r>
      <w:r w:rsidR="008F7FD1" w:rsidRPr="006D7DC1">
        <w:rPr>
          <w:lang w:val="en"/>
        </w:rPr>
        <w:t xml:space="preserve"> was injected into xenograft </w:t>
      </w:r>
      <w:proofErr w:type="spellStart"/>
      <w:r w:rsidR="008F7FD1" w:rsidRPr="006D7DC1">
        <w:rPr>
          <w:lang w:val="en"/>
        </w:rPr>
        <w:t>tumours</w:t>
      </w:r>
      <w:proofErr w:type="spellEnd"/>
      <w:r w:rsidR="008F7FD1" w:rsidRPr="006D7DC1">
        <w:rPr>
          <w:lang w:val="en"/>
        </w:rPr>
        <w:t xml:space="preserve"> at doses up to 2 x 10</w:t>
      </w:r>
      <w:r w:rsidR="008F7FD1" w:rsidRPr="006D7DC1">
        <w:rPr>
          <w:vertAlign w:val="superscript"/>
          <w:lang w:val="en"/>
        </w:rPr>
        <w:t>8</w:t>
      </w:r>
      <w:r w:rsidR="008F7FD1" w:rsidRPr="006D7DC1">
        <w:rPr>
          <w:lang w:val="en"/>
        </w:rPr>
        <w:t xml:space="preserve"> PFU/kg (30-fold over the maximum clinical dose) in </w:t>
      </w:r>
      <w:proofErr w:type="spellStart"/>
      <w:r w:rsidR="008F7FD1" w:rsidRPr="006D7DC1">
        <w:rPr>
          <w:lang w:val="en"/>
        </w:rPr>
        <w:t>immunodeficient</w:t>
      </w:r>
      <w:proofErr w:type="spellEnd"/>
      <w:r w:rsidR="008F7FD1" w:rsidRPr="006D7DC1">
        <w:rPr>
          <w:lang w:val="en"/>
        </w:rPr>
        <w:t xml:space="preserve"> mice [nude and with Severe Combined Immunodeficiency (SCID)].  Lethal systemic viral infection was observed in up to 20% of nude mice (primarily deficient in T lymphocyte function) and 100% of SCID mice (devoid of both T and B lymphocytes).</w:t>
      </w:r>
    </w:p>
    <w:p w:rsidR="00FD23C1" w:rsidRPr="006D7DC1" w:rsidRDefault="00FD23C1" w:rsidP="00456DDE">
      <w:pPr>
        <w:pStyle w:val="Text"/>
        <w:rPr>
          <w:lang w:val="en"/>
        </w:rPr>
      </w:pPr>
      <w:r w:rsidRPr="006D7DC1">
        <w:rPr>
          <w:lang w:val="en"/>
        </w:rPr>
        <w:t xml:space="preserve">Based </w:t>
      </w:r>
      <w:r w:rsidR="005A6E40" w:rsidRPr="006D7DC1">
        <w:rPr>
          <w:lang w:val="en"/>
        </w:rPr>
        <w:t xml:space="preserve">on the </w:t>
      </w:r>
      <w:r w:rsidRPr="006D7DC1">
        <w:rPr>
          <w:lang w:val="en"/>
        </w:rPr>
        <w:t xml:space="preserve">animal data, patients who are severely immunocompromised may be at an increased risk of disseminated herpetic infection and should not be treated with </w:t>
      </w:r>
      <w:r w:rsidR="001371A5">
        <w:rPr>
          <w:lang w:val="en"/>
        </w:rPr>
        <w:t>IMLYGIC</w:t>
      </w:r>
      <w:r w:rsidRPr="006D7DC1">
        <w:rPr>
          <w:lang w:val="en"/>
        </w:rPr>
        <w:t xml:space="preserve"> [see </w:t>
      </w:r>
      <w:r w:rsidR="00755892" w:rsidRPr="00B729EE">
        <w:rPr>
          <w:b/>
          <w:lang w:val="en"/>
        </w:rPr>
        <w:t>CONTRAINDICATIONS</w:t>
      </w:r>
      <w:r w:rsidRPr="006D7DC1">
        <w:rPr>
          <w:lang w:val="en"/>
        </w:rPr>
        <w:t xml:space="preserve">]. </w:t>
      </w:r>
      <w:r w:rsidR="00755892" w:rsidRPr="006D7DC1">
        <w:rPr>
          <w:lang w:val="en"/>
        </w:rPr>
        <w:t xml:space="preserve"> </w:t>
      </w:r>
      <w:r w:rsidRPr="006D7DC1">
        <w:rPr>
          <w:lang w:val="en"/>
        </w:rPr>
        <w:t xml:space="preserve">Disseminated herpetic infection may also occur in immunocompromised patients (such as those with HIV/AIDS, </w:t>
      </w:r>
      <w:proofErr w:type="spellStart"/>
      <w:r w:rsidRPr="006D7DC1">
        <w:rPr>
          <w:lang w:val="en"/>
        </w:rPr>
        <w:t>leuk</w:t>
      </w:r>
      <w:r w:rsidR="00755892" w:rsidRPr="006D7DC1">
        <w:rPr>
          <w:lang w:val="en"/>
        </w:rPr>
        <w:t>a</w:t>
      </w:r>
      <w:r w:rsidRPr="006D7DC1">
        <w:rPr>
          <w:lang w:val="en"/>
        </w:rPr>
        <w:t>emia</w:t>
      </w:r>
      <w:proofErr w:type="spellEnd"/>
      <w:r w:rsidRPr="006D7DC1">
        <w:rPr>
          <w:lang w:val="en"/>
        </w:rPr>
        <w:t>, lymphoma, common variable immunodeficiency, or who require chronic high-dose steroids or other immunosuppressive agents).</w:t>
      </w:r>
      <w:r w:rsidR="00755892" w:rsidRPr="006D7DC1">
        <w:rPr>
          <w:lang w:val="en"/>
        </w:rPr>
        <w:t xml:space="preserve"> </w:t>
      </w:r>
      <w:r w:rsidRPr="006D7DC1">
        <w:rPr>
          <w:lang w:val="en"/>
        </w:rPr>
        <w:t xml:space="preserve"> Consider the risks and benefits of treatment before administering </w:t>
      </w:r>
      <w:r w:rsidR="001371A5">
        <w:rPr>
          <w:lang w:val="en"/>
        </w:rPr>
        <w:t>IMLYGIC</w:t>
      </w:r>
      <w:r w:rsidRPr="006D7DC1">
        <w:rPr>
          <w:lang w:val="en"/>
        </w:rPr>
        <w:t xml:space="preserve"> to these patients.</w:t>
      </w:r>
    </w:p>
    <w:bookmarkEnd w:id="6"/>
    <w:bookmarkEnd w:id="7"/>
    <w:p w:rsidR="00FD23C1" w:rsidRPr="006D7DC1" w:rsidRDefault="00FD23C1" w:rsidP="002B6DC1">
      <w:pPr>
        <w:pStyle w:val="Heading7Bold"/>
      </w:pPr>
      <w:r w:rsidRPr="006D7DC1">
        <w:t xml:space="preserve">Accidental Exposure to </w:t>
      </w:r>
      <w:r w:rsidR="001371A5">
        <w:t>IMLYGIC</w:t>
      </w:r>
    </w:p>
    <w:p w:rsidR="00596640" w:rsidRDefault="00FD23C1" w:rsidP="00456DDE">
      <w:pPr>
        <w:pStyle w:val="Text"/>
        <w:rPr>
          <w:lang w:val="en"/>
        </w:rPr>
      </w:pPr>
      <w:r w:rsidRPr="006D7DC1">
        <w:rPr>
          <w:lang w:val="en"/>
        </w:rPr>
        <w:t xml:space="preserve">Accidental exposure may lead to transmission of </w:t>
      </w:r>
      <w:r w:rsidR="001371A5">
        <w:rPr>
          <w:lang w:val="en"/>
        </w:rPr>
        <w:t>IMLYGIC</w:t>
      </w:r>
      <w:r w:rsidRPr="006D7DC1">
        <w:rPr>
          <w:lang w:val="en"/>
        </w:rPr>
        <w:t xml:space="preserve"> and herpetic infection. </w:t>
      </w:r>
      <w:r w:rsidR="00755892" w:rsidRPr="006D7DC1">
        <w:rPr>
          <w:lang w:val="en"/>
        </w:rPr>
        <w:t xml:space="preserve"> </w:t>
      </w:r>
      <w:r w:rsidRPr="006D7DC1">
        <w:rPr>
          <w:lang w:val="en"/>
        </w:rPr>
        <w:t>Healthcare providers and close contacts (household members, caregivers, sex partners or persons sharing the same bed) should avoid direct contact with injected lesions or body fluids of treated patients</w:t>
      </w:r>
      <w:r w:rsidR="0057362E">
        <w:rPr>
          <w:lang w:val="en"/>
        </w:rPr>
        <w:t xml:space="preserve"> </w:t>
      </w:r>
      <w:r w:rsidR="0057362E" w:rsidRPr="0057362E">
        <w:rPr>
          <w:lang w:val="en"/>
        </w:rPr>
        <w:t>during the entirety of the treatment period and up to</w:t>
      </w:r>
      <w:r w:rsidR="0057362E">
        <w:rPr>
          <w:lang w:val="en"/>
        </w:rPr>
        <w:t xml:space="preserve"> </w:t>
      </w:r>
      <w:r w:rsidR="0057362E" w:rsidRPr="0057362E">
        <w:rPr>
          <w:lang w:val="en"/>
        </w:rPr>
        <w:t>30 days after the last treatment administration</w:t>
      </w:r>
      <w:r w:rsidR="00D74033">
        <w:rPr>
          <w:lang w:val="en"/>
        </w:rPr>
        <w:t xml:space="preserve"> </w:t>
      </w:r>
      <w:r w:rsidR="008477E1">
        <w:rPr>
          <w:lang w:val="en"/>
        </w:rPr>
        <w:t>[</w:t>
      </w:r>
      <w:r w:rsidR="00D74033">
        <w:rPr>
          <w:lang w:val="en"/>
        </w:rPr>
        <w:t xml:space="preserve">see </w:t>
      </w:r>
      <w:r w:rsidR="00B15D1F" w:rsidRPr="00B15D1F">
        <w:rPr>
          <w:b/>
          <w:lang w:val="en"/>
        </w:rPr>
        <w:t>PHARMACOLOGY</w:t>
      </w:r>
      <w:r w:rsidR="00B15D1F">
        <w:rPr>
          <w:lang w:val="en"/>
        </w:rPr>
        <w:t xml:space="preserve"> </w:t>
      </w:r>
      <w:r w:rsidR="00D74033">
        <w:rPr>
          <w:i/>
          <w:lang w:val="en"/>
        </w:rPr>
        <w:t xml:space="preserve">Clinical </w:t>
      </w:r>
      <w:proofErr w:type="spellStart"/>
      <w:r w:rsidR="00D74033">
        <w:rPr>
          <w:i/>
          <w:lang w:val="en"/>
        </w:rPr>
        <w:t>Biodistri</w:t>
      </w:r>
      <w:r w:rsidR="00D74033" w:rsidRPr="00D74033">
        <w:rPr>
          <w:i/>
          <w:lang w:val="en"/>
        </w:rPr>
        <w:t>bution</w:t>
      </w:r>
      <w:proofErr w:type="spellEnd"/>
      <w:r w:rsidR="00D74033" w:rsidRPr="00D74033">
        <w:rPr>
          <w:i/>
          <w:lang w:val="en"/>
        </w:rPr>
        <w:t xml:space="preserve"> and Shedding</w:t>
      </w:r>
      <w:r w:rsidR="008477E1" w:rsidRPr="00195B10">
        <w:rPr>
          <w:lang w:val="en"/>
        </w:rPr>
        <w:t>]</w:t>
      </w:r>
      <w:r w:rsidRPr="00195B10">
        <w:rPr>
          <w:lang w:val="en"/>
        </w:rPr>
        <w:t>.</w:t>
      </w:r>
      <w:r w:rsidRPr="006D7DC1">
        <w:rPr>
          <w:lang w:val="en"/>
        </w:rPr>
        <w:t xml:space="preserve"> </w:t>
      </w:r>
      <w:r w:rsidR="007536E2" w:rsidRPr="006D7DC1">
        <w:rPr>
          <w:lang w:val="en"/>
        </w:rPr>
        <w:t xml:space="preserve"> </w:t>
      </w:r>
      <w:r w:rsidR="00E16409" w:rsidRPr="006D7DC1">
        <w:t xml:space="preserve">Healthcare providers who are immunocompromised should not administer </w:t>
      </w:r>
      <w:r w:rsidR="001371A5">
        <w:t>IMLYGIC</w:t>
      </w:r>
      <w:r w:rsidR="001371A5" w:rsidRPr="006D7DC1">
        <w:t xml:space="preserve"> </w:t>
      </w:r>
      <w:r w:rsidR="00E16409" w:rsidRPr="006D7DC1">
        <w:t xml:space="preserve">and should not come into direct contact with the </w:t>
      </w:r>
      <w:r w:rsidR="001371A5">
        <w:t>IMLYGIC</w:t>
      </w:r>
      <w:r w:rsidR="001371A5" w:rsidRPr="006D7DC1">
        <w:t xml:space="preserve"> </w:t>
      </w:r>
      <w:r w:rsidR="00E16409" w:rsidRPr="006D7DC1">
        <w:t>injection sites or body fluids of treated patients</w:t>
      </w:r>
      <w:r w:rsidR="008477E1">
        <w:t xml:space="preserve"> [see </w:t>
      </w:r>
      <w:r w:rsidR="008477E1" w:rsidRPr="008477E1">
        <w:rPr>
          <w:i/>
        </w:rPr>
        <w:t>Dosage and Administration</w:t>
      </w:r>
      <w:r w:rsidR="008477E1">
        <w:t>]</w:t>
      </w:r>
      <w:r w:rsidR="00E16409">
        <w:t xml:space="preserve">. </w:t>
      </w:r>
      <w:r w:rsidR="00E16409" w:rsidRPr="006D7DC1">
        <w:t xml:space="preserve"> </w:t>
      </w:r>
      <w:r w:rsidRPr="006D7DC1">
        <w:rPr>
          <w:lang w:val="en"/>
        </w:rPr>
        <w:t xml:space="preserve">Accidental needle stick and splash back have been reported in healthcare providers during preparation and administration of </w:t>
      </w:r>
      <w:r w:rsidR="001371A5">
        <w:rPr>
          <w:lang w:val="en"/>
        </w:rPr>
        <w:t>IMLYGIC</w:t>
      </w:r>
      <w:r w:rsidRPr="006D7DC1">
        <w:rPr>
          <w:lang w:val="en"/>
        </w:rPr>
        <w:t xml:space="preserve">. </w:t>
      </w:r>
      <w:r w:rsidR="007536E2" w:rsidRPr="006D7DC1">
        <w:rPr>
          <w:lang w:val="en"/>
        </w:rPr>
        <w:t xml:space="preserve"> </w:t>
      </w:r>
    </w:p>
    <w:p w:rsidR="00FD23C1" w:rsidRDefault="00FD23C1" w:rsidP="00456DDE">
      <w:pPr>
        <w:pStyle w:val="Text"/>
        <w:rPr>
          <w:lang w:val="en"/>
        </w:rPr>
      </w:pPr>
      <w:r w:rsidRPr="006D7DC1">
        <w:rPr>
          <w:lang w:val="en"/>
        </w:rPr>
        <w:t xml:space="preserve">Patients should be advised to avoid touching or scratching injection sites as this could lead to inadvertent transfer of </w:t>
      </w:r>
      <w:r w:rsidR="001371A5">
        <w:rPr>
          <w:lang w:val="en"/>
        </w:rPr>
        <w:t>IMLYGIC</w:t>
      </w:r>
      <w:r w:rsidRPr="006D7DC1">
        <w:rPr>
          <w:lang w:val="en"/>
        </w:rPr>
        <w:t xml:space="preserve"> to other areas of their body. </w:t>
      </w:r>
    </w:p>
    <w:p w:rsidR="0057362E" w:rsidRDefault="0057362E" w:rsidP="0057362E">
      <w:pPr>
        <w:pStyle w:val="Text"/>
        <w:rPr>
          <w:lang w:val="en"/>
        </w:rPr>
      </w:pPr>
      <w:r w:rsidRPr="0057362E">
        <w:rPr>
          <w:lang w:val="en"/>
        </w:rPr>
        <w:t xml:space="preserve">Although it is not known if </w:t>
      </w:r>
      <w:r w:rsidR="001371A5">
        <w:rPr>
          <w:lang w:val="en"/>
        </w:rPr>
        <w:t>IMLYGIC</w:t>
      </w:r>
      <w:r w:rsidRPr="0057362E">
        <w:rPr>
          <w:lang w:val="en"/>
        </w:rPr>
        <w:t xml:space="preserve"> could be transmitted through sexual contact, it is known that wild-type HSV-1</w:t>
      </w:r>
      <w:r>
        <w:rPr>
          <w:lang w:val="en"/>
        </w:rPr>
        <w:t xml:space="preserve"> </w:t>
      </w:r>
      <w:r w:rsidRPr="0057362E">
        <w:rPr>
          <w:lang w:val="en"/>
        </w:rPr>
        <w:t>can be transmitted through sexual contact. Patients should be advised to use a latex condom during sexual</w:t>
      </w:r>
      <w:r>
        <w:rPr>
          <w:lang w:val="en"/>
        </w:rPr>
        <w:t xml:space="preserve"> </w:t>
      </w:r>
      <w:r w:rsidRPr="0057362E">
        <w:rPr>
          <w:lang w:val="en"/>
        </w:rPr>
        <w:t xml:space="preserve">contact to prevent possible transmission of </w:t>
      </w:r>
      <w:r w:rsidR="001371A5">
        <w:rPr>
          <w:lang w:val="en"/>
        </w:rPr>
        <w:t>IMLYGIC</w:t>
      </w:r>
      <w:r w:rsidRPr="0057362E">
        <w:rPr>
          <w:lang w:val="en"/>
        </w:rPr>
        <w:t xml:space="preserve">. </w:t>
      </w:r>
      <w:r w:rsidR="00111CA1">
        <w:rPr>
          <w:lang w:val="en"/>
        </w:rPr>
        <w:t xml:space="preserve"> Women of childbearing potential should be advised to use an effective </w:t>
      </w:r>
      <w:r w:rsidR="00111CA1">
        <w:rPr>
          <w:lang w:val="en"/>
        </w:rPr>
        <w:lastRenderedPageBreak/>
        <w:t xml:space="preserve">method of contraception to prevent pregnancy during treatment with </w:t>
      </w:r>
      <w:r w:rsidR="001371A5">
        <w:rPr>
          <w:lang w:val="en"/>
        </w:rPr>
        <w:t>IMLYGIC</w:t>
      </w:r>
      <w:r w:rsidR="00111CA1">
        <w:rPr>
          <w:lang w:val="en"/>
        </w:rPr>
        <w:t xml:space="preserve"> [</w:t>
      </w:r>
      <w:r w:rsidR="00111CA1" w:rsidRPr="00B15D1F">
        <w:rPr>
          <w:lang w:val="en"/>
        </w:rPr>
        <w:t xml:space="preserve">see </w:t>
      </w:r>
      <w:r w:rsidR="00111CA1" w:rsidRPr="00B15D1F">
        <w:rPr>
          <w:b/>
          <w:lang w:val="en"/>
        </w:rPr>
        <w:t>Use in Pregnancy</w:t>
      </w:r>
      <w:r w:rsidR="00111CA1">
        <w:rPr>
          <w:lang w:val="en"/>
        </w:rPr>
        <w:t>]</w:t>
      </w:r>
      <w:r w:rsidR="00195B10">
        <w:rPr>
          <w:lang w:val="en"/>
        </w:rPr>
        <w:t>.</w:t>
      </w:r>
    </w:p>
    <w:p w:rsidR="00FD23C1" w:rsidRPr="006D7DC1" w:rsidRDefault="00FD23C1" w:rsidP="00CC45A4">
      <w:pPr>
        <w:pStyle w:val="Text"/>
        <w:rPr>
          <w:lang w:val="en"/>
        </w:rPr>
      </w:pPr>
      <w:r w:rsidRPr="006D7DC1">
        <w:rPr>
          <w:lang w:val="en"/>
        </w:rPr>
        <w:t xml:space="preserve">Close contacts </w:t>
      </w:r>
      <w:proofErr w:type="gramStart"/>
      <w:r w:rsidRPr="006D7DC1">
        <w:rPr>
          <w:lang w:val="en"/>
        </w:rPr>
        <w:t>who</w:t>
      </w:r>
      <w:proofErr w:type="gramEnd"/>
      <w:r w:rsidRPr="006D7DC1">
        <w:rPr>
          <w:lang w:val="en"/>
        </w:rPr>
        <w:t xml:space="preserve"> are pregnant or immunocompromised should not change the patient’s dressings or clean their injection sites.</w:t>
      </w:r>
      <w:r w:rsidR="00CC45A4">
        <w:rPr>
          <w:lang w:val="en"/>
        </w:rPr>
        <w:t xml:space="preserve">  </w:t>
      </w:r>
      <w:r w:rsidR="00CC45A4" w:rsidRPr="00CC45A4">
        <w:rPr>
          <w:lang w:val="en"/>
        </w:rPr>
        <w:t xml:space="preserve">Pregnant women, infants less than 3 months </w:t>
      </w:r>
      <w:proofErr w:type="gramStart"/>
      <w:r w:rsidR="00CC45A4" w:rsidRPr="00CC45A4">
        <w:rPr>
          <w:lang w:val="en"/>
        </w:rPr>
        <w:t>old,</w:t>
      </w:r>
      <w:proofErr w:type="gramEnd"/>
      <w:r w:rsidR="00CC45A4" w:rsidRPr="00CC45A4">
        <w:rPr>
          <w:lang w:val="en"/>
        </w:rPr>
        <w:t xml:space="preserve"> and immunocompromised individuals should</w:t>
      </w:r>
      <w:r w:rsidR="00CC45A4">
        <w:rPr>
          <w:lang w:val="en"/>
        </w:rPr>
        <w:t xml:space="preserve"> </w:t>
      </w:r>
      <w:r w:rsidR="00CC45A4" w:rsidRPr="00CC45A4">
        <w:rPr>
          <w:lang w:val="en"/>
        </w:rPr>
        <w:t>not be exposed to potentially contaminated materials.</w:t>
      </w:r>
    </w:p>
    <w:p w:rsidR="00FD23C1" w:rsidRPr="006D7DC1" w:rsidRDefault="00FD23C1" w:rsidP="00456DDE">
      <w:pPr>
        <w:pStyle w:val="Text"/>
        <w:rPr>
          <w:lang w:val="en"/>
        </w:rPr>
      </w:pPr>
      <w:r w:rsidRPr="006D7DC1">
        <w:rPr>
          <w:lang w:val="en"/>
        </w:rPr>
        <w:t xml:space="preserve">Caregivers should be advised to wear protective gloves </w:t>
      </w:r>
      <w:r w:rsidR="00E16409">
        <w:rPr>
          <w:lang w:val="en"/>
        </w:rPr>
        <w:t>and c</w:t>
      </w:r>
      <w:r w:rsidR="00E16409" w:rsidRPr="00E16409">
        <w:rPr>
          <w:lang w:val="en"/>
        </w:rPr>
        <w:t>over any exposed wounds</w:t>
      </w:r>
      <w:r w:rsidR="00E16409" w:rsidRPr="00600B80">
        <w:rPr>
          <w:rFonts w:cs="Arial"/>
          <w:i/>
          <w:iCs/>
          <w:color w:val="FF0000"/>
          <w:highlight w:val="yellow"/>
          <w:u w:val="single"/>
          <w:lang w:val="en-GB"/>
        </w:rPr>
        <w:t xml:space="preserve"> </w:t>
      </w:r>
      <w:r w:rsidRPr="006D7DC1">
        <w:rPr>
          <w:lang w:val="en"/>
        </w:rPr>
        <w:t xml:space="preserve">when assisting patients in applying or changing occlusive dressings and to observe safety precautions for disposal of used dressings and cleaning materials [see </w:t>
      </w:r>
      <w:r w:rsidR="007536E2" w:rsidRPr="00B15D1F">
        <w:rPr>
          <w:b/>
          <w:lang w:val="en"/>
        </w:rPr>
        <w:t>DOSAGE and ADMINISTRATION</w:t>
      </w:r>
      <w:r w:rsidRPr="006D7DC1">
        <w:rPr>
          <w:lang w:val="en"/>
        </w:rPr>
        <w:t xml:space="preserve"> </w:t>
      </w:r>
      <w:r w:rsidRPr="00B15D1F">
        <w:rPr>
          <w:b/>
          <w:lang w:val="en"/>
        </w:rPr>
        <w:t>Special Instructions for Use and Handling</w:t>
      </w:r>
      <w:r w:rsidRPr="006D7DC1">
        <w:rPr>
          <w:lang w:val="en"/>
        </w:rPr>
        <w:t>].</w:t>
      </w:r>
    </w:p>
    <w:p w:rsidR="00FD23C1" w:rsidRDefault="00FD23C1" w:rsidP="00456DDE">
      <w:pPr>
        <w:pStyle w:val="Text"/>
        <w:rPr>
          <w:lang w:val="en"/>
        </w:rPr>
      </w:pPr>
      <w:r w:rsidRPr="006D7DC1">
        <w:rPr>
          <w:lang w:val="en"/>
        </w:rPr>
        <w:t xml:space="preserve">In the event of an accidental exposure to </w:t>
      </w:r>
      <w:r w:rsidR="001371A5">
        <w:rPr>
          <w:lang w:val="en"/>
        </w:rPr>
        <w:t>IMLYGIC</w:t>
      </w:r>
      <w:r w:rsidRPr="006D7DC1">
        <w:rPr>
          <w:lang w:val="en"/>
        </w:rPr>
        <w:t xml:space="preserve">, exposed individuals should be advised to clean affected area thoroughly with soap and water and/or a disinfectant. </w:t>
      </w:r>
      <w:r w:rsidR="007536E2" w:rsidRPr="006D7DC1">
        <w:rPr>
          <w:lang w:val="en"/>
        </w:rPr>
        <w:t xml:space="preserve"> </w:t>
      </w:r>
      <w:r w:rsidRPr="006D7DC1">
        <w:rPr>
          <w:lang w:val="en"/>
        </w:rPr>
        <w:t>If signs or symptoms of herpetic infection develop, they should contact their healthcare provider.</w:t>
      </w:r>
      <w:r w:rsidR="007536E2" w:rsidRPr="006D7DC1">
        <w:rPr>
          <w:lang w:val="en"/>
        </w:rPr>
        <w:t xml:space="preserve"> </w:t>
      </w:r>
      <w:r w:rsidRPr="006D7DC1">
        <w:rPr>
          <w:lang w:val="en"/>
        </w:rPr>
        <w:t xml:space="preserve"> </w:t>
      </w:r>
    </w:p>
    <w:p w:rsidR="001371A5" w:rsidRPr="00D74033" w:rsidRDefault="001371A5" w:rsidP="001371A5">
      <w:pPr>
        <w:pStyle w:val="Heading7Bold"/>
        <w:rPr>
          <w:b w:val="0"/>
          <w:i/>
          <w:lang w:val="en"/>
        </w:rPr>
      </w:pPr>
      <w:r w:rsidRPr="00D74033">
        <w:rPr>
          <w:b w:val="0"/>
          <w:i/>
          <w:lang w:val="en"/>
        </w:rPr>
        <w:t>Neonatal Exposure</w:t>
      </w:r>
    </w:p>
    <w:p w:rsidR="001371A5" w:rsidRPr="006D7DC1" w:rsidRDefault="001371A5" w:rsidP="00456DDE">
      <w:pPr>
        <w:pStyle w:val="Text"/>
        <w:rPr>
          <w:lang w:val="en"/>
        </w:rPr>
      </w:pPr>
      <w:r w:rsidRPr="00D74033">
        <w:rPr>
          <w:lang w:val="en"/>
        </w:rPr>
        <w:t xml:space="preserve">Infections with wild-type HSV-1 </w:t>
      </w:r>
      <w:r>
        <w:rPr>
          <w:lang w:val="en"/>
        </w:rPr>
        <w:t xml:space="preserve">in </w:t>
      </w:r>
      <w:r w:rsidRPr="00D74033">
        <w:rPr>
          <w:lang w:val="en"/>
        </w:rPr>
        <w:t xml:space="preserve">a </w:t>
      </w:r>
      <w:proofErr w:type="spellStart"/>
      <w:r w:rsidRPr="00D74033">
        <w:rPr>
          <w:lang w:val="en"/>
        </w:rPr>
        <w:t>foetus</w:t>
      </w:r>
      <w:proofErr w:type="spellEnd"/>
      <w:r w:rsidRPr="00D74033">
        <w:rPr>
          <w:lang w:val="en"/>
        </w:rPr>
        <w:t xml:space="preserve"> or neonate have been associated with serious adverse effects, including</w:t>
      </w:r>
      <w:r>
        <w:rPr>
          <w:lang w:val="en"/>
        </w:rPr>
        <w:t xml:space="preserve"> multi-organ failure and death</w:t>
      </w:r>
      <w:r w:rsidRPr="00D74033">
        <w:rPr>
          <w:lang w:val="en"/>
        </w:rPr>
        <w:t xml:space="preserve"> </w:t>
      </w:r>
      <w:r>
        <w:rPr>
          <w:lang w:val="en"/>
        </w:rPr>
        <w:t>[</w:t>
      </w:r>
      <w:r w:rsidRPr="00B15D1F">
        <w:rPr>
          <w:lang w:val="en"/>
        </w:rPr>
        <w:t xml:space="preserve">see </w:t>
      </w:r>
      <w:r w:rsidRPr="00B15D1F">
        <w:rPr>
          <w:b/>
          <w:lang w:val="en"/>
        </w:rPr>
        <w:t>Use in Pregnancy</w:t>
      </w:r>
      <w:r>
        <w:rPr>
          <w:lang w:val="en"/>
        </w:rPr>
        <w:t>].</w:t>
      </w:r>
      <w:r w:rsidRPr="00D74033">
        <w:rPr>
          <w:lang w:val="en"/>
        </w:rPr>
        <w:t xml:space="preserve"> While it is not known if </w:t>
      </w:r>
      <w:r>
        <w:t>IMLYGIC</w:t>
      </w:r>
      <w:r w:rsidRPr="00D74033">
        <w:rPr>
          <w:lang w:val="en"/>
        </w:rPr>
        <w:t xml:space="preserve"> will behave like HSV-1, neonates should not be exposed to bodily fluids of the treated patient, injection site or contaminated materials. Neonatal </w:t>
      </w:r>
      <w:r>
        <w:rPr>
          <w:lang w:val="en"/>
        </w:rPr>
        <w:t xml:space="preserve">herpetic </w:t>
      </w:r>
      <w:r w:rsidRPr="00D74033">
        <w:rPr>
          <w:lang w:val="en"/>
        </w:rPr>
        <w:t xml:space="preserve">infections have not been reported with </w:t>
      </w:r>
      <w:r>
        <w:t>IMLYGIC</w:t>
      </w:r>
      <w:r w:rsidRPr="00D74033">
        <w:rPr>
          <w:lang w:val="en"/>
        </w:rPr>
        <w:t>.</w:t>
      </w:r>
      <w:r>
        <w:rPr>
          <w:lang w:val="en"/>
        </w:rPr>
        <w:t xml:space="preserve"> </w:t>
      </w:r>
      <w:r w:rsidRPr="00D74033">
        <w:rPr>
          <w:lang w:val="en"/>
        </w:rPr>
        <w:t xml:space="preserve"> If infection were to occur, contact a healthcare provider immediately. </w:t>
      </w:r>
    </w:p>
    <w:p w:rsidR="00FD23C1" w:rsidRPr="006D7DC1" w:rsidRDefault="00FD23C1" w:rsidP="002B6DC1">
      <w:pPr>
        <w:pStyle w:val="Heading7Bold"/>
      </w:pPr>
      <w:r w:rsidRPr="006D7DC1">
        <w:t xml:space="preserve">Herpetic Infection in </w:t>
      </w:r>
      <w:r w:rsidR="001371A5">
        <w:t>IMLYGIC</w:t>
      </w:r>
      <w:r w:rsidRPr="006D7DC1">
        <w:t>-treated Patients</w:t>
      </w:r>
    </w:p>
    <w:p w:rsidR="00111CA1" w:rsidRDefault="00FD23C1" w:rsidP="00CC45A4">
      <w:pPr>
        <w:pStyle w:val="Text"/>
        <w:rPr>
          <w:lang w:val="en"/>
        </w:rPr>
      </w:pPr>
      <w:r w:rsidRPr="006D7DC1">
        <w:rPr>
          <w:lang w:val="en"/>
        </w:rPr>
        <w:t xml:space="preserve">In clinical studies, herpetic infections (including cold sores and herpes keratitis) have been reported in patients treated with </w:t>
      </w:r>
      <w:r w:rsidR="001371A5">
        <w:rPr>
          <w:lang w:val="en"/>
        </w:rPr>
        <w:t>IMLYGIC</w:t>
      </w:r>
      <w:r w:rsidRPr="006D7DC1">
        <w:rPr>
          <w:lang w:val="en"/>
        </w:rPr>
        <w:t>.</w:t>
      </w:r>
      <w:r w:rsidR="007536E2" w:rsidRPr="006D7DC1">
        <w:rPr>
          <w:lang w:val="en"/>
        </w:rPr>
        <w:t xml:space="preserve"> </w:t>
      </w:r>
      <w:r w:rsidRPr="006D7DC1">
        <w:rPr>
          <w:lang w:val="en"/>
        </w:rPr>
        <w:t xml:space="preserve"> </w:t>
      </w:r>
      <w:r w:rsidR="00CC45A4" w:rsidRPr="00CC45A4">
        <w:rPr>
          <w:lang w:val="en"/>
        </w:rPr>
        <w:t xml:space="preserve">Symptoms of a local or systemic infection possibly related to </w:t>
      </w:r>
      <w:r w:rsidR="001371A5">
        <w:rPr>
          <w:lang w:val="en"/>
        </w:rPr>
        <w:t>IMLYGIC</w:t>
      </w:r>
      <w:r w:rsidR="00CC45A4" w:rsidRPr="00CC45A4">
        <w:rPr>
          <w:lang w:val="en"/>
        </w:rPr>
        <w:t xml:space="preserve"> are anticipated to be</w:t>
      </w:r>
      <w:r w:rsidR="00CC45A4">
        <w:rPr>
          <w:lang w:val="en"/>
        </w:rPr>
        <w:t xml:space="preserve"> </w:t>
      </w:r>
      <w:r w:rsidR="00CC45A4" w:rsidRPr="00CC45A4">
        <w:rPr>
          <w:lang w:val="en"/>
        </w:rPr>
        <w:t>similar to symptoms caused by wild-type HSV-1 infections.</w:t>
      </w:r>
      <w:r w:rsidR="00CC45A4">
        <w:rPr>
          <w:lang w:val="en"/>
        </w:rPr>
        <w:t xml:space="preserve"> </w:t>
      </w:r>
    </w:p>
    <w:p w:rsidR="00111CA1" w:rsidRDefault="00CC45A4" w:rsidP="00CC45A4">
      <w:pPr>
        <w:pStyle w:val="Text"/>
        <w:rPr>
          <w:lang w:val="en"/>
        </w:rPr>
      </w:pPr>
      <w:r w:rsidRPr="00CC45A4">
        <w:rPr>
          <w:lang w:val="en"/>
        </w:rPr>
        <w:t>Individuals with wild-type HSV-1 infection are known to be at a lifelong risk for symptomatic herpetic infection due</w:t>
      </w:r>
      <w:r>
        <w:rPr>
          <w:lang w:val="en"/>
        </w:rPr>
        <w:t xml:space="preserve"> </w:t>
      </w:r>
      <w:r w:rsidRPr="00CC45A4">
        <w:rPr>
          <w:lang w:val="en"/>
        </w:rPr>
        <w:t xml:space="preserve">to reactivation of latent wild-type HSV-1. Symptomatic herpetic infection due to possible reactivation of </w:t>
      </w:r>
      <w:r w:rsidR="001371A5">
        <w:rPr>
          <w:lang w:val="en"/>
        </w:rPr>
        <w:t>IMLYGIC</w:t>
      </w:r>
      <w:r>
        <w:rPr>
          <w:lang w:val="en"/>
        </w:rPr>
        <w:t xml:space="preserve"> </w:t>
      </w:r>
      <w:r w:rsidRPr="00CC45A4">
        <w:rPr>
          <w:lang w:val="en"/>
        </w:rPr>
        <w:t>should be considered.</w:t>
      </w:r>
      <w:r>
        <w:rPr>
          <w:lang w:val="en"/>
        </w:rPr>
        <w:t xml:space="preserve">  </w:t>
      </w:r>
    </w:p>
    <w:p w:rsidR="00FD23C1" w:rsidRDefault="00FD23C1" w:rsidP="00CC45A4">
      <w:pPr>
        <w:pStyle w:val="Text"/>
        <w:rPr>
          <w:lang w:val="en"/>
        </w:rPr>
      </w:pPr>
      <w:r w:rsidRPr="006D7DC1">
        <w:rPr>
          <w:lang w:val="en"/>
        </w:rPr>
        <w:lastRenderedPageBreak/>
        <w:t>Patients who develop herpetic infections should be advised to follow standard hygienic practices to prevent viral transmission.</w:t>
      </w:r>
    </w:p>
    <w:p w:rsidR="008477E1" w:rsidRPr="006D7DC1" w:rsidRDefault="008477E1" w:rsidP="008477E1">
      <w:pPr>
        <w:pStyle w:val="Text"/>
        <w:spacing w:before="0"/>
        <w:rPr>
          <w:lang w:val="en"/>
        </w:rPr>
      </w:pPr>
      <w:r w:rsidRPr="002A75D7">
        <w:rPr>
          <w:color w:val="000000"/>
          <w:szCs w:val="22"/>
        </w:rPr>
        <w:t xml:space="preserve">Patients or </w:t>
      </w:r>
      <w:r>
        <w:rPr>
          <w:color w:val="000000"/>
          <w:szCs w:val="22"/>
        </w:rPr>
        <w:t xml:space="preserve">close </w:t>
      </w:r>
      <w:r w:rsidRPr="002A75D7">
        <w:rPr>
          <w:color w:val="000000"/>
          <w:szCs w:val="22"/>
        </w:rPr>
        <w:t>contacts with suspected herpetic infections should also contact their healthcare provider to evaluate the lesions.</w:t>
      </w:r>
      <w:r w:rsidRPr="00D74472">
        <w:rPr>
          <w:color w:val="0070C0"/>
        </w:rPr>
        <w:t xml:space="preserve"> </w:t>
      </w:r>
      <w:r>
        <w:rPr>
          <w:szCs w:val="22"/>
        </w:rPr>
        <w:t>S</w:t>
      </w:r>
      <w:r w:rsidRPr="003E6719">
        <w:rPr>
          <w:szCs w:val="22"/>
        </w:rPr>
        <w:t xml:space="preserve">uspected herpetic </w:t>
      </w:r>
      <w:r w:rsidRPr="003E6719">
        <w:t>lesions</w:t>
      </w:r>
      <w:r>
        <w:t xml:space="preserve"> should be reported</w:t>
      </w:r>
      <w:r w:rsidRPr="003E6719">
        <w:t xml:space="preserve"> to </w:t>
      </w:r>
      <w:r>
        <w:rPr>
          <w:lang w:val="en"/>
        </w:rPr>
        <w:t>Amgen (1800 803 638)</w:t>
      </w:r>
      <w:r w:rsidRPr="003E6719">
        <w:t>; p</w:t>
      </w:r>
      <w:r w:rsidRPr="003E6719">
        <w:rPr>
          <w:szCs w:val="22"/>
        </w:rPr>
        <w:t xml:space="preserve">atients or </w:t>
      </w:r>
      <w:r>
        <w:rPr>
          <w:szCs w:val="22"/>
        </w:rPr>
        <w:t xml:space="preserve">close </w:t>
      </w:r>
      <w:r w:rsidRPr="003E6719">
        <w:rPr>
          <w:szCs w:val="22"/>
        </w:rPr>
        <w:t xml:space="preserve">contacts </w:t>
      </w:r>
      <w:r w:rsidRPr="003E6719">
        <w:t xml:space="preserve">have the option of follow-up testing for further </w:t>
      </w:r>
      <w:proofErr w:type="spellStart"/>
      <w:r w:rsidRPr="003E6719">
        <w:t>char</w:t>
      </w:r>
      <w:r>
        <w:t>acterisation</w:t>
      </w:r>
      <w:proofErr w:type="spellEnd"/>
      <w:r>
        <w:t xml:space="preserve"> of the infection.</w:t>
      </w:r>
    </w:p>
    <w:p w:rsidR="00BC0670" w:rsidRPr="006D7DC1" w:rsidRDefault="001371A5" w:rsidP="0050297A">
      <w:pPr>
        <w:pStyle w:val="Text"/>
        <w:rPr>
          <w:lang w:val="en"/>
        </w:rPr>
      </w:pPr>
      <w:r>
        <w:rPr>
          <w:lang w:val="en"/>
        </w:rPr>
        <w:t>IMLYGIC</w:t>
      </w:r>
      <w:r w:rsidR="00FD23C1" w:rsidRPr="00BC0C28">
        <w:rPr>
          <w:lang w:val="en"/>
        </w:rPr>
        <w:t xml:space="preserve"> is sensitive to </w:t>
      </w:r>
      <w:proofErr w:type="spellStart"/>
      <w:r w:rsidR="00E0413E" w:rsidRPr="00BC0C28">
        <w:rPr>
          <w:lang w:val="en"/>
        </w:rPr>
        <w:t>ac</w:t>
      </w:r>
      <w:r w:rsidR="00E0413E">
        <w:rPr>
          <w:lang w:val="en"/>
        </w:rPr>
        <w:t>i</w:t>
      </w:r>
      <w:r w:rsidR="00E0413E" w:rsidRPr="00BC0C28">
        <w:rPr>
          <w:lang w:val="en"/>
        </w:rPr>
        <w:t>clovir</w:t>
      </w:r>
      <w:proofErr w:type="spellEnd"/>
      <w:r w:rsidR="00FD23C1" w:rsidRPr="00BC0C28">
        <w:rPr>
          <w:lang w:val="en"/>
        </w:rPr>
        <w:t xml:space="preserve">. </w:t>
      </w:r>
      <w:r w:rsidR="007536E2" w:rsidRPr="00BC0C28">
        <w:rPr>
          <w:lang w:val="en"/>
        </w:rPr>
        <w:t xml:space="preserve"> </w:t>
      </w:r>
      <w:r w:rsidR="00FD23C1" w:rsidRPr="00BC0C28">
        <w:rPr>
          <w:lang w:val="en"/>
        </w:rPr>
        <w:t xml:space="preserve">Consider the risks and benefits of </w:t>
      </w:r>
      <w:r>
        <w:rPr>
          <w:lang w:val="en"/>
        </w:rPr>
        <w:t>IMLYGIC</w:t>
      </w:r>
      <w:r w:rsidR="00FD23C1" w:rsidRPr="00BC0C28">
        <w:rPr>
          <w:lang w:val="en"/>
        </w:rPr>
        <w:t xml:space="preserve"> treatment before administering </w:t>
      </w:r>
      <w:proofErr w:type="spellStart"/>
      <w:r w:rsidR="00E0413E" w:rsidRPr="00BC0C28">
        <w:rPr>
          <w:lang w:val="en"/>
        </w:rPr>
        <w:t>ac</w:t>
      </w:r>
      <w:r w:rsidR="00E0413E">
        <w:rPr>
          <w:lang w:val="en"/>
        </w:rPr>
        <w:t>i</w:t>
      </w:r>
      <w:r w:rsidR="00E0413E" w:rsidRPr="00BC0C28">
        <w:rPr>
          <w:lang w:val="en"/>
        </w:rPr>
        <w:t>clovir</w:t>
      </w:r>
      <w:proofErr w:type="spellEnd"/>
      <w:r w:rsidR="00E0413E" w:rsidRPr="00BC0C28">
        <w:rPr>
          <w:lang w:val="en"/>
        </w:rPr>
        <w:t xml:space="preserve"> </w:t>
      </w:r>
      <w:r w:rsidR="00FD23C1" w:rsidRPr="00BC0C28">
        <w:rPr>
          <w:lang w:val="en"/>
        </w:rPr>
        <w:t xml:space="preserve">or other anti-viral agents indicated for management of herpetic infection. These agents may interfere with the effectiveness of </w:t>
      </w:r>
      <w:r>
        <w:rPr>
          <w:lang w:val="en"/>
        </w:rPr>
        <w:t>IMLYGIC</w:t>
      </w:r>
      <w:r w:rsidR="00FD23C1" w:rsidRPr="00BC0C28">
        <w:rPr>
          <w:lang w:val="en"/>
        </w:rPr>
        <w:t>.</w:t>
      </w:r>
    </w:p>
    <w:p w:rsidR="00FD23C1" w:rsidRPr="006D7DC1" w:rsidRDefault="00FD23C1" w:rsidP="002B6DC1">
      <w:pPr>
        <w:pStyle w:val="Heading7Bold"/>
      </w:pPr>
      <w:r w:rsidRPr="006D7DC1">
        <w:t>Cellulitis at the Injection Site</w:t>
      </w:r>
    </w:p>
    <w:p w:rsidR="00FD23C1" w:rsidRPr="006D7DC1" w:rsidRDefault="0021073D" w:rsidP="0050297A">
      <w:pPr>
        <w:pStyle w:val="Text"/>
        <w:rPr>
          <w:lang w:val="en"/>
        </w:rPr>
      </w:pPr>
      <w:r w:rsidRPr="006D7DC1">
        <w:rPr>
          <w:lang w:val="en"/>
        </w:rPr>
        <w:t xml:space="preserve">Necrosis or ulceration of </w:t>
      </w:r>
      <w:proofErr w:type="spellStart"/>
      <w:r w:rsidRPr="006D7DC1">
        <w:rPr>
          <w:lang w:val="en"/>
        </w:rPr>
        <w:t>tumo</w:t>
      </w:r>
      <w:r w:rsidR="00AB456A" w:rsidRPr="006D7DC1">
        <w:rPr>
          <w:lang w:val="en"/>
        </w:rPr>
        <w:t>u</w:t>
      </w:r>
      <w:r w:rsidRPr="006D7DC1">
        <w:rPr>
          <w:lang w:val="en"/>
        </w:rPr>
        <w:t>r</w:t>
      </w:r>
      <w:proofErr w:type="spellEnd"/>
      <w:r w:rsidRPr="006D7DC1">
        <w:rPr>
          <w:lang w:val="en"/>
        </w:rPr>
        <w:t xml:space="preserve"> tissue may occur following </w:t>
      </w:r>
      <w:r w:rsidR="001371A5">
        <w:rPr>
          <w:lang w:val="en"/>
        </w:rPr>
        <w:t>IMLYGIC</w:t>
      </w:r>
      <w:r w:rsidRPr="006D7DC1">
        <w:rPr>
          <w:lang w:val="en"/>
        </w:rPr>
        <w:t xml:space="preserve"> treatment.</w:t>
      </w:r>
      <w:r w:rsidR="007536E2" w:rsidRPr="006D7DC1">
        <w:rPr>
          <w:lang w:val="en"/>
        </w:rPr>
        <w:t xml:space="preserve"> </w:t>
      </w:r>
      <w:r w:rsidRPr="006D7DC1">
        <w:rPr>
          <w:lang w:val="en"/>
        </w:rPr>
        <w:t xml:space="preserve"> Cellulitis and systemic bacterial infection have been reported. </w:t>
      </w:r>
      <w:r w:rsidR="007536E2" w:rsidRPr="006D7DC1">
        <w:rPr>
          <w:lang w:val="en"/>
        </w:rPr>
        <w:t xml:space="preserve"> </w:t>
      </w:r>
      <w:r w:rsidRPr="006D7DC1">
        <w:rPr>
          <w:lang w:val="en"/>
        </w:rPr>
        <w:t>Careful wound care and infection precautions are recommended, particularly if tissue necrosis results in open wounds.</w:t>
      </w:r>
    </w:p>
    <w:p w:rsidR="00FD23C1" w:rsidRPr="006D7DC1" w:rsidRDefault="00FD23C1" w:rsidP="002B6DC1">
      <w:pPr>
        <w:pStyle w:val="Heading7Bold"/>
      </w:pPr>
      <w:r w:rsidRPr="006D7DC1">
        <w:t>Impaired Healing at the Injection Site</w:t>
      </w:r>
    </w:p>
    <w:p w:rsidR="00FD23C1" w:rsidRPr="002B6DC1" w:rsidRDefault="00FD23C1" w:rsidP="002B6DC1">
      <w:pPr>
        <w:pStyle w:val="Text"/>
      </w:pPr>
      <w:r w:rsidRPr="002B6DC1">
        <w:t>In clinical studies, impaired healing at the injection site has been reported.</w:t>
      </w:r>
      <w:r w:rsidR="007536E2" w:rsidRPr="002B6DC1">
        <w:t xml:space="preserve"> </w:t>
      </w:r>
      <w:r w:rsidRPr="002B6DC1">
        <w:t xml:space="preserve"> </w:t>
      </w:r>
      <w:r w:rsidR="001371A5">
        <w:t>IMLYGIC</w:t>
      </w:r>
      <w:r w:rsidRPr="002B6DC1">
        <w:t xml:space="preserve"> may increase the risk of impaired healing in patients with underlying risk factors (e.g., previous radiation at the injection site or lesions in poorly vascularized areas).</w:t>
      </w:r>
    </w:p>
    <w:p w:rsidR="00FD23C1" w:rsidRPr="002B6DC1" w:rsidRDefault="00FD23C1" w:rsidP="002B6DC1">
      <w:pPr>
        <w:pStyle w:val="Text"/>
      </w:pPr>
      <w:r w:rsidRPr="002B6DC1">
        <w:t xml:space="preserve">Consider the risks and benefits of </w:t>
      </w:r>
      <w:r w:rsidR="001371A5">
        <w:t>IMLYGIC</w:t>
      </w:r>
      <w:r w:rsidRPr="002B6DC1">
        <w:t xml:space="preserve"> before continuing treatment if persistent infection or delayed healing develops.</w:t>
      </w:r>
    </w:p>
    <w:p w:rsidR="00FD23C1" w:rsidRPr="006D7DC1" w:rsidRDefault="00FD23C1" w:rsidP="002B6DC1">
      <w:pPr>
        <w:pStyle w:val="Heading7Bold"/>
      </w:pPr>
      <w:r w:rsidRPr="006D7DC1">
        <w:t>Immune-mediated Events</w:t>
      </w:r>
    </w:p>
    <w:p w:rsidR="00373D10" w:rsidRPr="002B6DC1" w:rsidRDefault="00FD23C1" w:rsidP="002B6DC1">
      <w:pPr>
        <w:pStyle w:val="Text"/>
      </w:pPr>
      <w:r w:rsidRPr="002B6DC1">
        <w:t>I</w:t>
      </w:r>
      <w:r w:rsidRPr="002B6DC1">
        <w:rPr>
          <w:rStyle w:val="TextChar0"/>
        </w:rPr>
        <w:t xml:space="preserve">n clinical studies, immune-mediated events including glomerulonephritis, vasculitis, pneumonitis, worsening psoriasis </w:t>
      </w:r>
      <w:r w:rsidR="00CC45A4" w:rsidRPr="002B6DC1">
        <w:rPr>
          <w:rStyle w:val="TextChar0"/>
        </w:rPr>
        <w:t xml:space="preserve">and vitiligo </w:t>
      </w:r>
      <w:r w:rsidRPr="002B6DC1">
        <w:rPr>
          <w:rStyle w:val="TextChar0"/>
        </w:rPr>
        <w:t xml:space="preserve">have been reported in patients treated with </w:t>
      </w:r>
      <w:r w:rsidR="001371A5">
        <w:rPr>
          <w:rStyle w:val="TextChar0"/>
        </w:rPr>
        <w:t>IMLYGIC</w:t>
      </w:r>
      <w:r w:rsidRPr="002B6DC1">
        <w:rPr>
          <w:rStyle w:val="TextChar0"/>
        </w:rPr>
        <w:t xml:space="preserve">. </w:t>
      </w:r>
      <w:r w:rsidR="007536E2" w:rsidRPr="002B6DC1">
        <w:rPr>
          <w:rStyle w:val="TextChar0"/>
        </w:rPr>
        <w:t xml:space="preserve"> </w:t>
      </w:r>
      <w:r w:rsidRPr="002B6DC1">
        <w:rPr>
          <w:rStyle w:val="TextChar0"/>
        </w:rPr>
        <w:t xml:space="preserve">Consider the risks and benefits of </w:t>
      </w:r>
      <w:r w:rsidR="001371A5">
        <w:rPr>
          <w:rStyle w:val="TextChar0"/>
        </w:rPr>
        <w:t>IMLYGIC</w:t>
      </w:r>
      <w:r w:rsidRPr="002B6DC1">
        <w:rPr>
          <w:rStyle w:val="TextChar0"/>
        </w:rPr>
        <w:t xml:space="preserve"> before initiating treatment in patients who have </w:t>
      </w:r>
      <w:r w:rsidRPr="002B6DC1">
        <w:t>underlying autoimmune disease or before continuing treatment in patients who develop immune-mediated events.</w:t>
      </w:r>
    </w:p>
    <w:p w:rsidR="00FD23C1" w:rsidRPr="006D7DC1" w:rsidRDefault="00FD23C1" w:rsidP="002B6DC1">
      <w:pPr>
        <w:pStyle w:val="Heading7Bold"/>
      </w:pPr>
      <w:proofErr w:type="spellStart"/>
      <w:r w:rsidRPr="006D7DC1">
        <w:t>Plasmacytoma</w:t>
      </w:r>
      <w:proofErr w:type="spellEnd"/>
      <w:r w:rsidRPr="006D7DC1">
        <w:t xml:space="preserve"> at </w:t>
      </w:r>
      <w:r w:rsidR="00CC45A4">
        <w:t xml:space="preserve">the </w:t>
      </w:r>
      <w:r w:rsidRPr="006D7DC1">
        <w:t>Injection Site</w:t>
      </w:r>
    </w:p>
    <w:p w:rsidR="00FD23C1" w:rsidRPr="002B6DC1" w:rsidRDefault="00FD23C1" w:rsidP="002B6DC1">
      <w:pPr>
        <w:pStyle w:val="Text"/>
      </w:pPr>
      <w:proofErr w:type="spellStart"/>
      <w:r w:rsidRPr="002B6DC1">
        <w:t>Plasmacytoma</w:t>
      </w:r>
      <w:proofErr w:type="spellEnd"/>
      <w:r w:rsidRPr="002B6DC1">
        <w:t xml:space="preserve"> has been reported in proximity to the injection site after administration of </w:t>
      </w:r>
      <w:r w:rsidR="001371A5">
        <w:t>IMLYGIC</w:t>
      </w:r>
      <w:r w:rsidRPr="002B6DC1">
        <w:t xml:space="preserve">. </w:t>
      </w:r>
      <w:r w:rsidR="007536E2" w:rsidRPr="002B6DC1">
        <w:t xml:space="preserve"> </w:t>
      </w:r>
      <w:r w:rsidRPr="002B6DC1">
        <w:t xml:space="preserve">Consider the risks and benefits of </w:t>
      </w:r>
      <w:r w:rsidR="001371A5">
        <w:t>IMLYGIC</w:t>
      </w:r>
      <w:r w:rsidRPr="002B6DC1">
        <w:t xml:space="preserve"> in patients with multiple myeloma or in whom </w:t>
      </w:r>
      <w:proofErr w:type="spellStart"/>
      <w:r w:rsidRPr="002B6DC1">
        <w:t>plasmacytoma</w:t>
      </w:r>
      <w:proofErr w:type="spellEnd"/>
      <w:r w:rsidRPr="002B6DC1">
        <w:t xml:space="preserve"> develops during treatment.</w:t>
      </w:r>
    </w:p>
    <w:p w:rsidR="00CC45A4" w:rsidRPr="00CC45A4" w:rsidRDefault="00CC45A4" w:rsidP="002B6DC1">
      <w:pPr>
        <w:pStyle w:val="Heading7Bold"/>
      </w:pPr>
      <w:r w:rsidRPr="00CC45A4">
        <w:lastRenderedPageBreak/>
        <w:t>Obstructive Airway Disorder</w:t>
      </w:r>
    </w:p>
    <w:p w:rsidR="00CC45A4" w:rsidRPr="002B6DC1" w:rsidRDefault="00CC45A4" w:rsidP="002B6DC1">
      <w:pPr>
        <w:pStyle w:val="Text"/>
      </w:pPr>
      <w:r w:rsidRPr="002B6DC1">
        <w:t xml:space="preserve">Obstructive airway disorder has been reported following </w:t>
      </w:r>
      <w:r w:rsidR="001371A5">
        <w:t>IMLYGIC</w:t>
      </w:r>
      <w:r w:rsidRPr="002B6DC1">
        <w:t xml:space="preserve"> treatment. Use caution when injecting lesions close to major airways.</w:t>
      </w:r>
    </w:p>
    <w:p w:rsidR="00CC45A4" w:rsidRPr="00CC45A4" w:rsidRDefault="00CC45A4" w:rsidP="002B6DC1">
      <w:pPr>
        <w:pStyle w:val="Heading7Bold"/>
      </w:pPr>
      <w:r w:rsidRPr="00CC45A4">
        <w:t>HSV-1 Seronegative Patients</w:t>
      </w:r>
    </w:p>
    <w:p w:rsidR="00CC45A4" w:rsidRPr="002B6DC1" w:rsidRDefault="00CC45A4" w:rsidP="002B6DC1">
      <w:pPr>
        <w:pStyle w:val="Text"/>
      </w:pPr>
      <w:r w:rsidRPr="002B6DC1">
        <w:t xml:space="preserve">Patients who were HSV-1 seronegative at baseline were reported to have a greater incidence of pyrexia, chills, and influenza-like illness compared with those who were HSV-1 seropositive at baseline, especially during the first 3 months of treatment [see </w:t>
      </w:r>
      <w:r w:rsidRPr="00195B10">
        <w:rPr>
          <w:b/>
        </w:rPr>
        <w:t>A</w:t>
      </w:r>
      <w:r w:rsidR="00195B10" w:rsidRPr="00195B10">
        <w:rPr>
          <w:b/>
        </w:rPr>
        <w:t>DVERSE EFFECTS</w:t>
      </w:r>
      <w:r w:rsidRPr="002B6DC1">
        <w:t>]</w:t>
      </w:r>
    </w:p>
    <w:p w:rsidR="00381971" w:rsidRPr="006D7DC1" w:rsidRDefault="00B15D1F" w:rsidP="002B6DC1">
      <w:pPr>
        <w:pStyle w:val="Heading7Bold"/>
      </w:pPr>
      <w:r>
        <w:t>Effects on F</w:t>
      </w:r>
      <w:r w:rsidR="00381971" w:rsidRPr="006D7DC1">
        <w:t>ertility</w:t>
      </w:r>
    </w:p>
    <w:p w:rsidR="005E3C40" w:rsidRPr="006D7DC1" w:rsidRDefault="00381971" w:rsidP="0050297A">
      <w:pPr>
        <w:pStyle w:val="Text"/>
        <w:rPr>
          <w:lang w:val="en"/>
        </w:rPr>
      </w:pPr>
      <w:r w:rsidRPr="006D7DC1">
        <w:rPr>
          <w:lang w:val="en"/>
        </w:rPr>
        <w:t xml:space="preserve">No nonclinical or clinical studies have been performed to evaluate the effects of </w:t>
      </w:r>
      <w:r w:rsidR="001371A5">
        <w:rPr>
          <w:lang w:val="en"/>
        </w:rPr>
        <w:t>IMLYGIC</w:t>
      </w:r>
      <w:r w:rsidRPr="006D7DC1">
        <w:rPr>
          <w:lang w:val="en"/>
        </w:rPr>
        <w:t xml:space="preserve"> on fertility. </w:t>
      </w:r>
      <w:r w:rsidR="0000085F" w:rsidRPr="006D7DC1">
        <w:rPr>
          <w:lang w:val="en"/>
        </w:rPr>
        <w:t xml:space="preserve"> </w:t>
      </w:r>
      <w:r w:rsidRPr="006D7DC1">
        <w:rPr>
          <w:lang w:val="en"/>
        </w:rPr>
        <w:t>There were no impacts to male or female reproductive tissues following treatment of adult mice at doses up to 4 x 10</w:t>
      </w:r>
      <w:r w:rsidRPr="006D7DC1">
        <w:rPr>
          <w:vertAlign w:val="superscript"/>
          <w:lang w:val="en"/>
        </w:rPr>
        <w:t>8</w:t>
      </w:r>
      <w:r w:rsidRPr="006D7DC1">
        <w:rPr>
          <w:lang w:val="en"/>
        </w:rPr>
        <w:t xml:space="preserve"> (400 million) PFU/kg (60-fold higher, on a PFU/kg basis, compared to the maximum clinical dose).</w:t>
      </w:r>
    </w:p>
    <w:p w:rsidR="00381971" w:rsidRPr="006D7DC1" w:rsidRDefault="00381971" w:rsidP="002B6DC1">
      <w:pPr>
        <w:pStyle w:val="Heading7Bold"/>
      </w:pPr>
      <w:r w:rsidRPr="006D7DC1">
        <w:t xml:space="preserve">Use in </w:t>
      </w:r>
      <w:r w:rsidR="00B15D1F">
        <w:t>P</w:t>
      </w:r>
      <w:r w:rsidRPr="006D7DC1">
        <w:t>regnancy</w:t>
      </w:r>
    </w:p>
    <w:p w:rsidR="001162F3" w:rsidRDefault="001162F3" w:rsidP="00525210">
      <w:pPr>
        <w:rPr>
          <w:lang w:val="en"/>
        </w:rPr>
      </w:pPr>
      <w:r w:rsidRPr="006D7DC1">
        <w:rPr>
          <w:lang w:val="en"/>
        </w:rPr>
        <w:t>Pregnancy Category: C</w:t>
      </w:r>
    </w:p>
    <w:p w:rsidR="0050297A" w:rsidRPr="006D7DC1" w:rsidRDefault="0050297A" w:rsidP="00525210">
      <w:pPr>
        <w:rPr>
          <w:lang w:val="en"/>
        </w:rPr>
      </w:pPr>
    </w:p>
    <w:p w:rsidR="00381971" w:rsidRPr="006D7DC1" w:rsidRDefault="00381971" w:rsidP="0050297A">
      <w:pPr>
        <w:pStyle w:val="Text"/>
        <w:rPr>
          <w:lang w:val="en"/>
        </w:rPr>
      </w:pPr>
      <w:r w:rsidRPr="006D7DC1">
        <w:rPr>
          <w:lang w:val="en"/>
        </w:rPr>
        <w:t xml:space="preserve">Adequate and well-controlled studies with </w:t>
      </w:r>
      <w:r w:rsidR="001371A5">
        <w:rPr>
          <w:lang w:val="en"/>
        </w:rPr>
        <w:t>IMLYGIC</w:t>
      </w:r>
      <w:r w:rsidRPr="006D7DC1">
        <w:rPr>
          <w:lang w:val="en"/>
        </w:rPr>
        <w:t xml:space="preserve"> have not been conducted in pregnant women.</w:t>
      </w:r>
      <w:r w:rsidR="0000085F" w:rsidRPr="006D7DC1">
        <w:rPr>
          <w:lang w:val="en"/>
        </w:rPr>
        <w:t xml:space="preserve"> </w:t>
      </w:r>
      <w:r w:rsidRPr="006D7DC1">
        <w:rPr>
          <w:lang w:val="en"/>
        </w:rPr>
        <w:t xml:space="preserve"> No effects on embryo-fetal development have been observed in </w:t>
      </w:r>
      <w:r w:rsidR="00563265">
        <w:rPr>
          <w:lang w:val="en"/>
        </w:rPr>
        <w:t>a study in mice</w:t>
      </w:r>
      <w:r w:rsidRPr="006D7DC1">
        <w:rPr>
          <w:lang w:val="en"/>
        </w:rPr>
        <w:t>.</w:t>
      </w:r>
    </w:p>
    <w:p w:rsidR="00381971" w:rsidRPr="006D7DC1" w:rsidRDefault="00381971" w:rsidP="0050297A">
      <w:pPr>
        <w:pStyle w:val="Text"/>
        <w:rPr>
          <w:lang w:val="en"/>
        </w:rPr>
      </w:pPr>
      <w:r w:rsidRPr="006D7DC1">
        <w:rPr>
          <w:lang w:val="en"/>
        </w:rPr>
        <w:t xml:space="preserve">If </w:t>
      </w:r>
      <w:r w:rsidR="001371A5">
        <w:rPr>
          <w:lang w:val="en"/>
        </w:rPr>
        <w:t>IMLYGIC</w:t>
      </w:r>
      <w:r w:rsidRPr="006D7DC1">
        <w:rPr>
          <w:lang w:val="en"/>
        </w:rPr>
        <w:t xml:space="preserve"> is used during pregnancy, or if the patient becomes pregnant while taking </w:t>
      </w:r>
      <w:r w:rsidR="001371A5">
        <w:rPr>
          <w:lang w:val="en"/>
        </w:rPr>
        <w:t>IMLYGIC</w:t>
      </w:r>
      <w:r w:rsidRPr="006D7DC1">
        <w:rPr>
          <w:lang w:val="en"/>
        </w:rPr>
        <w:t xml:space="preserve">, the patient should be apprised of the potential hazards to the fetus and/or neonate. </w:t>
      </w:r>
      <w:r w:rsidR="007536E2" w:rsidRPr="006D7DC1">
        <w:rPr>
          <w:lang w:val="en"/>
        </w:rPr>
        <w:t xml:space="preserve"> </w:t>
      </w:r>
      <w:r w:rsidRPr="006D7DC1">
        <w:rPr>
          <w:lang w:val="en"/>
        </w:rPr>
        <w:t xml:space="preserve">Women of childbearing potential should be advised to use an effective method of contraception to prevent pregnancy during treatment with </w:t>
      </w:r>
      <w:r w:rsidR="001371A5">
        <w:rPr>
          <w:lang w:val="en"/>
        </w:rPr>
        <w:t>IMLYGIC</w:t>
      </w:r>
      <w:r w:rsidRPr="006D7DC1">
        <w:rPr>
          <w:lang w:val="en"/>
        </w:rPr>
        <w:t xml:space="preserve">. </w:t>
      </w:r>
      <w:r w:rsidR="007536E2" w:rsidRPr="006D7DC1">
        <w:rPr>
          <w:lang w:val="en"/>
        </w:rPr>
        <w:t xml:space="preserve"> </w:t>
      </w:r>
      <w:r w:rsidRPr="006D7DC1">
        <w:rPr>
          <w:lang w:val="en"/>
        </w:rPr>
        <w:t>If a pregnant woman has an infection with wild-type HSV-1 (primary or reactivation), there is potential for the virus to cross the placental barrier and also a risk of transmission during birth due to viral shedding.</w:t>
      </w:r>
      <w:r w:rsidR="007536E2" w:rsidRPr="006D7DC1">
        <w:rPr>
          <w:lang w:val="en"/>
        </w:rPr>
        <w:t xml:space="preserve"> </w:t>
      </w:r>
      <w:r w:rsidRPr="006D7DC1">
        <w:rPr>
          <w:lang w:val="en"/>
        </w:rPr>
        <w:t xml:space="preserve"> </w:t>
      </w:r>
      <w:r w:rsidRPr="006D7DC1">
        <w:rPr>
          <w:rFonts w:cs="Arial"/>
          <w:lang w:val="en"/>
        </w:rPr>
        <w:t>Infections with wild-type HSV-1 have been associated with serious adverse effects, including multi-organ failure and death, if a fetus or neonate contracts the wild-type herpes infection</w:t>
      </w:r>
      <w:r w:rsidRPr="006D7DC1">
        <w:rPr>
          <w:lang w:val="en"/>
        </w:rPr>
        <w:t>.</w:t>
      </w:r>
      <w:r w:rsidR="007536E2" w:rsidRPr="006D7DC1">
        <w:rPr>
          <w:lang w:val="en"/>
        </w:rPr>
        <w:t xml:space="preserve"> </w:t>
      </w:r>
      <w:r w:rsidRPr="006D7DC1">
        <w:rPr>
          <w:lang w:val="en"/>
        </w:rPr>
        <w:t xml:space="preserve"> While there are no clinical data to date on </w:t>
      </w:r>
      <w:r w:rsidR="001371A5">
        <w:rPr>
          <w:lang w:val="en"/>
        </w:rPr>
        <w:t>IMLYGIC</w:t>
      </w:r>
      <w:r w:rsidRPr="006D7DC1">
        <w:rPr>
          <w:lang w:val="en"/>
        </w:rPr>
        <w:t xml:space="preserve"> infections in pregnant women, there could be a risk to the fetus or neonate if </w:t>
      </w:r>
      <w:r w:rsidR="001371A5">
        <w:rPr>
          <w:lang w:val="en"/>
        </w:rPr>
        <w:t>IMLYGIC</w:t>
      </w:r>
      <w:r w:rsidRPr="006D7DC1">
        <w:rPr>
          <w:lang w:val="en"/>
        </w:rPr>
        <w:t xml:space="preserve"> were to act in the same manner.</w:t>
      </w:r>
    </w:p>
    <w:p w:rsidR="00381971" w:rsidRPr="006D7DC1" w:rsidRDefault="00381971" w:rsidP="0050297A">
      <w:pPr>
        <w:pStyle w:val="Text"/>
        <w:rPr>
          <w:lang w:val="en"/>
        </w:rPr>
      </w:pPr>
      <w:proofErr w:type="spellStart"/>
      <w:r w:rsidRPr="006D7DC1">
        <w:rPr>
          <w:lang w:val="en"/>
        </w:rPr>
        <w:t>Transplacental</w:t>
      </w:r>
      <w:proofErr w:type="spellEnd"/>
      <w:r w:rsidRPr="006D7DC1">
        <w:rPr>
          <w:lang w:val="en"/>
        </w:rPr>
        <w:t xml:space="preserve"> metastases of malignant melanoma can occur. Because </w:t>
      </w:r>
      <w:r w:rsidR="001371A5">
        <w:rPr>
          <w:lang w:val="en"/>
        </w:rPr>
        <w:t>IMLYGIC</w:t>
      </w:r>
      <w:r w:rsidRPr="006D7DC1">
        <w:rPr>
          <w:lang w:val="en"/>
        </w:rPr>
        <w:t xml:space="preserve"> is modified to enter and replicate in the </w:t>
      </w:r>
      <w:proofErr w:type="spellStart"/>
      <w:r w:rsidRPr="006D7DC1">
        <w:rPr>
          <w:lang w:val="en"/>
        </w:rPr>
        <w:t>tumo</w:t>
      </w:r>
      <w:r w:rsidR="007536E2" w:rsidRPr="006D7DC1">
        <w:rPr>
          <w:lang w:val="en"/>
        </w:rPr>
        <w:t>u</w:t>
      </w:r>
      <w:r w:rsidRPr="006D7DC1">
        <w:rPr>
          <w:lang w:val="en"/>
        </w:rPr>
        <w:t>r</w:t>
      </w:r>
      <w:proofErr w:type="spellEnd"/>
      <w:r w:rsidRPr="006D7DC1">
        <w:rPr>
          <w:lang w:val="en"/>
        </w:rPr>
        <w:t xml:space="preserve"> tissue, there could be a risk of fetal </w:t>
      </w:r>
      <w:r w:rsidRPr="006D7DC1">
        <w:rPr>
          <w:lang w:val="en"/>
        </w:rPr>
        <w:lastRenderedPageBreak/>
        <w:t xml:space="preserve">exposure to </w:t>
      </w:r>
      <w:r w:rsidR="001371A5">
        <w:rPr>
          <w:lang w:val="en"/>
        </w:rPr>
        <w:t>IMLYGIC</w:t>
      </w:r>
      <w:r w:rsidRPr="006D7DC1">
        <w:rPr>
          <w:lang w:val="en"/>
        </w:rPr>
        <w:t xml:space="preserve"> from </w:t>
      </w:r>
      <w:proofErr w:type="spellStart"/>
      <w:r w:rsidRPr="006D7DC1">
        <w:rPr>
          <w:lang w:val="en"/>
        </w:rPr>
        <w:t>tumo</w:t>
      </w:r>
      <w:r w:rsidR="007536E2" w:rsidRPr="006D7DC1">
        <w:rPr>
          <w:lang w:val="en"/>
        </w:rPr>
        <w:t>u</w:t>
      </w:r>
      <w:r w:rsidRPr="006D7DC1">
        <w:rPr>
          <w:lang w:val="en"/>
        </w:rPr>
        <w:t>r</w:t>
      </w:r>
      <w:proofErr w:type="spellEnd"/>
      <w:r w:rsidRPr="006D7DC1">
        <w:rPr>
          <w:lang w:val="en"/>
        </w:rPr>
        <w:t xml:space="preserve"> tissue that has crossed the placenta. </w:t>
      </w:r>
      <w:r w:rsidR="0000085F" w:rsidRPr="006D7DC1">
        <w:rPr>
          <w:lang w:val="en"/>
        </w:rPr>
        <w:t xml:space="preserve"> </w:t>
      </w:r>
      <w:r w:rsidRPr="006D7DC1">
        <w:rPr>
          <w:lang w:val="en"/>
        </w:rPr>
        <w:t xml:space="preserve">No effects on embryo-fetal development were observed when </w:t>
      </w:r>
      <w:r w:rsidR="001371A5">
        <w:rPr>
          <w:lang w:val="en"/>
        </w:rPr>
        <w:t>IMLYGIC</w:t>
      </w:r>
      <w:r w:rsidRPr="006D7DC1">
        <w:rPr>
          <w:lang w:val="en"/>
        </w:rPr>
        <w:t xml:space="preserve"> was administered during organogenesis to pregnant mice at doses up to 4 x 10</w:t>
      </w:r>
      <w:r w:rsidRPr="006D7DC1">
        <w:rPr>
          <w:vertAlign w:val="superscript"/>
          <w:lang w:val="en"/>
        </w:rPr>
        <w:t>8</w:t>
      </w:r>
      <w:r w:rsidRPr="006D7DC1">
        <w:rPr>
          <w:lang w:val="en"/>
        </w:rPr>
        <w:t xml:space="preserve"> (400 million) PFU/kg (60-fold higher, on a PFU/kg basis, compared to the maximum clinical dose). Negligible amounts (&lt; 0.001% of maternal blood levels) of </w:t>
      </w:r>
      <w:r w:rsidR="001371A5">
        <w:rPr>
          <w:lang w:val="en"/>
        </w:rPr>
        <w:t>IMLYGIC</w:t>
      </w:r>
      <w:r w:rsidRPr="006D7DC1">
        <w:rPr>
          <w:lang w:val="en"/>
        </w:rPr>
        <w:t xml:space="preserve"> DNA were found in fetal blood.</w:t>
      </w:r>
    </w:p>
    <w:p w:rsidR="00381971" w:rsidRPr="006D7DC1" w:rsidRDefault="00381971" w:rsidP="002B6DC1">
      <w:pPr>
        <w:pStyle w:val="Heading7Bold"/>
      </w:pPr>
      <w:r w:rsidRPr="006D7DC1">
        <w:t>Use in Lactation</w:t>
      </w:r>
    </w:p>
    <w:p w:rsidR="00005B5E" w:rsidRPr="006D7DC1" w:rsidRDefault="00381971" w:rsidP="00FA01F9">
      <w:pPr>
        <w:pStyle w:val="Text"/>
        <w:rPr>
          <w:lang w:val="en"/>
        </w:rPr>
      </w:pPr>
      <w:r w:rsidRPr="006D7DC1">
        <w:rPr>
          <w:lang w:val="en"/>
        </w:rPr>
        <w:t xml:space="preserve">It is not known whether </w:t>
      </w:r>
      <w:r w:rsidR="001371A5">
        <w:rPr>
          <w:lang w:val="en"/>
        </w:rPr>
        <w:t>IMLYGIC</w:t>
      </w:r>
      <w:r w:rsidRPr="006D7DC1">
        <w:rPr>
          <w:lang w:val="en"/>
        </w:rPr>
        <w:t xml:space="preserve"> is transferred into human milk. </w:t>
      </w:r>
      <w:r w:rsidR="00FA01F9" w:rsidRPr="00FA01F9">
        <w:rPr>
          <w:lang w:val="en"/>
        </w:rPr>
        <w:t xml:space="preserve">The risk of possible transmission of </w:t>
      </w:r>
      <w:r w:rsidR="001371A5">
        <w:rPr>
          <w:lang w:val="en"/>
        </w:rPr>
        <w:t>IMLYGIC</w:t>
      </w:r>
      <w:r w:rsidR="00FA01F9" w:rsidRPr="00FA01F9">
        <w:rPr>
          <w:lang w:val="en"/>
        </w:rPr>
        <w:t xml:space="preserve"> through lactation</w:t>
      </w:r>
      <w:r w:rsidR="00FA01F9">
        <w:rPr>
          <w:lang w:val="en"/>
        </w:rPr>
        <w:t xml:space="preserve"> </w:t>
      </w:r>
      <w:r w:rsidR="00FA01F9" w:rsidRPr="00FA01F9">
        <w:rPr>
          <w:lang w:val="en"/>
        </w:rPr>
        <w:t>should be considered and patients should be advised</w:t>
      </w:r>
      <w:r w:rsidR="003B0FD3">
        <w:rPr>
          <w:lang w:val="en"/>
        </w:rPr>
        <w:t xml:space="preserve"> </w:t>
      </w:r>
      <w:r w:rsidRPr="006D7DC1">
        <w:rPr>
          <w:lang w:val="en"/>
        </w:rPr>
        <w:t xml:space="preserve">to discontinue </w:t>
      </w:r>
      <w:r w:rsidR="00005B5E" w:rsidRPr="006D7DC1">
        <w:rPr>
          <w:lang w:val="en"/>
        </w:rPr>
        <w:t>breastfeeding</w:t>
      </w:r>
      <w:r w:rsidRPr="006D7DC1">
        <w:rPr>
          <w:lang w:val="en"/>
        </w:rPr>
        <w:t xml:space="preserve"> or to discontinue </w:t>
      </w:r>
      <w:r w:rsidR="001371A5">
        <w:rPr>
          <w:lang w:val="en"/>
        </w:rPr>
        <w:t>IMLYGIC</w:t>
      </w:r>
      <w:r w:rsidRPr="006D7DC1">
        <w:rPr>
          <w:lang w:val="en"/>
        </w:rPr>
        <w:t xml:space="preserve"> </w:t>
      </w:r>
      <w:r w:rsidR="00FA01F9">
        <w:rPr>
          <w:lang w:val="en"/>
        </w:rPr>
        <w:t>prior to</w:t>
      </w:r>
      <w:r w:rsidR="00FA01F9" w:rsidRPr="006D7DC1">
        <w:rPr>
          <w:lang w:val="en"/>
        </w:rPr>
        <w:t xml:space="preserve"> </w:t>
      </w:r>
      <w:r w:rsidR="00005B5E" w:rsidRPr="006D7DC1">
        <w:rPr>
          <w:lang w:val="en"/>
        </w:rPr>
        <w:t>breastfeeding</w:t>
      </w:r>
      <w:r w:rsidRPr="006D7DC1">
        <w:rPr>
          <w:lang w:val="en"/>
        </w:rPr>
        <w:t>.</w:t>
      </w:r>
    </w:p>
    <w:p w:rsidR="00DE04B0" w:rsidRPr="006D7DC1" w:rsidRDefault="00DE04B0" w:rsidP="002B6DC1">
      <w:pPr>
        <w:pStyle w:val="Heading7Bold"/>
      </w:pPr>
      <w:proofErr w:type="spellStart"/>
      <w:r w:rsidRPr="006D7DC1">
        <w:t>P</w:t>
      </w:r>
      <w:r w:rsidR="0018574C" w:rsidRPr="006D7DC1">
        <w:t>a</w:t>
      </w:r>
      <w:r w:rsidRPr="006D7DC1">
        <w:t>ediatric</w:t>
      </w:r>
      <w:proofErr w:type="spellEnd"/>
      <w:r w:rsidRPr="006D7DC1">
        <w:t xml:space="preserve"> Use</w:t>
      </w:r>
    </w:p>
    <w:p w:rsidR="00DE04B0" w:rsidRPr="006D7DC1" w:rsidRDefault="00DE04B0" w:rsidP="0050297A">
      <w:pPr>
        <w:pStyle w:val="Text"/>
        <w:rPr>
          <w:lang w:val="en"/>
        </w:rPr>
      </w:pPr>
      <w:r w:rsidRPr="006D7DC1">
        <w:rPr>
          <w:lang w:val="en"/>
        </w:rPr>
        <w:t xml:space="preserve">The safety and efficacy of </w:t>
      </w:r>
      <w:r w:rsidR="001371A5">
        <w:rPr>
          <w:lang w:val="en"/>
        </w:rPr>
        <w:t>IMLYGIC</w:t>
      </w:r>
      <w:r w:rsidRPr="006D7DC1">
        <w:rPr>
          <w:lang w:val="en"/>
        </w:rPr>
        <w:t xml:space="preserve"> have not been established in </w:t>
      </w:r>
      <w:proofErr w:type="spellStart"/>
      <w:r w:rsidRPr="006D7DC1">
        <w:rPr>
          <w:lang w:val="en"/>
        </w:rPr>
        <w:t>p</w:t>
      </w:r>
      <w:r w:rsidR="0018574C" w:rsidRPr="006D7DC1">
        <w:rPr>
          <w:lang w:val="en"/>
        </w:rPr>
        <w:t>a</w:t>
      </w:r>
      <w:r w:rsidRPr="006D7DC1">
        <w:rPr>
          <w:lang w:val="en"/>
        </w:rPr>
        <w:t>ediatric</w:t>
      </w:r>
      <w:proofErr w:type="spellEnd"/>
      <w:r w:rsidRPr="006D7DC1">
        <w:rPr>
          <w:lang w:val="en"/>
        </w:rPr>
        <w:t xml:space="preserve"> patients.</w:t>
      </w:r>
    </w:p>
    <w:p w:rsidR="00DE04B0" w:rsidRPr="006D7DC1" w:rsidRDefault="00DE04B0" w:rsidP="002B6DC1">
      <w:pPr>
        <w:pStyle w:val="Heading7Bold"/>
      </w:pPr>
      <w:r w:rsidRPr="006D7DC1">
        <w:t>Use in the Elderly</w:t>
      </w:r>
    </w:p>
    <w:p w:rsidR="00DE04B0" w:rsidRPr="006D7DC1" w:rsidRDefault="00DE04B0" w:rsidP="0050297A">
      <w:pPr>
        <w:pStyle w:val="Text"/>
        <w:rPr>
          <w:lang w:val="en"/>
        </w:rPr>
      </w:pPr>
      <w:r w:rsidRPr="006D7DC1">
        <w:rPr>
          <w:lang w:val="en"/>
        </w:rPr>
        <w:t xml:space="preserve">In clinical studies, no overall differences in safety or efficacy were observed between </w:t>
      </w:r>
      <w:r w:rsidR="0018574C" w:rsidRPr="006D7DC1">
        <w:rPr>
          <w:lang w:val="en"/>
        </w:rPr>
        <w:t xml:space="preserve">elderly </w:t>
      </w:r>
      <w:r w:rsidRPr="006D7DC1">
        <w:rPr>
          <w:lang w:val="en"/>
        </w:rPr>
        <w:t>patients (≥ 65 years old) and younger patients.</w:t>
      </w:r>
    </w:p>
    <w:p w:rsidR="00DE04B0" w:rsidRPr="006D7DC1" w:rsidRDefault="00582A31" w:rsidP="002B6DC1">
      <w:pPr>
        <w:pStyle w:val="Heading7Bold"/>
      </w:pPr>
      <w:r w:rsidRPr="006D7DC1">
        <w:t>Carcinogenicity</w:t>
      </w:r>
    </w:p>
    <w:p w:rsidR="002873C4" w:rsidRPr="006D7DC1" w:rsidRDefault="002873C4" w:rsidP="0050297A">
      <w:pPr>
        <w:pStyle w:val="Text"/>
        <w:rPr>
          <w:lang w:val="en"/>
        </w:rPr>
      </w:pPr>
      <w:r w:rsidRPr="006D7DC1">
        <w:rPr>
          <w:lang w:val="en"/>
        </w:rPr>
        <w:t xml:space="preserve">The carcinogenic potential of </w:t>
      </w:r>
      <w:r w:rsidR="001371A5">
        <w:rPr>
          <w:lang w:val="en"/>
        </w:rPr>
        <w:t>IMLYGIC</w:t>
      </w:r>
      <w:r w:rsidRPr="006D7DC1">
        <w:rPr>
          <w:lang w:val="en"/>
        </w:rPr>
        <w:t xml:space="preserve"> has not been evaluated in long-term animal or human studies. However, available data for </w:t>
      </w:r>
      <w:r w:rsidR="001371A5">
        <w:rPr>
          <w:lang w:val="en"/>
        </w:rPr>
        <w:t>IMLYGIC</w:t>
      </w:r>
      <w:r w:rsidRPr="006D7DC1">
        <w:rPr>
          <w:lang w:val="en"/>
        </w:rPr>
        <w:t xml:space="preserve"> and wild-type HSV-1 do not indicate a carcinogenic risk in humans.</w:t>
      </w:r>
    </w:p>
    <w:p w:rsidR="00DE04B0" w:rsidRPr="006D7DC1" w:rsidRDefault="00DE04B0" w:rsidP="002B6DC1">
      <w:pPr>
        <w:pStyle w:val="Heading7Bold"/>
      </w:pPr>
      <w:r w:rsidRPr="006D7DC1">
        <w:t>Gen</w:t>
      </w:r>
      <w:r w:rsidR="00582A31" w:rsidRPr="006D7DC1">
        <w:t>oto</w:t>
      </w:r>
      <w:r w:rsidRPr="006D7DC1">
        <w:t>xicity</w:t>
      </w:r>
    </w:p>
    <w:p w:rsidR="008E3000" w:rsidRPr="006D7DC1" w:rsidRDefault="002873C4" w:rsidP="0050297A">
      <w:pPr>
        <w:pStyle w:val="Text"/>
      </w:pPr>
      <w:r w:rsidRPr="006D7DC1">
        <w:rPr>
          <w:lang w:val="en"/>
        </w:rPr>
        <w:t xml:space="preserve">The genotoxic potential of </w:t>
      </w:r>
      <w:r w:rsidR="001371A5">
        <w:rPr>
          <w:lang w:val="en"/>
        </w:rPr>
        <w:t>IMLYGIC</w:t>
      </w:r>
      <w:r w:rsidRPr="006D7DC1">
        <w:rPr>
          <w:lang w:val="en"/>
        </w:rPr>
        <w:t xml:space="preserve"> has not been evaluated. Because wild</w:t>
      </w:r>
      <w:r w:rsidR="0019023B" w:rsidRPr="006D7DC1">
        <w:rPr>
          <w:lang w:val="en"/>
        </w:rPr>
        <w:t>-</w:t>
      </w:r>
      <w:r w:rsidRPr="006D7DC1">
        <w:rPr>
          <w:lang w:val="en"/>
        </w:rPr>
        <w:t xml:space="preserve">type HSV-1 does not integrate into the host genome, the risk of insertional mutagenesis with </w:t>
      </w:r>
      <w:r w:rsidR="001371A5">
        <w:rPr>
          <w:lang w:val="en"/>
        </w:rPr>
        <w:t>IMLYGIC</w:t>
      </w:r>
      <w:r w:rsidRPr="006D7DC1">
        <w:rPr>
          <w:lang w:val="en"/>
        </w:rPr>
        <w:t xml:space="preserve"> is negligible.</w:t>
      </w:r>
    </w:p>
    <w:p w:rsidR="00742B87" w:rsidRPr="006D7DC1" w:rsidRDefault="007E7EDD" w:rsidP="002B6DC1">
      <w:pPr>
        <w:pStyle w:val="Heading7Bold"/>
      </w:pPr>
      <w:r w:rsidRPr="006D7DC1">
        <w:t>Effect on L</w:t>
      </w:r>
      <w:r w:rsidR="00742B87" w:rsidRPr="006D7DC1">
        <w:t xml:space="preserve">aboratory </w:t>
      </w:r>
      <w:r w:rsidRPr="006D7DC1">
        <w:t>T</w:t>
      </w:r>
      <w:r w:rsidR="00742B87" w:rsidRPr="006D7DC1">
        <w:t>ests</w:t>
      </w:r>
    </w:p>
    <w:p w:rsidR="00742B87" w:rsidRPr="006D7DC1" w:rsidRDefault="003F0032" w:rsidP="0050297A">
      <w:pPr>
        <w:pStyle w:val="Text"/>
        <w:rPr>
          <w:rFonts w:cs="Arial"/>
          <w:b/>
          <w:bCs/>
          <w:sz w:val="20"/>
          <w:lang w:val="en"/>
        </w:rPr>
      </w:pPr>
      <w:r w:rsidRPr="006D7DC1">
        <w:t>Interactions with laboratory tests have not been established</w:t>
      </w:r>
      <w:r w:rsidR="007E7EDD" w:rsidRPr="006D7DC1">
        <w:t>.</w:t>
      </w:r>
    </w:p>
    <w:p w:rsidR="007214AB" w:rsidRPr="002B6DC1" w:rsidRDefault="00702FC1" w:rsidP="002B6DC1">
      <w:pPr>
        <w:pStyle w:val="Heading0"/>
        <w:pageBreakBefore w:val="0"/>
      </w:pPr>
      <w:r w:rsidRPr="002B6DC1">
        <w:t>INTERACTIONS WITH OTHER MEDICINES</w:t>
      </w:r>
    </w:p>
    <w:p w:rsidR="005E3C40" w:rsidRPr="006D7DC1" w:rsidRDefault="00381971" w:rsidP="0050297A">
      <w:pPr>
        <w:pStyle w:val="Text"/>
        <w:rPr>
          <w:lang w:val="en"/>
        </w:rPr>
      </w:pPr>
      <w:r w:rsidRPr="006D7DC1">
        <w:rPr>
          <w:lang w:val="en"/>
        </w:rPr>
        <w:t xml:space="preserve">No drug interactions studies have been conducted with </w:t>
      </w:r>
      <w:r w:rsidR="001371A5">
        <w:rPr>
          <w:lang w:val="en"/>
        </w:rPr>
        <w:t>IMLYGIC</w:t>
      </w:r>
      <w:r w:rsidR="0050297A">
        <w:rPr>
          <w:lang w:val="en"/>
        </w:rPr>
        <w:t>.</w:t>
      </w:r>
    </w:p>
    <w:p w:rsidR="005E3C40" w:rsidRPr="002B6DC1" w:rsidRDefault="007214AB" w:rsidP="002B6DC1">
      <w:pPr>
        <w:pStyle w:val="Heading0"/>
        <w:pageBreakBefore w:val="0"/>
      </w:pPr>
      <w:r w:rsidRPr="002B6DC1">
        <w:t>ADVERSE EFFECTS</w:t>
      </w:r>
    </w:p>
    <w:p w:rsidR="0018490A" w:rsidRDefault="00F72031" w:rsidP="00FA01F9">
      <w:pPr>
        <w:pStyle w:val="Text"/>
        <w:rPr>
          <w:lang w:val="en"/>
        </w:rPr>
      </w:pPr>
      <w:r w:rsidRPr="006D7DC1">
        <w:rPr>
          <w:lang w:val="en"/>
        </w:rPr>
        <w:t xml:space="preserve">The safety of </w:t>
      </w:r>
      <w:r w:rsidR="001371A5">
        <w:rPr>
          <w:lang w:val="en"/>
        </w:rPr>
        <w:t>IMLYGIC</w:t>
      </w:r>
      <w:r w:rsidRPr="006D7DC1">
        <w:rPr>
          <w:lang w:val="en"/>
        </w:rPr>
        <w:t xml:space="preserve"> was evaluated in 419 patients (292 </w:t>
      </w:r>
      <w:r w:rsidR="001371A5">
        <w:rPr>
          <w:lang w:val="en"/>
        </w:rPr>
        <w:t>IMLYGIC</w:t>
      </w:r>
      <w:r w:rsidRPr="006D7DC1">
        <w:rPr>
          <w:lang w:val="en"/>
        </w:rPr>
        <w:t xml:space="preserve">, 127 GM-CSF) in Study 1 that received at least 1 dose of </w:t>
      </w:r>
      <w:r w:rsidR="00FA01F9">
        <w:rPr>
          <w:lang w:val="en"/>
        </w:rPr>
        <w:t>study treatment</w:t>
      </w:r>
      <w:r w:rsidR="00FC5BFA" w:rsidRPr="006D7DC1">
        <w:rPr>
          <w:lang w:val="en"/>
        </w:rPr>
        <w:t>.</w:t>
      </w:r>
      <w:r w:rsidRPr="006D7DC1">
        <w:rPr>
          <w:lang w:val="en"/>
        </w:rPr>
        <w:t xml:space="preserve"> </w:t>
      </w:r>
      <w:r w:rsidR="00FA01F9" w:rsidRPr="00FA01F9">
        <w:rPr>
          <w:lang w:val="en"/>
        </w:rPr>
        <w:t xml:space="preserve">The median duration of exposure to </w:t>
      </w:r>
      <w:r w:rsidR="001371A5">
        <w:rPr>
          <w:lang w:val="en"/>
        </w:rPr>
        <w:t>IMLYGIC</w:t>
      </w:r>
      <w:r w:rsidR="00FA01F9">
        <w:rPr>
          <w:lang w:val="en"/>
        </w:rPr>
        <w:t xml:space="preserve"> </w:t>
      </w:r>
      <w:r w:rsidR="00FA01F9" w:rsidRPr="00FA01F9">
        <w:rPr>
          <w:lang w:val="en"/>
        </w:rPr>
        <w:t xml:space="preserve">was 23 weeks (5.3 months). </w:t>
      </w:r>
      <w:r w:rsidR="003B0FD3">
        <w:rPr>
          <w:lang w:val="en"/>
        </w:rPr>
        <w:t>Twenty-six</w:t>
      </w:r>
      <w:r w:rsidR="00FA01F9" w:rsidRPr="00FA01F9">
        <w:rPr>
          <w:lang w:val="en"/>
        </w:rPr>
        <w:t xml:space="preserve"> patients were exposed to </w:t>
      </w:r>
      <w:r w:rsidR="001371A5">
        <w:rPr>
          <w:lang w:val="en"/>
        </w:rPr>
        <w:t>IMLYGIC</w:t>
      </w:r>
      <w:r w:rsidR="00FA01F9" w:rsidRPr="00FA01F9">
        <w:rPr>
          <w:lang w:val="en"/>
        </w:rPr>
        <w:t xml:space="preserve"> for at least one year</w:t>
      </w:r>
      <w:r w:rsidR="00FA01F9">
        <w:rPr>
          <w:lang w:val="en"/>
        </w:rPr>
        <w:t>.</w:t>
      </w:r>
    </w:p>
    <w:p w:rsidR="00306AF8" w:rsidRDefault="00306AF8" w:rsidP="00306AF8">
      <w:pPr>
        <w:pStyle w:val="Text"/>
        <w:rPr>
          <w:lang w:val="en"/>
        </w:rPr>
        <w:sectPr w:rsidR="00306AF8" w:rsidSect="00240681">
          <w:headerReference w:type="default" r:id="rId10"/>
          <w:footerReference w:type="default" r:id="rId11"/>
          <w:pgSz w:w="11906" w:h="16838" w:code="9"/>
          <w:pgMar w:top="1440" w:right="1440" w:bottom="2074" w:left="1800" w:header="706" w:footer="706" w:gutter="0"/>
          <w:cols w:space="708"/>
          <w:docGrid w:linePitch="360"/>
        </w:sectPr>
      </w:pPr>
      <w:r w:rsidRPr="006D7DC1">
        <w:rPr>
          <w:lang w:val="en"/>
        </w:rPr>
        <w:lastRenderedPageBreak/>
        <w:t xml:space="preserve">The most commonly reported adverse reactions (≥ 25%) in </w:t>
      </w:r>
      <w:r w:rsidR="001371A5">
        <w:rPr>
          <w:lang w:val="en"/>
        </w:rPr>
        <w:t>IMLYGIC</w:t>
      </w:r>
      <w:r w:rsidRPr="006D7DC1">
        <w:rPr>
          <w:lang w:val="en"/>
        </w:rPr>
        <w:t xml:space="preserve">-treated patients were fatigue, chills, pyrexia, nausea, influenza like illness, and injection site pain.  </w:t>
      </w:r>
      <w:r>
        <w:rPr>
          <w:lang w:val="en"/>
        </w:rPr>
        <w:t>Ninety-eight percent of these</w:t>
      </w:r>
      <w:r w:rsidRPr="006D7DC1">
        <w:rPr>
          <w:lang w:val="en"/>
        </w:rPr>
        <w:t xml:space="preserve"> adverse reactions reported were mild or moderate in severity.  The most common grade 3 or higher adverse reaction was cellulitis [see </w:t>
      </w:r>
      <w:r w:rsidRPr="00B15D1F">
        <w:rPr>
          <w:b/>
          <w:lang w:val="en"/>
        </w:rPr>
        <w:t>PRECAUTIONS</w:t>
      </w:r>
      <w:r w:rsidRPr="006D7DC1">
        <w:rPr>
          <w:lang w:val="en"/>
        </w:rPr>
        <w:t>]. Safety data obtained from 50 patients in Study 2 and extension studies were consistent with data from Study 1</w:t>
      </w:r>
      <w:r>
        <w:rPr>
          <w:lang w:val="en"/>
        </w:rPr>
        <w:t xml:space="preserve">.  </w:t>
      </w:r>
      <w:r w:rsidRPr="006D7DC1">
        <w:t xml:space="preserve">Adverse reactions observed in </w:t>
      </w:r>
      <w:r w:rsidR="001371A5">
        <w:t>IMLYGIC</w:t>
      </w:r>
      <w:r w:rsidRPr="006D7DC1">
        <w:t xml:space="preserve"> clinical trials are listed below by frequency and </w:t>
      </w:r>
      <w:proofErr w:type="spellStart"/>
      <w:r w:rsidRPr="006D7DC1">
        <w:t>MedDRA</w:t>
      </w:r>
      <w:proofErr w:type="spellEnd"/>
      <w:r w:rsidRPr="006D7DC1">
        <w:t xml:space="preserve"> body system organ class</w:t>
      </w:r>
      <w:r w:rsidRPr="006D7DC1">
        <w:rPr>
          <w:rFonts w:cs="Arial"/>
          <w:sz w:val="20"/>
          <w:lang w:val="en"/>
        </w:rPr>
        <w:t xml:space="preserve">. </w:t>
      </w:r>
      <w:r w:rsidRPr="006D7DC1">
        <w:rPr>
          <w:lang w:val="en"/>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2"/>
        <w:gridCol w:w="4678"/>
      </w:tblGrid>
      <w:tr w:rsidR="00306AF8" w:rsidRPr="000E0147" w:rsidTr="00C80AF8">
        <w:tc>
          <w:tcPr>
            <w:tcW w:w="8789" w:type="dxa"/>
            <w:gridSpan w:val="3"/>
            <w:tcBorders>
              <w:top w:val="nil"/>
              <w:left w:val="nil"/>
              <w:right w:val="nil"/>
            </w:tcBorders>
            <w:shd w:val="clear" w:color="auto" w:fill="auto"/>
          </w:tcPr>
          <w:p w:rsidR="00306AF8" w:rsidRPr="000E0147" w:rsidRDefault="00306AF8" w:rsidP="00D703F4">
            <w:pPr>
              <w:spacing w:before="60"/>
              <w:rPr>
                <w:rFonts w:cs="Arial"/>
                <w:sz w:val="19"/>
                <w:szCs w:val="19"/>
              </w:rPr>
            </w:pPr>
            <w:r w:rsidRPr="000E0147">
              <w:rPr>
                <w:sz w:val="19"/>
                <w:szCs w:val="19"/>
              </w:rPr>
              <w:lastRenderedPageBreak/>
              <w:br w:type="page"/>
            </w:r>
            <w:r w:rsidRPr="000E0147">
              <w:rPr>
                <w:b/>
                <w:sz w:val="19"/>
                <w:szCs w:val="19"/>
                <w:lang w:val="en"/>
              </w:rPr>
              <w:br w:type="page"/>
              <w:t>Very Common (≥ 1 in 10)</w:t>
            </w:r>
          </w:p>
        </w:tc>
      </w:tr>
      <w:tr w:rsidR="00306AF8" w:rsidRPr="000E0147" w:rsidTr="00C80AF8">
        <w:tc>
          <w:tcPr>
            <w:tcW w:w="4111" w:type="dxa"/>
            <w:gridSpan w:val="2"/>
            <w:shd w:val="clear" w:color="auto" w:fill="auto"/>
          </w:tcPr>
          <w:p w:rsidR="00306AF8" w:rsidRPr="000E0147" w:rsidRDefault="00306AF8" w:rsidP="00D703F4">
            <w:pPr>
              <w:pStyle w:val="TableLeftAlign"/>
              <w:rPr>
                <w:b/>
                <w:i/>
                <w:sz w:val="19"/>
                <w:szCs w:val="19"/>
              </w:rPr>
            </w:pPr>
            <w:r w:rsidRPr="000E0147">
              <w:rPr>
                <w:b/>
                <w:i/>
                <w:sz w:val="19"/>
                <w:szCs w:val="19"/>
              </w:rPr>
              <w:t>General disorders and administration site conditions</w:t>
            </w:r>
          </w:p>
        </w:tc>
        <w:tc>
          <w:tcPr>
            <w:tcW w:w="4678" w:type="dxa"/>
            <w:shd w:val="clear" w:color="auto" w:fill="auto"/>
          </w:tcPr>
          <w:p w:rsidR="00306AF8" w:rsidRPr="000E0147" w:rsidRDefault="00306AF8" w:rsidP="00D703F4">
            <w:pPr>
              <w:pStyle w:val="TableLeftAlign"/>
              <w:rPr>
                <w:sz w:val="19"/>
                <w:szCs w:val="19"/>
              </w:rPr>
            </w:pPr>
            <w:r w:rsidRPr="000E0147">
              <w:rPr>
                <w:sz w:val="19"/>
                <w:szCs w:val="19"/>
              </w:rPr>
              <w:t>Influenza-like illness, Pyrexia, Chills, Fatigue, Pain, Injection site reactions*</w:t>
            </w:r>
          </w:p>
        </w:tc>
      </w:tr>
      <w:tr w:rsidR="00306AF8" w:rsidRPr="000E0147" w:rsidTr="00C80AF8">
        <w:tc>
          <w:tcPr>
            <w:tcW w:w="4111" w:type="dxa"/>
            <w:gridSpan w:val="2"/>
            <w:shd w:val="clear" w:color="auto" w:fill="auto"/>
          </w:tcPr>
          <w:p w:rsidR="00306AF8" w:rsidRPr="000E0147" w:rsidRDefault="00306AF8" w:rsidP="00D703F4">
            <w:pPr>
              <w:pStyle w:val="TableLeftAlign"/>
              <w:rPr>
                <w:b/>
                <w:i/>
                <w:sz w:val="19"/>
                <w:szCs w:val="19"/>
              </w:rPr>
            </w:pPr>
            <w:r w:rsidRPr="000E0147">
              <w:rPr>
                <w:b/>
                <w:i/>
                <w:sz w:val="19"/>
                <w:szCs w:val="19"/>
              </w:rPr>
              <w:t>Gastrointestinal disorders</w:t>
            </w:r>
          </w:p>
        </w:tc>
        <w:tc>
          <w:tcPr>
            <w:tcW w:w="4678" w:type="dxa"/>
            <w:shd w:val="clear" w:color="auto" w:fill="auto"/>
          </w:tcPr>
          <w:p w:rsidR="00306AF8" w:rsidRPr="000E0147" w:rsidRDefault="00306AF8" w:rsidP="00D703F4">
            <w:pPr>
              <w:pStyle w:val="TableLeftAlign"/>
              <w:rPr>
                <w:sz w:val="19"/>
                <w:szCs w:val="19"/>
              </w:rPr>
            </w:pPr>
            <w:r w:rsidRPr="000E0147">
              <w:rPr>
                <w:sz w:val="19"/>
                <w:szCs w:val="19"/>
              </w:rPr>
              <w:t xml:space="preserve">Vomiting, </w:t>
            </w:r>
            <w:proofErr w:type="spellStart"/>
            <w:r w:rsidRPr="000E0147">
              <w:rPr>
                <w:sz w:val="19"/>
                <w:szCs w:val="19"/>
              </w:rPr>
              <w:t>Diarrhoea</w:t>
            </w:r>
            <w:proofErr w:type="spellEnd"/>
            <w:r w:rsidRPr="000E0147">
              <w:rPr>
                <w:sz w:val="19"/>
                <w:szCs w:val="19"/>
              </w:rPr>
              <w:t>, Constipation, Nausea</w:t>
            </w:r>
          </w:p>
        </w:tc>
      </w:tr>
      <w:tr w:rsidR="00306AF8" w:rsidRPr="000E0147" w:rsidTr="00C80AF8">
        <w:tc>
          <w:tcPr>
            <w:tcW w:w="4111" w:type="dxa"/>
            <w:gridSpan w:val="2"/>
            <w:shd w:val="clear" w:color="auto" w:fill="auto"/>
          </w:tcPr>
          <w:p w:rsidR="00306AF8" w:rsidRPr="000E0147" w:rsidRDefault="00306AF8" w:rsidP="00D703F4">
            <w:pPr>
              <w:pStyle w:val="TableLeftAlign"/>
              <w:rPr>
                <w:b/>
                <w:i/>
                <w:sz w:val="19"/>
                <w:szCs w:val="19"/>
              </w:rPr>
            </w:pPr>
            <w:r w:rsidRPr="000E0147">
              <w:rPr>
                <w:b/>
                <w:i/>
                <w:sz w:val="19"/>
                <w:szCs w:val="19"/>
              </w:rPr>
              <w:t>Musculoskeletal and connective tissue disorders</w:t>
            </w:r>
          </w:p>
        </w:tc>
        <w:tc>
          <w:tcPr>
            <w:tcW w:w="4678" w:type="dxa"/>
            <w:shd w:val="clear" w:color="auto" w:fill="auto"/>
          </w:tcPr>
          <w:p w:rsidR="00306AF8" w:rsidRPr="000E0147" w:rsidRDefault="00306AF8" w:rsidP="00D703F4">
            <w:pPr>
              <w:pStyle w:val="TableLeftAlign"/>
              <w:rPr>
                <w:sz w:val="19"/>
                <w:szCs w:val="19"/>
              </w:rPr>
            </w:pPr>
            <w:r w:rsidRPr="000E0147">
              <w:rPr>
                <w:sz w:val="19"/>
                <w:szCs w:val="19"/>
              </w:rPr>
              <w:t>Myalgia, Arthralgia, Pain in extremity</w:t>
            </w:r>
          </w:p>
        </w:tc>
      </w:tr>
      <w:tr w:rsidR="00306AF8" w:rsidRPr="000E0147" w:rsidTr="00C80AF8">
        <w:tc>
          <w:tcPr>
            <w:tcW w:w="4111" w:type="dxa"/>
            <w:gridSpan w:val="2"/>
            <w:shd w:val="clear" w:color="auto" w:fill="auto"/>
          </w:tcPr>
          <w:p w:rsidR="00306AF8" w:rsidRPr="000E0147" w:rsidRDefault="00306AF8" w:rsidP="00D703F4">
            <w:pPr>
              <w:pStyle w:val="TableLeftAlign"/>
              <w:rPr>
                <w:b/>
                <w:i/>
                <w:sz w:val="19"/>
                <w:szCs w:val="19"/>
              </w:rPr>
            </w:pPr>
            <w:r w:rsidRPr="000E0147">
              <w:rPr>
                <w:b/>
                <w:i/>
                <w:sz w:val="19"/>
                <w:szCs w:val="19"/>
              </w:rPr>
              <w:t>Nervous system disorders</w:t>
            </w:r>
          </w:p>
        </w:tc>
        <w:tc>
          <w:tcPr>
            <w:tcW w:w="4678" w:type="dxa"/>
            <w:shd w:val="clear" w:color="auto" w:fill="auto"/>
          </w:tcPr>
          <w:p w:rsidR="00306AF8" w:rsidRPr="000E0147" w:rsidRDefault="00306AF8" w:rsidP="00D703F4">
            <w:pPr>
              <w:pStyle w:val="TableLeftAlign"/>
              <w:rPr>
                <w:sz w:val="19"/>
                <w:szCs w:val="19"/>
              </w:rPr>
            </w:pPr>
            <w:r w:rsidRPr="000E0147">
              <w:rPr>
                <w:sz w:val="19"/>
                <w:szCs w:val="19"/>
              </w:rPr>
              <w:t>Headache</w:t>
            </w:r>
          </w:p>
        </w:tc>
      </w:tr>
      <w:tr w:rsidR="00306AF8" w:rsidRPr="000E0147" w:rsidTr="00C80AF8">
        <w:tc>
          <w:tcPr>
            <w:tcW w:w="4111" w:type="dxa"/>
            <w:gridSpan w:val="2"/>
            <w:shd w:val="clear" w:color="auto" w:fill="auto"/>
          </w:tcPr>
          <w:p w:rsidR="00306AF8" w:rsidRPr="000E0147" w:rsidRDefault="00306AF8" w:rsidP="00D703F4">
            <w:pPr>
              <w:pStyle w:val="TableLeftAlign"/>
              <w:rPr>
                <w:b/>
                <w:i/>
                <w:sz w:val="19"/>
                <w:szCs w:val="19"/>
              </w:rPr>
            </w:pPr>
            <w:r w:rsidRPr="000E0147">
              <w:rPr>
                <w:b/>
                <w:i/>
                <w:sz w:val="19"/>
                <w:szCs w:val="19"/>
              </w:rPr>
              <w:t>Blood and lymphatic disorders</w:t>
            </w:r>
          </w:p>
        </w:tc>
        <w:tc>
          <w:tcPr>
            <w:tcW w:w="4678" w:type="dxa"/>
            <w:shd w:val="clear" w:color="auto" w:fill="auto"/>
          </w:tcPr>
          <w:p w:rsidR="00306AF8" w:rsidRPr="000E0147" w:rsidRDefault="00306AF8" w:rsidP="00D703F4">
            <w:pPr>
              <w:pStyle w:val="TableLeftAlign"/>
              <w:rPr>
                <w:sz w:val="19"/>
                <w:szCs w:val="19"/>
              </w:rPr>
            </w:pPr>
            <w:proofErr w:type="spellStart"/>
            <w:r w:rsidRPr="000E0147">
              <w:rPr>
                <w:sz w:val="19"/>
                <w:szCs w:val="19"/>
              </w:rPr>
              <w:t>Oedema</w:t>
            </w:r>
            <w:proofErr w:type="spellEnd"/>
            <w:r w:rsidRPr="000E0147">
              <w:rPr>
                <w:sz w:val="19"/>
                <w:szCs w:val="19"/>
              </w:rPr>
              <w:t xml:space="preserve"> peripheral</w:t>
            </w:r>
          </w:p>
        </w:tc>
      </w:tr>
      <w:tr w:rsidR="00306AF8" w:rsidRPr="000E0147" w:rsidTr="00C80AF8">
        <w:tc>
          <w:tcPr>
            <w:tcW w:w="4111" w:type="dxa"/>
            <w:gridSpan w:val="2"/>
            <w:tcBorders>
              <w:bottom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Respiratory, thoracic and mediastinal disorders</w:t>
            </w:r>
          </w:p>
        </w:tc>
        <w:tc>
          <w:tcPr>
            <w:tcW w:w="4678" w:type="dxa"/>
            <w:tcBorders>
              <w:bottom w:val="single" w:sz="4" w:space="0" w:color="auto"/>
            </w:tcBorders>
            <w:shd w:val="clear" w:color="auto" w:fill="auto"/>
          </w:tcPr>
          <w:p w:rsidR="00306AF8" w:rsidRPr="000E0147" w:rsidRDefault="00306AF8" w:rsidP="00D703F4">
            <w:pPr>
              <w:pStyle w:val="TableLeftAlign"/>
              <w:rPr>
                <w:sz w:val="19"/>
                <w:szCs w:val="19"/>
              </w:rPr>
            </w:pPr>
            <w:r w:rsidRPr="000E0147">
              <w:rPr>
                <w:sz w:val="19"/>
                <w:szCs w:val="19"/>
              </w:rPr>
              <w:t>Cough</w:t>
            </w:r>
          </w:p>
        </w:tc>
      </w:tr>
      <w:tr w:rsidR="00306AF8" w:rsidRPr="000E0147" w:rsidTr="00C80AF8">
        <w:tc>
          <w:tcPr>
            <w:tcW w:w="8789" w:type="dxa"/>
            <w:gridSpan w:val="3"/>
            <w:tcBorders>
              <w:left w:val="nil"/>
              <w:right w:val="nil"/>
            </w:tcBorders>
            <w:shd w:val="clear" w:color="auto" w:fill="auto"/>
          </w:tcPr>
          <w:p w:rsidR="00306AF8" w:rsidRPr="000E0147" w:rsidRDefault="00306AF8" w:rsidP="00D703F4">
            <w:pPr>
              <w:spacing w:before="60"/>
              <w:rPr>
                <w:b/>
                <w:sz w:val="19"/>
                <w:szCs w:val="19"/>
                <w:lang w:val="en"/>
              </w:rPr>
            </w:pPr>
            <w:r w:rsidRPr="000E0147">
              <w:rPr>
                <w:b/>
                <w:sz w:val="19"/>
                <w:szCs w:val="19"/>
                <w:lang w:val="en"/>
              </w:rPr>
              <w:t>Common (≥ 1 in 100 to &lt; 1 in 10)</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General disorders and administration site conditions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b/>
                <w:bCs/>
                <w:sz w:val="19"/>
                <w:szCs w:val="19"/>
              </w:rPr>
            </w:pPr>
            <w:r w:rsidRPr="000E0147">
              <w:rPr>
                <w:rFonts w:cs="Arial"/>
                <w:sz w:val="19"/>
                <w:szCs w:val="19"/>
              </w:rPr>
              <w:t>Malaise, Axillary pain</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Ear and labyrinth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rFonts w:cs="Arial"/>
                <w:sz w:val="19"/>
                <w:szCs w:val="19"/>
              </w:rPr>
              <w:t>Ear Pain</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Cardiac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rFonts w:cs="Arial"/>
                <w:sz w:val="19"/>
                <w:szCs w:val="19"/>
              </w:rPr>
              <w:t>Tachycardia</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Gastrointestinal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b/>
                <w:bCs/>
                <w:sz w:val="19"/>
                <w:szCs w:val="19"/>
              </w:rPr>
            </w:pPr>
            <w:r w:rsidRPr="000E0147">
              <w:rPr>
                <w:rFonts w:cs="Arial"/>
                <w:sz w:val="19"/>
                <w:szCs w:val="19"/>
              </w:rPr>
              <w:t>Abdominal Pain, Abdominal discomfort</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Musculoskeletal and connective tissue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bCs/>
                <w:sz w:val="19"/>
                <w:szCs w:val="19"/>
              </w:rPr>
            </w:pPr>
            <w:r w:rsidRPr="000E0147">
              <w:rPr>
                <w:rFonts w:cs="Arial"/>
                <w:bCs/>
                <w:sz w:val="19"/>
                <w:szCs w:val="19"/>
              </w:rPr>
              <w:t>Back pain, Groin pain</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Skin and subcutaneous tissue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rFonts w:cs="Arial"/>
                <w:sz w:val="19"/>
                <w:szCs w:val="19"/>
              </w:rPr>
              <w:t>Vitiligo, Rash, Dermatitis</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Infections and infestations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rFonts w:cs="Arial"/>
                <w:sz w:val="19"/>
                <w:szCs w:val="19"/>
              </w:rPr>
              <w:t>Cellulitis, Oral Herpes</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Nervous System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Default"/>
              <w:spacing w:before="60"/>
              <w:ind w:left="33"/>
              <w:rPr>
                <w:rFonts w:cs="Arial"/>
                <w:sz w:val="19"/>
                <w:szCs w:val="19"/>
              </w:rPr>
            </w:pPr>
            <w:proofErr w:type="spellStart"/>
            <w:r w:rsidRPr="000E0147">
              <w:rPr>
                <w:rFonts w:ascii="Arial" w:eastAsia="Times New Roman" w:hAnsi="Arial" w:cs="Arial"/>
                <w:color w:val="auto"/>
                <w:sz w:val="19"/>
                <w:szCs w:val="19"/>
                <w:lang w:val="en-US" w:eastAsia="en-US"/>
              </w:rPr>
              <w:t>Confusional</w:t>
            </w:r>
            <w:proofErr w:type="spellEnd"/>
            <w:r w:rsidRPr="000E0147">
              <w:rPr>
                <w:rFonts w:ascii="Arial" w:eastAsia="Times New Roman" w:hAnsi="Arial" w:cs="Arial"/>
                <w:color w:val="auto"/>
                <w:sz w:val="19"/>
                <w:szCs w:val="19"/>
                <w:lang w:val="en-US" w:eastAsia="en-US"/>
              </w:rPr>
              <w:t xml:space="preserve"> state, Anxiety, Depression, Dizziness, Insomnia</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Respiratory, thoracic and mediastinal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proofErr w:type="spellStart"/>
            <w:r w:rsidRPr="000E0147">
              <w:rPr>
                <w:rFonts w:cs="Arial"/>
                <w:sz w:val="19"/>
                <w:szCs w:val="19"/>
              </w:rPr>
              <w:t>Dyspnoea</w:t>
            </w:r>
            <w:proofErr w:type="spellEnd"/>
            <w:r w:rsidRPr="000E0147">
              <w:rPr>
                <w:rFonts w:cs="Arial"/>
                <w:sz w:val="19"/>
                <w:szCs w:val="19"/>
              </w:rPr>
              <w:t xml:space="preserve"> exertional, Oropharyngeal pain, Upper respiratory tract infection</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Metabolism and nutrition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rFonts w:cs="Arial"/>
                <w:sz w:val="19"/>
                <w:szCs w:val="19"/>
              </w:rPr>
              <w:t>Dehydration</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Injury, poisoning and procedural complications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rFonts w:cs="Arial"/>
                <w:sz w:val="19"/>
                <w:szCs w:val="19"/>
              </w:rPr>
              <w:t>Wound complication, Wound secretion, Contusion, Procedural pain</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Neoplasms benign, malignant and unspecified (</w:t>
            </w:r>
            <w:proofErr w:type="spellStart"/>
            <w:r w:rsidRPr="000E0147">
              <w:rPr>
                <w:b/>
                <w:i/>
                <w:sz w:val="19"/>
                <w:szCs w:val="19"/>
              </w:rPr>
              <w:t>incl</w:t>
            </w:r>
            <w:proofErr w:type="spellEnd"/>
            <w:r w:rsidRPr="000E0147">
              <w:rPr>
                <w:b/>
                <w:i/>
                <w:sz w:val="19"/>
                <w:szCs w:val="19"/>
              </w:rPr>
              <w:t xml:space="preserve"> cysts and polyps)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proofErr w:type="spellStart"/>
            <w:r w:rsidRPr="000E0147">
              <w:rPr>
                <w:rFonts w:cs="Arial"/>
                <w:sz w:val="19"/>
                <w:szCs w:val="19"/>
              </w:rPr>
              <w:t>Tumour</w:t>
            </w:r>
            <w:proofErr w:type="spellEnd"/>
            <w:r w:rsidRPr="000E0147">
              <w:rPr>
                <w:rFonts w:cs="Arial"/>
                <w:sz w:val="19"/>
                <w:szCs w:val="19"/>
              </w:rPr>
              <w:t xml:space="preserve"> pain, Infected neoplasm</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Investigations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rFonts w:cs="Arial"/>
                <w:sz w:val="19"/>
                <w:szCs w:val="19"/>
              </w:rPr>
              <w:t>Weight decreased</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Vascular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rFonts w:cs="Arial"/>
                <w:sz w:val="19"/>
                <w:szCs w:val="19"/>
              </w:rPr>
              <w:t>Deep vein thrombosis, Hypertension, Flushing</w:t>
            </w:r>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pStyle w:val="TableLeftAlign"/>
              <w:rPr>
                <w:b/>
                <w:i/>
                <w:sz w:val="19"/>
                <w:szCs w:val="19"/>
              </w:rPr>
            </w:pPr>
            <w:r w:rsidRPr="000E0147">
              <w:rPr>
                <w:b/>
                <w:i/>
                <w:sz w:val="19"/>
                <w:szCs w:val="19"/>
              </w:rPr>
              <w:t>Blood and lymphatic system disorders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6AF8" w:rsidRPr="000E0147" w:rsidRDefault="00306AF8" w:rsidP="00D703F4">
            <w:pPr>
              <w:spacing w:before="60"/>
              <w:ind w:left="33"/>
              <w:rPr>
                <w:rFonts w:cs="Arial"/>
                <w:b/>
                <w:bCs/>
                <w:i/>
                <w:sz w:val="19"/>
                <w:szCs w:val="19"/>
              </w:rPr>
            </w:pPr>
            <w:proofErr w:type="spellStart"/>
            <w:r w:rsidRPr="000E0147">
              <w:rPr>
                <w:rFonts w:cs="Arial"/>
                <w:sz w:val="19"/>
                <w:szCs w:val="19"/>
              </w:rPr>
              <w:t>Anaemia</w:t>
            </w:r>
            <w:proofErr w:type="spellEnd"/>
          </w:p>
        </w:tc>
      </w:tr>
      <w:tr w:rsidR="00306AF8" w:rsidRPr="000E0147" w:rsidTr="00C8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89" w:type="dxa"/>
            <w:gridSpan w:val="3"/>
            <w:tcBorders>
              <w:top w:val="single" w:sz="4" w:space="0" w:color="auto"/>
              <w:bottom w:val="single" w:sz="4" w:space="0" w:color="auto"/>
            </w:tcBorders>
            <w:shd w:val="clear" w:color="auto" w:fill="auto"/>
          </w:tcPr>
          <w:p w:rsidR="00306AF8" w:rsidRPr="000E0147" w:rsidRDefault="00306AF8" w:rsidP="00D703F4">
            <w:pPr>
              <w:spacing w:before="60"/>
              <w:ind w:left="33"/>
              <w:rPr>
                <w:rFonts w:cs="Arial"/>
                <w:sz w:val="19"/>
                <w:szCs w:val="19"/>
              </w:rPr>
            </w:pPr>
            <w:r w:rsidRPr="000E0147">
              <w:rPr>
                <w:b/>
                <w:sz w:val="19"/>
                <w:szCs w:val="19"/>
                <w:lang w:val="en"/>
              </w:rPr>
              <w:t>Common (≥ 1 in 100 to &lt; 1 in 10)</w:t>
            </w:r>
          </w:p>
        </w:tc>
      </w:tr>
      <w:tr w:rsidR="00306AF8" w:rsidRPr="000E0147" w:rsidTr="00C80AF8">
        <w:tc>
          <w:tcPr>
            <w:tcW w:w="3969" w:type="dxa"/>
            <w:shd w:val="clear" w:color="auto" w:fill="auto"/>
          </w:tcPr>
          <w:p w:rsidR="00306AF8" w:rsidRPr="000E0147" w:rsidRDefault="00306AF8" w:rsidP="00306AF8">
            <w:pPr>
              <w:pStyle w:val="TableLeftAlign"/>
              <w:rPr>
                <w:b/>
                <w:i/>
                <w:sz w:val="19"/>
                <w:szCs w:val="19"/>
              </w:rPr>
            </w:pPr>
            <w:r w:rsidRPr="000E0147">
              <w:rPr>
                <w:b/>
                <w:i/>
                <w:sz w:val="19"/>
                <w:szCs w:val="19"/>
              </w:rPr>
              <w:t xml:space="preserve">Eye disorders </w:t>
            </w:r>
          </w:p>
        </w:tc>
        <w:tc>
          <w:tcPr>
            <w:tcW w:w="4820" w:type="dxa"/>
            <w:gridSpan w:val="2"/>
            <w:shd w:val="clear" w:color="auto" w:fill="auto"/>
          </w:tcPr>
          <w:p w:rsidR="00306AF8" w:rsidRPr="000E0147" w:rsidRDefault="00306AF8" w:rsidP="00306AF8">
            <w:pPr>
              <w:pStyle w:val="TableLeftAlign"/>
              <w:rPr>
                <w:b/>
                <w:sz w:val="19"/>
                <w:szCs w:val="19"/>
              </w:rPr>
            </w:pPr>
            <w:r w:rsidRPr="000E0147">
              <w:rPr>
                <w:sz w:val="19"/>
                <w:szCs w:val="19"/>
              </w:rPr>
              <w:t>Keratitis herpetic</w:t>
            </w:r>
          </w:p>
        </w:tc>
      </w:tr>
      <w:tr w:rsidR="00306AF8" w:rsidRPr="000E0147" w:rsidTr="00C80AF8">
        <w:tc>
          <w:tcPr>
            <w:tcW w:w="3969" w:type="dxa"/>
            <w:shd w:val="clear" w:color="auto" w:fill="auto"/>
          </w:tcPr>
          <w:p w:rsidR="00306AF8" w:rsidRPr="000E0147" w:rsidRDefault="00306AF8" w:rsidP="00306AF8">
            <w:pPr>
              <w:pStyle w:val="TableLeftAlign"/>
              <w:rPr>
                <w:b/>
                <w:i/>
                <w:sz w:val="19"/>
                <w:szCs w:val="19"/>
              </w:rPr>
            </w:pPr>
            <w:r w:rsidRPr="000E0147">
              <w:rPr>
                <w:b/>
                <w:i/>
                <w:sz w:val="19"/>
                <w:szCs w:val="19"/>
              </w:rPr>
              <w:t>Infections and infestations</w:t>
            </w:r>
          </w:p>
        </w:tc>
        <w:tc>
          <w:tcPr>
            <w:tcW w:w="4820" w:type="dxa"/>
            <w:gridSpan w:val="2"/>
            <w:shd w:val="clear" w:color="auto" w:fill="auto"/>
          </w:tcPr>
          <w:p w:rsidR="00306AF8" w:rsidRPr="000E0147" w:rsidRDefault="00306AF8" w:rsidP="00306AF8">
            <w:pPr>
              <w:pStyle w:val="TableLeftAlign"/>
              <w:rPr>
                <w:b/>
                <w:sz w:val="19"/>
                <w:szCs w:val="19"/>
              </w:rPr>
            </w:pPr>
            <w:r w:rsidRPr="000E0147">
              <w:rPr>
                <w:sz w:val="19"/>
                <w:szCs w:val="19"/>
              </w:rPr>
              <w:t>Cellulitis at injection site, Incision site infection</w:t>
            </w:r>
          </w:p>
        </w:tc>
      </w:tr>
      <w:tr w:rsidR="00306AF8" w:rsidRPr="000E0147" w:rsidTr="00C80AF8">
        <w:tc>
          <w:tcPr>
            <w:tcW w:w="3969" w:type="dxa"/>
            <w:shd w:val="clear" w:color="auto" w:fill="auto"/>
          </w:tcPr>
          <w:p w:rsidR="00306AF8" w:rsidRPr="000E0147" w:rsidRDefault="00306AF8" w:rsidP="00306AF8">
            <w:pPr>
              <w:pStyle w:val="TableLeftAlign"/>
              <w:rPr>
                <w:b/>
                <w:i/>
                <w:sz w:val="19"/>
                <w:szCs w:val="19"/>
              </w:rPr>
            </w:pPr>
            <w:r w:rsidRPr="000E0147">
              <w:rPr>
                <w:b/>
                <w:i/>
                <w:sz w:val="19"/>
                <w:szCs w:val="19"/>
              </w:rPr>
              <w:t>Neoplasms benign, malignant and unspecified (</w:t>
            </w:r>
            <w:proofErr w:type="spellStart"/>
            <w:r w:rsidRPr="000E0147">
              <w:rPr>
                <w:b/>
                <w:i/>
                <w:sz w:val="19"/>
                <w:szCs w:val="19"/>
              </w:rPr>
              <w:t>incl</w:t>
            </w:r>
            <w:proofErr w:type="spellEnd"/>
            <w:r w:rsidRPr="000E0147">
              <w:rPr>
                <w:b/>
                <w:i/>
                <w:sz w:val="19"/>
                <w:szCs w:val="19"/>
              </w:rPr>
              <w:t xml:space="preserve"> cysts and polyps)</w:t>
            </w:r>
          </w:p>
        </w:tc>
        <w:tc>
          <w:tcPr>
            <w:tcW w:w="4820" w:type="dxa"/>
            <w:gridSpan w:val="2"/>
            <w:shd w:val="clear" w:color="auto" w:fill="auto"/>
          </w:tcPr>
          <w:p w:rsidR="00306AF8" w:rsidRPr="000E0147" w:rsidRDefault="00306AF8" w:rsidP="00306AF8">
            <w:pPr>
              <w:pStyle w:val="TableLeftAlign"/>
              <w:rPr>
                <w:sz w:val="19"/>
                <w:szCs w:val="19"/>
              </w:rPr>
            </w:pPr>
            <w:proofErr w:type="spellStart"/>
            <w:r w:rsidRPr="000E0147">
              <w:rPr>
                <w:sz w:val="19"/>
                <w:szCs w:val="19"/>
              </w:rPr>
              <w:t>Plasmacytoma</w:t>
            </w:r>
            <w:proofErr w:type="spellEnd"/>
            <w:r w:rsidRPr="000E0147">
              <w:rPr>
                <w:sz w:val="19"/>
                <w:szCs w:val="19"/>
              </w:rPr>
              <w:t xml:space="preserve"> at injection site</w:t>
            </w:r>
          </w:p>
        </w:tc>
      </w:tr>
      <w:tr w:rsidR="00306AF8" w:rsidRPr="000E0147" w:rsidTr="00C80AF8">
        <w:tc>
          <w:tcPr>
            <w:tcW w:w="3969" w:type="dxa"/>
            <w:shd w:val="clear" w:color="auto" w:fill="auto"/>
          </w:tcPr>
          <w:p w:rsidR="00306AF8" w:rsidRPr="000E0147" w:rsidRDefault="00306AF8" w:rsidP="00306AF8">
            <w:pPr>
              <w:pStyle w:val="TableLeftAlign"/>
              <w:rPr>
                <w:b/>
                <w:i/>
                <w:sz w:val="19"/>
                <w:szCs w:val="19"/>
              </w:rPr>
            </w:pPr>
            <w:r w:rsidRPr="000E0147">
              <w:rPr>
                <w:b/>
                <w:i/>
                <w:sz w:val="19"/>
                <w:szCs w:val="19"/>
              </w:rPr>
              <w:t>Vascular disorders</w:t>
            </w:r>
          </w:p>
        </w:tc>
        <w:tc>
          <w:tcPr>
            <w:tcW w:w="4820" w:type="dxa"/>
            <w:gridSpan w:val="2"/>
            <w:shd w:val="clear" w:color="auto" w:fill="auto"/>
          </w:tcPr>
          <w:p w:rsidR="00306AF8" w:rsidRPr="000E0147" w:rsidRDefault="00306AF8" w:rsidP="00306AF8">
            <w:pPr>
              <w:pStyle w:val="TableLeftAlign"/>
              <w:rPr>
                <w:sz w:val="19"/>
                <w:szCs w:val="19"/>
              </w:rPr>
            </w:pPr>
            <w:r w:rsidRPr="000E0147">
              <w:rPr>
                <w:sz w:val="19"/>
                <w:szCs w:val="19"/>
              </w:rPr>
              <w:t>Vasculitis</w:t>
            </w:r>
          </w:p>
        </w:tc>
      </w:tr>
      <w:tr w:rsidR="00306AF8" w:rsidRPr="000E0147" w:rsidTr="00C80AF8">
        <w:tc>
          <w:tcPr>
            <w:tcW w:w="3969" w:type="dxa"/>
            <w:shd w:val="clear" w:color="auto" w:fill="auto"/>
          </w:tcPr>
          <w:p w:rsidR="00306AF8" w:rsidRPr="000E0147" w:rsidRDefault="00306AF8" w:rsidP="00306AF8">
            <w:pPr>
              <w:pStyle w:val="TableLeftAlign"/>
              <w:rPr>
                <w:b/>
                <w:i/>
                <w:sz w:val="19"/>
                <w:szCs w:val="19"/>
              </w:rPr>
            </w:pPr>
            <w:r w:rsidRPr="000E0147">
              <w:rPr>
                <w:b/>
                <w:i/>
                <w:sz w:val="19"/>
                <w:szCs w:val="19"/>
              </w:rPr>
              <w:t>Respiratory, thoracic and mediastinal disorders</w:t>
            </w:r>
          </w:p>
        </w:tc>
        <w:tc>
          <w:tcPr>
            <w:tcW w:w="4820" w:type="dxa"/>
            <w:gridSpan w:val="2"/>
            <w:shd w:val="clear" w:color="auto" w:fill="auto"/>
          </w:tcPr>
          <w:p w:rsidR="00306AF8" w:rsidRPr="000E0147" w:rsidRDefault="00306AF8" w:rsidP="00306AF8">
            <w:pPr>
              <w:pStyle w:val="TableLeftAlign"/>
              <w:rPr>
                <w:sz w:val="19"/>
                <w:szCs w:val="19"/>
              </w:rPr>
            </w:pPr>
            <w:r w:rsidRPr="000E0147">
              <w:rPr>
                <w:sz w:val="19"/>
                <w:szCs w:val="19"/>
              </w:rPr>
              <w:t>Obstructive airways disorder, Pneumonitis</w:t>
            </w:r>
          </w:p>
        </w:tc>
      </w:tr>
      <w:tr w:rsidR="00306AF8" w:rsidRPr="000E0147" w:rsidTr="00C80AF8">
        <w:tc>
          <w:tcPr>
            <w:tcW w:w="3969" w:type="dxa"/>
            <w:shd w:val="clear" w:color="auto" w:fill="auto"/>
          </w:tcPr>
          <w:p w:rsidR="00306AF8" w:rsidRPr="000E0147" w:rsidRDefault="00306AF8" w:rsidP="00306AF8">
            <w:pPr>
              <w:pStyle w:val="TableLeftAlign"/>
              <w:rPr>
                <w:b/>
                <w:i/>
                <w:sz w:val="19"/>
                <w:szCs w:val="19"/>
              </w:rPr>
            </w:pPr>
            <w:r w:rsidRPr="000E0147">
              <w:rPr>
                <w:b/>
                <w:i/>
                <w:sz w:val="19"/>
                <w:szCs w:val="19"/>
              </w:rPr>
              <w:t>Skin and subcutaneous tissue disorders</w:t>
            </w:r>
          </w:p>
        </w:tc>
        <w:tc>
          <w:tcPr>
            <w:tcW w:w="4820" w:type="dxa"/>
            <w:gridSpan w:val="2"/>
            <w:shd w:val="clear" w:color="auto" w:fill="auto"/>
          </w:tcPr>
          <w:p w:rsidR="00306AF8" w:rsidRPr="000E0147" w:rsidRDefault="00306AF8" w:rsidP="00306AF8">
            <w:pPr>
              <w:pStyle w:val="TableLeftAlign"/>
              <w:rPr>
                <w:sz w:val="19"/>
                <w:szCs w:val="19"/>
              </w:rPr>
            </w:pPr>
            <w:r w:rsidRPr="000E0147">
              <w:rPr>
                <w:sz w:val="19"/>
                <w:szCs w:val="19"/>
              </w:rPr>
              <w:t>Psoriasis</w:t>
            </w:r>
          </w:p>
        </w:tc>
      </w:tr>
      <w:tr w:rsidR="00306AF8" w:rsidRPr="000E0147" w:rsidTr="00C80AF8">
        <w:tc>
          <w:tcPr>
            <w:tcW w:w="3969" w:type="dxa"/>
            <w:shd w:val="clear" w:color="auto" w:fill="auto"/>
          </w:tcPr>
          <w:p w:rsidR="00306AF8" w:rsidRPr="000E0147" w:rsidRDefault="00306AF8" w:rsidP="00306AF8">
            <w:pPr>
              <w:pStyle w:val="TableLeftAlign"/>
              <w:rPr>
                <w:b/>
                <w:i/>
                <w:sz w:val="19"/>
                <w:szCs w:val="19"/>
              </w:rPr>
            </w:pPr>
            <w:r w:rsidRPr="000E0147">
              <w:rPr>
                <w:b/>
                <w:i/>
                <w:sz w:val="19"/>
                <w:szCs w:val="19"/>
              </w:rPr>
              <w:lastRenderedPageBreak/>
              <w:t>Renal and urinary disorders</w:t>
            </w:r>
          </w:p>
        </w:tc>
        <w:tc>
          <w:tcPr>
            <w:tcW w:w="4820" w:type="dxa"/>
            <w:gridSpan w:val="2"/>
            <w:shd w:val="clear" w:color="auto" w:fill="auto"/>
          </w:tcPr>
          <w:p w:rsidR="00306AF8" w:rsidRPr="000E0147" w:rsidRDefault="00306AF8" w:rsidP="00306AF8">
            <w:pPr>
              <w:pStyle w:val="TableLeftAlign"/>
              <w:rPr>
                <w:sz w:val="19"/>
                <w:szCs w:val="19"/>
              </w:rPr>
            </w:pPr>
            <w:r w:rsidRPr="000E0147">
              <w:rPr>
                <w:sz w:val="19"/>
                <w:szCs w:val="19"/>
              </w:rPr>
              <w:t>Glomerulonephritis</w:t>
            </w:r>
          </w:p>
        </w:tc>
      </w:tr>
    </w:tbl>
    <w:p w:rsidR="008D4D82" w:rsidRPr="00776F51" w:rsidRDefault="008D4D82" w:rsidP="00306AF8">
      <w:pPr>
        <w:pStyle w:val="FootnoteText"/>
        <w:rPr>
          <w:lang w:val="en"/>
        </w:rPr>
      </w:pPr>
      <w:r>
        <w:rPr>
          <w:lang w:val="en"/>
        </w:rPr>
        <w:t>*</w:t>
      </w:r>
      <w:r w:rsidRPr="00292588">
        <w:rPr>
          <w:sz w:val="20"/>
        </w:rPr>
        <w:t xml:space="preserve"> </w:t>
      </w:r>
      <w:r w:rsidRPr="00160F2A">
        <w:t xml:space="preserve">Injection site reactions include: very common term of injection site pain, common terms of injection site erythema, injection site </w:t>
      </w:r>
      <w:proofErr w:type="spellStart"/>
      <w:r w:rsidRPr="00160F2A">
        <w:t>haemorrhage</w:t>
      </w:r>
      <w:proofErr w:type="spellEnd"/>
      <w:r w:rsidRPr="00160F2A">
        <w:t>, injection site swelling, injection site reaction, injection site inflammation, secretion discharge, injection site discharge, uncommon term of injection site warmth.</w:t>
      </w:r>
    </w:p>
    <w:p w:rsidR="002761A4" w:rsidRPr="006D7DC1" w:rsidRDefault="000E58B9" w:rsidP="002761A4">
      <w:pPr>
        <w:shd w:val="clear" w:color="auto" w:fill="FFFFFF"/>
        <w:spacing w:before="319" w:after="319"/>
        <w:outlineLvl w:val="3"/>
        <w:rPr>
          <w:rFonts w:cs="Arial"/>
          <w:lang w:val="en"/>
        </w:rPr>
      </w:pPr>
      <w:r w:rsidRPr="000E58B9">
        <w:rPr>
          <w:color w:val="0000FF"/>
        </w:rPr>
        <w:fldChar w:fldCharType="begin"/>
      </w:r>
      <w:r w:rsidRPr="000E58B9">
        <w:rPr>
          <w:color w:val="0000FF"/>
        </w:rPr>
        <w:instrText xml:space="preserve"> REF _Ref426014365 \h </w:instrText>
      </w:r>
      <w:r>
        <w:rPr>
          <w:color w:val="0000FF"/>
        </w:rPr>
        <w:instrText xml:space="preserve"> \* MERGEFORMAT </w:instrText>
      </w:r>
      <w:r w:rsidRPr="000E58B9">
        <w:rPr>
          <w:color w:val="0000FF"/>
        </w:rPr>
      </w:r>
      <w:r w:rsidRPr="000E58B9">
        <w:rPr>
          <w:color w:val="0000FF"/>
        </w:rPr>
        <w:fldChar w:fldCharType="separate"/>
      </w:r>
      <w:r w:rsidRPr="000E58B9">
        <w:rPr>
          <w:color w:val="0000FF"/>
        </w:rPr>
        <w:t>Table 3</w:t>
      </w:r>
      <w:r w:rsidRPr="000E58B9">
        <w:rPr>
          <w:color w:val="0000FF"/>
        </w:rPr>
        <w:fldChar w:fldCharType="end"/>
      </w:r>
      <w:r>
        <w:rPr>
          <w:rFonts w:cs="Arial"/>
          <w:lang w:val="en"/>
        </w:rPr>
        <w:t xml:space="preserve"> </w:t>
      </w:r>
      <w:r w:rsidR="007712D8" w:rsidRPr="006D7DC1">
        <w:rPr>
          <w:rFonts w:cs="Arial"/>
          <w:lang w:val="en"/>
        </w:rPr>
        <w:t xml:space="preserve">lists </w:t>
      </w:r>
      <w:r w:rsidR="007712D8" w:rsidRPr="006D7DC1">
        <w:t xml:space="preserve">adverse events reported in </w:t>
      </w:r>
      <w:r w:rsidR="00B348AE" w:rsidRPr="006D7DC1">
        <w:t>Study 1</w:t>
      </w:r>
      <w:r w:rsidR="002761A4" w:rsidRPr="006D7DC1">
        <w:rPr>
          <w:rFonts w:cs="Arial"/>
          <w:lang w:val="en"/>
        </w:rPr>
        <w:t>.</w:t>
      </w:r>
    </w:p>
    <w:p w:rsidR="002761A4" w:rsidRPr="006D7DC1" w:rsidRDefault="001857EE" w:rsidP="001857EE">
      <w:pPr>
        <w:pStyle w:val="Caption"/>
        <w:rPr>
          <w:rFonts w:cs="Arial"/>
          <w:sz w:val="18"/>
          <w:szCs w:val="18"/>
        </w:rPr>
      </w:pPr>
      <w:bookmarkStart w:id="9" w:name="_Ref403992533"/>
      <w:bookmarkStart w:id="10" w:name="_Ref426014365"/>
      <w:proofErr w:type="gramStart"/>
      <w:r>
        <w:t>Table </w:t>
      </w:r>
      <w:r w:rsidR="00AA5F09">
        <w:fldChar w:fldCharType="begin"/>
      </w:r>
      <w:r w:rsidR="00AA5F09">
        <w:instrText xml:space="preserve"> SEQ Table \* ARABIC </w:instrText>
      </w:r>
      <w:r w:rsidR="00AA5F09">
        <w:fldChar w:fldCharType="separate"/>
      </w:r>
      <w:r w:rsidR="00AA5F09">
        <w:rPr>
          <w:noProof/>
        </w:rPr>
        <w:t>3</w:t>
      </w:r>
      <w:r w:rsidR="00AA5F09">
        <w:fldChar w:fldCharType="end"/>
      </w:r>
      <w:bookmarkEnd w:id="9"/>
      <w:bookmarkEnd w:id="10"/>
      <w:r>
        <w:t>.</w:t>
      </w:r>
      <w:proofErr w:type="gramEnd"/>
      <w:r>
        <w:t xml:space="preserve">  </w:t>
      </w:r>
      <w:r w:rsidR="002761A4" w:rsidRPr="001857EE">
        <w:rPr>
          <w:rFonts w:cs="Arial"/>
          <w:szCs w:val="22"/>
          <w:lang w:val="en"/>
        </w:rPr>
        <w:t xml:space="preserve">Adverse Events Reported in ≥ 10% Incidence in Patients Administered with </w:t>
      </w:r>
      <w:r w:rsidR="001371A5">
        <w:rPr>
          <w:rFonts w:cs="Arial"/>
          <w:szCs w:val="22"/>
          <w:lang w:val="en"/>
        </w:rPr>
        <w:t>IMLYGIC</w:t>
      </w:r>
      <w:r w:rsidR="002761A4" w:rsidRPr="001857EE">
        <w:rPr>
          <w:rFonts w:cs="Arial"/>
          <w:szCs w:val="22"/>
          <w:lang w:val="en"/>
        </w:rPr>
        <w:t xml:space="preserve"> or GM-CSF in </w:t>
      </w:r>
      <w:r w:rsidR="00B348AE" w:rsidRPr="001857EE">
        <w:rPr>
          <w:rFonts w:cs="Arial"/>
          <w:szCs w:val="22"/>
          <w:lang w:val="en"/>
        </w:rPr>
        <w:t>Study 1</w:t>
      </w:r>
      <w:r w:rsidR="007712D8" w:rsidRPr="001857EE">
        <w:rPr>
          <w:rFonts w:cs="Arial"/>
          <w:szCs w:val="22"/>
          <w:lang w:val="en"/>
        </w:rPr>
        <w:t xml:space="preserve"> </w:t>
      </w:r>
      <w:r w:rsidR="00D7286B" w:rsidRPr="001857EE">
        <w:rPr>
          <w:rFonts w:cs="Arial"/>
          <w:szCs w:val="22"/>
          <w:lang w:val="en"/>
        </w:rPr>
        <w:t>by maximum grade</w:t>
      </w:r>
      <w:r w:rsidR="002761A4" w:rsidRPr="006D7DC1">
        <w:rPr>
          <w:rFonts w:cs="Arial"/>
          <w:szCs w:val="22"/>
          <w:lang w:val="en"/>
        </w:rPr>
        <w:br/>
      </w:r>
      <w:r w:rsidR="002761A4" w:rsidRPr="006D7DC1">
        <w:rPr>
          <w:rFonts w:cs="Arial"/>
          <w:sz w:val="18"/>
          <w:szCs w:val="18"/>
        </w:rPr>
        <w:t xml:space="preserve">  </w:t>
      </w:r>
    </w:p>
    <w:tbl>
      <w:tblPr>
        <w:tblW w:w="4791" w:type="pct"/>
        <w:jc w:val="center"/>
        <w:tblInd w:w="-1676" w:type="dxa"/>
        <w:tblCellMar>
          <w:left w:w="60" w:type="dxa"/>
          <w:right w:w="60" w:type="dxa"/>
        </w:tblCellMar>
        <w:tblLook w:val="0000" w:firstRow="0" w:lastRow="0" w:firstColumn="0" w:lastColumn="0" w:noHBand="0" w:noVBand="0"/>
      </w:tblPr>
      <w:tblGrid>
        <w:gridCol w:w="2324"/>
        <w:gridCol w:w="1497"/>
        <w:gridCol w:w="1600"/>
        <w:gridCol w:w="1398"/>
        <w:gridCol w:w="1600"/>
      </w:tblGrid>
      <w:tr w:rsidR="005E4030" w:rsidRPr="006D7DC1" w:rsidTr="001857EE">
        <w:trPr>
          <w:trHeight w:val="339"/>
          <w:jc w:val="center"/>
        </w:trPr>
        <w:tc>
          <w:tcPr>
            <w:tcW w:w="1381" w:type="pct"/>
            <w:vMerge w:val="restart"/>
            <w:tcBorders>
              <w:top w:val="single" w:sz="4" w:space="0" w:color="auto"/>
              <w:left w:val="single" w:sz="4" w:space="0" w:color="auto"/>
              <w:right w:val="single" w:sz="4" w:space="0" w:color="auto"/>
            </w:tcBorders>
            <w:vAlign w:val="bottom"/>
          </w:tcPr>
          <w:p w:rsidR="005E4030" w:rsidRPr="006D7DC1" w:rsidRDefault="005E4030" w:rsidP="001857EE">
            <w:pPr>
              <w:pStyle w:val="TableLeftAlign"/>
            </w:pPr>
            <w:r w:rsidRPr="001857EE">
              <w:rPr>
                <w:b/>
              </w:rPr>
              <w:t>Preferred Term</w:t>
            </w:r>
          </w:p>
        </w:tc>
        <w:tc>
          <w:tcPr>
            <w:tcW w:w="1839" w:type="pct"/>
            <w:gridSpan w:val="2"/>
            <w:tcBorders>
              <w:top w:val="single" w:sz="4" w:space="0" w:color="auto"/>
              <w:left w:val="single" w:sz="4" w:space="0" w:color="auto"/>
              <w:bottom w:val="single" w:sz="4" w:space="0" w:color="auto"/>
              <w:right w:val="single" w:sz="4" w:space="0" w:color="auto"/>
            </w:tcBorders>
            <w:vAlign w:val="bottom"/>
          </w:tcPr>
          <w:p w:rsidR="005E4030" w:rsidRPr="006D7DC1" w:rsidRDefault="001371A5" w:rsidP="001857EE">
            <w:pPr>
              <w:pStyle w:val="TableCenterAlign"/>
            </w:pPr>
            <w:r>
              <w:t>IMLYGIC</w:t>
            </w:r>
          </w:p>
          <w:p w:rsidR="005E4030" w:rsidRPr="006D7DC1" w:rsidRDefault="005E4030" w:rsidP="001857EE">
            <w:pPr>
              <w:pStyle w:val="TableCenterAlign"/>
            </w:pPr>
            <w:r w:rsidRPr="006D7DC1">
              <w:t xml:space="preserve">(N = 292) </w:t>
            </w:r>
          </w:p>
        </w:tc>
        <w:tc>
          <w:tcPr>
            <w:tcW w:w="1780" w:type="pct"/>
            <w:gridSpan w:val="2"/>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 xml:space="preserve">GM-CSF </w:t>
            </w:r>
          </w:p>
          <w:p w:rsidR="005E4030" w:rsidRPr="006D7DC1" w:rsidRDefault="005E4030" w:rsidP="001857EE">
            <w:pPr>
              <w:pStyle w:val="TableCenterAlign"/>
            </w:pPr>
            <w:r w:rsidRPr="006D7DC1">
              <w:t>(N = 127)</w:t>
            </w:r>
          </w:p>
        </w:tc>
      </w:tr>
      <w:tr w:rsidR="005E4030" w:rsidRPr="006D7DC1" w:rsidTr="001857EE">
        <w:trPr>
          <w:trHeight w:val="419"/>
          <w:jc w:val="center"/>
        </w:trPr>
        <w:tc>
          <w:tcPr>
            <w:tcW w:w="1381" w:type="pct"/>
            <w:vMerge/>
            <w:tcBorders>
              <w:left w:val="single" w:sz="4" w:space="0" w:color="auto"/>
              <w:bottom w:val="single" w:sz="4" w:space="0" w:color="auto"/>
              <w:right w:val="single" w:sz="4" w:space="0" w:color="auto"/>
            </w:tcBorders>
            <w:vAlign w:val="bottom"/>
          </w:tcPr>
          <w:p w:rsidR="005E4030" w:rsidRPr="006D7DC1" w:rsidRDefault="005E4030" w:rsidP="001857EE">
            <w:pPr>
              <w:pStyle w:val="TableLeftAlign"/>
            </w:pP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proofErr w:type="gramStart"/>
            <w:r w:rsidRPr="006D7DC1">
              <w:t>n</w:t>
            </w:r>
            <w:proofErr w:type="gramEnd"/>
            <w:r w:rsidRPr="006D7DC1">
              <w:t xml:space="preserve"> (%)</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Grade 3 and 4</w:t>
            </w:r>
            <w:r w:rsidR="006D7DC1" w:rsidRPr="006D7DC1">
              <w:t>^</w:t>
            </w:r>
          </w:p>
          <w:p w:rsidR="005E4030" w:rsidRPr="006D7DC1" w:rsidRDefault="005E4030" w:rsidP="001857EE">
            <w:pPr>
              <w:pStyle w:val="TableCenterAlign"/>
            </w:pPr>
            <w:proofErr w:type="gramStart"/>
            <w:r w:rsidRPr="006D7DC1">
              <w:t>n</w:t>
            </w:r>
            <w:proofErr w:type="gramEnd"/>
            <w:r w:rsidRPr="006D7DC1">
              <w:t xml:space="preserve"> (%)</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p>
          <w:p w:rsidR="005E4030" w:rsidRPr="006D7DC1" w:rsidRDefault="005E4030" w:rsidP="001857EE">
            <w:pPr>
              <w:pStyle w:val="TableCenterAlign"/>
            </w:pPr>
            <w:proofErr w:type="gramStart"/>
            <w:r w:rsidRPr="006D7DC1">
              <w:t>n</w:t>
            </w:r>
            <w:proofErr w:type="gramEnd"/>
            <w:r w:rsidRPr="006D7DC1">
              <w:t xml:space="preserve"> (%)</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Grade 3 and 4</w:t>
            </w:r>
            <w:r w:rsidR="009431F4" w:rsidRPr="006D7DC1">
              <w:t>^</w:t>
            </w:r>
          </w:p>
          <w:p w:rsidR="005E4030" w:rsidRPr="006D7DC1" w:rsidRDefault="005E4030" w:rsidP="001857EE">
            <w:pPr>
              <w:pStyle w:val="TableCenterAlign"/>
            </w:pPr>
            <w:proofErr w:type="gramStart"/>
            <w:r w:rsidRPr="006D7DC1">
              <w:t>n</w:t>
            </w:r>
            <w:proofErr w:type="gramEnd"/>
            <w:r w:rsidRPr="006D7DC1">
              <w:t xml:space="preserve"> (%)</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Fatigue</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147 (50.3)</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5 (1.7)</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46 (36.2)</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1 (0.8)</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Chills</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142 (48.6)</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11 (8.7)</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Pyrexia</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125 (42.8)</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11 (8.7)</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Nausea</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104 (35.6)</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1 (0.3)</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25 (19.7)</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Influenza-like illness</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89 (30.5)</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2 (0.7)</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19 (15.0)</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Injection site pain</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81 (27.7)</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3 (1.0)</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8 (6.3)</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Vomiting</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62 (21.2)</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5 (1.7)</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12 (9.4)</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proofErr w:type="spellStart"/>
            <w:r w:rsidRPr="006D7DC1">
              <w:t>Diarrhoea</w:t>
            </w:r>
            <w:proofErr w:type="spellEnd"/>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55 (18.8)</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1 (0.3)</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14 (11.0)</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Headache</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55 (18.8)</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2 (0.7)</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12 (9.4)</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Myalgia</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51 (17.5)</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1 (0.3)</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7 (5.5)</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Arthralgia</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50 (17.1)</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2 (0.7)</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11 (8.7)</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Pain in extremity</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48 (16.4)</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4 (1.4)</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12 (9.4)</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1 (0.8)</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 xml:space="preserve">Pain </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47 (16.1)</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2 (0.7)</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13 (10.2)</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1 (0.8)</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proofErr w:type="spellStart"/>
            <w:r w:rsidRPr="006D7DC1">
              <w:t>Oedema</w:t>
            </w:r>
            <w:proofErr w:type="spellEnd"/>
            <w:r w:rsidRPr="006D7DC1">
              <w:t xml:space="preserve"> peripheral</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35 (12.0)</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2 (0.7)</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12 (9.4)</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2 (1.6)</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Constipation</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34 (11.6)</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0 (0.0)</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8 (6.3)</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1 (0.8)</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Cough</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31 (10.6)</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10 (7.9)</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Decreased appetite</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30 (10.3)</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14 (11.0)</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Pruritus</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28 (9.6)</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19 (15.0)</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5E4030"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LeftAlign"/>
            </w:pPr>
            <w:r w:rsidRPr="006D7DC1">
              <w:t>Injection site erythema</w:t>
            </w:r>
          </w:p>
        </w:tc>
        <w:tc>
          <w:tcPr>
            <w:tcW w:w="889" w:type="pct"/>
            <w:tcBorders>
              <w:top w:val="single" w:sz="4" w:space="0" w:color="auto"/>
              <w:left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15 (5.1)</w:t>
            </w:r>
          </w:p>
        </w:tc>
        <w:tc>
          <w:tcPr>
            <w:tcW w:w="950" w:type="pct"/>
            <w:tcBorders>
              <w:top w:val="single" w:sz="4" w:space="0" w:color="auto"/>
              <w:left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c>
          <w:tcPr>
            <w:tcW w:w="830" w:type="pct"/>
            <w:tcBorders>
              <w:top w:val="single" w:sz="4" w:space="0" w:color="auto"/>
              <w:bottom w:val="single" w:sz="4" w:space="0" w:color="auto"/>
              <w:right w:val="single" w:sz="4" w:space="0" w:color="auto"/>
            </w:tcBorders>
            <w:vAlign w:val="bottom"/>
          </w:tcPr>
          <w:p w:rsidR="005E4030" w:rsidRPr="006D7DC1" w:rsidRDefault="005E4030" w:rsidP="001857EE">
            <w:pPr>
              <w:pStyle w:val="TableCenterAlign"/>
            </w:pPr>
            <w:r w:rsidRPr="006D7DC1">
              <w:t>33 (26.0)</w:t>
            </w:r>
          </w:p>
        </w:tc>
        <w:tc>
          <w:tcPr>
            <w:tcW w:w="950" w:type="pct"/>
            <w:tcBorders>
              <w:top w:val="single" w:sz="4" w:space="0" w:color="auto"/>
              <w:bottom w:val="single" w:sz="4" w:space="0" w:color="auto"/>
              <w:right w:val="single" w:sz="4" w:space="0" w:color="auto"/>
            </w:tcBorders>
          </w:tcPr>
          <w:p w:rsidR="005E4030" w:rsidRPr="006D7DC1" w:rsidRDefault="005E4030" w:rsidP="001857EE">
            <w:pPr>
              <w:pStyle w:val="TableCenterAlign"/>
            </w:pPr>
            <w:r w:rsidRPr="006D7DC1">
              <w:t>0 (0)</w:t>
            </w:r>
          </w:p>
        </w:tc>
      </w:tr>
      <w:tr w:rsidR="00AB2867"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AB2867" w:rsidRPr="006D7DC1" w:rsidRDefault="00AB2867" w:rsidP="001857EE">
            <w:pPr>
              <w:pStyle w:val="TableLeftAlign"/>
            </w:pPr>
            <w:proofErr w:type="spellStart"/>
            <w:r w:rsidRPr="006D7DC1">
              <w:t>Dyspnoea</w:t>
            </w:r>
            <w:proofErr w:type="spellEnd"/>
          </w:p>
        </w:tc>
        <w:tc>
          <w:tcPr>
            <w:tcW w:w="889" w:type="pct"/>
            <w:tcBorders>
              <w:top w:val="single" w:sz="4" w:space="0" w:color="auto"/>
              <w:left w:val="single" w:sz="4" w:space="0" w:color="auto"/>
              <w:bottom w:val="single" w:sz="4" w:space="0" w:color="auto"/>
              <w:right w:val="single" w:sz="4" w:space="0" w:color="auto"/>
            </w:tcBorders>
            <w:vAlign w:val="bottom"/>
          </w:tcPr>
          <w:p w:rsidR="00AB2867" w:rsidRPr="006D7DC1" w:rsidRDefault="00AB2867" w:rsidP="001857EE">
            <w:pPr>
              <w:pStyle w:val="TableCenterAlign"/>
            </w:pPr>
            <w:r w:rsidRPr="006D7DC1">
              <w:t>13 (4.5)</w:t>
            </w:r>
          </w:p>
        </w:tc>
        <w:tc>
          <w:tcPr>
            <w:tcW w:w="950" w:type="pct"/>
            <w:tcBorders>
              <w:top w:val="single" w:sz="4" w:space="0" w:color="auto"/>
              <w:left w:val="single" w:sz="4" w:space="0" w:color="auto"/>
              <w:bottom w:val="single" w:sz="4" w:space="0" w:color="auto"/>
              <w:right w:val="single" w:sz="4" w:space="0" w:color="auto"/>
            </w:tcBorders>
          </w:tcPr>
          <w:p w:rsidR="00AB2867" w:rsidRPr="006D7DC1" w:rsidRDefault="00AB2867" w:rsidP="001857EE">
            <w:pPr>
              <w:pStyle w:val="TableCenterAlign"/>
            </w:pPr>
            <w:r w:rsidRPr="006D7DC1">
              <w:t>3 (1.0)</w:t>
            </w:r>
          </w:p>
        </w:tc>
        <w:tc>
          <w:tcPr>
            <w:tcW w:w="830" w:type="pct"/>
            <w:tcBorders>
              <w:top w:val="single" w:sz="4" w:space="0" w:color="auto"/>
              <w:bottom w:val="single" w:sz="4" w:space="0" w:color="auto"/>
              <w:right w:val="single" w:sz="4" w:space="0" w:color="auto"/>
            </w:tcBorders>
            <w:vAlign w:val="bottom"/>
          </w:tcPr>
          <w:p w:rsidR="00AB2867" w:rsidRPr="006D7DC1" w:rsidRDefault="00AB2867" w:rsidP="001857EE">
            <w:pPr>
              <w:pStyle w:val="TableCenterAlign"/>
            </w:pPr>
            <w:r w:rsidRPr="006D7DC1">
              <w:t>13 (10.2)</w:t>
            </w:r>
          </w:p>
        </w:tc>
        <w:tc>
          <w:tcPr>
            <w:tcW w:w="950" w:type="pct"/>
            <w:tcBorders>
              <w:top w:val="single" w:sz="4" w:space="0" w:color="auto"/>
              <w:bottom w:val="single" w:sz="4" w:space="0" w:color="auto"/>
              <w:right w:val="single" w:sz="4" w:space="0" w:color="auto"/>
            </w:tcBorders>
          </w:tcPr>
          <w:p w:rsidR="00AB2867" w:rsidRPr="006D7DC1" w:rsidRDefault="00AB2867" w:rsidP="001857EE">
            <w:pPr>
              <w:pStyle w:val="TableCenterAlign"/>
            </w:pPr>
            <w:r w:rsidRPr="006D7DC1">
              <w:t>3 (2.4)</w:t>
            </w:r>
          </w:p>
        </w:tc>
      </w:tr>
      <w:tr w:rsidR="00AB2867" w:rsidRPr="006D7DC1" w:rsidTr="001857EE">
        <w:trPr>
          <w:trHeight w:val="288"/>
          <w:jc w:val="center"/>
        </w:trPr>
        <w:tc>
          <w:tcPr>
            <w:tcW w:w="1381" w:type="pct"/>
            <w:tcBorders>
              <w:top w:val="single" w:sz="4" w:space="0" w:color="auto"/>
              <w:left w:val="single" w:sz="4" w:space="0" w:color="auto"/>
              <w:bottom w:val="single" w:sz="4" w:space="0" w:color="auto"/>
              <w:right w:val="single" w:sz="4" w:space="0" w:color="auto"/>
            </w:tcBorders>
            <w:vAlign w:val="bottom"/>
          </w:tcPr>
          <w:p w:rsidR="00AB2867" w:rsidRPr="006D7DC1" w:rsidRDefault="00AB2867" w:rsidP="001857EE">
            <w:pPr>
              <w:pStyle w:val="TableLeftAlign"/>
            </w:pPr>
            <w:r w:rsidRPr="006D7DC1">
              <w:t>Injection site pruritus</w:t>
            </w:r>
          </w:p>
        </w:tc>
        <w:tc>
          <w:tcPr>
            <w:tcW w:w="889" w:type="pct"/>
            <w:tcBorders>
              <w:top w:val="single" w:sz="4" w:space="0" w:color="auto"/>
              <w:left w:val="single" w:sz="4" w:space="0" w:color="auto"/>
              <w:bottom w:val="single" w:sz="4" w:space="0" w:color="auto"/>
              <w:right w:val="single" w:sz="4" w:space="0" w:color="auto"/>
            </w:tcBorders>
            <w:vAlign w:val="bottom"/>
          </w:tcPr>
          <w:p w:rsidR="00AB2867" w:rsidRPr="006D7DC1" w:rsidRDefault="00AB2867" w:rsidP="001857EE">
            <w:pPr>
              <w:pStyle w:val="TableCenterAlign"/>
            </w:pPr>
            <w:r w:rsidRPr="006D7DC1">
              <w:t>5 (1.7)</w:t>
            </w:r>
          </w:p>
        </w:tc>
        <w:tc>
          <w:tcPr>
            <w:tcW w:w="950" w:type="pct"/>
            <w:tcBorders>
              <w:top w:val="single" w:sz="4" w:space="0" w:color="auto"/>
              <w:left w:val="single" w:sz="4" w:space="0" w:color="auto"/>
              <w:bottom w:val="single" w:sz="4" w:space="0" w:color="auto"/>
              <w:right w:val="single" w:sz="4" w:space="0" w:color="auto"/>
            </w:tcBorders>
          </w:tcPr>
          <w:p w:rsidR="00AB2867" w:rsidRPr="006D7DC1" w:rsidRDefault="00AB2867" w:rsidP="001857EE">
            <w:pPr>
              <w:pStyle w:val="TableCenterAlign"/>
            </w:pPr>
            <w:r w:rsidRPr="006D7DC1">
              <w:t>0 (0)</w:t>
            </w:r>
          </w:p>
        </w:tc>
        <w:tc>
          <w:tcPr>
            <w:tcW w:w="830" w:type="pct"/>
            <w:tcBorders>
              <w:top w:val="single" w:sz="4" w:space="0" w:color="auto"/>
              <w:bottom w:val="single" w:sz="4" w:space="0" w:color="auto"/>
              <w:right w:val="single" w:sz="4" w:space="0" w:color="auto"/>
            </w:tcBorders>
            <w:vAlign w:val="bottom"/>
          </w:tcPr>
          <w:p w:rsidR="00AB2867" w:rsidRPr="006D7DC1" w:rsidRDefault="00AB2867" w:rsidP="001857EE">
            <w:pPr>
              <w:pStyle w:val="TableCenterAlign"/>
            </w:pPr>
            <w:r w:rsidRPr="006D7DC1">
              <w:t>21 (16.5)</w:t>
            </w:r>
          </w:p>
        </w:tc>
        <w:tc>
          <w:tcPr>
            <w:tcW w:w="950" w:type="pct"/>
            <w:tcBorders>
              <w:top w:val="single" w:sz="4" w:space="0" w:color="auto"/>
              <w:bottom w:val="single" w:sz="4" w:space="0" w:color="auto"/>
              <w:right w:val="single" w:sz="4" w:space="0" w:color="auto"/>
            </w:tcBorders>
          </w:tcPr>
          <w:p w:rsidR="00AB2867" w:rsidRPr="006D7DC1" w:rsidRDefault="00AB2867" w:rsidP="001857EE">
            <w:pPr>
              <w:pStyle w:val="TableCenterAlign"/>
            </w:pPr>
            <w:r w:rsidRPr="006D7DC1">
              <w:t>0 (0)</w:t>
            </w:r>
          </w:p>
        </w:tc>
      </w:tr>
    </w:tbl>
    <w:p w:rsidR="006D244F" w:rsidRPr="006D7DC1" w:rsidRDefault="009431F4" w:rsidP="000E58B9">
      <w:pPr>
        <w:pStyle w:val="FootnoteText"/>
      </w:pPr>
      <w:r w:rsidRPr="006D7DC1">
        <w:t xml:space="preserve">^ </w:t>
      </w:r>
      <w:r w:rsidR="0020252E" w:rsidRPr="006D7DC1">
        <w:t>There were n</w:t>
      </w:r>
      <w:r w:rsidR="005E4030" w:rsidRPr="006D7DC1">
        <w:t xml:space="preserve">o grade 5 adverse events reports with the exception of </w:t>
      </w:r>
      <w:proofErr w:type="spellStart"/>
      <w:r w:rsidR="006D244F" w:rsidRPr="006D7DC1">
        <w:t>Dyspnoea</w:t>
      </w:r>
      <w:proofErr w:type="spellEnd"/>
      <w:r w:rsidR="005E4030" w:rsidRPr="006D7DC1">
        <w:t xml:space="preserve"> </w:t>
      </w:r>
      <w:r w:rsidRPr="006D7DC1">
        <w:t xml:space="preserve">with </w:t>
      </w:r>
      <w:r w:rsidR="006D244F" w:rsidRPr="006D7DC1">
        <w:t>n=1 (0.8%) Grade 5 event in the GM-CSF arm</w:t>
      </w:r>
    </w:p>
    <w:p w:rsidR="0096697E" w:rsidRPr="00160F2A" w:rsidRDefault="001C45B2" w:rsidP="000E58B9">
      <w:pPr>
        <w:pStyle w:val="Heading7Bold"/>
      </w:pPr>
      <w:bookmarkStart w:id="11" w:name="_GoBack"/>
      <w:bookmarkEnd w:id="11"/>
      <w:r w:rsidRPr="00160F2A">
        <w:lastRenderedPageBreak/>
        <w:t>Description of selected Adverse Reactions</w:t>
      </w:r>
    </w:p>
    <w:p w:rsidR="001C45B2" w:rsidRPr="00181105" w:rsidRDefault="001C45B2" w:rsidP="000E58B9">
      <w:pPr>
        <w:pStyle w:val="Heading9Italic"/>
      </w:pPr>
      <w:r w:rsidRPr="00160F2A">
        <w:t xml:space="preserve">Influenza-like symptoms </w:t>
      </w:r>
    </w:p>
    <w:p w:rsidR="00C754DD" w:rsidRPr="00502347" w:rsidRDefault="001C45B2" w:rsidP="001C45B2">
      <w:pPr>
        <w:pStyle w:val="Text"/>
        <w:rPr>
          <w:color w:val="000000"/>
          <w:lang w:val="en"/>
        </w:rPr>
      </w:pPr>
      <w:proofErr w:type="gramStart"/>
      <w:r w:rsidRPr="00502347">
        <w:rPr>
          <w:color w:val="000000"/>
          <w:szCs w:val="22"/>
        </w:rPr>
        <w:t>Pyrexia,</w:t>
      </w:r>
      <w:proofErr w:type="gramEnd"/>
      <w:r w:rsidRPr="00502347">
        <w:rPr>
          <w:color w:val="000000"/>
          <w:szCs w:val="22"/>
        </w:rPr>
        <w:t xml:space="preserve"> chills, and influenza like illness, which can occur any time during </w:t>
      </w:r>
      <w:r w:rsidR="001371A5">
        <w:rPr>
          <w:color w:val="000000"/>
          <w:szCs w:val="22"/>
        </w:rPr>
        <w:t>IMLYGIC</w:t>
      </w:r>
      <w:r w:rsidRPr="00502347">
        <w:rPr>
          <w:color w:val="000000"/>
          <w:szCs w:val="22"/>
        </w:rPr>
        <w:t xml:space="preserve"> treatment, generally resolved within 72 hours. These events were reported more frequently during the first 3 </w:t>
      </w:r>
      <w:r w:rsidR="009D6A8A">
        <w:rPr>
          <w:color w:val="000000"/>
          <w:szCs w:val="22"/>
        </w:rPr>
        <w:t>cycles</w:t>
      </w:r>
      <w:r w:rsidRPr="00502347">
        <w:rPr>
          <w:color w:val="000000"/>
          <w:szCs w:val="22"/>
        </w:rPr>
        <w:t xml:space="preserve"> of treatment, particularly in patients who were HSV-1 negative at baseline.</w:t>
      </w:r>
      <w:r w:rsidR="00160F2A">
        <w:rPr>
          <w:color w:val="000000"/>
          <w:szCs w:val="22"/>
        </w:rPr>
        <w:t xml:space="preserve"> </w:t>
      </w:r>
    </w:p>
    <w:p w:rsidR="005E3C40" w:rsidRPr="002B6DC1" w:rsidRDefault="00EA6654" w:rsidP="002B6DC1">
      <w:pPr>
        <w:pStyle w:val="Heading0"/>
        <w:pageBreakBefore w:val="0"/>
      </w:pPr>
      <w:r w:rsidRPr="002B6DC1">
        <w:t>DOSAGE AND ADMINISTRATION</w:t>
      </w:r>
    </w:p>
    <w:p w:rsidR="00721AAA" w:rsidRPr="006D7DC1" w:rsidRDefault="001371A5" w:rsidP="001857EE">
      <w:pPr>
        <w:pStyle w:val="Text"/>
        <w:rPr>
          <w:lang w:val="en"/>
        </w:rPr>
      </w:pPr>
      <w:r>
        <w:rPr>
          <w:lang w:val="en"/>
        </w:rPr>
        <w:t>IMLYGIC</w:t>
      </w:r>
      <w:r w:rsidR="009334D4" w:rsidRPr="006D7DC1">
        <w:rPr>
          <w:lang w:val="en"/>
        </w:rPr>
        <w:t xml:space="preserve"> is administered by </w:t>
      </w:r>
      <w:proofErr w:type="spellStart"/>
      <w:r w:rsidR="009334D4" w:rsidRPr="006D7DC1">
        <w:rPr>
          <w:lang w:val="en"/>
        </w:rPr>
        <w:t>intralesional</w:t>
      </w:r>
      <w:proofErr w:type="spellEnd"/>
      <w:r w:rsidR="009334D4" w:rsidRPr="006D7DC1">
        <w:rPr>
          <w:lang w:val="en"/>
        </w:rPr>
        <w:t xml:space="preserve"> injection into cutaneous, subcutaneous, and/or nodal lesions that are visible, palpable, or detectable by ultrasound guidance.</w:t>
      </w:r>
    </w:p>
    <w:p w:rsidR="009334D4" w:rsidRPr="006D7DC1" w:rsidRDefault="009334D4" w:rsidP="002B6DC1">
      <w:pPr>
        <w:pStyle w:val="Heading7Bold"/>
      </w:pPr>
      <w:r w:rsidRPr="006D7DC1">
        <w:t xml:space="preserve">Recommended Dose and Schedule </w:t>
      </w:r>
    </w:p>
    <w:p w:rsidR="003F0960" w:rsidRDefault="009334D4" w:rsidP="0096697E">
      <w:pPr>
        <w:pStyle w:val="Text"/>
      </w:pPr>
      <w:r w:rsidRPr="006D7DC1">
        <w:rPr>
          <w:b/>
        </w:rPr>
        <w:t xml:space="preserve">The total injection volume for each treatment visit should be up to a maximum of 4 </w:t>
      </w:r>
      <w:proofErr w:type="spellStart"/>
      <w:r w:rsidRPr="006D7DC1">
        <w:rPr>
          <w:b/>
        </w:rPr>
        <w:t>mL</w:t>
      </w:r>
      <w:r w:rsidRPr="006D7DC1">
        <w:t>.</w:t>
      </w:r>
      <w:proofErr w:type="spellEnd"/>
      <w:r w:rsidRPr="006D7DC1">
        <w:t xml:space="preserve">  The initial recommended dose is up to a maximum of 4 mL of </w:t>
      </w:r>
      <w:r w:rsidR="001371A5">
        <w:t>IMLYGIC</w:t>
      </w:r>
      <w:r w:rsidRPr="006D7DC1">
        <w:t xml:space="preserve"> at a concentration of 10</w:t>
      </w:r>
      <w:r w:rsidRPr="006D7DC1">
        <w:rPr>
          <w:vertAlign w:val="superscript"/>
        </w:rPr>
        <w:t>6</w:t>
      </w:r>
      <w:r w:rsidRPr="006D7DC1">
        <w:t xml:space="preserve"> (1 million) PFU/</w:t>
      </w:r>
      <w:proofErr w:type="spellStart"/>
      <w:r w:rsidRPr="006D7DC1">
        <w:t>mL.</w:t>
      </w:r>
      <w:proofErr w:type="spellEnd"/>
      <w:r w:rsidRPr="006D7DC1">
        <w:t xml:space="preserve">  Subsequent doses should be administered up to 4 mL of </w:t>
      </w:r>
      <w:r w:rsidR="001371A5">
        <w:t>IMLYGIC</w:t>
      </w:r>
      <w:r w:rsidRPr="006D7DC1">
        <w:t xml:space="preserve"> at a concentration of 10</w:t>
      </w:r>
      <w:r w:rsidRPr="006D7DC1">
        <w:rPr>
          <w:vertAlign w:val="superscript"/>
        </w:rPr>
        <w:t>8</w:t>
      </w:r>
      <w:r w:rsidRPr="006D7DC1">
        <w:t xml:space="preserve"> (100 million) PFU/</w:t>
      </w:r>
      <w:proofErr w:type="spellStart"/>
      <w:r w:rsidRPr="006D7DC1">
        <w:t>mL.</w:t>
      </w:r>
      <w:proofErr w:type="spellEnd"/>
      <w:r w:rsidRPr="006D7DC1">
        <w:t xml:space="preserve">  The same lesion(s) may be injected in more than one treatment visit.  The recommended dosing </w:t>
      </w:r>
      <w:r w:rsidR="0096697E">
        <w:t xml:space="preserve">schedule for </w:t>
      </w:r>
      <w:r w:rsidR="001371A5">
        <w:t>IMLYGIC</w:t>
      </w:r>
      <w:r w:rsidR="0096697E">
        <w:t xml:space="preserve"> is shown in </w:t>
      </w:r>
      <w:r w:rsidR="0096697E" w:rsidRPr="0096697E">
        <w:rPr>
          <w:color w:val="0000FF"/>
        </w:rPr>
        <w:fldChar w:fldCharType="begin"/>
      </w:r>
      <w:r w:rsidR="0096697E" w:rsidRPr="0096697E">
        <w:rPr>
          <w:color w:val="0000FF"/>
        </w:rPr>
        <w:instrText xml:space="preserve"> REF _Ref403997321 \h </w:instrText>
      </w:r>
      <w:r w:rsidR="0096697E">
        <w:rPr>
          <w:color w:val="0000FF"/>
        </w:rPr>
        <w:instrText xml:space="preserve"> \* MERGEFORMAT </w:instrText>
      </w:r>
      <w:r w:rsidR="0096697E" w:rsidRPr="0096697E">
        <w:rPr>
          <w:color w:val="0000FF"/>
        </w:rPr>
      </w:r>
      <w:r w:rsidR="0096697E" w:rsidRPr="0096697E">
        <w:rPr>
          <w:color w:val="0000FF"/>
        </w:rPr>
        <w:fldChar w:fldCharType="separate"/>
      </w:r>
      <w:r w:rsidR="000E58B9" w:rsidRPr="000E58B9">
        <w:rPr>
          <w:color w:val="0000FF"/>
        </w:rPr>
        <w:t>Table 4</w:t>
      </w:r>
      <w:r w:rsidR="0096697E" w:rsidRPr="0096697E">
        <w:rPr>
          <w:color w:val="0000FF"/>
        </w:rPr>
        <w:fldChar w:fldCharType="end"/>
      </w:r>
      <w:r w:rsidR="0096697E">
        <w:t>.</w:t>
      </w:r>
      <w:r w:rsidR="0083742F">
        <w:t xml:space="preserve"> </w:t>
      </w:r>
      <w:bookmarkStart w:id="12" w:name="_Ref403992561"/>
    </w:p>
    <w:p w:rsidR="009334D4" w:rsidRPr="003F0960" w:rsidRDefault="001857EE" w:rsidP="003F0960">
      <w:pPr>
        <w:pStyle w:val="Text"/>
        <w:jc w:val="center"/>
        <w:rPr>
          <w:b/>
        </w:rPr>
      </w:pPr>
      <w:bookmarkStart w:id="13" w:name="_Ref403997321"/>
      <w:proofErr w:type="gramStart"/>
      <w:r w:rsidRPr="003F0960">
        <w:rPr>
          <w:b/>
        </w:rPr>
        <w:t>Table </w:t>
      </w:r>
      <w:r w:rsidR="00AA5F09">
        <w:rPr>
          <w:b/>
        </w:rPr>
        <w:fldChar w:fldCharType="begin"/>
      </w:r>
      <w:r w:rsidR="00AA5F09">
        <w:rPr>
          <w:b/>
        </w:rPr>
        <w:instrText xml:space="preserve"> SEQ Table \* ARABIC </w:instrText>
      </w:r>
      <w:r w:rsidR="00AA5F09">
        <w:rPr>
          <w:b/>
        </w:rPr>
        <w:fldChar w:fldCharType="separate"/>
      </w:r>
      <w:r w:rsidR="00AA5F09">
        <w:rPr>
          <w:b/>
          <w:noProof/>
        </w:rPr>
        <w:t>4</w:t>
      </w:r>
      <w:r w:rsidR="00AA5F09">
        <w:rPr>
          <w:b/>
        </w:rPr>
        <w:fldChar w:fldCharType="end"/>
      </w:r>
      <w:bookmarkEnd w:id="12"/>
      <w:bookmarkEnd w:id="13"/>
      <w:r w:rsidRPr="003F0960">
        <w:rPr>
          <w:b/>
        </w:rPr>
        <w:t>.</w:t>
      </w:r>
      <w:proofErr w:type="gramEnd"/>
      <w:r w:rsidRPr="003F0960">
        <w:rPr>
          <w:b/>
        </w:rPr>
        <w:t xml:space="preserve">  </w:t>
      </w:r>
      <w:r w:rsidR="009334D4" w:rsidRPr="003F0960">
        <w:rPr>
          <w:b/>
        </w:rPr>
        <w:t xml:space="preserve">Recommended Dosing Schedule for </w:t>
      </w:r>
      <w:r w:rsidR="001371A5">
        <w:rPr>
          <w:b/>
        </w:rPr>
        <w:t>IMLYGIC</w:t>
      </w:r>
    </w:p>
    <w:tbl>
      <w:tblPr>
        <w:tblW w:w="8804"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1"/>
        <w:gridCol w:w="1348"/>
        <w:gridCol w:w="1219"/>
        <w:gridCol w:w="1775"/>
        <w:gridCol w:w="3211"/>
      </w:tblGrid>
      <w:tr w:rsidR="00721AAA" w:rsidRPr="00806954" w:rsidTr="00806954">
        <w:trPr>
          <w:trHeight w:val="74"/>
          <w:jc w:val="center"/>
        </w:trPr>
        <w:tc>
          <w:tcPr>
            <w:tcW w:w="1113" w:type="dxa"/>
            <w:shd w:val="clear" w:color="auto" w:fill="D9D9D9"/>
            <w:vAlign w:val="center"/>
          </w:tcPr>
          <w:p w:rsidR="00721AAA" w:rsidRPr="00806954" w:rsidRDefault="00721AAA" w:rsidP="001857EE">
            <w:pPr>
              <w:pStyle w:val="TableCenterAlign"/>
              <w:rPr>
                <w:b/>
                <w:sz w:val="20"/>
              </w:rPr>
            </w:pPr>
            <w:r w:rsidRPr="00806954">
              <w:rPr>
                <w:b/>
                <w:sz w:val="20"/>
              </w:rPr>
              <w:t xml:space="preserve">Treatment </w:t>
            </w:r>
          </w:p>
        </w:tc>
        <w:tc>
          <w:tcPr>
            <w:tcW w:w="1359" w:type="dxa"/>
            <w:shd w:val="clear" w:color="auto" w:fill="D9D9D9"/>
            <w:vAlign w:val="center"/>
          </w:tcPr>
          <w:p w:rsidR="00721AAA" w:rsidRPr="00806954" w:rsidRDefault="00721AAA" w:rsidP="001857EE">
            <w:pPr>
              <w:pStyle w:val="TableCenterAlign"/>
              <w:rPr>
                <w:b/>
                <w:sz w:val="20"/>
              </w:rPr>
            </w:pPr>
            <w:r w:rsidRPr="00806954">
              <w:rPr>
                <w:b/>
                <w:sz w:val="20"/>
              </w:rPr>
              <w:t>Treatment interval</w:t>
            </w:r>
          </w:p>
        </w:tc>
        <w:tc>
          <w:tcPr>
            <w:tcW w:w="1224" w:type="dxa"/>
            <w:shd w:val="clear" w:color="auto" w:fill="D9D9D9"/>
            <w:vAlign w:val="center"/>
          </w:tcPr>
          <w:p w:rsidR="00C867BF" w:rsidRPr="00806954" w:rsidRDefault="00721AAA" w:rsidP="001857EE">
            <w:pPr>
              <w:pStyle w:val="TableCenterAlign"/>
              <w:rPr>
                <w:b/>
                <w:sz w:val="20"/>
              </w:rPr>
            </w:pPr>
            <w:r w:rsidRPr="00806954">
              <w:rPr>
                <w:b/>
                <w:sz w:val="20"/>
              </w:rPr>
              <w:t>Maximum injection volume</w:t>
            </w:r>
          </w:p>
        </w:tc>
        <w:tc>
          <w:tcPr>
            <w:tcW w:w="1783" w:type="dxa"/>
            <w:shd w:val="clear" w:color="auto" w:fill="D9D9D9"/>
            <w:vAlign w:val="center"/>
          </w:tcPr>
          <w:p w:rsidR="00721AAA" w:rsidRPr="00806954" w:rsidRDefault="00721AAA" w:rsidP="001857EE">
            <w:pPr>
              <w:pStyle w:val="TableCenterAlign"/>
              <w:rPr>
                <w:b/>
                <w:sz w:val="20"/>
              </w:rPr>
            </w:pPr>
            <w:r w:rsidRPr="00806954">
              <w:rPr>
                <w:b/>
                <w:sz w:val="20"/>
              </w:rPr>
              <w:t>Dose concentrations</w:t>
            </w:r>
          </w:p>
        </w:tc>
        <w:tc>
          <w:tcPr>
            <w:tcW w:w="3325" w:type="dxa"/>
            <w:shd w:val="clear" w:color="auto" w:fill="D9D9D9"/>
            <w:vAlign w:val="center"/>
          </w:tcPr>
          <w:p w:rsidR="00721AAA" w:rsidRPr="00806954" w:rsidRDefault="00721AAA" w:rsidP="001857EE">
            <w:pPr>
              <w:pStyle w:val="TableCenterAlign"/>
              <w:rPr>
                <w:sz w:val="20"/>
              </w:rPr>
            </w:pPr>
            <w:r w:rsidRPr="00806954">
              <w:rPr>
                <w:b/>
                <w:sz w:val="20"/>
              </w:rPr>
              <w:t xml:space="preserve"> Prioritization of lesions to be injected</w:t>
            </w:r>
          </w:p>
        </w:tc>
      </w:tr>
      <w:tr w:rsidR="00721AAA" w:rsidRPr="00806954" w:rsidTr="00806954">
        <w:trPr>
          <w:trHeight w:val="74"/>
          <w:jc w:val="center"/>
        </w:trPr>
        <w:tc>
          <w:tcPr>
            <w:tcW w:w="1113" w:type="dxa"/>
            <w:shd w:val="clear" w:color="auto" w:fill="auto"/>
          </w:tcPr>
          <w:p w:rsidR="00721AAA" w:rsidRPr="00806954" w:rsidRDefault="00721AAA" w:rsidP="001857EE">
            <w:pPr>
              <w:pStyle w:val="TableCenterAlign"/>
              <w:rPr>
                <w:sz w:val="20"/>
              </w:rPr>
            </w:pPr>
            <w:r w:rsidRPr="00806954">
              <w:rPr>
                <w:sz w:val="20"/>
              </w:rPr>
              <w:t>Initial</w:t>
            </w:r>
          </w:p>
        </w:tc>
        <w:tc>
          <w:tcPr>
            <w:tcW w:w="1359" w:type="dxa"/>
            <w:shd w:val="clear" w:color="auto" w:fill="auto"/>
          </w:tcPr>
          <w:p w:rsidR="00721AAA" w:rsidRPr="00806954" w:rsidRDefault="00721AAA" w:rsidP="001857EE">
            <w:pPr>
              <w:pStyle w:val="TableCenterAlign"/>
              <w:rPr>
                <w:sz w:val="20"/>
              </w:rPr>
            </w:pPr>
            <w:r w:rsidRPr="00806954">
              <w:rPr>
                <w:sz w:val="20"/>
              </w:rPr>
              <w:t>-</w:t>
            </w:r>
          </w:p>
        </w:tc>
        <w:tc>
          <w:tcPr>
            <w:tcW w:w="1224" w:type="dxa"/>
            <w:shd w:val="clear" w:color="auto" w:fill="auto"/>
          </w:tcPr>
          <w:p w:rsidR="00721AAA" w:rsidRPr="00806954" w:rsidRDefault="00721AAA" w:rsidP="001857EE">
            <w:pPr>
              <w:pStyle w:val="TableCenterAlign"/>
              <w:rPr>
                <w:sz w:val="20"/>
              </w:rPr>
            </w:pPr>
            <w:r w:rsidRPr="00806954">
              <w:rPr>
                <w:sz w:val="20"/>
              </w:rPr>
              <w:t>Up to 4 mL</w:t>
            </w:r>
          </w:p>
          <w:p w:rsidR="00721AAA" w:rsidRPr="00806954" w:rsidRDefault="00721AAA" w:rsidP="001857EE">
            <w:pPr>
              <w:pStyle w:val="TableCenterAlign"/>
              <w:rPr>
                <w:sz w:val="20"/>
              </w:rPr>
            </w:pPr>
          </w:p>
        </w:tc>
        <w:tc>
          <w:tcPr>
            <w:tcW w:w="1783" w:type="dxa"/>
            <w:shd w:val="clear" w:color="auto" w:fill="auto"/>
          </w:tcPr>
          <w:p w:rsidR="00721AAA" w:rsidRPr="00806954" w:rsidRDefault="00721AAA" w:rsidP="001857EE">
            <w:pPr>
              <w:pStyle w:val="TableCenterAlign"/>
              <w:rPr>
                <w:sz w:val="20"/>
              </w:rPr>
            </w:pPr>
            <w:r w:rsidRPr="00806954">
              <w:rPr>
                <w:sz w:val="20"/>
              </w:rPr>
              <w:t>10</w:t>
            </w:r>
            <w:r w:rsidRPr="00806954">
              <w:rPr>
                <w:sz w:val="20"/>
                <w:vertAlign w:val="superscript"/>
              </w:rPr>
              <w:t xml:space="preserve">6  </w:t>
            </w:r>
            <w:r w:rsidRPr="00806954">
              <w:rPr>
                <w:sz w:val="20"/>
                <w:vertAlign w:val="superscript"/>
              </w:rPr>
              <w:br/>
            </w:r>
            <w:r w:rsidR="00C867BF" w:rsidRPr="00806954">
              <w:rPr>
                <w:sz w:val="20"/>
              </w:rPr>
              <w:t xml:space="preserve">(1 million) </w:t>
            </w:r>
            <w:r w:rsidRPr="00806954">
              <w:rPr>
                <w:sz w:val="20"/>
              </w:rPr>
              <w:t>PFU/mL</w:t>
            </w:r>
          </w:p>
        </w:tc>
        <w:tc>
          <w:tcPr>
            <w:tcW w:w="3325" w:type="dxa"/>
            <w:shd w:val="clear" w:color="auto" w:fill="auto"/>
          </w:tcPr>
          <w:p w:rsidR="00721AAA" w:rsidRPr="00806954" w:rsidRDefault="00721AAA" w:rsidP="00160F2A">
            <w:pPr>
              <w:pStyle w:val="TableLeftAlign"/>
              <w:numPr>
                <w:ilvl w:val="0"/>
                <w:numId w:val="6"/>
              </w:numPr>
              <w:ind w:left="335" w:hanging="335"/>
              <w:rPr>
                <w:sz w:val="20"/>
              </w:rPr>
            </w:pPr>
            <w:r w:rsidRPr="00806954">
              <w:rPr>
                <w:sz w:val="20"/>
              </w:rPr>
              <w:t>Inject largest lesion(s) first</w:t>
            </w:r>
          </w:p>
          <w:p w:rsidR="00721AAA" w:rsidRPr="00806954" w:rsidRDefault="00721AAA" w:rsidP="00160F2A">
            <w:pPr>
              <w:pStyle w:val="TableLeftAlign"/>
              <w:numPr>
                <w:ilvl w:val="0"/>
                <w:numId w:val="6"/>
              </w:numPr>
              <w:ind w:left="335" w:hanging="335"/>
              <w:rPr>
                <w:sz w:val="20"/>
              </w:rPr>
            </w:pPr>
            <w:proofErr w:type="spellStart"/>
            <w:r w:rsidRPr="00806954">
              <w:rPr>
                <w:sz w:val="20"/>
              </w:rPr>
              <w:t>Prioriti</w:t>
            </w:r>
            <w:r w:rsidR="00C867BF" w:rsidRPr="00806954">
              <w:rPr>
                <w:sz w:val="20"/>
              </w:rPr>
              <w:t>s</w:t>
            </w:r>
            <w:r w:rsidRPr="00806954">
              <w:rPr>
                <w:sz w:val="20"/>
              </w:rPr>
              <w:t>e</w:t>
            </w:r>
            <w:proofErr w:type="spellEnd"/>
            <w:r w:rsidRPr="00806954">
              <w:rPr>
                <w:sz w:val="20"/>
              </w:rPr>
              <w:t xml:space="preserve"> injection of remaining lesion(s) based on lesion size until maximum injection volume is reached</w:t>
            </w:r>
          </w:p>
        </w:tc>
      </w:tr>
      <w:tr w:rsidR="00721AAA" w:rsidRPr="00806954" w:rsidTr="00806954">
        <w:trPr>
          <w:trHeight w:val="74"/>
          <w:jc w:val="center"/>
        </w:trPr>
        <w:tc>
          <w:tcPr>
            <w:tcW w:w="1113" w:type="dxa"/>
            <w:shd w:val="clear" w:color="auto" w:fill="auto"/>
          </w:tcPr>
          <w:p w:rsidR="00721AAA" w:rsidRPr="00806954" w:rsidRDefault="00721AAA" w:rsidP="001857EE">
            <w:pPr>
              <w:pStyle w:val="TableCenterAlign"/>
              <w:rPr>
                <w:sz w:val="20"/>
              </w:rPr>
            </w:pPr>
            <w:r w:rsidRPr="00806954">
              <w:rPr>
                <w:sz w:val="20"/>
              </w:rPr>
              <w:t>Second</w:t>
            </w:r>
          </w:p>
        </w:tc>
        <w:tc>
          <w:tcPr>
            <w:tcW w:w="1359" w:type="dxa"/>
            <w:shd w:val="clear" w:color="auto" w:fill="auto"/>
          </w:tcPr>
          <w:p w:rsidR="00721AAA" w:rsidRPr="00806954" w:rsidRDefault="00721AAA" w:rsidP="001857EE">
            <w:pPr>
              <w:pStyle w:val="TableCenterAlign"/>
              <w:rPr>
                <w:sz w:val="20"/>
              </w:rPr>
            </w:pPr>
            <w:r w:rsidRPr="00806954">
              <w:rPr>
                <w:sz w:val="20"/>
              </w:rPr>
              <w:t>3 weeks after initial treatment</w:t>
            </w:r>
          </w:p>
        </w:tc>
        <w:tc>
          <w:tcPr>
            <w:tcW w:w="1224" w:type="dxa"/>
            <w:shd w:val="clear" w:color="auto" w:fill="auto"/>
          </w:tcPr>
          <w:p w:rsidR="00721AAA" w:rsidRPr="00806954" w:rsidRDefault="00721AAA" w:rsidP="001857EE">
            <w:pPr>
              <w:pStyle w:val="TableCenterAlign"/>
              <w:rPr>
                <w:sz w:val="20"/>
              </w:rPr>
            </w:pPr>
            <w:r w:rsidRPr="00806954">
              <w:rPr>
                <w:sz w:val="20"/>
              </w:rPr>
              <w:t>Up to 4 mL</w:t>
            </w:r>
          </w:p>
          <w:p w:rsidR="00721AAA" w:rsidRPr="00806954" w:rsidRDefault="00721AAA" w:rsidP="001857EE">
            <w:pPr>
              <w:pStyle w:val="TableCenterAlign"/>
              <w:rPr>
                <w:sz w:val="20"/>
              </w:rPr>
            </w:pPr>
          </w:p>
        </w:tc>
        <w:tc>
          <w:tcPr>
            <w:tcW w:w="1783" w:type="dxa"/>
            <w:shd w:val="clear" w:color="auto" w:fill="auto"/>
          </w:tcPr>
          <w:p w:rsidR="00721AAA" w:rsidRPr="00806954" w:rsidRDefault="00721AAA" w:rsidP="001857EE">
            <w:pPr>
              <w:pStyle w:val="TableCenterAlign"/>
              <w:rPr>
                <w:sz w:val="20"/>
              </w:rPr>
            </w:pPr>
            <w:r w:rsidRPr="00806954">
              <w:rPr>
                <w:sz w:val="20"/>
              </w:rPr>
              <w:t>10</w:t>
            </w:r>
            <w:r w:rsidRPr="00806954">
              <w:rPr>
                <w:sz w:val="20"/>
                <w:vertAlign w:val="superscript"/>
              </w:rPr>
              <w:t>8</w:t>
            </w:r>
            <w:r w:rsidRPr="00806954">
              <w:rPr>
                <w:sz w:val="20"/>
              </w:rPr>
              <w:t xml:space="preserve"> </w:t>
            </w:r>
            <w:r w:rsidRPr="00806954">
              <w:rPr>
                <w:sz w:val="20"/>
              </w:rPr>
              <w:br/>
            </w:r>
            <w:r w:rsidR="00C867BF" w:rsidRPr="00806954">
              <w:rPr>
                <w:sz w:val="20"/>
              </w:rPr>
              <w:t xml:space="preserve">(100 million) </w:t>
            </w:r>
            <w:r w:rsidRPr="00806954">
              <w:rPr>
                <w:sz w:val="20"/>
              </w:rPr>
              <w:t>PFU/mL</w:t>
            </w:r>
          </w:p>
        </w:tc>
        <w:tc>
          <w:tcPr>
            <w:tcW w:w="3325" w:type="dxa"/>
            <w:shd w:val="clear" w:color="auto" w:fill="auto"/>
          </w:tcPr>
          <w:p w:rsidR="00721AAA" w:rsidRPr="00806954" w:rsidRDefault="00721AAA" w:rsidP="00160F2A">
            <w:pPr>
              <w:pStyle w:val="TableLeftAlign"/>
              <w:numPr>
                <w:ilvl w:val="0"/>
                <w:numId w:val="6"/>
              </w:numPr>
              <w:ind w:left="335" w:hanging="335"/>
              <w:rPr>
                <w:sz w:val="20"/>
              </w:rPr>
            </w:pPr>
            <w:r w:rsidRPr="00806954">
              <w:rPr>
                <w:sz w:val="20"/>
              </w:rPr>
              <w:t>Inject any new lesion(s) (lesions that may have developed since initial treatment) first</w:t>
            </w:r>
          </w:p>
          <w:p w:rsidR="00721AAA" w:rsidRPr="00806954" w:rsidRDefault="00721AAA" w:rsidP="00160F2A">
            <w:pPr>
              <w:pStyle w:val="TableLeftAlign"/>
              <w:numPr>
                <w:ilvl w:val="0"/>
                <w:numId w:val="6"/>
              </w:numPr>
              <w:ind w:left="335" w:hanging="335"/>
              <w:rPr>
                <w:sz w:val="20"/>
              </w:rPr>
            </w:pPr>
            <w:proofErr w:type="spellStart"/>
            <w:r w:rsidRPr="00806954">
              <w:rPr>
                <w:sz w:val="20"/>
              </w:rPr>
              <w:t>Prioriti</w:t>
            </w:r>
            <w:r w:rsidR="00C867BF" w:rsidRPr="00806954">
              <w:rPr>
                <w:sz w:val="20"/>
              </w:rPr>
              <w:t>s</w:t>
            </w:r>
            <w:r w:rsidRPr="00806954">
              <w:rPr>
                <w:sz w:val="20"/>
              </w:rPr>
              <w:t>e</w:t>
            </w:r>
            <w:proofErr w:type="spellEnd"/>
            <w:r w:rsidRPr="00806954">
              <w:rPr>
                <w:sz w:val="20"/>
              </w:rPr>
              <w:t xml:space="preserve"> injection of remaining lesion(s) based on lesion size until maximum injection volume is reached.</w:t>
            </w:r>
          </w:p>
        </w:tc>
      </w:tr>
      <w:tr w:rsidR="00721AAA" w:rsidRPr="00806954" w:rsidTr="00806954">
        <w:trPr>
          <w:trHeight w:val="74"/>
          <w:jc w:val="center"/>
        </w:trPr>
        <w:tc>
          <w:tcPr>
            <w:tcW w:w="1113" w:type="dxa"/>
            <w:shd w:val="clear" w:color="auto" w:fill="auto"/>
          </w:tcPr>
          <w:p w:rsidR="00721AAA" w:rsidRPr="00806954" w:rsidRDefault="00721AAA" w:rsidP="001857EE">
            <w:pPr>
              <w:pStyle w:val="TableCenterAlign"/>
              <w:rPr>
                <w:sz w:val="20"/>
              </w:rPr>
            </w:pPr>
            <w:r w:rsidRPr="00806954">
              <w:rPr>
                <w:sz w:val="20"/>
              </w:rPr>
              <w:t>All subsequent treatments (including re-initiation)</w:t>
            </w:r>
          </w:p>
        </w:tc>
        <w:tc>
          <w:tcPr>
            <w:tcW w:w="1359" w:type="dxa"/>
            <w:shd w:val="clear" w:color="auto" w:fill="auto"/>
          </w:tcPr>
          <w:p w:rsidR="00721AAA" w:rsidRPr="00806954" w:rsidRDefault="00721AAA" w:rsidP="001857EE">
            <w:pPr>
              <w:pStyle w:val="TableCenterAlign"/>
              <w:rPr>
                <w:sz w:val="20"/>
              </w:rPr>
            </w:pPr>
            <w:r w:rsidRPr="00806954">
              <w:rPr>
                <w:sz w:val="20"/>
              </w:rPr>
              <w:t>2 weeks after previous treatment</w:t>
            </w:r>
          </w:p>
        </w:tc>
        <w:tc>
          <w:tcPr>
            <w:tcW w:w="1224" w:type="dxa"/>
            <w:shd w:val="clear" w:color="auto" w:fill="auto"/>
          </w:tcPr>
          <w:p w:rsidR="00721AAA" w:rsidRPr="00806954" w:rsidRDefault="00721AAA" w:rsidP="001857EE">
            <w:pPr>
              <w:pStyle w:val="TableCenterAlign"/>
              <w:rPr>
                <w:sz w:val="20"/>
              </w:rPr>
            </w:pPr>
            <w:r w:rsidRPr="00806954">
              <w:rPr>
                <w:sz w:val="20"/>
              </w:rPr>
              <w:t>Up to 4 mL</w:t>
            </w:r>
          </w:p>
          <w:p w:rsidR="00721AAA" w:rsidRPr="00806954" w:rsidRDefault="00721AAA" w:rsidP="001857EE">
            <w:pPr>
              <w:pStyle w:val="TableCenterAlign"/>
              <w:rPr>
                <w:sz w:val="20"/>
              </w:rPr>
            </w:pPr>
          </w:p>
        </w:tc>
        <w:tc>
          <w:tcPr>
            <w:tcW w:w="1783" w:type="dxa"/>
            <w:shd w:val="clear" w:color="auto" w:fill="auto"/>
          </w:tcPr>
          <w:p w:rsidR="00721AAA" w:rsidRPr="00806954" w:rsidRDefault="00721AAA" w:rsidP="001857EE">
            <w:pPr>
              <w:pStyle w:val="TableCenterAlign"/>
              <w:rPr>
                <w:sz w:val="20"/>
              </w:rPr>
            </w:pPr>
            <w:r w:rsidRPr="00806954">
              <w:rPr>
                <w:sz w:val="20"/>
              </w:rPr>
              <w:t>10</w:t>
            </w:r>
            <w:r w:rsidRPr="00806954">
              <w:rPr>
                <w:sz w:val="20"/>
                <w:vertAlign w:val="superscript"/>
              </w:rPr>
              <w:t>8</w:t>
            </w:r>
            <w:r w:rsidRPr="00806954">
              <w:rPr>
                <w:sz w:val="20"/>
              </w:rPr>
              <w:t xml:space="preserve"> </w:t>
            </w:r>
            <w:r w:rsidRPr="00806954">
              <w:rPr>
                <w:sz w:val="20"/>
              </w:rPr>
              <w:br/>
            </w:r>
            <w:r w:rsidR="00C867BF" w:rsidRPr="00806954">
              <w:rPr>
                <w:sz w:val="20"/>
              </w:rPr>
              <w:t xml:space="preserve">(100 million) </w:t>
            </w:r>
            <w:r w:rsidRPr="00806954">
              <w:rPr>
                <w:sz w:val="20"/>
              </w:rPr>
              <w:t>PFU/mL</w:t>
            </w:r>
          </w:p>
        </w:tc>
        <w:tc>
          <w:tcPr>
            <w:tcW w:w="3325" w:type="dxa"/>
            <w:shd w:val="clear" w:color="auto" w:fill="auto"/>
          </w:tcPr>
          <w:p w:rsidR="00721AAA" w:rsidRPr="00806954" w:rsidRDefault="00721AAA" w:rsidP="00160F2A">
            <w:pPr>
              <w:pStyle w:val="TableLeftAlign"/>
              <w:numPr>
                <w:ilvl w:val="0"/>
                <w:numId w:val="6"/>
              </w:numPr>
              <w:ind w:left="335" w:hanging="335"/>
              <w:rPr>
                <w:sz w:val="20"/>
              </w:rPr>
            </w:pPr>
            <w:r w:rsidRPr="00806954">
              <w:rPr>
                <w:sz w:val="20"/>
              </w:rPr>
              <w:t>Inject any new lesion(s) (lesions that may have developed since previous treatment) first</w:t>
            </w:r>
          </w:p>
          <w:p w:rsidR="00721AAA" w:rsidRPr="00806954" w:rsidRDefault="00721AAA" w:rsidP="00160F2A">
            <w:pPr>
              <w:pStyle w:val="TableLeftAlign"/>
              <w:numPr>
                <w:ilvl w:val="0"/>
                <w:numId w:val="6"/>
              </w:numPr>
              <w:ind w:left="335" w:hanging="335"/>
              <w:rPr>
                <w:sz w:val="20"/>
              </w:rPr>
            </w:pPr>
            <w:proofErr w:type="spellStart"/>
            <w:r w:rsidRPr="00806954">
              <w:rPr>
                <w:sz w:val="20"/>
              </w:rPr>
              <w:t>Prioriti</w:t>
            </w:r>
            <w:r w:rsidR="00C867BF" w:rsidRPr="00806954">
              <w:rPr>
                <w:sz w:val="20"/>
              </w:rPr>
              <w:t>s</w:t>
            </w:r>
            <w:r w:rsidRPr="00806954">
              <w:rPr>
                <w:sz w:val="20"/>
              </w:rPr>
              <w:t>e</w:t>
            </w:r>
            <w:proofErr w:type="spellEnd"/>
            <w:r w:rsidRPr="00806954">
              <w:rPr>
                <w:sz w:val="20"/>
              </w:rPr>
              <w:t xml:space="preserve"> injection of remaining lesions based on lesion size until maximum injection volume is reached</w:t>
            </w:r>
          </w:p>
        </w:tc>
      </w:tr>
    </w:tbl>
    <w:p w:rsidR="00306AF8" w:rsidRDefault="00306AF8" w:rsidP="002B6DC1">
      <w:pPr>
        <w:pStyle w:val="Heading7Bold"/>
      </w:pPr>
    </w:p>
    <w:p w:rsidR="009334D4" w:rsidRPr="006D7DC1" w:rsidRDefault="009334D4" w:rsidP="002B6DC1">
      <w:pPr>
        <w:pStyle w:val="Heading7Bold"/>
        <w:rPr>
          <w:u w:val="single"/>
        </w:rPr>
      </w:pPr>
      <w:r w:rsidRPr="006D7DC1">
        <w:t xml:space="preserve">Determining </w:t>
      </w:r>
      <w:r w:rsidR="001371A5">
        <w:t>IMLYGIC</w:t>
      </w:r>
      <w:r w:rsidRPr="006D7DC1">
        <w:t xml:space="preserve"> Dose Volume per Lesion</w:t>
      </w:r>
    </w:p>
    <w:p w:rsidR="00520529" w:rsidRDefault="009334D4" w:rsidP="00520529">
      <w:pPr>
        <w:pStyle w:val="Text"/>
        <w:rPr>
          <w:i/>
        </w:rPr>
      </w:pPr>
      <w:r w:rsidRPr="00520529">
        <w:rPr>
          <w:rStyle w:val="TextChar0"/>
        </w:rPr>
        <w:t xml:space="preserve">The volume of </w:t>
      </w:r>
      <w:r w:rsidR="001371A5">
        <w:rPr>
          <w:rStyle w:val="TextChar0"/>
        </w:rPr>
        <w:t>IMLYGIC</w:t>
      </w:r>
      <w:r w:rsidRPr="00520529">
        <w:rPr>
          <w:rStyle w:val="TextChar0"/>
        </w:rPr>
        <w:t xml:space="preserve"> to be injected into each lesion is depe</w:t>
      </w:r>
      <w:r w:rsidR="00520529" w:rsidRPr="00520529">
        <w:rPr>
          <w:rStyle w:val="TextChar0"/>
        </w:rPr>
        <w:t xml:space="preserve">ndent on the size of the lesion </w:t>
      </w:r>
      <w:r w:rsidRPr="00520529">
        <w:rPr>
          <w:rStyle w:val="TextChar0"/>
        </w:rPr>
        <w:t xml:space="preserve">and should be determined according to </w:t>
      </w:r>
      <w:r w:rsidR="0083742F" w:rsidRPr="0083742F">
        <w:rPr>
          <w:color w:val="0000FF"/>
        </w:rPr>
        <w:fldChar w:fldCharType="begin"/>
      </w:r>
      <w:r w:rsidR="0083742F" w:rsidRPr="0083742F">
        <w:rPr>
          <w:color w:val="0000FF"/>
        </w:rPr>
        <w:instrText xml:space="preserve"> REF _Ref403992587 \h </w:instrText>
      </w:r>
      <w:r w:rsidR="0083742F">
        <w:rPr>
          <w:color w:val="0000FF"/>
        </w:rPr>
        <w:instrText xml:space="preserve"> \* MERGEFORMAT </w:instrText>
      </w:r>
      <w:r w:rsidR="0083742F" w:rsidRPr="0083742F">
        <w:rPr>
          <w:color w:val="0000FF"/>
        </w:rPr>
      </w:r>
      <w:r w:rsidR="0083742F" w:rsidRPr="0083742F">
        <w:rPr>
          <w:color w:val="0000FF"/>
        </w:rPr>
        <w:fldChar w:fldCharType="separate"/>
      </w:r>
      <w:r w:rsidR="00806954" w:rsidRPr="00806954">
        <w:rPr>
          <w:color w:val="0000FF"/>
        </w:rPr>
        <w:t>Table 5</w:t>
      </w:r>
      <w:r w:rsidR="0083742F" w:rsidRPr="0083742F">
        <w:rPr>
          <w:color w:val="0000FF"/>
        </w:rPr>
        <w:fldChar w:fldCharType="end"/>
      </w:r>
      <w:r w:rsidRPr="00520529">
        <w:rPr>
          <w:rStyle w:val="TextChar0"/>
        </w:rPr>
        <w:t xml:space="preserve">.  The total injection volume for each treatment visit should be up to a maximum of 4 </w:t>
      </w:r>
      <w:proofErr w:type="spellStart"/>
      <w:r w:rsidRPr="00520529">
        <w:rPr>
          <w:rStyle w:val="TextChar0"/>
        </w:rPr>
        <w:t>mL.</w:t>
      </w:r>
      <w:proofErr w:type="spellEnd"/>
      <w:r w:rsidRPr="00520529">
        <w:rPr>
          <w:rStyle w:val="TextChar0"/>
        </w:rPr>
        <w:t xml:space="preserve"> </w:t>
      </w:r>
    </w:p>
    <w:p w:rsidR="009334D4" w:rsidRPr="001857EE" w:rsidRDefault="00520529" w:rsidP="00C80AF8">
      <w:pPr>
        <w:pStyle w:val="Caption"/>
        <w:pageBreakBefore/>
      </w:pPr>
      <w:bookmarkStart w:id="14" w:name="_Ref403992587"/>
      <w:proofErr w:type="gramStart"/>
      <w:r>
        <w:lastRenderedPageBreak/>
        <w:t>Table </w:t>
      </w:r>
      <w:r w:rsidR="00AA5F09">
        <w:fldChar w:fldCharType="begin"/>
      </w:r>
      <w:r w:rsidR="00AA5F09">
        <w:instrText xml:space="preserve"> SEQ Table \* ARABIC </w:instrText>
      </w:r>
      <w:r w:rsidR="00AA5F09">
        <w:fldChar w:fldCharType="separate"/>
      </w:r>
      <w:r w:rsidR="00AA5F09">
        <w:rPr>
          <w:noProof/>
        </w:rPr>
        <w:t>5</w:t>
      </w:r>
      <w:r w:rsidR="00AA5F09">
        <w:fldChar w:fldCharType="end"/>
      </w:r>
      <w:bookmarkEnd w:id="14"/>
      <w:r>
        <w:t>.</w:t>
      </w:r>
      <w:proofErr w:type="gramEnd"/>
      <w:r>
        <w:t xml:space="preserve">  </w:t>
      </w:r>
      <w:r w:rsidR="009334D4" w:rsidRPr="001857EE">
        <w:t xml:space="preserve">Selection of </w:t>
      </w:r>
      <w:r w:rsidR="001371A5">
        <w:t>IMLYGIC</w:t>
      </w:r>
      <w:r w:rsidR="009334D4" w:rsidRPr="001857EE">
        <w:t xml:space="preserve"> Injection Volume Based on Lesion Size</w:t>
      </w:r>
    </w:p>
    <w:tbl>
      <w:tblPr>
        <w:tblW w:w="6233" w:type="dxa"/>
        <w:jc w:val="center"/>
        <w:tblInd w:w="-2729" w:type="dxa"/>
        <w:tblBorders>
          <w:top w:val="nil"/>
          <w:left w:val="nil"/>
          <w:bottom w:val="nil"/>
          <w:right w:val="nil"/>
        </w:tblBorders>
        <w:tblLook w:val="0000" w:firstRow="0" w:lastRow="0" w:firstColumn="0" w:lastColumn="0" w:noHBand="0" w:noVBand="0"/>
      </w:tblPr>
      <w:tblGrid>
        <w:gridCol w:w="3543"/>
        <w:gridCol w:w="2690"/>
      </w:tblGrid>
      <w:tr w:rsidR="00160F2A" w:rsidRPr="006D7DC1" w:rsidTr="00160F2A">
        <w:trPr>
          <w:trHeight w:val="320"/>
          <w:jc w:val="center"/>
        </w:trPr>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rsidR="00160F2A" w:rsidRPr="006D7DC1" w:rsidRDefault="00160F2A" w:rsidP="005E771D">
            <w:pPr>
              <w:pStyle w:val="TableLeftAlign"/>
              <w:spacing w:before="0"/>
            </w:pPr>
            <w:r w:rsidRPr="006D7DC1">
              <w:t xml:space="preserve">Lesion size </w:t>
            </w:r>
            <w:r w:rsidRPr="006D7DC1">
              <w:br/>
              <w:t>(longest dimension)</w:t>
            </w:r>
          </w:p>
        </w:tc>
        <w:tc>
          <w:tcPr>
            <w:tcW w:w="2690" w:type="dxa"/>
            <w:tcBorders>
              <w:top w:val="single" w:sz="4" w:space="0" w:color="auto"/>
              <w:left w:val="single" w:sz="4" w:space="0" w:color="auto"/>
              <w:bottom w:val="single" w:sz="4" w:space="0" w:color="auto"/>
              <w:right w:val="single" w:sz="4" w:space="0" w:color="auto"/>
            </w:tcBorders>
            <w:shd w:val="clear" w:color="auto" w:fill="D9D9D9"/>
            <w:vAlign w:val="center"/>
          </w:tcPr>
          <w:p w:rsidR="00160F2A" w:rsidRPr="006D7DC1" w:rsidRDefault="001371A5" w:rsidP="005E771D">
            <w:pPr>
              <w:pStyle w:val="TableLeftAlign"/>
              <w:spacing w:before="0"/>
            </w:pPr>
            <w:r>
              <w:t>IMLYGIC</w:t>
            </w:r>
            <w:r w:rsidR="00160F2A" w:rsidRPr="006D7DC1">
              <w:t xml:space="preserve"> </w:t>
            </w:r>
            <w:r w:rsidR="00160F2A" w:rsidRPr="006D7DC1">
              <w:br/>
              <w:t>injection volume</w:t>
            </w:r>
          </w:p>
        </w:tc>
      </w:tr>
      <w:tr w:rsidR="00160F2A" w:rsidRPr="006D7DC1" w:rsidTr="00160F2A">
        <w:trPr>
          <w:trHeight w:val="243"/>
          <w:jc w:val="center"/>
        </w:trPr>
        <w:tc>
          <w:tcPr>
            <w:tcW w:w="3543" w:type="dxa"/>
            <w:tcBorders>
              <w:top w:val="single" w:sz="4" w:space="0" w:color="auto"/>
              <w:left w:val="single" w:sz="4" w:space="0" w:color="auto"/>
              <w:bottom w:val="single" w:sz="4" w:space="0" w:color="auto"/>
              <w:right w:val="single" w:sz="4" w:space="0" w:color="auto"/>
            </w:tcBorders>
          </w:tcPr>
          <w:p w:rsidR="00160F2A" w:rsidRPr="006D7DC1" w:rsidRDefault="00160F2A" w:rsidP="00160F2A">
            <w:pPr>
              <w:pStyle w:val="TableLeftAlign"/>
              <w:ind w:left="56"/>
            </w:pPr>
            <w:r w:rsidRPr="006D7DC1">
              <w:t>&gt; 5 cm</w:t>
            </w:r>
          </w:p>
        </w:tc>
        <w:tc>
          <w:tcPr>
            <w:tcW w:w="2690" w:type="dxa"/>
            <w:tcBorders>
              <w:top w:val="single" w:sz="4" w:space="0" w:color="auto"/>
              <w:left w:val="single" w:sz="4" w:space="0" w:color="auto"/>
              <w:bottom w:val="single" w:sz="4" w:space="0" w:color="auto"/>
              <w:right w:val="single" w:sz="4" w:space="0" w:color="auto"/>
            </w:tcBorders>
          </w:tcPr>
          <w:p w:rsidR="00160F2A" w:rsidRPr="006D7DC1" w:rsidRDefault="00160F2A" w:rsidP="005E771D">
            <w:pPr>
              <w:pStyle w:val="TableLeftAlign"/>
              <w:ind w:left="144"/>
            </w:pPr>
            <w:r w:rsidRPr="006D7DC1">
              <w:t>up to 4 mL</w:t>
            </w:r>
          </w:p>
        </w:tc>
      </w:tr>
      <w:tr w:rsidR="00160F2A" w:rsidRPr="006D7DC1" w:rsidTr="00160F2A">
        <w:trPr>
          <w:trHeight w:val="233"/>
          <w:jc w:val="center"/>
        </w:trPr>
        <w:tc>
          <w:tcPr>
            <w:tcW w:w="3543" w:type="dxa"/>
            <w:tcBorders>
              <w:top w:val="single" w:sz="4" w:space="0" w:color="auto"/>
              <w:left w:val="single" w:sz="4" w:space="0" w:color="auto"/>
              <w:bottom w:val="single" w:sz="4" w:space="0" w:color="auto"/>
              <w:right w:val="single" w:sz="4" w:space="0" w:color="auto"/>
            </w:tcBorders>
          </w:tcPr>
          <w:p w:rsidR="00160F2A" w:rsidRPr="006D7DC1" w:rsidRDefault="00160F2A" w:rsidP="00160F2A">
            <w:pPr>
              <w:pStyle w:val="TableLeftAlign"/>
              <w:ind w:left="56"/>
            </w:pPr>
            <w:r w:rsidRPr="006D7DC1">
              <w:t>&gt; 2.5 cm to 5 cm</w:t>
            </w:r>
          </w:p>
        </w:tc>
        <w:tc>
          <w:tcPr>
            <w:tcW w:w="2690" w:type="dxa"/>
            <w:tcBorders>
              <w:top w:val="single" w:sz="4" w:space="0" w:color="auto"/>
              <w:left w:val="single" w:sz="4" w:space="0" w:color="auto"/>
              <w:bottom w:val="single" w:sz="4" w:space="0" w:color="auto"/>
              <w:right w:val="single" w:sz="4" w:space="0" w:color="auto"/>
            </w:tcBorders>
          </w:tcPr>
          <w:p w:rsidR="00160F2A" w:rsidRPr="006D7DC1" w:rsidRDefault="00160F2A" w:rsidP="005E771D">
            <w:pPr>
              <w:pStyle w:val="TableLeftAlign"/>
              <w:ind w:left="144"/>
            </w:pPr>
            <w:r w:rsidRPr="006D7DC1">
              <w:t>up to 2 mL</w:t>
            </w:r>
          </w:p>
        </w:tc>
      </w:tr>
      <w:tr w:rsidR="00160F2A" w:rsidRPr="006D7DC1" w:rsidTr="00160F2A">
        <w:trPr>
          <w:trHeight w:val="233"/>
          <w:jc w:val="center"/>
        </w:trPr>
        <w:tc>
          <w:tcPr>
            <w:tcW w:w="3543" w:type="dxa"/>
            <w:tcBorders>
              <w:top w:val="single" w:sz="4" w:space="0" w:color="auto"/>
              <w:left w:val="single" w:sz="4" w:space="0" w:color="auto"/>
              <w:bottom w:val="single" w:sz="4" w:space="0" w:color="auto"/>
              <w:right w:val="single" w:sz="4" w:space="0" w:color="auto"/>
            </w:tcBorders>
          </w:tcPr>
          <w:p w:rsidR="00160F2A" w:rsidRPr="006D7DC1" w:rsidRDefault="00160F2A" w:rsidP="00160F2A">
            <w:pPr>
              <w:pStyle w:val="TableLeftAlign"/>
              <w:ind w:left="56"/>
            </w:pPr>
            <w:r w:rsidRPr="006D7DC1">
              <w:t>&gt; 1.5 cm to 2.5 cm</w:t>
            </w:r>
          </w:p>
        </w:tc>
        <w:tc>
          <w:tcPr>
            <w:tcW w:w="2690" w:type="dxa"/>
            <w:tcBorders>
              <w:top w:val="single" w:sz="4" w:space="0" w:color="auto"/>
              <w:left w:val="single" w:sz="4" w:space="0" w:color="auto"/>
              <w:bottom w:val="single" w:sz="4" w:space="0" w:color="auto"/>
              <w:right w:val="single" w:sz="4" w:space="0" w:color="auto"/>
            </w:tcBorders>
          </w:tcPr>
          <w:p w:rsidR="00160F2A" w:rsidRPr="006D7DC1" w:rsidRDefault="00160F2A" w:rsidP="005E771D">
            <w:pPr>
              <w:pStyle w:val="TableLeftAlign"/>
              <w:ind w:left="144"/>
            </w:pPr>
            <w:r w:rsidRPr="006D7DC1">
              <w:t>up to 1 mL</w:t>
            </w:r>
          </w:p>
        </w:tc>
      </w:tr>
      <w:tr w:rsidR="00160F2A" w:rsidRPr="006D7DC1" w:rsidTr="00160F2A">
        <w:trPr>
          <w:trHeight w:val="228"/>
          <w:jc w:val="center"/>
        </w:trPr>
        <w:tc>
          <w:tcPr>
            <w:tcW w:w="3543" w:type="dxa"/>
            <w:tcBorders>
              <w:top w:val="single" w:sz="4" w:space="0" w:color="auto"/>
              <w:left w:val="single" w:sz="4" w:space="0" w:color="auto"/>
              <w:bottom w:val="single" w:sz="4" w:space="0" w:color="auto"/>
              <w:right w:val="single" w:sz="4" w:space="0" w:color="auto"/>
            </w:tcBorders>
          </w:tcPr>
          <w:p w:rsidR="00160F2A" w:rsidRPr="006D7DC1" w:rsidRDefault="00160F2A" w:rsidP="00160F2A">
            <w:pPr>
              <w:pStyle w:val="TableLeftAlign"/>
              <w:ind w:left="56"/>
            </w:pPr>
            <w:r w:rsidRPr="006D7DC1">
              <w:t>&gt; 0.5 cm to 1.5 cm</w:t>
            </w:r>
          </w:p>
        </w:tc>
        <w:tc>
          <w:tcPr>
            <w:tcW w:w="2690" w:type="dxa"/>
            <w:tcBorders>
              <w:top w:val="single" w:sz="4" w:space="0" w:color="auto"/>
              <w:left w:val="single" w:sz="4" w:space="0" w:color="auto"/>
              <w:bottom w:val="single" w:sz="4" w:space="0" w:color="auto"/>
              <w:right w:val="single" w:sz="4" w:space="0" w:color="auto"/>
            </w:tcBorders>
          </w:tcPr>
          <w:p w:rsidR="00160F2A" w:rsidRPr="006D7DC1" w:rsidRDefault="00160F2A" w:rsidP="005E771D">
            <w:pPr>
              <w:pStyle w:val="TableLeftAlign"/>
              <w:ind w:left="144"/>
            </w:pPr>
            <w:r w:rsidRPr="006D7DC1">
              <w:t>up to 0.5 mL</w:t>
            </w:r>
          </w:p>
        </w:tc>
      </w:tr>
      <w:tr w:rsidR="00160F2A" w:rsidRPr="006D7DC1" w:rsidTr="00160F2A">
        <w:trPr>
          <w:trHeight w:val="209"/>
          <w:jc w:val="center"/>
        </w:trPr>
        <w:tc>
          <w:tcPr>
            <w:tcW w:w="3543" w:type="dxa"/>
            <w:tcBorders>
              <w:top w:val="single" w:sz="4" w:space="0" w:color="auto"/>
              <w:left w:val="single" w:sz="4" w:space="0" w:color="auto"/>
              <w:bottom w:val="single" w:sz="4" w:space="0" w:color="auto"/>
              <w:right w:val="single" w:sz="4" w:space="0" w:color="auto"/>
            </w:tcBorders>
          </w:tcPr>
          <w:p w:rsidR="00160F2A" w:rsidRPr="006D7DC1" w:rsidRDefault="00160F2A" w:rsidP="00160F2A">
            <w:pPr>
              <w:pStyle w:val="TableLeftAlign"/>
              <w:ind w:left="56"/>
            </w:pPr>
            <w:r w:rsidRPr="006D7DC1">
              <w:t>≤ 0.5 cm</w:t>
            </w:r>
          </w:p>
        </w:tc>
        <w:tc>
          <w:tcPr>
            <w:tcW w:w="2690" w:type="dxa"/>
            <w:tcBorders>
              <w:top w:val="single" w:sz="4" w:space="0" w:color="auto"/>
              <w:left w:val="single" w:sz="4" w:space="0" w:color="auto"/>
              <w:bottom w:val="single" w:sz="4" w:space="0" w:color="auto"/>
              <w:right w:val="single" w:sz="4" w:space="0" w:color="auto"/>
            </w:tcBorders>
          </w:tcPr>
          <w:p w:rsidR="00160F2A" w:rsidRPr="006D7DC1" w:rsidRDefault="00160F2A" w:rsidP="005E771D">
            <w:pPr>
              <w:pStyle w:val="TableLeftAlign"/>
              <w:ind w:left="144"/>
            </w:pPr>
            <w:r w:rsidRPr="006D7DC1">
              <w:t>up to 0.1 mL</w:t>
            </w:r>
          </w:p>
        </w:tc>
      </w:tr>
    </w:tbl>
    <w:p w:rsidR="009334D4" w:rsidRPr="006D7DC1" w:rsidRDefault="009334D4" w:rsidP="00525210">
      <w:pPr>
        <w:pStyle w:val="TextItalicized"/>
      </w:pPr>
    </w:p>
    <w:p w:rsidR="009334D4" w:rsidRPr="006D7DC1" w:rsidRDefault="009334D4" w:rsidP="001857EE">
      <w:pPr>
        <w:pStyle w:val="Text"/>
      </w:pPr>
      <w:r w:rsidRPr="006D7DC1">
        <w:t xml:space="preserve">Since patients may experience increase in size of existing lesions or the appearance of new lesion(s) prior to achieving a response, </w:t>
      </w:r>
      <w:r w:rsidR="001371A5">
        <w:t>IMLYGIC</w:t>
      </w:r>
      <w:r w:rsidRPr="006D7DC1">
        <w:t xml:space="preserve"> treatment should be continued </w:t>
      </w:r>
      <w:r w:rsidR="0051782D">
        <w:t>where there is opportunity for clinical benefit</w:t>
      </w:r>
      <w:r w:rsidRPr="006D7DC1">
        <w:t xml:space="preserve"> unless other treatment is required</w:t>
      </w:r>
      <w:r w:rsidRPr="006D7DC1" w:rsidDel="00BF490C">
        <w:t xml:space="preserve"> </w:t>
      </w:r>
      <w:r w:rsidRPr="006D7DC1">
        <w:rPr>
          <w:bCs/>
        </w:rPr>
        <w:t>or until no injectable lesions are remaining.</w:t>
      </w:r>
      <w:r w:rsidRPr="006D7DC1">
        <w:t xml:space="preserve"> </w:t>
      </w:r>
    </w:p>
    <w:p w:rsidR="009334D4" w:rsidRPr="006D7DC1" w:rsidRDefault="001371A5" w:rsidP="001857EE">
      <w:pPr>
        <w:pStyle w:val="Text"/>
      </w:pPr>
      <w:r>
        <w:t>IMLYGIC</w:t>
      </w:r>
      <w:r w:rsidR="009334D4" w:rsidRPr="006D7DC1">
        <w:t xml:space="preserve"> treatment may be reinitiated if new lesion(s) appear following a complete response. </w:t>
      </w:r>
    </w:p>
    <w:p w:rsidR="00374C66" w:rsidRPr="002B6DC1" w:rsidRDefault="00374C66" w:rsidP="002B6DC1">
      <w:pPr>
        <w:pStyle w:val="Heading7Bold"/>
      </w:pPr>
      <w:r w:rsidRPr="002B6DC1">
        <w:t>Method of Administration</w:t>
      </w:r>
    </w:p>
    <w:p w:rsidR="009334D4" w:rsidRPr="006D7DC1" w:rsidRDefault="009334D4" w:rsidP="001857EE">
      <w:pPr>
        <w:pStyle w:val="Text"/>
      </w:pPr>
      <w:r w:rsidRPr="006D7DC1">
        <w:t xml:space="preserve">Healthcare providers should avoid accidental exposure to </w:t>
      </w:r>
      <w:r w:rsidR="001371A5">
        <w:t>IMLYGIC</w:t>
      </w:r>
      <w:r w:rsidRPr="006D7DC1">
        <w:t xml:space="preserve"> and follow handling instructions while administering the medicine </w:t>
      </w:r>
      <w:r w:rsidR="00B15D1F">
        <w:t>[</w:t>
      </w:r>
      <w:r w:rsidRPr="006D7DC1">
        <w:t xml:space="preserve">see </w:t>
      </w:r>
      <w:r w:rsidRPr="00B15D1F">
        <w:rPr>
          <w:b/>
        </w:rPr>
        <w:t>Special Instructions for Use and Handling</w:t>
      </w:r>
      <w:r w:rsidR="00B15D1F">
        <w:t>]</w:t>
      </w:r>
      <w:r w:rsidRPr="006D7DC1">
        <w:t>.</w:t>
      </w:r>
    </w:p>
    <w:p w:rsidR="009334D4" w:rsidRPr="006D7DC1" w:rsidRDefault="009334D4" w:rsidP="001857EE">
      <w:pPr>
        <w:pStyle w:val="Text"/>
      </w:pPr>
      <w:r w:rsidRPr="006D7DC1">
        <w:t xml:space="preserve">Healthcare providers who are immunocompromised should not administer </w:t>
      </w:r>
      <w:r w:rsidR="001371A5">
        <w:t>IMLYGIC</w:t>
      </w:r>
      <w:r w:rsidRPr="006D7DC1">
        <w:t xml:space="preserve"> and should not come into direct contact with the </w:t>
      </w:r>
      <w:r w:rsidR="001371A5">
        <w:t>IMLYGIC</w:t>
      </w:r>
      <w:r w:rsidRPr="006D7DC1">
        <w:t xml:space="preserve"> injection sites or body fluids of treated patients </w:t>
      </w:r>
      <w:r w:rsidR="00B15D1F">
        <w:t>[</w:t>
      </w:r>
      <w:r w:rsidRPr="006D7DC1">
        <w:t xml:space="preserve">see </w:t>
      </w:r>
      <w:r w:rsidR="00450A3C" w:rsidRPr="00B15D1F">
        <w:rPr>
          <w:b/>
        </w:rPr>
        <w:t>CONTRAINDICATION</w:t>
      </w:r>
      <w:r w:rsidR="00C867BF" w:rsidRPr="00B15D1F">
        <w:rPr>
          <w:b/>
        </w:rPr>
        <w:t>S</w:t>
      </w:r>
      <w:r w:rsidRPr="006D7DC1">
        <w:t xml:space="preserve"> and </w:t>
      </w:r>
      <w:r w:rsidR="00450A3C" w:rsidRPr="00B15D1F">
        <w:rPr>
          <w:b/>
        </w:rPr>
        <w:t>PREC</w:t>
      </w:r>
      <w:r w:rsidR="00977235" w:rsidRPr="00B15D1F">
        <w:rPr>
          <w:b/>
        </w:rPr>
        <w:t>AU</w:t>
      </w:r>
      <w:r w:rsidR="00450A3C" w:rsidRPr="00B15D1F">
        <w:rPr>
          <w:b/>
        </w:rPr>
        <w:t>TIONS</w:t>
      </w:r>
      <w:r w:rsidRPr="00B15D1F">
        <w:rPr>
          <w:b/>
        </w:rPr>
        <w:t xml:space="preserve"> Immunocompromised Patients</w:t>
      </w:r>
      <w:r w:rsidRPr="006D7DC1">
        <w:t xml:space="preserve"> and </w:t>
      </w:r>
      <w:r w:rsidRPr="00B15D1F">
        <w:rPr>
          <w:b/>
        </w:rPr>
        <w:t xml:space="preserve">Accidental Exposure to </w:t>
      </w:r>
      <w:r w:rsidR="001371A5" w:rsidRPr="00B15D1F">
        <w:rPr>
          <w:b/>
        </w:rPr>
        <w:t>IMLYGIC</w:t>
      </w:r>
      <w:r w:rsidR="00B15D1F" w:rsidRPr="00195B10">
        <w:t>]</w:t>
      </w:r>
      <w:r w:rsidRPr="006D7DC1">
        <w:t xml:space="preserve">. </w:t>
      </w:r>
    </w:p>
    <w:p w:rsidR="00A10405" w:rsidRDefault="009334D4" w:rsidP="002B6DC1">
      <w:pPr>
        <w:pStyle w:val="Heading7Bold"/>
      </w:pPr>
      <w:r w:rsidRPr="006D7DC1">
        <w:t>Follow the instructions below to prepare and ad</w:t>
      </w:r>
      <w:r w:rsidR="001857EE">
        <w:t xml:space="preserve">minister </w:t>
      </w:r>
      <w:r w:rsidR="001371A5">
        <w:t>IMLYGIC</w:t>
      </w:r>
      <w:r w:rsidR="001857EE">
        <w:t xml:space="preserve"> to patients</w:t>
      </w:r>
      <w:r w:rsidR="00A10405">
        <w:t xml:space="preserve"> </w:t>
      </w:r>
    </w:p>
    <w:p w:rsidR="009334D4" w:rsidRPr="006D7DC1" w:rsidRDefault="001857EE" w:rsidP="002B6DC1">
      <w:pPr>
        <w:pStyle w:val="Heading7Bold"/>
      </w:pPr>
      <w:r>
        <w:t xml:space="preserve">Pre </w:t>
      </w:r>
      <w:r w:rsidR="009334D4" w:rsidRPr="006D7DC1">
        <w:t>injection</w:t>
      </w:r>
    </w:p>
    <w:p w:rsidR="009334D4" w:rsidRPr="006D7DC1" w:rsidRDefault="009334D4" w:rsidP="002B6DC1">
      <w:pPr>
        <w:pStyle w:val="TextBullet"/>
      </w:pPr>
      <w:r w:rsidRPr="006D7DC1">
        <w:t xml:space="preserve">Thaw </w:t>
      </w:r>
      <w:r w:rsidR="001371A5">
        <w:t>IMLYGIC</w:t>
      </w:r>
      <w:r w:rsidRPr="006D7DC1">
        <w:t xml:space="preserve"> vials at room temperatur</w:t>
      </w:r>
      <w:r w:rsidR="00B15D1F">
        <w:t>e [</w:t>
      </w:r>
      <w:r w:rsidR="00C867BF" w:rsidRPr="006D7DC1">
        <w:t xml:space="preserve">see </w:t>
      </w:r>
      <w:r w:rsidR="00C867BF" w:rsidRPr="00B15D1F">
        <w:rPr>
          <w:b/>
        </w:rPr>
        <w:t>PRESENTATION AND STORAGE CONDITIONS</w:t>
      </w:r>
      <w:r w:rsidR="00B15D1F">
        <w:t>]</w:t>
      </w:r>
      <w:r w:rsidRPr="006D7DC1">
        <w:t>.</w:t>
      </w:r>
    </w:p>
    <w:p w:rsidR="00510A6D" w:rsidRPr="006D7DC1" w:rsidRDefault="00510A6D" w:rsidP="002B6DC1">
      <w:pPr>
        <w:pStyle w:val="TextBullet"/>
      </w:pPr>
      <w:r w:rsidRPr="006D7DC1">
        <w:t xml:space="preserve">Draw desired amount of </w:t>
      </w:r>
      <w:r w:rsidR="001371A5">
        <w:t>IMLYGIC</w:t>
      </w:r>
      <w:r w:rsidRPr="006D7DC1">
        <w:t xml:space="preserve"> from the vial into a syringe.  A 22- to 24-gauge needle is recommended.</w:t>
      </w:r>
    </w:p>
    <w:p w:rsidR="00510A6D" w:rsidRPr="006D7DC1" w:rsidRDefault="00510A6D" w:rsidP="002B6DC1">
      <w:pPr>
        <w:pStyle w:val="TextBullet"/>
      </w:pPr>
      <w:r w:rsidRPr="006D7DC1">
        <w:t xml:space="preserve">The injection site may be treated with a topical </w:t>
      </w:r>
      <w:proofErr w:type="spellStart"/>
      <w:r w:rsidRPr="006D7DC1">
        <w:t>an</w:t>
      </w:r>
      <w:r w:rsidR="00DD6E2B" w:rsidRPr="006D7DC1">
        <w:t>a</w:t>
      </w:r>
      <w:r w:rsidRPr="006D7DC1">
        <w:t>esthetic</w:t>
      </w:r>
      <w:proofErr w:type="spellEnd"/>
      <w:r w:rsidRPr="006D7DC1">
        <w:t xml:space="preserve"> agent. Injectable </w:t>
      </w:r>
      <w:proofErr w:type="spellStart"/>
      <w:r w:rsidRPr="006D7DC1">
        <w:t>an</w:t>
      </w:r>
      <w:r w:rsidR="00DD6E2B" w:rsidRPr="006D7DC1">
        <w:t>a</w:t>
      </w:r>
      <w:r w:rsidRPr="006D7DC1">
        <w:t>esthetic</w:t>
      </w:r>
      <w:proofErr w:type="spellEnd"/>
      <w:r w:rsidRPr="006D7DC1">
        <w:t xml:space="preserve"> may be injected around the periphery of the lesion, but should not be injected directly into the lesion.</w:t>
      </w:r>
    </w:p>
    <w:p w:rsidR="00510A6D" w:rsidRPr="006D7DC1" w:rsidRDefault="00510A6D" w:rsidP="002B6DC1">
      <w:pPr>
        <w:pStyle w:val="TextBullet"/>
      </w:pPr>
      <w:r w:rsidRPr="006D7DC1">
        <w:t>Clean the lesion and surrounding areas with an alcohol swab and let dry.</w:t>
      </w:r>
    </w:p>
    <w:p w:rsidR="009334D4" w:rsidRPr="006D7DC1" w:rsidRDefault="009334D4" w:rsidP="002B6DC1">
      <w:pPr>
        <w:pStyle w:val="Heading7Bold"/>
      </w:pPr>
      <w:r w:rsidRPr="006D7DC1">
        <w:t>Injection</w:t>
      </w:r>
    </w:p>
    <w:p w:rsidR="009334D4" w:rsidRPr="006D7DC1" w:rsidRDefault="009334D4" w:rsidP="002B6DC1">
      <w:pPr>
        <w:pStyle w:val="TextBullet"/>
      </w:pPr>
      <w:r w:rsidRPr="006D7DC1">
        <w:t xml:space="preserve">Inject </w:t>
      </w:r>
      <w:r w:rsidR="001371A5">
        <w:t>IMLYGIC</w:t>
      </w:r>
      <w:r w:rsidRPr="006D7DC1">
        <w:t xml:space="preserve"> </w:t>
      </w:r>
      <w:proofErr w:type="spellStart"/>
      <w:r w:rsidRPr="006D7DC1">
        <w:t>intralesionally</w:t>
      </w:r>
      <w:proofErr w:type="spellEnd"/>
      <w:r w:rsidRPr="006D7DC1">
        <w:t xml:space="preserve"> into cutaneous, subcutaneous, and/or nodal lesions that are visible, palpable, or detectable by ultrasound guidance.</w:t>
      </w:r>
    </w:p>
    <w:p w:rsidR="009334D4" w:rsidRPr="006D7DC1" w:rsidRDefault="009334D4" w:rsidP="002B6DC1">
      <w:pPr>
        <w:pStyle w:val="TextBullet"/>
      </w:pPr>
      <w:r w:rsidRPr="006D7DC1">
        <w:t xml:space="preserve">Determine injection volume for each lesion using </w:t>
      </w:r>
      <w:r w:rsidR="0083742F" w:rsidRPr="0083742F">
        <w:rPr>
          <w:color w:val="0000FF"/>
        </w:rPr>
        <w:fldChar w:fldCharType="begin"/>
      </w:r>
      <w:r w:rsidR="0083742F" w:rsidRPr="0083742F">
        <w:rPr>
          <w:color w:val="0000FF"/>
        </w:rPr>
        <w:instrText xml:space="preserve"> REF _Ref403992587 \h </w:instrText>
      </w:r>
      <w:r w:rsidR="0083742F">
        <w:rPr>
          <w:color w:val="0000FF"/>
        </w:rPr>
        <w:instrText xml:space="preserve"> \* MERGEFORMAT </w:instrText>
      </w:r>
      <w:r w:rsidR="0083742F" w:rsidRPr="0083742F">
        <w:rPr>
          <w:color w:val="0000FF"/>
        </w:rPr>
      </w:r>
      <w:r w:rsidR="0083742F" w:rsidRPr="0083742F">
        <w:rPr>
          <w:color w:val="0000FF"/>
        </w:rPr>
        <w:fldChar w:fldCharType="separate"/>
      </w:r>
      <w:r w:rsidR="00806954" w:rsidRPr="00806954">
        <w:rPr>
          <w:color w:val="0000FF"/>
        </w:rPr>
        <w:t>Table 5</w:t>
      </w:r>
      <w:r w:rsidR="0083742F" w:rsidRPr="0083742F">
        <w:rPr>
          <w:color w:val="0000FF"/>
        </w:rPr>
        <w:fldChar w:fldCharType="end"/>
      </w:r>
      <w:r w:rsidR="00DD6E2B" w:rsidRPr="001E63B5">
        <w:rPr>
          <w:color w:val="0000FF"/>
        </w:rPr>
        <w:t xml:space="preserve"> </w:t>
      </w:r>
      <w:r w:rsidRPr="006D7DC1">
        <w:t>above.</w:t>
      </w:r>
    </w:p>
    <w:p w:rsidR="009334D4" w:rsidRPr="006D7DC1" w:rsidRDefault="009334D4" w:rsidP="002B6DC1">
      <w:pPr>
        <w:pStyle w:val="TextBullet"/>
      </w:pPr>
      <w:r w:rsidRPr="006D7DC1">
        <w:lastRenderedPageBreak/>
        <w:t xml:space="preserve">Using a single insertion point, inject </w:t>
      </w:r>
      <w:r w:rsidR="001371A5">
        <w:t>IMLYGIC</w:t>
      </w:r>
      <w:r w:rsidRPr="006D7DC1">
        <w:t xml:space="preserve"> along multiple tracks as far as the radial reach of the needle allows within the lesion to achieve even and complete dispersion.</w:t>
      </w:r>
      <w:r w:rsidR="003F0960">
        <w:t xml:space="preserve"> </w:t>
      </w:r>
      <w:r w:rsidRPr="006D7DC1">
        <w:t>Multiple insertion points may be used if a lesion is larger than the radial reach of the needle.</w:t>
      </w:r>
    </w:p>
    <w:p w:rsidR="009334D4" w:rsidRPr="006D7DC1" w:rsidRDefault="009334D4" w:rsidP="00525210">
      <w:pPr>
        <w:pStyle w:val="ListParagraph"/>
      </w:pPr>
    </w:p>
    <w:p w:rsidR="009334D4" w:rsidRPr="006D7DC1" w:rsidRDefault="00B61184" w:rsidP="00525210">
      <w:r>
        <w:rPr>
          <w:noProof/>
          <w:lang w:val="en-AU" w:eastAsia="en-AU"/>
        </w:rPr>
        <w:pict>
          <v:shape id="_x0000_s1032" type="#_x0000_t202" style="position:absolute;margin-left:298.05pt;margin-top:115.4pt;width:137.85pt;height:55.65pt;z-index:251659264" stroked="f">
            <v:fill opacity="0"/>
            <v:textbox inset="0,0,0,0">
              <w:txbxContent>
                <w:p w:rsidR="002C5032" w:rsidRPr="0024702F" w:rsidRDefault="002C5032" w:rsidP="002C5032">
                  <w:pPr>
                    <w:pStyle w:val="Caption"/>
                    <w:rPr>
                      <w:noProof/>
                    </w:rPr>
                  </w:pPr>
                  <w:proofErr w:type="gramStart"/>
                  <w:r>
                    <w:t>Figure </w:t>
                  </w:r>
                  <w:r>
                    <w:fldChar w:fldCharType="begin"/>
                  </w:r>
                  <w:r>
                    <w:instrText xml:space="preserve"> SEQ Figure \* ARABIC </w:instrText>
                  </w:r>
                  <w:r>
                    <w:fldChar w:fldCharType="separate"/>
                  </w:r>
                  <w:r>
                    <w:rPr>
                      <w:noProof/>
                    </w:rPr>
                    <w:t>4</w:t>
                  </w:r>
                  <w:r>
                    <w:fldChar w:fldCharType="end"/>
                  </w:r>
                  <w:r>
                    <w:t>.</w:t>
                  </w:r>
                  <w:proofErr w:type="gramEnd"/>
                  <w:r>
                    <w:t xml:space="preserve">  </w:t>
                  </w:r>
                  <w:r w:rsidRPr="003814A7">
                    <w:t>Injection administration for nodal</w:t>
                  </w:r>
                </w:p>
              </w:txbxContent>
            </v:textbox>
          </v:shape>
        </w:pict>
      </w:r>
      <w:r>
        <w:rPr>
          <w:noProof/>
          <w:lang w:val="en-AU" w:eastAsia="en-AU"/>
        </w:rPr>
        <w:pict>
          <v:shape id="_x0000_s1031" type="#_x0000_t202" style="position:absolute;margin-left:148.2pt;margin-top:115.4pt;width:137.85pt;height:51pt;z-index:251658240" stroked="f">
            <v:fill opacity="0"/>
            <v:textbox inset="0,0,0,0">
              <w:txbxContent>
                <w:p w:rsidR="002C5032" w:rsidRPr="0024702F" w:rsidRDefault="002C5032" w:rsidP="002C5032">
                  <w:pPr>
                    <w:pStyle w:val="Caption"/>
                    <w:rPr>
                      <w:noProof/>
                    </w:rPr>
                  </w:pPr>
                  <w:proofErr w:type="gramStart"/>
                  <w:r>
                    <w:t>Figure </w:t>
                  </w:r>
                  <w:r>
                    <w:fldChar w:fldCharType="begin"/>
                  </w:r>
                  <w:r>
                    <w:instrText xml:space="preserve"> SEQ Figure \* ARABIC </w:instrText>
                  </w:r>
                  <w:r>
                    <w:fldChar w:fldCharType="separate"/>
                  </w:r>
                  <w:r>
                    <w:rPr>
                      <w:noProof/>
                    </w:rPr>
                    <w:t>3</w:t>
                  </w:r>
                  <w:r>
                    <w:fldChar w:fldCharType="end"/>
                  </w:r>
                  <w:r>
                    <w:t>.</w:t>
                  </w:r>
                  <w:proofErr w:type="gramEnd"/>
                  <w:r>
                    <w:t xml:space="preserve">  </w:t>
                  </w:r>
                  <w:r w:rsidRPr="003814A7">
                    <w:t>Injection administration for subcutaneous lesion</w:t>
                  </w:r>
                </w:p>
              </w:txbxContent>
            </v:textbox>
          </v:shape>
        </w:pict>
      </w:r>
      <w:r>
        <w:rPr>
          <w:noProof/>
        </w:rPr>
        <w:pict>
          <v:shape id="_x0000_s1030" type="#_x0000_t202" style="position:absolute;margin-left:-8.4pt;margin-top:115.4pt;width:137.85pt;height:51pt;z-index:251656192" stroked="f">
            <v:fill opacity="0"/>
            <v:textbox inset="0,0,0,0">
              <w:txbxContent>
                <w:p w:rsidR="002C5032" w:rsidRPr="0024702F" w:rsidRDefault="002C5032" w:rsidP="002C5032">
                  <w:pPr>
                    <w:pStyle w:val="Caption"/>
                    <w:rPr>
                      <w:noProof/>
                    </w:rPr>
                  </w:pPr>
                  <w:proofErr w:type="gramStart"/>
                  <w:r>
                    <w:t>Figure </w:t>
                  </w:r>
                  <w:r>
                    <w:fldChar w:fldCharType="begin"/>
                  </w:r>
                  <w:r>
                    <w:instrText xml:space="preserve"> SEQ Figure \* ARABIC </w:instrText>
                  </w:r>
                  <w:r>
                    <w:fldChar w:fldCharType="separate"/>
                  </w:r>
                  <w:r>
                    <w:rPr>
                      <w:noProof/>
                    </w:rPr>
                    <w:t>2</w:t>
                  </w:r>
                  <w:r>
                    <w:fldChar w:fldCharType="end"/>
                  </w:r>
                  <w:r>
                    <w:t>.</w:t>
                  </w:r>
                  <w:proofErr w:type="gramEnd"/>
                  <w:r>
                    <w:t xml:space="preserve">  Injection administration for cutaneous lesions</w:t>
                  </w:r>
                </w:p>
              </w:txbxContent>
            </v:textbox>
          </v:shape>
        </w:pict>
      </w:r>
      <w:r w:rsidR="00E7146B">
        <w:rPr>
          <w:noProof/>
        </w:rPr>
        <w:pict>
          <v:shape id="Picture 4" o:spid="_x0000_i1026" type="#_x0000_t75" style="width:117pt;height:117pt;visibility:visible" o:bordertopcolor="black" o:borderleftcolor="black" o:borderbottomcolor="black" o:borderrightcolor="black">
            <v:imagedata r:id="rId12" o:title="TVEC_Inection_AdminToCutaneousLesion_v3 (3)"/>
            <w10:bordertop type="single" width="6"/>
            <w10:borderleft type="single" width="6"/>
            <w10:borderbottom type="single" width="6"/>
            <w10:borderright type="single" width="6"/>
          </v:shape>
        </w:pict>
      </w:r>
      <w:r w:rsidR="002C5032">
        <w:rPr>
          <w:noProof/>
        </w:rPr>
        <w:tab/>
        <w:t xml:space="preserve">    </w:t>
      </w:r>
      <w:r w:rsidR="00E7146B">
        <w:rPr>
          <w:noProof/>
        </w:rPr>
        <w:pict>
          <v:shape id="Picture 253" o:spid="_x0000_i1027" type="#_x0000_t75" style="width:117.75pt;height:117pt;visibility:visible" o:bordertopcolor="black" o:borderleftcolor="black" o:borderbottomcolor="black" o:borderrightcolor="black">
            <v:imagedata r:id="rId13" o:title=""/>
            <w10:bordertop type="single" width="6"/>
            <w10:borderleft type="single" width="6"/>
            <w10:borderbottom type="single" width="6"/>
            <w10:borderright type="single" width="6"/>
          </v:shape>
        </w:pict>
      </w:r>
      <w:r w:rsidR="002C5032">
        <w:rPr>
          <w:noProof/>
        </w:rPr>
        <w:tab/>
        <w:t xml:space="preserve">      </w:t>
      </w:r>
      <w:r w:rsidR="00E7146B">
        <w:rPr>
          <w:noProof/>
        </w:rPr>
        <w:pict>
          <v:shape id="Picture 248" o:spid="_x0000_i1028" type="#_x0000_t75" style="width:117.75pt;height:117.75pt;visibility:visible" o:bordertopcolor="black" o:borderleftcolor="black" o:borderbottomcolor="black" o:borderrightcolor="black">
            <v:imagedata r:id="rId14" o:title="TVEC_Injection_AdminByUltrasound"/>
            <w10:bordertop type="single" width="6"/>
            <w10:borderleft type="single" width="6"/>
            <w10:borderbottom type="single" width="6"/>
            <w10:borderright type="single" width="6"/>
          </v:shape>
        </w:pict>
      </w:r>
    </w:p>
    <w:p w:rsidR="009334D4" w:rsidRPr="006D7DC1" w:rsidRDefault="009334D4" w:rsidP="00525210">
      <w:pPr>
        <w:rPr>
          <w:rFonts w:cs="Arial"/>
          <w:sz w:val="16"/>
          <w:szCs w:val="16"/>
        </w:rPr>
      </w:pPr>
      <w:r w:rsidRPr="006D7DC1">
        <w:rPr>
          <w:rFonts w:cs="Arial"/>
          <w:sz w:val="16"/>
          <w:szCs w:val="16"/>
        </w:rPr>
        <w:t xml:space="preserve"> </w:t>
      </w:r>
      <w:r w:rsidRPr="006D7DC1">
        <w:rPr>
          <w:rFonts w:cs="Arial"/>
          <w:sz w:val="16"/>
          <w:szCs w:val="16"/>
        </w:rPr>
        <w:br/>
      </w:r>
    </w:p>
    <w:p w:rsidR="009334D4" w:rsidRPr="006D7DC1" w:rsidRDefault="009334D4" w:rsidP="00525210"/>
    <w:p w:rsidR="003B4E1D" w:rsidRDefault="003B4E1D" w:rsidP="002C5032">
      <w:pPr>
        <w:ind w:left="426"/>
      </w:pPr>
    </w:p>
    <w:p w:rsidR="002C5032" w:rsidRDefault="002C5032" w:rsidP="002C5032">
      <w:pPr>
        <w:ind w:left="426"/>
      </w:pPr>
    </w:p>
    <w:p w:rsidR="009334D4" w:rsidRPr="006D7DC1" w:rsidRDefault="009334D4" w:rsidP="002B6DC1">
      <w:pPr>
        <w:pStyle w:val="TextBullet"/>
      </w:pPr>
      <w:r w:rsidRPr="006D7DC1">
        <w:t xml:space="preserve">Disperse </w:t>
      </w:r>
      <w:r w:rsidR="001371A5">
        <w:t>IMLYGIC</w:t>
      </w:r>
      <w:r w:rsidRPr="006D7DC1">
        <w:t xml:space="preserve"> evenly and completely within the lesion by pulling the needle back without exiting the lesion.  Redirect the needle as many times as necessary while injecting the remainder of the dose of </w:t>
      </w:r>
      <w:r w:rsidR="001371A5">
        <w:t>IMLYGIC</w:t>
      </w:r>
      <w:r w:rsidRPr="006D7DC1">
        <w:t>.  Continue until the full dose is evenly and completely dispersed.</w:t>
      </w:r>
    </w:p>
    <w:p w:rsidR="009334D4" w:rsidRPr="006D7DC1" w:rsidRDefault="009334D4" w:rsidP="002B6DC1">
      <w:pPr>
        <w:pStyle w:val="TextBullet"/>
      </w:pPr>
      <w:r w:rsidRPr="006D7DC1">
        <w:t xml:space="preserve">When removing the needle, withdraw it from the lesion slowly to avoid leakage or splash back of </w:t>
      </w:r>
      <w:r w:rsidR="001371A5">
        <w:t>IMLYGIC</w:t>
      </w:r>
      <w:r w:rsidRPr="006D7DC1">
        <w:t xml:space="preserve"> at the insertion point.</w:t>
      </w:r>
    </w:p>
    <w:p w:rsidR="009334D4" w:rsidRDefault="009334D4" w:rsidP="002B6DC1">
      <w:pPr>
        <w:pStyle w:val="TextBullet"/>
      </w:pPr>
      <w:r w:rsidRPr="006D7DC1">
        <w:t>Repeat these steps for other lesions that need to be injected.  Use a new needle anytime the needle is completely removed from a lesion and each time a different lesion is injected.</w:t>
      </w:r>
    </w:p>
    <w:p w:rsidR="009334D4" w:rsidRPr="006D7DC1" w:rsidRDefault="009334D4" w:rsidP="002B6DC1">
      <w:pPr>
        <w:pStyle w:val="Heading7Bold"/>
      </w:pPr>
      <w:r w:rsidRPr="006D7DC1">
        <w:t>Post-injection</w:t>
      </w:r>
    </w:p>
    <w:p w:rsidR="009334D4" w:rsidRPr="006D7DC1" w:rsidRDefault="009334D4" w:rsidP="003B4E1D">
      <w:pPr>
        <w:pStyle w:val="TextBullet"/>
      </w:pPr>
      <w:r w:rsidRPr="006D7DC1">
        <w:t>Apply pressure to the injection site with sterile gauze for at least 30 seconds.</w:t>
      </w:r>
    </w:p>
    <w:p w:rsidR="009334D4" w:rsidRPr="006D7DC1" w:rsidRDefault="009334D4" w:rsidP="003B4E1D">
      <w:pPr>
        <w:pStyle w:val="TextBullet"/>
      </w:pPr>
      <w:r w:rsidRPr="006D7DC1">
        <w:t>Swab the injection site and surrounding area with alcohol and cover the injected lesion with an absorbent pad and dry occlusive dressing.</w:t>
      </w:r>
    </w:p>
    <w:p w:rsidR="009334D4" w:rsidRPr="006D7DC1" w:rsidRDefault="009334D4" w:rsidP="002B6DC1">
      <w:pPr>
        <w:pStyle w:val="Heading7Bold"/>
      </w:pPr>
      <w:r w:rsidRPr="006D7DC1">
        <w:t>Disposal</w:t>
      </w:r>
    </w:p>
    <w:p w:rsidR="009334D4" w:rsidRPr="006D7DC1" w:rsidRDefault="009334D4" w:rsidP="003B4E1D">
      <w:pPr>
        <w:pStyle w:val="Text"/>
      </w:pPr>
      <w:r w:rsidRPr="006D7DC1">
        <w:t xml:space="preserve">Dispose of all materials that have come in contact with </w:t>
      </w:r>
      <w:r w:rsidR="001371A5">
        <w:t>IMLYGIC</w:t>
      </w:r>
      <w:r w:rsidRPr="006D7DC1">
        <w:t xml:space="preserve"> (e.g., vial, syringe, needle, any cotton or gauze) in accordance with local institutional procedures </w:t>
      </w:r>
      <w:r w:rsidR="00B15D1F">
        <w:t>[</w:t>
      </w:r>
      <w:r w:rsidRPr="006D7DC1">
        <w:rPr>
          <w:iCs/>
        </w:rPr>
        <w:t xml:space="preserve">see </w:t>
      </w:r>
      <w:r w:rsidRPr="00B15D1F">
        <w:rPr>
          <w:b/>
          <w:iCs/>
        </w:rPr>
        <w:t>Special Instructions for Use and Handling</w:t>
      </w:r>
      <w:r w:rsidR="00B15D1F">
        <w:rPr>
          <w:iCs/>
        </w:rPr>
        <w:t>]</w:t>
      </w:r>
      <w:r w:rsidRPr="006D7DC1">
        <w:t>.</w:t>
      </w:r>
    </w:p>
    <w:p w:rsidR="00FD4C64" w:rsidRPr="006D7DC1" w:rsidRDefault="00FD4C64" w:rsidP="002B6DC1">
      <w:pPr>
        <w:pStyle w:val="Heading7Bold"/>
        <w:rPr>
          <w:rFonts w:cs="Arial"/>
        </w:rPr>
      </w:pPr>
      <w:r w:rsidRPr="006D7DC1">
        <w:t>Special Instructions for Use and Handling</w:t>
      </w:r>
    </w:p>
    <w:p w:rsidR="00FD4C64" w:rsidRPr="006D7DC1" w:rsidRDefault="00FD4C64" w:rsidP="003B4E1D">
      <w:pPr>
        <w:pStyle w:val="Text"/>
        <w:rPr>
          <w:color w:val="000000"/>
        </w:rPr>
      </w:pPr>
      <w:r w:rsidRPr="006D7DC1">
        <w:t>Follow local institutional guidelines for handling, personal protective equipment, accidental spills, and waste disposal.</w:t>
      </w:r>
      <w:r w:rsidRPr="006D7DC1">
        <w:rPr>
          <w:color w:val="000000"/>
        </w:rPr>
        <w:t xml:space="preserve"> </w:t>
      </w:r>
    </w:p>
    <w:p w:rsidR="00FD4C64" w:rsidRPr="006D7DC1" w:rsidRDefault="00FD4C64" w:rsidP="003B4E1D">
      <w:pPr>
        <w:pStyle w:val="TextBullet"/>
      </w:pPr>
      <w:r w:rsidRPr="006D7DC1">
        <w:t xml:space="preserve">Wear protective gown or laboratory coat, safety glasses </w:t>
      </w:r>
      <w:r w:rsidR="00E63A63">
        <w:t xml:space="preserve">or face shield </w:t>
      </w:r>
      <w:r w:rsidRPr="006D7DC1">
        <w:t xml:space="preserve">and gloves while preparing or administering </w:t>
      </w:r>
      <w:r w:rsidR="001371A5">
        <w:t>IMLYGIC</w:t>
      </w:r>
      <w:r w:rsidRPr="006D7DC1">
        <w:t>.  Cover any exposed wounds before administering.  Avoid contact with skin, eyes or mucous membranes.</w:t>
      </w:r>
    </w:p>
    <w:p w:rsidR="00FD4C64" w:rsidRPr="006D7DC1" w:rsidRDefault="00FD4C64" w:rsidP="00E63A63">
      <w:pPr>
        <w:pStyle w:val="TextBullet"/>
      </w:pPr>
      <w:r w:rsidRPr="006D7DC1">
        <w:t xml:space="preserve">After administration, </w:t>
      </w:r>
      <w:r w:rsidR="00E63A63">
        <w:t xml:space="preserve">change gloves prior to </w:t>
      </w:r>
      <w:r w:rsidRPr="006D7DC1">
        <w:t>apply</w:t>
      </w:r>
      <w:r w:rsidR="00E63A63">
        <w:t>ing</w:t>
      </w:r>
      <w:r w:rsidRPr="006D7DC1">
        <w:t xml:space="preserve"> occlusive dressings to injected lesions</w:t>
      </w:r>
      <w:r w:rsidR="00E63A63">
        <w:t>. Wipe the exterior of occlusive dressing with an alcohol wipe</w:t>
      </w:r>
      <w:r w:rsidRPr="006D7DC1">
        <w:t xml:space="preserve"> and </w:t>
      </w:r>
      <w:proofErr w:type="gramStart"/>
      <w:r w:rsidRPr="006D7DC1">
        <w:t>advise</w:t>
      </w:r>
      <w:proofErr w:type="gramEnd"/>
      <w:r w:rsidRPr="006D7DC1">
        <w:t xml:space="preserve"> patients to keep the injection sites covered at all times and replace dressing if it falls off. </w:t>
      </w:r>
    </w:p>
    <w:p w:rsidR="00FD4C64" w:rsidRPr="006D7DC1" w:rsidRDefault="00FD4C64" w:rsidP="003B4E1D">
      <w:pPr>
        <w:pStyle w:val="TextBullet"/>
      </w:pPr>
      <w:r w:rsidRPr="006D7DC1">
        <w:lastRenderedPageBreak/>
        <w:t xml:space="preserve">Dispose of all materials that have come in contact with </w:t>
      </w:r>
      <w:r w:rsidR="001371A5">
        <w:t>IMLYGIC</w:t>
      </w:r>
      <w:r w:rsidRPr="006D7DC1">
        <w:t xml:space="preserve"> (e.g., vial, syringe, needle, any cotton or gauze) in accordance with local institutional procedures. </w:t>
      </w:r>
    </w:p>
    <w:p w:rsidR="00FD4C64" w:rsidRPr="006D7DC1" w:rsidRDefault="00FD4C64" w:rsidP="003B4E1D">
      <w:pPr>
        <w:pStyle w:val="TextBullet"/>
      </w:pPr>
      <w:r w:rsidRPr="006D7DC1">
        <w:t xml:space="preserve">In the event of an accidental occupational exposure to </w:t>
      </w:r>
      <w:r w:rsidR="001371A5">
        <w:t>IMLYGIC</w:t>
      </w:r>
      <w:r w:rsidRPr="006D7DC1">
        <w:t xml:space="preserve"> (e.g., through a splash to the eyes or mucous membranes) during preparation or administration, flush with clean water for at least 15 minutes.  In the event of exposure to broken skin or needle stick, clean the affected area thoroughly with soap and water and/or disinfectant. </w:t>
      </w:r>
    </w:p>
    <w:p w:rsidR="00FD4C64" w:rsidRPr="006D7DC1" w:rsidRDefault="00FD4C64" w:rsidP="003B4E1D">
      <w:pPr>
        <w:pStyle w:val="TextBullet"/>
      </w:pPr>
      <w:r w:rsidRPr="006D7DC1">
        <w:rPr>
          <w:bCs/>
        </w:rPr>
        <w:t xml:space="preserve">Treat all </w:t>
      </w:r>
      <w:r w:rsidR="001371A5">
        <w:t>IMLYGIC</w:t>
      </w:r>
      <w:r w:rsidRPr="006D7DC1">
        <w:t xml:space="preserve"> spills with a </w:t>
      </w:r>
      <w:proofErr w:type="spellStart"/>
      <w:r w:rsidRPr="006D7DC1">
        <w:t>virucidal</w:t>
      </w:r>
      <w:proofErr w:type="spellEnd"/>
      <w:r w:rsidRPr="006D7DC1">
        <w:t xml:space="preserve"> agent and absorbent materials.</w:t>
      </w:r>
    </w:p>
    <w:p w:rsidR="00FD4C64" w:rsidRPr="003B4E1D" w:rsidRDefault="00FD4C64" w:rsidP="003B4E1D">
      <w:pPr>
        <w:pStyle w:val="TextBullet"/>
        <w:rPr>
          <w:b/>
          <w:bCs/>
          <w:lang w:val="en"/>
        </w:rPr>
      </w:pPr>
      <w:proofErr w:type="gramStart"/>
      <w:r w:rsidRPr="006D7DC1">
        <w:t>Advise</w:t>
      </w:r>
      <w:proofErr w:type="gramEnd"/>
      <w:r w:rsidRPr="006D7DC1">
        <w:t xml:space="preserve"> patients to place used dressings and cleaning materials in a sealed plastic bag and dispose in household waste.</w:t>
      </w:r>
    </w:p>
    <w:p w:rsidR="005E3C40" w:rsidRPr="002B6DC1" w:rsidRDefault="00EA6654" w:rsidP="002B6DC1">
      <w:pPr>
        <w:pStyle w:val="Heading0"/>
        <w:pageBreakBefore w:val="0"/>
      </w:pPr>
      <w:r w:rsidRPr="002B6DC1">
        <w:t>OVERDOSAGE</w:t>
      </w:r>
    </w:p>
    <w:p w:rsidR="003B4E1D" w:rsidRDefault="009334D4" w:rsidP="003B4E1D">
      <w:pPr>
        <w:pStyle w:val="Text"/>
        <w:rPr>
          <w:rFonts w:eastAsia="TimesNewRoman"/>
        </w:rPr>
      </w:pPr>
      <w:r w:rsidRPr="006D7DC1">
        <w:t xml:space="preserve">There is no clinical experience with </w:t>
      </w:r>
      <w:proofErr w:type="spellStart"/>
      <w:r w:rsidRPr="006D7DC1">
        <w:t>overdosage</w:t>
      </w:r>
      <w:proofErr w:type="spellEnd"/>
      <w:r w:rsidRPr="006D7DC1">
        <w:t xml:space="preserve"> with </w:t>
      </w:r>
      <w:r w:rsidR="001371A5">
        <w:t>IMLYGIC</w:t>
      </w:r>
      <w:r w:rsidRPr="006D7DC1">
        <w:t>.  Doses up to 4 mL at a concentration of 10</w:t>
      </w:r>
      <w:r w:rsidRPr="006D7DC1">
        <w:rPr>
          <w:vertAlign w:val="superscript"/>
        </w:rPr>
        <w:t>8</w:t>
      </w:r>
      <w:r w:rsidRPr="006D7DC1">
        <w:t xml:space="preserve"> PFU/mL every 2 weeks have been administered in clinical trials with no evidence of dose limiting toxicity.  </w:t>
      </w:r>
      <w:r w:rsidRPr="006D7DC1">
        <w:rPr>
          <w:rFonts w:eastAsia="TimesNewRoman"/>
        </w:rPr>
        <w:t xml:space="preserve">The maximum dose of </w:t>
      </w:r>
      <w:r w:rsidR="001371A5">
        <w:rPr>
          <w:rFonts w:eastAsia="TimesNewRoman"/>
        </w:rPr>
        <w:t>IMLYGIC</w:t>
      </w:r>
      <w:r w:rsidRPr="006D7DC1">
        <w:rPr>
          <w:rFonts w:eastAsia="TimesNewRoman"/>
        </w:rPr>
        <w:t xml:space="preserve"> that can be safely administered has not been determined.  In the event of a suspected overdose, the patient should be treated symptomatically and supportive measures instituted as required.</w:t>
      </w:r>
    </w:p>
    <w:p w:rsidR="001C45B2" w:rsidRPr="003B4E1D" w:rsidRDefault="001C45B2" w:rsidP="00C906C3">
      <w:pPr>
        <w:suppressAutoHyphens w:val="0"/>
        <w:autoSpaceDE w:val="0"/>
        <w:autoSpaceDN w:val="0"/>
        <w:adjustRightInd w:val="0"/>
        <w:spacing w:line="360" w:lineRule="auto"/>
        <w:rPr>
          <w:rFonts w:eastAsia="TimesNewRoman"/>
        </w:rPr>
      </w:pPr>
      <w:r>
        <w:rPr>
          <w:rFonts w:ascii="Fd1416-Identity-H" w:eastAsia="Calibri" w:hAnsi="Fd1416-Identity-H" w:cs="Fd1416-Identity-H"/>
          <w:szCs w:val="22"/>
          <w:lang w:val="en-AU" w:eastAsia="en-AU"/>
        </w:rPr>
        <w:t xml:space="preserve">For information on the management of overdose, contact the Poison Information Centre on </w:t>
      </w:r>
      <w:r w:rsidRPr="001C45B2">
        <w:rPr>
          <w:rFonts w:ascii="Fd1416-Identity-H" w:eastAsia="Calibri" w:hAnsi="Fd1416-Identity-H" w:cs="Fd1416-Identity-H"/>
          <w:szCs w:val="22"/>
          <w:lang w:val="en-AU" w:eastAsia="en-AU"/>
        </w:rPr>
        <w:t xml:space="preserve">131126 </w:t>
      </w:r>
      <w:r>
        <w:rPr>
          <w:rFonts w:ascii="Fd1416-Identity-H" w:eastAsia="Calibri" w:hAnsi="Fd1416-Identity-H" w:cs="Fd1416-Identity-H"/>
          <w:szCs w:val="22"/>
          <w:lang w:val="en-AU" w:eastAsia="en-AU"/>
        </w:rPr>
        <w:t>(Australia).</w:t>
      </w:r>
    </w:p>
    <w:p w:rsidR="005E3C40" w:rsidRPr="002B6DC1" w:rsidRDefault="00EA6654" w:rsidP="002B6DC1">
      <w:pPr>
        <w:pStyle w:val="Heading0"/>
        <w:pageBreakBefore w:val="0"/>
      </w:pPr>
      <w:r w:rsidRPr="002B6DC1">
        <w:t>PRESENTATION AND STORAGE CONDITIONS</w:t>
      </w:r>
    </w:p>
    <w:p w:rsidR="0096567A" w:rsidRPr="006D7DC1" w:rsidRDefault="001371A5" w:rsidP="003B4E1D">
      <w:pPr>
        <w:pStyle w:val="Text"/>
      </w:pPr>
      <w:r>
        <w:t>IMLYGIC</w:t>
      </w:r>
      <w:r w:rsidR="0096567A" w:rsidRPr="006D7DC1">
        <w:t xml:space="preserve"> is provided in single-use vials of 1 mL each in two different concentrations:</w:t>
      </w:r>
    </w:p>
    <w:p w:rsidR="0096567A" w:rsidRPr="006D7DC1" w:rsidRDefault="0096567A" w:rsidP="003B4E1D">
      <w:pPr>
        <w:pStyle w:val="Text"/>
        <w:ind w:left="720"/>
      </w:pPr>
      <w:r w:rsidRPr="006D7DC1">
        <w:t>10</w:t>
      </w:r>
      <w:r w:rsidRPr="006D7DC1">
        <w:rPr>
          <w:vertAlign w:val="superscript"/>
        </w:rPr>
        <w:t>6</w:t>
      </w:r>
      <w:r w:rsidRPr="006D7DC1">
        <w:t xml:space="preserve"> </w:t>
      </w:r>
      <w:r w:rsidR="00670FDB" w:rsidRPr="006D7DC1">
        <w:t xml:space="preserve">(1 million) </w:t>
      </w:r>
      <w:r w:rsidRPr="006D7DC1">
        <w:t>PFU/mL - For initial dose only</w:t>
      </w:r>
    </w:p>
    <w:p w:rsidR="0096567A" w:rsidRPr="006D7DC1" w:rsidRDefault="0096567A" w:rsidP="003B4E1D">
      <w:pPr>
        <w:pStyle w:val="Text"/>
        <w:ind w:left="720"/>
      </w:pPr>
      <w:r w:rsidRPr="006D7DC1">
        <w:t>10</w:t>
      </w:r>
      <w:r w:rsidRPr="006D7DC1">
        <w:rPr>
          <w:vertAlign w:val="superscript"/>
        </w:rPr>
        <w:t>8</w:t>
      </w:r>
      <w:r w:rsidRPr="006D7DC1">
        <w:t xml:space="preserve"> </w:t>
      </w:r>
      <w:r w:rsidR="00670FDB" w:rsidRPr="006D7DC1">
        <w:t xml:space="preserve">(100 million) </w:t>
      </w:r>
      <w:r w:rsidRPr="006D7DC1">
        <w:t>PFU/mL - For all subsequent doses</w:t>
      </w:r>
    </w:p>
    <w:p w:rsidR="00DD6E2B" w:rsidRPr="006D7DC1" w:rsidRDefault="001371A5" w:rsidP="003B4E1D">
      <w:pPr>
        <w:pStyle w:val="TextBullet"/>
      </w:pPr>
      <w:r>
        <w:t>IMLYGIC</w:t>
      </w:r>
      <w:r w:rsidR="00DD6E2B" w:rsidRPr="006D7DC1">
        <w:t xml:space="preserve"> must be transported and stored at -90°</w:t>
      </w:r>
      <w:r w:rsidR="00DD6E2B" w:rsidRPr="006D7DC1">
        <w:rPr>
          <w:color w:val="000000"/>
        </w:rPr>
        <w:t>C</w:t>
      </w:r>
      <w:r w:rsidR="00DD6E2B" w:rsidRPr="006D7DC1">
        <w:t xml:space="preserve"> to -70°C.</w:t>
      </w:r>
    </w:p>
    <w:p w:rsidR="00DD6E2B" w:rsidRPr="006D7DC1" w:rsidRDefault="001371A5" w:rsidP="003B4E1D">
      <w:pPr>
        <w:pStyle w:val="TextBullet"/>
      </w:pPr>
      <w:r>
        <w:t>IMLYGIC</w:t>
      </w:r>
      <w:r w:rsidR="00DD6E2B" w:rsidRPr="006D7DC1">
        <w:t xml:space="preserve"> should be </w:t>
      </w:r>
      <w:r w:rsidR="00DD6E2B" w:rsidRPr="006D7DC1">
        <w:rPr>
          <w:color w:val="000000"/>
        </w:rPr>
        <w:t>protected from light.</w:t>
      </w:r>
    </w:p>
    <w:p w:rsidR="00DD6E2B" w:rsidRPr="006D7DC1" w:rsidRDefault="001371A5" w:rsidP="003B4E1D">
      <w:pPr>
        <w:pStyle w:val="TextBullet"/>
      </w:pPr>
      <w:r>
        <w:t>IMLYGIC</w:t>
      </w:r>
      <w:r w:rsidR="00DD6E2B" w:rsidRPr="006D7DC1">
        <w:t xml:space="preserve"> should be stored in the carton until use.</w:t>
      </w:r>
    </w:p>
    <w:p w:rsidR="008E44F7" w:rsidRPr="006D7DC1" w:rsidRDefault="001371A5" w:rsidP="003B4E1D">
      <w:pPr>
        <w:pStyle w:val="TextBullet"/>
      </w:pPr>
      <w:r>
        <w:t>IMLYGIC</w:t>
      </w:r>
      <w:r w:rsidR="00DD6E2B" w:rsidRPr="006D7DC1">
        <w:t xml:space="preserve"> should be thawed immediately prior to administration.  See thawing instructions below</w:t>
      </w:r>
      <w:r w:rsidR="00DD6E2B" w:rsidRPr="006D7DC1">
        <w:rPr>
          <w:sz w:val="20"/>
        </w:rPr>
        <w:t>.</w:t>
      </w:r>
    </w:p>
    <w:p w:rsidR="00F03286" w:rsidRPr="006D7DC1" w:rsidRDefault="001371A5" w:rsidP="003B4E1D">
      <w:pPr>
        <w:pStyle w:val="Text"/>
      </w:pPr>
      <w:r>
        <w:t>IMLYGIC</w:t>
      </w:r>
      <w:r w:rsidR="008B719A" w:rsidRPr="006D7DC1">
        <w:t xml:space="preserve"> does not contain any antimicrobial preservative or bacteriostatic agent. </w:t>
      </w:r>
      <w:r w:rsidR="00F03286" w:rsidRPr="006D7DC1">
        <w:t xml:space="preserve">To reduce microbiological hazard, </w:t>
      </w:r>
      <w:r>
        <w:t>IMLYGIC</w:t>
      </w:r>
      <w:r w:rsidR="00F03286" w:rsidRPr="006D7DC1">
        <w:t xml:space="preserve"> should not be drawn into a syringe until immediately prior to administration.</w:t>
      </w:r>
    </w:p>
    <w:p w:rsidR="00F03286" w:rsidRPr="006D7DC1" w:rsidRDefault="00F03286" w:rsidP="002B6DC1">
      <w:pPr>
        <w:pStyle w:val="Heading7Bold"/>
      </w:pPr>
      <w:r w:rsidRPr="006D7DC1">
        <w:t xml:space="preserve">Thawing </w:t>
      </w:r>
      <w:r w:rsidR="001371A5">
        <w:t>IMLYGIC</w:t>
      </w:r>
      <w:r w:rsidRPr="006D7DC1">
        <w:t xml:space="preserve"> vials</w:t>
      </w:r>
    </w:p>
    <w:p w:rsidR="00F03286" w:rsidRPr="006D7DC1" w:rsidRDefault="001371A5" w:rsidP="003B4E1D">
      <w:pPr>
        <w:pStyle w:val="TextBullet"/>
      </w:pPr>
      <w:r>
        <w:t>IMLYGIC</w:t>
      </w:r>
      <w:r w:rsidR="00F03286" w:rsidRPr="006D7DC1">
        <w:t xml:space="preserve"> should only be exposed to room temperature (20ºC to 25ºC) during thawing and administration.</w:t>
      </w:r>
    </w:p>
    <w:p w:rsidR="00F03286" w:rsidRPr="006D7DC1" w:rsidRDefault="00F03286" w:rsidP="003B4E1D">
      <w:pPr>
        <w:pStyle w:val="TextBullet"/>
      </w:pPr>
      <w:r w:rsidRPr="006D7DC1">
        <w:t xml:space="preserve">Before use, </w:t>
      </w:r>
      <w:proofErr w:type="gramStart"/>
      <w:r w:rsidRPr="006D7DC1">
        <w:t xml:space="preserve">thaw frozen </w:t>
      </w:r>
      <w:r w:rsidR="001371A5">
        <w:t>IMLYGIC</w:t>
      </w:r>
      <w:r w:rsidRPr="006D7DC1">
        <w:t xml:space="preserve"> vials at room temperature (20º</w:t>
      </w:r>
      <w:r w:rsidRPr="006D7DC1">
        <w:rPr>
          <w:color w:val="000000"/>
        </w:rPr>
        <w:t>C</w:t>
      </w:r>
      <w:r w:rsidRPr="006D7DC1">
        <w:t xml:space="preserve"> to 25ºC) until </w:t>
      </w:r>
      <w:r w:rsidR="001371A5">
        <w:t>IMLYGIC</w:t>
      </w:r>
      <w:r w:rsidRPr="006D7DC1">
        <w:t xml:space="preserve"> is</w:t>
      </w:r>
      <w:proofErr w:type="gramEnd"/>
      <w:r w:rsidRPr="006D7DC1">
        <w:t xml:space="preserve"> liquid (approximately 30 minutes)</w:t>
      </w:r>
      <w:r w:rsidRPr="006D7DC1">
        <w:rPr>
          <w:color w:val="948A54"/>
        </w:rPr>
        <w:t xml:space="preserve">. </w:t>
      </w:r>
      <w:r w:rsidRPr="006D7DC1">
        <w:t xml:space="preserve"> Gently swirl.  </w:t>
      </w:r>
      <w:r w:rsidRPr="006D7DC1">
        <w:rPr>
          <w:b/>
        </w:rPr>
        <w:t>DO NOT SHAKE</w:t>
      </w:r>
      <w:r w:rsidRPr="006D7DC1">
        <w:t>.</w:t>
      </w:r>
    </w:p>
    <w:p w:rsidR="00F03286" w:rsidRPr="006D7DC1" w:rsidRDefault="001371A5" w:rsidP="003B4E1D">
      <w:pPr>
        <w:pStyle w:val="TextBullet"/>
      </w:pPr>
      <w:r>
        <w:t>IMLYGIC</w:t>
      </w:r>
      <w:r w:rsidR="00F03286" w:rsidRPr="006D7DC1">
        <w:t xml:space="preserve"> must not be refrozen once it has thawed.</w:t>
      </w:r>
    </w:p>
    <w:p w:rsidR="003B4E1D" w:rsidRPr="006D7DC1" w:rsidRDefault="00F03286" w:rsidP="003B4E1D">
      <w:pPr>
        <w:pStyle w:val="TextBullet"/>
      </w:pPr>
      <w:r w:rsidRPr="006D7DC1">
        <w:lastRenderedPageBreak/>
        <w:t xml:space="preserve">After thawing, </w:t>
      </w:r>
      <w:r w:rsidR="001371A5">
        <w:t>IMLYGIC</w:t>
      </w:r>
      <w:r w:rsidRPr="006D7DC1">
        <w:t xml:space="preserve"> should be administered immediately or should be stored in its original vial, protected from light, in a refrigerator (</w:t>
      </w:r>
      <w:r w:rsidRPr="006D7DC1">
        <w:rPr>
          <w:color w:val="000000"/>
        </w:rPr>
        <w:t xml:space="preserve">2°C to 8°C) </w:t>
      </w:r>
      <w:r w:rsidRPr="006D7DC1">
        <w:t>until administration within the following criteria:</w:t>
      </w:r>
      <w:r w:rsidR="00776F51">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6029"/>
      </w:tblGrid>
      <w:tr w:rsidR="00F03286" w:rsidRPr="006D7DC1" w:rsidTr="00C616F5">
        <w:tc>
          <w:tcPr>
            <w:tcW w:w="2583" w:type="dxa"/>
            <w:shd w:val="clear" w:color="auto" w:fill="BFBFBF"/>
          </w:tcPr>
          <w:p w:rsidR="0019023B" w:rsidRPr="006D7DC1" w:rsidRDefault="001371A5" w:rsidP="0063152B">
            <w:pPr>
              <w:pStyle w:val="TableCenterAlign"/>
              <w:ind w:left="-218"/>
            </w:pPr>
            <w:r>
              <w:t>IMLYGIC</w:t>
            </w:r>
            <w:r w:rsidR="00F03286" w:rsidRPr="006D7DC1">
              <w:t xml:space="preserve"> 10</w:t>
            </w:r>
            <w:r w:rsidR="00F03286" w:rsidRPr="006D7DC1">
              <w:rPr>
                <w:vertAlign w:val="superscript"/>
              </w:rPr>
              <w:t>6</w:t>
            </w:r>
            <w:r w:rsidR="00F03286" w:rsidRPr="006D7DC1">
              <w:t xml:space="preserve"> PFU/mL</w:t>
            </w:r>
          </w:p>
        </w:tc>
        <w:tc>
          <w:tcPr>
            <w:tcW w:w="6299" w:type="dxa"/>
            <w:shd w:val="clear" w:color="auto" w:fill="auto"/>
          </w:tcPr>
          <w:p w:rsidR="00F03286" w:rsidRPr="006D7DC1" w:rsidRDefault="00F03286" w:rsidP="00451271">
            <w:pPr>
              <w:pStyle w:val="TableCenterAlign"/>
              <w:jc w:val="left"/>
            </w:pPr>
            <w:r w:rsidRPr="006D7DC1">
              <w:t xml:space="preserve">Up to 12 hours at 2°C to 8°C. Discard any </w:t>
            </w:r>
            <w:r w:rsidR="001371A5">
              <w:t>IMLYGIC</w:t>
            </w:r>
            <w:r w:rsidRPr="006D7DC1">
              <w:t xml:space="preserve"> vial left in a refrigerator longer than this specified time</w:t>
            </w:r>
          </w:p>
        </w:tc>
      </w:tr>
      <w:tr w:rsidR="00F03286" w:rsidRPr="006D7DC1" w:rsidTr="00C616F5">
        <w:tc>
          <w:tcPr>
            <w:tcW w:w="2583" w:type="dxa"/>
            <w:shd w:val="clear" w:color="auto" w:fill="BFBFBF"/>
          </w:tcPr>
          <w:p w:rsidR="0019023B" w:rsidRPr="006D7DC1" w:rsidRDefault="001371A5" w:rsidP="0063152B">
            <w:pPr>
              <w:pStyle w:val="TableCenterAlign"/>
              <w:ind w:left="-218"/>
            </w:pPr>
            <w:r>
              <w:t>IMLYGIC</w:t>
            </w:r>
            <w:r w:rsidR="00F03286" w:rsidRPr="006D7DC1">
              <w:t xml:space="preserve"> 10</w:t>
            </w:r>
            <w:r w:rsidR="00F03286" w:rsidRPr="006D7DC1">
              <w:rPr>
                <w:vertAlign w:val="superscript"/>
              </w:rPr>
              <w:t>8</w:t>
            </w:r>
            <w:r w:rsidR="00F03286" w:rsidRPr="006D7DC1">
              <w:t xml:space="preserve"> PFU/mL</w:t>
            </w:r>
          </w:p>
        </w:tc>
        <w:tc>
          <w:tcPr>
            <w:tcW w:w="6299" w:type="dxa"/>
            <w:shd w:val="clear" w:color="auto" w:fill="auto"/>
          </w:tcPr>
          <w:p w:rsidR="00F03286" w:rsidRPr="006D7DC1" w:rsidRDefault="00F03286" w:rsidP="00451271">
            <w:pPr>
              <w:pStyle w:val="TableCenterAlign"/>
              <w:jc w:val="left"/>
            </w:pPr>
            <w:r w:rsidRPr="006D7DC1">
              <w:t xml:space="preserve">Up to 48 hours at 2°C to 8°C. Discard any </w:t>
            </w:r>
            <w:r w:rsidR="001371A5">
              <w:t>IMLYGIC</w:t>
            </w:r>
            <w:r w:rsidRPr="006D7DC1">
              <w:t xml:space="preserve"> vial left in a refrigerator longer than this specified time</w:t>
            </w:r>
          </w:p>
        </w:tc>
      </w:tr>
    </w:tbl>
    <w:p w:rsidR="005E3C40" w:rsidRPr="002B6DC1" w:rsidRDefault="006B7F04" w:rsidP="002B6DC1">
      <w:pPr>
        <w:pStyle w:val="Heading0"/>
        <w:pageBreakBefore w:val="0"/>
      </w:pPr>
      <w:r w:rsidRPr="002B6DC1">
        <w:t>NAME AND ADDRESS OF THE SPONSOR</w:t>
      </w:r>
    </w:p>
    <w:p w:rsidR="005E3C40" w:rsidRDefault="006B7F04" w:rsidP="0063152B">
      <w:r w:rsidRPr="006D7DC1">
        <w:t>Amgen Australia Pty Ltd</w:t>
      </w:r>
      <w:r w:rsidR="0063152B" w:rsidRPr="006D7DC1">
        <w:br/>
      </w:r>
      <w:r w:rsidRPr="006D7DC1">
        <w:t>ABN 31 051 057 428</w:t>
      </w:r>
      <w:r w:rsidR="0063152B" w:rsidRPr="006D7DC1">
        <w:br/>
      </w:r>
      <w:r w:rsidRPr="006D7DC1">
        <w:t>Level 7 123 Epping Road</w:t>
      </w:r>
      <w:r w:rsidR="0063152B" w:rsidRPr="006D7DC1">
        <w:br/>
      </w:r>
      <w:r w:rsidRPr="006D7DC1">
        <w:t>North Ryde, NS</w:t>
      </w:r>
      <w:r w:rsidR="003C210A" w:rsidRPr="006D7DC1">
        <w:t>W</w:t>
      </w:r>
      <w:r w:rsidR="0063152B" w:rsidRPr="006D7DC1">
        <w:t>,</w:t>
      </w:r>
      <w:r w:rsidRPr="006D7DC1">
        <w:t xml:space="preserve"> 2113</w:t>
      </w:r>
      <w:r w:rsidR="005E3C40" w:rsidRPr="006D7DC1">
        <w:t xml:space="preserve">. </w:t>
      </w:r>
    </w:p>
    <w:p w:rsidR="00EB1DD5" w:rsidRPr="006D7DC1" w:rsidRDefault="00EB1DD5" w:rsidP="00CA7F20">
      <w:pPr>
        <w:spacing w:before="120" w:after="120"/>
      </w:pPr>
      <w:r>
        <w:t>Medical Information 1800 803 638</w:t>
      </w:r>
    </w:p>
    <w:p w:rsidR="005E3C40" w:rsidRPr="002B6DC1" w:rsidRDefault="00EA6654" w:rsidP="002B6DC1">
      <w:pPr>
        <w:pStyle w:val="Heading0"/>
        <w:pageBreakBefore w:val="0"/>
      </w:pPr>
      <w:r w:rsidRPr="002B6DC1">
        <w:t>POISON SCHEDULE OF THE MEDICINE</w:t>
      </w:r>
    </w:p>
    <w:p w:rsidR="006932F2" w:rsidRPr="006D7DC1" w:rsidRDefault="006932F2" w:rsidP="00525210">
      <w:pPr>
        <w:rPr>
          <w:lang w:val="en"/>
        </w:rPr>
      </w:pPr>
      <w:r w:rsidRPr="006D7DC1">
        <w:rPr>
          <w:lang w:val="en"/>
        </w:rPr>
        <w:t>S4 Prescription Medicine</w:t>
      </w:r>
    </w:p>
    <w:p w:rsidR="005E3C40" w:rsidRPr="002B6DC1" w:rsidRDefault="00EA6654" w:rsidP="002B6DC1">
      <w:pPr>
        <w:pStyle w:val="Heading0"/>
        <w:pageBreakBefore w:val="0"/>
        <w:ind w:left="0" w:firstLine="0"/>
      </w:pPr>
      <w:r w:rsidRPr="002B6DC1">
        <w:t xml:space="preserve">DATE OF </w:t>
      </w:r>
      <w:r w:rsidR="006932F2" w:rsidRPr="002B6DC1">
        <w:t>FIRST INCLUSION IN THE AUSTRALIAN REGISTER OF THERAPEUTIC GOODS (ARTG)</w:t>
      </w:r>
    </w:p>
    <w:p w:rsidR="00676145" w:rsidRDefault="00C35DC6" w:rsidP="00525210">
      <w:pPr>
        <w:rPr>
          <w:lang w:val="en"/>
        </w:rPr>
      </w:pPr>
      <w:r>
        <w:rPr>
          <w:lang w:val="en"/>
        </w:rPr>
        <w:t>21 December 2015</w:t>
      </w:r>
    </w:p>
    <w:p w:rsidR="00195B10" w:rsidRDefault="00195B10" w:rsidP="00525210"/>
    <w:p w:rsidR="00C35DC6" w:rsidRDefault="00C35DC6" w:rsidP="00525210"/>
    <w:p w:rsidR="00195B10" w:rsidRDefault="00195B10" w:rsidP="00195B10">
      <w:pPr>
        <w:spacing w:line="360" w:lineRule="auto"/>
      </w:pPr>
      <w:proofErr w:type="gramStart"/>
      <w:r>
        <w:t>2014 Amgen Inc.</w:t>
      </w:r>
      <w:proofErr w:type="gramEnd"/>
      <w:r>
        <w:t xml:space="preserve"> All rights reserved.</w:t>
      </w:r>
    </w:p>
    <w:p w:rsidR="00195B10" w:rsidRDefault="00195B10" w:rsidP="00195B10">
      <w:pPr>
        <w:spacing w:line="360" w:lineRule="auto"/>
      </w:pPr>
      <w:r>
        <w:t>IMLYGIC™ is a trademark of Amgen</w:t>
      </w:r>
    </w:p>
    <w:sectPr w:rsidR="00195B10" w:rsidSect="00240681">
      <w:footerReference w:type="default" r:id="rId15"/>
      <w:pgSz w:w="11906" w:h="16838" w:code="9"/>
      <w:pgMar w:top="1276" w:right="1440" w:bottom="993" w:left="1800" w:header="706" w:footer="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69A" w:rsidRDefault="0084569A" w:rsidP="00525210">
      <w:r>
        <w:separator/>
      </w:r>
    </w:p>
  </w:endnote>
  <w:endnote w:type="continuationSeparator" w:id="0">
    <w:p w:rsidR="0084569A" w:rsidRDefault="0084569A" w:rsidP="0052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 w:name="Fd1416-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EFC" w:rsidRDefault="003E1EFC" w:rsidP="00AA5F09">
    <w:pPr>
      <w:pStyle w:val="Footer"/>
      <w:pBdr>
        <w:top w:val="single" w:sz="12"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C4" w:rsidRDefault="002D79C4" w:rsidP="00AA5F09">
    <w:pPr>
      <w:pStyle w:val="Footer"/>
      <w:pBdr>
        <w:top w:val="single" w:sz="12"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69A" w:rsidRDefault="0084569A" w:rsidP="00525210">
      <w:r>
        <w:separator/>
      </w:r>
    </w:p>
  </w:footnote>
  <w:footnote w:type="continuationSeparator" w:id="0">
    <w:p w:rsidR="0084569A" w:rsidRDefault="0084569A" w:rsidP="00525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882"/>
    </w:tblGrid>
    <w:tr w:rsidR="00240681" w:rsidTr="00240681">
      <w:tc>
        <w:tcPr>
          <w:tcW w:w="8882" w:type="dxa"/>
          <w:shd w:val="clear" w:color="auto" w:fill="E4F2E0"/>
        </w:tcPr>
        <w:p w:rsidR="00240681" w:rsidRPr="00240681" w:rsidRDefault="00240681" w:rsidP="00753A93">
          <w:pPr>
            <w:keepLines/>
            <w:tabs>
              <w:tab w:val="right" w:pos="8640"/>
            </w:tabs>
            <w:spacing w:before="40" w:after="40" w:line="200" w:lineRule="atLeast"/>
            <w:rPr>
              <w:b/>
              <w:sz w:val="20"/>
            </w:rPr>
          </w:pPr>
          <w:r w:rsidRPr="00D361CA">
            <w:rPr>
              <w:b/>
              <w:sz w:val="20"/>
            </w:rPr>
            <w:t xml:space="preserve">Attachment 1: Product information for </w:t>
          </w:r>
          <w:proofErr w:type="spellStart"/>
          <w:r w:rsidRPr="00240681">
            <w:rPr>
              <w:b/>
              <w:sz w:val="20"/>
            </w:rPr>
            <w:t>AusPAR</w:t>
          </w:r>
          <w:proofErr w:type="spellEnd"/>
          <w:r w:rsidRPr="00240681">
            <w:rPr>
              <w:b/>
              <w:sz w:val="20"/>
            </w:rPr>
            <w:t xml:space="preserve"> </w:t>
          </w:r>
          <w:proofErr w:type="spellStart"/>
          <w:r w:rsidRPr="00240681">
            <w:rPr>
              <w:b/>
              <w:sz w:val="20"/>
            </w:rPr>
            <w:t>Imylygic</w:t>
          </w:r>
          <w:proofErr w:type="spellEnd"/>
          <w:r w:rsidRPr="00240681">
            <w:rPr>
              <w:b/>
              <w:sz w:val="20"/>
            </w:rPr>
            <w:t xml:space="preserve"> poly-A sequence Amg</w:t>
          </w:r>
          <w:r>
            <w:rPr>
              <w:b/>
              <w:sz w:val="20"/>
            </w:rPr>
            <w:t xml:space="preserve">en Australia PM-2014-03464-1-4 </w:t>
          </w:r>
          <w:r w:rsidRPr="00240681">
            <w:rPr>
              <w:b/>
              <w:sz w:val="20"/>
            </w:rPr>
            <w:t>Final 31 May 2016</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c>
    </w:tr>
  </w:tbl>
  <w:p w:rsidR="00240681" w:rsidRDefault="00240681" w:rsidP="00AA5F09">
    <w:pPr>
      <w:keepLines/>
      <w:pBdr>
        <w:bottom w:val="single" w:sz="12" w:space="6" w:color="auto"/>
      </w:pBdr>
      <w:tabs>
        <w:tab w:val="right" w:pos="8640"/>
      </w:tabs>
      <w:spacing w:line="200" w:lineRule="atLeast"/>
      <w:rPr>
        <w:rFonts w:cs="Arial"/>
        <w:b/>
        <w:sz w:val="20"/>
      </w:rPr>
    </w:pPr>
  </w:p>
  <w:p w:rsidR="003E1EFC" w:rsidRPr="003E1EFC" w:rsidRDefault="001371A5" w:rsidP="00AA5F09">
    <w:pPr>
      <w:keepLines/>
      <w:pBdr>
        <w:bottom w:val="single" w:sz="12" w:space="6" w:color="auto"/>
      </w:pBdr>
      <w:tabs>
        <w:tab w:val="right" w:pos="8640"/>
      </w:tabs>
      <w:spacing w:line="200" w:lineRule="atLeast"/>
      <w:rPr>
        <w:rFonts w:cs="Arial"/>
        <w:b/>
        <w:sz w:val="20"/>
        <w:lang w:eastAsia="ja-JP"/>
      </w:rPr>
    </w:pPr>
    <w:r>
      <w:rPr>
        <w:rFonts w:cs="Arial"/>
        <w:b/>
        <w:sz w:val="20"/>
      </w:rPr>
      <w:t>IMLYGIC</w:t>
    </w:r>
    <w:r w:rsidR="003E1EFC" w:rsidRPr="003E1EFC">
      <w:rPr>
        <w:b/>
        <w:sz w:val="20"/>
        <w:vertAlign w:val="superscript"/>
        <w:lang w:val="en"/>
      </w:rPr>
      <w:t xml:space="preserve">TM </w:t>
    </w:r>
    <w:r w:rsidR="003E1EFC" w:rsidRPr="003E1EFC">
      <w:rPr>
        <w:rFonts w:cs="Arial"/>
        <w:b/>
        <w:sz w:val="20"/>
      </w:rPr>
      <w:t>(</w:t>
    </w:r>
    <w:proofErr w:type="spellStart"/>
    <w:r w:rsidR="003E1EFC" w:rsidRPr="003E1EFC">
      <w:rPr>
        <w:b/>
        <w:sz w:val="20"/>
      </w:rPr>
      <w:t>talimogene</w:t>
    </w:r>
    <w:proofErr w:type="spellEnd"/>
    <w:r w:rsidR="003E1EFC" w:rsidRPr="003E1EFC">
      <w:rPr>
        <w:b/>
        <w:sz w:val="20"/>
        <w:lang w:val="en"/>
      </w:rPr>
      <w:t xml:space="preserve"> </w:t>
    </w:r>
    <w:proofErr w:type="spellStart"/>
    <w:r w:rsidR="003E1EFC" w:rsidRPr="003E1EFC">
      <w:rPr>
        <w:b/>
        <w:sz w:val="20"/>
        <w:lang w:val="en"/>
      </w:rPr>
      <w:t>laherparepvec</w:t>
    </w:r>
    <w:proofErr w:type="spellEnd"/>
    <w:r w:rsidR="003E1EFC" w:rsidRPr="003E1EFC">
      <w:rPr>
        <w:rFonts w:cs="Arial"/>
        <w:b/>
        <w:sz w:val="20"/>
      </w:rPr>
      <w:t>) Product Information</w:t>
    </w:r>
    <w:r w:rsidR="003E1EFC" w:rsidRPr="003E1EFC">
      <w:rPr>
        <w:rFonts w:cs="Arial"/>
        <w:b/>
        <w:sz w:val="20"/>
        <w:lang w:eastAsia="ja-JP"/>
      </w:rPr>
      <w:tab/>
      <w:t xml:space="preserve">Page </w:t>
    </w:r>
    <w:r w:rsidR="003E1EFC" w:rsidRPr="003E1EFC">
      <w:rPr>
        <w:rFonts w:cs="Arial"/>
        <w:b/>
        <w:sz w:val="20"/>
        <w:lang w:eastAsia="ja-JP"/>
      </w:rPr>
      <w:fldChar w:fldCharType="begin"/>
    </w:r>
    <w:r w:rsidR="003E1EFC" w:rsidRPr="003E1EFC">
      <w:rPr>
        <w:rFonts w:cs="Arial"/>
        <w:b/>
        <w:sz w:val="20"/>
        <w:lang w:eastAsia="ja-JP"/>
      </w:rPr>
      <w:instrText xml:space="preserve">PAGE  </w:instrText>
    </w:r>
    <w:r w:rsidR="003E1EFC" w:rsidRPr="003E1EFC">
      <w:rPr>
        <w:rFonts w:cs="Arial"/>
        <w:b/>
        <w:sz w:val="20"/>
        <w:lang w:eastAsia="ja-JP"/>
      </w:rPr>
      <w:fldChar w:fldCharType="separate"/>
    </w:r>
    <w:r w:rsidR="00B61184">
      <w:rPr>
        <w:rFonts w:cs="Arial"/>
        <w:b/>
        <w:noProof/>
        <w:sz w:val="20"/>
        <w:lang w:eastAsia="ja-JP"/>
      </w:rPr>
      <w:t>2</w:t>
    </w:r>
    <w:r w:rsidR="003E1EFC" w:rsidRPr="003E1EFC">
      <w:rPr>
        <w:rFonts w:cs="Arial"/>
        <w:b/>
        <w:sz w:val="20"/>
        <w:lang w:eastAsia="ja-JP"/>
      </w:rPr>
      <w:fldChar w:fldCharType="end"/>
    </w:r>
    <w:r w:rsidR="003E1EFC" w:rsidRPr="003E1EFC">
      <w:rPr>
        <w:rFonts w:cs="Arial"/>
        <w:b/>
        <w:sz w:val="20"/>
        <w:lang w:eastAsia="ja-JP"/>
      </w:rPr>
      <w:t xml:space="preserve"> of </w:t>
    </w:r>
    <w:r w:rsidR="003E1EFC" w:rsidRPr="003E1EFC">
      <w:rPr>
        <w:rFonts w:cs="Arial"/>
        <w:b/>
        <w:sz w:val="20"/>
        <w:lang w:eastAsia="ja-JP"/>
      </w:rPr>
      <w:fldChar w:fldCharType="begin"/>
    </w:r>
    <w:r w:rsidR="003E1EFC" w:rsidRPr="003E1EFC">
      <w:rPr>
        <w:rFonts w:cs="Arial"/>
        <w:b/>
        <w:sz w:val="20"/>
        <w:lang w:eastAsia="ja-JP"/>
      </w:rPr>
      <w:instrText xml:space="preserve"> NUMPAGES </w:instrText>
    </w:r>
    <w:r w:rsidR="003E1EFC" w:rsidRPr="003E1EFC">
      <w:rPr>
        <w:rFonts w:cs="Arial"/>
        <w:b/>
        <w:sz w:val="20"/>
        <w:lang w:eastAsia="ja-JP"/>
      </w:rPr>
      <w:fldChar w:fldCharType="separate"/>
    </w:r>
    <w:r w:rsidR="00B61184">
      <w:rPr>
        <w:rFonts w:cs="Arial"/>
        <w:b/>
        <w:noProof/>
        <w:sz w:val="20"/>
        <w:lang w:eastAsia="ja-JP"/>
      </w:rPr>
      <w:t>22</w:t>
    </w:r>
    <w:r w:rsidR="003E1EFC" w:rsidRPr="003E1EFC">
      <w:rPr>
        <w:rFonts w:cs="Arial"/>
        <w:b/>
        <w:sz w:val="20"/>
        <w:lang w:eastAsia="ja-JP"/>
      </w:rPr>
      <w:fldChar w:fldCharType="end"/>
    </w:r>
    <w:bookmarkStart w:id="8" w:name="_Ref128640559"/>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306C7C"/>
    <w:lvl w:ilvl="0">
      <w:start w:val="1"/>
      <w:numFmt w:val="decimal"/>
      <w:lvlText w:val="%1."/>
      <w:lvlJc w:val="left"/>
      <w:pPr>
        <w:tabs>
          <w:tab w:val="num" w:pos="1800"/>
        </w:tabs>
        <w:ind w:left="1800" w:hanging="360"/>
      </w:pPr>
    </w:lvl>
  </w:abstractNum>
  <w:abstractNum w:abstractNumId="1">
    <w:nsid w:val="FFFFFF7D"/>
    <w:multiLevelType w:val="singleLevel"/>
    <w:tmpl w:val="84AAF588"/>
    <w:lvl w:ilvl="0">
      <w:start w:val="1"/>
      <w:numFmt w:val="decimal"/>
      <w:lvlText w:val="%1."/>
      <w:lvlJc w:val="left"/>
      <w:pPr>
        <w:tabs>
          <w:tab w:val="num" w:pos="1440"/>
        </w:tabs>
        <w:ind w:left="1440" w:hanging="360"/>
      </w:pPr>
    </w:lvl>
  </w:abstractNum>
  <w:abstractNum w:abstractNumId="2">
    <w:nsid w:val="FFFFFF7E"/>
    <w:multiLevelType w:val="singleLevel"/>
    <w:tmpl w:val="2D80DA46"/>
    <w:lvl w:ilvl="0">
      <w:start w:val="1"/>
      <w:numFmt w:val="decimal"/>
      <w:lvlText w:val="%1."/>
      <w:lvlJc w:val="left"/>
      <w:pPr>
        <w:tabs>
          <w:tab w:val="num" w:pos="1080"/>
        </w:tabs>
        <w:ind w:left="1080" w:hanging="360"/>
      </w:pPr>
    </w:lvl>
  </w:abstractNum>
  <w:abstractNum w:abstractNumId="3">
    <w:nsid w:val="FFFFFF7F"/>
    <w:multiLevelType w:val="singleLevel"/>
    <w:tmpl w:val="1F58B7A4"/>
    <w:lvl w:ilvl="0">
      <w:start w:val="1"/>
      <w:numFmt w:val="decimal"/>
      <w:lvlText w:val="%1."/>
      <w:lvlJc w:val="left"/>
      <w:pPr>
        <w:tabs>
          <w:tab w:val="num" w:pos="720"/>
        </w:tabs>
        <w:ind w:left="720" w:hanging="360"/>
      </w:pPr>
    </w:lvl>
  </w:abstractNum>
  <w:abstractNum w:abstractNumId="4">
    <w:nsid w:val="FFFFFF80"/>
    <w:multiLevelType w:val="singleLevel"/>
    <w:tmpl w:val="C66A57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2AE9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FF66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C6435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3C68B84"/>
    <w:lvl w:ilvl="0">
      <w:start w:val="1"/>
      <w:numFmt w:val="decimal"/>
      <w:lvlText w:val="%1."/>
      <w:lvlJc w:val="left"/>
      <w:pPr>
        <w:tabs>
          <w:tab w:val="num" w:pos="360"/>
        </w:tabs>
        <w:ind w:left="360" w:hanging="360"/>
      </w:pPr>
    </w:lvl>
  </w:abstractNum>
  <w:abstractNum w:abstractNumId="9">
    <w:nsid w:val="FFFFFF89"/>
    <w:multiLevelType w:val="singleLevel"/>
    <w:tmpl w:val="33C209B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12">
    <w:nsid w:val="03C6007F"/>
    <w:multiLevelType w:val="singleLevel"/>
    <w:tmpl w:val="5D306C7C"/>
    <w:lvl w:ilvl="0">
      <w:start w:val="1"/>
      <w:numFmt w:val="decimal"/>
      <w:lvlText w:val="%1."/>
      <w:legacy w:legacy="1" w:legacySpace="0" w:legacyIndent="360"/>
      <w:lvlJc w:val="left"/>
      <w:pPr>
        <w:ind w:left="360" w:hanging="360"/>
      </w:pPr>
    </w:lvl>
  </w:abstractNum>
  <w:abstractNum w:abstractNumId="13">
    <w:nsid w:val="09606954"/>
    <w:multiLevelType w:val="singleLevel"/>
    <w:tmpl w:val="49CA3058"/>
    <w:lvl w:ilvl="0">
      <w:start w:val="1"/>
      <w:numFmt w:val="decimal"/>
      <w:lvlText w:val="%1."/>
      <w:legacy w:legacy="1" w:legacySpace="0" w:legacyIndent="360"/>
      <w:lvlJc w:val="left"/>
      <w:pPr>
        <w:ind w:left="360" w:hanging="360"/>
      </w:pPr>
    </w:lvl>
  </w:abstractNum>
  <w:abstractNum w:abstractNumId="14">
    <w:nsid w:val="0C9D1FA5"/>
    <w:multiLevelType w:val="singleLevel"/>
    <w:tmpl w:val="5D306C7C"/>
    <w:lvl w:ilvl="0">
      <w:start w:val="1"/>
      <w:numFmt w:val="decimal"/>
      <w:lvlText w:val="%1."/>
      <w:legacy w:legacy="1" w:legacySpace="0" w:legacyIndent="360"/>
      <w:lvlJc w:val="left"/>
      <w:pPr>
        <w:ind w:left="360" w:hanging="360"/>
      </w:pPr>
    </w:lvl>
  </w:abstractNum>
  <w:abstractNum w:abstractNumId="15">
    <w:nsid w:val="0D2B49AA"/>
    <w:multiLevelType w:val="singleLevel"/>
    <w:tmpl w:val="5D306C7C"/>
    <w:lvl w:ilvl="0">
      <w:start w:val="1"/>
      <w:numFmt w:val="decimal"/>
      <w:lvlText w:val="%1."/>
      <w:legacy w:legacy="1" w:legacySpace="0" w:legacyIndent="360"/>
      <w:lvlJc w:val="left"/>
      <w:pPr>
        <w:ind w:left="360" w:hanging="360"/>
      </w:pPr>
    </w:lvl>
  </w:abstractNum>
  <w:abstractNum w:abstractNumId="16">
    <w:nsid w:val="0D2F7DFC"/>
    <w:multiLevelType w:val="singleLevel"/>
    <w:tmpl w:val="5D306C7C"/>
    <w:lvl w:ilvl="0">
      <w:start w:val="1"/>
      <w:numFmt w:val="decimal"/>
      <w:lvlText w:val="%1."/>
      <w:legacy w:legacy="1" w:legacySpace="0" w:legacyIndent="360"/>
      <w:lvlJc w:val="left"/>
      <w:pPr>
        <w:ind w:left="360" w:hanging="360"/>
      </w:pPr>
    </w:lvl>
  </w:abstractNum>
  <w:abstractNum w:abstractNumId="17">
    <w:nsid w:val="0DE54CF0"/>
    <w:multiLevelType w:val="singleLevel"/>
    <w:tmpl w:val="5D306C7C"/>
    <w:lvl w:ilvl="0">
      <w:start w:val="1"/>
      <w:numFmt w:val="decimal"/>
      <w:lvlText w:val="%1."/>
      <w:legacy w:legacy="1" w:legacySpace="0" w:legacyIndent="360"/>
      <w:lvlJc w:val="left"/>
      <w:pPr>
        <w:ind w:left="360" w:hanging="360"/>
      </w:pPr>
    </w:lvl>
  </w:abstractNum>
  <w:abstractNum w:abstractNumId="18">
    <w:nsid w:val="188D0F3F"/>
    <w:multiLevelType w:val="singleLevel"/>
    <w:tmpl w:val="5D306C7C"/>
    <w:lvl w:ilvl="0">
      <w:start w:val="1"/>
      <w:numFmt w:val="decimal"/>
      <w:lvlText w:val="%1."/>
      <w:legacy w:legacy="1" w:legacySpace="0" w:legacyIndent="360"/>
      <w:lvlJc w:val="left"/>
      <w:pPr>
        <w:ind w:left="360" w:hanging="360"/>
      </w:pPr>
    </w:lvl>
  </w:abstractNum>
  <w:abstractNum w:abstractNumId="19">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20">
    <w:nsid w:val="223D2CFC"/>
    <w:multiLevelType w:val="singleLevel"/>
    <w:tmpl w:val="5D306C7C"/>
    <w:lvl w:ilvl="0">
      <w:start w:val="1"/>
      <w:numFmt w:val="decimal"/>
      <w:lvlText w:val="%1."/>
      <w:legacy w:legacy="1" w:legacySpace="0" w:legacyIndent="360"/>
      <w:lvlJc w:val="left"/>
      <w:pPr>
        <w:ind w:left="360" w:hanging="360"/>
      </w:pPr>
    </w:lvl>
  </w:abstractNum>
  <w:abstractNum w:abstractNumId="21">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2">
    <w:nsid w:val="2E721263"/>
    <w:multiLevelType w:val="singleLevel"/>
    <w:tmpl w:val="49CA3058"/>
    <w:lvl w:ilvl="0">
      <w:start w:val="1"/>
      <w:numFmt w:val="decimal"/>
      <w:lvlText w:val="%1."/>
      <w:legacy w:legacy="1" w:legacySpace="0" w:legacyIndent="360"/>
      <w:lvlJc w:val="left"/>
      <w:pPr>
        <w:ind w:left="360" w:hanging="360"/>
      </w:pPr>
    </w:lvl>
  </w:abstractNum>
  <w:abstractNum w:abstractNumId="23">
    <w:nsid w:val="2F976A16"/>
    <w:multiLevelType w:val="hybridMultilevel"/>
    <w:tmpl w:val="A906C3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nsid w:val="3B0273A6"/>
    <w:multiLevelType w:val="multilevel"/>
    <w:tmpl w:val="49CA305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25">
    <w:nsid w:val="3D20362E"/>
    <w:multiLevelType w:val="hybridMultilevel"/>
    <w:tmpl w:val="92F0A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2E3330"/>
    <w:multiLevelType w:val="singleLevel"/>
    <w:tmpl w:val="5D306C7C"/>
    <w:lvl w:ilvl="0">
      <w:start w:val="1"/>
      <w:numFmt w:val="decimal"/>
      <w:lvlText w:val="%1."/>
      <w:legacy w:legacy="1" w:legacySpace="0" w:legacyIndent="360"/>
      <w:lvlJc w:val="left"/>
      <w:pPr>
        <w:ind w:left="360" w:hanging="360"/>
      </w:pPr>
    </w:lvl>
  </w:abstractNum>
  <w:abstractNum w:abstractNumId="27">
    <w:nsid w:val="5F3F4629"/>
    <w:multiLevelType w:val="hybridMultilevel"/>
    <w:tmpl w:val="B804E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2F2899"/>
    <w:multiLevelType w:val="singleLevel"/>
    <w:tmpl w:val="E174A072"/>
    <w:lvl w:ilvl="0">
      <w:start w:val="1"/>
      <w:numFmt w:val="decimal"/>
      <w:lvlText w:val="%1."/>
      <w:legacy w:legacy="1" w:legacySpace="0" w:legacyIndent="360"/>
      <w:lvlJc w:val="left"/>
      <w:pPr>
        <w:ind w:left="360" w:hanging="360"/>
      </w:pPr>
    </w:lvl>
  </w:abstractNum>
  <w:abstractNum w:abstractNumId="29">
    <w:nsid w:val="74D85AD8"/>
    <w:multiLevelType w:val="singleLevel"/>
    <w:tmpl w:val="5D306C7C"/>
    <w:lvl w:ilvl="0">
      <w:start w:val="1"/>
      <w:numFmt w:val="decimal"/>
      <w:lvlText w:val="%1."/>
      <w:legacy w:legacy="1" w:legacySpace="0" w:legacyIndent="360"/>
      <w:lvlJc w:val="left"/>
      <w:pPr>
        <w:ind w:left="360" w:hanging="360"/>
      </w:pPr>
    </w:lvl>
  </w:abstractNum>
  <w:abstractNum w:abstractNumId="30">
    <w:nsid w:val="7619014F"/>
    <w:multiLevelType w:val="singleLevel"/>
    <w:tmpl w:val="5D306C7C"/>
    <w:lvl w:ilvl="0">
      <w:start w:val="1"/>
      <w:numFmt w:val="decimal"/>
      <w:lvlText w:val="%1."/>
      <w:legacy w:legacy="1" w:legacySpace="0" w:legacyIndent="360"/>
      <w:lvlJc w:val="left"/>
      <w:pPr>
        <w:ind w:left="360" w:hanging="360"/>
      </w:pPr>
    </w:lvl>
  </w:abstractNum>
  <w:abstractNum w:abstractNumId="31">
    <w:nsid w:val="77512CAC"/>
    <w:multiLevelType w:val="singleLevel"/>
    <w:tmpl w:val="E174A072"/>
    <w:lvl w:ilvl="0">
      <w:start w:val="1"/>
      <w:numFmt w:val="decimal"/>
      <w:lvlText w:val="%1."/>
      <w:legacy w:legacy="1" w:legacySpace="0" w:legacyIndent="360"/>
      <w:lvlJc w:val="left"/>
      <w:pPr>
        <w:ind w:left="360" w:hanging="360"/>
      </w:pPr>
    </w:lvl>
  </w:abstractNum>
  <w:num w:numId="1">
    <w:abstractNumId w:val="25"/>
  </w:num>
  <w:num w:numId="2">
    <w:abstractNumId w:val="24"/>
  </w:num>
  <w:num w:numId="3">
    <w:abstractNumId w:val="19"/>
  </w:num>
  <w:num w:numId="4">
    <w:abstractNumId w:val="21"/>
  </w:num>
  <w:num w:numId="5">
    <w:abstractNumId w:val="11"/>
  </w:num>
  <w:num w:numId="6">
    <w:abstractNumId w:val="27"/>
  </w:num>
  <w:num w:numId="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9">
    <w:abstractNumId w:val="31"/>
  </w:num>
  <w:num w:numId="10">
    <w:abstractNumId w:val="28"/>
  </w:num>
  <w:num w:numId="11">
    <w:abstractNumId w:val="13"/>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17"/>
  </w:num>
  <w:num w:numId="25">
    <w:abstractNumId w:val="15"/>
  </w:num>
  <w:num w:numId="26">
    <w:abstractNumId w:val="29"/>
  </w:num>
  <w:num w:numId="27">
    <w:abstractNumId w:val="20"/>
  </w:num>
  <w:num w:numId="28">
    <w:abstractNumId w:val="12"/>
  </w:num>
  <w:num w:numId="29">
    <w:abstractNumId w:val="16"/>
  </w:num>
  <w:num w:numId="30">
    <w:abstractNumId w:val="30"/>
  </w:num>
  <w:num w:numId="31">
    <w:abstractNumId w:val="18"/>
  </w:num>
  <w:num w:numId="32">
    <w:abstractNumId w:val="14"/>
  </w:num>
  <w:num w:numId="33">
    <w:abstractNumId w:val="24"/>
  </w:num>
  <w:num w:numId="34">
    <w:abstractNumId w:val="24"/>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C40"/>
    <w:rsid w:val="0000085F"/>
    <w:rsid w:val="00003053"/>
    <w:rsid w:val="0000497D"/>
    <w:rsid w:val="00004F86"/>
    <w:rsid w:val="00005B5E"/>
    <w:rsid w:val="00006320"/>
    <w:rsid w:val="00007E2B"/>
    <w:rsid w:val="00032620"/>
    <w:rsid w:val="00036178"/>
    <w:rsid w:val="00045D39"/>
    <w:rsid w:val="00046FCD"/>
    <w:rsid w:val="00047BA4"/>
    <w:rsid w:val="00047BBF"/>
    <w:rsid w:val="00053D24"/>
    <w:rsid w:val="00057861"/>
    <w:rsid w:val="0006008D"/>
    <w:rsid w:val="00064ECD"/>
    <w:rsid w:val="00077E46"/>
    <w:rsid w:val="00081595"/>
    <w:rsid w:val="0008483F"/>
    <w:rsid w:val="00096AD3"/>
    <w:rsid w:val="000A037E"/>
    <w:rsid w:val="000A147D"/>
    <w:rsid w:val="000B17DE"/>
    <w:rsid w:val="000C19A6"/>
    <w:rsid w:val="000C1DC3"/>
    <w:rsid w:val="000C4133"/>
    <w:rsid w:val="000D0B29"/>
    <w:rsid w:val="000D337B"/>
    <w:rsid w:val="000D7BA6"/>
    <w:rsid w:val="000E0147"/>
    <w:rsid w:val="000E10F7"/>
    <w:rsid w:val="000E2521"/>
    <w:rsid w:val="000E5826"/>
    <w:rsid w:val="000E58B9"/>
    <w:rsid w:val="000E5B73"/>
    <w:rsid w:val="000F6ACE"/>
    <w:rsid w:val="0010150C"/>
    <w:rsid w:val="001113A0"/>
    <w:rsid w:val="00111CA1"/>
    <w:rsid w:val="001154DF"/>
    <w:rsid w:val="001162F3"/>
    <w:rsid w:val="001164D1"/>
    <w:rsid w:val="001234E7"/>
    <w:rsid w:val="0012388F"/>
    <w:rsid w:val="00124281"/>
    <w:rsid w:val="00130075"/>
    <w:rsid w:val="00133324"/>
    <w:rsid w:val="001371A5"/>
    <w:rsid w:val="001526FC"/>
    <w:rsid w:val="0015382B"/>
    <w:rsid w:val="0015595F"/>
    <w:rsid w:val="001563EC"/>
    <w:rsid w:val="00160F2A"/>
    <w:rsid w:val="001612E7"/>
    <w:rsid w:val="00167603"/>
    <w:rsid w:val="001678EF"/>
    <w:rsid w:val="00175947"/>
    <w:rsid w:val="001769B8"/>
    <w:rsid w:val="00180769"/>
    <w:rsid w:val="00181105"/>
    <w:rsid w:val="0018490A"/>
    <w:rsid w:val="0018574C"/>
    <w:rsid w:val="001857EE"/>
    <w:rsid w:val="0019023B"/>
    <w:rsid w:val="00190358"/>
    <w:rsid w:val="00190BDE"/>
    <w:rsid w:val="00190F29"/>
    <w:rsid w:val="00191498"/>
    <w:rsid w:val="00195B10"/>
    <w:rsid w:val="001A1DB7"/>
    <w:rsid w:val="001B678F"/>
    <w:rsid w:val="001C45B2"/>
    <w:rsid w:val="001C69F1"/>
    <w:rsid w:val="001D2B5F"/>
    <w:rsid w:val="001E3A39"/>
    <w:rsid w:val="001E4099"/>
    <w:rsid w:val="001E63B5"/>
    <w:rsid w:val="00200026"/>
    <w:rsid w:val="0020252E"/>
    <w:rsid w:val="00203F8B"/>
    <w:rsid w:val="002066E8"/>
    <w:rsid w:val="002101EF"/>
    <w:rsid w:val="0021073D"/>
    <w:rsid w:val="00211C21"/>
    <w:rsid w:val="00224B70"/>
    <w:rsid w:val="00230913"/>
    <w:rsid w:val="00240681"/>
    <w:rsid w:val="00245644"/>
    <w:rsid w:val="002526B3"/>
    <w:rsid w:val="00256F36"/>
    <w:rsid w:val="00256F37"/>
    <w:rsid w:val="002624E6"/>
    <w:rsid w:val="00264F50"/>
    <w:rsid w:val="00270C87"/>
    <w:rsid w:val="002755E7"/>
    <w:rsid w:val="002760AC"/>
    <w:rsid w:val="002761A4"/>
    <w:rsid w:val="00276CD4"/>
    <w:rsid w:val="0027723B"/>
    <w:rsid w:val="00277CE2"/>
    <w:rsid w:val="002873C4"/>
    <w:rsid w:val="00291A75"/>
    <w:rsid w:val="002A669E"/>
    <w:rsid w:val="002A71CB"/>
    <w:rsid w:val="002B6DC1"/>
    <w:rsid w:val="002C5032"/>
    <w:rsid w:val="002D0270"/>
    <w:rsid w:val="002D3DA6"/>
    <w:rsid w:val="002D79C4"/>
    <w:rsid w:val="002E32E2"/>
    <w:rsid w:val="00306AF8"/>
    <w:rsid w:val="00307DBA"/>
    <w:rsid w:val="00310745"/>
    <w:rsid w:val="00311515"/>
    <w:rsid w:val="00312604"/>
    <w:rsid w:val="0031570F"/>
    <w:rsid w:val="00315816"/>
    <w:rsid w:val="00326C28"/>
    <w:rsid w:val="00354766"/>
    <w:rsid w:val="00373D10"/>
    <w:rsid w:val="00374C66"/>
    <w:rsid w:val="00377B3B"/>
    <w:rsid w:val="00381971"/>
    <w:rsid w:val="00385AEB"/>
    <w:rsid w:val="0038611D"/>
    <w:rsid w:val="0038673D"/>
    <w:rsid w:val="00397B26"/>
    <w:rsid w:val="00397CEE"/>
    <w:rsid w:val="003A06ED"/>
    <w:rsid w:val="003A1AD5"/>
    <w:rsid w:val="003A3247"/>
    <w:rsid w:val="003B0FD3"/>
    <w:rsid w:val="003B4E1D"/>
    <w:rsid w:val="003C210A"/>
    <w:rsid w:val="003C3BF5"/>
    <w:rsid w:val="003D05C7"/>
    <w:rsid w:val="003D07C7"/>
    <w:rsid w:val="003D0811"/>
    <w:rsid w:val="003D1F7F"/>
    <w:rsid w:val="003E1EFC"/>
    <w:rsid w:val="003E5D91"/>
    <w:rsid w:val="003F0032"/>
    <w:rsid w:val="003F0960"/>
    <w:rsid w:val="003F0A7F"/>
    <w:rsid w:val="003F1EC0"/>
    <w:rsid w:val="003F482C"/>
    <w:rsid w:val="003F6B83"/>
    <w:rsid w:val="004132B8"/>
    <w:rsid w:val="004140C5"/>
    <w:rsid w:val="00426DFB"/>
    <w:rsid w:val="0042766E"/>
    <w:rsid w:val="00430E3F"/>
    <w:rsid w:val="0043170C"/>
    <w:rsid w:val="00433C00"/>
    <w:rsid w:val="00433F81"/>
    <w:rsid w:val="004376E9"/>
    <w:rsid w:val="00447AEE"/>
    <w:rsid w:val="0045019C"/>
    <w:rsid w:val="00450A3C"/>
    <w:rsid w:val="00451271"/>
    <w:rsid w:val="004546E0"/>
    <w:rsid w:val="00456DDE"/>
    <w:rsid w:val="00460CCA"/>
    <w:rsid w:val="00476AE7"/>
    <w:rsid w:val="00477864"/>
    <w:rsid w:val="00482067"/>
    <w:rsid w:val="00490926"/>
    <w:rsid w:val="004911FD"/>
    <w:rsid w:val="00491757"/>
    <w:rsid w:val="004950CA"/>
    <w:rsid w:val="004A0E53"/>
    <w:rsid w:val="004A32A8"/>
    <w:rsid w:val="004A6C70"/>
    <w:rsid w:val="004B720D"/>
    <w:rsid w:val="004C677B"/>
    <w:rsid w:val="004D1EA5"/>
    <w:rsid w:val="004D4798"/>
    <w:rsid w:val="004D6EF0"/>
    <w:rsid w:val="004E0612"/>
    <w:rsid w:val="004E2C8D"/>
    <w:rsid w:val="0050035C"/>
    <w:rsid w:val="005004F7"/>
    <w:rsid w:val="00502347"/>
    <w:rsid w:val="0050297A"/>
    <w:rsid w:val="0050411D"/>
    <w:rsid w:val="00510213"/>
    <w:rsid w:val="005105AA"/>
    <w:rsid w:val="00510A6D"/>
    <w:rsid w:val="005136F0"/>
    <w:rsid w:val="0051782D"/>
    <w:rsid w:val="00520529"/>
    <w:rsid w:val="00523E15"/>
    <w:rsid w:val="00524DFB"/>
    <w:rsid w:val="00525210"/>
    <w:rsid w:val="00533997"/>
    <w:rsid w:val="00545C11"/>
    <w:rsid w:val="00553E49"/>
    <w:rsid w:val="00556EAC"/>
    <w:rsid w:val="00563265"/>
    <w:rsid w:val="005634BB"/>
    <w:rsid w:val="0057362E"/>
    <w:rsid w:val="00582A31"/>
    <w:rsid w:val="00592745"/>
    <w:rsid w:val="00596640"/>
    <w:rsid w:val="005A0715"/>
    <w:rsid w:val="005A6E40"/>
    <w:rsid w:val="005B681D"/>
    <w:rsid w:val="005C3415"/>
    <w:rsid w:val="005C57BB"/>
    <w:rsid w:val="005D2064"/>
    <w:rsid w:val="005E3C40"/>
    <w:rsid w:val="005E3DC5"/>
    <w:rsid w:val="005E4030"/>
    <w:rsid w:val="005E771D"/>
    <w:rsid w:val="005E77E0"/>
    <w:rsid w:val="005F069B"/>
    <w:rsid w:val="00620EB4"/>
    <w:rsid w:val="00625414"/>
    <w:rsid w:val="00625EF8"/>
    <w:rsid w:val="00631010"/>
    <w:rsid w:val="0063152B"/>
    <w:rsid w:val="006436EF"/>
    <w:rsid w:val="00650B7E"/>
    <w:rsid w:val="00650BD1"/>
    <w:rsid w:val="00655921"/>
    <w:rsid w:val="00665E38"/>
    <w:rsid w:val="00670FDB"/>
    <w:rsid w:val="006736F4"/>
    <w:rsid w:val="006749E4"/>
    <w:rsid w:val="006756D9"/>
    <w:rsid w:val="00676145"/>
    <w:rsid w:val="00684817"/>
    <w:rsid w:val="00686621"/>
    <w:rsid w:val="006901A1"/>
    <w:rsid w:val="0069048F"/>
    <w:rsid w:val="006920F7"/>
    <w:rsid w:val="006932F2"/>
    <w:rsid w:val="006A5F91"/>
    <w:rsid w:val="006A7DDA"/>
    <w:rsid w:val="006B7F04"/>
    <w:rsid w:val="006C09B6"/>
    <w:rsid w:val="006C7224"/>
    <w:rsid w:val="006D244F"/>
    <w:rsid w:val="006D7C7B"/>
    <w:rsid w:val="006D7DC1"/>
    <w:rsid w:val="006E054B"/>
    <w:rsid w:val="006F4268"/>
    <w:rsid w:val="00702FC1"/>
    <w:rsid w:val="0071391A"/>
    <w:rsid w:val="007214AB"/>
    <w:rsid w:val="00721AAA"/>
    <w:rsid w:val="0073653E"/>
    <w:rsid w:val="00742B87"/>
    <w:rsid w:val="0075068B"/>
    <w:rsid w:val="00751634"/>
    <w:rsid w:val="0075202C"/>
    <w:rsid w:val="007529AB"/>
    <w:rsid w:val="007536E2"/>
    <w:rsid w:val="00753A93"/>
    <w:rsid w:val="00755892"/>
    <w:rsid w:val="007603E9"/>
    <w:rsid w:val="007712D8"/>
    <w:rsid w:val="007720CD"/>
    <w:rsid w:val="00776F51"/>
    <w:rsid w:val="00780BD4"/>
    <w:rsid w:val="00785C18"/>
    <w:rsid w:val="00787708"/>
    <w:rsid w:val="007929C6"/>
    <w:rsid w:val="00796AAC"/>
    <w:rsid w:val="00797A47"/>
    <w:rsid w:val="007A0671"/>
    <w:rsid w:val="007A4FF3"/>
    <w:rsid w:val="007B13AB"/>
    <w:rsid w:val="007C35F1"/>
    <w:rsid w:val="007D1DB5"/>
    <w:rsid w:val="007D25AC"/>
    <w:rsid w:val="007D579B"/>
    <w:rsid w:val="007E7EDD"/>
    <w:rsid w:val="007F103C"/>
    <w:rsid w:val="00800177"/>
    <w:rsid w:val="00806954"/>
    <w:rsid w:val="00814CEB"/>
    <w:rsid w:val="00823E50"/>
    <w:rsid w:val="00824D0F"/>
    <w:rsid w:val="00824F9B"/>
    <w:rsid w:val="00825AAF"/>
    <w:rsid w:val="0083742F"/>
    <w:rsid w:val="0084389B"/>
    <w:rsid w:val="0084569A"/>
    <w:rsid w:val="008477E1"/>
    <w:rsid w:val="00852B27"/>
    <w:rsid w:val="00854527"/>
    <w:rsid w:val="00865F3F"/>
    <w:rsid w:val="00866695"/>
    <w:rsid w:val="0087138F"/>
    <w:rsid w:val="00871A61"/>
    <w:rsid w:val="0087307E"/>
    <w:rsid w:val="008739BC"/>
    <w:rsid w:val="00880C7E"/>
    <w:rsid w:val="008871D3"/>
    <w:rsid w:val="008937DD"/>
    <w:rsid w:val="008A05E6"/>
    <w:rsid w:val="008A0D12"/>
    <w:rsid w:val="008B1062"/>
    <w:rsid w:val="008B297B"/>
    <w:rsid w:val="008B719A"/>
    <w:rsid w:val="008C2368"/>
    <w:rsid w:val="008D4D82"/>
    <w:rsid w:val="008E2FE3"/>
    <w:rsid w:val="008E3000"/>
    <w:rsid w:val="008E44F7"/>
    <w:rsid w:val="008E4B6B"/>
    <w:rsid w:val="008E7094"/>
    <w:rsid w:val="008F222F"/>
    <w:rsid w:val="008F7FD1"/>
    <w:rsid w:val="009013BB"/>
    <w:rsid w:val="00903312"/>
    <w:rsid w:val="00913154"/>
    <w:rsid w:val="00914375"/>
    <w:rsid w:val="009153BF"/>
    <w:rsid w:val="0091563E"/>
    <w:rsid w:val="00921A5D"/>
    <w:rsid w:val="009334D4"/>
    <w:rsid w:val="00934140"/>
    <w:rsid w:val="00936EB0"/>
    <w:rsid w:val="009431F4"/>
    <w:rsid w:val="00944BB2"/>
    <w:rsid w:val="0095094B"/>
    <w:rsid w:val="0096022A"/>
    <w:rsid w:val="009610E4"/>
    <w:rsid w:val="0096567A"/>
    <w:rsid w:val="0096697E"/>
    <w:rsid w:val="00977235"/>
    <w:rsid w:val="00980AA1"/>
    <w:rsid w:val="00981D78"/>
    <w:rsid w:val="00986FB6"/>
    <w:rsid w:val="009D4DFD"/>
    <w:rsid w:val="009D6A8A"/>
    <w:rsid w:val="009D7717"/>
    <w:rsid w:val="009F3C2F"/>
    <w:rsid w:val="00A0530A"/>
    <w:rsid w:val="00A07A29"/>
    <w:rsid w:val="00A10405"/>
    <w:rsid w:val="00A115BE"/>
    <w:rsid w:val="00A16A60"/>
    <w:rsid w:val="00A17A3E"/>
    <w:rsid w:val="00A277DC"/>
    <w:rsid w:val="00A32428"/>
    <w:rsid w:val="00A451EF"/>
    <w:rsid w:val="00A53384"/>
    <w:rsid w:val="00A5722D"/>
    <w:rsid w:val="00A60583"/>
    <w:rsid w:val="00A62CE7"/>
    <w:rsid w:val="00A65FCA"/>
    <w:rsid w:val="00A6601A"/>
    <w:rsid w:val="00A70F5E"/>
    <w:rsid w:val="00A730A6"/>
    <w:rsid w:val="00A93929"/>
    <w:rsid w:val="00A95EB7"/>
    <w:rsid w:val="00AA5F09"/>
    <w:rsid w:val="00AB2867"/>
    <w:rsid w:val="00AB3193"/>
    <w:rsid w:val="00AB456A"/>
    <w:rsid w:val="00AC093E"/>
    <w:rsid w:val="00AD7AD1"/>
    <w:rsid w:val="00AE1E81"/>
    <w:rsid w:val="00AE5512"/>
    <w:rsid w:val="00AF3F39"/>
    <w:rsid w:val="00AF655E"/>
    <w:rsid w:val="00B005FA"/>
    <w:rsid w:val="00B00D1B"/>
    <w:rsid w:val="00B0458A"/>
    <w:rsid w:val="00B11518"/>
    <w:rsid w:val="00B130DC"/>
    <w:rsid w:val="00B137E3"/>
    <w:rsid w:val="00B15158"/>
    <w:rsid w:val="00B15D1F"/>
    <w:rsid w:val="00B2292F"/>
    <w:rsid w:val="00B32EED"/>
    <w:rsid w:val="00B348AE"/>
    <w:rsid w:val="00B45E9B"/>
    <w:rsid w:val="00B55261"/>
    <w:rsid w:val="00B57522"/>
    <w:rsid w:val="00B61184"/>
    <w:rsid w:val="00B64CA0"/>
    <w:rsid w:val="00B64D00"/>
    <w:rsid w:val="00B650EF"/>
    <w:rsid w:val="00B729EE"/>
    <w:rsid w:val="00B85899"/>
    <w:rsid w:val="00B86E50"/>
    <w:rsid w:val="00BA1230"/>
    <w:rsid w:val="00BA20F5"/>
    <w:rsid w:val="00BA63EE"/>
    <w:rsid w:val="00BB7A02"/>
    <w:rsid w:val="00BB7EC1"/>
    <w:rsid w:val="00BC0159"/>
    <w:rsid w:val="00BC0670"/>
    <w:rsid w:val="00BC0C28"/>
    <w:rsid w:val="00BC166C"/>
    <w:rsid w:val="00BD1A5F"/>
    <w:rsid w:val="00BD2569"/>
    <w:rsid w:val="00BD55B2"/>
    <w:rsid w:val="00BD7796"/>
    <w:rsid w:val="00BD7E78"/>
    <w:rsid w:val="00BF0506"/>
    <w:rsid w:val="00BF16E9"/>
    <w:rsid w:val="00BF2AB3"/>
    <w:rsid w:val="00BF5CED"/>
    <w:rsid w:val="00C00064"/>
    <w:rsid w:val="00C02448"/>
    <w:rsid w:val="00C2232C"/>
    <w:rsid w:val="00C35DC6"/>
    <w:rsid w:val="00C36785"/>
    <w:rsid w:val="00C42236"/>
    <w:rsid w:val="00C500A3"/>
    <w:rsid w:val="00C512FB"/>
    <w:rsid w:val="00C54CD1"/>
    <w:rsid w:val="00C616F5"/>
    <w:rsid w:val="00C7347B"/>
    <w:rsid w:val="00C754DD"/>
    <w:rsid w:val="00C80AF8"/>
    <w:rsid w:val="00C867BF"/>
    <w:rsid w:val="00C906C3"/>
    <w:rsid w:val="00CA47E6"/>
    <w:rsid w:val="00CA5140"/>
    <w:rsid w:val="00CA7A33"/>
    <w:rsid w:val="00CA7F20"/>
    <w:rsid w:val="00CC45A4"/>
    <w:rsid w:val="00CC7D5E"/>
    <w:rsid w:val="00CD3231"/>
    <w:rsid w:val="00CD34A4"/>
    <w:rsid w:val="00CD3DB8"/>
    <w:rsid w:val="00CD40C4"/>
    <w:rsid w:val="00CD7A6E"/>
    <w:rsid w:val="00CE4712"/>
    <w:rsid w:val="00CE7518"/>
    <w:rsid w:val="00CF4EF1"/>
    <w:rsid w:val="00D171C1"/>
    <w:rsid w:val="00D3292D"/>
    <w:rsid w:val="00D45C76"/>
    <w:rsid w:val="00D54DA2"/>
    <w:rsid w:val="00D638EC"/>
    <w:rsid w:val="00D703F4"/>
    <w:rsid w:val="00D70B93"/>
    <w:rsid w:val="00D7286B"/>
    <w:rsid w:val="00D74033"/>
    <w:rsid w:val="00D74803"/>
    <w:rsid w:val="00DB23A5"/>
    <w:rsid w:val="00DB3EFF"/>
    <w:rsid w:val="00DC1851"/>
    <w:rsid w:val="00DC4777"/>
    <w:rsid w:val="00DD0D8C"/>
    <w:rsid w:val="00DD2EFF"/>
    <w:rsid w:val="00DD6E2B"/>
    <w:rsid w:val="00DE04B0"/>
    <w:rsid w:val="00DE4EBD"/>
    <w:rsid w:val="00DE5BB8"/>
    <w:rsid w:val="00E02ECC"/>
    <w:rsid w:val="00E0301D"/>
    <w:rsid w:val="00E0413E"/>
    <w:rsid w:val="00E11C1A"/>
    <w:rsid w:val="00E16409"/>
    <w:rsid w:val="00E171CA"/>
    <w:rsid w:val="00E22A64"/>
    <w:rsid w:val="00E266AD"/>
    <w:rsid w:val="00E31204"/>
    <w:rsid w:val="00E33533"/>
    <w:rsid w:val="00E46336"/>
    <w:rsid w:val="00E52DD5"/>
    <w:rsid w:val="00E55EB5"/>
    <w:rsid w:val="00E6062B"/>
    <w:rsid w:val="00E63A63"/>
    <w:rsid w:val="00E7146B"/>
    <w:rsid w:val="00E74960"/>
    <w:rsid w:val="00E87A89"/>
    <w:rsid w:val="00E947CD"/>
    <w:rsid w:val="00E95899"/>
    <w:rsid w:val="00EA432D"/>
    <w:rsid w:val="00EA6654"/>
    <w:rsid w:val="00EB1DD5"/>
    <w:rsid w:val="00EB298D"/>
    <w:rsid w:val="00EB6A02"/>
    <w:rsid w:val="00EC2ABB"/>
    <w:rsid w:val="00ED0A17"/>
    <w:rsid w:val="00EE2041"/>
    <w:rsid w:val="00EE35A4"/>
    <w:rsid w:val="00EE5E2A"/>
    <w:rsid w:val="00EF1248"/>
    <w:rsid w:val="00F012D7"/>
    <w:rsid w:val="00F03286"/>
    <w:rsid w:val="00F10EC0"/>
    <w:rsid w:val="00F12F63"/>
    <w:rsid w:val="00F15F98"/>
    <w:rsid w:val="00F24207"/>
    <w:rsid w:val="00F31EE1"/>
    <w:rsid w:val="00F352D9"/>
    <w:rsid w:val="00F41B57"/>
    <w:rsid w:val="00F46ED4"/>
    <w:rsid w:val="00F52585"/>
    <w:rsid w:val="00F54746"/>
    <w:rsid w:val="00F56174"/>
    <w:rsid w:val="00F57A0C"/>
    <w:rsid w:val="00F6378E"/>
    <w:rsid w:val="00F663CC"/>
    <w:rsid w:val="00F72031"/>
    <w:rsid w:val="00F72361"/>
    <w:rsid w:val="00F82A95"/>
    <w:rsid w:val="00FA01F9"/>
    <w:rsid w:val="00FA6C52"/>
    <w:rsid w:val="00FB7854"/>
    <w:rsid w:val="00FC0D94"/>
    <w:rsid w:val="00FC5BFA"/>
    <w:rsid w:val="00FC6CD4"/>
    <w:rsid w:val="00FC766C"/>
    <w:rsid w:val="00FD1D3A"/>
    <w:rsid w:val="00FD23C1"/>
    <w:rsid w:val="00FD4C64"/>
    <w:rsid w:val="00FE2D94"/>
    <w:rsid w:val="00FE439B"/>
    <w:rsid w:val="00FF30E3"/>
    <w:rsid w:val="00FF44A0"/>
    <w:rsid w:val="00FF6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36"/>
    <w:pPr>
      <w:suppressAutoHyphens/>
    </w:pPr>
    <w:rPr>
      <w:rFonts w:ascii="Arial" w:eastAsia="Times New Roman" w:hAnsi="Arial"/>
      <w:sz w:val="22"/>
      <w:lang w:val="en-US" w:eastAsia="en-US"/>
    </w:rPr>
  </w:style>
  <w:style w:type="paragraph" w:styleId="Heading1">
    <w:name w:val="heading 1"/>
    <w:basedOn w:val="Normal"/>
    <w:next w:val="Text"/>
    <w:link w:val="Heading1Char"/>
    <w:qFormat/>
    <w:rsid w:val="00256F36"/>
    <w:pPr>
      <w:keepNext/>
      <w:numPr>
        <w:numId w:val="2"/>
      </w:numPr>
      <w:spacing w:before="120" w:after="120"/>
      <w:outlineLvl w:val="0"/>
    </w:pPr>
    <w:rPr>
      <w:b/>
    </w:rPr>
  </w:style>
  <w:style w:type="paragraph" w:styleId="Heading2">
    <w:name w:val="heading 2"/>
    <w:basedOn w:val="Heading1"/>
    <w:next w:val="Text"/>
    <w:link w:val="Heading2Char"/>
    <w:qFormat/>
    <w:rsid w:val="00256F36"/>
    <w:pPr>
      <w:numPr>
        <w:ilvl w:val="1"/>
      </w:numPr>
      <w:outlineLvl w:val="1"/>
    </w:pPr>
  </w:style>
  <w:style w:type="paragraph" w:styleId="Heading3">
    <w:name w:val="heading 3"/>
    <w:basedOn w:val="Heading2"/>
    <w:next w:val="Text"/>
    <w:link w:val="Heading3Char"/>
    <w:qFormat/>
    <w:rsid w:val="00256F36"/>
    <w:pPr>
      <w:numPr>
        <w:ilvl w:val="2"/>
      </w:numPr>
      <w:outlineLvl w:val="2"/>
    </w:pPr>
  </w:style>
  <w:style w:type="paragraph" w:styleId="Heading4">
    <w:name w:val="heading 4"/>
    <w:basedOn w:val="Heading2"/>
    <w:next w:val="Text"/>
    <w:link w:val="Heading4Char"/>
    <w:qFormat/>
    <w:rsid w:val="00256F36"/>
    <w:pPr>
      <w:numPr>
        <w:ilvl w:val="3"/>
      </w:numPr>
      <w:outlineLvl w:val="3"/>
    </w:pPr>
  </w:style>
  <w:style w:type="paragraph" w:styleId="Heading5">
    <w:name w:val="heading 5"/>
    <w:basedOn w:val="Heading2"/>
    <w:next w:val="Text"/>
    <w:link w:val="Heading5Char"/>
    <w:qFormat/>
    <w:rsid w:val="00256F36"/>
    <w:pPr>
      <w:numPr>
        <w:ilvl w:val="4"/>
      </w:numPr>
      <w:outlineLvl w:val="4"/>
    </w:pPr>
  </w:style>
  <w:style w:type="paragraph" w:styleId="Heading6">
    <w:name w:val="heading 6"/>
    <w:basedOn w:val="Heading2"/>
    <w:next w:val="Text"/>
    <w:link w:val="Heading6Char"/>
    <w:qFormat/>
    <w:rsid w:val="00256F36"/>
    <w:pPr>
      <w:numPr>
        <w:ilvl w:val="5"/>
      </w:numPr>
      <w:outlineLvl w:val="5"/>
    </w:pPr>
  </w:style>
  <w:style w:type="paragraph" w:styleId="Heading7">
    <w:name w:val="heading 7"/>
    <w:basedOn w:val="Heading2"/>
    <w:next w:val="Text"/>
    <w:link w:val="Heading7Char"/>
    <w:qFormat/>
    <w:rsid w:val="00256F36"/>
    <w:pPr>
      <w:numPr>
        <w:ilvl w:val="6"/>
      </w:numPr>
      <w:outlineLvl w:val="6"/>
    </w:pPr>
  </w:style>
  <w:style w:type="paragraph" w:styleId="Heading8">
    <w:name w:val="heading 8"/>
    <w:basedOn w:val="Heading2"/>
    <w:next w:val="Text"/>
    <w:link w:val="Heading8Char"/>
    <w:qFormat/>
    <w:rsid w:val="00256F36"/>
    <w:pPr>
      <w:numPr>
        <w:ilvl w:val="7"/>
      </w:numPr>
      <w:outlineLvl w:val="7"/>
    </w:pPr>
  </w:style>
  <w:style w:type="paragraph" w:styleId="Heading9">
    <w:name w:val="heading 9"/>
    <w:basedOn w:val="Heading2"/>
    <w:next w:val="Text"/>
    <w:link w:val="Heading9Char"/>
    <w:qFormat/>
    <w:rsid w:val="00256F3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6901A1"/>
    <w:rPr>
      <w:rFonts w:ascii="Arial" w:eastAsia="Times New Roman" w:hAnsi="Arial"/>
      <w:b/>
      <w:sz w:val="22"/>
      <w:lang w:val="en-US" w:eastAsia="en-US"/>
    </w:rPr>
  </w:style>
  <w:style w:type="paragraph" w:customStyle="1" w:styleId="Default">
    <w:name w:val="Default"/>
    <w:rsid w:val="005E3C40"/>
    <w:pPr>
      <w:autoSpaceDE w:val="0"/>
      <w:autoSpaceDN w:val="0"/>
      <w:adjustRightInd w:val="0"/>
    </w:pPr>
    <w:rPr>
      <w:rFonts w:ascii="Times New Roman" w:hAnsi="Times New Roman"/>
      <w:color w:val="000000"/>
      <w:sz w:val="24"/>
      <w:szCs w:val="24"/>
    </w:rPr>
  </w:style>
  <w:style w:type="character" w:styleId="CommentReference">
    <w:name w:val="annotation reference"/>
    <w:unhideWhenUsed/>
    <w:rsid w:val="00230913"/>
    <w:rPr>
      <w:sz w:val="16"/>
      <w:szCs w:val="16"/>
    </w:rPr>
  </w:style>
  <w:style w:type="paragraph" w:styleId="CommentText">
    <w:name w:val="annotation text"/>
    <w:basedOn w:val="Normal"/>
    <w:link w:val="CommentTextChar"/>
    <w:unhideWhenUsed/>
    <w:rsid w:val="00230913"/>
    <w:rPr>
      <w:sz w:val="20"/>
    </w:rPr>
  </w:style>
  <w:style w:type="character" w:customStyle="1" w:styleId="CommentTextChar">
    <w:name w:val="Comment Text Char"/>
    <w:link w:val="CommentText"/>
    <w:rsid w:val="00230913"/>
    <w:rPr>
      <w:lang w:eastAsia="en-US"/>
    </w:rPr>
  </w:style>
  <w:style w:type="paragraph" w:styleId="CommentSubject">
    <w:name w:val="annotation subject"/>
    <w:basedOn w:val="CommentText"/>
    <w:next w:val="CommentText"/>
    <w:link w:val="CommentSubjectChar"/>
    <w:semiHidden/>
    <w:unhideWhenUsed/>
    <w:rsid w:val="00230913"/>
    <w:rPr>
      <w:b/>
      <w:bCs/>
    </w:rPr>
  </w:style>
  <w:style w:type="character" w:customStyle="1" w:styleId="CommentSubjectChar">
    <w:name w:val="Comment Subject Char"/>
    <w:link w:val="CommentSubject"/>
    <w:uiPriority w:val="99"/>
    <w:semiHidden/>
    <w:rsid w:val="00230913"/>
    <w:rPr>
      <w:b/>
      <w:bCs/>
      <w:lang w:eastAsia="en-US"/>
    </w:rPr>
  </w:style>
  <w:style w:type="paragraph" w:styleId="BalloonText">
    <w:name w:val="Balloon Text"/>
    <w:basedOn w:val="Normal"/>
    <w:link w:val="BalloonTextChar"/>
    <w:uiPriority w:val="99"/>
    <w:semiHidden/>
    <w:unhideWhenUsed/>
    <w:rsid w:val="00230913"/>
    <w:rPr>
      <w:rFonts w:ascii="Tahoma" w:hAnsi="Tahoma" w:cs="Tahoma"/>
      <w:sz w:val="16"/>
      <w:szCs w:val="16"/>
    </w:rPr>
  </w:style>
  <w:style w:type="character" w:customStyle="1" w:styleId="BalloonTextChar">
    <w:name w:val="Balloon Text Char"/>
    <w:link w:val="BalloonText"/>
    <w:uiPriority w:val="99"/>
    <w:semiHidden/>
    <w:rsid w:val="00230913"/>
    <w:rPr>
      <w:rFonts w:ascii="Tahoma" w:hAnsi="Tahoma" w:cs="Tahoma"/>
      <w:sz w:val="16"/>
      <w:szCs w:val="16"/>
      <w:lang w:eastAsia="en-US"/>
    </w:rPr>
  </w:style>
  <w:style w:type="table" w:styleId="TableGrid">
    <w:name w:val="Table Grid"/>
    <w:basedOn w:val="TableNormal"/>
    <w:uiPriority w:val="59"/>
    <w:rsid w:val="0043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talicized">
    <w:name w:val="Text Italicized"/>
    <w:basedOn w:val="Normal"/>
    <w:link w:val="TextItalicizedChar"/>
    <w:rsid w:val="009334D4"/>
    <w:rPr>
      <w:rFonts w:ascii="Times New Roman" w:eastAsia="MS Mincho" w:hAnsi="Times New Roman"/>
      <w:i/>
      <w:iCs/>
      <w:color w:val="000000"/>
      <w:sz w:val="24"/>
      <w:szCs w:val="24"/>
      <w:lang w:eastAsia="ja-JP"/>
    </w:rPr>
  </w:style>
  <w:style w:type="character" w:customStyle="1" w:styleId="TextItalicizedChar">
    <w:name w:val="Text Italicized Char"/>
    <w:link w:val="TextItalicized"/>
    <w:rsid w:val="009334D4"/>
    <w:rPr>
      <w:rFonts w:ascii="Times New Roman" w:eastAsia="MS Mincho" w:hAnsi="Times New Roman"/>
      <w:i/>
      <w:iCs/>
      <w:color w:val="000000"/>
      <w:sz w:val="24"/>
      <w:szCs w:val="24"/>
      <w:lang w:val="en-US" w:eastAsia="ja-JP"/>
    </w:rPr>
  </w:style>
  <w:style w:type="paragraph" w:styleId="ListParagraph">
    <w:name w:val="List Paragraph"/>
    <w:basedOn w:val="Normal"/>
    <w:uiPriority w:val="34"/>
    <w:qFormat/>
    <w:rsid w:val="009334D4"/>
    <w:pPr>
      <w:ind w:left="720"/>
    </w:pPr>
  </w:style>
  <w:style w:type="paragraph" w:customStyle="1" w:styleId="TableCenterAlign">
    <w:name w:val="TableCenterAlign"/>
    <w:basedOn w:val="Normal"/>
    <w:rsid w:val="00256F36"/>
    <w:pPr>
      <w:spacing w:before="60" w:after="60" w:line="240" w:lineRule="atLeast"/>
      <w:jc w:val="center"/>
    </w:pPr>
  </w:style>
  <w:style w:type="paragraph" w:styleId="BodyTextIndent">
    <w:name w:val="Body Text Indent"/>
    <w:basedOn w:val="Normal"/>
    <w:link w:val="BodyTextIndentChar"/>
    <w:rsid w:val="00EA6654"/>
    <w:pPr>
      <w:tabs>
        <w:tab w:val="left" w:pos="450"/>
        <w:tab w:val="left" w:pos="990"/>
        <w:tab w:val="decimal" w:leader="dot" w:pos="9540"/>
      </w:tabs>
      <w:overflowPunct w:val="0"/>
      <w:autoSpaceDE w:val="0"/>
      <w:autoSpaceDN w:val="0"/>
      <w:adjustRightInd w:val="0"/>
      <w:spacing w:after="120"/>
      <w:ind w:left="990" w:hanging="806"/>
      <w:jc w:val="both"/>
      <w:textAlignment w:val="baseline"/>
    </w:pPr>
  </w:style>
  <w:style w:type="character" w:customStyle="1" w:styleId="BodyTextIndentChar">
    <w:name w:val="Body Text Indent Char"/>
    <w:link w:val="BodyTextIndent"/>
    <w:rsid w:val="00EA6654"/>
    <w:rPr>
      <w:rFonts w:ascii="Arial" w:eastAsia="Times New Roman" w:hAnsi="Arial"/>
      <w:sz w:val="22"/>
      <w:lang w:val="en-US" w:eastAsia="en-US"/>
    </w:rPr>
  </w:style>
  <w:style w:type="paragraph" w:customStyle="1" w:styleId="text0">
    <w:name w:val="text"/>
    <w:basedOn w:val="Normal"/>
    <w:link w:val="textChar"/>
    <w:rsid w:val="00EA6654"/>
    <w:pPr>
      <w:spacing w:before="120" w:after="120" w:line="360" w:lineRule="auto"/>
    </w:pPr>
    <w:rPr>
      <w:rFonts w:eastAsia="MS Mincho" w:cs="Arial"/>
      <w:color w:val="000000"/>
      <w:lang w:eastAsia="ja-JP"/>
    </w:rPr>
  </w:style>
  <w:style w:type="character" w:customStyle="1" w:styleId="textChar">
    <w:name w:val="text Char"/>
    <w:link w:val="text0"/>
    <w:locked/>
    <w:rsid w:val="00EA6654"/>
    <w:rPr>
      <w:rFonts w:ascii="Arial" w:eastAsia="MS Mincho" w:hAnsi="Arial" w:cs="Arial"/>
      <w:color w:val="000000"/>
      <w:sz w:val="22"/>
      <w:szCs w:val="22"/>
      <w:lang w:val="en-US" w:eastAsia="ja-JP"/>
    </w:rPr>
  </w:style>
  <w:style w:type="character" w:styleId="EndnoteReference">
    <w:name w:val="endnote reference"/>
    <w:rsid w:val="00EA6654"/>
    <w:rPr>
      <w:vertAlign w:val="superscript"/>
    </w:rPr>
  </w:style>
  <w:style w:type="paragraph" w:styleId="Caption">
    <w:name w:val="caption"/>
    <w:basedOn w:val="Normal"/>
    <w:next w:val="Text"/>
    <w:qFormat/>
    <w:rsid w:val="00256F36"/>
    <w:pPr>
      <w:keepNext/>
      <w:spacing w:before="300" w:after="100"/>
      <w:jc w:val="center"/>
    </w:pPr>
    <w:rPr>
      <w:b/>
    </w:rPr>
  </w:style>
  <w:style w:type="paragraph" w:customStyle="1" w:styleId="eptext">
    <w:name w:val="eptext"/>
    <w:basedOn w:val="Normal"/>
    <w:rsid w:val="001162F3"/>
    <w:pPr>
      <w:spacing w:before="140" w:after="140" w:line="336" w:lineRule="atLeast"/>
    </w:pPr>
    <w:rPr>
      <w:rFonts w:cs="Arial"/>
      <w:color w:val="333333"/>
      <w:sz w:val="18"/>
      <w:szCs w:val="18"/>
      <w:lang w:eastAsia="en-AU"/>
    </w:rPr>
  </w:style>
  <w:style w:type="paragraph" w:customStyle="1" w:styleId="epsubheadlinetgl">
    <w:name w:val="epsubheadlinetgl"/>
    <w:basedOn w:val="Normal"/>
    <w:rsid w:val="001162F3"/>
    <w:pPr>
      <w:pBdr>
        <w:top w:val="single" w:sz="24" w:space="0" w:color="336699"/>
        <w:left w:val="single" w:sz="36" w:space="0" w:color="336699"/>
        <w:bottom w:val="single" w:sz="24" w:space="0" w:color="336699"/>
      </w:pBdr>
      <w:shd w:val="clear" w:color="auto" w:fill="336699"/>
      <w:spacing w:before="300" w:after="20" w:line="312" w:lineRule="atLeast"/>
    </w:pPr>
    <w:rPr>
      <w:rFonts w:cs="Arial"/>
      <w:b/>
      <w:bCs/>
      <w:color w:val="FDFDFD"/>
      <w:sz w:val="23"/>
      <w:szCs w:val="23"/>
      <w:lang w:eastAsia="en-AU"/>
    </w:rPr>
  </w:style>
  <w:style w:type="character" w:styleId="Hyperlink">
    <w:name w:val="Hyperlink"/>
    <w:rsid w:val="00256F36"/>
    <w:rPr>
      <w:color w:val="0000FF"/>
      <w:u w:val="single"/>
    </w:rPr>
  </w:style>
  <w:style w:type="character" w:customStyle="1" w:styleId="TextChar0">
    <w:name w:val="Text Char"/>
    <w:link w:val="Text"/>
    <w:locked/>
    <w:rsid w:val="00CD3DB8"/>
    <w:rPr>
      <w:rFonts w:ascii="Arial" w:eastAsia="Times New Roman" w:hAnsi="Arial"/>
      <w:sz w:val="22"/>
      <w:lang w:val="en-US" w:eastAsia="en-US"/>
    </w:rPr>
  </w:style>
  <w:style w:type="paragraph" w:customStyle="1" w:styleId="Text">
    <w:name w:val="Text"/>
    <w:basedOn w:val="Normal"/>
    <w:link w:val="TextChar0"/>
    <w:rsid w:val="00256F36"/>
    <w:pPr>
      <w:spacing w:before="120" w:after="120" w:line="360" w:lineRule="auto"/>
    </w:pPr>
  </w:style>
  <w:style w:type="character" w:customStyle="1" w:styleId="Heading1Char">
    <w:name w:val="Heading 1 Char"/>
    <w:link w:val="Heading1"/>
    <w:rsid w:val="006E054B"/>
    <w:rPr>
      <w:rFonts w:ascii="Arial" w:eastAsia="Times New Roman" w:hAnsi="Arial"/>
      <w:b/>
      <w:sz w:val="22"/>
      <w:lang w:val="en-US" w:eastAsia="en-US"/>
    </w:rPr>
  </w:style>
  <w:style w:type="paragraph" w:styleId="Header">
    <w:name w:val="header"/>
    <w:basedOn w:val="Normal"/>
    <w:link w:val="HeaderChar"/>
    <w:rsid w:val="00256F36"/>
    <w:pPr>
      <w:keepLines/>
      <w:pBdr>
        <w:bottom w:val="single" w:sz="12" w:space="6" w:color="auto"/>
      </w:pBdr>
      <w:tabs>
        <w:tab w:val="right" w:pos="8640"/>
      </w:tabs>
      <w:spacing w:line="200" w:lineRule="atLeast"/>
    </w:pPr>
    <w:rPr>
      <w:b/>
      <w:sz w:val="20"/>
    </w:rPr>
  </w:style>
  <w:style w:type="character" w:customStyle="1" w:styleId="HeaderChar">
    <w:name w:val="Header Char"/>
    <w:link w:val="Header"/>
    <w:rsid w:val="006E054B"/>
    <w:rPr>
      <w:rFonts w:ascii="Arial" w:eastAsia="Times New Roman" w:hAnsi="Arial"/>
      <w:b/>
      <w:lang w:val="en-US" w:eastAsia="en-US"/>
    </w:rPr>
  </w:style>
  <w:style w:type="paragraph" w:styleId="Footer">
    <w:name w:val="footer"/>
    <w:basedOn w:val="Normal"/>
    <w:link w:val="FooterChar"/>
    <w:rsid w:val="00256F36"/>
    <w:pPr>
      <w:keepLines/>
      <w:pBdr>
        <w:top w:val="single" w:sz="12" w:space="6" w:color="auto"/>
      </w:pBdr>
      <w:tabs>
        <w:tab w:val="center" w:pos="4320"/>
        <w:tab w:val="right" w:pos="8640"/>
      </w:tabs>
      <w:spacing w:line="200" w:lineRule="atLeast"/>
    </w:pPr>
    <w:rPr>
      <w:b/>
      <w:sz w:val="20"/>
    </w:rPr>
  </w:style>
  <w:style w:type="character" w:customStyle="1" w:styleId="FooterChar">
    <w:name w:val="Footer Char"/>
    <w:link w:val="Footer"/>
    <w:rsid w:val="006E054B"/>
    <w:rPr>
      <w:rFonts w:ascii="Arial" w:eastAsia="Times New Roman" w:hAnsi="Arial"/>
      <w:b/>
      <w:lang w:val="en-US" w:eastAsia="en-US"/>
    </w:rPr>
  </w:style>
  <w:style w:type="character" w:customStyle="1" w:styleId="Heading2Char">
    <w:name w:val="Heading 2 Char"/>
    <w:link w:val="Heading2"/>
    <w:rsid w:val="00533997"/>
    <w:rPr>
      <w:rFonts w:ascii="Arial" w:eastAsia="Times New Roman" w:hAnsi="Arial"/>
      <w:b/>
      <w:sz w:val="22"/>
      <w:lang w:val="en-US" w:eastAsia="en-US"/>
    </w:rPr>
  </w:style>
  <w:style w:type="character" w:customStyle="1" w:styleId="Heading3Char">
    <w:name w:val="Heading 3 Char"/>
    <w:link w:val="Heading3"/>
    <w:rsid w:val="00354766"/>
    <w:rPr>
      <w:rFonts w:ascii="Arial" w:eastAsia="Times New Roman" w:hAnsi="Arial"/>
      <w:b/>
      <w:sz w:val="22"/>
      <w:lang w:val="en-US" w:eastAsia="en-US"/>
    </w:rPr>
  </w:style>
  <w:style w:type="paragraph" w:customStyle="1" w:styleId="CenterBold">
    <w:name w:val="CenterBold"/>
    <w:basedOn w:val="Normal"/>
    <w:next w:val="Normal"/>
    <w:rsid w:val="00256F36"/>
    <w:pPr>
      <w:keepNext/>
      <w:keepLines/>
      <w:spacing w:before="300" w:after="120"/>
      <w:jc w:val="center"/>
    </w:pPr>
    <w:rPr>
      <w:b/>
    </w:rPr>
  </w:style>
  <w:style w:type="paragraph" w:customStyle="1" w:styleId="Confidential">
    <w:name w:val="Confidential"/>
    <w:basedOn w:val="Normal"/>
    <w:semiHidden/>
    <w:rsid w:val="00256F36"/>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256F36"/>
    <w:pPr>
      <w:spacing w:before="400" w:after="400"/>
    </w:pPr>
    <w:rPr>
      <w:sz w:val="24"/>
    </w:rPr>
  </w:style>
  <w:style w:type="paragraph" w:styleId="DocumentMap">
    <w:name w:val="Document Map"/>
    <w:basedOn w:val="Normal"/>
    <w:link w:val="DocumentMapChar"/>
    <w:semiHidden/>
    <w:rsid w:val="00256F36"/>
    <w:pPr>
      <w:shd w:val="clear" w:color="auto" w:fill="000080"/>
    </w:pPr>
    <w:rPr>
      <w:rFonts w:ascii="Tahoma" w:hAnsi="Tahoma" w:cs="Tahoma"/>
    </w:rPr>
  </w:style>
  <w:style w:type="character" w:customStyle="1" w:styleId="DocumentMapChar">
    <w:name w:val="Document Map Char"/>
    <w:link w:val="DocumentMap"/>
    <w:semiHidden/>
    <w:rsid w:val="00D74803"/>
    <w:rPr>
      <w:rFonts w:ascii="Tahoma" w:eastAsia="Times New Roman" w:hAnsi="Tahoma" w:cs="Tahoma"/>
      <w:sz w:val="22"/>
      <w:shd w:val="clear" w:color="auto" w:fill="000080"/>
      <w:lang w:val="en-US" w:eastAsia="en-US"/>
    </w:rPr>
  </w:style>
  <w:style w:type="paragraph" w:customStyle="1" w:styleId="FigureLegend">
    <w:name w:val="FigureLegend"/>
    <w:basedOn w:val="Text"/>
    <w:rsid w:val="00256F36"/>
    <w:pPr>
      <w:keepLines/>
      <w:spacing w:after="0" w:line="240" w:lineRule="auto"/>
    </w:pPr>
    <w:rPr>
      <w:sz w:val="18"/>
    </w:rPr>
  </w:style>
  <w:style w:type="paragraph" w:customStyle="1" w:styleId="FlushLeftBold">
    <w:name w:val="FlushLeftBold"/>
    <w:basedOn w:val="Normal"/>
    <w:next w:val="Text"/>
    <w:rsid w:val="00256F36"/>
    <w:pPr>
      <w:keepNext/>
      <w:keepLines/>
      <w:spacing w:before="120" w:after="120"/>
    </w:pPr>
    <w:rPr>
      <w:b/>
    </w:rPr>
  </w:style>
  <w:style w:type="paragraph" w:customStyle="1" w:styleId="FootnoteLine">
    <w:name w:val="FootnoteLine"/>
    <w:basedOn w:val="Normal"/>
    <w:next w:val="Normal"/>
    <w:semiHidden/>
    <w:rsid w:val="00256F36"/>
    <w:pPr>
      <w:pBdr>
        <w:bottom w:val="single" w:sz="6" w:space="6" w:color="auto"/>
      </w:pBdr>
      <w:spacing w:line="160" w:lineRule="atLeast"/>
    </w:pPr>
    <w:rPr>
      <w:sz w:val="16"/>
    </w:rPr>
  </w:style>
  <w:style w:type="paragraph" w:customStyle="1" w:styleId="TableLeftAlign">
    <w:name w:val="TableLeftAlign"/>
    <w:basedOn w:val="Normal"/>
    <w:rsid w:val="00256F36"/>
    <w:pPr>
      <w:spacing w:before="60" w:after="60" w:line="240" w:lineRule="atLeast"/>
    </w:pPr>
  </w:style>
  <w:style w:type="paragraph" w:customStyle="1" w:styleId="FootnoteText">
    <w:name w:val="FootnoteText"/>
    <w:basedOn w:val="TableLeftAlign"/>
    <w:next w:val="Text"/>
    <w:rsid w:val="00256F36"/>
    <w:pPr>
      <w:keepLines/>
      <w:spacing w:before="0" w:after="0" w:line="240" w:lineRule="auto"/>
      <w:ind w:left="144" w:hanging="144"/>
    </w:pPr>
    <w:rPr>
      <w:sz w:val="18"/>
    </w:rPr>
  </w:style>
  <w:style w:type="paragraph" w:customStyle="1" w:styleId="Heading0">
    <w:name w:val="Heading 0"/>
    <w:basedOn w:val="Normal"/>
    <w:next w:val="Text"/>
    <w:rsid w:val="00256F36"/>
    <w:pPr>
      <w:keepNext/>
      <w:pageBreakBefore/>
      <w:spacing w:before="120" w:after="120"/>
      <w:ind w:left="1440" w:hanging="1440"/>
    </w:pPr>
    <w:rPr>
      <w:b/>
    </w:rPr>
  </w:style>
  <w:style w:type="character" w:customStyle="1" w:styleId="Heading5Char">
    <w:name w:val="Heading 5 Char"/>
    <w:link w:val="Heading5"/>
    <w:rsid w:val="00D74803"/>
    <w:rPr>
      <w:rFonts w:ascii="Arial" w:eastAsia="Times New Roman" w:hAnsi="Arial"/>
      <w:b/>
      <w:sz w:val="22"/>
      <w:lang w:val="en-US" w:eastAsia="en-US"/>
    </w:rPr>
  </w:style>
  <w:style w:type="character" w:customStyle="1" w:styleId="Heading6Char">
    <w:name w:val="Heading 6 Char"/>
    <w:link w:val="Heading6"/>
    <w:rsid w:val="00D74803"/>
    <w:rPr>
      <w:rFonts w:ascii="Arial" w:eastAsia="Times New Roman" w:hAnsi="Arial"/>
      <w:b/>
      <w:sz w:val="22"/>
      <w:lang w:val="en-US" w:eastAsia="en-US"/>
    </w:rPr>
  </w:style>
  <w:style w:type="character" w:customStyle="1" w:styleId="Heading7Char">
    <w:name w:val="Heading 7 Char"/>
    <w:link w:val="Heading7"/>
    <w:rsid w:val="00D74803"/>
    <w:rPr>
      <w:rFonts w:ascii="Arial" w:eastAsia="Times New Roman" w:hAnsi="Arial"/>
      <w:b/>
      <w:sz w:val="22"/>
      <w:lang w:val="en-US" w:eastAsia="en-US"/>
    </w:rPr>
  </w:style>
  <w:style w:type="paragraph" w:customStyle="1" w:styleId="Heading7Bold">
    <w:name w:val="Heading 7Bold"/>
    <w:basedOn w:val="Normal"/>
    <w:next w:val="Text"/>
    <w:rsid w:val="00256F36"/>
    <w:pPr>
      <w:keepNext/>
      <w:spacing w:before="120" w:after="120"/>
    </w:pPr>
    <w:rPr>
      <w:b/>
    </w:rPr>
  </w:style>
  <w:style w:type="character" w:customStyle="1" w:styleId="Heading8Char">
    <w:name w:val="Heading 8 Char"/>
    <w:link w:val="Heading8"/>
    <w:rsid w:val="00D74803"/>
    <w:rPr>
      <w:rFonts w:ascii="Arial" w:eastAsia="Times New Roman" w:hAnsi="Arial"/>
      <w:b/>
      <w:sz w:val="22"/>
      <w:lang w:val="en-US" w:eastAsia="en-US"/>
    </w:rPr>
  </w:style>
  <w:style w:type="paragraph" w:customStyle="1" w:styleId="Heading8BoldItalic">
    <w:name w:val="Heading 8BoldItalic"/>
    <w:basedOn w:val="Normal"/>
    <w:next w:val="Text"/>
    <w:rsid w:val="00256F36"/>
    <w:pPr>
      <w:keepNext/>
      <w:spacing w:before="120" w:after="120"/>
    </w:pPr>
    <w:rPr>
      <w:b/>
      <w:i/>
    </w:rPr>
  </w:style>
  <w:style w:type="character" w:customStyle="1" w:styleId="Heading9Char">
    <w:name w:val="Heading 9 Char"/>
    <w:link w:val="Heading9"/>
    <w:rsid w:val="00D74803"/>
    <w:rPr>
      <w:rFonts w:ascii="Arial" w:eastAsia="Times New Roman" w:hAnsi="Arial"/>
      <w:b/>
      <w:sz w:val="22"/>
      <w:lang w:val="en-US" w:eastAsia="en-US"/>
    </w:rPr>
  </w:style>
  <w:style w:type="paragraph" w:customStyle="1" w:styleId="Heading9Italic">
    <w:name w:val="Heading 9Italic"/>
    <w:basedOn w:val="Normal"/>
    <w:next w:val="Text"/>
    <w:rsid w:val="00256F36"/>
    <w:pPr>
      <w:keepNext/>
      <w:spacing w:before="120" w:after="120"/>
    </w:pPr>
    <w:rPr>
      <w:i/>
    </w:rPr>
  </w:style>
  <w:style w:type="paragraph" w:customStyle="1" w:styleId="Insert">
    <w:name w:val="Insert"/>
    <w:basedOn w:val="Normal"/>
    <w:rsid w:val="00256F36"/>
    <w:pPr>
      <w:spacing w:before="100" w:after="100"/>
      <w:jc w:val="center"/>
    </w:pPr>
  </w:style>
  <w:style w:type="paragraph" w:customStyle="1" w:styleId="NumberRestart">
    <w:name w:val="NumberRestart"/>
    <w:basedOn w:val="Text"/>
    <w:semiHidden/>
    <w:rsid w:val="00256F36"/>
    <w:pPr>
      <w:numPr>
        <w:numId w:val="3"/>
      </w:numPr>
      <w:outlineLvl w:val="0"/>
    </w:pPr>
  </w:style>
  <w:style w:type="character" w:styleId="PageNumber">
    <w:name w:val="page number"/>
    <w:basedOn w:val="DefaultParagraphFont"/>
    <w:semiHidden/>
    <w:rsid w:val="00256F36"/>
  </w:style>
  <w:style w:type="paragraph" w:customStyle="1" w:styleId="TextList">
    <w:name w:val="TextList"/>
    <w:basedOn w:val="Text"/>
    <w:rsid w:val="00256F36"/>
    <w:pPr>
      <w:spacing w:after="100" w:line="280" w:lineRule="atLeast"/>
      <w:ind w:left="360" w:hanging="360"/>
    </w:pPr>
  </w:style>
  <w:style w:type="paragraph" w:customStyle="1" w:styleId="RefList">
    <w:name w:val="RefList#"/>
    <w:basedOn w:val="TextList"/>
    <w:rsid w:val="00256F36"/>
    <w:pPr>
      <w:keepLines/>
      <w:spacing w:after="0" w:line="240" w:lineRule="auto"/>
    </w:pPr>
  </w:style>
  <w:style w:type="paragraph" w:customStyle="1" w:styleId="RefListAlpha">
    <w:name w:val="RefListAlpha"/>
    <w:basedOn w:val="Text"/>
    <w:rsid w:val="00256F36"/>
    <w:pPr>
      <w:keepLines/>
      <w:spacing w:line="240" w:lineRule="auto"/>
    </w:pPr>
  </w:style>
  <w:style w:type="paragraph" w:customStyle="1" w:styleId="RightTabBold">
    <w:name w:val="RightTabBold"/>
    <w:basedOn w:val="Normal"/>
    <w:semiHidden/>
    <w:rsid w:val="00256F36"/>
    <w:pPr>
      <w:tabs>
        <w:tab w:val="right" w:pos="8640"/>
      </w:tabs>
      <w:spacing w:before="100" w:after="100"/>
    </w:pPr>
    <w:rPr>
      <w:b/>
    </w:rPr>
  </w:style>
  <w:style w:type="paragraph" w:customStyle="1" w:styleId="SectionBreak">
    <w:name w:val="SectionBreak"/>
    <w:basedOn w:val="Normal"/>
    <w:next w:val="Text"/>
    <w:semiHidden/>
    <w:rsid w:val="00256F36"/>
  </w:style>
  <w:style w:type="paragraph" w:styleId="TableofFigures">
    <w:name w:val="table of figures"/>
    <w:basedOn w:val="Text"/>
    <w:next w:val="Text"/>
    <w:rsid w:val="00256F36"/>
    <w:pPr>
      <w:keepLines/>
      <w:tabs>
        <w:tab w:val="right" w:leader="dot" w:pos="8640"/>
      </w:tabs>
      <w:spacing w:before="0" w:line="240" w:lineRule="auto"/>
      <w:ind w:left="1426" w:right="1080" w:hanging="1426"/>
    </w:pPr>
    <w:rPr>
      <w:color w:val="0000FF"/>
    </w:rPr>
  </w:style>
  <w:style w:type="paragraph" w:customStyle="1" w:styleId="TablePageNumber">
    <w:name w:val="TablePageNumber"/>
    <w:basedOn w:val="Normal"/>
    <w:next w:val="Text"/>
    <w:rsid w:val="00256F36"/>
    <w:pPr>
      <w:spacing w:line="240" w:lineRule="atLeast"/>
      <w:jc w:val="right"/>
    </w:pPr>
    <w:rPr>
      <w:sz w:val="20"/>
    </w:rPr>
  </w:style>
  <w:style w:type="paragraph" w:customStyle="1" w:styleId="TextBullet">
    <w:name w:val="TextBullet"/>
    <w:basedOn w:val="Normal"/>
    <w:rsid w:val="00256F36"/>
    <w:pPr>
      <w:numPr>
        <w:numId w:val="4"/>
      </w:numPr>
      <w:spacing w:after="100"/>
    </w:pPr>
  </w:style>
  <w:style w:type="paragraph" w:customStyle="1" w:styleId="TextDash">
    <w:name w:val="TextDash"/>
    <w:basedOn w:val="TextBullet"/>
    <w:rsid w:val="00256F36"/>
    <w:pPr>
      <w:numPr>
        <w:numId w:val="5"/>
      </w:numPr>
    </w:pPr>
  </w:style>
  <w:style w:type="paragraph" w:customStyle="1" w:styleId="TextIndent">
    <w:name w:val="TextIndent"/>
    <w:basedOn w:val="Text"/>
    <w:rsid w:val="00256F36"/>
    <w:pPr>
      <w:spacing w:line="280" w:lineRule="atLeast"/>
      <w:ind w:left="360"/>
    </w:pPr>
  </w:style>
  <w:style w:type="paragraph" w:customStyle="1" w:styleId="TextSingleSpace">
    <w:name w:val="TextSingleSpace"/>
    <w:basedOn w:val="Text"/>
    <w:rsid w:val="00256F36"/>
    <w:pPr>
      <w:spacing w:line="240" w:lineRule="auto"/>
    </w:pPr>
  </w:style>
  <w:style w:type="paragraph" w:styleId="Title">
    <w:name w:val="Title"/>
    <w:basedOn w:val="Normal"/>
    <w:link w:val="TitleChar"/>
    <w:qFormat/>
    <w:rsid w:val="00256F36"/>
    <w:pPr>
      <w:suppressAutoHyphens w:val="0"/>
      <w:spacing w:before="240" w:after="60"/>
      <w:jc w:val="center"/>
      <w:outlineLvl w:val="0"/>
    </w:pPr>
    <w:rPr>
      <w:b/>
      <w:kern w:val="28"/>
      <w:sz w:val="32"/>
    </w:rPr>
  </w:style>
  <w:style w:type="character" w:customStyle="1" w:styleId="TitleChar">
    <w:name w:val="Title Char"/>
    <w:link w:val="Title"/>
    <w:rsid w:val="00D74803"/>
    <w:rPr>
      <w:rFonts w:ascii="Arial" w:eastAsia="Times New Roman" w:hAnsi="Arial"/>
      <w:b/>
      <w:kern w:val="28"/>
      <w:sz w:val="32"/>
      <w:lang w:val="en-US" w:eastAsia="en-US"/>
    </w:rPr>
  </w:style>
  <w:style w:type="paragraph" w:styleId="TOC1">
    <w:name w:val="toc 1"/>
    <w:basedOn w:val="Text"/>
    <w:next w:val="Text"/>
    <w:autoRedefine/>
    <w:rsid w:val="00256F36"/>
    <w:pPr>
      <w:keepLines/>
      <w:tabs>
        <w:tab w:val="right" w:leader="dot" w:pos="8640"/>
      </w:tabs>
      <w:spacing w:before="200" w:after="0" w:line="240" w:lineRule="auto"/>
      <w:ind w:left="547" w:right="1080" w:hanging="547"/>
    </w:pPr>
    <w:rPr>
      <w:noProof/>
      <w:color w:val="0000FF"/>
    </w:rPr>
  </w:style>
  <w:style w:type="paragraph" w:styleId="TOC2">
    <w:name w:val="toc 2"/>
    <w:basedOn w:val="TOC1"/>
    <w:next w:val="Text"/>
    <w:autoRedefine/>
    <w:rsid w:val="00256F36"/>
    <w:pPr>
      <w:tabs>
        <w:tab w:val="left" w:pos="1267"/>
      </w:tabs>
      <w:spacing w:before="60"/>
      <w:ind w:left="1267" w:hanging="720"/>
    </w:pPr>
  </w:style>
  <w:style w:type="paragraph" w:styleId="TOC3">
    <w:name w:val="toc 3"/>
    <w:basedOn w:val="TOC2"/>
    <w:next w:val="Text"/>
    <w:autoRedefine/>
    <w:rsid w:val="00256F36"/>
    <w:pPr>
      <w:tabs>
        <w:tab w:val="clear" w:pos="1267"/>
        <w:tab w:val="left" w:pos="2246"/>
      </w:tabs>
      <w:ind w:left="2261" w:hanging="994"/>
    </w:pPr>
  </w:style>
  <w:style w:type="paragraph" w:styleId="TOC4">
    <w:name w:val="toc 4"/>
    <w:basedOn w:val="TOC3"/>
    <w:next w:val="Text"/>
    <w:autoRedefine/>
    <w:semiHidden/>
    <w:rsid w:val="00256F36"/>
    <w:pPr>
      <w:ind w:left="3384" w:hanging="1123"/>
    </w:pPr>
  </w:style>
  <w:style w:type="paragraph" w:styleId="TOC5">
    <w:name w:val="toc 5"/>
    <w:basedOn w:val="TOC2"/>
    <w:next w:val="Text"/>
    <w:autoRedefine/>
    <w:semiHidden/>
    <w:rsid w:val="00256F36"/>
  </w:style>
  <w:style w:type="paragraph" w:styleId="TOC6">
    <w:name w:val="toc 6"/>
    <w:basedOn w:val="TOC2"/>
    <w:next w:val="Text"/>
    <w:autoRedefine/>
    <w:semiHidden/>
    <w:rsid w:val="00256F36"/>
  </w:style>
  <w:style w:type="paragraph" w:styleId="TOC7">
    <w:name w:val="toc 7"/>
    <w:basedOn w:val="Normal"/>
    <w:next w:val="Normal"/>
    <w:autoRedefine/>
    <w:semiHidden/>
    <w:rsid w:val="00256F36"/>
    <w:pPr>
      <w:tabs>
        <w:tab w:val="right" w:leader="dot" w:pos="8640"/>
      </w:tabs>
      <w:ind w:left="1320"/>
    </w:pPr>
  </w:style>
  <w:style w:type="paragraph" w:styleId="TOC8">
    <w:name w:val="toc 8"/>
    <w:basedOn w:val="Normal"/>
    <w:next w:val="Normal"/>
    <w:autoRedefine/>
    <w:semiHidden/>
    <w:rsid w:val="00256F36"/>
    <w:pPr>
      <w:tabs>
        <w:tab w:val="right" w:leader="dot" w:pos="8640"/>
      </w:tabs>
      <w:ind w:left="1540"/>
    </w:pPr>
  </w:style>
  <w:style w:type="paragraph" w:styleId="TOC9">
    <w:name w:val="toc 9"/>
    <w:basedOn w:val="Normal"/>
    <w:next w:val="Normal"/>
    <w:autoRedefine/>
    <w:semiHidden/>
    <w:rsid w:val="00256F36"/>
    <w:pPr>
      <w:tabs>
        <w:tab w:val="right" w:leader="dot" w:pos="8640"/>
      </w:tabs>
      <w:ind w:left="1760"/>
    </w:pPr>
  </w:style>
  <w:style w:type="paragraph" w:styleId="Revision">
    <w:name w:val="Revision"/>
    <w:hidden/>
    <w:uiPriority w:val="99"/>
    <w:semiHidden/>
    <w:rsid w:val="00785C18"/>
    <w:rPr>
      <w:rFonts w:ascii="Arial" w:eastAsia="Times New Roman" w:hAnsi="Arial"/>
      <w:sz w:val="22"/>
      <w:lang w:val="en-US" w:eastAsia="en-US"/>
    </w:rPr>
  </w:style>
  <w:style w:type="paragraph" w:styleId="FootnoteText0">
    <w:name w:val="footnote text"/>
    <w:basedOn w:val="Normal"/>
    <w:link w:val="FootnoteTextChar"/>
    <w:uiPriority w:val="99"/>
    <w:semiHidden/>
    <w:unhideWhenUsed/>
    <w:rsid w:val="005634BB"/>
    <w:rPr>
      <w:sz w:val="20"/>
    </w:rPr>
  </w:style>
  <w:style w:type="character" w:customStyle="1" w:styleId="FootnoteTextChar">
    <w:name w:val="Footnote Text Char"/>
    <w:link w:val="FootnoteText0"/>
    <w:uiPriority w:val="99"/>
    <w:semiHidden/>
    <w:rsid w:val="005634BB"/>
    <w:rPr>
      <w:rFonts w:ascii="Arial" w:eastAsia="Times New Roman" w:hAnsi="Arial"/>
      <w:lang w:val="en-US" w:eastAsia="en-US"/>
    </w:rPr>
  </w:style>
  <w:style w:type="character" w:styleId="FootnoteReference">
    <w:name w:val="footnote reference"/>
    <w:uiPriority w:val="99"/>
    <w:semiHidden/>
    <w:unhideWhenUsed/>
    <w:rsid w:val="005634BB"/>
    <w:rPr>
      <w:vertAlign w:val="superscript"/>
    </w:rPr>
  </w:style>
  <w:style w:type="character" w:customStyle="1" w:styleId="variantgroup">
    <w:name w:val="variantgroup"/>
    <w:rsid w:val="00F52585"/>
  </w:style>
  <w:style w:type="character" w:customStyle="1" w:styleId="variant">
    <w:name w:val="variant"/>
    <w:rsid w:val="00F52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5322">
      <w:bodyDiv w:val="1"/>
      <w:marLeft w:val="0"/>
      <w:marRight w:val="0"/>
      <w:marTop w:val="0"/>
      <w:marBottom w:val="0"/>
      <w:divBdr>
        <w:top w:val="none" w:sz="0" w:space="0" w:color="auto"/>
        <w:left w:val="none" w:sz="0" w:space="0" w:color="auto"/>
        <w:bottom w:val="none" w:sz="0" w:space="0" w:color="auto"/>
        <w:right w:val="none" w:sz="0" w:space="0" w:color="auto"/>
      </w:divBdr>
      <w:divsChild>
        <w:div w:id="2131363150">
          <w:marLeft w:val="0"/>
          <w:marRight w:val="0"/>
          <w:marTop w:val="0"/>
          <w:marBottom w:val="0"/>
          <w:divBdr>
            <w:top w:val="none" w:sz="0" w:space="0" w:color="auto"/>
            <w:left w:val="none" w:sz="0" w:space="0" w:color="auto"/>
            <w:bottom w:val="none" w:sz="0" w:space="0" w:color="auto"/>
            <w:right w:val="none" w:sz="0" w:space="0" w:color="auto"/>
          </w:divBdr>
          <w:divsChild>
            <w:div w:id="262300929">
              <w:marLeft w:val="0"/>
              <w:marRight w:val="0"/>
              <w:marTop w:val="0"/>
              <w:marBottom w:val="0"/>
              <w:divBdr>
                <w:top w:val="none" w:sz="0" w:space="0" w:color="auto"/>
                <w:left w:val="none" w:sz="0" w:space="0" w:color="auto"/>
                <w:bottom w:val="none" w:sz="0" w:space="0" w:color="auto"/>
                <w:right w:val="none" w:sz="0" w:space="0" w:color="auto"/>
              </w:divBdr>
              <w:divsChild>
                <w:div w:id="1749688583">
                  <w:marLeft w:val="0"/>
                  <w:marRight w:val="0"/>
                  <w:marTop w:val="300"/>
                  <w:marBottom w:val="0"/>
                  <w:divBdr>
                    <w:top w:val="none" w:sz="0" w:space="0" w:color="auto"/>
                    <w:left w:val="none" w:sz="0" w:space="0" w:color="auto"/>
                    <w:bottom w:val="none" w:sz="0" w:space="0" w:color="auto"/>
                    <w:right w:val="none" w:sz="0" w:space="0" w:color="auto"/>
                  </w:divBdr>
                  <w:divsChild>
                    <w:div w:id="231936488">
                      <w:blockQuote w:val="1"/>
                      <w:marLeft w:val="480"/>
                      <w:marRight w:val="0"/>
                      <w:marTop w:val="240"/>
                      <w:marBottom w:val="240"/>
                      <w:divBdr>
                        <w:top w:val="none" w:sz="0" w:space="0" w:color="auto"/>
                        <w:left w:val="none" w:sz="0" w:space="0" w:color="auto"/>
                        <w:bottom w:val="none" w:sz="0" w:space="0" w:color="auto"/>
                        <w:right w:val="none" w:sz="0" w:space="0" w:color="auto"/>
                      </w:divBdr>
                    </w:div>
                    <w:div w:id="1932351097">
                      <w:blockQuote w:val="1"/>
                      <w:marLeft w:val="480"/>
                      <w:marRight w:val="0"/>
                      <w:marTop w:val="240"/>
                      <w:marBottom w:val="240"/>
                      <w:divBdr>
                        <w:top w:val="none" w:sz="0" w:space="0" w:color="auto"/>
                        <w:left w:val="none" w:sz="0" w:space="0" w:color="auto"/>
                        <w:bottom w:val="none" w:sz="0" w:space="0" w:color="auto"/>
                        <w:right w:val="none" w:sz="0" w:space="0" w:color="auto"/>
                      </w:divBdr>
                    </w:div>
                    <w:div w:id="2090225512">
                      <w:blockQuote w:val="1"/>
                      <w:marLeft w:val="48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60527515">
      <w:bodyDiv w:val="1"/>
      <w:marLeft w:val="0"/>
      <w:marRight w:val="0"/>
      <w:marTop w:val="0"/>
      <w:marBottom w:val="0"/>
      <w:divBdr>
        <w:top w:val="none" w:sz="0" w:space="0" w:color="auto"/>
        <w:left w:val="none" w:sz="0" w:space="0" w:color="auto"/>
        <w:bottom w:val="none" w:sz="0" w:space="0" w:color="auto"/>
        <w:right w:val="none" w:sz="0" w:space="0" w:color="auto"/>
      </w:divBdr>
    </w:div>
    <w:div w:id="277837604">
      <w:bodyDiv w:val="1"/>
      <w:marLeft w:val="0"/>
      <w:marRight w:val="0"/>
      <w:marTop w:val="0"/>
      <w:marBottom w:val="0"/>
      <w:divBdr>
        <w:top w:val="none" w:sz="0" w:space="0" w:color="auto"/>
        <w:left w:val="none" w:sz="0" w:space="0" w:color="auto"/>
        <w:bottom w:val="none" w:sz="0" w:space="0" w:color="auto"/>
        <w:right w:val="none" w:sz="0" w:space="0" w:color="auto"/>
      </w:divBdr>
    </w:div>
    <w:div w:id="323899606">
      <w:bodyDiv w:val="1"/>
      <w:marLeft w:val="0"/>
      <w:marRight w:val="0"/>
      <w:marTop w:val="0"/>
      <w:marBottom w:val="0"/>
      <w:divBdr>
        <w:top w:val="none" w:sz="0" w:space="0" w:color="auto"/>
        <w:left w:val="none" w:sz="0" w:space="0" w:color="auto"/>
        <w:bottom w:val="none" w:sz="0" w:space="0" w:color="auto"/>
        <w:right w:val="none" w:sz="0" w:space="0" w:color="auto"/>
      </w:divBdr>
      <w:divsChild>
        <w:div w:id="1641300900">
          <w:marLeft w:val="0"/>
          <w:marRight w:val="0"/>
          <w:marTop w:val="0"/>
          <w:marBottom w:val="0"/>
          <w:divBdr>
            <w:top w:val="none" w:sz="0" w:space="0" w:color="auto"/>
            <w:left w:val="none" w:sz="0" w:space="0" w:color="auto"/>
            <w:bottom w:val="none" w:sz="0" w:space="0" w:color="auto"/>
            <w:right w:val="none" w:sz="0" w:space="0" w:color="auto"/>
          </w:divBdr>
          <w:divsChild>
            <w:div w:id="1311134194">
              <w:marLeft w:val="0"/>
              <w:marRight w:val="0"/>
              <w:marTop w:val="0"/>
              <w:marBottom w:val="0"/>
              <w:divBdr>
                <w:top w:val="none" w:sz="0" w:space="0" w:color="auto"/>
                <w:left w:val="none" w:sz="0" w:space="0" w:color="auto"/>
                <w:bottom w:val="none" w:sz="0" w:space="0" w:color="auto"/>
                <w:right w:val="none" w:sz="0" w:space="0" w:color="auto"/>
              </w:divBdr>
              <w:divsChild>
                <w:div w:id="15358025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30269179">
      <w:bodyDiv w:val="1"/>
      <w:marLeft w:val="0"/>
      <w:marRight w:val="0"/>
      <w:marTop w:val="0"/>
      <w:marBottom w:val="0"/>
      <w:divBdr>
        <w:top w:val="none" w:sz="0" w:space="0" w:color="auto"/>
        <w:left w:val="none" w:sz="0" w:space="0" w:color="auto"/>
        <w:bottom w:val="none" w:sz="0" w:space="0" w:color="auto"/>
        <w:right w:val="none" w:sz="0" w:space="0" w:color="auto"/>
      </w:divBdr>
      <w:divsChild>
        <w:div w:id="890460030">
          <w:marLeft w:val="0"/>
          <w:marRight w:val="0"/>
          <w:marTop w:val="0"/>
          <w:marBottom w:val="0"/>
          <w:divBdr>
            <w:top w:val="none" w:sz="0" w:space="0" w:color="auto"/>
            <w:left w:val="none" w:sz="0" w:space="0" w:color="auto"/>
            <w:bottom w:val="none" w:sz="0" w:space="0" w:color="auto"/>
            <w:right w:val="none" w:sz="0" w:space="0" w:color="auto"/>
          </w:divBdr>
          <w:divsChild>
            <w:div w:id="327026933">
              <w:marLeft w:val="0"/>
              <w:marRight w:val="0"/>
              <w:marTop w:val="0"/>
              <w:marBottom w:val="0"/>
              <w:divBdr>
                <w:top w:val="none" w:sz="0" w:space="0" w:color="auto"/>
                <w:left w:val="none" w:sz="0" w:space="0" w:color="auto"/>
                <w:bottom w:val="none" w:sz="0" w:space="0" w:color="auto"/>
                <w:right w:val="none" w:sz="0" w:space="0" w:color="auto"/>
              </w:divBdr>
              <w:divsChild>
                <w:div w:id="3669520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70062374">
      <w:bodyDiv w:val="1"/>
      <w:marLeft w:val="0"/>
      <w:marRight w:val="0"/>
      <w:marTop w:val="0"/>
      <w:marBottom w:val="0"/>
      <w:divBdr>
        <w:top w:val="none" w:sz="0" w:space="0" w:color="auto"/>
        <w:left w:val="none" w:sz="0" w:space="0" w:color="auto"/>
        <w:bottom w:val="none" w:sz="0" w:space="0" w:color="auto"/>
        <w:right w:val="none" w:sz="0" w:space="0" w:color="auto"/>
      </w:divBdr>
    </w:div>
    <w:div w:id="740446768">
      <w:bodyDiv w:val="1"/>
      <w:marLeft w:val="0"/>
      <w:marRight w:val="0"/>
      <w:marTop w:val="0"/>
      <w:marBottom w:val="0"/>
      <w:divBdr>
        <w:top w:val="none" w:sz="0" w:space="0" w:color="auto"/>
        <w:left w:val="none" w:sz="0" w:space="0" w:color="auto"/>
        <w:bottom w:val="none" w:sz="0" w:space="0" w:color="auto"/>
        <w:right w:val="none" w:sz="0" w:space="0" w:color="auto"/>
      </w:divBdr>
    </w:div>
    <w:div w:id="1121001467">
      <w:bodyDiv w:val="1"/>
      <w:marLeft w:val="120"/>
      <w:marRight w:val="120"/>
      <w:marTop w:val="120"/>
      <w:marBottom w:val="120"/>
      <w:divBdr>
        <w:top w:val="none" w:sz="0" w:space="0" w:color="auto"/>
        <w:left w:val="none" w:sz="0" w:space="0" w:color="auto"/>
        <w:bottom w:val="none" w:sz="0" w:space="0" w:color="auto"/>
        <w:right w:val="none" w:sz="0" w:space="0" w:color="auto"/>
      </w:divBdr>
    </w:div>
    <w:div w:id="1165122926">
      <w:bodyDiv w:val="1"/>
      <w:marLeft w:val="0"/>
      <w:marRight w:val="0"/>
      <w:marTop w:val="0"/>
      <w:marBottom w:val="0"/>
      <w:divBdr>
        <w:top w:val="none" w:sz="0" w:space="0" w:color="auto"/>
        <w:left w:val="none" w:sz="0" w:space="0" w:color="auto"/>
        <w:bottom w:val="none" w:sz="0" w:space="0" w:color="auto"/>
        <w:right w:val="none" w:sz="0" w:space="0" w:color="auto"/>
      </w:divBdr>
    </w:div>
    <w:div w:id="1893927322">
      <w:bodyDiv w:val="1"/>
      <w:marLeft w:val="0"/>
      <w:marRight w:val="0"/>
      <w:marTop w:val="0"/>
      <w:marBottom w:val="0"/>
      <w:divBdr>
        <w:top w:val="none" w:sz="0" w:space="0" w:color="auto"/>
        <w:left w:val="none" w:sz="0" w:space="0" w:color="auto"/>
        <w:bottom w:val="none" w:sz="0" w:space="0" w:color="auto"/>
        <w:right w:val="none" w:sz="0" w:space="0" w:color="auto"/>
      </w:divBdr>
    </w:div>
    <w:div w:id="1981492433">
      <w:bodyDiv w:val="1"/>
      <w:marLeft w:val="0"/>
      <w:marRight w:val="0"/>
      <w:marTop w:val="0"/>
      <w:marBottom w:val="0"/>
      <w:divBdr>
        <w:top w:val="none" w:sz="0" w:space="0" w:color="auto"/>
        <w:left w:val="none" w:sz="0" w:space="0" w:color="auto"/>
        <w:bottom w:val="none" w:sz="0" w:space="0" w:color="auto"/>
        <w:right w:val="none" w:sz="0" w:space="0" w:color="auto"/>
      </w:divBdr>
    </w:div>
    <w:div w:id="20185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AAFFE-3514-454F-ACB5-5218686A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5626</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Amgen Inc.</Company>
  <LinksUpToDate>false</LinksUpToDate>
  <CharactersWithSpaces>37620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Imlygic</dc:title>
  <dc:subject>Prescription medicines</dc:subject>
  <dc:creator>Thomas, Pat</dc:creator>
  <cp:keywords>AusPARs</cp:keywords>
  <cp:lastModifiedBy>Schilg, Cassie</cp:lastModifiedBy>
  <cp:revision>6</cp:revision>
  <cp:lastPrinted>2014-11-17T03:06:00Z</cp:lastPrinted>
  <dcterms:created xsi:type="dcterms:W3CDTF">2016-05-18T02:09:00Z</dcterms:created>
  <dcterms:modified xsi:type="dcterms:W3CDTF">2016-05-31T06:48:00Z</dcterms:modified>
</cp:coreProperties>
</file>