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022" w:rsidRPr="00E02163" w:rsidRDefault="00AF1FB3" w:rsidP="00E02163">
      <w:pPr>
        <w:pStyle w:val="PITITLE"/>
        <w:ind w:left="-142" w:firstLine="142"/>
      </w:pPr>
      <w:bookmarkStart w:id="0" w:name="_GoBack"/>
      <w:bookmarkEnd w:id="0"/>
      <w:r w:rsidRPr="005943F4">
        <w:t>PRODUCT INFORMATION</w:t>
      </w:r>
      <w:r w:rsidR="003C5BED" w:rsidRPr="005943F4">
        <w:t xml:space="preserve"> </w:t>
      </w:r>
    </w:p>
    <w:p w:rsidR="00A27BA3" w:rsidRPr="00713EFA" w:rsidRDefault="00A27BA3" w:rsidP="00A27BA3">
      <w:pPr>
        <w:pStyle w:val="PIHeading1"/>
      </w:pPr>
      <w:r w:rsidRPr="00713EFA">
        <w:t>NAME OF THE MEDICINE</w:t>
      </w:r>
    </w:p>
    <w:p w:rsidR="008A268B" w:rsidRPr="00586854" w:rsidRDefault="00B14342" w:rsidP="00E02163">
      <w:pPr>
        <w:pStyle w:val="PIHeading1"/>
        <w:rPr>
          <w:rStyle w:val="PITradename"/>
          <w:b/>
          <w:szCs w:val="32"/>
        </w:rPr>
      </w:pPr>
      <w:r w:rsidRPr="00A27BA3">
        <w:rPr>
          <w:rStyle w:val="PITradename"/>
        </w:rPr>
        <w:t>ELELYSO</w:t>
      </w:r>
      <w:r w:rsidR="00B67034" w:rsidRPr="00A27BA3">
        <w:rPr>
          <w:rStyle w:val="PITradename"/>
          <w:vertAlign w:val="superscript"/>
        </w:rPr>
        <w:t>®</w:t>
      </w:r>
      <w:r w:rsidR="002133AB" w:rsidRPr="00A27BA3">
        <w:rPr>
          <w:rStyle w:val="PITradename"/>
        </w:rPr>
        <w:t xml:space="preserve"> </w:t>
      </w:r>
      <w:r w:rsidR="00586854" w:rsidRPr="00A27BA3">
        <w:rPr>
          <w:rStyle w:val="PITradename"/>
          <w:szCs w:val="32"/>
        </w:rPr>
        <w:t>(</w:t>
      </w:r>
      <w:proofErr w:type="spellStart"/>
      <w:r w:rsidR="00820ED7" w:rsidRPr="00A27BA3">
        <w:rPr>
          <w:rStyle w:val="PITradename"/>
          <w:caps w:val="0"/>
          <w:szCs w:val="32"/>
        </w:rPr>
        <w:t>taliglucerase</w:t>
      </w:r>
      <w:proofErr w:type="spellEnd"/>
      <w:r w:rsidR="00586854" w:rsidRPr="00A27BA3">
        <w:rPr>
          <w:rStyle w:val="PITradename"/>
          <w:caps w:val="0"/>
          <w:szCs w:val="32"/>
        </w:rPr>
        <w:t xml:space="preserve"> </w:t>
      </w:r>
      <w:proofErr w:type="spellStart"/>
      <w:r w:rsidR="00586854" w:rsidRPr="00A27BA3">
        <w:rPr>
          <w:rStyle w:val="PITradename"/>
          <w:caps w:val="0"/>
          <w:szCs w:val="32"/>
        </w:rPr>
        <w:t>alfa</w:t>
      </w:r>
      <w:proofErr w:type="spellEnd"/>
      <w:r w:rsidR="00586854" w:rsidRPr="00A27BA3">
        <w:rPr>
          <w:rStyle w:val="PITradename"/>
          <w:caps w:val="0"/>
          <w:szCs w:val="32"/>
        </w:rPr>
        <w:t xml:space="preserve"> </w:t>
      </w:r>
      <w:proofErr w:type="spellStart"/>
      <w:r w:rsidR="00586854" w:rsidRPr="00A27BA3">
        <w:rPr>
          <w:rStyle w:val="PITradename"/>
          <w:caps w:val="0"/>
          <w:szCs w:val="32"/>
        </w:rPr>
        <w:t>rpc</w:t>
      </w:r>
      <w:proofErr w:type="spellEnd"/>
      <w:r w:rsidR="00586854" w:rsidRPr="00A27BA3">
        <w:rPr>
          <w:rStyle w:val="PITradename"/>
          <w:szCs w:val="32"/>
        </w:rPr>
        <w:t>)</w:t>
      </w:r>
      <w:r w:rsidR="00586854" w:rsidRPr="00A27BA3">
        <w:rPr>
          <w:b w:val="0"/>
          <w:caps w:val="0"/>
          <w:sz w:val="32"/>
          <w:szCs w:val="32"/>
        </w:rPr>
        <w:t xml:space="preserve"> 200 </w:t>
      </w:r>
      <w:proofErr w:type="gramStart"/>
      <w:r w:rsidR="00586854" w:rsidRPr="00A27BA3">
        <w:rPr>
          <w:b w:val="0"/>
          <w:caps w:val="0"/>
          <w:sz w:val="32"/>
          <w:szCs w:val="32"/>
        </w:rPr>
        <w:t>units</w:t>
      </w:r>
      <w:proofErr w:type="gramEnd"/>
      <w:r w:rsidR="00586854" w:rsidRPr="00A27BA3">
        <w:rPr>
          <w:b w:val="0"/>
          <w:caps w:val="0"/>
          <w:sz w:val="32"/>
          <w:szCs w:val="32"/>
        </w:rPr>
        <w:t xml:space="preserve"> powder for injection</w:t>
      </w:r>
    </w:p>
    <w:p w:rsidR="008A268B" w:rsidRPr="00A27BA3" w:rsidRDefault="00586854" w:rsidP="00E02163">
      <w:pPr>
        <w:pStyle w:val="PIHeading1"/>
        <w:spacing w:before="0" w:after="120" w:line="240" w:lineRule="auto"/>
        <w:rPr>
          <w:b w:val="0"/>
          <w:caps w:val="0"/>
          <w:sz w:val="24"/>
          <w:szCs w:val="24"/>
        </w:rPr>
      </w:pPr>
      <w:proofErr w:type="spellStart"/>
      <w:proofErr w:type="gramStart"/>
      <w:r w:rsidRPr="00A27BA3">
        <w:rPr>
          <w:b w:val="0"/>
          <w:caps w:val="0"/>
          <w:sz w:val="24"/>
          <w:szCs w:val="24"/>
        </w:rPr>
        <w:t>taliglucerase</w:t>
      </w:r>
      <w:proofErr w:type="spellEnd"/>
      <w:proofErr w:type="gramEnd"/>
      <w:r w:rsidRPr="00A27BA3">
        <w:rPr>
          <w:b w:val="0"/>
          <w:caps w:val="0"/>
          <w:sz w:val="24"/>
          <w:szCs w:val="24"/>
        </w:rPr>
        <w:t xml:space="preserve"> </w:t>
      </w:r>
      <w:proofErr w:type="spellStart"/>
      <w:r w:rsidR="008A268B" w:rsidRPr="00A27BA3">
        <w:rPr>
          <w:b w:val="0"/>
          <w:caps w:val="0"/>
          <w:sz w:val="24"/>
          <w:szCs w:val="24"/>
        </w:rPr>
        <w:t>alfa</w:t>
      </w:r>
      <w:proofErr w:type="spellEnd"/>
      <w:r w:rsidR="008A268B" w:rsidRPr="00A27BA3">
        <w:rPr>
          <w:b w:val="0"/>
          <w:caps w:val="0"/>
          <w:sz w:val="24"/>
          <w:szCs w:val="24"/>
        </w:rPr>
        <w:t xml:space="preserve"> recombinant plant carrot (</w:t>
      </w:r>
      <w:proofErr w:type="spellStart"/>
      <w:r w:rsidR="008A268B" w:rsidRPr="00A27BA3">
        <w:rPr>
          <w:b w:val="0"/>
          <w:caps w:val="0"/>
          <w:sz w:val="24"/>
          <w:szCs w:val="24"/>
        </w:rPr>
        <w:t>rpc</w:t>
      </w:r>
      <w:proofErr w:type="spellEnd"/>
      <w:r w:rsidR="008A268B" w:rsidRPr="00A27BA3">
        <w:rPr>
          <w:b w:val="0"/>
          <w:caps w:val="0"/>
          <w:sz w:val="24"/>
          <w:szCs w:val="24"/>
        </w:rPr>
        <w:t>)</w:t>
      </w:r>
      <w:r w:rsidR="007F5760" w:rsidRPr="00A27BA3">
        <w:rPr>
          <w:b w:val="0"/>
          <w:caps w:val="0"/>
          <w:sz w:val="24"/>
          <w:szCs w:val="24"/>
        </w:rPr>
        <w:t>.</w:t>
      </w:r>
      <w:r w:rsidR="008A268B" w:rsidRPr="00A27BA3">
        <w:rPr>
          <w:b w:val="0"/>
          <w:caps w:val="0"/>
          <w:sz w:val="24"/>
          <w:szCs w:val="24"/>
        </w:rPr>
        <w:t xml:space="preserve"> </w:t>
      </w:r>
    </w:p>
    <w:p w:rsidR="00C31A6C" w:rsidRPr="00A27BA3" w:rsidRDefault="00C31A6C" w:rsidP="00E02163">
      <w:pPr>
        <w:pStyle w:val="PIHeading1"/>
        <w:spacing w:before="0" w:after="120" w:line="240" w:lineRule="auto"/>
        <w:rPr>
          <w:b w:val="0"/>
          <w:bCs/>
          <w:caps w:val="0"/>
          <w:color w:val="000000"/>
          <w:kern w:val="0"/>
          <w:sz w:val="24"/>
          <w:szCs w:val="24"/>
          <w:lang w:eastAsia="en-AU"/>
        </w:rPr>
      </w:pPr>
      <w:r w:rsidRPr="00A27BA3">
        <w:rPr>
          <w:b w:val="0"/>
          <w:bCs/>
          <w:caps w:val="0"/>
          <w:color w:val="000000"/>
          <w:kern w:val="0"/>
          <w:sz w:val="24"/>
          <w:szCs w:val="24"/>
          <w:lang w:eastAsia="en-AU"/>
        </w:rPr>
        <w:t xml:space="preserve">CAS Number: </w:t>
      </w:r>
      <w:r w:rsidRPr="00A27BA3">
        <w:rPr>
          <w:b w:val="0"/>
          <w:sz w:val="24"/>
          <w:szCs w:val="24"/>
          <w:lang w:eastAsia="en-AU"/>
        </w:rPr>
        <w:t>37228-64-1.</w:t>
      </w:r>
    </w:p>
    <w:p w:rsidR="00C31A6C" w:rsidRPr="00713EFA" w:rsidRDefault="00C31A6C" w:rsidP="00E02163">
      <w:pPr>
        <w:pStyle w:val="PIHeading1"/>
      </w:pPr>
      <w:r w:rsidRPr="00713EFA">
        <w:t xml:space="preserve">DESCRIPTION </w:t>
      </w:r>
    </w:p>
    <w:p w:rsidR="00AC4CE2" w:rsidRPr="00AC4CE2" w:rsidRDefault="00AC4CE2" w:rsidP="00965C4E">
      <w:pPr>
        <w:rPr>
          <w:rFonts w:ascii="Calibri" w:hAnsi="Calibri"/>
          <w:color w:val="1F497D"/>
          <w:lang w:val="en-US"/>
        </w:rPr>
      </w:pPr>
      <w:proofErr w:type="spellStart"/>
      <w:r w:rsidRPr="00AC4CE2">
        <w:rPr>
          <w:lang w:val="en-US"/>
        </w:rPr>
        <w:t>Taliglucerase</w:t>
      </w:r>
      <w:proofErr w:type="spellEnd"/>
      <w:r w:rsidRPr="00AC4CE2">
        <w:rPr>
          <w:lang w:val="en-US"/>
        </w:rPr>
        <w:t xml:space="preserve"> </w:t>
      </w:r>
      <w:proofErr w:type="spellStart"/>
      <w:r w:rsidRPr="00AC4CE2">
        <w:rPr>
          <w:lang w:val="en-US"/>
        </w:rPr>
        <w:t>alfa</w:t>
      </w:r>
      <w:proofErr w:type="spellEnd"/>
      <w:r w:rsidRPr="00AC4CE2">
        <w:rPr>
          <w:lang w:val="en-US"/>
        </w:rPr>
        <w:t xml:space="preserve"> </w:t>
      </w:r>
      <w:proofErr w:type="spellStart"/>
      <w:r w:rsidRPr="00AC4CE2">
        <w:rPr>
          <w:lang w:val="en-US"/>
        </w:rPr>
        <w:t>rpc</w:t>
      </w:r>
      <w:proofErr w:type="spellEnd"/>
      <w:r w:rsidRPr="00AC4CE2">
        <w:rPr>
          <w:lang w:val="en-US"/>
        </w:rPr>
        <w:t xml:space="preserve"> is a glycosylated protein with approximately 7% of its molecular mass contributed by </w:t>
      </w:r>
      <w:proofErr w:type="spellStart"/>
      <w:r w:rsidRPr="00AC4CE2">
        <w:rPr>
          <w:lang w:val="en-US"/>
        </w:rPr>
        <w:t>glycans</w:t>
      </w:r>
      <w:proofErr w:type="spellEnd"/>
      <w:r w:rsidRPr="00AC4CE2">
        <w:rPr>
          <w:lang w:val="en-US"/>
        </w:rPr>
        <w:t xml:space="preserve">. The </w:t>
      </w:r>
      <w:proofErr w:type="spellStart"/>
      <w:r w:rsidRPr="00AC4CE2">
        <w:rPr>
          <w:lang w:val="en-US"/>
        </w:rPr>
        <w:t>glycans</w:t>
      </w:r>
      <w:proofErr w:type="spellEnd"/>
      <w:r w:rsidRPr="00AC4CE2">
        <w:rPr>
          <w:lang w:val="en-US"/>
        </w:rPr>
        <w:t xml:space="preserve"> present in </w:t>
      </w:r>
      <w:proofErr w:type="spellStart"/>
      <w:r w:rsidRPr="00AC4CE2">
        <w:rPr>
          <w:lang w:val="en-US"/>
        </w:rPr>
        <w:t>taliglucerase</w:t>
      </w:r>
      <w:proofErr w:type="spellEnd"/>
      <w:r w:rsidRPr="00AC4CE2">
        <w:rPr>
          <w:lang w:val="en-US"/>
        </w:rPr>
        <w:t xml:space="preserve"> </w:t>
      </w:r>
      <w:proofErr w:type="spellStart"/>
      <w:r w:rsidRPr="00AC4CE2">
        <w:rPr>
          <w:lang w:val="en-US"/>
        </w:rPr>
        <w:t>alfa</w:t>
      </w:r>
      <w:proofErr w:type="spellEnd"/>
      <w:r w:rsidRPr="00AC4CE2">
        <w:rPr>
          <w:lang w:val="en-US"/>
        </w:rPr>
        <w:t xml:space="preserve"> </w:t>
      </w:r>
      <w:proofErr w:type="spellStart"/>
      <w:r w:rsidRPr="00AC4CE2">
        <w:rPr>
          <w:lang w:val="en-US"/>
        </w:rPr>
        <w:t>rpc</w:t>
      </w:r>
      <w:proofErr w:type="spellEnd"/>
      <w:r w:rsidRPr="00AC4CE2">
        <w:rPr>
          <w:lang w:val="en-US"/>
        </w:rPr>
        <w:t xml:space="preserve"> are typical of plant-expressed proteins.  The most abundant glycan has terminal mannose, β-(1</w:t>
      </w:r>
      <w:proofErr w:type="gramStart"/>
      <w:r w:rsidRPr="00AC4CE2">
        <w:rPr>
          <w:lang w:val="en-US"/>
        </w:rPr>
        <w:t>,2</w:t>
      </w:r>
      <w:proofErr w:type="gramEnd"/>
      <w:r w:rsidRPr="00AC4CE2">
        <w:rPr>
          <w:lang w:val="en-US"/>
        </w:rPr>
        <w:t>)-xylose, and α-(1,3)-</w:t>
      </w:r>
      <w:proofErr w:type="spellStart"/>
      <w:r w:rsidRPr="00AC4CE2">
        <w:rPr>
          <w:lang w:val="en-US"/>
        </w:rPr>
        <w:t>fucose</w:t>
      </w:r>
      <w:proofErr w:type="spellEnd"/>
      <w:r w:rsidRPr="00AC4CE2">
        <w:rPr>
          <w:lang w:val="en-US"/>
        </w:rPr>
        <w:t xml:space="preserve"> residues.  The terminal mannose residues specifically bind the </w:t>
      </w:r>
      <w:proofErr w:type="spellStart"/>
      <w:r w:rsidRPr="00AC4CE2">
        <w:rPr>
          <w:lang w:val="en-US"/>
        </w:rPr>
        <w:t>endocytic</w:t>
      </w:r>
      <w:proofErr w:type="spellEnd"/>
      <w:r w:rsidRPr="00AC4CE2">
        <w:rPr>
          <w:lang w:val="en-US"/>
        </w:rPr>
        <w:t xml:space="preserve"> mannose receptors on macrophages, resulting in uptake of the enzyme into the macrophages, the cells that accumulate lipid in </w:t>
      </w:r>
      <w:proofErr w:type="spellStart"/>
      <w:proofErr w:type="gramStart"/>
      <w:r w:rsidRPr="00AC4CE2">
        <w:rPr>
          <w:lang w:val="en-US"/>
        </w:rPr>
        <w:t>Gaucher</w:t>
      </w:r>
      <w:proofErr w:type="spellEnd"/>
      <w:proofErr w:type="gramEnd"/>
      <w:r w:rsidRPr="00AC4CE2">
        <w:rPr>
          <w:lang w:val="en-US"/>
        </w:rPr>
        <w:t xml:space="preserve"> disease and are the target cells for enzyme replacement therapy.  The glycan structures β-(1</w:t>
      </w:r>
      <w:proofErr w:type="gramStart"/>
      <w:r w:rsidRPr="00AC4CE2">
        <w:rPr>
          <w:lang w:val="en-US"/>
        </w:rPr>
        <w:t>,2</w:t>
      </w:r>
      <w:proofErr w:type="gramEnd"/>
      <w:r w:rsidRPr="00AC4CE2">
        <w:rPr>
          <w:lang w:val="en-US"/>
        </w:rPr>
        <w:t>)-xylose, and α-(1,3)-</w:t>
      </w:r>
      <w:proofErr w:type="spellStart"/>
      <w:r w:rsidRPr="00AC4CE2">
        <w:rPr>
          <w:lang w:val="en-US"/>
        </w:rPr>
        <w:t>fucose</w:t>
      </w:r>
      <w:proofErr w:type="spellEnd"/>
      <w:r w:rsidRPr="00AC4CE2">
        <w:rPr>
          <w:lang w:val="en-US"/>
        </w:rPr>
        <w:t xml:space="preserve"> residues are widely present in plant but not in mammalian glycoproteins.</w:t>
      </w:r>
    </w:p>
    <w:p w:rsidR="00586854" w:rsidRPr="00EE179B" w:rsidRDefault="00586854" w:rsidP="00965C4E">
      <w:pPr>
        <w:pStyle w:val="PINormal"/>
        <w:rPr>
          <w:lang w:eastAsia="en-AU"/>
        </w:rPr>
      </w:pPr>
      <w:proofErr w:type="spellStart"/>
      <w:r w:rsidRPr="00EE179B">
        <w:rPr>
          <w:lang w:eastAsia="en-AU"/>
        </w:rPr>
        <w:t>Taliglucerase</w:t>
      </w:r>
      <w:proofErr w:type="spellEnd"/>
      <w:r w:rsidRPr="00EE179B">
        <w:rPr>
          <w:lang w:eastAsia="en-AU"/>
        </w:rPr>
        <w:t xml:space="preserve"> </w:t>
      </w:r>
      <w:proofErr w:type="spellStart"/>
      <w:r w:rsidRPr="00EE179B">
        <w:rPr>
          <w:lang w:eastAsia="en-AU"/>
        </w:rPr>
        <w:t>alfa</w:t>
      </w:r>
      <w:proofErr w:type="spellEnd"/>
      <w:r w:rsidRPr="00EE179B">
        <w:rPr>
          <w:lang w:eastAsia="en-AU"/>
        </w:rPr>
        <w:t xml:space="preserve"> </w:t>
      </w:r>
      <w:proofErr w:type="spellStart"/>
      <w:r w:rsidRPr="00EE179B">
        <w:rPr>
          <w:lang w:eastAsia="en-AU"/>
        </w:rPr>
        <w:t>rpc</w:t>
      </w:r>
      <w:proofErr w:type="spellEnd"/>
      <w:r w:rsidRPr="00EE179B">
        <w:rPr>
          <w:lang w:eastAsia="en-AU"/>
        </w:rPr>
        <w:t xml:space="preserve"> sequence contains seven cysteine residues that form two </w:t>
      </w:r>
      <w:proofErr w:type="spellStart"/>
      <w:r w:rsidRPr="00EE179B">
        <w:rPr>
          <w:lang w:eastAsia="en-AU"/>
        </w:rPr>
        <w:t>disulfide</w:t>
      </w:r>
      <w:proofErr w:type="spellEnd"/>
      <w:r w:rsidRPr="00EE179B">
        <w:rPr>
          <w:lang w:eastAsia="en-AU"/>
        </w:rPr>
        <w:t xml:space="preserve"> bonds between the first four cysteine residues (Cys6-Cys18, Cys20-Cys25) and three free </w:t>
      </w:r>
      <w:proofErr w:type="spellStart"/>
      <w:r w:rsidRPr="00EE179B">
        <w:rPr>
          <w:lang w:eastAsia="en-AU"/>
        </w:rPr>
        <w:t>sulfhydryls</w:t>
      </w:r>
      <w:proofErr w:type="spellEnd"/>
      <w:r w:rsidRPr="00EE179B">
        <w:rPr>
          <w:lang w:eastAsia="en-AU"/>
        </w:rPr>
        <w:t xml:space="preserve"> (</w:t>
      </w:r>
      <w:proofErr w:type="spellStart"/>
      <w:r w:rsidRPr="00EE179B">
        <w:rPr>
          <w:lang w:eastAsia="en-AU"/>
        </w:rPr>
        <w:t>thiols</w:t>
      </w:r>
      <w:proofErr w:type="spellEnd"/>
      <w:r w:rsidRPr="00EE179B">
        <w:rPr>
          <w:lang w:eastAsia="en-AU"/>
        </w:rPr>
        <w:t>).</w:t>
      </w:r>
    </w:p>
    <w:p w:rsidR="00586854" w:rsidRPr="00935E33" w:rsidRDefault="00586854" w:rsidP="000B0B65">
      <w:pPr>
        <w:autoSpaceDE w:val="0"/>
        <w:autoSpaceDN w:val="0"/>
        <w:adjustRightInd w:val="0"/>
        <w:spacing w:after="0"/>
        <w:rPr>
          <w:bCs/>
          <w:color w:val="000000"/>
          <w:sz w:val="16"/>
          <w:szCs w:val="16"/>
          <w:lang w:eastAsia="en-AU"/>
        </w:rPr>
      </w:pPr>
      <w:r>
        <w:rPr>
          <w:bCs/>
          <w:color w:val="000000"/>
          <w:szCs w:val="24"/>
          <w:lang w:eastAsia="en-AU"/>
        </w:rPr>
        <w:t xml:space="preserve">Predicted </w:t>
      </w:r>
      <w:r w:rsidRPr="008608D4">
        <w:rPr>
          <w:bCs/>
          <w:color w:val="000000"/>
          <w:szCs w:val="24"/>
          <w:lang w:eastAsia="en-AU"/>
        </w:rPr>
        <w:t xml:space="preserve">Amino Acid Sequence for </w:t>
      </w:r>
      <w:proofErr w:type="spellStart"/>
      <w:r w:rsidRPr="008608D4">
        <w:rPr>
          <w:bCs/>
          <w:color w:val="000000"/>
          <w:szCs w:val="24"/>
          <w:lang w:eastAsia="en-AU"/>
        </w:rPr>
        <w:t>taliglucerase</w:t>
      </w:r>
      <w:proofErr w:type="spellEnd"/>
      <w:r w:rsidRPr="008608D4">
        <w:rPr>
          <w:bCs/>
          <w:color w:val="000000"/>
          <w:szCs w:val="24"/>
          <w:lang w:eastAsia="en-AU"/>
        </w:rPr>
        <w:t xml:space="preserve"> </w:t>
      </w:r>
      <w:proofErr w:type="spellStart"/>
      <w:r w:rsidRPr="008608D4">
        <w:rPr>
          <w:bCs/>
          <w:color w:val="000000"/>
          <w:szCs w:val="24"/>
          <w:lang w:eastAsia="en-AU"/>
        </w:rPr>
        <w:t>alfa</w:t>
      </w:r>
      <w:proofErr w:type="spellEnd"/>
      <w:r>
        <w:rPr>
          <w:bCs/>
          <w:color w:val="000000"/>
          <w:szCs w:val="24"/>
          <w:lang w:eastAsia="en-AU"/>
        </w:rPr>
        <w:t xml:space="preserve"> </w:t>
      </w:r>
      <w:proofErr w:type="spellStart"/>
      <w:r>
        <w:rPr>
          <w:bCs/>
          <w:color w:val="000000"/>
          <w:szCs w:val="24"/>
          <w:lang w:eastAsia="en-AU"/>
        </w:rPr>
        <w:t>rpc</w:t>
      </w:r>
      <w:proofErr w:type="spellEnd"/>
      <w:r w:rsidRPr="008608D4">
        <w:rPr>
          <w:bCs/>
          <w:color w:val="000000"/>
          <w:szCs w:val="24"/>
          <w:lang w:eastAsia="en-AU"/>
        </w:rPr>
        <w:t>:</w:t>
      </w:r>
    </w:p>
    <w:tbl>
      <w:tblPr>
        <w:tblW w:w="9180" w:type="dxa"/>
        <w:tblLook w:val="04A0" w:firstRow="1" w:lastRow="0" w:firstColumn="1" w:lastColumn="0" w:noHBand="0" w:noVBand="1"/>
      </w:tblPr>
      <w:tblGrid>
        <w:gridCol w:w="550"/>
        <w:gridCol w:w="1400"/>
        <w:gridCol w:w="1418"/>
        <w:gridCol w:w="1417"/>
        <w:gridCol w:w="1418"/>
        <w:gridCol w:w="1419"/>
        <w:gridCol w:w="1558"/>
      </w:tblGrid>
      <w:tr w:rsidR="00586854" w:rsidRPr="00F56AA7" w:rsidTr="007B3504">
        <w:trPr>
          <w:trHeight w:val="227"/>
        </w:trPr>
        <w:tc>
          <w:tcPr>
            <w:tcW w:w="0" w:type="auto"/>
          </w:tcPr>
          <w:p w:rsidR="00586854" w:rsidRPr="00F56AA7" w:rsidRDefault="00586854" w:rsidP="00E02163">
            <w:pPr>
              <w:autoSpaceDE w:val="0"/>
              <w:autoSpaceDN w:val="0"/>
              <w:adjustRightInd w:val="0"/>
              <w:spacing w:after="0"/>
              <w:contextualSpacing/>
              <w:rPr>
                <w:color w:val="000000"/>
                <w:sz w:val="16"/>
                <w:szCs w:val="16"/>
                <w:lang w:eastAsia="en-AU"/>
              </w:rPr>
            </w:pPr>
          </w:p>
        </w:tc>
        <w:tc>
          <w:tcPr>
            <w:tcW w:w="1400"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1</w:t>
            </w:r>
          </w:p>
        </w:tc>
        <w:tc>
          <w:tcPr>
            <w:tcW w:w="1418"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11</w:t>
            </w:r>
          </w:p>
        </w:tc>
        <w:tc>
          <w:tcPr>
            <w:tcW w:w="1417"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21</w:t>
            </w:r>
          </w:p>
        </w:tc>
        <w:tc>
          <w:tcPr>
            <w:tcW w:w="1418"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31</w:t>
            </w:r>
          </w:p>
        </w:tc>
        <w:tc>
          <w:tcPr>
            <w:tcW w:w="1419"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41</w:t>
            </w:r>
          </w:p>
        </w:tc>
        <w:tc>
          <w:tcPr>
            <w:tcW w:w="1558"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51</w:t>
            </w:r>
          </w:p>
        </w:tc>
      </w:tr>
      <w:tr w:rsidR="00586854" w:rsidRPr="00F56AA7" w:rsidTr="007B3504">
        <w:trPr>
          <w:trHeight w:val="227"/>
        </w:trPr>
        <w:tc>
          <w:tcPr>
            <w:tcW w:w="0" w:type="auto"/>
          </w:tcPr>
          <w:p w:rsidR="00586854" w:rsidRPr="00F56AA7" w:rsidRDefault="00586854" w:rsidP="00E02163">
            <w:pPr>
              <w:autoSpaceDE w:val="0"/>
              <w:autoSpaceDN w:val="0"/>
              <w:adjustRightInd w:val="0"/>
              <w:spacing w:after="0"/>
              <w:contextualSpacing/>
              <w:rPr>
                <w:color w:val="000000"/>
                <w:sz w:val="16"/>
                <w:szCs w:val="16"/>
                <w:lang w:eastAsia="en-AU"/>
              </w:rPr>
            </w:pPr>
            <w:r w:rsidRPr="00F56AA7">
              <w:rPr>
                <w:color w:val="000000"/>
                <w:sz w:val="16"/>
                <w:szCs w:val="16"/>
                <w:lang w:eastAsia="en-AU"/>
              </w:rPr>
              <w:t>1</w:t>
            </w:r>
          </w:p>
        </w:tc>
        <w:tc>
          <w:tcPr>
            <w:tcW w:w="1400" w:type="dxa"/>
          </w:tcPr>
          <w:p w:rsidR="00586854" w:rsidRPr="00F56AA7" w:rsidRDefault="00586854" w:rsidP="00E02163">
            <w:pPr>
              <w:autoSpaceDE w:val="0"/>
              <w:autoSpaceDN w:val="0"/>
              <w:adjustRightInd w:val="0"/>
              <w:spacing w:after="0"/>
              <w:rPr>
                <w:color w:val="000000"/>
                <w:sz w:val="16"/>
                <w:szCs w:val="16"/>
                <w:lang w:eastAsia="en-AU"/>
              </w:rPr>
            </w:pPr>
            <w:r w:rsidRPr="004D7600">
              <w:rPr>
                <w:bCs/>
                <w:color w:val="000000"/>
                <w:sz w:val="16"/>
                <w:szCs w:val="16"/>
                <w:lang w:eastAsia="en-AU"/>
              </w:rPr>
              <w:t>EF</w:t>
            </w:r>
            <w:r w:rsidRPr="00F56AA7">
              <w:rPr>
                <w:color w:val="000000"/>
                <w:sz w:val="16"/>
                <w:szCs w:val="16"/>
                <w:lang w:eastAsia="en-AU"/>
              </w:rPr>
              <w:t>ARPCIPKS</w:t>
            </w:r>
          </w:p>
        </w:tc>
        <w:tc>
          <w:tcPr>
            <w:tcW w:w="1418"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FGYSSVVCVC</w:t>
            </w:r>
          </w:p>
        </w:tc>
        <w:tc>
          <w:tcPr>
            <w:tcW w:w="1417"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NATYCDSFDP</w:t>
            </w:r>
          </w:p>
        </w:tc>
        <w:tc>
          <w:tcPr>
            <w:tcW w:w="1418"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PTFPALGTFS</w:t>
            </w:r>
          </w:p>
        </w:tc>
        <w:tc>
          <w:tcPr>
            <w:tcW w:w="1419"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RYESTRSGRR</w:t>
            </w:r>
          </w:p>
        </w:tc>
        <w:tc>
          <w:tcPr>
            <w:tcW w:w="1558"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MELSMGPIQA</w:t>
            </w:r>
          </w:p>
        </w:tc>
      </w:tr>
      <w:tr w:rsidR="00586854" w:rsidRPr="00F56AA7" w:rsidTr="007B3504">
        <w:trPr>
          <w:trHeight w:val="227"/>
        </w:trPr>
        <w:tc>
          <w:tcPr>
            <w:tcW w:w="0" w:type="auto"/>
          </w:tcPr>
          <w:p w:rsidR="00586854" w:rsidRPr="00F56AA7" w:rsidRDefault="00586854" w:rsidP="00E02163">
            <w:pPr>
              <w:autoSpaceDE w:val="0"/>
              <w:autoSpaceDN w:val="0"/>
              <w:adjustRightInd w:val="0"/>
              <w:spacing w:after="0"/>
              <w:contextualSpacing/>
              <w:rPr>
                <w:color w:val="000000"/>
                <w:sz w:val="16"/>
                <w:szCs w:val="16"/>
                <w:lang w:eastAsia="en-AU"/>
              </w:rPr>
            </w:pPr>
            <w:r w:rsidRPr="00F56AA7">
              <w:rPr>
                <w:color w:val="000000"/>
                <w:sz w:val="16"/>
                <w:szCs w:val="16"/>
                <w:lang w:eastAsia="en-AU"/>
              </w:rPr>
              <w:t>61</w:t>
            </w:r>
          </w:p>
        </w:tc>
        <w:tc>
          <w:tcPr>
            <w:tcW w:w="1400"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NHTGTGLLLT</w:t>
            </w:r>
          </w:p>
        </w:tc>
        <w:tc>
          <w:tcPr>
            <w:tcW w:w="1418"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LQPEQKFQKV</w:t>
            </w:r>
          </w:p>
        </w:tc>
        <w:tc>
          <w:tcPr>
            <w:tcW w:w="1417"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KGFGGAMTDA</w:t>
            </w:r>
          </w:p>
        </w:tc>
        <w:tc>
          <w:tcPr>
            <w:tcW w:w="1418"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AALNILALSP</w:t>
            </w:r>
          </w:p>
        </w:tc>
        <w:tc>
          <w:tcPr>
            <w:tcW w:w="1419"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PAQNLLLKSY</w:t>
            </w:r>
          </w:p>
        </w:tc>
        <w:tc>
          <w:tcPr>
            <w:tcW w:w="1558"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FSEEGIGYNI</w:t>
            </w:r>
          </w:p>
        </w:tc>
      </w:tr>
      <w:tr w:rsidR="00586854" w:rsidRPr="00F56AA7" w:rsidTr="007B3504">
        <w:trPr>
          <w:trHeight w:val="227"/>
        </w:trPr>
        <w:tc>
          <w:tcPr>
            <w:tcW w:w="0" w:type="auto"/>
          </w:tcPr>
          <w:p w:rsidR="00586854" w:rsidRPr="00F56AA7" w:rsidRDefault="00586854" w:rsidP="00E02163">
            <w:pPr>
              <w:autoSpaceDE w:val="0"/>
              <w:autoSpaceDN w:val="0"/>
              <w:adjustRightInd w:val="0"/>
              <w:spacing w:after="0"/>
              <w:contextualSpacing/>
              <w:rPr>
                <w:color w:val="000000"/>
                <w:sz w:val="16"/>
                <w:szCs w:val="16"/>
                <w:lang w:eastAsia="en-AU"/>
              </w:rPr>
            </w:pPr>
            <w:r w:rsidRPr="00F56AA7">
              <w:rPr>
                <w:color w:val="000000"/>
                <w:sz w:val="16"/>
                <w:szCs w:val="16"/>
                <w:lang w:eastAsia="en-AU"/>
              </w:rPr>
              <w:t>121</w:t>
            </w:r>
          </w:p>
        </w:tc>
        <w:tc>
          <w:tcPr>
            <w:tcW w:w="1400"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IRVPMASCDF</w:t>
            </w:r>
          </w:p>
        </w:tc>
        <w:tc>
          <w:tcPr>
            <w:tcW w:w="1418"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SIRTYTYADT</w:t>
            </w:r>
          </w:p>
        </w:tc>
        <w:tc>
          <w:tcPr>
            <w:tcW w:w="1417"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PDDFQLHNFS</w:t>
            </w:r>
          </w:p>
        </w:tc>
        <w:tc>
          <w:tcPr>
            <w:tcW w:w="1418"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LPEEDTKLKI</w:t>
            </w:r>
          </w:p>
        </w:tc>
        <w:tc>
          <w:tcPr>
            <w:tcW w:w="1419"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PLIHRALQLA</w:t>
            </w:r>
          </w:p>
        </w:tc>
        <w:tc>
          <w:tcPr>
            <w:tcW w:w="1558"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QRPVSLLASP</w:t>
            </w:r>
          </w:p>
        </w:tc>
      </w:tr>
      <w:tr w:rsidR="00586854" w:rsidRPr="00F56AA7" w:rsidTr="007B3504">
        <w:trPr>
          <w:trHeight w:val="227"/>
        </w:trPr>
        <w:tc>
          <w:tcPr>
            <w:tcW w:w="0" w:type="auto"/>
          </w:tcPr>
          <w:p w:rsidR="00586854" w:rsidRPr="00F56AA7" w:rsidRDefault="00586854" w:rsidP="00E02163">
            <w:pPr>
              <w:autoSpaceDE w:val="0"/>
              <w:autoSpaceDN w:val="0"/>
              <w:adjustRightInd w:val="0"/>
              <w:spacing w:after="0"/>
              <w:contextualSpacing/>
              <w:rPr>
                <w:color w:val="000000"/>
                <w:sz w:val="16"/>
                <w:szCs w:val="16"/>
                <w:lang w:eastAsia="en-AU"/>
              </w:rPr>
            </w:pPr>
            <w:r w:rsidRPr="00F56AA7">
              <w:rPr>
                <w:color w:val="000000"/>
                <w:sz w:val="16"/>
                <w:szCs w:val="16"/>
                <w:lang w:eastAsia="en-AU"/>
              </w:rPr>
              <w:t>181</w:t>
            </w:r>
          </w:p>
        </w:tc>
        <w:tc>
          <w:tcPr>
            <w:tcW w:w="1400"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WTSPTWLKTN</w:t>
            </w:r>
          </w:p>
        </w:tc>
        <w:tc>
          <w:tcPr>
            <w:tcW w:w="1418"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GAVNGKGSLK</w:t>
            </w:r>
          </w:p>
        </w:tc>
        <w:tc>
          <w:tcPr>
            <w:tcW w:w="1417"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GQPGDIYHQT</w:t>
            </w:r>
          </w:p>
        </w:tc>
        <w:tc>
          <w:tcPr>
            <w:tcW w:w="1418"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WARYFVKFLD</w:t>
            </w:r>
          </w:p>
        </w:tc>
        <w:tc>
          <w:tcPr>
            <w:tcW w:w="1419"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AYAEHKLQFW</w:t>
            </w:r>
          </w:p>
        </w:tc>
        <w:tc>
          <w:tcPr>
            <w:tcW w:w="1558"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AVTAENEPSA</w:t>
            </w:r>
          </w:p>
        </w:tc>
      </w:tr>
      <w:tr w:rsidR="00586854" w:rsidRPr="00F56AA7" w:rsidTr="007B3504">
        <w:trPr>
          <w:trHeight w:val="227"/>
        </w:trPr>
        <w:tc>
          <w:tcPr>
            <w:tcW w:w="0" w:type="auto"/>
          </w:tcPr>
          <w:p w:rsidR="00586854" w:rsidRPr="00F56AA7" w:rsidRDefault="00586854" w:rsidP="00E02163">
            <w:pPr>
              <w:autoSpaceDE w:val="0"/>
              <w:autoSpaceDN w:val="0"/>
              <w:adjustRightInd w:val="0"/>
              <w:spacing w:after="0"/>
              <w:contextualSpacing/>
              <w:rPr>
                <w:color w:val="000000"/>
                <w:sz w:val="16"/>
                <w:szCs w:val="16"/>
                <w:lang w:eastAsia="en-AU"/>
              </w:rPr>
            </w:pPr>
            <w:r w:rsidRPr="00F56AA7">
              <w:rPr>
                <w:color w:val="000000"/>
                <w:sz w:val="16"/>
                <w:szCs w:val="16"/>
                <w:lang w:eastAsia="en-AU"/>
              </w:rPr>
              <w:t>241</w:t>
            </w:r>
          </w:p>
        </w:tc>
        <w:tc>
          <w:tcPr>
            <w:tcW w:w="1400"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GLLSGYPFQC</w:t>
            </w:r>
          </w:p>
        </w:tc>
        <w:tc>
          <w:tcPr>
            <w:tcW w:w="1418"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LGFTPEHQRD</w:t>
            </w:r>
          </w:p>
        </w:tc>
        <w:tc>
          <w:tcPr>
            <w:tcW w:w="1417"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FIARDLGPTL</w:t>
            </w:r>
          </w:p>
        </w:tc>
        <w:tc>
          <w:tcPr>
            <w:tcW w:w="1418"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ANSTHHNVRL</w:t>
            </w:r>
          </w:p>
        </w:tc>
        <w:tc>
          <w:tcPr>
            <w:tcW w:w="1419"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LMLDDQRLLL</w:t>
            </w:r>
          </w:p>
        </w:tc>
        <w:tc>
          <w:tcPr>
            <w:tcW w:w="1558"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PHWAKVVLTD</w:t>
            </w:r>
          </w:p>
        </w:tc>
      </w:tr>
      <w:tr w:rsidR="00586854" w:rsidRPr="00F56AA7" w:rsidTr="007B3504">
        <w:trPr>
          <w:trHeight w:val="227"/>
        </w:trPr>
        <w:tc>
          <w:tcPr>
            <w:tcW w:w="0" w:type="auto"/>
          </w:tcPr>
          <w:p w:rsidR="00586854" w:rsidRPr="00F56AA7" w:rsidRDefault="00586854" w:rsidP="00E02163">
            <w:pPr>
              <w:autoSpaceDE w:val="0"/>
              <w:autoSpaceDN w:val="0"/>
              <w:adjustRightInd w:val="0"/>
              <w:spacing w:after="0"/>
              <w:contextualSpacing/>
              <w:rPr>
                <w:color w:val="000000"/>
                <w:sz w:val="16"/>
                <w:szCs w:val="16"/>
                <w:lang w:eastAsia="en-AU"/>
              </w:rPr>
            </w:pPr>
            <w:r w:rsidRPr="00F56AA7">
              <w:rPr>
                <w:color w:val="000000"/>
                <w:sz w:val="16"/>
                <w:szCs w:val="16"/>
                <w:lang w:eastAsia="en-AU"/>
              </w:rPr>
              <w:t>301</w:t>
            </w:r>
          </w:p>
        </w:tc>
        <w:tc>
          <w:tcPr>
            <w:tcW w:w="1400"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PEAAKYVHGI</w:t>
            </w:r>
          </w:p>
        </w:tc>
        <w:tc>
          <w:tcPr>
            <w:tcW w:w="1418"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AVHWYLDFLA</w:t>
            </w:r>
          </w:p>
        </w:tc>
        <w:tc>
          <w:tcPr>
            <w:tcW w:w="1417"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PAKATLGETH</w:t>
            </w:r>
          </w:p>
        </w:tc>
        <w:tc>
          <w:tcPr>
            <w:tcW w:w="1418"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RLFPNTMLFA</w:t>
            </w:r>
          </w:p>
        </w:tc>
        <w:tc>
          <w:tcPr>
            <w:tcW w:w="1419"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SEACVGSKFW</w:t>
            </w:r>
          </w:p>
        </w:tc>
        <w:tc>
          <w:tcPr>
            <w:tcW w:w="1558"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EQSVRLGSWD</w:t>
            </w:r>
          </w:p>
        </w:tc>
      </w:tr>
      <w:tr w:rsidR="00586854" w:rsidRPr="00F56AA7" w:rsidTr="007B3504">
        <w:trPr>
          <w:trHeight w:val="227"/>
        </w:trPr>
        <w:tc>
          <w:tcPr>
            <w:tcW w:w="0" w:type="auto"/>
          </w:tcPr>
          <w:p w:rsidR="00586854" w:rsidRPr="00F56AA7" w:rsidRDefault="00586854" w:rsidP="00E02163">
            <w:pPr>
              <w:autoSpaceDE w:val="0"/>
              <w:autoSpaceDN w:val="0"/>
              <w:adjustRightInd w:val="0"/>
              <w:spacing w:after="0"/>
              <w:contextualSpacing/>
              <w:rPr>
                <w:color w:val="000000"/>
                <w:sz w:val="16"/>
                <w:szCs w:val="16"/>
                <w:lang w:eastAsia="en-AU"/>
              </w:rPr>
            </w:pPr>
            <w:r w:rsidRPr="00F56AA7">
              <w:rPr>
                <w:color w:val="000000"/>
                <w:sz w:val="16"/>
                <w:szCs w:val="16"/>
                <w:lang w:eastAsia="en-AU"/>
              </w:rPr>
              <w:t>361</w:t>
            </w:r>
          </w:p>
        </w:tc>
        <w:tc>
          <w:tcPr>
            <w:tcW w:w="1400"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RGMQYSHSII</w:t>
            </w:r>
          </w:p>
        </w:tc>
        <w:tc>
          <w:tcPr>
            <w:tcW w:w="1418"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TNLLYHVVGW</w:t>
            </w:r>
          </w:p>
        </w:tc>
        <w:tc>
          <w:tcPr>
            <w:tcW w:w="1417"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TDWNLALNPE</w:t>
            </w:r>
          </w:p>
        </w:tc>
        <w:tc>
          <w:tcPr>
            <w:tcW w:w="1418"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GGPNWVRNFV</w:t>
            </w:r>
          </w:p>
        </w:tc>
        <w:tc>
          <w:tcPr>
            <w:tcW w:w="1419"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DSPIIVDITK</w:t>
            </w:r>
          </w:p>
        </w:tc>
        <w:tc>
          <w:tcPr>
            <w:tcW w:w="1558" w:type="dxa"/>
          </w:tcPr>
          <w:p w:rsidR="00586854" w:rsidRPr="00F56AA7" w:rsidRDefault="00586854" w:rsidP="00E02163">
            <w:pPr>
              <w:autoSpaceDE w:val="0"/>
              <w:autoSpaceDN w:val="0"/>
              <w:adjustRightInd w:val="0"/>
              <w:spacing w:after="0"/>
              <w:rPr>
                <w:color w:val="000000"/>
                <w:sz w:val="16"/>
                <w:szCs w:val="16"/>
                <w:lang w:eastAsia="en-AU"/>
              </w:rPr>
            </w:pPr>
            <w:r w:rsidRPr="00F56AA7">
              <w:rPr>
                <w:color w:val="000000"/>
                <w:sz w:val="16"/>
                <w:szCs w:val="16"/>
                <w:lang w:eastAsia="en-AU"/>
              </w:rPr>
              <w:t>DTFYKQPMFY</w:t>
            </w:r>
          </w:p>
        </w:tc>
      </w:tr>
      <w:tr w:rsidR="000B0B65" w:rsidRPr="00F56AA7" w:rsidTr="007B3504">
        <w:trPr>
          <w:trHeight w:val="227"/>
        </w:trPr>
        <w:tc>
          <w:tcPr>
            <w:tcW w:w="0" w:type="auto"/>
          </w:tcPr>
          <w:p w:rsidR="000B0B65" w:rsidRPr="00F56AA7" w:rsidRDefault="000B0B65" w:rsidP="00E02163">
            <w:pPr>
              <w:autoSpaceDE w:val="0"/>
              <w:autoSpaceDN w:val="0"/>
              <w:adjustRightInd w:val="0"/>
              <w:spacing w:after="0"/>
              <w:contextualSpacing/>
              <w:rPr>
                <w:color w:val="000000"/>
                <w:sz w:val="16"/>
                <w:szCs w:val="16"/>
                <w:lang w:eastAsia="en-AU"/>
              </w:rPr>
            </w:pPr>
            <w:r>
              <w:rPr>
                <w:color w:val="000000"/>
                <w:sz w:val="16"/>
                <w:szCs w:val="16"/>
                <w:lang w:eastAsia="en-AU"/>
              </w:rPr>
              <w:t>421</w:t>
            </w:r>
          </w:p>
        </w:tc>
        <w:tc>
          <w:tcPr>
            <w:tcW w:w="1400" w:type="dxa"/>
          </w:tcPr>
          <w:p w:rsidR="000B0B65" w:rsidRPr="00F56AA7" w:rsidRDefault="000B0B65" w:rsidP="00E02163">
            <w:pPr>
              <w:autoSpaceDE w:val="0"/>
              <w:autoSpaceDN w:val="0"/>
              <w:adjustRightInd w:val="0"/>
              <w:spacing w:after="0"/>
              <w:rPr>
                <w:color w:val="000000"/>
                <w:sz w:val="16"/>
                <w:szCs w:val="16"/>
                <w:lang w:eastAsia="en-AU"/>
              </w:rPr>
            </w:pPr>
            <w:r>
              <w:rPr>
                <w:color w:val="000000"/>
                <w:sz w:val="16"/>
                <w:szCs w:val="16"/>
                <w:lang w:eastAsia="en-AU"/>
              </w:rPr>
              <w:t>HLGHFSKFIP</w:t>
            </w:r>
          </w:p>
        </w:tc>
        <w:tc>
          <w:tcPr>
            <w:tcW w:w="1418" w:type="dxa"/>
          </w:tcPr>
          <w:p w:rsidR="000B0B65" w:rsidRPr="00F56AA7" w:rsidRDefault="000B0B65" w:rsidP="00E02163">
            <w:pPr>
              <w:autoSpaceDE w:val="0"/>
              <w:autoSpaceDN w:val="0"/>
              <w:adjustRightInd w:val="0"/>
              <w:spacing w:after="0"/>
              <w:rPr>
                <w:color w:val="000000"/>
                <w:sz w:val="16"/>
                <w:szCs w:val="16"/>
                <w:lang w:eastAsia="en-AU"/>
              </w:rPr>
            </w:pPr>
            <w:r>
              <w:rPr>
                <w:color w:val="000000"/>
                <w:sz w:val="16"/>
                <w:szCs w:val="16"/>
                <w:lang w:eastAsia="en-AU"/>
              </w:rPr>
              <w:t>EGSQRVGLVA</w:t>
            </w:r>
          </w:p>
        </w:tc>
        <w:tc>
          <w:tcPr>
            <w:tcW w:w="1417" w:type="dxa"/>
          </w:tcPr>
          <w:p w:rsidR="000B0B65" w:rsidRPr="00F56AA7" w:rsidRDefault="000B0B65" w:rsidP="00E02163">
            <w:pPr>
              <w:autoSpaceDE w:val="0"/>
              <w:autoSpaceDN w:val="0"/>
              <w:adjustRightInd w:val="0"/>
              <w:spacing w:after="0"/>
              <w:rPr>
                <w:color w:val="000000"/>
                <w:sz w:val="16"/>
                <w:szCs w:val="16"/>
                <w:lang w:eastAsia="en-AU"/>
              </w:rPr>
            </w:pPr>
            <w:r>
              <w:rPr>
                <w:color w:val="000000"/>
                <w:sz w:val="16"/>
                <w:szCs w:val="16"/>
                <w:lang w:eastAsia="en-AU"/>
              </w:rPr>
              <w:t>SQKNDLDAVA</w:t>
            </w:r>
          </w:p>
        </w:tc>
        <w:tc>
          <w:tcPr>
            <w:tcW w:w="1418" w:type="dxa"/>
          </w:tcPr>
          <w:p w:rsidR="000B0B65" w:rsidRPr="00F56AA7" w:rsidRDefault="000B0B65" w:rsidP="00E02163">
            <w:pPr>
              <w:autoSpaceDE w:val="0"/>
              <w:autoSpaceDN w:val="0"/>
              <w:adjustRightInd w:val="0"/>
              <w:spacing w:after="0"/>
              <w:rPr>
                <w:color w:val="000000"/>
                <w:sz w:val="16"/>
                <w:szCs w:val="16"/>
                <w:lang w:eastAsia="en-AU"/>
              </w:rPr>
            </w:pPr>
            <w:r>
              <w:rPr>
                <w:color w:val="000000"/>
                <w:sz w:val="16"/>
                <w:szCs w:val="16"/>
                <w:lang w:eastAsia="en-AU"/>
              </w:rPr>
              <w:t>LMHPDGSAVV</w:t>
            </w:r>
          </w:p>
        </w:tc>
        <w:tc>
          <w:tcPr>
            <w:tcW w:w="1419" w:type="dxa"/>
          </w:tcPr>
          <w:p w:rsidR="000B0B65" w:rsidRPr="00F56AA7" w:rsidRDefault="000B0B65" w:rsidP="00E02163">
            <w:pPr>
              <w:autoSpaceDE w:val="0"/>
              <w:autoSpaceDN w:val="0"/>
              <w:adjustRightInd w:val="0"/>
              <w:spacing w:after="0"/>
              <w:rPr>
                <w:color w:val="000000"/>
                <w:sz w:val="16"/>
                <w:szCs w:val="16"/>
                <w:lang w:eastAsia="en-AU"/>
              </w:rPr>
            </w:pPr>
            <w:r>
              <w:rPr>
                <w:color w:val="000000"/>
                <w:sz w:val="16"/>
                <w:szCs w:val="16"/>
                <w:lang w:eastAsia="en-AU"/>
              </w:rPr>
              <w:t>VVLNRSSKDV</w:t>
            </w:r>
          </w:p>
        </w:tc>
        <w:tc>
          <w:tcPr>
            <w:tcW w:w="1558" w:type="dxa"/>
          </w:tcPr>
          <w:p w:rsidR="000B0B65" w:rsidRPr="00F56AA7" w:rsidRDefault="000B0B65" w:rsidP="00E02163">
            <w:pPr>
              <w:autoSpaceDE w:val="0"/>
              <w:autoSpaceDN w:val="0"/>
              <w:adjustRightInd w:val="0"/>
              <w:spacing w:after="0"/>
              <w:rPr>
                <w:color w:val="000000"/>
                <w:sz w:val="16"/>
                <w:szCs w:val="16"/>
                <w:lang w:eastAsia="en-AU"/>
              </w:rPr>
            </w:pPr>
            <w:r>
              <w:rPr>
                <w:color w:val="000000"/>
                <w:sz w:val="16"/>
                <w:szCs w:val="16"/>
                <w:lang w:eastAsia="en-AU"/>
              </w:rPr>
              <w:t>PLTIKDPAVG</w:t>
            </w:r>
          </w:p>
        </w:tc>
      </w:tr>
      <w:tr w:rsidR="00586854" w:rsidRPr="00F56AA7" w:rsidTr="007B3504">
        <w:trPr>
          <w:trHeight w:val="158"/>
        </w:trPr>
        <w:tc>
          <w:tcPr>
            <w:tcW w:w="0" w:type="auto"/>
          </w:tcPr>
          <w:p w:rsidR="00586854" w:rsidRPr="00F56AA7" w:rsidRDefault="00586854" w:rsidP="000B0B65">
            <w:pPr>
              <w:autoSpaceDE w:val="0"/>
              <w:autoSpaceDN w:val="0"/>
              <w:adjustRightInd w:val="0"/>
              <w:spacing w:after="0"/>
              <w:contextualSpacing/>
              <w:jc w:val="left"/>
              <w:rPr>
                <w:color w:val="000000"/>
                <w:sz w:val="16"/>
                <w:szCs w:val="16"/>
                <w:lang w:eastAsia="en-AU"/>
              </w:rPr>
            </w:pPr>
            <w:r w:rsidRPr="00F56AA7">
              <w:rPr>
                <w:color w:val="000000"/>
                <w:sz w:val="16"/>
                <w:szCs w:val="16"/>
                <w:lang w:eastAsia="en-AU"/>
              </w:rPr>
              <w:t>481</w:t>
            </w:r>
          </w:p>
        </w:tc>
        <w:tc>
          <w:tcPr>
            <w:tcW w:w="1400" w:type="dxa"/>
          </w:tcPr>
          <w:p w:rsidR="00586854" w:rsidRPr="00F56AA7" w:rsidRDefault="00586854" w:rsidP="000B0B65">
            <w:pPr>
              <w:jc w:val="left"/>
              <w:rPr>
                <w:color w:val="000000"/>
                <w:sz w:val="16"/>
                <w:szCs w:val="16"/>
                <w:lang w:eastAsia="en-AU"/>
              </w:rPr>
            </w:pPr>
            <w:r w:rsidRPr="00F56AA7">
              <w:rPr>
                <w:color w:val="000000"/>
                <w:sz w:val="16"/>
                <w:szCs w:val="16"/>
                <w:lang w:eastAsia="en-AU"/>
              </w:rPr>
              <w:t>FLETISPGYS</w:t>
            </w:r>
          </w:p>
        </w:tc>
        <w:tc>
          <w:tcPr>
            <w:tcW w:w="1418" w:type="dxa"/>
          </w:tcPr>
          <w:p w:rsidR="00586854" w:rsidRPr="00F56AA7" w:rsidRDefault="00586854" w:rsidP="000B0B65">
            <w:pPr>
              <w:jc w:val="left"/>
              <w:rPr>
                <w:color w:val="000000"/>
                <w:sz w:val="16"/>
                <w:szCs w:val="16"/>
                <w:lang w:eastAsia="en-AU"/>
              </w:rPr>
            </w:pPr>
            <w:r w:rsidRPr="00F56AA7">
              <w:rPr>
                <w:color w:val="000000"/>
                <w:sz w:val="16"/>
                <w:szCs w:val="16"/>
                <w:lang w:eastAsia="en-AU"/>
              </w:rPr>
              <w:t>IHTYLWHRQ</w:t>
            </w:r>
            <w:r w:rsidRPr="004D7600">
              <w:rPr>
                <w:color w:val="000000"/>
                <w:sz w:val="16"/>
                <w:szCs w:val="16"/>
                <w:lang w:eastAsia="en-AU"/>
              </w:rPr>
              <w:t>D</w:t>
            </w:r>
          </w:p>
        </w:tc>
        <w:tc>
          <w:tcPr>
            <w:tcW w:w="1417" w:type="dxa"/>
          </w:tcPr>
          <w:p w:rsidR="00586854" w:rsidRPr="00F56AA7" w:rsidRDefault="00586854" w:rsidP="000B0B65">
            <w:pPr>
              <w:jc w:val="left"/>
              <w:rPr>
                <w:color w:val="000000"/>
                <w:sz w:val="16"/>
                <w:szCs w:val="16"/>
                <w:lang w:eastAsia="en-AU"/>
              </w:rPr>
            </w:pPr>
            <w:r w:rsidRPr="00F56AA7">
              <w:rPr>
                <w:color w:val="000000"/>
                <w:sz w:val="16"/>
                <w:szCs w:val="16"/>
                <w:lang w:eastAsia="en-AU"/>
              </w:rPr>
              <w:t>LLVDTM</w:t>
            </w:r>
          </w:p>
        </w:tc>
        <w:tc>
          <w:tcPr>
            <w:tcW w:w="1418" w:type="dxa"/>
          </w:tcPr>
          <w:p w:rsidR="00586854" w:rsidRPr="00F56AA7" w:rsidRDefault="00586854" w:rsidP="000B0B65">
            <w:pPr>
              <w:jc w:val="left"/>
              <w:rPr>
                <w:color w:val="000000"/>
                <w:sz w:val="16"/>
                <w:szCs w:val="16"/>
                <w:lang w:eastAsia="en-AU"/>
              </w:rPr>
            </w:pPr>
          </w:p>
        </w:tc>
        <w:tc>
          <w:tcPr>
            <w:tcW w:w="1419" w:type="dxa"/>
          </w:tcPr>
          <w:p w:rsidR="00586854" w:rsidRPr="00F56AA7" w:rsidRDefault="00586854" w:rsidP="000B0B65">
            <w:pPr>
              <w:jc w:val="left"/>
              <w:rPr>
                <w:color w:val="000000"/>
                <w:sz w:val="16"/>
                <w:szCs w:val="16"/>
                <w:lang w:eastAsia="en-AU"/>
              </w:rPr>
            </w:pPr>
          </w:p>
        </w:tc>
        <w:tc>
          <w:tcPr>
            <w:tcW w:w="1558" w:type="dxa"/>
          </w:tcPr>
          <w:p w:rsidR="00586854" w:rsidRPr="00F56AA7" w:rsidRDefault="00586854" w:rsidP="000B0B65">
            <w:pPr>
              <w:jc w:val="left"/>
              <w:rPr>
                <w:color w:val="000000"/>
                <w:sz w:val="16"/>
                <w:szCs w:val="16"/>
                <w:lang w:eastAsia="en-AU"/>
              </w:rPr>
            </w:pPr>
          </w:p>
        </w:tc>
      </w:tr>
    </w:tbl>
    <w:p w:rsidR="00F478B1" w:rsidRDefault="00F478B1" w:rsidP="00965C4E">
      <w:pPr>
        <w:rPr>
          <w:noProof/>
        </w:rPr>
      </w:pPr>
      <w:r>
        <w:rPr>
          <w:noProof/>
        </w:rPr>
        <w:t>Taliglucerase alfa</w:t>
      </w:r>
      <w:r w:rsidR="00F77841">
        <w:rPr>
          <w:noProof/>
        </w:rPr>
        <w:t xml:space="preserve"> </w:t>
      </w:r>
      <w:r w:rsidR="000D0FE7">
        <w:rPr>
          <w:noProof/>
        </w:rPr>
        <w:t xml:space="preserve">rpc </w:t>
      </w:r>
      <w:r w:rsidRPr="000153C5">
        <w:rPr>
          <w:noProof/>
        </w:rPr>
        <w:t>is a white to off-white lyophilised powder</w:t>
      </w:r>
      <w:r>
        <w:rPr>
          <w:noProof/>
        </w:rPr>
        <w:t>,</w:t>
      </w:r>
      <w:r w:rsidRPr="000153C5">
        <w:rPr>
          <w:noProof/>
        </w:rPr>
        <w:t xml:space="preserve"> that may form a cake</w:t>
      </w:r>
      <w:r>
        <w:rPr>
          <w:noProof/>
        </w:rPr>
        <w:t>.</w:t>
      </w:r>
    </w:p>
    <w:p w:rsidR="00A35B80" w:rsidRPr="00143198" w:rsidRDefault="00A35B80" w:rsidP="00965C4E">
      <w:pPr>
        <w:rPr>
          <w:szCs w:val="24"/>
          <w:lang w:val="en-GB" w:eastAsia="en-GB"/>
        </w:rPr>
      </w:pPr>
      <w:r w:rsidRPr="00143198">
        <w:rPr>
          <w:szCs w:val="24"/>
          <w:lang w:val="en-GB" w:eastAsia="en-GB"/>
        </w:rPr>
        <w:t xml:space="preserve">Each vial </w:t>
      </w:r>
      <w:r w:rsidR="00236C3B">
        <w:rPr>
          <w:szCs w:val="24"/>
          <w:lang w:val="en-GB" w:eastAsia="en-GB"/>
        </w:rPr>
        <w:t xml:space="preserve">of ELELYSO </w:t>
      </w:r>
      <w:r w:rsidRPr="00143198">
        <w:rPr>
          <w:szCs w:val="24"/>
          <w:lang w:val="en-GB" w:eastAsia="en-GB"/>
        </w:rPr>
        <w:t xml:space="preserve">contains </w:t>
      </w:r>
      <w:r w:rsidR="007800EA">
        <w:rPr>
          <w:szCs w:val="24"/>
          <w:lang w:val="en-GB" w:eastAsia="en-GB"/>
        </w:rPr>
        <w:t>200</w:t>
      </w:r>
      <w:r w:rsidR="007800EA" w:rsidRPr="00143198">
        <w:rPr>
          <w:szCs w:val="24"/>
          <w:lang w:val="en-GB" w:eastAsia="en-GB"/>
        </w:rPr>
        <w:t xml:space="preserve"> </w:t>
      </w:r>
      <w:r w:rsidRPr="00143198">
        <w:rPr>
          <w:szCs w:val="24"/>
          <w:lang w:val="en-GB" w:eastAsia="en-GB"/>
        </w:rPr>
        <w:t xml:space="preserve">units* of </w:t>
      </w:r>
      <w:proofErr w:type="spellStart"/>
      <w:r w:rsidRPr="00143198">
        <w:rPr>
          <w:szCs w:val="24"/>
          <w:lang w:val="en-GB" w:eastAsia="en-GB"/>
        </w:rPr>
        <w:t>taliglucerase</w:t>
      </w:r>
      <w:proofErr w:type="spellEnd"/>
      <w:r w:rsidRPr="00143198">
        <w:rPr>
          <w:szCs w:val="24"/>
          <w:lang w:val="en-GB" w:eastAsia="en-GB"/>
        </w:rPr>
        <w:t xml:space="preserve"> </w:t>
      </w:r>
      <w:proofErr w:type="spellStart"/>
      <w:r w:rsidRPr="00143198">
        <w:rPr>
          <w:szCs w:val="24"/>
          <w:lang w:val="en-GB" w:eastAsia="en-GB"/>
        </w:rPr>
        <w:t>alfa</w:t>
      </w:r>
      <w:proofErr w:type="spellEnd"/>
      <w:r w:rsidR="00913C16">
        <w:rPr>
          <w:szCs w:val="24"/>
          <w:lang w:val="en-GB" w:eastAsia="en-GB"/>
        </w:rPr>
        <w:t xml:space="preserve"> </w:t>
      </w:r>
      <w:proofErr w:type="spellStart"/>
      <w:r w:rsidR="0023662A">
        <w:rPr>
          <w:szCs w:val="24"/>
          <w:lang w:val="en-GB" w:eastAsia="en-GB"/>
        </w:rPr>
        <w:t>rpc</w:t>
      </w:r>
      <w:proofErr w:type="spellEnd"/>
      <w:r w:rsidRPr="00143198">
        <w:rPr>
          <w:szCs w:val="24"/>
          <w:lang w:val="en-GB" w:eastAsia="en-GB"/>
        </w:rPr>
        <w:t>**</w:t>
      </w:r>
      <w:r w:rsidR="000D0FE7">
        <w:rPr>
          <w:szCs w:val="24"/>
          <w:lang w:val="en-GB" w:eastAsia="en-GB"/>
        </w:rPr>
        <w:t xml:space="preserve">, </w:t>
      </w:r>
      <w:r w:rsidR="000F230B">
        <w:rPr>
          <w:szCs w:val="24"/>
          <w:lang w:val="en-GB" w:eastAsia="en-GB"/>
        </w:rPr>
        <w:t xml:space="preserve">195 </w:t>
      </w:r>
      <w:r w:rsidR="00B67034" w:rsidRPr="00143198">
        <w:rPr>
          <w:szCs w:val="24"/>
          <w:lang w:val="en-GB" w:eastAsia="en-GB"/>
        </w:rPr>
        <w:t xml:space="preserve">mg </w:t>
      </w:r>
      <w:proofErr w:type="spellStart"/>
      <w:r w:rsidRPr="00143198">
        <w:rPr>
          <w:szCs w:val="24"/>
          <w:lang w:val="en-GB" w:eastAsia="en-GB"/>
        </w:rPr>
        <w:t>mannitol</w:t>
      </w:r>
      <w:proofErr w:type="spellEnd"/>
      <w:r w:rsidRPr="00143198">
        <w:rPr>
          <w:szCs w:val="24"/>
          <w:lang w:val="en-GB" w:eastAsia="en-GB"/>
        </w:rPr>
        <w:t xml:space="preserve">, </w:t>
      </w:r>
      <w:r w:rsidR="000F230B">
        <w:rPr>
          <w:szCs w:val="24"/>
          <w:lang w:val="en-GB" w:eastAsia="en-GB"/>
        </w:rPr>
        <w:t>28.7</w:t>
      </w:r>
      <w:r w:rsidR="00B67034" w:rsidRPr="00143198">
        <w:rPr>
          <w:szCs w:val="24"/>
          <w:lang w:val="en-GB" w:eastAsia="en-GB"/>
        </w:rPr>
        <w:t xml:space="preserve"> mg </w:t>
      </w:r>
      <w:r w:rsidRPr="00143198">
        <w:rPr>
          <w:szCs w:val="24"/>
          <w:lang w:val="en-GB" w:eastAsia="en-GB"/>
        </w:rPr>
        <w:t>sodium citrate</w:t>
      </w:r>
      <w:r w:rsidR="00B67034" w:rsidRPr="00143198">
        <w:rPr>
          <w:szCs w:val="24"/>
          <w:lang w:val="en-GB" w:eastAsia="en-GB"/>
        </w:rPr>
        <w:t xml:space="preserve"> </w:t>
      </w:r>
      <w:r w:rsidR="00935E33" w:rsidRPr="00143198">
        <w:rPr>
          <w:szCs w:val="24"/>
          <w:lang w:val="en-GB" w:eastAsia="en-GB"/>
        </w:rPr>
        <w:t>and 0.5</w:t>
      </w:r>
      <w:r w:rsidR="000F230B">
        <w:rPr>
          <w:szCs w:val="24"/>
          <w:lang w:val="en-GB" w:eastAsia="en-GB"/>
        </w:rPr>
        <w:t>3</w:t>
      </w:r>
      <w:r w:rsidR="00106907">
        <w:rPr>
          <w:szCs w:val="24"/>
          <w:lang w:val="en-GB" w:eastAsia="en-GB"/>
        </w:rPr>
        <w:t xml:space="preserve"> </w:t>
      </w:r>
      <w:r w:rsidR="00935E33" w:rsidRPr="00143198">
        <w:rPr>
          <w:szCs w:val="24"/>
          <w:lang w:val="en-GB" w:eastAsia="en-GB"/>
        </w:rPr>
        <w:t>mg</w:t>
      </w:r>
      <w:r w:rsidR="00B67034" w:rsidRPr="00143198">
        <w:rPr>
          <w:szCs w:val="24"/>
          <w:lang w:val="en-GB" w:eastAsia="en-GB"/>
        </w:rPr>
        <w:t xml:space="preserve"> </w:t>
      </w:r>
      <w:proofErr w:type="spellStart"/>
      <w:r w:rsidR="001274A6" w:rsidRPr="00143198">
        <w:rPr>
          <w:szCs w:val="24"/>
          <w:lang w:val="en-GB" w:eastAsia="en-GB"/>
        </w:rPr>
        <w:t>polysorbate</w:t>
      </w:r>
      <w:proofErr w:type="spellEnd"/>
      <w:r w:rsidR="001274A6" w:rsidRPr="00143198">
        <w:rPr>
          <w:szCs w:val="24"/>
          <w:lang w:val="en-GB" w:eastAsia="en-GB"/>
        </w:rPr>
        <w:t xml:space="preserve"> </w:t>
      </w:r>
      <w:r w:rsidRPr="00143198">
        <w:rPr>
          <w:szCs w:val="24"/>
          <w:lang w:val="en-GB" w:eastAsia="en-GB"/>
        </w:rPr>
        <w:t>80</w:t>
      </w:r>
      <w:r w:rsidR="00B67034" w:rsidRPr="00143198">
        <w:rPr>
          <w:szCs w:val="24"/>
          <w:lang w:val="en-GB" w:eastAsia="en-GB"/>
        </w:rPr>
        <w:t xml:space="preserve">. </w:t>
      </w:r>
    </w:p>
    <w:p w:rsidR="00A35B80" w:rsidRPr="00143198" w:rsidRDefault="00A35B80" w:rsidP="00965C4E">
      <w:pPr>
        <w:rPr>
          <w:szCs w:val="24"/>
          <w:lang w:val="en-GB" w:eastAsia="en-GB"/>
        </w:rPr>
      </w:pPr>
      <w:r w:rsidRPr="00143198">
        <w:rPr>
          <w:szCs w:val="24"/>
          <w:lang w:val="en-GB" w:eastAsia="en-GB"/>
        </w:rPr>
        <w:t xml:space="preserve">After reconstitution, the solution contains 40 units </w:t>
      </w:r>
      <w:r w:rsidRPr="00F45F21">
        <w:rPr>
          <w:szCs w:val="24"/>
          <w:lang w:val="en-GB" w:eastAsia="en-GB"/>
        </w:rPr>
        <w:t xml:space="preserve">(approximately </w:t>
      </w:r>
      <w:r w:rsidR="00B6369C" w:rsidRPr="00F45F21">
        <w:rPr>
          <w:szCs w:val="24"/>
          <w:lang w:val="en-GB" w:eastAsia="en-GB"/>
        </w:rPr>
        <w:t xml:space="preserve">1.2 </w:t>
      </w:r>
      <w:r w:rsidRPr="00F45F21">
        <w:rPr>
          <w:szCs w:val="24"/>
          <w:lang w:val="en-GB" w:eastAsia="en-GB"/>
        </w:rPr>
        <w:t>mg)</w:t>
      </w:r>
      <w:r w:rsidRPr="00143198">
        <w:rPr>
          <w:szCs w:val="24"/>
          <w:lang w:val="en-GB" w:eastAsia="en-GB"/>
        </w:rPr>
        <w:t xml:space="preserve"> of </w:t>
      </w:r>
      <w:proofErr w:type="spellStart"/>
      <w:r w:rsidRPr="00143198">
        <w:rPr>
          <w:szCs w:val="24"/>
          <w:lang w:val="en-GB" w:eastAsia="en-GB"/>
        </w:rPr>
        <w:t>taliglucerase</w:t>
      </w:r>
      <w:proofErr w:type="spellEnd"/>
      <w:r w:rsidRPr="00143198">
        <w:rPr>
          <w:szCs w:val="24"/>
          <w:lang w:val="en-GB" w:eastAsia="en-GB"/>
        </w:rPr>
        <w:t xml:space="preserve"> </w:t>
      </w:r>
      <w:proofErr w:type="spellStart"/>
      <w:r w:rsidRPr="00143198">
        <w:rPr>
          <w:szCs w:val="24"/>
          <w:lang w:val="en-GB" w:eastAsia="en-GB"/>
        </w:rPr>
        <w:t>alfa</w:t>
      </w:r>
      <w:proofErr w:type="spellEnd"/>
      <w:r w:rsidRPr="00143198">
        <w:rPr>
          <w:szCs w:val="24"/>
          <w:lang w:val="en-GB" w:eastAsia="en-GB"/>
        </w:rPr>
        <w:t xml:space="preserve"> </w:t>
      </w:r>
      <w:proofErr w:type="spellStart"/>
      <w:r w:rsidR="0023662A">
        <w:rPr>
          <w:szCs w:val="24"/>
          <w:lang w:val="en-GB" w:eastAsia="en-GB"/>
        </w:rPr>
        <w:t>rpc</w:t>
      </w:r>
      <w:proofErr w:type="spellEnd"/>
      <w:r w:rsidR="00913C16">
        <w:rPr>
          <w:szCs w:val="24"/>
          <w:lang w:val="en-GB" w:eastAsia="en-GB"/>
        </w:rPr>
        <w:t xml:space="preserve"> </w:t>
      </w:r>
      <w:r w:rsidRPr="00143198">
        <w:rPr>
          <w:szCs w:val="24"/>
          <w:lang w:val="en-GB" w:eastAsia="en-GB"/>
        </w:rPr>
        <w:t xml:space="preserve">per </w:t>
      </w:r>
      <w:r w:rsidR="00665D44">
        <w:rPr>
          <w:szCs w:val="24"/>
          <w:lang w:val="en-GB" w:eastAsia="en-GB"/>
        </w:rPr>
        <w:t>m</w:t>
      </w:r>
      <w:r w:rsidR="00236C3B">
        <w:rPr>
          <w:szCs w:val="24"/>
          <w:lang w:val="en-GB" w:eastAsia="en-GB"/>
        </w:rPr>
        <w:t>L</w:t>
      </w:r>
      <w:r w:rsidR="00544D57" w:rsidRPr="00143198">
        <w:rPr>
          <w:szCs w:val="24"/>
          <w:lang w:val="en-GB" w:eastAsia="en-GB"/>
        </w:rPr>
        <w:t xml:space="preserve"> </w:t>
      </w:r>
      <w:r w:rsidRPr="00143198">
        <w:rPr>
          <w:szCs w:val="24"/>
          <w:lang w:val="en-GB" w:eastAsia="en-GB"/>
        </w:rPr>
        <w:t>(200</w:t>
      </w:r>
      <w:r w:rsidR="001274A6">
        <w:rPr>
          <w:szCs w:val="24"/>
          <w:lang w:val="en-GB" w:eastAsia="en-GB"/>
        </w:rPr>
        <w:t xml:space="preserve"> </w:t>
      </w:r>
      <w:r w:rsidR="002D5FA8">
        <w:rPr>
          <w:szCs w:val="24"/>
          <w:lang w:val="en-GB" w:eastAsia="en-GB"/>
        </w:rPr>
        <w:t>units</w:t>
      </w:r>
      <w:r w:rsidRPr="00143198">
        <w:rPr>
          <w:szCs w:val="24"/>
          <w:lang w:val="en-GB" w:eastAsia="en-GB"/>
        </w:rPr>
        <w:t>/5</w:t>
      </w:r>
      <w:r w:rsidR="001274A6">
        <w:rPr>
          <w:szCs w:val="24"/>
          <w:lang w:val="en-GB" w:eastAsia="en-GB"/>
        </w:rPr>
        <w:t xml:space="preserve"> </w:t>
      </w:r>
      <w:r w:rsidR="00665D44">
        <w:rPr>
          <w:szCs w:val="24"/>
          <w:lang w:val="en-GB" w:eastAsia="en-GB"/>
        </w:rPr>
        <w:t>m</w:t>
      </w:r>
      <w:r w:rsidR="00236C3B">
        <w:rPr>
          <w:szCs w:val="24"/>
          <w:lang w:val="en-GB" w:eastAsia="en-GB"/>
        </w:rPr>
        <w:t>L</w:t>
      </w:r>
      <w:r w:rsidRPr="00143198">
        <w:rPr>
          <w:szCs w:val="24"/>
          <w:lang w:val="en-GB" w:eastAsia="en-GB"/>
        </w:rPr>
        <w:t>)</w:t>
      </w:r>
      <w:r w:rsidR="00351130">
        <w:rPr>
          <w:szCs w:val="24"/>
          <w:lang w:val="en-GB" w:eastAsia="en-GB"/>
        </w:rPr>
        <w:t>.</w:t>
      </w:r>
    </w:p>
    <w:p w:rsidR="00A35B80" w:rsidRPr="00143198" w:rsidRDefault="00A35B80" w:rsidP="00965C4E">
      <w:pPr>
        <w:rPr>
          <w:szCs w:val="24"/>
          <w:lang w:val="en-GB" w:eastAsia="en-GB"/>
        </w:rPr>
      </w:pPr>
      <w:r w:rsidRPr="00143198">
        <w:rPr>
          <w:szCs w:val="24"/>
          <w:lang w:val="en-GB" w:eastAsia="en-GB"/>
        </w:rPr>
        <w:t>*An enzyme unit is defined as the amount of enzyme that catalyses the hydrolysis of one micromole of the synthetic substrate para-</w:t>
      </w:r>
      <w:proofErr w:type="spellStart"/>
      <w:r w:rsidRPr="00143198">
        <w:rPr>
          <w:szCs w:val="24"/>
          <w:lang w:val="en-GB" w:eastAsia="en-GB"/>
        </w:rPr>
        <w:t>nitrophen</w:t>
      </w:r>
      <w:r w:rsidR="005E4AFD">
        <w:rPr>
          <w:szCs w:val="24"/>
          <w:lang w:val="en-GB" w:eastAsia="en-GB"/>
        </w:rPr>
        <w:t>y</w:t>
      </w:r>
      <w:r w:rsidRPr="00143198">
        <w:rPr>
          <w:szCs w:val="24"/>
          <w:lang w:val="en-GB" w:eastAsia="en-GB"/>
        </w:rPr>
        <w:t>l</w:t>
      </w:r>
      <w:proofErr w:type="spellEnd"/>
      <w:r w:rsidRPr="00143198">
        <w:rPr>
          <w:szCs w:val="24"/>
          <w:lang w:val="en-GB" w:eastAsia="en-GB"/>
        </w:rPr>
        <w:t>-β-D-</w:t>
      </w:r>
      <w:proofErr w:type="spellStart"/>
      <w:r w:rsidRPr="00143198">
        <w:rPr>
          <w:szCs w:val="24"/>
          <w:lang w:val="en-GB" w:eastAsia="en-GB"/>
        </w:rPr>
        <w:t>glucopyranoside</w:t>
      </w:r>
      <w:proofErr w:type="spellEnd"/>
      <w:r w:rsidRPr="00143198">
        <w:rPr>
          <w:szCs w:val="24"/>
          <w:lang w:val="en-GB" w:eastAsia="en-GB"/>
        </w:rPr>
        <w:t xml:space="preserve"> (</w:t>
      </w:r>
      <w:proofErr w:type="spellStart"/>
      <w:r w:rsidRPr="00143198">
        <w:rPr>
          <w:szCs w:val="24"/>
          <w:lang w:val="en-GB" w:eastAsia="en-GB"/>
        </w:rPr>
        <w:t>pNP-Glc</w:t>
      </w:r>
      <w:proofErr w:type="spellEnd"/>
      <w:r w:rsidRPr="00143198">
        <w:rPr>
          <w:szCs w:val="24"/>
          <w:lang w:val="en-GB" w:eastAsia="en-GB"/>
        </w:rPr>
        <w:t>) per minute at 37ºC.</w:t>
      </w:r>
    </w:p>
    <w:p w:rsidR="00A35B80" w:rsidRPr="00143198" w:rsidRDefault="00A35B80" w:rsidP="00965C4E">
      <w:r w:rsidRPr="00143198">
        <w:rPr>
          <w:szCs w:val="24"/>
          <w:lang w:val="en-GB" w:eastAsia="en-GB"/>
        </w:rPr>
        <w:lastRenderedPageBreak/>
        <w:t>**</w:t>
      </w:r>
      <w:proofErr w:type="spellStart"/>
      <w:r w:rsidRPr="00143198">
        <w:rPr>
          <w:szCs w:val="24"/>
          <w:lang w:val="en-GB" w:eastAsia="en-GB"/>
        </w:rPr>
        <w:t>Taliglucerase</w:t>
      </w:r>
      <w:proofErr w:type="spellEnd"/>
      <w:r w:rsidRPr="00143198">
        <w:rPr>
          <w:szCs w:val="24"/>
          <w:lang w:val="en-GB" w:eastAsia="en-GB"/>
        </w:rPr>
        <w:t xml:space="preserve"> </w:t>
      </w:r>
      <w:proofErr w:type="spellStart"/>
      <w:r w:rsidRPr="00143198">
        <w:rPr>
          <w:szCs w:val="24"/>
          <w:lang w:val="en-GB" w:eastAsia="en-GB"/>
        </w:rPr>
        <w:t>alfa</w:t>
      </w:r>
      <w:proofErr w:type="spellEnd"/>
      <w:r w:rsidR="00913C16">
        <w:rPr>
          <w:szCs w:val="24"/>
          <w:lang w:val="en-GB" w:eastAsia="en-GB"/>
        </w:rPr>
        <w:t xml:space="preserve"> </w:t>
      </w:r>
      <w:proofErr w:type="spellStart"/>
      <w:r w:rsidR="0023662A">
        <w:rPr>
          <w:szCs w:val="24"/>
          <w:lang w:val="en-GB" w:eastAsia="en-GB"/>
        </w:rPr>
        <w:t>rpc</w:t>
      </w:r>
      <w:proofErr w:type="spellEnd"/>
      <w:r w:rsidRPr="00143198">
        <w:rPr>
          <w:szCs w:val="24"/>
          <w:lang w:val="en-GB" w:eastAsia="en-GB"/>
        </w:rPr>
        <w:t xml:space="preserve"> is a recombinant form of human </w:t>
      </w:r>
      <w:proofErr w:type="spellStart"/>
      <w:r w:rsidRPr="00143198">
        <w:rPr>
          <w:szCs w:val="24"/>
          <w:lang w:val="en-GB" w:eastAsia="en-GB"/>
        </w:rPr>
        <w:t>glucocerebrosidase</w:t>
      </w:r>
      <w:proofErr w:type="spellEnd"/>
      <w:r w:rsidRPr="00143198">
        <w:rPr>
          <w:szCs w:val="24"/>
          <w:lang w:val="en-GB" w:eastAsia="en-GB"/>
        </w:rPr>
        <w:t xml:space="preserve"> expressed in genetically modified carrot plant cells in </w:t>
      </w:r>
      <w:r w:rsidR="00935E33" w:rsidRPr="00143198">
        <w:rPr>
          <w:szCs w:val="24"/>
          <w:lang w:val="en-GB" w:eastAsia="en-GB"/>
        </w:rPr>
        <w:t>suspension that</w:t>
      </w:r>
      <w:r w:rsidRPr="00143198">
        <w:rPr>
          <w:szCs w:val="24"/>
          <w:lang w:val="en-GB" w:eastAsia="en-GB"/>
        </w:rPr>
        <w:t xml:space="preserve"> naturally bears terminal mannose structures for targeting macrophages.</w:t>
      </w:r>
      <w:r w:rsidRPr="00143198" w:rsidDel="00A35B80">
        <w:rPr>
          <w:noProof/>
        </w:rPr>
        <w:t xml:space="preserve"> </w:t>
      </w:r>
    </w:p>
    <w:p w:rsidR="00514885" w:rsidRPr="005943F4" w:rsidRDefault="00514885" w:rsidP="00E02163">
      <w:pPr>
        <w:pStyle w:val="PIHeading1"/>
        <w:rPr>
          <w:szCs w:val="24"/>
        </w:rPr>
      </w:pPr>
      <w:r w:rsidRPr="005943F4">
        <w:t>PHARMACOLOGY</w:t>
      </w:r>
      <w:r w:rsidR="003C5BED" w:rsidRPr="005943F4">
        <w:t xml:space="preserve"> </w:t>
      </w:r>
    </w:p>
    <w:p w:rsidR="00514885" w:rsidRPr="005C6BDD" w:rsidRDefault="00514885" w:rsidP="00E02163">
      <w:pPr>
        <w:pStyle w:val="PIHeading2"/>
        <w:rPr>
          <w:szCs w:val="28"/>
        </w:rPr>
      </w:pPr>
      <w:r w:rsidRPr="005C6BDD">
        <w:t>Pharmacodynamics</w:t>
      </w:r>
      <w:r w:rsidR="003C5BED" w:rsidRPr="005C6BDD">
        <w:t xml:space="preserve"> </w:t>
      </w:r>
    </w:p>
    <w:p w:rsidR="00B14342" w:rsidRDefault="00D33B35" w:rsidP="00965C4E">
      <w:pPr>
        <w:rPr>
          <w:noProof/>
        </w:rPr>
      </w:pPr>
      <w:r w:rsidRPr="005943F4">
        <w:rPr>
          <w:noProof/>
        </w:rPr>
        <w:t>Pharmacotherapeutic group: alimentary tract and metabolism</w:t>
      </w:r>
      <w:r w:rsidR="009C6A20">
        <w:rPr>
          <w:noProof/>
        </w:rPr>
        <w:t xml:space="preserve"> - enzymes</w:t>
      </w:r>
      <w:r w:rsidR="003A4066">
        <w:rPr>
          <w:noProof/>
        </w:rPr>
        <w:t>.</w:t>
      </w:r>
      <w:r w:rsidRPr="005943F4">
        <w:rPr>
          <w:noProof/>
        </w:rPr>
        <w:t xml:space="preserve"> </w:t>
      </w:r>
    </w:p>
    <w:p w:rsidR="00D33B35" w:rsidRPr="005943F4" w:rsidRDefault="002133AB" w:rsidP="00965C4E">
      <w:proofErr w:type="spellStart"/>
      <w:r w:rsidRPr="005943F4">
        <w:t>Taliglucerase</w:t>
      </w:r>
      <w:proofErr w:type="spellEnd"/>
      <w:r w:rsidRPr="005943F4">
        <w:t xml:space="preserve"> </w:t>
      </w:r>
      <w:proofErr w:type="spellStart"/>
      <w:r w:rsidRPr="005943F4">
        <w:t>alfa</w:t>
      </w:r>
      <w:proofErr w:type="spellEnd"/>
      <w:r w:rsidR="00593DEC">
        <w:t xml:space="preserve"> </w:t>
      </w:r>
      <w:proofErr w:type="spellStart"/>
      <w:r w:rsidR="0023662A">
        <w:t>rpc</w:t>
      </w:r>
      <w:proofErr w:type="spellEnd"/>
      <w:r w:rsidR="00D33B35" w:rsidRPr="005943F4">
        <w:t xml:space="preserve"> </w:t>
      </w:r>
      <w:r w:rsidR="00D33B35" w:rsidRPr="005943F4">
        <w:rPr>
          <w:noProof/>
        </w:rPr>
        <w:t xml:space="preserve">is a recombinant active form of the human lysosomal enzyme, </w:t>
      </w:r>
      <w:r w:rsidR="00D33B35" w:rsidRPr="005943F4">
        <w:t>β</w:t>
      </w:r>
      <w:r w:rsidR="00D33B35" w:rsidRPr="005943F4">
        <w:noBreakHyphen/>
      </w:r>
      <w:proofErr w:type="spellStart"/>
      <w:r w:rsidR="00D33B35" w:rsidRPr="005943F4">
        <w:rPr>
          <w:noProof/>
        </w:rPr>
        <w:t>glucocerebrosidase</w:t>
      </w:r>
      <w:proofErr w:type="spellEnd"/>
      <w:r w:rsidR="00D33B35" w:rsidRPr="005943F4">
        <w:rPr>
          <w:noProof/>
        </w:rPr>
        <w:t xml:space="preserve">, </w:t>
      </w:r>
      <w:r w:rsidR="009C6A20">
        <w:rPr>
          <w:noProof/>
        </w:rPr>
        <w:t>expressed in genetically modified carrot plant root cells</w:t>
      </w:r>
      <w:r w:rsidR="00D33B35" w:rsidRPr="005943F4">
        <w:t xml:space="preserve">  β</w:t>
      </w:r>
      <w:r w:rsidR="00D33B35" w:rsidRPr="005943F4">
        <w:noBreakHyphen/>
      </w:r>
      <w:proofErr w:type="spellStart"/>
      <w:r w:rsidR="00D33B35" w:rsidRPr="005943F4">
        <w:t>glucocerebrosidase</w:t>
      </w:r>
      <w:proofErr w:type="spellEnd"/>
      <w:r w:rsidR="00D33B35" w:rsidRPr="005943F4">
        <w:t xml:space="preserve"> (β-D-</w:t>
      </w:r>
      <w:proofErr w:type="spellStart"/>
      <w:r w:rsidR="00D33B35" w:rsidRPr="005943F4">
        <w:t>glucosyl</w:t>
      </w:r>
      <w:proofErr w:type="spellEnd"/>
      <w:r w:rsidR="00D33B35" w:rsidRPr="005943F4">
        <w:t>-N-</w:t>
      </w:r>
      <w:proofErr w:type="spellStart"/>
      <w:r w:rsidR="00D33B35" w:rsidRPr="005943F4">
        <w:t>acylsphingosine</w:t>
      </w:r>
      <w:proofErr w:type="spellEnd"/>
      <w:r w:rsidR="00D33B35" w:rsidRPr="005943F4">
        <w:t xml:space="preserve"> </w:t>
      </w:r>
      <w:proofErr w:type="spellStart"/>
      <w:r w:rsidR="00D33B35" w:rsidRPr="005943F4">
        <w:t>glucohydrolase</w:t>
      </w:r>
      <w:proofErr w:type="spellEnd"/>
      <w:r w:rsidR="00D33B35" w:rsidRPr="005943F4">
        <w:t xml:space="preserve">, E.C. 3.2.1.45) is a </w:t>
      </w:r>
      <w:proofErr w:type="spellStart"/>
      <w:r w:rsidR="00D33B35" w:rsidRPr="005943F4">
        <w:t>lysosomal</w:t>
      </w:r>
      <w:proofErr w:type="spellEnd"/>
      <w:r w:rsidR="00D33B35" w:rsidRPr="005943F4">
        <w:t xml:space="preserve"> glycoprotein enzyme that catalyses the hydrolysis of the glycolipid </w:t>
      </w:r>
      <w:proofErr w:type="spellStart"/>
      <w:r w:rsidR="00D33B35" w:rsidRPr="005943F4">
        <w:t>glucocerebroside</w:t>
      </w:r>
      <w:proofErr w:type="spellEnd"/>
      <w:r w:rsidR="00D33B35" w:rsidRPr="005943F4">
        <w:t xml:space="preserve"> to glucose and </w:t>
      </w:r>
      <w:proofErr w:type="spellStart"/>
      <w:r w:rsidR="00D33B35" w:rsidRPr="005943F4">
        <w:t>ceramide</w:t>
      </w:r>
      <w:proofErr w:type="spellEnd"/>
      <w:r w:rsidR="00D33B35" w:rsidRPr="005943F4">
        <w:t>.</w:t>
      </w:r>
    </w:p>
    <w:p w:rsidR="00D33B35" w:rsidRDefault="00D33B35" w:rsidP="00965C4E">
      <w:pPr>
        <w:rPr>
          <w:noProof/>
        </w:rPr>
      </w:pPr>
      <w:r w:rsidRPr="00CB3919">
        <w:rPr>
          <w:noProof/>
        </w:rPr>
        <w:t xml:space="preserve">Gaucher disease is caused by point mutations in the human glucocerebrosidase (hGCD) gene, which result in a less active endogenous enzyme resulting in the accumulation of </w:t>
      </w:r>
      <w:r w:rsidR="00740986" w:rsidRPr="00CB3919">
        <w:rPr>
          <w:noProof/>
        </w:rPr>
        <w:t xml:space="preserve">glucocerebroside in </w:t>
      </w:r>
      <w:r w:rsidRPr="00CB3919">
        <w:rPr>
          <w:noProof/>
        </w:rPr>
        <w:t>the lysosomes of macrophages</w:t>
      </w:r>
      <w:bookmarkStart w:id="1" w:name="_Ref267649136"/>
      <w:r w:rsidRPr="00CB3919">
        <w:rPr>
          <w:noProof/>
        </w:rPr>
        <w:t>.</w:t>
      </w:r>
      <w:bookmarkEnd w:id="1"/>
    </w:p>
    <w:p w:rsidR="00A2053C" w:rsidRPr="005943F4" w:rsidRDefault="00A2053C" w:rsidP="00965C4E">
      <w:r w:rsidRPr="005943F4">
        <w:rPr>
          <w:noProof/>
        </w:rPr>
        <w:t xml:space="preserve">The characteristic </w:t>
      </w:r>
      <w:r w:rsidR="00CB3919">
        <w:rPr>
          <w:noProof/>
        </w:rPr>
        <w:t>glycolipid-laden macrophages</w:t>
      </w:r>
      <w:r w:rsidRPr="005943F4">
        <w:rPr>
          <w:noProof/>
        </w:rPr>
        <w:t>, called Gaucher cells, are found in liver, spleen and bone marrow. The associated clinical systemic symptoms include severe hepatosplenomegaly as well as anaemia, thrombocytopenia and skeletal deterioration in the form of osteonecrosis, pathological fractures associated with osteop</w:t>
      </w:r>
      <w:r w:rsidR="00C55023">
        <w:rPr>
          <w:noProof/>
        </w:rPr>
        <w:t>a</w:t>
      </w:r>
      <w:r w:rsidRPr="005943F4">
        <w:rPr>
          <w:noProof/>
        </w:rPr>
        <w:t xml:space="preserve">enia, remodeling failure and bone crises. </w:t>
      </w:r>
      <w:r w:rsidR="00245CDD">
        <w:rPr>
          <w:noProof/>
        </w:rPr>
        <w:t xml:space="preserve">The </w:t>
      </w:r>
      <w:r w:rsidR="00442237">
        <w:rPr>
          <w:noProof/>
        </w:rPr>
        <w:t xml:space="preserve">oligosaccharide chains at </w:t>
      </w:r>
      <w:r w:rsidR="00820ED7">
        <w:rPr>
          <w:noProof/>
        </w:rPr>
        <w:t>taliglucerase</w:t>
      </w:r>
      <w:r w:rsidR="00245CDD">
        <w:rPr>
          <w:noProof/>
        </w:rPr>
        <w:t xml:space="preserve"> alfa rpc </w:t>
      </w:r>
      <w:r w:rsidR="00442237">
        <w:rPr>
          <w:noProof/>
        </w:rPr>
        <w:t>glycosylation sites hav</w:t>
      </w:r>
      <w:r w:rsidR="00245CDD">
        <w:rPr>
          <w:noProof/>
        </w:rPr>
        <w:t>e</w:t>
      </w:r>
      <w:r w:rsidR="00442237">
        <w:rPr>
          <w:noProof/>
        </w:rPr>
        <w:t xml:space="preserve"> terminal mannose sugars that are necessary for interaction with </w:t>
      </w:r>
      <w:r w:rsidR="00245CDD">
        <w:rPr>
          <w:noProof/>
        </w:rPr>
        <w:t>mannose</w:t>
      </w:r>
      <w:r w:rsidR="00442237">
        <w:rPr>
          <w:noProof/>
        </w:rPr>
        <w:t xml:space="preserve"> receptor</w:t>
      </w:r>
      <w:r w:rsidR="00245CDD">
        <w:rPr>
          <w:noProof/>
        </w:rPr>
        <w:t>s</w:t>
      </w:r>
      <w:r w:rsidR="00442237">
        <w:rPr>
          <w:noProof/>
        </w:rPr>
        <w:t xml:space="preserve"> present on macrophages</w:t>
      </w:r>
      <w:r w:rsidR="00245CDD">
        <w:rPr>
          <w:noProof/>
        </w:rPr>
        <w:t xml:space="preserve">. </w:t>
      </w:r>
      <w:r w:rsidR="009C1647">
        <w:rPr>
          <w:noProof/>
        </w:rPr>
        <w:t>T</w:t>
      </w:r>
      <w:r w:rsidR="00442237">
        <w:rPr>
          <w:noProof/>
        </w:rPr>
        <w:t xml:space="preserve">aliglucerase alfa rpc </w:t>
      </w:r>
      <w:r w:rsidR="009C1647">
        <w:rPr>
          <w:noProof/>
        </w:rPr>
        <w:t xml:space="preserve">uptake </w:t>
      </w:r>
      <w:r w:rsidR="00442237">
        <w:rPr>
          <w:noProof/>
        </w:rPr>
        <w:t xml:space="preserve">by macrophages </w:t>
      </w:r>
      <w:r w:rsidR="009C1647">
        <w:rPr>
          <w:noProof/>
        </w:rPr>
        <w:t>was</w:t>
      </w:r>
      <w:r w:rsidR="00442237">
        <w:rPr>
          <w:noProof/>
        </w:rPr>
        <w:t xml:space="preserve"> shown</w:t>
      </w:r>
      <w:r w:rsidR="009C1647">
        <w:rPr>
          <w:noProof/>
        </w:rPr>
        <w:t xml:space="preserve">, in </w:t>
      </w:r>
      <w:r w:rsidR="009C1647" w:rsidRPr="009C1647">
        <w:rPr>
          <w:i/>
          <w:noProof/>
        </w:rPr>
        <w:t>in vitro</w:t>
      </w:r>
      <w:r w:rsidR="009C1647">
        <w:rPr>
          <w:noProof/>
        </w:rPr>
        <w:t xml:space="preserve"> studies with both mouse and human cells, </w:t>
      </w:r>
      <w:r w:rsidR="00442237">
        <w:rPr>
          <w:noProof/>
        </w:rPr>
        <w:t xml:space="preserve">to be </w:t>
      </w:r>
      <w:r w:rsidR="009C1647">
        <w:rPr>
          <w:noProof/>
        </w:rPr>
        <w:t>in large part</w:t>
      </w:r>
      <w:r w:rsidR="00442237">
        <w:rPr>
          <w:noProof/>
        </w:rPr>
        <w:t xml:space="preserve"> mediated by mannose receptors.  </w:t>
      </w:r>
    </w:p>
    <w:p w:rsidR="00565C36" w:rsidRPr="005943F4" w:rsidRDefault="00565C36" w:rsidP="0045150C">
      <w:pPr>
        <w:pStyle w:val="PIHeading2"/>
      </w:pPr>
      <w:r w:rsidRPr="003646C5">
        <w:t>Pharmacokinetics</w:t>
      </w:r>
      <w:r w:rsidR="003C5BED" w:rsidRPr="005943F4">
        <w:t xml:space="preserve"> </w:t>
      </w:r>
    </w:p>
    <w:p w:rsidR="00FB0550" w:rsidRPr="0045150C" w:rsidRDefault="00FB0550" w:rsidP="0045150C">
      <w:pPr>
        <w:pStyle w:val="PIHeading3"/>
      </w:pPr>
      <w:r w:rsidRPr="0045150C">
        <w:t>Clinical pharmacokinetics</w:t>
      </w:r>
    </w:p>
    <w:p w:rsidR="00593DEC" w:rsidRDefault="00593DEC" w:rsidP="00E02163">
      <w:r>
        <w:t xml:space="preserve">In healthy subjects, after a single dose by </w:t>
      </w:r>
      <w:r w:rsidR="00603A80">
        <w:t>intravenous</w:t>
      </w:r>
      <w:r>
        <w:t xml:space="preserve"> infusion over 90 minutes, </w:t>
      </w:r>
      <w:proofErr w:type="spellStart"/>
      <w:r>
        <w:t>taliglucerase</w:t>
      </w:r>
      <w:proofErr w:type="spellEnd"/>
      <w:r>
        <w:t xml:space="preserve"> </w:t>
      </w:r>
      <w:proofErr w:type="spellStart"/>
      <w:r>
        <w:t>alfa</w:t>
      </w:r>
      <w:proofErr w:type="spellEnd"/>
      <w:r>
        <w:t xml:space="preserve"> </w:t>
      </w:r>
      <w:proofErr w:type="spellStart"/>
      <w:r w:rsidR="002438DE">
        <w:t>rpc</w:t>
      </w:r>
      <w:proofErr w:type="spellEnd"/>
      <w:r w:rsidR="002438DE">
        <w:t xml:space="preserve"> </w:t>
      </w:r>
      <w:r>
        <w:t xml:space="preserve">is rapidly eliminated with a mean elimination half-life of </w:t>
      </w:r>
      <w:r w:rsidR="00603A80">
        <w:t xml:space="preserve">8 </w:t>
      </w:r>
      <w:r w:rsidR="00C55023">
        <w:t>min</w:t>
      </w:r>
      <w:r w:rsidR="00EB6897">
        <w:t>utes</w:t>
      </w:r>
      <w:r>
        <w:t xml:space="preserve"> </w:t>
      </w:r>
      <w:r w:rsidR="00C55023">
        <w:t xml:space="preserve">at a dose of 30 units/kg </w:t>
      </w:r>
      <w:r>
        <w:t>and 17 min</w:t>
      </w:r>
      <w:r w:rsidR="00EB6897">
        <w:t>utes</w:t>
      </w:r>
      <w:r>
        <w:t xml:space="preserve"> at </w:t>
      </w:r>
      <w:r w:rsidR="002438DE">
        <w:t xml:space="preserve">a dose of </w:t>
      </w:r>
      <w:r>
        <w:t xml:space="preserve">60 units/kg. </w:t>
      </w:r>
      <w:r w:rsidR="00031078">
        <w:t xml:space="preserve">The mean </w:t>
      </w:r>
      <w:proofErr w:type="spellStart"/>
      <w:r w:rsidR="00031078">
        <w:t>AUCt</w:t>
      </w:r>
      <w:proofErr w:type="spellEnd"/>
      <w:r w:rsidR="00031078">
        <w:t xml:space="preserve"> is </w:t>
      </w:r>
      <w:r w:rsidR="00603A80">
        <w:t>3</w:t>
      </w:r>
      <w:r w:rsidR="00E61A37">
        <w:t>,</w:t>
      </w:r>
      <w:r w:rsidR="00603A80">
        <w:t>608 ng.hr/</w:t>
      </w:r>
      <w:r w:rsidR="00CC2749">
        <w:t>mL</w:t>
      </w:r>
      <w:r w:rsidR="00031078">
        <w:t xml:space="preserve"> </w:t>
      </w:r>
      <w:proofErr w:type="gramStart"/>
      <w:r w:rsidR="00031078">
        <w:t>at 30 units/kg</w:t>
      </w:r>
      <w:proofErr w:type="gramEnd"/>
      <w:r w:rsidR="00031078">
        <w:t xml:space="preserve"> and </w:t>
      </w:r>
      <w:r w:rsidR="00695BF3">
        <w:t xml:space="preserve">13474 ng.hr/mL </w:t>
      </w:r>
      <w:r w:rsidR="00031078">
        <w:t xml:space="preserve">at 60 units/kg, and the increase in </w:t>
      </w:r>
      <w:proofErr w:type="spellStart"/>
      <w:r w:rsidR="00031078">
        <w:t>AUCt</w:t>
      </w:r>
      <w:proofErr w:type="spellEnd"/>
      <w:r w:rsidR="00031078">
        <w:t xml:space="preserve"> appears more than proportional to the dose. T</w:t>
      </w:r>
      <w:r>
        <w:t>he mean clearance was 3.2</w:t>
      </w:r>
      <w:r w:rsidR="00EB6897">
        <w:t xml:space="preserve"> </w:t>
      </w:r>
      <w:r w:rsidR="00665D44">
        <w:t>mL</w:t>
      </w:r>
      <w:r>
        <w:t>/min/kg at 30 units/kg dose and 1.9</w:t>
      </w:r>
      <w:r w:rsidR="00EB6897">
        <w:t xml:space="preserve"> </w:t>
      </w:r>
      <w:r w:rsidR="00665D44">
        <w:t>mL</w:t>
      </w:r>
      <w:r>
        <w:t>/min/kg at 60 units/kg dose</w:t>
      </w:r>
      <w:r w:rsidR="00031078">
        <w:t xml:space="preserve"> with the observed mean steady state volume of distribution (</w:t>
      </w:r>
      <w:proofErr w:type="spellStart"/>
      <w:r w:rsidR="00031078">
        <w:t>Vss</w:t>
      </w:r>
      <w:proofErr w:type="spellEnd"/>
      <w:r w:rsidR="00031078">
        <w:t>) of 6</w:t>
      </w:r>
      <w:r w:rsidR="00442237">
        <w:t>8</w:t>
      </w:r>
      <w:r w:rsidR="00CC2749">
        <w:t xml:space="preserve"> to </w:t>
      </w:r>
      <w:r w:rsidR="00695BF3">
        <w:t xml:space="preserve">71 </w:t>
      </w:r>
      <w:r w:rsidR="00EB6897">
        <w:t>mL</w:t>
      </w:r>
      <w:r w:rsidR="00031078">
        <w:t>/kg</w:t>
      </w:r>
      <w:r>
        <w:t xml:space="preserve">. </w:t>
      </w:r>
      <w:r w:rsidR="00695BF3">
        <w:rPr>
          <w:szCs w:val="22"/>
        </w:rPr>
        <w:t>No gender differences in exposure were observed.</w:t>
      </w:r>
    </w:p>
    <w:p w:rsidR="00695BF3" w:rsidRDefault="00C55023" w:rsidP="00E02163">
      <w:r>
        <w:t>I</w:t>
      </w:r>
      <w:r w:rsidR="00593DEC">
        <w:t xml:space="preserve">n patients with </w:t>
      </w:r>
      <w:proofErr w:type="spellStart"/>
      <w:proofErr w:type="gramStart"/>
      <w:r w:rsidR="00593DEC">
        <w:t>Gaucher</w:t>
      </w:r>
      <w:proofErr w:type="spellEnd"/>
      <w:proofErr w:type="gramEnd"/>
      <w:r w:rsidR="00593DEC">
        <w:t xml:space="preserve"> disease</w:t>
      </w:r>
      <w:r>
        <w:t>,</w:t>
      </w:r>
      <w:r w:rsidR="00593DEC">
        <w:t xml:space="preserve"> </w:t>
      </w:r>
      <w:proofErr w:type="spellStart"/>
      <w:r w:rsidR="00593DEC">
        <w:t>taliglucerase</w:t>
      </w:r>
      <w:proofErr w:type="spellEnd"/>
      <w:r w:rsidR="00D37AEC">
        <w:t xml:space="preserve"> </w:t>
      </w:r>
      <w:proofErr w:type="spellStart"/>
      <w:r w:rsidR="00593DEC">
        <w:t>alfa</w:t>
      </w:r>
      <w:proofErr w:type="spellEnd"/>
      <w:r w:rsidR="00593DEC">
        <w:t xml:space="preserve"> </w:t>
      </w:r>
      <w:proofErr w:type="spellStart"/>
      <w:r w:rsidR="002438DE">
        <w:t>rpc</w:t>
      </w:r>
      <w:proofErr w:type="spellEnd"/>
      <w:r w:rsidR="002438DE">
        <w:t xml:space="preserve"> </w:t>
      </w:r>
      <w:r w:rsidR="00593DEC">
        <w:t xml:space="preserve">is rapidly </w:t>
      </w:r>
      <w:r w:rsidR="00E70158">
        <w:t>eliminated. After</w:t>
      </w:r>
      <w:r w:rsidR="00593DEC">
        <w:t xml:space="preserve"> a single dose by </w:t>
      </w:r>
      <w:r w:rsidR="004D6F18">
        <w:t>intravenous</w:t>
      </w:r>
      <w:r w:rsidR="00593DEC">
        <w:t xml:space="preserve"> infusion over 1</w:t>
      </w:r>
      <w:r w:rsidR="00EB6897">
        <w:t xml:space="preserve"> to</w:t>
      </w:r>
      <w:r w:rsidR="007C66FF">
        <w:t xml:space="preserve"> </w:t>
      </w:r>
      <w:r w:rsidR="00593DEC">
        <w:t>2 h</w:t>
      </w:r>
      <w:r w:rsidR="00EB6897">
        <w:t>ours</w:t>
      </w:r>
      <w:r w:rsidR="00593DEC">
        <w:t xml:space="preserve"> at a dose of 30 </w:t>
      </w:r>
      <w:r w:rsidR="007C66FF">
        <w:t xml:space="preserve">units/kg </w:t>
      </w:r>
      <w:r w:rsidR="00593DEC">
        <w:t xml:space="preserve">and 60 units/kg, the mean elimination half-life is </w:t>
      </w:r>
      <w:r w:rsidR="00695BF3">
        <w:t xml:space="preserve">about </w:t>
      </w:r>
      <w:r w:rsidR="00593DEC">
        <w:t>25 min</w:t>
      </w:r>
      <w:r w:rsidR="00EB6897">
        <w:t>utes</w:t>
      </w:r>
      <w:r w:rsidR="00593DEC">
        <w:t xml:space="preserve">. Single dose data indicate that exposure is substantially lower in patients compared </w:t>
      </w:r>
      <w:r w:rsidR="00F20AC6">
        <w:t>to he</w:t>
      </w:r>
      <w:r w:rsidR="00A40526">
        <w:t xml:space="preserve">althy subjects. After </w:t>
      </w:r>
      <w:r w:rsidR="004D6F18">
        <w:t>continued bi</w:t>
      </w:r>
      <w:r w:rsidR="00F20AC6">
        <w:t xml:space="preserve">weekly dosing there was no clear indication of accumulation, although for the 60 units/kg dose a trend was observed </w:t>
      </w:r>
      <w:r w:rsidR="004D6F18">
        <w:t>towards higher</w:t>
      </w:r>
      <w:r w:rsidR="00F20AC6">
        <w:t xml:space="preserve"> values, but this was not reflected in the clearance or elimination half-life. </w:t>
      </w:r>
      <w:r w:rsidR="00031078">
        <w:t>At steady state</w:t>
      </w:r>
      <w:r>
        <w:t xml:space="preserve"> at week 38</w:t>
      </w:r>
      <w:r w:rsidR="00031078">
        <w:t xml:space="preserve">, the mean </w:t>
      </w:r>
      <w:proofErr w:type="spellStart"/>
      <w:r w:rsidR="00031078">
        <w:t>AUCt</w:t>
      </w:r>
      <w:proofErr w:type="spellEnd"/>
      <w:r w:rsidR="00031078">
        <w:t xml:space="preserve"> (exposure) is 2654 </w:t>
      </w:r>
      <w:r w:rsidR="00695BF3">
        <w:rPr>
          <w:szCs w:val="22"/>
        </w:rPr>
        <w:t>ng.hr/mL</w:t>
      </w:r>
      <w:r w:rsidR="00695BF3" w:rsidRPr="00CF5F00" w:rsidDel="0093211C">
        <w:rPr>
          <w:szCs w:val="22"/>
        </w:rPr>
        <w:t xml:space="preserve"> </w:t>
      </w:r>
      <w:r w:rsidR="00FC1C90">
        <w:t xml:space="preserve">at 30 </w:t>
      </w:r>
      <w:r w:rsidR="00EB6897">
        <w:t>units</w:t>
      </w:r>
      <w:r w:rsidR="00FC1C90">
        <w:t xml:space="preserve">/kg dose, </w:t>
      </w:r>
      <w:r w:rsidR="00031078">
        <w:t xml:space="preserve">and 7665 </w:t>
      </w:r>
      <w:r w:rsidR="00695BF3">
        <w:rPr>
          <w:szCs w:val="22"/>
        </w:rPr>
        <w:t>ng.hr/mL</w:t>
      </w:r>
      <w:r w:rsidR="00695BF3" w:rsidRPr="00CF5F00" w:rsidDel="0093211C">
        <w:rPr>
          <w:szCs w:val="22"/>
        </w:rPr>
        <w:t xml:space="preserve"> </w:t>
      </w:r>
      <w:r w:rsidR="00FC1C90">
        <w:t xml:space="preserve">at 60 </w:t>
      </w:r>
      <w:r w:rsidR="00EB6897">
        <w:t>units</w:t>
      </w:r>
      <w:r w:rsidR="00FC1C90">
        <w:t>/kg</w:t>
      </w:r>
      <w:r w:rsidR="002438DE">
        <w:t xml:space="preserve"> </w:t>
      </w:r>
      <w:proofErr w:type="gramStart"/>
      <w:r w:rsidR="002438DE">
        <w:t>dose</w:t>
      </w:r>
      <w:proofErr w:type="gramEnd"/>
      <w:r w:rsidR="00031078">
        <w:t xml:space="preserve">, and </w:t>
      </w:r>
      <w:r w:rsidR="00FC1C90">
        <w:t>this</w:t>
      </w:r>
      <w:r w:rsidR="00031078">
        <w:t xml:space="preserve"> appears to suggest a more than dose proportional increase in </w:t>
      </w:r>
      <w:proofErr w:type="spellStart"/>
      <w:r w:rsidR="00031078">
        <w:t>AUCt</w:t>
      </w:r>
      <w:proofErr w:type="spellEnd"/>
      <w:r w:rsidR="00031078">
        <w:t xml:space="preserve">. </w:t>
      </w:r>
    </w:p>
    <w:p w:rsidR="00E52CA3" w:rsidRDefault="00F20AC6" w:rsidP="00E02163">
      <w:r>
        <w:lastRenderedPageBreak/>
        <w:t xml:space="preserve">After </w:t>
      </w:r>
      <w:r w:rsidR="002438DE">
        <w:t xml:space="preserve">a </w:t>
      </w:r>
      <w:r>
        <w:t xml:space="preserve">single dose and at steady state AUC was observed, and the mean clearance was about 30 </w:t>
      </w:r>
      <w:r w:rsidR="00EB6897">
        <w:t>L</w:t>
      </w:r>
      <w:r>
        <w:t>/h at 30 units/kg dose and 20</w:t>
      </w:r>
      <w:r w:rsidR="00EB6897">
        <w:t xml:space="preserve"> L</w:t>
      </w:r>
      <w:r>
        <w:t xml:space="preserve">/h at 60 units/kg dose. The mean </w:t>
      </w:r>
      <w:r w:rsidR="003E65F4">
        <w:t>volume of distribution during the elimination phase (</w:t>
      </w:r>
      <w:proofErr w:type="spellStart"/>
      <w:r>
        <w:t>Vz</w:t>
      </w:r>
      <w:proofErr w:type="spellEnd"/>
      <w:r w:rsidR="003E65F4">
        <w:t>)</w:t>
      </w:r>
      <w:r>
        <w:t xml:space="preserve"> ranged from about 11.7</w:t>
      </w:r>
      <w:r w:rsidR="00EB6897">
        <w:t xml:space="preserve"> to </w:t>
      </w:r>
      <w:r>
        <w:t>17.5</w:t>
      </w:r>
      <w:r w:rsidR="007C66FF">
        <w:t xml:space="preserve"> </w:t>
      </w:r>
      <w:r w:rsidR="00EB6897">
        <w:t>L</w:t>
      </w:r>
      <w:r>
        <w:t xml:space="preserve">. </w:t>
      </w:r>
    </w:p>
    <w:p w:rsidR="00E52CA3" w:rsidRDefault="00736757" w:rsidP="00E02163">
      <w:r>
        <w:t xml:space="preserve">The mean </w:t>
      </w:r>
      <w:proofErr w:type="spellStart"/>
      <w:r>
        <w:t>t</w:t>
      </w:r>
      <w:r>
        <w:rPr>
          <w:vertAlign w:val="subscript"/>
        </w:rPr>
        <w:t>max</w:t>
      </w:r>
      <w:proofErr w:type="spellEnd"/>
      <w:r>
        <w:t xml:space="preserve"> on both day 1 and at week 38 is longer in the 60 units/kg dose group than in the 30 units/kg dose group, while the mean CL </w:t>
      </w:r>
      <w:r w:rsidR="00FC1C90">
        <w:t xml:space="preserve">and the mean </w:t>
      </w:r>
      <w:proofErr w:type="spellStart"/>
      <w:r w:rsidR="00FC1C90">
        <w:t>V</w:t>
      </w:r>
      <w:r w:rsidR="00FC1C90">
        <w:rPr>
          <w:vertAlign w:val="subscript"/>
        </w:rPr>
        <w:t>z</w:t>
      </w:r>
      <w:proofErr w:type="spellEnd"/>
      <w:r w:rsidR="00FC1C90">
        <w:t xml:space="preserve"> are</w:t>
      </w:r>
      <w:r>
        <w:t xml:space="preserve"> lower on day 1 and at week 38 in the 60 units/kg dose group compared with the 30 units/kg dose group. The mean t</w:t>
      </w:r>
      <w:r>
        <w:rPr>
          <w:vertAlign w:val="subscript"/>
        </w:rPr>
        <w:t xml:space="preserve">1/2 </w:t>
      </w:r>
      <w:r>
        <w:t>is longer at week 38 in the 60 units/kg dose group compared with the 30 units/kg dose</w:t>
      </w:r>
      <w:r w:rsidR="0088739B">
        <w:t xml:space="preserve"> group</w:t>
      </w:r>
      <w:r>
        <w:t xml:space="preserve">. There are no notable differences in the mean </w:t>
      </w:r>
      <w:proofErr w:type="spellStart"/>
      <w:r>
        <w:t>T</w:t>
      </w:r>
      <w:r>
        <w:rPr>
          <w:vertAlign w:val="subscript"/>
        </w:rPr>
        <w:t>max</w:t>
      </w:r>
      <w:proofErr w:type="spellEnd"/>
      <w:r>
        <w:t>, t</w:t>
      </w:r>
      <w:r>
        <w:rPr>
          <w:vertAlign w:val="subscript"/>
        </w:rPr>
        <w:t xml:space="preserve">1/2, </w:t>
      </w:r>
      <w:r>
        <w:t xml:space="preserve">CL or </w:t>
      </w:r>
      <w:proofErr w:type="spellStart"/>
      <w:r>
        <w:t>V</w:t>
      </w:r>
      <w:r>
        <w:rPr>
          <w:vertAlign w:val="subscript"/>
        </w:rPr>
        <w:t>z</w:t>
      </w:r>
      <w:proofErr w:type="spellEnd"/>
      <w:r>
        <w:t xml:space="preserve"> on day 1 or at week 38 in either the 30 units/kg or the 60 units/kg dose groups. </w:t>
      </w:r>
    </w:p>
    <w:p w:rsidR="006D3F94" w:rsidRPr="00A27BA3" w:rsidRDefault="006D3F94" w:rsidP="00A27BA3">
      <w:pPr>
        <w:pStyle w:val="PIHeading1"/>
      </w:pPr>
      <w:r w:rsidRPr="00A27BA3">
        <w:t>CLINICAL TRIALS</w:t>
      </w:r>
      <w:r w:rsidR="00F37A41" w:rsidRPr="00A27BA3">
        <w:t xml:space="preserve"> </w:t>
      </w:r>
    </w:p>
    <w:p w:rsidR="004D3880" w:rsidRPr="005943F4" w:rsidRDefault="004D3880" w:rsidP="00A27BA3">
      <w:pPr>
        <w:pStyle w:val="PIHeading2"/>
        <w:rPr>
          <w:noProof/>
        </w:rPr>
      </w:pPr>
      <w:r w:rsidRPr="005943F4">
        <w:rPr>
          <w:noProof/>
        </w:rPr>
        <w:t>Clinical studies</w:t>
      </w:r>
    </w:p>
    <w:p w:rsidR="00DA7BAE" w:rsidRPr="00D03087" w:rsidRDefault="00DA7BAE" w:rsidP="00A27BA3">
      <w:pPr>
        <w:pStyle w:val="PIHeading3"/>
        <w:rPr>
          <w:noProof/>
        </w:rPr>
      </w:pPr>
      <w:r w:rsidRPr="00D03087">
        <w:rPr>
          <w:noProof/>
        </w:rPr>
        <w:t xml:space="preserve">Study in </w:t>
      </w:r>
      <w:r w:rsidR="005E4AFD">
        <w:rPr>
          <w:noProof/>
        </w:rPr>
        <w:t xml:space="preserve">adult </w:t>
      </w:r>
      <w:r w:rsidRPr="00D03087">
        <w:rPr>
          <w:noProof/>
        </w:rPr>
        <w:t>patients naïve to enzyme replacement therapy</w:t>
      </w:r>
      <w:r w:rsidR="002660C0">
        <w:rPr>
          <w:noProof/>
        </w:rPr>
        <w:t xml:space="preserve"> </w:t>
      </w:r>
      <w:r w:rsidR="00EC07D5">
        <w:rPr>
          <w:noProof/>
        </w:rPr>
        <w:t>(PB-06-001)</w:t>
      </w:r>
    </w:p>
    <w:p w:rsidR="00EC07D5" w:rsidRDefault="004D3880" w:rsidP="00E02163">
      <w:pPr>
        <w:spacing w:after="0"/>
        <w:rPr>
          <w:szCs w:val="24"/>
        </w:rPr>
      </w:pPr>
      <w:r w:rsidRPr="00B72B10">
        <w:rPr>
          <w:noProof/>
          <w:szCs w:val="24"/>
        </w:rPr>
        <w:t xml:space="preserve">The </w:t>
      </w:r>
      <w:r w:rsidR="00EC07D5" w:rsidRPr="00B72B10">
        <w:rPr>
          <w:noProof/>
          <w:szCs w:val="24"/>
        </w:rPr>
        <w:t xml:space="preserve">safety and </w:t>
      </w:r>
      <w:r w:rsidRPr="00B72B10">
        <w:rPr>
          <w:noProof/>
          <w:szCs w:val="24"/>
        </w:rPr>
        <w:t xml:space="preserve">efficacy of </w:t>
      </w:r>
      <w:r w:rsidR="00391264" w:rsidRPr="00B72B10">
        <w:rPr>
          <w:noProof/>
          <w:szCs w:val="24"/>
        </w:rPr>
        <w:t>ELELYSO</w:t>
      </w:r>
      <w:r w:rsidR="00A30D01" w:rsidRPr="00B72B10">
        <w:rPr>
          <w:noProof/>
          <w:szCs w:val="24"/>
        </w:rPr>
        <w:t xml:space="preserve"> </w:t>
      </w:r>
      <w:r w:rsidRPr="00B72B10">
        <w:rPr>
          <w:noProof/>
          <w:szCs w:val="24"/>
        </w:rPr>
        <w:t xml:space="preserve">was evaluated in </w:t>
      </w:r>
      <w:r w:rsidR="00EC07D5" w:rsidRPr="00B72B10">
        <w:rPr>
          <w:noProof/>
          <w:szCs w:val="24"/>
        </w:rPr>
        <w:t>a pivotal, multi-centre, double-blind, randomised Phase III study investigating two dose groups, 30 units/kg and 60 units/kg. The study was</w:t>
      </w:r>
      <w:r w:rsidRPr="00B72B10">
        <w:rPr>
          <w:noProof/>
          <w:szCs w:val="24"/>
        </w:rPr>
        <w:t xml:space="preserve"> conducted in 31 </w:t>
      </w:r>
      <w:r w:rsidR="006E05EE">
        <w:rPr>
          <w:noProof/>
          <w:szCs w:val="24"/>
        </w:rPr>
        <w:t xml:space="preserve">adult </w:t>
      </w:r>
      <w:r w:rsidRPr="00B72B10">
        <w:rPr>
          <w:noProof/>
          <w:szCs w:val="24"/>
        </w:rPr>
        <w:t xml:space="preserve">patients, aged 18 years </w:t>
      </w:r>
      <w:r w:rsidR="006E05EE">
        <w:rPr>
          <w:noProof/>
          <w:szCs w:val="24"/>
        </w:rPr>
        <w:t xml:space="preserve">of age </w:t>
      </w:r>
      <w:r w:rsidRPr="00B72B10">
        <w:rPr>
          <w:noProof/>
          <w:szCs w:val="24"/>
        </w:rPr>
        <w:t xml:space="preserve">and </w:t>
      </w:r>
      <w:r w:rsidR="00EC07D5" w:rsidRPr="00B72B10">
        <w:rPr>
          <w:noProof/>
          <w:szCs w:val="24"/>
        </w:rPr>
        <w:t>above</w:t>
      </w:r>
      <w:r w:rsidRPr="00B72B10">
        <w:rPr>
          <w:noProof/>
          <w:szCs w:val="24"/>
        </w:rPr>
        <w:t>, with Gaucher disease</w:t>
      </w:r>
      <w:r w:rsidR="006E5DB4" w:rsidRPr="00B72B10">
        <w:rPr>
          <w:noProof/>
          <w:szCs w:val="24"/>
        </w:rPr>
        <w:t xml:space="preserve"> (PB-06-001)</w:t>
      </w:r>
      <w:r w:rsidR="00EC07D5" w:rsidRPr="00B72B10">
        <w:rPr>
          <w:noProof/>
          <w:szCs w:val="24"/>
        </w:rPr>
        <w:t xml:space="preserve"> </w:t>
      </w:r>
      <w:r w:rsidRPr="00B72B10">
        <w:rPr>
          <w:szCs w:val="24"/>
        </w:rPr>
        <w:t xml:space="preserve">who were </w:t>
      </w:r>
      <w:r w:rsidR="00D1098D">
        <w:rPr>
          <w:szCs w:val="24"/>
        </w:rPr>
        <w:t xml:space="preserve">treatment </w:t>
      </w:r>
      <w:r w:rsidRPr="00B72B10">
        <w:rPr>
          <w:szCs w:val="24"/>
        </w:rPr>
        <w:t>naïve to enzyme replacement therapy.</w:t>
      </w:r>
    </w:p>
    <w:p w:rsidR="00B72B10" w:rsidRPr="00B72B10" w:rsidRDefault="00B72B10" w:rsidP="00E02163">
      <w:pPr>
        <w:spacing w:after="0"/>
        <w:rPr>
          <w:szCs w:val="24"/>
        </w:rPr>
      </w:pPr>
    </w:p>
    <w:p w:rsidR="00B72B10" w:rsidRDefault="00EC07D5" w:rsidP="00E02163">
      <w:pPr>
        <w:spacing w:after="0"/>
        <w:rPr>
          <w:szCs w:val="24"/>
          <w:lang w:val="en-US"/>
        </w:rPr>
      </w:pPr>
      <w:r w:rsidRPr="00B72B10">
        <w:rPr>
          <w:szCs w:val="24"/>
          <w:lang w:val="en-US"/>
        </w:rPr>
        <w:t xml:space="preserve">Patients with a </w:t>
      </w:r>
      <w:r w:rsidRPr="00B72B10">
        <w:rPr>
          <w:szCs w:val="24"/>
        </w:rPr>
        <w:t xml:space="preserve">confirmed diagnosis of </w:t>
      </w:r>
      <w:proofErr w:type="spellStart"/>
      <w:r w:rsidRPr="00B72B10">
        <w:rPr>
          <w:szCs w:val="24"/>
        </w:rPr>
        <w:t>Gaucher</w:t>
      </w:r>
      <w:proofErr w:type="spellEnd"/>
      <w:r w:rsidRPr="00B72B10">
        <w:rPr>
          <w:szCs w:val="24"/>
        </w:rPr>
        <w:t xml:space="preserve"> disease (</w:t>
      </w:r>
      <w:r w:rsidRPr="00B72B10">
        <w:rPr>
          <w:szCs w:val="24"/>
          <w:lang w:val="en-US"/>
        </w:rPr>
        <w:t xml:space="preserve">leukocyte GCD activity level ≤3 </w:t>
      </w:r>
      <w:proofErr w:type="spellStart"/>
      <w:r w:rsidRPr="00B72B10">
        <w:rPr>
          <w:szCs w:val="24"/>
          <w:lang w:val="en-US"/>
        </w:rPr>
        <w:t>nmol</w:t>
      </w:r>
      <w:proofErr w:type="spellEnd"/>
      <w:r w:rsidRPr="00B72B10">
        <w:rPr>
          <w:szCs w:val="24"/>
          <w:lang w:val="en-US"/>
        </w:rPr>
        <w:t>/mg*</w:t>
      </w:r>
      <w:proofErr w:type="spellStart"/>
      <w:r w:rsidRPr="00B72B10">
        <w:rPr>
          <w:szCs w:val="24"/>
          <w:lang w:val="en-US"/>
        </w:rPr>
        <w:t>hr</w:t>
      </w:r>
      <w:proofErr w:type="spellEnd"/>
      <w:r w:rsidRPr="00B72B10">
        <w:rPr>
          <w:szCs w:val="24"/>
          <w:lang w:val="en-US"/>
        </w:rPr>
        <w:t xml:space="preserve"> (≤30% of the mean activity of the reference range), enlarged spleens (&gt;8 times normal) and thrombocytopenia (&lt;120,000/mm</w:t>
      </w:r>
      <w:r w:rsidRPr="00C748C0">
        <w:rPr>
          <w:szCs w:val="24"/>
          <w:vertAlign w:val="superscript"/>
          <w:lang w:val="en-US"/>
        </w:rPr>
        <w:t>3</w:t>
      </w:r>
      <w:r w:rsidRPr="00B72B10">
        <w:rPr>
          <w:szCs w:val="24"/>
          <w:lang w:val="en-US"/>
        </w:rPr>
        <w:t xml:space="preserve">) where eligible. </w:t>
      </w:r>
      <w:r w:rsidRPr="00B72B10">
        <w:rPr>
          <w:szCs w:val="24"/>
        </w:rPr>
        <w:t xml:space="preserve">Patients could not have received ERT in the past or </w:t>
      </w:r>
      <w:r w:rsidR="00D1098D">
        <w:rPr>
          <w:szCs w:val="24"/>
        </w:rPr>
        <w:t xml:space="preserve">for </w:t>
      </w:r>
      <w:r w:rsidRPr="00B72B10">
        <w:rPr>
          <w:szCs w:val="24"/>
        </w:rPr>
        <w:t xml:space="preserve">at least 12 months </w:t>
      </w:r>
      <w:r w:rsidR="00D1098D">
        <w:rPr>
          <w:szCs w:val="24"/>
        </w:rPr>
        <w:t xml:space="preserve">prior to study entry </w:t>
      </w:r>
      <w:r w:rsidRPr="00B72B10">
        <w:rPr>
          <w:szCs w:val="24"/>
        </w:rPr>
        <w:t>and must have had a negative anti-</w:t>
      </w:r>
      <w:proofErr w:type="spellStart"/>
      <w:r w:rsidRPr="00B72B10">
        <w:rPr>
          <w:szCs w:val="24"/>
        </w:rPr>
        <w:t>glucocerebrosidase</w:t>
      </w:r>
      <w:proofErr w:type="spellEnd"/>
      <w:r w:rsidRPr="00B72B10">
        <w:rPr>
          <w:szCs w:val="24"/>
        </w:rPr>
        <w:t xml:space="preserve"> antibody test result at screening. Patients must not have received substrate reduction therapy (SRT) in the past 12 months. Bone disease was not part of the inclusion criteria</w:t>
      </w:r>
      <w:r w:rsidRPr="00B72B10">
        <w:rPr>
          <w:szCs w:val="24"/>
          <w:lang w:val="en-US"/>
        </w:rPr>
        <w:t xml:space="preserve">. </w:t>
      </w:r>
      <w:r w:rsidR="004D3880" w:rsidRPr="00B72B10">
        <w:rPr>
          <w:szCs w:val="24"/>
        </w:rPr>
        <w:t xml:space="preserve"> </w:t>
      </w:r>
      <w:r w:rsidR="00B72B10" w:rsidRPr="00B72B10">
        <w:rPr>
          <w:szCs w:val="24"/>
          <w:lang w:val="en-US"/>
        </w:rPr>
        <w:t>Patients with severe neurological symptoms were excluded from the study.</w:t>
      </w:r>
    </w:p>
    <w:p w:rsidR="00D1098D" w:rsidRDefault="00D1098D" w:rsidP="00E02163">
      <w:pPr>
        <w:spacing w:after="0"/>
        <w:rPr>
          <w:bCs/>
          <w:szCs w:val="24"/>
          <w:lang w:val="en-US"/>
        </w:rPr>
      </w:pPr>
    </w:p>
    <w:p w:rsidR="00B72B10" w:rsidRDefault="00EC07D5" w:rsidP="00E02163">
      <w:pPr>
        <w:spacing w:after="0"/>
        <w:rPr>
          <w:szCs w:val="24"/>
          <w:lang w:val="en-US"/>
        </w:rPr>
      </w:pPr>
      <w:r w:rsidRPr="00B72B10">
        <w:rPr>
          <w:bCs/>
          <w:szCs w:val="24"/>
          <w:lang w:val="en-US"/>
        </w:rPr>
        <w:t>The primary endpoint</w:t>
      </w:r>
      <w:r w:rsidRPr="00B72B10">
        <w:rPr>
          <w:b/>
          <w:bCs/>
          <w:szCs w:val="24"/>
          <w:lang w:val="en-US"/>
        </w:rPr>
        <w:t xml:space="preserve"> </w:t>
      </w:r>
      <w:r w:rsidRPr="00B72B10">
        <w:rPr>
          <w:bCs/>
          <w:szCs w:val="24"/>
          <w:lang w:val="en-US"/>
        </w:rPr>
        <w:t>was p</w:t>
      </w:r>
      <w:r w:rsidRPr="00B72B10">
        <w:rPr>
          <w:szCs w:val="24"/>
          <w:lang w:val="en-US"/>
        </w:rPr>
        <w:t xml:space="preserve">ercent change from baseline in spleen volume measured by MRI at </w:t>
      </w:r>
      <w:r w:rsidR="006E05EE" w:rsidRPr="00B72B10">
        <w:rPr>
          <w:szCs w:val="24"/>
          <w:lang w:val="en-US"/>
        </w:rPr>
        <w:t xml:space="preserve">month </w:t>
      </w:r>
      <w:r w:rsidRPr="00B72B10">
        <w:rPr>
          <w:szCs w:val="24"/>
          <w:lang w:val="en-US"/>
        </w:rPr>
        <w:t xml:space="preserve">9. </w:t>
      </w:r>
      <w:r w:rsidR="00B72B10" w:rsidRPr="00B72B10">
        <w:rPr>
          <w:szCs w:val="24"/>
          <w:lang w:val="en-US"/>
        </w:rPr>
        <w:t xml:space="preserve">Major secondary </w:t>
      </w:r>
      <w:r w:rsidRPr="00B72B10">
        <w:rPr>
          <w:szCs w:val="24"/>
          <w:lang w:val="en-US"/>
        </w:rPr>
        <w:t xml:space="preserve">endpoints included change from baseline in </w:t>
      </w:r>
      <w:proofErr w:type="spellStart"/>
      <w:r w:rsidRPr="00B72B10">
        <w:rPr>
          <w:szCs w:val="24"/>
          <w:lang w:val="en-US"/>
        </w:rPr>
        <w:t>haemoglobin</w:t>
      </w:r>
      <w:proofErr w:type="spellEnd"/>
      <w:r w:rsidRPr="00B72B10">
        <w:rPr>
          <w:szCs w:val="24"/>
          <w:lang w:val="en-US"/>
        </w:rPr>
        <w:t xml:space="preserve">, liver volume (percent change) and platelet count. Change from baseline in Quantitative Chemical Shift </w:t>
      </w:r>
      <w:r w:rsidR="00D1098D">
        <w:rPr>
          <w:szCs w:val="24"/>
          <w:lang w:val="en-US"/>
        </w:rPr>
        <w:t xml:space="preserve">Imaging (QCSI) technique, </w:t>
      </w:r>
      <w:r w:rsidR="00E36A5F">
        <w:t xml:space="preserve">which </w:t>
      </w:r>
      <w:r w:rsidR="00D1098D">
        <w:t>measures bone marrow fat fraction (</w:t>
      </w:r>
      <w:proofErr w:type="spellStart"/>
      <w:r w:rsidR="00D1098D">
        <w:t>Ff</w:t>
      </w:r>
      <w:proofErr w:type="spellEnd"/>
      <w:r w:rsidR="00D1098D">
        <w:t xml:space="preserve">) </w:t>
      </w:r>
      <w:r w:rsidR="00D1098D">
        <w:rPr>
          <w:szCs w:val="24"/>
          <w:lang w:val="en-US"/>
        </w:rPr>
        <w:t>and Dual-Energy X</w:t>
      </w:r>
      <w:r w:rsidR="00D1098D" w:rsidRPr="00B72B10">
        <w:rPr>
          <w:szCs w:val="24"/>
          <w:lang w:val="en-US"/>
        </w:rPr>
        <w:t>-</w:t>
      </w:r>
      <w:r w:rsidRPr="00B72B10">
        <w:rPr>
          <w:szCs w:val="24"/>
          <w:lang w:val="en-US"/>
        </w:rPr>
        <w:t xml:space="preserve">ray </w:t>
      </w:r>
      <w:r w:rsidR="00D1098D" w:rsidRPr="00B72B10">
        <w:rPr>
          <w:szCs w:val="24"/>
          <w:lang w:val="en-US"/>
        </w:rPr>
        <w:t xml:space="preserve">Absorptiometry </w:t>
      </w:r>
      <w:r w:rsidRPr="00B72B10">
        <w:rPr>
          <w:szCs w:val="24"/>
          <w:lang w:val="en-US"/>
        </w:rPr>
        <w:t>(DEXA)</w:t>
      </w:r>
      <w:r w:rsidR="00D1098D">
        <w:rPr>
          <w:szCs w:val="24"/>
          <w:lang w:val="en-US"/>
        </w:rPr>
        <w:t>,</w:t>
      </w:r>
      <w:r w:rsidRPr="00B72B10">
        <w:rPr>
          <w:szCs w:val="24"/>
          <w:lang w:val="en-US"/>
        </w:rPr>
        <w:t xml:space="preserve"> </w:t>
      </w:r>
      <w:r w:rsidR="00E36A5F">
        <w:t xml:space="preserve">which </w:t>
      </w:r>
      <w:r w:rsidR="00D1098D">
        <w:t xml:space="preserve">measures </w:t>
      </w:r>
      <w:proofErr w:type="spellStart"/>
      <w:r w:rsidR="00D1098D">
        <w:t>minteral</w:t>
      </w:r>
      <w:proofErr w:type="spellEnd"/>
      <w:r w:rsidR="00D1098D">
        <w:t xml:space="preserve"> density,</w:t>
      </w:r>
      <w:r w:rsidR="00D1098D" w:rsidRPr="00B72B10">
        <w:rPr>
          <w:szCs w:val="24"/>
          <w:lang w:val="en-US"/>
        </w:rPr>
        <w:t xml:space="preserve"> </w:t>
      </w:r>
      <w:r w:rsidRPr="00B72B10">
        <w:rPr>
          <w:szCs w:val="24"/>
          <w:lang w:val="en-US"/>
        </w:rPr>
        <w:t xml:space="preserve">were evaluated as tertiary endpoints. </w:t>
      </w:r>
    </w:p>
    <w:p w:rsidR="00B72B10" w:rsidRDefault="00B72B10" w:rsidP="00E02163">
      <w:pPr>
        <w:spacing w:after="0"/>
        <w:rPr>
          <w:szCs w:val="24"/>
          <w:lang w:val="en-US"/>
        </w:rPr>
      </w:pPr>
    </w:p>
    <w:p w:rsidR="00B72B10" w:rsidRPr="00B72B10" w:rsidRDefault="004D3880" w:rsidP="00E02163">
      <w:pPr>
        <w:spacing w:after="0"/>
        <w:rPr>
          <w:szCs w:val="24"/>
          <w:lang w:val="en-US"/>
        </w:rPr>
      </w:pPr>
      <w:r w:rsidRPr="00B72B10">
        <w:rPr>
          <w:szCs w:val="24"/>
        </w:rPr>
        <w:t>Intravenous infusions were administered every 2 weeks for 9 months (</w:t>
      </w:r>
      <w:proofErr w:type="spellStart"/>
      <w:r w:rsidR="00E572C2" w:rsidRPr="00B72B10">
        <w:rPr>
          <w:szCs w:val="24"/>
        </w:rPr>
        <w:t>ie</w:t>
      </w:r>
      <w:proofErr w:type="spellEnd"/>
      <w:r w:rsidR="00E572C2" w:rsidRPr="00B72B10">
        <w:rPr>
          <w:szCs w:val="24"/>
        </w:rPr>
        <w:t xml:space="preserve"> </w:t>
      </w:r>
      <w:r w:rsidRPr="00B72B10">
        <w:rPr>
          <w:szCs w:val="24"/>
        </w:rPr>
        <w:t xml:space="preserve">38 weeks). Thirty-one (31) patients treated with 30 </w:t>
      </w:r>
      <w:r w:rsidR="00A30D01" w:rsidRPr="00B72B10">
        <w:rPr>
          <w:szCs w:val="24"/>
        </w:rPr>
        <w:t>units</w:t>
      </w:r>
      <w:r w:rsidRPr="00B72B10">
        <w:rPr>
          <w:szCs w:val="24"/>
        </w:rPr>
        <w:t xml:space="preserve">/kg (n=15) </w:t>
      </w:r>
      <w:r w:rsidR="00E572C2" w:rsidRPr="00B72B10">
        <w:rPr>
          <w:szCs w:val="24"/>
        </w:rPr>
        <w:t xml:space="preserve">and </w:t>
      </w:r>
      <w:r w:rsidRPr="00B72B10">
        <w:rPr>
          <w:szCs w:val="24"/>
        </w:rPr>
        <w:t xml:space="preserve">60 </w:t>
      </w:r>
      <w:r w:rsidR="00A30D01" w:rsidRPr="00B72B10">
        <w:rPr>
          <w:szCs w:val="24"/>
        </w:rPr>
        <w:t>units</w:t>
      </w:r>
      <w:r w:rsidRPr="00B72B10">
        <w:rPr>
          <w:szCs w:val="24"/>
        </w:rPr>
        <w:t xml:space="preserve">/kg (n=16) were evaluated for efficacy. </w:t>
      </w:r>
      <w:r w:rsidR="00B72B10" w:rsidRPr="00B72B10">
        <w:rPr>
          <w:szCs w:val="24"/>
        </w:rPr>
        <w:t xml:space="preserve">Patient age ranged from 19 to 74 years </w:t>
      </w:r>
      <w:r w:rsidR="006E05EE">
        <w:rPr>
          <w:szCs w:val="24"/>
        </w:rPr>
        <w:t xml:space="preserve">of age </w:t>
      </w:r>
      <w:r w:rsidR="00B72B10" w:rsidRPr="00B72B10">
        <w:rPr>
          <w:szCs w:val="24"/>
        </w:rPr>
        <w:t xml:space="preserve">(mean age 36 years), of these 48% </w:t>
      </w:r>
      <w:r w:rsidR="00BB53BA" w:rsidRPr="008C38E8">
        <w:rPr>
          <w:szCs w:val="24"/>
        </w:rPr>
        <w:t>(15/31</w:t>
      </w:r>
      <w:r w:rsidR="00BB53BA">
        <w:rPr>
          <w:szCs w:val="24"/>
        </w:rPr>
        <w:t xml:space="preserve">) </w:t>
      </w:r>
      <w:r w:rsidR="00B72B10" w:rsidRPr="00B72B10">
        <w:rPr>
          <w:szCs w:val="24"/>
        </w:rPr>
        <w:t xml:space="preserve">were male. </w:t>
      </w:r>
      <w:r w:rsidR="00B72B10" w:rsidRPr="00B72B10">
        <w:rPr>
          <w:szCs w:val="24"/>
          <w:lang w:val="en-US"/>
        </w:rPr>
        <w:t xml:space="preserve">Sixteen (16) patients had enlarged livers and </w:t>
      </w:r>
      <w:r w:rsidR="00D1098D">
        <w:rPr>
          <w:szCs w:val="24"/>
          <w:lang w:val="en-US"/>
        </w:rPr>
        <w:t>10</w:t>
      </w:r>
      <w:r w:rsidR="00B72B10" w:rsidRPr="00B72B10">
        <w:rPr>
          <w:szCs w:val="24"/>
          <w:lang w:val="en-US"/>
        </w:rPr>
        <w:t xml:space="preserve"> patients had </w:t>
      </w:r>
      <w:proofErr w:type="spellStart"/>
      <w:r w:rsidR="00B72B10" w:rsidRPr="00B72B10">
        <w:rPr>
          <w:szCs w:val="24"/>
          <w:lang w:val="en-US"/>
        </w:rPr>
        <w:t>anaemia</w:t>
      </w:r>
      <w:proofErr w:type="spellEnd"/>
      <w:r w:rsidR="00B72B10" w:rsidRPr="00B72B10">
        <w:rPr>
          <w:szCs w:val="24"/>
          <w:lang w:val="en-US"/>
        </w:rPr>
        <w:t xml:space="preserve"> at baseline. All patients were naïve to ERT. </w:t>
      </w:r>
    </w:p>
    <w:p w:rsidR="00E52CA3" w:rsidRPr="00B72B10" w:rsidRDefault="00E52CA3" w:rsidP="00E02163">
      <w:pPr>
        <w:autoSpaceDE w:val="0"/>
        <w:autoSpaceDN w:val="0"/>
        <w:adjustRightInd w:val="0"/>
        <w:spacing w:after="0"/>
        <w:rPr>
          <w:szCs w:val="24"/>
          <w:lang w:val="en-US"/>
        </w:rPr>
      </w:pPr>
    </w:p>
    <w:p w:rsidR="005B2A40" w:rsidRDefault="004D3880" w:rsidP="00E02163">
      <w:pPr>
        <w:spacing w:after="0"/>
        <w:rPr>
          <w:b/>
          <w:noProof/>
          <w:sz w:val="20"/>
        </w:rPr>
      </w:pPr>
      <w:r w:rsidRPr="00B72B10">
        <w:rPr>
          <w:szCs w:val="24"/>
        </w:rPr>
        <w:t>Both dose groups</w:t>
      </w:r>
      <w:r w:rsidR="00D1098D">
        <w:rPr>
          <w:szCs w:val="24"/>
        </w:rPr>
        <w:t xml:space="preserve">, 30 units/kg and 60 units/kg, </w:t>
      </w:r>
      <w:r w:rsidRPr="00B72B10">
        <w:rPr>
          <w:szCs w:val="24"/>
        </w:rPr>
        <w:t xml:space="preserve">demonstrated a </w:t>
      </w:r>
      <w:r w:rsidR="00DA7BAE" w:rsidRPr="00B72B10">
        <w:rPr>
          <w:szCs w:val="24"/>
        </w:rPr>
        <w:t>statistically</w:t>
      </w:r>
      <w:r w:rsidRPr="00B72B10">
        <w:rPr>
          <w:szCs w:val="24"/>
        </w:rPr>
        <w:t xml:space="preserve"> </w:t>
      </w:r>
      <w:r w:rsidR="003E423D" w:rsidRPr="00B72B10">
        <w:rPr>
          <w:szCs w:val="24"/>
        </w:rPr>
        <w:t xml:space="preserve">significant </w:t>
      </w:r>
      <w:r w:rsidRPr="00B72B10">
        <w:rPr>
          <w:szCs w:val="24"/>
        </w:rPr>
        <w:t xml:space="preserve">reduction in spleen volume </w:t>
      </w:r>
      <w:r w:rsidR="00FC1C90" w:rsidRPr="00B72B10">
        <w:rPr>
          <w:szCs w:val="24"/>
        </w:rPr>
        <w:t xml:space="preserve">compared with baseline </w:t>
      </w:r>
      <w:r w:rsidRPr="00B72B10">
        <w:rPr>
          <w:szCs w:val="24"/>
        </w:rPr>
        <w:t xml:space="preserve">at the </w:t>
      </w:r>
      <w:r w:rsidR="006E05EE" w:rsidRPr="00B72B10">
        <w:rPr>
          <w:szCs w:val="24"/>
        </w:rPr>
        <w:t xml:space="preserve">month </w:t>
      </w:r>
      <w:r w:rsidR="00A30D01" w:rsidRPr="00B72B10">
        <w:rPr>
          <w:szCs w:val="24"/>
        </w:rPr>
        <w:t>6 visit (</w:t>
      </w:r>
      <w:r w:rsidR="00A30D01" w:rsidRPr="008C38E8">
        <w:rPr>
          <w:szCs w:val="24"/>
        </w:rPr>
        <w:t>22.21%</w:t>
      </w:r>
      <w:r w:rsidR="00D1098D" w:rsidRPr="008C38E8">
        <w:rPr>
          <w:szCs w:val="24"/>
        </w:rPr>
        <w:t xml:space="preserve"> and </w:t>
      </w:r>
      <w:r w:rsidR="00A30D01" w:rsidRPr="008C38E8">
        <w:rPr>
          <w:szCs w:val="24"/>
        </w:rPr>
        <w:t>29.94%</w:t>
      </w:r>
      <w:r w:rsidR="00D1098D">
        <w:rPr>
          <w:szCs w:val="24"/>
        </w:rPr>
        <w:t xml:space="preserve"> respectively</w:t>
      </w:r>
      <w:r w:rsidR="00A30D01" w:rsidRPr="00B72B10">
        <w:rPr>
          <w:szCs w:val="24"/>
        </w:rPr>
        <w:t xml:space="preserve">; both </w:t>
      </w:r>
      <w:r w:rsidR="00A30D01" w:rsidRPr="002F23A5">
        <w:rPr>
          <w:i/>
          <w:szCs w:val="24"/>
        </w:rPr>
        <w:t>p</w:t>
      </w:r>
      <w:r w:rsidR="00A30D01" w:rsidRPr="00B72B10">
        <w:rPr>
          <w:szCs w:val="24"/>
        </w:rPr>
        <w:t xml:space="preserve">&lt;0.0001) and </w:t>
      </w:r>
      <w:r w:rsidR="006E05EE" w:rsidRPr="00B72B10">
        <w:rPr>
          <w:szCs w:val="24"/>
        </w:rPr>
        <w:t xml:space="preserve">month </w:t>
      </w:r>
      <w:r w:rsidR="00FC1C90" w:rsidRPr="00B72B10">
        <w:rPr>
          <w:szCs w:val="24"/>
        </w:rPr>
        <w:t xml:space="preserve">9 visit </w:t>
      </w:r>
      <w:r w:rsidRPr="00B72B10">
        <w:rPr>
          <w:szCs w:val="24"/>
        </w:rPr>
        <w:t>(</w:t>
      </w:r>
      <w:r w:rsidRPr="008C38E8">
        <w:rPr>
          <w:szCs w:val="24"/>
        </w:rPr>
        <w:t>26.91%</w:t>
      </w:r>
      <w:r w:rsidR="00D1098D" w:rsidRPr="008C38E8">
        <w:rPr>
          <w:szCs w:val="24"/>
        </w:rPr>
        <w:t xml:space="preserve"> and </w:t>
      </w:r>
      <w:r w:rsidRPr="008C38E8">
        <w:rPr>
          <w:szCs w:val="24"/>
        </w:rPr>
        <w:t>38.01</w:t>
      </w:r>
      <w:r w:rsidRPr="00B72B10">
        <w:rPr>
          <w:szCs w:val="24"/>
        </w:rPr>
        <w:t>%</w:t>
      </w:r>
      <w:r w:rsidR="00D1098D">
        <w:rPr>
          <w:szCs w:val="24"/>
        </w:rPr>
        <w:t xml:space="preserve"> respectively</w:t>
      </w:r>
      <w:r w:rsidRPr="00B72B10">
        <w:rPr>
          <w:szCs w:val="24"/>
        </w:rPr>
        <w:t xml:space="preserve">; both </w:t>
      </w:r>
      <w:r w:rsidRPr="002F23A5">
        <w:rPr>
          <w:i/>
          <w:szCs w:val="24"/>
        </w:rPr>
        <w:t>p</w:t>
      </w:r>
      <w:r w:rsidRPr="00B72B10">
        <w:rPr>
          <w:szCs w:val="24"/>
        </w:rPr>
        <w:t>&lt;0.0001). Similar effects were observed for haemoglobin</w:t>
      </w:r>
      <w:r w:rsidRPr="005943F4">
        <w:t xml:space="preserve"> increase, liver volume decrease and platelet count increase</w:t>
      </w:r>
      <w:r w:rsidR="0083224B">
        <w:t xml:space="preserve"> as noted in Table 1</w:t>
      </w:r>
      <w:r w:rsidRPr="005943F4">
        <w:t>.</w:t>
      </w:r>
    </w:p>
    <w:p w:rsidR="00DC0791" w:rsidRPr="00A27BA3" w:rsidRDefault="004D3880" w:rsidP="00965C4E">
      <w:pPr>
        <w:pStyle w:val="PITableTitle"/>
      </w:pPr>
      <w:r w:rsidRPr="00A27BA3">
        <w:lastRenderedPageBreak/>
        <w:t xml:space="preserve">Table 1: Summary of </w:t>
      </w:r>
      <w:r w:rsidR="00547E34" w:rsidRPr="00A27BA3">
        <w:t xml:space="preserve">Clinical </w:t>
      </w:r>
      <w:r w:rsidRPr="00A27BA3">
        <w:t>Parameters</w:t>
      </w:r>
      <w:r w:rsidR="002660C0" w:rsidRPr="00A27BA3">
        <w:t>:</w:t>
      </w:r>
      <w:r w:rsidRPr="00A27BA3">
        <w:t xml:space="preserve"> </w:t>
      </w:r>
      <w:r w:rsidR="00CB7717" w:rsidRPr="00A27BA3">
        <w:t xml:space="preserve">Mean </w:t>
      </w:r>
      <w:r w:rsidRPr="00A27BA3">
        <w:t xml:space="preserve">Change from Baseline to </w:t>
      </w:r>
      <w:r w:rsidR="006E05EE" w:rsidRPr="00A27BA3">
        <w:t xml:space="preserve">9 </w:t>
      </w:r>
      <w:r w:rsidRPr="00A27BA3">
        <w:t>Month</w:t>
      </w:r>
      <w:r w:rsidR="006E05EE" w:rsidRPr="00A27BA3">
        <w:t>s</w:t>
      </w:r>
      <w:r w:rsidRPr="00A27BA3">
        <w:t xml:space="preserve"> and Comparison between Dose Groups in Study</w:t>
      </w:r>
      <w:r w:rsidR="00814CA3" w:rsidRPr="00A27BA3">
        <w:t xml:space="preserve"> PB-06-001</w:t>
      </w:r>
      <w:r w:rsidR="00B83863" w:rsidRPr="00A27BA3">
        <w:t xml:space="preserve"> (n=31; Intention-to-treat population)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7"/>
        <w:gridCol w:w="1239"/>
        <w:gridCol w:w="2072"/>
        <w:gridCol w:w="2204"/>
        <w:gridCol w:w="2072"/>
      </w:tblGrid>
      <w:tr w:rsidR="001F13D8" w:rsidRPr="00C331EF" w:rsidTr="00B614F3">
        <w:tc>
          <w:tcPr>
            <w:tcW w:w="2835" w:type="dxa"/>
            <w:gridSpan w:val="2"/>
          </w:tcPr>
          <w:p w:rsidR="00E572C2" w:rsidRDefault="00FE5729" w:rsidP="00965C4E">
            <w:pPr>
              <w:keepNext/>
              <w:spacing w:after="120" w:line="240" w:lineRule="atLeast"/>
              <w:jc w:val="center"/>
              <w:rPr>
                <w:rStyle w:val="TableText9"/>
                <w:b/>
                <w:color w:val="000000"/>
                <w:sz w:val="20"/>
                <w:szCs w:val="24"/>
              </w:rPr>
            </w:pPr>
            <w:r>
              <w:rPr>
                <w:rStyle w:val="TableText9"/>
                <w:b/>
                <w:color w:val="000000"/>
                <w:sz w:val="20"/>
                <w:szCs w:val="24"/>
              </w:rPr>
              <w:t>Clinical Parameters</w:t>
            </w:r>
          </w:p>
        </w:tc>
        <w:tc>
          <w:tcPr>
            <w:tcW w:w="2127" w:type="dxa"/>
          </w:tcPr>
          <w:p w:rsidR="001F13D8" w:rsidRPr="00F74E22" w:rsidRDefault="00FE5729" w:rsidP="00965C4E">
            <w:pPr>
              <w:pStyle w:val="PITableTitle"/>
              <w:keepLines w:val="0"/>
              <w:spacing w:before="0" w:line="240" w:lineRule="atLeast"/>
              <w:jc w:val="center"/>
              <w:rPr>
                <w:rStyle w:val="TableText9"/>
                <w:sz w:val="20"/>
              </w:rPr>
            </w:pPr>
            <w:r w:rsidRPr="0065179D">
              <w:rPr>
                <w:noProof/>
              </w:rPr>
              <w:t>ELELYSO</w:t>
            </w:r>
            <w:r w:rsidRPr="00F74E22">
              <w:rPr>
                <w:rStyle w:val="TableText9"/>
                <w:sz w:val="20"/>
              </w:rPr>
              <w:t xml:space="preserve"> </w:t>
            </w:r>
            <w:r>
              <w:rPr>
                <w:rStyle w:val="TableText9"/>
                <w:sz w:val="20"/>
              </w:rPr>
              <w:t xml:space="preserve">                 </w:t>
            </w:r>
            <w:r w:rsidR="003C07A3" w:rsidRPr="00F74E22">
              <w:rPr>
                <w:rStyle w:val="TableText9"/>
                <w:sz w:val="20"/>
              </w:rPr>
              <w:t>30 units/kg</w:t>
            </w:r>
            <w:r w:rsidR="00C24B32">
              <w:rPr>
                <w:rStyle w:val="TableText9"/>
                <w:sz w:val="20"/>
              </w:rPr>
              <w:t xml:space="preserve">                  </w:t>
            </w:r>
            <w:r w:rsidR="003C07A3" w:rsidRPr="00F74E22">
              <w:rPr>
                <w:rStyle w:val="TableText9"/>
                <w:sz w:val="20"/>
              </w:rPr>
              <w:t>n=15</w:t>
            </w:r>
          </w:p>
        </w:tc>
        <w:tc>
          <w:tcPr>
            <w:tcW w:w="2268" w:type="dxa"/>
          </w:tcPr>
          <w:p w:rsidR="001F13D8" w:rsidRPr="00F74E22" w:rsidRDefault="00FE5729" w:rsidP="00965C4E">
            <w:pPr>
              <w:pStyle w:val="PITableTitle"/>
              <w:keepLines w:val="0"/>
              <w:spacing w:before="0" w:line="240" w:lineRule="atLeast"/>
              <w:jc w:val="center"/>
              <w:rPr>
                <w:rStyle w:val="TableText9"/>
                <w:sz w:val="20"/>
              </w:rPr>
            </w:pPr>
            <w:r w:rsidRPr="0065179D">
              <w:rPr>
                <w:noProof/>
              </w:rPr>
              <w:t>ELELYSO</w:t>
            </w:r>
            <w:r w:rsidRPr="00F74E22">
              <w:rPr>
                <w:rStyle w:val="TableText9"/>
                <w:sz w:val="20"/>
              </w:rPr>
              <w:t xml:space="preserve"> </w:t>
            </w:r>
            <w:r>
              <w:rPr>
                <w:rStyle w:val="TableText9"/>
                <w:sz w:val="20"/>
              </w:rPr>
              <w:t xml:space="preserve">                 </w:t>
            </w:r>
            <w:r w:rsidR="003C07A3" w:rsidRPr="00F74E22">
              <w:rPr>
                <w:rStyle w:val="TableText9"/>
                <w:sz w:val="20"/>
              </w:rPr>
              <w:t>60</w:t>
            </w:r>
            <w:r w:rsidR="00CC2872" w:rsidRPr="00F74E22">
              <w:rPr>
                <w:rStyle w:val="TableText9"/>
                <w:sz w:val="20"/>
              </w:rPr>
              <w:t xml:space="preserve"> </w:t>
            </w:r>
            <w:r w:rsidR="003C07A3" w:rsidRPr="00F74E22">
              <w:rPr>
                <w:rStyle w:val="TableText9"/>
                <w:sz w:val="20"/>
              </w:rPr>
              <w:t>units/kg                    n=16</w:t>
            </w:r>
          </w:p>
        </w:tc>
        <w:tc>
          <w:tcPr>
            <w:tcW w:w="2126" w:type="dxa"/>
          </w:tcPr>
          <w:p w:rsidR="001F13D8" w:rsidRPr="00F74E22" w:rsidRDefault="00FE5729" w:rsidP="00965C4E">
            <w:pPr>
              <w:pStyle w:val="PITableTitle"/>
              <w:keepLines w:val="0"/>
              <w:spacing w:before="0" w:line="240" w:lineRule="atLeast"/>
              <w:jc w:val="center"/>
              <w:rPr>
                <w:rStyle w:val="TableText9"/>
                <w:sz w:val="20"/>
              </w:rPr>
            </w:pPr>
            <w:r w:rsidRPr="0065179D">
              <w:rPr>
                <w:rStyle w:val="TableText9"/>
                <w:sz w:val="20"/>
              </w:rPr>
              <w:t>Comparison between</w:t>
            </w:r>
            <w:r>
              <w:rPr>
                <w:rStyle w:val="TableText9"/>
                <w:sz w:val="20"/>
              </w:rPr>
              <w:t xml:space="preserve"> </w:t>
            </w:r>
            <w:r w:rsidRPr="0065179D">
              <w:rPr>
                <w:rStyle w:val="TableText9"/>
                <w:sz w:val="20"/>
              </w:rPr>
              <w:t>dose groups</w:t>
            </w:r>
            <w:r w:rsidRPr="00F74E22">
              <w:rPr>
                <w:rStyle w:val="TableText9"/>
                <w:sz w:val="20"/>
              </w:rPr>
              <w:t xml:space="preserve"> </w:t>
            </w:r>
            <w:r>
              <w:rPr>
                <w:rStyle w:val="TableText9"/>
                <w:sz w:val="20"/>
              </w:rPr>
              <w:t xml:space="preserve">                        </w:t>
            </w:r>
            <w:r w:rsidR="003C07A3" w:rsidRPr="00F74E22">
              <w:rPr>
                <w:rStyle w:val="TableText9"/>
                <w:sz w:val="20"/>
              </w:rPr>
              <w:t>30 vs. 60 units/kg</w:t>
            </w:r>
          </w:p>
        </w:tc>
      </w:tr>
      <w:tr w:rsidR="00B614F3" w:rsidRPr="00727D4A" w:rsidTr="00B614F3">
        <w:tc>
          <w:tcPr>
            <w:tcW w:w="1560" w:type="dxa"/>
            <w:vMerge w:val="restart"/>
          </w:tcPr>
          <w:p w:rsidR="001F13D8" w:rsidRPr="0065179D" w:rsidRDefault="001F13D8" w:rsidP="00965C4E">
            <w:pPr>
              <w:pStyle w:val="PITableTitle"/>
              <w:keepLines w:val="0"/>
              <w:spacing w:before="0" w:line="240" w:lineRule="atLeast"/>
              <w:rPr>
                <w:rStyle w:val="TableText9"/>
                <w:sz w:val="20"/>
              </w:rPr>
            </w:pPr>
            <w:r w:rsidRPr="0065179D">
              <w:rPr>
                <w:rStyle w:val="TableText9"/>
                <w:sz w:val="20"/>
              </w:rPr>
              <w:t>Spleen Volume</w:t>
            </w:r>
            <w:r w:rsidR="0045150C">
              <w:rPr>
                <w:rStyle w:val="TableText9"/>
                <w:sz w:val="20"/>
              </w:rPr>
              <w:t xml:space="preserve"> </w:t>
            </w:r>
            <w:r w:rsidRPr="0065179D">
              <w:rPr>
                <w:rStyle w:val="TableText9"/>
                <w:sz w:val="20"/>
              </w:rPr>
              <w:t>% Change</w:t>
            </w:r>
          </w:p>
        </w:tc>
        <w:tc>
          <w:tcPr>
            <w:tcW w:w="1275" w:type="dxa"/>
          </w:tcPr>
          <w:p w:rsidR="001F13D8" w:rsidRPr="0065179D" w:rsidRDefault="001F13D8" w:rsidP="00965C4E">
            <w:pPr>
              <w:pStyle w:val="PITableTitle"/>
              <w:keepLines w:val="0"/>
              <w:spacing w:before="0" w:line="240" w:lineRule="atLeast"/>
              <w:rPr>
                <w:rStyle w:val="TableText9"/>
                <w:sz w:val="20"/>
              </w:rPr>
            </w:pPr>
            <w:r w:rsidRPr="0065179D">
              <w:rPr>
                <w:rStyle w:val="TableText9"/>
                <w:sz w:val="20"/>
              </w:rPr>
              <w:t>Mean</w:t>
            </w:r>
            <w:r w:rsidR="00B614F3">
              <w:rPr>
                <w:rStyle w:val="TableText9"/>
                <w:sz w:val="20"/>
              </w:rPr>
              <w:t xml:space="preserve"> </w:t>
            </w:r>
            <w:r w:rsidR="00FE5729">
              <w:rPr>
                <w:rStyle w:val="TableText9"/>
                <w:sz w:val="20"/>
              </w:rPr>
              <w:t>(</w:t>
            </w:r>
            <w:r w:rsidRPr="0065179D">
              <w:rPr>
                <w:rStyle w:val="TableText9"/>
                <w:sz w:val="20"/>
              </w:rPr>
              <w:t>SD)</w:t>
            </w:r>
          </w:p>
        </w:tc>
        <w:tc>
          <w:tcPr>
            <w:tcW w:w="2127" w:type="dxa"/>
          </w:tcPr>
          <w:p w:rsidR="001F13D8" w:rsidRPr="00F74E22" w:rsidRDefault="001F13D8" w:rsidP="00965C4E">
            <w:pPr>
              <w:pStyle w:val="PITableTitle"/>
              <w:keepLines w:val="0"/>
              <w:spacing w:before="0" w:line="240" w:lineRule="atLeast"/>
              <w:jc w:val="center"/>
              <w:rPr>
                <w:rStyle w:val="TableText9"/>
                <w:b w:val="0"/>
                <w:sz w:val="20"/>
              </w:rPr>
            </w:pPr>
            <w:r w:rsidRPr="00F74E22">
              <w:rPr>
                <w:rStyle w:val="TableText9"/>
                <w:b w:val="0"/>
                <w:sz w:val="20"/>
              </w:rPr>
              <w:t>-26.91</w:t>
            </w:r>
            <w:r w:rsidR="00B614F3">
              <w:rPr>
                <w:rStyle w:val="TableText9"/>
                <w:b w:val="0"/>
                <w:sz w:val="20"/>
              </w:rPr>
              <w:t xml:space="preserve"> </w:t>
            </w:r>
            <w:r w:rsidRPr="00F74E22">
              <w:rPr>
                <w:rStyle w:val="TableText9"/>
                <w:b w:val="0"/>
                <w:sz w:val="20"/>
              </w:rPr>
              <w:t>(7.79)</w:t>
            </w:r>
          </w:p>
        </w:tc>
        <w:tc>
          <w:tcPr>
            <w:tcW w:w="2268" w:type="dxa"/>
          </w:tcPr>
          <w:p w:rsidR="001F13D8" w:rsidRPr="00F74E22" w:rsidRDefault="001F13D8" w:rsidP="00965C4E">
            <w:pPr>
              <w:pStyle w:val="PITableTitle"/>
              <w:keepLines w:val="0"/>
              <w:spacing w:before="0" w:line="240" w:lineRule="atLeast"/>
              <w:jc w:val="center"/>
              <w:rPr>
                <w:rStyle w:val="TableText9"/>
                <w:b w:val="0"/>
                <w:sz w:val="20"/>
              </w:rPr>
            </w:pPr>
            <w:r w:rsidRPr="00F74E22">
              <w:rPr>
                <w:rStyle w:val="TableText9"/>
                <w:b w:val="0"/>
                <w:sz w:val="20"/>
              </w:rPr>
              <w:t>-38.01</w:t>
            </w:r>
            <w:r w:rsidR="00B614F3">
              <w:rPr>
                <w:rStyle w:val="TableText9"/>
                <w:b w:val="0"/>
                <w:sz w:val="20"/>
              </w:rPr>
              <w:t xml:space="preserve"> </w:t>
            </w:r>
            <w:r w:rsidR="00FE5729">
              <w:rPr>
                <w:rStyle w:val="TableText9"/>
                <w:b w:val="0"/>
                <w:sz w:val="20"/>
              </w:rPr>
              <w:t>(</w:t>
            </w:r>
            <w:r w:rsidRPr="00F74E22">
              <w:rPr>
                <w:rStyle w:val="TableText9"/>
                <w:b w:val="0"/>
                <w:sz w:val="20"/>
              </w:rPr>
              <w:t>9.38)</w:t>
            </w:r>
          </w:p>
        </w:tc>
        <w:tc>
          <w:tcPr>
            <w:tcW w:w="2126" w:type="dxa"/>
          </w:tcPr>
          <w:p w:rsidR="001F13D8" w:rsidRPr="00F74E22" w:rsidRDefault="001F13D8" w:rsidP="00965C4E">
            <w:pPr>
              <w:pStyle w:val="PITableTitle"/>
              <w:keepLines w:val="0"/>
              <w:spacing w:before="0" w:line="240" w:lineRule="atLeast"/>
              <w:jc w:val="center"/>
              <w:rPr>
                <w:rStyle w:val="TableText9"/>
                <w:b w:val="0"/>
                <w:sz w:val="20"/>
              </w:rPr>
            </w:pPr>
            <w:r w:rsidRPr="00F74E22">
              <w:rPr>
                <w:rStyle w:val="TableText9"/>
                <w:b w:val="0"/>
                <w:sz w:val="20"/>
              </w:rPr>
              <w:t>NA</w:t>
            </w:r>
          </w:p>
        </w:tc>
      </w:tr>
      <w:tr w:rsidR="00B614F3" w:rsidRPr="00727D4A" w:rsidTr="00B614F3">
        <w:trPr>
          <w:trHeight w:val="401"/>
        </w:trPr>
        <w:tc>
          <w:tcPr>
            <w:tcW w:w="1560" w:type="dxa"/>
            <w:vMerge/>
          </w:tcPr>
          <w:p w:rsidR="00086B18" w:rsidRDefault="00086B18" w:rsidP="00965C4E">
            <w:pPr>
              <w:keepNext/>
              <w:spacing w:after="120" w:line="240" w:lineRule="atLeast"/>
              <w:jc w:val="left"/>
              <w:rPr>
                <w:rStyle w:val="TableText9"/>
                <w:b/>
                <w:color w:val="000000"/>
                <w:sz w:val="20"/>
                <w:szCs w:val="24"/>
              </w:rPr>
            </w:pPr>
          </w:p>
        </w:tc>
        <w:tc>
          <w:tcPr>
            <w:tcW w:w="1275" w:type="dxa"/>
          </w:tcPr>
          <w:p w:rsidR="001F13D8" w:rsidRPr="0065179D" w:rsidRDefault="00C438B8" w:rsidP="00965C4E">
            <w:pPr>
              <w:pStyle w:val="PITableTitle"/>
              <w:keepLines w:val="0"/>
              <w:spacing w:before="0" w:line="240" w:lineRule="atLeast"/>
              <w:rPr>
                <w:rStyle w:val="TableText9"/>
                <w:sz w:val="20"/>
              </w:rPr>
            </w:pPr>
            <w:r w:rsidRPr="00C76187">
              <w:rPr>
                <w:rStyle w:val="TableText9"/>
                <w:i/>
                <w:sz w:val="20"/>
              </w:rPr>
              <w:t>p</w:t>
            </w:r>
            <w:r w:rsidRPr="00C438B8">
              <w:rPr>
                <w:rStyle w:val="TableText9"/>
                <w:sz w:val="20"/>
              </w:rPr>
              <w:t xml:space="preserve"> value</w:t>
            </w:r>
          </w:p>
        </w:tc>
        <w:tc>
          <w:tcPr>
            <w:tcW w:w="2127" w:type="dxa"/>
          </w:tcPr>
          <w:p w:rsidR="001F13D8" w:rsidRPr="00F74E22" w:rsidRDefault="00C438B8" w:rsidP="00965C4E">
            <w:pPr>
              <w:pStyle w:val="PITableTitle"/>
              <w:keepLines w:val="0"/>
              <w:spacing w:before="0" w:line="240" w:lineRule="atLeast"/>
              <w:jc w:val="center"/>
              <w:rPr>
                <w:rStyle w:val="TableText9"/>
                <w:b w:val="0"/>
                <w:sz w:val="20"/>
              </w:rPr>
            </w:pPr>
            <w:r w:rsidRPr="00F74E22">
              <w:rPr>
                <w:rStyle w:val="TableText9"/>
                <w:b w:val="0"/>
                <w:sz w:val="20"/>
              </w:rPr>
              <w:t>&lt;0.0001</w:t>
            </w:r>
          </w:p>
        </w:tc>
        <w:tc>
          <w:tcPr>
            <w:tcW w:w="2268" w:type="dxa"/>
          </w:tcPr>
          <w:p w:rsidR="001F13D8" w:rsidRPr="00F74E22" w:rsidRDefault="00C438B8" w:rsidP="00965C4E">
            <w:pPr>
              <w:pStyle w:val="PITableTitle"/>
              <w:keepLines w:val="0"/>
              <w:spacing w:before="0" w:line="240" w:lineRule="atLeast"/>
              <w:jc w:val="center"/>
              <w:rPr>
                <w:rStyle w:val="TableText9"/>
                <w:b w:val="0"/>
                <w:sz w:val="20"/>
              </w:rPr>
            </w:pPr>
            <w:r w:rsidRPr="00F74E22">
              <w:rPr>
                <w:rStyle w:val="TableText9"/>
                <w:b w:val="0"/>
                <w:sz w:val="20"/>
              </w:rPr>
              <w:t>&lt;0.0001</w:t>
            </w:r>
          </w:p>
        </w:tc>
        <w:tc>
          <w:tcPr>
            <w:tcW w:w="2126" w:type="dxa"/>
          </w:tcPr>
          <w:p w:rsidR="001F13D8" w:rsidRPr="00F74E22" w:rsidRDefault="00C438B8" w:rsidP="00965C4E">
            <w:pPr>
              <w:pStyle w:val="PITableTitle"/>
              <w:keepLines w:val="0"/>
              <w:spacing w:before="0" w:line="240" w:lineRule="atLeast"/>
              <w:jc w:val="center"/>
              <w:rPr>
                <w:rStyle w:val="TableText9"/>
                <w:b w:val="0"/>
                <w:sz w:val="20"/>
              </w:rPr>
            </w:pPr>
            <w:r w:rsidRPr="00F74E22">
              <w:rPr>
                <w:rStyle w:val="TableText9"/>
                <w:b w:val="0"/>
                <w:sz w:val="20"/>
              </w:rPr>
              <w:t>0.060</w:t>
            </w:r>
          </w:p>
        </w:tc>
      </w:tr>
      <w:tr w:rsidR="00B614F3" w:rsidRPr="00727D4A" w:rsidTr="00B614F3">
        <w:tc>
          <w:tcPr>
            <w:tcW w:w="1560" w:type="dxa"/>
            <w:vMerge w:val="restart"/>
          </w:tcPr>
          <w:p w:rsidR="001F13D8" w:rsidRPr="0065179D" w:rsidRDefault="001F13D8" w:rsidP="00965C4E">
            <w:pPr>
              <w:pStyle w:val="PITableTitle"/>
              <w:keepLines w:val="0"/>
              <w:spacing w:before="0" w:line="240" w:lineRule="atLeast"/>
              <w:rPr>
                <w:rStyle w:val="TableText9"/>
                <w:sz w:val="20"/>
              </w:rPr>
            </w:pPr>
            <w:r w:rsidRPr="0065179D">
              <w:rPr>
                <w:rStyle w:val="TableText9"/>
                <w:sz w:val="20"/>
              </w:rPr>
              <w:t>Haemoglobin</w:t>
            </w:r>
            <w:r w:rsidR="0045150C">
              <w:rPr>
                <w:rStyle w:val="TableText9"/>
                <w:sz w:val="20"/>
              </w:rPr>
              <w:t xml:space="preserve"> </w:t>
            </w:r>
            <w:r w:rsidRPr="0065179D">
              <w:rPr>
                <w:rStyle w:val="TableText9"/>
                <w:sz w:val="20"/>
              </w:rPr>
              <w:t>g/</w:t>
            </w:r>
            <w:proofErr w:type="spellStart"/>
            <w:r w:rsidRPr="0065179D">
              <w:rPr>
                <w:rStyle w:val="TableText9"/>
                <w:sz w:val="20"/>
              </w:rPr>
              <w:t>dL</w:t>
            </w:r>
            <w:proofErr w:type="spellEnd"/>
            <w:r w:rsidRPr="0065179D">
              <w:rPr>
                <w:rStyle w:val="TableText9"/>
                <w:sz w:val="20"/>
              </w:rPr>
              <w:t xml:space="preserve"> Change</w:t>
            </w:r>
          </w:p>
        </w:tc>
        <w:tc>
          <w:tcPr>
            <w:tcW w:w="1275" w:type="dxa"/>
          </w:tcPr>
          <w:p w:rsidR="001F13D8" w:rsidRPr="0065179D" w:rsidRDefault="001F13D8" w:rsidP="00965C4E">
            <w:pPr>
              <w:pStyle w:val="PITableTitle"/>
              <w:keepLines w:val="0"/>
              <w:spacing w:before="0" w:line="240" w:lineRule="atLeast"/>
              <w:rPr>
                <w:rStyle w:val="TableText9"/>
                <w:sz w:val="20"/>
              </w:rPr>
            </w:pPr>
            <w:r w:rsidRPr="0065179D">
              <w:rPr>
                <w:rStyle w:val="TableText9"/>
                <w:sz w:val="20"/>
              </w:rPr>
              <w:t>Mean</w:t>
            </w:r>
            <w:r w:rsidR="00B614F3">
              <w:rPr>
                <w:rStyle w:val="TableText9"/>
                <w:sz w:val="20"/>
              </w:rPr>
              <w:t xml:space="preserve"> </w:t>
            </w:r>
            <w:r w:rsidRPr="0065179D">
              <w:rPr>
                <w:rStyle w:val="TableText9"/>
                <w:sz w:val="20"/>
              </w:rPr>
              <w:t>(SD)</w:t>
            </w:r>
          </w:p>
        </w:tc>
        <w:tc>
          <w:tcPr>
            <w:tcW w:w="2127" w:type="dxa"/>
          </w:tcPr>
          <w:p w:rsidR="001F13D8" w:rsidRPr="00F74E22" w:rsidRDefault="001F13D8" w:rsidP="00965C4E">
            <w:pPr>
              <w:pStyle w:val="PITableTitle"/>
              <w:keepLines w:val="0"/>
              <w:spacing w:before="0" w:line="240" w:lineRule="atLeast"/>
              <w:jc w:val="center"/>
              <w:rPr>
                <w:rStyle w:val="TableText9"/>
                <w:b w:val="0"/>
                <w:sz w:val="20"/>
              </w:rPr>
            </w:pPr>
            <w:r w:rsidRPr="00F74E22">
              <w:rPr>
                <w:rStyle w:val="TableText9"/>
                <w:b w:val="0"/>
                <w:sz w:val="20"/>
              </w:rPr>
              <w:t>1.6</w:t>
            </w:r>
            <w:r w:rsidR="00B614F3">
              <w:rPr>
                <w:rStyle w:val="TableText9"/>
                <w:b w:val="0"/>
                <w:sz w:val="20"/>
              </w:rPr>
              <w:t xml:space="preserve"> </w:t>
            </w:r>
            <w:r w:rsidRPr="00F74E22">
              <w:rPr>
                <w:rStyle w:val="TableText9"/>
                <w:b w:val="0"/>
                <w:sz w:val="20"/>
              </w:rPr>
              <w:t>(1.4)</w:t>
            </w:r>
          </w:p>
        </w:tc>
        <w:tc>
          <w:tcPr>
            <w:tcW w:w="2268" w:type="dxa"/>
          </w:tcPr>
          <w:p w:rsidR="001F13D8" w:rsidRPr="00F74E22" w:rsidRDefault="001F13D8" w:rsidP="00965C4E">
            <w:pPr>
              <w:pStyle w:val="PITableTitle"/>
              <w:keepLines w:val="0"/>
              <w:spacing w:before="0" w:line="240" w:lineRule="atLeast"/>
              <w:jc w:val="center"/>
              <w:rPr>
                <w:rStyle w:val="TableText9"/>
                <w:b w:val="0"/>
                <w:sz w:val="20"/>
              </w:rPr>
            </w:pPr>
            <w:r w:rsidRPr="00F74E22">
              <w:rPr>
                <w:rStyle w:val="TableText9"/>
                <w:b w:val="0"/>
                <w:sz w:val="20"/>
              </w:rPr>
              <w:t>2.2</w:t>
            </w:r>
            <w:r w:rsidR="00B614F3">
              <w:rPr>
                <w:rStyle w:val="TableText9"/>
                <w:b w:val="0"/>
                <w:sz w:val="20"/>
              </w:rPr>
              <w:t xml:space="preserve"> </w:t>
            </w:r>
            <w:r w:rsidRPr="00F74E22">
              <w:rPr>
                <w:rStyle w:val="TableText9"/>
                <w:b w:val="0"/>
                <w:sz w:val="20"/>
              </w:rPr>
              <w:t>(1.4)</w:t>
            </w:r>
          </w:p>
        </w:tc>
        <w:tc>
          <w:tcPr>
            <w:tcW w:w="2126" w:type="dxa"/>
          </w:tcPr>
          <w:p w:rsidR="001F13D8" w:rsidRPr="00F74E22" w:rsidRDefault="001F13D8" w:rsidP="00965C4E">
            <w:pPr>
              <w:pStyle w:val="PITableTitle"/>
              <w:keepLines w:val="0"/>
              <w:spacing w:before="0" w:line="240" w:lineRule="atLeast"/>
              <w:jc w:val="center"/>
              <w:rPr>
                <w:rStyle w:val="TableText9"/>
                <w:b w:val="0"/>
                <w:sz w:val="20"/>
              </w:rPr>
            </w:pPr>
            <w:r w:rsidRPr="00F74E22">
              <w:rPr>
                <w:rStyle w:val="TableText9"/>
                <w:b w:val="0"/>
                <w:sz w:val="20"/>
              </w:rPr>
              <w:t>NA</w:t>
            </w:r>
          </w:p>
        </w:tc>
      </w:tr>
      <w:tr w:rsidR="00B614F3" w:rsidRPr="00727D4A" w:rsidTr="00B614F3">
        <w:trPr>
          <w:trHeight w:val="413"/>
        </w:trPr>
        <w:tc>
          <w:tcPr>
            <w:tcW w:w="1560" w:type="dxa"/>
            <w:vMerge/>
          </w:tcPr>
          <w:p w:rsidR="00086B18" w:rsidRDefault="00086B18" w:rsidP="0045150C">
            <w:pPr>
              <w:widowControl w:val="0"/>
              <w:spacing w:after="120" w:line="240" w:lineRule="atLeast"/>
              <w:jc w:val="left"/>
              <w:rPr>
                <w:rStyle w:val="TableText9"/>
                <w:b/>
                <w:color w:val="000000"/>
                <w:sz w:val="20"/>
                <w:szCs w:val="24"/>
              </w:rPr>
            </w:pPr>
          </w:p>
        </w:tc>
        <w:tc>
          <w:tcPr>
            <w:tcW w:w="1275" w:type="dxa"/>
          </w:tcPr>
          <w:p w:rsidR="001F13D8" w:rsidRPr="0065179D" w:rsidRDefault="00C438B8" w:rsidP="0045150C">
            <w:pPr>
              <w:pStyle w:val="PITableTitle"/>
              <w:keepNext w:val="0"/>
              <w:keepLines w:val="0"/>
              <w:widowControl w:val="0"/>
              <w:spacing w:before="0" w:line="240" w:lineRule="atLeast"/>
              <w:rPr>
                <w:rStyle w:val="TableText9"/>
                <w:sz w:val="20"/>
              </w:rPr>
            </w:pPr>
            <w:r w:rsidRPr="00C76187">
              <w:rPr>
                <w:rStyle w:val="TableText9"/>
                <w:i/>
                <w:sz w:val="20"/>
              </w:rPr>
              <w:t>p</w:t>
            </w:r>
            <w:r w:rsidRPr="00C438B8">
              <w:rPr>
                <w:rStyle w:val="TableText9"/>
                <w:sz w:val="20"/>
              </w:rPr>
              <w:t xml:space="preserve"> value</w:t>
            </w:r>
          </w:p>
        </w:tc>
        <w:tc>
          <w:tcPr>
            <w:tcW w:w="2127" w:type="dxa"/>
          </w:tcPr>
          <w:p w:rsidR="001F13D8" w:rsidRPr="00F74E22" w:rsidRDefault="00C438B8" w:rsidP="0045150C">
            <w:pPr>
              <w:pStyle w:val="PITableTitle"/>
              <w:keepNext w:val="0"/>
              <w:keepLines w:val="0"/>
              <w:widowControl w:val="0"/>
              <w:spacing w:before="0" w:line="240" w:lineRule="atLeast"/>
              <w:jc w:val="center"/>
              <w:rPr>
                <w:rStyle w:val="TableText9"/>
                <w:b w:val="0"/>
                <w:sz w:val="20"/>
              </w:rPr>
            </w:pPr>
            <w:r w:rsidRPr="00F74E22">
              <w:rPr>
                <w:rStyle w:val="TableText9"/>
                <w:b w:val="0"/>
                <w:sz w:val="20"/>
              </w:rPr>
              <w:t>0.0010</w:t>
            </w:r>
          </w:p>
        </w:tc>
        <w:tc>
          <w:tcPr>
            <w:tcW w:w="2268" w:type="dxa"/>
          </w:tcPr>
          <w:p w:rsidR="001F13D8" w:rsidRPr="00F74E22" w:rsidRDefault="00C438B8" w:rsidP="0045150C">
            <w:pPr>
              <w:pStyle w:val="PITableTitle"/>
              <w:keepNext w:val="0"/>
              <w:keepLines w:val="0"/>
              <w:widowControl w:val="0"/>
              <w:spacing w:before="0" w:line="240" w:lineRule="atLeast"/>
              <w:jc w:val="center"/>
              <w:rPr>
                <w:rStyle w:val="TableText9"/>
                <w:b w:val="0"/>
                <w:sz w:val="20"/>
              </w:rPr>
            </w:pPr>
            <w:r w:rsidRPr="00F74E22">
              <w:rPr>
                <w:rStyle w:val="TableText9"/>
                <w:b w:val="0"/>
                <w:sz w:val="20"/>
              </w:rPr>
              <w:t>&lt;0.0001</w:t>
            </w:r>
          </w:p>
        </w:tc>
        <w:tc>
          <w:tcPr>
            <w:tcW w:w="2126" w:type="dxa"/>
          </w:tcPr>
          <w:p w:rsidR="001F13D8" w:rsidRPr="00F74E22" w:rsidRDefault="00C438B8" w:rsidP="0045150C">
            <w:pPr>
              <w:pStyle w:val="PITableTitle"/>
              <w:keepNext w:val="0"/>
              <w:keepLines w:val="0"/>
              <w:widowControl w:val="0"/>
              <w:spacing w:before="0" w:line="240" w:lineRule="atLeast"/>
              <w:jc w:val="center"/>
              <w:rPr>
                <w:rStyle w:val="TableText9"/>
                <w:b w:val="0"/>
                <w:sz w:val="20"/>
              </w:rPr>
            </w:pPr>
            <w:r w:rsidRPr="00F74E22">
              <w:rPr>
                <w:rStyle w:val="TableText9"/>
                <w:b w:val="0"/>
                <w:sz w:val="20"/>
              </w:rPr>
              <w:t>0.719</w:t>
            </w:r>
          </w:p>
        </w:tc>
      </w:tr>
      <w:tr w:rsidR="00B614F3" w:rsidRPr="00727D4A" w:rsidTr="00B614F3">
        <w:tc>
          <w:tcPr>
            <w:tcW w:w="1560" w:type="dxa"/>
            <w:vMerge w:val="restart"/>
          </w:tcPr>
          <w:p w:rsidR="001F13D8" w:rsidRPr="0065179D" w:rsidRDefault="001F13D8" w:rsidP="0045150C">
            <w:pPr>
              <w:pStyle w:val="PITableTitle"/>
              <w:keepNext w:val="0"/>
              <w:keepLines w:val="0"/>
              <w:widowControl w:val="0"/>
              <w:spacing w:before="0" w:line="240" w:lineRule="atLeast"/>
              <w:rPr>
                <w:rStyle w:val="TableText9"/>
                <w:sz w:val="20"/>
              </w:rPr>
            </w:pPr>
            <w:r w:rsidRPr="0065179D">
              <w:rPr>
                <w:rStyle w:val="TableText9"/>
                <w:sz w:val="20"/>
              </w:rPr>
              <w:t>Liver Volume</w:t>
            </w:r>
            <w:r w:rsidR="0045150C">
              <w:rPr>
                <w:rStyle w:val="TableText9"/>
                <w:sz w:val="20"/>
              </w:rPr>
              <w:t xml:space="preserve"> </w:t>
            </w:r>
            <w:r w:rsidRPr="0065179D">
              <w:rPr>
                <w:rStyle w:val="TableText9"/>
                <w:sz w:val="20"/>
              </w:rPr>
              <w:t>% Change</w:t>
            </w:r>
          </w:p>
        </w:tc>
        <w:tc>
          <w:tcPr>
            <w:tcW w:w="1275" w:type="dxa"/>
          </w:tcPr>
          <w:p w:rsidR="001F13D8" w:rsidRPr="0065179D" w:rsidRDefault="001F13D8" w:rsidP="0045150C">
            <w:pPr>
              <w:pStyle w:val="PITableTitle"/>
              <w:keepNext w:val="0"/>
              <w:keepLines w:val="0"/>
              <w:widowControl w:val="0"/>
              <w:spacing w:before="0" w:line="240" w:lineRule="atLeast"/>
              <w:rPr>
                <w:rStyle w:val="TableText9"/>
                <w:sz w:val="20"/>
              </w:rPr>
            </w:pPr>
            <w:r w:rsidRPr="0065179D">
              <w:rPr>
                <w:rStyle w:val="TableText9"/>
                <w:sz w:val="20"/>
              </w:rPr>
              <w:t>Mean</w:t>
            </w:r>
            <w:r w:rsidR="00B614F3">
              <w:rPr>
                <w:rStyle w:val="TableText9"/>
                <w:sz w:val="20"/>
              </w:rPr>
              <w:t xml:space="preserve"> </w:t>
            </w:r>
            <w:r w:rsidRPr="0065179D">
              <w:rPr>
                <w:rStyle w:val="TableText9"/>
                <w:sz w:val="20"/>
              </w:rPr>
              <w:t>(SD)</w:t>
            </w:r>
          </w:p>
        </w:tc>
        <w:tc>
          <w:tcPr>
            <w:tcW w:w="2127" w:type="dxa"/>
          </w:tcPr>
          <w:p w:rsidR="001F13D8" w:rsidRPr="00F74E22" w:rsidRDefault="001F13D8" w:rsidP="0045150C">
            <w:pPr>
              <w:pStyle w:val="PITableTitle"/>
              <w:keepNext w:val="0"/>
              <w:keepLines w:val="0"/>
              <w:widowControl w:val="0"/>
              <w:spacing w:before="0" w:line="240" w:lineRule="atLeast"/>
              <w:jc w:val="center"/>
              <w:rPr>
                <w:rStyle w:val="TableText9"/>
                <w:b w:val="0"/>
                <w:sz w:val="20"/>
              </w:rPr>
            </w:pPr>
            <w:r w:rsidRPr="00F74E22">
              <w:rPr>
                <w:rStyle w:val="TableText9"/>
                <w:b w:val="0"/>
                <w:sz w:val="20"/>
              </w:rPr>
              <w:t>-10.48</w:t>
            </w:r>
            <w:r w:rsidR="00B614F3">
              <w:rPr>
                <w:rStyle w:val="TableText9"/>
                <w:b w:val="0"/>
                <w:sz w:val="20"/>
              </w:rPr>
              <w:t xml:space="preserve"> </w:t>
            </w:r>
            <w:r w:rsidRPr="00F74E22">
              <w:rPr>
                <w:rStyle w:val="TableText9"/>
                <w:b w:val="0"/>
                <w:sz w:val="20"/>
              </w:rPr>
              <w:t>(11.27)</w:t>
            </w:r>
          </w:p>
        </w:tc>
        <w:tc>
          <w:tcPr>
            <w:tcW w:w="2268" w:type="dxa"/>
          </w:tcPr>
          <w:p w:rsidR="001F13D8" w:rsidRPr="00F74E22" w:rsidRDefault="001F13D8" w:rsidP="0045150C">
            <w:pPr>
              <w:pStyle w:val="PITableTitle"/>
              <w:keepNext w:val="0"/>
              <w:keepLines w:val="0"/>
              <w:widowControl w:val="0"/>
              <w:spacing w:before="0" w:line="240" w:lineRule="atLeast"/>
              <w:jc w:val="center"/>
              <w:rPr>
                <w:rStyle w:val="TableText9"/>
                <w:b w:val="0"/>
                <w:sz w:val="20"/>
              </w:rPr>
            </w:pPr>
            <w:r w:rsidRPr="00F74E22">
              <w:rPr>
                <w:rStyle w:val="TableText9"/>
                <w:b w:val="0"/>
                <w:sz w:val="20"/>
              </w:rPr>
              <w:t>-11.11</w:t>
            </w:r>
            <w:r w:rsidR="00B614F3">
              <w:rPr>
                <w:rStyle w:val="TableText9"/>
                <w:b w:val="0"/>
                <w:sz w:val="20"/>
              </w:rPr>
              <w:t xml:space="preserve"> </w:t>
            </w:r>
            <w:r w:rsidRPr="00F74E22">
              <w:rPr>
                <w:rStyle w:val="TableText9"/>
                <w:b w:val="0"/>
                <w:sz w:val="20"/>
              </w:rPr>
              <w:t>(6.68)</w:t>
            </w:r>
          </w:p>
        </w:tc>
        <w:tc>
          <w:tcPr>
            <w:tcW w:w="2126" w:type="dxa"/>
          </w:tcPr>
          <w:p w:rsidR="001F13D8" w:rsidRPr="00F74E22" w:rsidRDefault="001F13D8" w:rsidP="0045150C">
            <w:pPr>
              <w:pStyle w:val="PITableTitle"/>
              <w:keepNext w:val="0"/>
              <w:keepLines w:val="0"/>
              <w:widowControl w:val="0"/>
              <w:spacing w:before="0" w:line="240" w:lineRule="atLeast"/>
              <w:jc w:val="center"/>
              <w:rPr>
                <w:rStyle w:val="TableText9"/>
                <w:b w:val="0"/>
                <w:sz w:val="20"/>
              </w:rPr>
            </w:pPr>
            <w:r w:rsidRPr="00F74E22">
              <w:rPr>
                <w:rStyle w:val="TableText9"/>
                <w:b w:val="0"/>
                <w:sz w:val="20"/>
              </w:rPr>
              <w:t>NA</w:t>
            </w:r>
          </w:p>
        </w:tc>
      </w:tr>
      <w:tr w:rsidR="00B614F3" w:rsidRPr="00727D4A" w:rsidTr="00B614F3">
        <w:trPr>
          <w:trHeight w:val="337"/>
        </w:trPr>
        <w:tc>
          <w:tcPr>
            <w:tcW w:w="1560" w:type="dxa"/>
            <w:vMerge/>
          </w:tcPr>
          <w:p w:rsidR="00086B18" w:rsidRDefault="00086B18" w:rsidP="0045150C">
            <w:pPr>
              <w:widowControl w:val="0"/>
              <w:spacing w:after="120" w:line="240" w:lineRule="atLeast"/>
              <w:jc w:val="left"/>
              <w:rPr>
                <w:rStyle w:val="TableText9"/>
                <w:b/>
                <w:color w:val="000000"/>
                <w:sz w:val="20"/>
                <w:szCs w:val="24"/>
              </w:rPr>
            </w:pPr>
          </w:p>
        </w:tc>
        <w:tc>
          <w:tcPr>
            <w:tcW w:w="1275" w:type="dxa"/>
          </w:tcPr>
          <w:p w:rsidR="001F13D8" w:rsidRPr="0065179D" w:rsidRDefault="00C438B8" w:rsidP="0045150C">
            <w:pPr>
              <w:pStyle w:val="PITableTitle"/>
              <w:keepNext w:val="0"/>
              <w:keepLines w:val="0"/>
              <w:widowControl w:val="0"/>
              <w:spacing w:before="0" w:line="240" w:lineRule="atLeast"/>
              <w:rPr>
                <w:rStyle w:val="TableText9"/>
                <w:sz w:val="20"/>
              </w:rPr>
            </w:pPr>
            <w:r w:rsidRPr="00C76187">
              <w:rPr>
                <w:rStyle w:val="TableText9"/>
                <w:i/>
                <w:sz w:val="20"/>
              </w:rPr>
              <w:t xml:space="preserve">p </w:t>
            </w:r>
            <w:r w:rsidRPr="00C438B8">
              <w:rPr>
                <w:rStyle w:val="TableText9"/>
                <w:sz w:val="20"/>
              </w:rPr>
              <w:t>value</w:t>
            </w:r>
          </w:p>
        </w:tc>
        <w:tc>
          <w:tcPr>
            <w:tcW w:w="2127" w:type="dxa"/>
          </w:tcPr>
          <w:p w:rsidR="001F13D8" w:rsidRPr="00F74E22" w:rsidRDefault="00C438B8" w:rsidP="0045150C">
            <w:pPr>
              <w:pStyle w:val="PITableTitle"/>
              <w:keepNext w:val="0"/>
              <w:keepLines w:val="0"/>
              <w:widowControl w:val="0"/>
              <w:spacing w:before="0" w:line="240" w:lineRule="atLeast"/>
              <w:jc w:val="center"/>
              <w:rPr>
                <w:rStyle w:val="TableText9"/>
                <w:b w:val="0"/>
                <w:sz w:val="20"/>
              </w:rPr>
            </w:pPr>
            <w:r w:rsidRPr="00F74E22">
              <w:rPr>
                <w:rStyle w:val="TableText9"/>
                <w:b w:val="0"/>
                <w:sz w:val="20"/>
              </w:rPr>
              <w:t>0.0041</w:t>
            </w:r>
          </w:p>
        </w:tc>
        <w:tc>
          <w:tcPr>
            <w:tcW w:w="2268" w:type="dxa"/>
          </w:tcPr>
          <w:p w:rsidR="001F13D8" w:rsidRPr="00F74E22" w:rsidRDefault="00C438B8" w:rsidP="0045150C">
            <w:pPr>
              <w:pStyle w:val="PITableTitle"/>
              <w:keepNext w:val="0"/>
              <w:keepLines w:val="0"/>
              <w:widowControl w:val="0"/>
              <w:spacing w:before="0" w:line="240" w:lineRule="atLeast"/>
              <w:jc w:val="center"/>
              <w:rPr>
                <w:rStyle w:val="TableText9"/>
                <w:b w:val="0"/>
                <w:sz w:val="20"/>
              </w:rPr>
            </w:pPr>
            <w:r w:rsidRPr="00F74E22">
              <w:rPr>
                <w:rStyle w:val="TableText9"/>
                <w:b w:val="0"/>
                <w:sz w:val="20"/>
              </w:rPr>
              <w:t>&lt;0.0001</w:t>
            </w:r>
          </w:p>
        </w:tc>
        <w:tc>
          <w:tcPr>
            <w:tcW w:w="2126" w:type="dxa"/>
          </w:tcPr>
          <w:p w:rsidR="001F13D8" w:rsidRPr="00F74E22" w:rsidRDefault="00C438B8" w:rsidP="0045150C">
            <w:pPr>
              <w:pStyle w:val="PITableTitle"/>
              <w:keepNext w:val="0"/>
              <w:keepLines w:val="0"/>
              <w:widowControl w:val="0"/>
              <w:spacing w:before="0" w:line="240" w:lineRule="atLeast"/>
              <w:jc w:val="center"/>
              <w:rPr>
                <w:rStyle w:val="TableText9"/>
                <w:b w:val="0"/>
                <w:sz w:val="20"/>
              </w:rPr>
            </w:pPr>
            <w:r w:rsidRPr="00F74E22">
              <w:rPr>
                <w:rStyle w:val="TableText9"/>
                <w:b w:val="0"/>
                <w:sz w:val="20"/>
              </w:rPr>
              <w:t>0.349</w:t>
            </w:r>
          </w:p>
        </w:tc>
      </w:tr>
      <w:tr w:rsidR="00B614F3" w:rsidRPr="00727D4A" w:rsidTr="00B614F3">
        <w:tc>
          <w:tcPr>
            <w:tcW w:w="1560" w:type="dxa"/>
            <w:vMerge w:val="restart"/>
          </w:tcPr>
          <w:p w:rsidR="001F13D8" w:rsidRPr="0065179D" w:rsidRDefault="001F13D8" w:rsidP="0045150C">
            <w:pPr>
              <w:pStyle w:val="PITableTitle"/>
              <w:keepNext w:val="0"/>
              <w:keepLines w:val="0"/>
              <w:widowControl w:val="0"/>
              <w:spacing w:before="0" w:line="240" w:lineRule="atLeast"/>
              <w:rPr>
                <w:rStyle w:val="TableText9"/>
                <w:sz w:val="20"/>
              </w:rPr>
            </w:pPr>
            <w:r w:rsidRPr="0065179D">
              <w:rPr>
                <w:rStyle w:val="TableText9"/>
                <w:sz w:val="20"/>
              </w:rPr>
              <w:t>Platelet Count</w:t>
            </w:r>
            <w:r w:rsidR="0045150C">
              <w:rPr>
                <w:rStyle w:val="TableText9"/>
                <w:sz w:val="20"/>
              </w:rPr>
              <w:t xml:space="preserve"> </w:t>
            </w:r>
            <w:r w:rsidRPr="0065179D">
              <w:rPr>
                <w:rStyle w:val="TableText9"/>
                <w:sz w:val="20"/>
              </w:rPr>
              <w:t>/mm</w:t>
            </w:r>
            <w:r w:rsidRPr="0065179D">
              <w:rPr>
                <w:rStyle w:val="TableText9"/>
                <w:sz w:val="20"/>
                <w:vertAlign w:val="superscript"/>
              </w:rPr>
              <w:t xml:space="preserve">3 </w:t>
            </w:r>
            <w:r w:rsidRPr="0065179D">
              <w:rPr>
                <w:rStyle w:val="TableText9"/>
                <w:sz w:val="20"/>
              </w:rPr>
              <w:t>Change</w:t>
            </w:r>
          </w:p>
        </w:tc>
        <w:tc>
          <w:tcPr>
            <w:tcW w:w="1275" w:type="dxa"/>
          </w:tcPr>
          <w:p w:rsidR="001F13D8" w:rsidRPr="0065179D" w:rsidRDefault="001F13D8" w:rsidP="0045150C">
            <w:pPr>
              <w:pStyle w:val="PITableTitle"/>
              <w:keepNext w:val="0"/>
              <w:keepLines w:val="0"/>
              <w:widowControl w:val="0"/>
              <w:spacing w:before="0" w:line="240" w:lineRule="atLeast"/>
              <w:rPr>
                <w:rStyle w:val="TableText9"/>
                <w:sz w:val="20"/>
              </w:rPr>
            </w:pPr>
            <w:r w:rsidRPr="0065179D">
              <w:rPr>
                <w:rStyle w:val="TableText9"/>
                <w:sz w:val="20"/>
              </w:rPr>
              <w:t>Mean</w:t>
            </w:r>
            <w:r w:rsidR="00B614F3">
              <w:rPr>
                <w:rStyle w:val="TableText9"/>
                <w:sz w:val="20"/>
              </w:rPr>
              <w:t xml:space="preserve"> </w:t>
            </w:r>
            <w:r w:rsidRPr="0065179D">
              <w:rPr>
                <w:rStyle w:val="TableText9"/>
                <w:sz w:val="20"/>
              </w:rPr>
              <w:t>(SD)</w:t>
            </w:r>
          </w:p>
        </w:tc>
        <w:tc>
          <w:tcPr>
            <w:tcW w:w="2127" w:type="dxa"/>
          </w:tcPr>
          <w:p w:rsidR="001F13D8" w:rsidRPr="00F74E22" w:rsidRDefault="001F13D8" w:rsidP="0045150C">
            <w:pPr>
              <w:pStyle w:val="PITableTitle"/>
              <w:keepNext w:val="0"/>
              <w:keepLines w:val="0"/>
              <w:widowControl w:val="0"/>
              <w:spacing w:before="0" w:line="240" w:lineRule="atLeast"/>
              <w:jc w:val="center"/>
              <w:rPr>
                <w:rStyle w:val="TableText9"/>
                <w:b w:val="0"/>
                <w:sz w:val="20"/>
              </w:rPr>
            </w:pPr>
            <w:r w:rsidRPr="00F74E22">
              <w:rPr>
                <w:rStyle w:val="TableText9"/>
                <w:b w:val="0"/>
                <w:sz w:val="20"/>
              </w:rPr>
              <w:t>11427</w:t>
            </w:r>
            <w:r w:rsidR="00B614F3">
              <w:rPr>
                <w:rStyle w:val="TableText9"/>
                <w:b w:val="0"/>
                <w:sz w:val="20"/>
              </w:rPr>
              <w:t xml:space="preserve"> </w:t>
            </w:r>
            <w:r w:rsidRPr="00F74E22">
              <w:rPr>
                <w:rStyle w:val="TableText9"/>
                <w:b w:val="0"/>
                <w:sz w:val="20"/>
              </w:rPr>
              <w:t>(20214)</w:t>
            </w:r>
          </w:p>
        </w:tc>
        <w:tc>
          <w:tcPr>
            <w:tcW w:w="2268" w:type="dxa"/>
          </w:tcPr>
          <w:p w:rsidR="001F13D8" w:rsidRPr="00F74E22" w:rsidRDefault="001F13D8" w:rsidP="0045150C">
            <w:pPr>
              <w:pStyle w:val="PITableTitle"/>
              <w:keepNext w:val="0"/>
              <w:keepLines w:val="0"/>
              <w:widowControl w:val="0"/>
              <w:spacing w:before="0" w:line="240" w:lineRule="atLeast"/>
              <w:jc w:val="center"/>
              <w:rPr>
                <w:rStyle w:val="TableText9"/>
                <w:b w:val="0"/>
                <w:sz w:val="20"/>
              </w:rPr>
            </w:pPr>
            <w:r w:rsidRPr="00F74E22">
              <w:rPr>
                <w:rStyle w:val="TableText9"/>
                <w:b w:val="0"/>
                <w:sz w:val="20"/>
              </w:rPr>
              <w:t>41494</w:t>
            </w:r>
            <w:r w:rsidR="00B614F3">
              <w:rPr>
                <w:rStyle w:val="TableText9"/>
                <w:b w:val="0"/>
                <w:sz w:val="20"/>
              </w:rPr>
              <w:t xml:space="preserve"> </w:t>
            </w:r>
            <w:r w:rsidRPr="00F74E22">
              <w:rPr>
                <w:rStyle w:val="TableText9"/>
                <w:b w:val="0"/>
                <w:sz w:val="20"/>
              </w:rPr>
              <w:t>(47063)</w:t>
            </w:r>
          </w:p>
        </w:tc>
        <w:tc>
          <w:tcPr>
            <w:tcW w:w="2126" w:type="dxa"/>
          </w:tcPr>
          <w:p w:rsidR="001F13D8" w:rsidRPr="00F74E22" w:rsidRDefault="001F13D8" w:rsidP="0045150C">
            <w:pPr>
              <w:pStyle w:val="PITableTitle"/>
              <w:keepNext w:val="0"/>
              <w:keepLines w:val="0"/>
              <w:widowControl w:val="0"/>
              <w:spacing w:before="0" w:line="240" w:lineRule="atLeast"/>
              <w:jc w:val="center"/>
              <w:rPr>
                <w:rStyle w:val="TableText9"/>
                <w:b w:val="0"/>
                <w:sz w:val="20"/>
              </w:rPr>
            </w:pPr>
            <w:r w:rsidRPr="00F74E22">
              <w:rPr>
                <w:rStyle w:val="TableText9"/>
                <w:b w:val="0"/>
                <w:sz w:val="20"/>
              </w:rPr>
              <w:t>NA</w:t>
            </w:r>
          </w:p>
        </w:tc>
      </w:tr>
      <w:tr w:rsidR="00B614F3" w:rsidRPr="00727D4A" w:rsidTr="00B614F3">
        <w:trPr>
          <w:trHeight w:val="404"/>
        </w:trPr>
        <w:tc>
          <w:tcPr>
            <w:tcW w:w="1560" w:type="dxa"/>
            <w:vMerge/>
          </w:tcPr>
          <w:p w:rsidR="00086B18" w:rsidRDefault="00086B18" w:rsidP="0045150C">
            <w:pPr>
              <w:widowControl w:val="0"/>
              <w:spacing w:after="120" w:line="240" w:lineRule="atLeast"/>
              <w:jc w:val="center"/>
              <w:rPr>
                <w:rStyle w:val="TableText9"/>
                <w:b/>
                <w:color w:val="000000"/>
                <w:sz w:val="20"/>
                <w:szCs w:val="24"/>
              </w:rPr>
            </w:pPr>
          </w:p>
        </w:tc>
        <w:tc>
          <w:tcPr>
            <w:tcW w:w="1275" w:type="dxa"/>
          </w:tcPr>
          <w:p w:rsidR="001F13D8" w:rsidRPr="0065179D" w:rsidRDefault="00C438B8" w:rsidP="0045150C">
            <w:pPr>
              <w:pStyle w:val="PITableTitle"/>
              <w:keepNext w:val="0"/>
              <w:keepLines w:val="0"/>
              <w:widowControl w:val="0"/>
              <w:spacing w:before="0" w:line="240" w:lineRule="atLeast"/>
              <w:rPr>
                <w:rStyle w:val="TableText9"/>
                <w:sz w:val="20"/>
              </w:rPr>
            </w:pPr>
            <w:r w:rsidRPr="00C76187">
              <w:rPr>
                <w:rStyle w:val="TableText9"/>
                <w:i/>
                <w:sz w:val="20"/>
              </w:rPr>
              <w:t>p</w:t>
            </w:r>
            <w:r w:rsidRPr="00C438B8">
              <w:rPr>
                <w:rStyle w:val="TableText9"/>
                <w:sz w:val="20"/>
              </w:rPr>
              <w:t xml:space="preserve"> value</w:t>
            </w:r>
          </w:p>
        </w:tc>
        <w:tc>
          <w:tcPr>
            <w:tcW w:w="2127" w:type="dxa"/>
          </w:tcPr>
          <w:p w:rsidR="001F13D8" w:rsidRPr="00F74E22" w:rsidRDefault="00C438B8" w:rsidP="0045150C">
            <w:pPr>
              <w:pStyle w:val="PITableTitle"/>
              <w:keepNext w:val="0"/>
              <w:keepLines w:val="0"/>
              <w:widowControl w:val="0"/>
              <w:spacing w:before="0" w:line="240" w:lineRule="atLeast"/>
              <w:jc w:val="center"/>
              <w:rPr>
                <w:rStyle w:val="TableText9"/>
                <w:b w:val="0"/>
                <w:sz w:val="20"/>
              </w:rPr>
            </w:pPr>
            <w:r w:rsidRPr="00F74E22">
              <w:rPr>
                <w:rStyle w:val="TableText9"/>
                <w:b w:val="0"/>
                <w:sz w:val="20"/>
              </w:rPr>
              <w:t>0.0460*</w:t>
            </w:r>
          </w:p>
        </w:tc>
        <w:tc>
          <w:tcPr>
            <w:tcW w:w="2268" w:type="dxa"/>
          </w:tcPr>
          <w:p w:rsidR="001F13D8" w:rsidRPr="00F74E22" w:rsidRDefault="00C438B8" w:rsidP="0045150C">
            <w:pPr>
              <w:pStyle w:val="PITableTitle"/>
              <w:keepNext w:val="0"/>
              <w:keepLines w:val="0"/>
              <w:widowControl w:val="0"/>
              <w:spacing w:before="0" w:line="240" w:lineRule="atLeast"/>
              <w:jc w:val="center"/>
              <w:rPr>
                <w:rStyle w:val="TableText9"/>
                <w:b w:val="0"/>
                <w:sz w:val="20"/>
              </w:rPr>
            </w:pPr>
            <w:r w:rsidRPr="00F74E22">
              <w:rPr>
                <w:rStyle w:val="TableText9"/>
                <w:b w:val="0"/>
                <w:sz w:val="20"/>
              </w:rPr>
              <w:t>0.0031</w:t>
            </w:r>
          </w:p>
        </w:tc>
        <w:tc>
          <w:tcPr>
            <w:tcW w:w="2126" w:type="dxa"/>
          </w:tcPr>
          <w:p w:rsidR="001F13D8" w:rsidRPr="00F74E22" w:rsidRDefault="00C438B8" w:rsidP="0045150C">
            <w:pPr>
              <w:pStyle w:val="PITableTitle"/>
              <w:keepNext w:val="0"/>
              <w:keepLines w:val="0"/>
              <w:widowControl w:val="0"/>
              <w:spacing w:before="0" w:line="240" w:lineRule="atLeast"/>
              <w:jc w:val="center"/>
              <w:rPr>
                <w:rStyle w:val="TableText9"/>
                <w:b w:val="0"/>
                <w:sz w:val="20"/>
              </w:rPr>
            </w:pPr>
            <w:r w:rsidRPr="00F74E22">
              <w:rPr>
                <w:rStyle w:val="TableText9"/>
                <w:b w:val="0"/>
                <w:sz w:val="20"/>
              </w:rPr>
              <w:t>0.042</w:t>
            </w:r>
          </w:p>
        </w:tc>
      </w:tr>
    </w:tbl>
    <w:p w:rsidR="004D3880" w:rsidRDefault="004D3880" w:rsidP="00E02163">
      <w:pPr>
        <w:widowControl w:val="0"/>
        <w:spacing w:after="0"/>
        <w:rPr>
          <w:noProof/>
          <w:sz w:val="20"/>
        </w:rPr>
      </w:pPr>
      <w:r w:rsidRPr="005943F4">
        <w:rPr>
          <w:noProof/>
          <w:sz w:val="20"/>
        </w:rPr>
        <w:t>SD: standard deviation; NA: not applicable</w:t>
      </w:r>
      <w:r w:rsidR="003646C5">
        <w:rPr>
          <w:noProof/>
          <w:sz w:val="20"/>
        </w:rPr>
        <w:t>.</w:t>
      </w:r>
    </w:p>
    <w:p w:rsidR="00EB149E" w:rsidRDefault="000F45E2" w:rsidP="00E02163">
      <w:pPr>
        <w:widowControl w:val="0"/>
        <w:autoSpaceDE w:val="0"/>
        <w:autoSpaceDN w:val="0"/>
        <w:adjustRightInd w:val="0"/>
        <w:spacing w:after="0"/>
        <w:rPr>
          <w:noProof/>
          <w:color w:val="000000"/>
          <w:sz w:val="20"/>
        </w:rPr>
      </w:pPr>
      <w:r w:rsidRPr="00CB3919">
        <w:rPr>
          <w:noProof/>
          <w:color w:val="000000"/>
          <w:sz w:val="20"/>
        </w:rPr>
        <w:t xml:space="preserve">*Clinically relevant improvement in platelet count at </w:t>
      </w:r>
      <w:r w:rsidR="006E05EE" w:rsidRPr="00CB3919">
        <w:rPr>
          <w:noProof/>
          <w:color w:val="000000"/>
          <w:sz w:val="20"/>
        </w:rPr>
        <w:t xml:space="preserve">month </w:t>
      </w:r>
      <w:r w:rsidRPr="00CB3919">
        <w:rPr>
          <w:noProof/>
          <w:color w:val="000000"/>
          <w:sz w:val="20"/>
        </w:rPr>
        <w:t>9 was also observed for the taliglucerase alfa 30</w:t>
      </w:r>
      <w:r w:rsidR="00996A23">
        <w:rPr>
          <w:noProof/>
          <w:color w:val="000000"/>
          <w:sz w:val="20"/>
        </w:rPr>
        <w:t xml:space="preserve"> </w:t>
      </w:r>
      <w:r w:rsidRPr="00CB3919">
        <w:rPr>
          <w:noProof/>
          <w:color w:val="000000"/>
          <w:sz w:val="20"/>
        </w:rPr>
        <w:t>units/kg dose group (</w:t>
      </w:r>
      <w:r w:rsidRPr="00662908">
        <w:rPr>
          <w:noProof/>
          <w:color w:val="000000"/>
          <w:sz w:val="20"/>
        </w:rPr>
        <w:t>11427</w:t>
      </w:r>
      <w:r w:rsidRPr="00CB3919">
        <w:rPr>
          <w:noProof/>
          <w:color w:val="000000"/>
          <w:sz w:val="20"/>
        </w:rPr>
        <w:t>/mm</w:t>
      </w:r>
      <w:r w:rsidRPr="00CB3919">
        <w:rPr>
          <w:noProof/>
          <w:color w:val="000000"/>
          <w:sz w:val="20"/>
          <w:vertAlign w:val="superscript"/>
        </w:rPr>
        <w:t>3</w:t>
      </w:r>
      <w:r w:rsidRPr="00CB3919">
        <w:rPr>
          <w:noProof/>
          <w:color w:val="000000"/>
          <w:sz w:val="20"/>
        </w:rPr>
        <w:t xml:space="preserve">, </w:t>
      </w:r>
      <w:r w:rsidR="00C76187" w:rsidRPr="00C76187">
        <w:rPr>
          <w:i/>
          <w:noProof/>
          <w:color w:val="000000"/>
          <w:sz w:val="20"/>
        </w:rPr>
        <w:t>p</w:t>
      </w:r>
      <w:r w:rsidRPr="00CB3919">
        <w:rPr>
          <w:noProof/>
          <w:color w:val="000000"/>
          <w:sz w:val="20"/>
        </w:rPr>
        <w:t>=0.0460), but did not meet the prespecified alpha level of 0.025.</w:t>
      </w:r>
    </w:p>
    <w:p w:rsidR="009372EF" w:rsidRDefault="009372EF" w:rsidP="00E02163">
      <w:pPr>
        <w:keepNext/>
        <w:autoSpaceDE w:val="0"/>
        <w:autoSpaceDN w:val="0"/>
        <w:adjustRightInd w:val="0"/>
        <w:spacing w:after="0"/>
        <w:rPr>
          <w:noProof/>
          <w:color w:val="000000"/>
          <w:sz w:val="20"/>
        </w:rPr>
      </w:pPr>
    </w:p>
    <w:p w:rsidR="00B72B10" w:rsidRDefault="00B72B10" w:rsidP="0045150C">
      <w:pPr>
        <w:rPr>
          <w:sz w:val="20"/>
          <w:lang w:val="en-US"/>
        </w:rPr>
      </w:pPr>
      <w:r>
        <w:t xml:space="preserve">As tertiary and exploratory endpoints, bone </w:t>
      </w:r>
      <w:r w:rsidR="005E4AFD">
        <w:t xml:space="preserve">involvement was assessed pre-treatment and at 9 months in a subset of 8 </w:t>
      </w:r>
      <w:r w:rsidR="00CE0D49">
        <w:t xml:space="preserve">out of 31 (26%) </w:t>
      </w:r>
      <w:r w:rsidR="005E4AFD">
        <w:t>treatment</w:t>
      </w:r>
      <w:r w:rsidR="00E55286">
        <w:t xml:space="preserve"> </w:t>
      </w:r>
      <w:r w:rsidR="005E4AFD">
        <w:t xml:space="preserve">naïve patients using the </w:t>
      </w:r>
      <w:r w:rsidR="00D1098D">
        <w:t xml:space="preserve">QCSI </w:t>
      </w:r>
      <w:r w:rsidR="005E4AFD">
        <w:t xml:space="preserve">technique </w:t>
      </w:r>
      <w:r>
        <w:t xml:space="preserve">and DEXA. </w:t>
      </w:r>
      <w:r>
        <w:rPr>
          <w:szCs w:val="24"/>
          <w:lang w:val="en-US"/>
        </w:rPr>
        <w:t>A trend in improvement of the mean change of T and Z score for lumbar spine and femoral neck w</w:t>
      </w:r>
      <w:r w:rsidR="00CE0387">
        <w:rPr>
          <w:szCs w:val="24"/>
          <w:lang w:val="en-US"/>
        </w:rPr>
        <w:t>ere</w:t>
      </w:r>
      <w:r>
        <w:rPr>
          <w:szCs w:val="24"/>
          <w:lang w:val="en-US"/>
        </w:rPr>
        <w:t xml:space="preserve"> observed after 9 months treatment in both dose groups.</w:t>
      </w:r>
    </w:p>
    <w:p w:rsidR="0083224B" w:rsidRDefault="0083224B" w:rsidP="0045150C">
      <w:r w:rsidRPr="000D64E7">
        <w:t xml:space="preserve">Twenty-six </w:t>
      </w:r>
      <w:r w:rsidR="005E4AFD">
        <w:t xml:space="preserve">adult </w:t>
      </w:r>
      <w:r w:rsidRPr="000D64E7">
        <w:t xml:space="preserve">patients </w:t>
      </w:r>
      <w:r w:rsidR="00D37AEC">
        <w:t xml:space="preserve">who were </w:t>
      </w:r>
      <w:r w:rsidR="00D37AEC" w:rsidRPr="000D64E7">
        <w:t xml:space="preserve">previously treatment naïve </w:t>
      </w:r>
      <w:r w:rsidRPr="000D64E7">
        <w:t xml:space="preserve">continued to be treated with ELELYSO in an extension of this study </w:t>
      </w:r>
      <w:r w:rsidR="006853AF">
        <w:t xml:space="preserve">(PB-06-003) </w:t>
      </w:r>
      <w:r w:rsidRPr="000D64E7">
        <w:t xml:space="preserve">in a blinded manner for </w:t>
      </w:r>
      <w:proofErr w:type="gramStart"/>
      <w:r w:rsidRPr="000D64E7">
        <w:t>a total</w:t>
      </w:r>
      <w:proofErr w:type="gramEnd"/>
      <w:r w:rsidRPr="000D64E7">
        <w:t xml:space="preserve"> treatment duration of 24 months</w:t>
      </w:r>
      <w:r w:rsidR="001966D7">
        <w:t>,</w:t>
      </w:r>
      <w:r w:rsidRPr="000D64E7">
        <w:t xml:space="preserve"> and showed continued improvement in efficacy. For the respective 30 </w:t>
      </w:r>
      <w:r w:rsidR="00D03087">
        <w:t>u</w:t>
      </w:r>
      <w:r w:rsidR="00D03087" w:rsidRPr="000D64E7">
        <w:t xml:space="preserve">nits/kg </w:t>
      </w:r>
      <w:r w:rsidRPr="000D64E7">
        <w:t>and 60</w:t>
      </w:r>
      <w:r>
        <w:t> u</w:t>
      </w:r>
      <w:r w:rsidRPr="000D64E7">
        <w:t xml:space="preserve">nits/kg </w:t>
      </w:r>
      <w:r w:rsidR="00D03087">
        <w:t xml:space="preserve">dose </w:t>
      </w:r>
      <w:r w:rsidRPr="000D64E7">
        <w:t xml:space="preserve">groups, </w:t>
      </w:r>
      <w:proofErr w:type="spellStart"/>
      <w:r w:rsidRPr="000D64E7">
        <w:t>mean±SD</w:t>
      </w:r>
      <w:proofErr w:type="spellEnd"/>
      <w:r w:rsidRPr="000D64E7">
        <w:t xml:space="preserve"> spleen volume decreased 40.5</w:t>
      </w:r>
      <w:r w:rsidR="00662908">
        <w:t xml:space="preserve"> </w:t>
      </w:r>
      <w:r w:rsidRPr="000D64E7">
        <w:t>±</w:t>
      </w:r>
      <w:r w:rsidR="00662908">
        <w:t xml:space="preserve"> </w:t>
      </w:r>
      <w:r w:rsidRPr="000D64E7">
        <w:t>9.6% and 54.9</w:t>
      </w:r>
      <w:r w:rsidR="00662908">
        <w:t xml:space="preserve"> </w:t>
      </w:r>
      <w:r w:rsidRPr="000D64E7">
        <w:t>±</w:t>
      </w:r>
      <w:r w:rsidR="00662908">
        <w:t xml:space="preserve"> </w:t>
      </w:r>
      <w:r w:rsidRPr="000D64E7">
        <w:t>12.8%</w:t>
      </w:r>
      <w:r w:rsidR="00D03087">
        <w:t>;</w:t>
      </w:r>
      <w:r w:rsidRPr="000D64E7">
        <w:t xml:space="preserve"> h</w:t>
      </w:r>
      <w:r>
        <w:t>a</w:t>
      </w:r>
      <w:r w:rsidRPr="000D64E7">
        <w:t>emoglobin increased 1.3</w:t>
      </w:r>
      <w:r w:rsidR="00662908">
        <w:t xml:space="preserve"> </w:t>
      </w:r>
      <w:r w:rsidRPr="000D64E7">
        <w:t>±</w:t>
      </w:r>
      <w:r w:rsidR="00662908">
        <w:t xml:space="preserve"> </w:t>
      </w:r>
      <w:r w:rsidRPr="000D64E7">
        <w:t>1.7</w:t>
      </w:r>
      <w:r>
        <w:t> </w:t>
      </w:r>
      <w:r w:rsidRPr="000D64E7">
        <w:t>g/</w:t>
      </w:r>
      <w:proofErr w:type="spellStart"/>
      <w:r w:rsidRPr="000D64E7">
        <w:t>d</w:t>
      </w:r>
      <w:r w:rsidR="00D03087">
        <w:t>L</w:t>
      </w:r>
      <w:proofErr w:type="spellEnd"/>
      <w:r w:rsidRPr="000D64E7">
        <w:t xml:space="preserve"> and 2.4</w:t>
      </w:r>
      <w:r w:rsidR="00662908">
        <w:t xml:space="preserve"> </w:t>
      </w:r>
      <w:r w:rsidRPr="000D64E7">
        <w:t>±</w:t>
      </w:r>
      <w:r w:rsidR="00662908">
        <w:t xml:space="preserve"> </w:t>
      </w:r>
      <w:r w:rsidRPr="000D64E7">
        <w:t>2.3</w:t>
      </w:r>
      <w:r>
        <w:t> </w:t>
      </w:r>
      <w:r w:rsidRPr="000D64E7">
        <w:t>g/</w:t>
      </w:r>
      <w:proofErr w:type="spellStart"/>
      <w:r w:rsidRPr="000D64E7">
        <w:t>d</w:t>
      </w:r>
      <w:r w:rsidR="00D03087">
        <w:t>L</w:t>
      </w:r>
      <w:proofErr w:type="spellEnd"/>
      <w:r w:rsidR="00D03087">
        <w:t>;</w:t>
      </w:r>
      <w:r w:rsidRPr="000D64E7">
        <w:t xml:space="preserve"> liver volume decreased 20.6</w:t>
      </w:r>
      <w:r w:rsidR="00662908">
        <w:t xml:space="preserve"> </w:t>
      </w:r>
      <w:r w:rsidRPr="000D64E7">
        <w:t>±</w:t>
      </w:r>
      <w:r w:rsidR="00662908">
        <w:t xml:space="preserve"> </w:t>
      </w:r>
      <w:r w:rsidRPr="000D64E7">
        <w:t>6.9% and 17.5</w:t>
      </w:r>
      <w:r w:rsidR="00662908">
        <w:t xml:space="preserve"> </w:t>
      </w:r>
      <w:r w:rsidRPr="000D64E7">
        <w:t>±</w:t>
      </w:r>
      <w:r w:rsidR="00662908">
        <w:t xml:space="preserve"> </w:t>
      </w:r>
      <w:r w:rsidRPr="000D64E7">
        <w:t>13.3%</w:t>
      </w:r>
      <w:r w:rsidR="00D03087">
        <w:t>;</w:t>
      </w:r>
      <w:r w:rsidRPr="000D64E7">
        <w:t xml:space="preserve"> and platelet count </w:t>
      </w:r>
      <w:r w:rsidRPr="003E65F4">
        <w:t>increased 28433</w:t>
      </w:r>
      <w:r w:rsidR="003E65F4" w:rsidRPr="003E65F4">
        <w:t xml:space="preserve"> </w:t>
      </w:r>
      <w:r w:rsidRPr="003E65F4">
        <w:t>±</w:t>
      </w:r>
      <w:r w:rsidR="003E65F4" w:rsidRPr="003E65F4">
        <w:t xml:space="preserve"> </w:t>
      </w:r>
      <w:r w:rsidR="001C7958">
        <w:t>31966</w:t>
      </w:r>
      <w:r w:rsidRPr="003E65F4">
        <w:t>/mm</w:t>
      </w:r>
      <w:r w:rsidRPr="003E65F4">
        <w:rPr>
          <w:vertAlign w:val="superscript"/>
        </w:rPr>
        <w:t>3</w:t>
      </w:r>
      <w:r w:rsidRPr="003E65F4">
        <w:t xml:space="preserve"> and 72029</w:t>
      </w:r>
      <w:r w:rsidR="003E65F4" w:rsidRPr="003E65F4">
        <w:t xml:space="preserve"> </w:t>
      </w:r>
      <w:r w:rsidRPr="003E65F4">
        <w:t>±</w:t>
      </w:r>
      <w:r w:rsidR="003E65F4" w:rsidRPr="003E65F4">
        <w:t xml:space="preserve"> </w:t>
      </w:r>
      <w:r w:rsidRPr="003E65F4">
        <w:t>68157/mm</w:t>
      </w:r>
      <w:r w:rsidRPr="003E65F4">
        <w:rPr>
          <w:vertAlign w:val="superscript"/>
        </w:rPr>
        <w:t>3</w:t>
      </w:r>
      <w:r w:rsidRPr="003E65F4">
        <w:t>.</w:t>
      </w:r>
    </w:p>
    <w:p w:rsidR="0096171D" w:rsidRDefault="0096171D" w:rsidP="00A27BA3">
      <w:pPr>
        <w:pStyle w:val="PIHeading3"/>
      </w:pPr>
      <w:r w:rsidRPr="00A7194C">
        <w:rPr>
          <w:noProof/>
        </w:rPr>
        <w:t>Study in</w:t>
      </w:r>
      <w:r w:rsidRPr="002E0853">
        <w:rPr>
          <w:noProof/>
        </w:rPr>
        <w:t xml:space="preserve"> </w:t>
      </w:r>
      <w:r>
        <w:rPr>
          <w:noProof/>
        </w:rPr>
        <w:t>paediatric</w:t>
      </w:r>
      <w:r w:rsidRPr="00A7194C">
        <w:rPr>
          <w:noProof/>
        </w:rPr>
        <w:t xml:space="preserve"> patients naïve to enzyme replacement therapy</w:t>
      </w:r>
      <w:r w:rsidR="00B72B10">
        <w:rPr>
          <w:noProof/>
        </w:rPr>
        <w:t xml:space="preserve"> (PB-06-005)</w:t>
      </w:r>
    </w:p>
    <w:p w:rsidR="00860769" w:rsidRPr="009B2F05" w:rsidRDefault="00CE0387" w:rsidP="0045150C">
      <w:pPr>
        <w:rPr>
          <w:lang w:val="en-US"/>
        </w:rPr>
      </w:pPr>
      <w:r w:rsidRPr="009B2F05">
        <w:t>A</w:t>
      </w:r>
      <w:r w:rsidR="0096171D" w:rsidRPr="009B2F05">
        <w:t xml:space="preserve"> pivotal, multi-centre, double</w:t>
      </w:r>
      <w:r w:rsidRPr="009B2F05">
        <w:t>-</w:t>
      </w:r>
      <w:r w:rsidR="0096171D" w:rsidRPr="009B2F05">
        <w:t xml:space="preserve">blind, randomised Phase III study of 30 </w:t>
      </w:r>
      <w:r w:rsidR="00EE4013" w:rsidRPr="009B2F05">
        <w:t xml:space="preserve">units/kg </w:t>
      </w:r>
      <w:r w:rsidR="0096171D" w:rsidRPr="009B2F05">
        <w:t xml:space="preserve">or 60 units/kg was conducted in paediatric patients </w:t>
      </w:r>
      <w:r w:rsidR="00B72B10" w:rsidRPr="009B2F05">
        <w:t>(</w:t>
      </w:r>
      <w:r w:rsidR="00814CA3" w:rsidRPr="009B2F05">
        <w:rPr>
          <w:lang w:eastAsia="en-AU"/>
        </w:rPr>
        <w:t>2 to</w:t>
      </w:r>
      <w:r w:rsidR="00B72B10" w:rsidRPr="009B2F05">
        <w:rPr>
          <w:lang w:eastAsia="en-AU"/>
        </w:rPr>
        <w:t xml:space="preserve"> </w:t>
      </w:r>
      <w:r w:rsidR="00B72B10" w:rsidRPr="00CE0D49">
        <w:rPr>
          <w:lang w:eastAsia="en-AU"/>
        </w:rPr>
        <w:t>17</w:t>
      </w:r>
      <w:r w:rsidRPr="009B2F05">
        <w:rPr>
          <w:lang w:eastAsia="en-AU"/>
        </w:rPr>
        <w:t xml:space="preserve"> years</w:t>
      </w:r>
      <w:r w:rsidR="004D1E90">
        <w:rPr>
          <w:lang w:eastAsia="en-AU"/>
        </w:rPr>
        <w:t xml:space="preserve"> of age</w:t>
      </w:r>
      <w:r w:rsidR="00B72B10" w:rsidRPr="009B2F05">
        <w:rPr>
          <w:lang w:eastAsia="en-AU"/>
        </w:rPr>
        <w:t xml:space="preserve">) </w:t>
      </w:r>
      <w:r w:rsidR="0096171D" w:rsidRPr="009B2F05">
        <w:t xml:space="preserve">with </w:t>
      </w:r>
      <w:r w:rsidRPr="009B2F05">
        <w:t xml:space="preserve">confirmed </w:t>
      </w:r>
      <w:proofErr w:type="spellStart"/>
      <w:r w:rsidR="0096171D" w:rsidRPr="009B2F05">
        <w:t>Gaucher</w:t>
      </w:r>
      <w:proofErr w:type="spellEnd"/>
      <w:r w:rsidR="0096171D" w:rsidRPr="009B2F05">
        <w:t xml:space="preserve"> disease </w:t>
      </w:r>
      <w:r w:rsidR="00860769" w:rsidRPr="009B2F05">
        <w:t>(</w:t>
      </w:r>
      <w:r w:rsidR="00860769" w:rsidRPr="009B2F05">
        <w:rPr>
          <w:lang w:val="en-US"/>
        </w:rPr>
        <w:t>leukocyte acid β-</w:t>
      </w:r>
      <w:proofErr w:type="spellStart"/>
      <w:r w:rsidR="00860769" w:rsidRPr="009B2F05">
        <w:rPr>
          <w:lang w:val="en-US"/>
        </w:rPr>
        <w:t>glucosidase</w:t>
      </w:r>
      <w:proofErr w:type="spellEnd"/>
      <w:r w:rsidR="00860769" w:rsidRPr="009B2F05">
        <w:rPr>
          <w:lang w:val="en-US"/>
        </w:rPr>
        <w:t xml:space="preserve"> activity level ≤30% of the mean activity of the reference range for healthy patients) </w:t>
      </w:r>
      <w:r w:rsidRPr="009B2F05">
        <w:rPr>
          <w:lang w:val="en-US"/>
        </w:rPr>
        <w:t xml:space="preserve">and </w:t>
      </w:r>
      <w:r w:rsidR="0096171D" w:rsidRPr="009B2F05">
        <w:t xml:space="preserve">who were naïve to </w:t>
      </w:r>
      <w:r w:rsidRPr="009B2F05">
        <w:t xml:space="preserve">ERT </w:t>
      </w:r>
      <w:r w:rsidR="006853AF" w:rsidRPr="009B2F05">
        <w:t>(PB-0</w:t>
      </w:r>
      <w:r w:rsidR="00814CA3" w:rsidRPr="009B2F05">
        <w:t>6</w:t>
      </w:r>
      <w:r w:rsidR="006853AF" w:rsidRPr="009B2F05">
        <w:t>-005)</w:t>
      </w:r>
      <w:r w:rsidR="0096171D" w:rsidRPr="009B2F05">
        <w:t xml:space="preserve">. </w:t>
      </w:r>
      <w:proofErr w:type="spellStart"/>
      <w:r w:rsidR="00860769" w:rsidRPr="009B2F05">
        <w:t>Elibility</w:t>
      </w:r>
      <w:proofErr w:type="spellEnd"/>
      <w:r w:rsidR="00860769" w:rsidRPr="009B2F05">
        <w:t xml:space="preserve"> criteria</w:t>
      </w:r>
      <w:r w:rsidRPr="009B2F05">
        <w:t xml:space="preserve"> </w:t>
      </w:r>
      <w:r w:rsidR="00860769" w:rsidRPr="009B2F05">
        <w:t>was as per</w:t>
      </w:r>
      <w:r w:rsidR="002708D6">
        <w:t xml:space="preserve"> </w:t>
      </w:r>
      <w:r w:rsidR="00860769" w:rsidRPr="009B2F05">
        <w:t>study PB-06-001</w:t>
      </w:r>
      <w:r w:rsidR="00E72187">
        <w:t xml:space="preserve"> (given above)</w:t>
      </w:r>
      <w:r w:rsidR="00860769" w:rsidRPr="009B2F05">
        <w:t>, with the additional exclusion criteria</w:t>
      </w:r>
      <w:r w:rsidRPr="009B2F05">
        <w:t xml:space="preserve"> of</w:t>
      </w:r>
      <w:r w:rsidR="00860769" w:rsidRPr="009B2F05">
        <w:t xml:space="preserve"> patients with </w:t>
      </w:r>
      <w:r w:rsidR="00860769" w:rsidRPr="009B2F05">
        <w:rPr>
          <w:lang w:val="en-US"/>
        </w:rPr>
        <w:t xml:space="preserve">complex </w:t>
      </w:r>
      <w:proofErr w:type="spellStart"/>
      <w:r w:rsidR="00860769" w:rsidRPr="009B2F05">
        <w:rPr>
          <w:lang w:val="en-US"/>
        </w:rPr>
        <w:t>neuronopathic</w:t>
      </w:r>
      <w:proofErr w:type="spellEnd"/>
      <w:r w:rsidR="00860769" w:rsidRPr="009B2F05">
        <w:rPr>
          <w:lang w:val="en-US"/>
        </w:rPr>
        <w:t xml:space="preserve"> features other than longstanding </w:t>
      </w:r>
      <w:proofErr w:type="spellStart"/>
      <w:r w:rsidR="00860769" w:rsidRPr="009B2F05">
        <w:rPr>
          <w:lang w:val="en-US"/>
        </w:rPr>
        <w:t>oculomotor</w:t>
      </w:r>
      <w:proofErr w:type="spellEnd"/>
      <w:r w:rsidR="00860769" w:rsidRPr="009B2F05">
        <w:rPr>
          <w:lang w:val="en-US"/>
        </w:rPr>
        <w:t xml:space="preserve"> gaze palsy; unresolved </w:t>
      </w:r>
      <w:proofErr w:type="spellStart"/>
      <w:r w:rsidR="00860769" w:rsidRPr="009B2F05">
        <w:rPr>
          <w:lang w:val="en-US"/>
        </w:rPr>
        <w:t>anaemia</w:t>
      </w:r>
      <w:proofErr w:type="spellEnd"/>
      <w:r w:rsidR="00860769" w:rsidRPr="009B2F05">
        <w:rPr>
          <w:lang w:val="en-US"/>
        </w:rPr>
        <w:t xml:space="preserve"> due to iron, folic acid or vitamin B12 deficiency, a history of allergy to carrots, HIV, </w:t>
      </w:r>
      <w:proofErr w:type="spellStart"/>
      <w:r w:rsidR="00860769" w:rsidRPr="009B2F05">
        <w:rPr>
          <w:lang w:val="en-US"/>
        </w:rPr>
        <w:t>HBsAg</w:t>
      </w:r>
      <w:proofErr w:type="spellEnd"/>
      <w:r w:rsidR="00860769" w:rsidRPr="009B2F05">
        <w:rPr>
          <w:lang w:val="en-US"/>
        </w:rPr>
        <w:t xml:space="preserve"> and/or hepatitis C infections. </w:t>
      </w:r>
    </w:p>
    <w:p w:rsidR="00860769" w:rsidRPr="009B2F05" w:rsidRDefault="00860769" w:rsidP="0045150C">
      <w:pPr>
        <w:rPr>
          <w:lang w:val="en-US"/>
        </w:rPr>
      </w:pPr>
      <w:r w:rsidRPr="009B2F05">
        <w:rPr>
          <w:lang w:val="en-US"/>
        </w:rPr>
        <w:t xml:space="preserve">The primary </w:t>
      </w:r>
      <w:r w:rsidR="00CE0387" w:rsidRPr="009B2F05">
        <w:rPr>
          <w:lang w:val="en-US"/>
        </w:rPr>
        <w:t>endpoint</w:t>
      </w:r>
      <w:r w:rsidRPr="009B2F05">
        <w:rPr>
          <w:lang w:val="en-US"/>
        </w:rPr>
        <w:t xml:space="preserve"> was measured by percent (%) change in </w:t>
      </w:r>
      <w:proofErr w:type="spellStart"/>
      <w:r w:rsidRPr="009B2F05">
        <w:rPr>
          <w:lang w:val="en-US"/>
        </w:rPr>
        <w:t>haemoglobin</w:t>
      </w:r>
      <w:proofErr w:type="spellEnd"/>
      <w:r w:rsidRPr="009B2F05">
        <w:rPr>
          <w:lang w:val="en-US"/>
        </w:rPr>
        <w:t xml:space="preserve">, </w:t>
      </w:r>
      <w:proofErr w:type="spellStart"/>
      <w:r w:rsidRPr="009B2F05">
        <w:rPr>
          <w:lang w:val="en-US"/>
        </w:rPr>
        <w:t>chitotriosidase</w:t>
      </w:r>
      <w:proofErr w:type="spellEnd"/>
      <w:r w:rsidRPr="009B2F05">
        <w:rPr>
          <w:lang w:val="en-US"/>
        </w:rPr>
        <w:t xml:space="preserve"> or CCL18, spleen and liver volume evaluated by MRI (or ultrasound), platelet count, change in growth and development (weight, height, Tanner Stage, bone age), bone disease and Quality of Life from baseline. The safety of </w:t>
      </w:r>
      <w:proofErr w:type="spellStart"/>
      <w:r w:rsidRPr="009B2F05">
        <w:rPr>
          <w:lang w:val="en-US"/>
        </w:rPr>
        <w:t>taliglucerase</w:t>
      </w:r>
      <w:proofErr w:type="spellEnd"/>
      <w:r w:rsidRPr="009B2F05">
        <w:rPr>
          <w:lang w:val="en-US"/>
        </w:rPr>
        <w:t xml:space="preserve"> </w:t>
      </w:r>
      <w:proofErr w:type="spellStart"/>
      <w:r w:rsidRPr="009B2F05">
        <w:rPr>
          <w:lang w:val="en-US"/>
        </w:rPr>
        <w:t>alfa</w:t>
      </w:r>
      <w:proofErr w:type="spellEnd"/>
      <w:r w:rsidRPr="009B2F05">
        <w:rPr>
          <w:lang w:val="en-US"/>
        </w:rPr>
        <w:t xml:space="preserve"> was assessed by clinical laboratory, physical examination, echocardiography and adverse events. Anti-</w:t>
      </w:r>
      <w:proofErr w:type="spellStart"/>
      <w:r w:rsidRPr="009B2F05">
        <w:rPr>
          <w:lang w:val="en-US"/>
        </w:rPr>
        <w:t>taliglucerase</w:t>
      </w:r>
      <w:proofErr w:type="spellEnd"/>
      <w:r w:rsidRPr="009B2F05">
        <w:rPr>
          <w:lang w:val="en-US"/>
        </w:rPr>
        <w:t xml:space="preserve"> </w:t>
      </w:r>
      <w:proofErr w:type="spellStart"/>
      <w:r w:rsidRPr="009B2F05">
        <w:rPr>
          <w:lang w:val="en-US"/>
        </w:rPr>
        <w:t>alfa</w:t>
      </w:r>
      <w:proofErr w:type="spellEnd"/>
      <w:r w:rsidRPr="009B2F05">
        <w:rPr>
          <w:lang w:val="en-US"/>
        </w:rPr>
        <w:t xml:space="preserve"> antibodies were also assessed.</w:t>
      </w:r>
    </w:p>
    <w:p w:rsidR="0096171D" w:rsidRPr="009B2F05" w:rsidRDefault="0096171D" w:rsidP="0045150C">
      <w:r w:rsidRPr="009B2F05">
        <w:lastRenderedPageBreak/>
        <w:t xml:space="preserve">Intravenous infusions were administered every 2 weeks for 12 months. Eleven patients treated with 30 units/kg (n=6) </w:t>
      </w:r>
      <w:r w:rsidR="00EE4013" w:rsidRPr="009B2F05">
        <w:t>and</w:t>
      </w:r>
      <w:r w:rsidRPr="009B2F05">
        <w:t xml:space="preserve"> 60 units/kg (n=5) were evaluated for efficacy</w:t>
      </w:r>
      <w:r w:rsidR="008C38E8">
        <w:t xml:space="preserve">, of these </w:t>
      </w:r>
      <w:r w:rsidR="00CB10D7">
        <w:t xml:space="preserve">8 </w:t>
      </w:r>
      <w:r w:rsidR="008C38E8">
        <w:t>(</w:t>
      </w:r>
      <w:r w:rsidR="00CB10D7">
        <w:t>72%)</w:t>
      </w:r>
      <w:r w:rsidRPr="009B2F05">
        <w:t xml:space="preserve"> patients were male and ranged from 2 to 14 years</w:t>
      </w:r>
      <w:r w:rsidR="004D1E90">
        <w:t xml:space="preserve"> of age</w:t>
      </w:r>
      <w:r w:rsidRPr="009B2F05">
        <w:t>.</w:t>
      </w:r>
    </w:p>
    <w:p w:rsidR="0096171D" w:rsidRPr="009B2F05" w:rsidRDefault="0096171D" w:rsidP="0045150C">
      <w:r w:rsidRPr="009B2F05">
        <w:t>Both dosage groups</w:t>
      </w:r>
      <w:r w:rsidR="004E7F8E" w:rsidRPr="009B2F05">
        <w:t>, 30 units/kg and 60 units/kg,</w:t>
      </w:r>
      <w:r w:rsidRPr="009B2F05">
        <w:t xml:space="preserve"> demon</w:t>
      </w:r>
      <w:r w:rsidR="00814CA3" w:rsidRPr="009B2F05">
        <w:t xml:space="preserve">strated an </w:t>
      </w:r>
      <w:r w:rsidRPr="009B2F05">
        <w:t>increase in haemoglobin from baseline (11.3 g/</w:t>
      </w:r>
      <w:proofErr w:type="spellStart"/>
      <w:r w:rsidRPr="009B2F05">
        <w:t>dL</w:t>
      </w:r>
      <w:proofErr w:type="spellEnd"/>
      <w:r w:rsidR="004E7F8E" w:rsidRPr="009B2F05">
        <w:t xml:space="preserve"> and </w:t>
      </w:r>
      <w:r w:rsidRPr="009B2F05">
        <w:t>10.6 g/</w:t>
      </w:r>
      <w:proofErr w:type="spellStart"/>
      <w:r w:rsidRPr="009B2F05">
        <w:t>dL</w:t>
      </w:r>
      <w:proofErr w:type="spellEnd"/>
      <w:r w:rsidR="004E7F8E" w:rsidRPr="009B2F05">
        <w:t>, respectively</w:t>
      </w:r>
      <w:r w:rsidRPr="009B2F05">
        <w:t xml:space="preserve">) at </w:t>
      </w:r>
      <w:r w:rsidR="009B0114" w:rsidRPr="009B2F05">
        <w:t xml:space="preserve">Month </w:t>
      </w:r>
      <w:r w:rsidRPr="009B2F05">
        <w:t>12 (12.7 g/</w:t>
      </w:r>
      <w:proofErr w:type="spellStart"/>
      <w:r w:rsidRPr="009B2F05">
        <w:t>d</w:t>
      </w:r>
      <w:r w:rsidR="00814CA3" w:rsidRPr="009B2F05">
        <w:t>L</w:t>
      </w:r>
      <w:proofErr w:type="spellEnd"/>
      <w:r w:rsidR="00814CA3" w:rsidRPr="009B2F05">
        <w:t>, increase 13.8%</w:t>
      </w:r>
      <w:r w:rsidR="004E7F8E" w:rsidRPr="009B2F05">
        <w:t xml:space="preserve"> and </w:t>
      </w:r>
      <w:r w:rsidRPr="009B2F05">
        <w:t>12.2 g/</w:t>
      </w:r>
      <w:proofErr w:type="spellStart"/>
      <w:r w:rsidRPr="009B2F05">
        <w:t>dL</w:t>
      </w:r>
      <w:proofErr w:type="spellEnd"/>
      <w:r w:rsidRPr="009B2F05">
        <w:t>, increase 15.8%</w:t>
      </w:r>
      <w:r w:rsidR="004E7F8E" w:rsidRPr="009B2F05">
        <w:t>, respectively</w:t>
      </w:r>
      <w:r w:rsidRPr="009B2F05">
        <w:t>). Increases in haemoglobin were noted by 4 weeks.</w:t>
      </w:r>
      <w:r w:rsidRPr="009B2F05">
        <w:rPr>
          <w:bCs/>
        </w:rPr>
        <w:t xml:space="preserve"> Haemoglobin rose 19.4% (</w:t>
      </w:r>
      <w:r w:rsidRPr="009B2F05">
        <w:t>30 units/kg</w:t>
      </w:r>
      <w:r w:rsidRPr="009B2F05">
        <w:rPr>
          <w:bCs/>
        </w:rPr>
        <w:t xml:space="preserve">) and 16.9% </w:t>
      </w:r>
      <w:proofErr w:type="gramStart"/>
      <w:r w:rsidRPr="009B2F05">
        <w:rPr>
          <w:bCs/>
        </w:rPr>
        <w:t>(</w:t>
      </w:r>
      <w:r w:rsidRPr="009B2F05">
        <w:t>60 units/kg</w:t>
      </w:r>
      <w:r w:rsidRPr="009B2F05">
        <w:rPr>
          <w:bCs/>
        </w:rPr>
        <w:t>)</w:t>
      </w:r>
      <w:proofErr w:type="gramEnd"/>
      <w:r w:rsidRPr="009B2F05">
        <w:rPr>
          <w:bCs/>
        </w:rPr>
        <w:t xml:space="preserve"> in those </w:t>
      </w:r>
      <w:r w:rsidR="008C38E8">
        <w:rPr>
          <w:bCs/>
        </w:rPr>
        <w:t>patients</w:t>
      </w:r>
      <w:r w:rsidR="008C38E8" w:rsidRPr="009B2F05">
        <w:rPr>
          <w:bCs/>
        </w:rPr>
        <w:t xml:space="preserve"> </w:t>
      </w:r>
      <w:r w:rsidRPr="009B2F05">
        <w:rPr>
          <w:bCs/>
        </w:rPr>
        <w:t>anaemic at baseline.</w:t>
      </w:r>
      <w:r w:rsidR="004E7F8E" w:rsidRPr="009B2F05">
        <w:rPr>
          <w:bCs/>
        </w:rPr>
        <w:t xml:space="preserve"> </w:t>
      </w:r>
      <w:r w:rsidRPr="009B2F05">
        <w:t>Similar effects were observed for spleen volume decrease, liver volume decrease and platelet count increase as noted in Table 2 below.</w:t>
      </w:r>
    </w:p>
    <w:p w:rsidR="0096171D" w:rsidRPr="00A27BA3" w:rsidRDefault="0096171D" w:rsidP="00A27BA3">
      <w:pPr>
        <w:pStyle w:val="PITableTitle"/>
      </w:pPr>
      <w:r w:rsidRPr="00A27BA3">
        <w:t xml:space="preserve">Table 2: Summary of </w:t>
      </w:r>
      <w:r w:rsidR="00CB10D7" w:rsidRPr="00A27BA3">
        <w:t xml:space="preserve">Clinical </w:t>
      </w:r>
      <w:r w:rsidRPr="00A27BA3">
        <w:t>Parameters</w:t>
      </w:r>
      <w:r w:rsidR="00EE33A4" w:rsidRPr="00A27BA3">
        <w:t xml:space="preserve">: Mean </w:t>
      </w:r>
      <w:r w:rsidRPr="00A27BA3">
        <w:t xml:space="preserve">Change from Baseline to </w:t>
      </w:r>
      <w:r w:rsidR="00CB10D7" w:rsidRPr="00A27BA3">
        <w:t xml:space="preserve">12 </w:t>
      </w:r>
      <w:r w:rsidRPr="00A27BA3">
        <w:t>Month</w:t>
      </w:r>
      <w:r w:rsidR="00CB10D7" w:rsidRPr="00A27BA3">
        <w:t>s</w:t>
      </w:r>
      <w:r w:rsidRPr="00A27BA3">
        <w:t xml:space="preserve"> and Comparison between Dose Groups in the Paediatric Na</w:t>
      </w:r>
      <w:r w:rsidR="00EE33A4" w:rsidRPr="00A27BA3">
        <w:t>ï</w:t>
      </w:r>
      <w:r w:rsidRPr="00A27BA3">
        <w:t xml:space="preserve">ve Study </w:t>
      </w:r>
      <w:r w:rsidR="00393B4E" w:rsidRPr="00A27BA3">
        <w:t xml:space="preserve">PB-06-005 </w:t>
      </w:r>
      <w:r w:rsidRPr="00A27BA3">
        <w:t>(n=11; Intention-to-treat population)</w:t>
      </w:r>
    </w:p>
    <w:tbl>
      <w:tblPr>
        <w:tblW w:w="8997" w:type="dxa"/>
        <w:jc w:val="center"/>
        <w:tblInd w:w="-2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99"/>
        <w:gridCol w:w="2999"/>
        <w:gridCol w:w="2999"/>
      </w:tblGrid>
      <w:tr w:rsidR="0096171D" w:rsidRPr="00C331EF" w:rsidTr="0045150C">
        <w:trPr>
          <w:trHeight w:val="277"/>
          <w:jc w:val="center"/>
        </w:trPr>
        <w:tc>
          <w:tcPr>
            <w:tcW w:w="2999" w:type="dxa"/>
          </w:tcPr>
          <w:p w:rsidR="0096171D" w:rsidRPr="0096171D" w:rsidRDefault="00EE33A4" w:rsidP="0045150C">
            <w:pPr>
              <w:keepNext/>
              <w:keepLines/>
              <w:widowControl w:val="0"/>
              <w:spacing w:after="120" w:line="240" w:lineRule="atLeast"/>
              <w:jc w:val="left"/>
              <w:rPr>
                <w:rStyle w:val="TableText9"/>
                <w:b/>
                <w:color w:val="000000"/>
                <w:sz w:val="20"/>
              </w:rPr>
            </w:pPr>
            <w:r>
              <w:rPr>
                <w:rStyle w:val="TableText9"/>
                <w:b/>
                <w:color w:val="000000"/>
                <w:sz w:val="20"/>
              </w:rPr>
              <w:t>Clinical Parameters</w:t>
            </w:r>
          </w:p>
        </w:tc>
        <w:tc>
          <w:tcPr>
            <w:tcW w:w="2999" w:type="dxa"/>
          </w:tcPr>
          <w:p w:rsidR="0096171D" w:rsidRDefault="00EE33A4" w:rsidP="0045150C">
            <w:pPr>
              <w:pStyle w:val="PITableTitle"/>
              <w:widowControl w:val="0"/>
              <w:spacing w:before="0" w:line="240" w:lineRule="atLeast"/>
              <w:jc w:val="center"/>
              <w:rPr>
                <w:rStyle w:val="TableText9"/>
                <w:sz w:val="20"/>
                <w:szCs w:val="20"/>
              </w:rPr>
            </w:pPr>
            <w:r>
              <w:rPr>
                <w:rStyle w:val="TableText9"/>
                <w:sz w:val="20"/>
                <w:szCs w:val="20"/>
              </w:rPr>
              <w:t>ELELYSO</w:t>
            </w:r>
            <w:r w:rsidR="004D1E90">
              <w:rPr>
                <w:rStyle w:val="TableText9"/>
                <w:sz w:val="20"/>
                <w:szCs w:val="20"/>
              </w:rPr>
              <w:t xml:space="preserve"> </w:t>
            </w:r>
            <w:r w:rsidR="0096171D" w:rsidRPr="0096171D">
              <w:rPr>
                <w:rStyle w:val="TableText9"/>
                <w:sz w:val="20"/>
                <w:szCs w:val="20"/>
              </w:rPr>
              <w:t>30 units/kg</w:t>
            </w:r>
            <w:r w:rsidR="00CB10D7">
              <w:rPr>
                <w:rStyle w:val="TableText9"/>
                <w:sz w:val="20"/>
                <w:szCs w:val="20"/>
              </w:rPr>
              <w:t xml:space="preserve"> </w:t>
            </w:r>
            <w:r>
              <w:rPr>
                <w:rStyle w:val="TableText9"/>
                <w:sz w:val="20"/>
                <w:szCs w:val="20"/>
              </w:rPr>
              <w:t xml:space="preserve">            </w:t>
            </w:r>
            <w:r w:rsidR="004D1E90">
              <w:rPr>
                <w:rStyle w:val="TableText9"/>
                <w:sz w:val="20"/>
                <w:szCs w:val="20"/>
              </w:rPr>
              <w:t xml:space="preserve">               </w:t>
            </w:r>
            <w:r>
              <w:rPr>
                <w:rStyle w:val="TableText9"/>
                <w:sz w:val="20"/>
                <w:szCs w:val="20"/>
              </w:rPr>
              <w:t xml:space="preserve">   </w:t>
            </w:r>
            <w:r w:rsidR="00CB10D7">
              <w:rPr>
                <w:rStyle w:val="TableText9"/>
                <w:sz w:val="20"/>
                <w:szCs w:val="20"/>
              </w:rPr>
              <w:t>(</w:t>
            </w:r>
            <w:r w:rsidR="0096171D" w:rsidRPr="0096171D">
              <w:rPr>
                <w:rStyle w:val="TableText9"/>
                <w:sz w:val="20"/>
                <w:szCs w:val="20"/>
              </w:rPr>
              <w:t>n=6</w:t>
            </w:r>
            <w:r w:rsidR="00CB10D7">
              <w:rPr>
                <w:rStyle w:val="TableText9"/>
                <w:sz w:val="20"/>
                <w:szCs w:val="20"/>
              </w:rPr>
              <w:t>)</w:t>
            </w:r>
          </w:p>
          <w:p w:rsidR="00CB10D7" w:rsidRPr="0096171D" w:rsidRDefault="00CB10D7" w:rsidP="0045150C">
            <w:pPr>
              <w:pStyle w:val="PITableTitle"/>
              <w:widowControl w:val="0"/>
              <w:spacing w:before="0" w:line="240" w:lineRule="atLeast"/>
              <w:jc w:val="center"/>
              <w:rPr>
                <w:rStyle w:val="TableText9"/>
                <w:sz w:val="20"/>
                <w:szCs w:val="20"/>
              </w:rPr>
            </w:pPr>
            <w:r w:rsidRPr="0096171D">
              <w:rPr>
                <w:rStyle w:val="TableText9"/>
                <w:sz w:val="20"/>
                <w:szCs w:val="20"/>
              </w:rPr>
              <w:t>Mean</w:t>
            </w:r>
            <w:r>
              <w:rPr>
                <w:rStyle w:val="TableText9"/>
                <w:sz w:val="20"/>
                <w:szCs w:val="20"/>
              </w:rPr>
              <w:t xml:space="preserve"> </w:t>
            </w:r>
            <w:r w:rsidRPr="0096171D">
              <w:rPr>
                <w:rStyle w:val="TableText9"/>
                <w:sz w:val="20"/>
                <w:szCs w:val="20"/>
              </w:rPr>
              <w:t>(SD)</w:t>
            </w:r>
          </w:p>
        </w:tc>
        <w:tc>
          <w:tcPr>
            <w:tcW w:w="2999" w:type="dxa"/>
          </w:tcPr>
          <w:p w:rsidR="0096171D" w:rsidRDefault="00EE33A4" w:rsidP="0045150C">
            <w:pPr>
              <w:pStyle w:val="PITableTitle"/>
              <w:widowControl w:val="0"/>
              <w:spacing w:before="0" w:line="240" w:lineRule="atLeast"/>
              <w:jc w:val="center"/>
              <w:rPr>
                <w:rStyle w:val="TableText9"/>
                <w:sz w:val="20"/>
                <w:szCs w:val="20"/>
              </w:rPr>
            </w:pPr>
            <w:r>
              <w:rPr>
                <w:rStyle w:val="TableText9"/>
                <w:sz w:val="20"/>
                <w:szCs w:val="20"/>
              </w:rPr>
              <w:t>ELELYSO</w:t>
            </w:r>
            <w:r w:rsidR="004D1E90">
              <w:rPr>
                <w:rStyle w:val="TableText9"/>
                <w:sz w:val="20"/>
                <w:szCs w:val="20"/>
              </w:rPr>
              <w:t xml:space="preserve"> </w:t>
            </w:r>
            <w:r w:rsidR="0096171D" w:rsidRPr="0096171D">
              <w:rPr>
                <w:rStyle w:val="TableText9"/>
                <w:sz w:val="20"/>
                <w:szCs w:val="20"/>
              </w:rPr>
              <w:t xml:space="preserve">60 units/kg </w:t>
            </w:r>
            <w:r>
              <w:rPr>
                <w:rStyle w:val="TableText9"/>
                <w:sz w:val="20"/>
                <w:szCs w:val="20"/>
              </w:rPr>
              <w:t xml:space="preserve">            </w:t>
            </w:r>
            <w:r w:rsidR="00CB10D7">
              <w:rPr>
                <w:rStyle w:val="TableText9"/>
                <w:sz w:val="20"/>
                <w:szCs w:val="20"/>
              </w:rPr>
              <w:t>(</w:t>
            </w:r>
            <w:r w:rsidR="0096171D" w:rsidRPr="0096171D">
              <w:rPr>
                <w:rStyle w:val="TableText9"/>
                <w:sz w:val="20"/>
                <w:szCs w:val="20"/>
              </w:rPr>
              <w:t>n=5</w:t>
            </w:r>
            <w:r w:rsidR="00CB10D7">
              <w:rPr>
                <w:rStyle w:val="TableText9"/>
                <w:sz w:val="20"/>
                <w:szCs w:val="20"/>
              </w:rPr>
              <w:t>)</w:t>
            </w:r>
          </w:p>
          <w:p w:rsidR="00CB10D7" w:rsidRPr="0096171D" w:rsidRDefault="00CB10D7" w:rsidP="0045150C">
            <w:pPr>
              <w:pStyle w:val="PITableTitle"/>
              <w:widowControl w:val="0"/>
              <w:spacing w:before="0" w:line="240" w:lineRule="atLeast"/>
              <w:jc w:val="center"/>
              <w:rPr>
                <w:rStyle w:val="TableText9"/>
                <w:sz w:val="20"/>
                <w:szCs w:val="20"/>
              </w:rPr>
            </w:pPr>
            <w:r w:rsidRPr="0096171D">
              <w:rPr>
                <w:rStyle w:val="TableText9"/>
                <w:sz w:val="20"/>
                <w:szCs w:val="20"/>
              </w:rPr>
              <w:t>Mean</w:t>
            </w:r>
            <w:r>
              <w:rPr>
                <w:rStyle w:val="TableText9"/>
                <w:sz w:val="20"/>
                <w:szCs w:val="20"/>
              </w:rPr>
              <w:t xml:space="preserve"> </w:t>
            </w:r>
            <w:r w:rsidRPr="0096171D">
              <w:rPr>
                <w:rStyle w:val="TableText9"/>
                <w:sz w:val="20"/>
                <w:szCs w:val="20"/>
              </w:rPr>
              <w:t>(SD)</w:t>
            </w:r>
          </w:p>
        </w:tc>
      </w:tr>
      <w:tr w:rsidR="00CB10D7" w:rsidRPr="00727D4A" w:rsidTr="0045150C">
        <w:trPr>
          <w:trHeight w:val="273"/>
          <w:jc w:val="center"/>
        </w:trPr>
        <w:tc>
          <w:tcPr>
            <w:tcW w:w="2999" w:type="dxa"/>
          </w:tcPr>
          <w:p w:rsidR="00CB10D7" w:rsidRPr="0096171D" w:rsidRDefault="00CB10D7" w:rsidP="0045150C">
            <w:pPr>
              <w:pStyle w:val="PITableTitle"/>
              <w:widowControl w:val="0"/>
              <w:spacing w:before="0" w:line="240" w:lineRule="atLeast"/>
              <w:rPr>
                <w:rStyle w:val="TableText9"/>
                <w:sz w:val="20"/>
                <w:szCs w:val="20"/>
              </w:rPr>
            </w:pPr>
            <w:r w:rsidRPr="0096171D">
              <w:rPr>
                <w:rStyle w:val="TableText9"/>
                <w:sz w:val="20"/>
                <w:szCs w:val="20"/>
              </w:rPr>
              <w:t>Spleen Volume</w:t>
            </w:r>
            <w:r w:rsidR="004D1E90">
              <w:rPr>
                <w:rStyle w:val="TableText9"/>
                <w:sz w:val="20"/>
                <w:szCs w:val="20"/>
              </w:rPr>
              <w:t xml:space="preserve"> </w:t>
            </w:r>
            <w:r w:rsidRPr="0096171D">
              <w:rPr>
                <w:rStyle w:val="TableText9"/>
                <w:sz w:val="20"/>
                <w:szCs w:val="20"/>
              </w:rPr>
              <w:t>% Change</w:t>
            </w:r>
          </w:p>
        </w:tc>
        <w:tc>
          <w:tcPr>
            <w:tcW w:w="2999" w:type="dxa"/>
          </w:tcPr>
          <w:p w:rsidR="00CB10D7" w:rsidRPr="0096171D" w:rsidRDefault="00CB10D7" w:rsidP="0045150C">
            <w:pPr>
              <w:pStyle w:val="PITableTitle"/>
              <w:widowControl w:val="0"/>
              <w:spacing w:before="0" w:line="240" w:lineRule="atLeast"/>
              <w:jc w:val="center"/>
              <w:rPr>
                <w:rStyle w:val="TableText9"/>
                <w:b w:val="0"/>
                <w:sz w:val="20"/>
                <w:szCs w:val="20"/>
              </w:rPr>
            </w:pPr>
            <w:r w:rsidRPr="0096171D">
              <w:rPr>
                <w:rStyle w:val="TableText9"/>
                <w:b w:val="0"/>
                <w:sz w:val="20"/>
                <w:szCs w:val="20"/>
              </w:rPr>
              <w:t>-28.6</w:t>
            </w:r>
            <w:r>
              <w:rPr>
                <w:rStyle w:val="TableText9"/>
                <w:b w:val="0"/>
                <w:sz w:val="20"/>
                <w:szCs w:val="20"/>
              </w:rPr>
              <w:t xml:space="preserve"> (</w:t>
            </w:r>
            <w:r w:rsidRPr="0096171D">
              <w:rPr>
                <w:rStyle w:val="TableText9"/>
                <w:b w:val="0"/>
                <w:sz w:val="20"/>
                <w:szCs w:val="20"/>
              </w:rPr>
              <w:t>21.5)</w:t>
            </w:r>
          </w:p>
        </w:tc>
        <w:tc>
          <w:tcPr>
            <w:tcW w:w="2999" w:type="dxa"/>
          </w:tcPr>
          <w:p w:rsidR="00CB10D7" w:rsidRPr="0096171D" w:rsidRDefault="00CB10D7" w:rsidP="0045150C">
            <w:pPr>
              <w:pStyle w:val="PITableTitle"/>
              <w:widowControl w:val="0"/>
              <w:spacing w:before="0" w:line="240" w:lineRule="atLeast"/>
              <w:jc w:val="center"/>
              <w:rPr>
                <w:rStyle w:val="TableText9"/>
                <w:b w:val="0"/>
                <w:sz w:val="20"/>
                <w:szCs w:val="20"/>
              </w:rPr>
            </w:pPr>
            <w:r w:rsidRPr="0096171D">
              <w:rPr>
                <w:rStyle w:val="TableText9"/>
                <w:b w:val="0"/>
                <w:sz w:val="20"/>
                <w:szCs w:val="20"/>
              </w:rPr>
              <w:t>-41.1</w:t>
            </w:r>
            <w:r>
              <w:rPr>
                <w:rStyle w:val="TableText9"/>
                <w:b w:val="0"/>
                <w:sz w:val="20"/>
                <w:szCs w:val="20"/>
              </w:rPr>
              <w:t xml:space="preserve"> </w:t>
            </w:r>
            <w:r w:rsidRPr="0096171D">
              <w:rPr>
                <w:rStyle w:val="TableText9"/>
                <w:b w:val="0"/>
                <w:sz w:val="20"/>
                <w:szCs w:val="20"/>
              </w:rPr>
              <w:t>(13.8)</w:t>
            </w:r>
          </w:p>
        </w:tc>
      </w:tr>
      <w:tr w:rsidR="00CB10D7" w:rsidRPr="00727D4A" w:rsidTr="0045150C">
        <w:trPr>
          <w:trHeight w:val="195"/>
          <w:jc w:val="center"/>
        </w:trPr>
        <w:tc>
          <w:tcPr>
            <w:tcW w:w="2999" w:type="dxa"/>
          </w:tcPr>
          <w:p w:rsidR="00CB10D7" w:rsidRPr="0065179D" w:rsidRDefault="00CB10D7" w:rsidP="0045150C">
            <w:pPr>
              <w:pStyle w:val="PITableTitle"/>
              <w:widowControl w:val="0"/>
              <w:spacing w:before="0" w:line="240" w:lineRule="atLeast"/>
              <w:rPr>
                <w:rStyle w:val="TableText9"/>
                <w:sz w:val="20"/>
              </w:rPr>
            </w:pPr>
            <w:r w:rsidRPr="0065179D">
              <w:rPr>
                <w:rStyle w:val="TableText9"/>
                <w:sz w:val="20"/>
              </w:rPr>
              <w:t>Haemoglobin</w:t>
            </w:r>
            <w:r w:rsidR="004D1E90">
              <w:rPr>
                <w:rStyle w:val="TableText9"/>
                <w:sz w:val="20"/>
              </w:rPr>
              <w:t xml:space="preserve"> </w:t>
            </w:r>
            <w:r w:rsidRPr="0065179D">
              <w:rPr>
                <w:rStyle w:val="TableText9"/>
                <w:sz w:val="20"/>
              </w:rPr>
              <w:t>g/</w:t>
            </w:r>
            <w:proofErr w:type="spellStart"/>
            <w:r w:rsidRPr="0065179D">
              <w:rPr>
                <w:rStyle w:val="TableText9"/>
                <w:sz w:val="20"/>
              </w:rPr>
              <w:t>dL</w:t>
            </w:r>
            <w:proofErr w:type="spellEnd"/>
            <w:r w:rsidRPr="0065179D">
              <w:rPr>
                <w:rStyle w:val="TableText9"/>
                <w:sz w:val="20"/>
              </w:rPr>
              <w:t xml:space="preserve"> Change</w:t>
            </w:r>
          </w:p>
        </w:tc>
        <w:tc>
          <w:tcPr>
            <w:tcW w:w="2999" w:type="dxa"/>
          </w:tcPr>
          <w:p w:rsidR="00CB10D7" w:rsidRPr="00F74E22" w:rsidRDefault="00CB10D7" w:rsidP="0045150C">
            <w:pPr>
              <w:pStyle w:val="PITableTitle"/>
              <w:widowControl w:val="0"/>
              <w:spacing w:before="0" w:line="240" w:lineRule="atLeast"/>
              <w:jc w:val="center"/>
              <w:rPr>
                <w:rStyle w:val="TableText9"/>
                <w:b w:val="0"/>
                <w:sz w:val="20"/>
              </w:rPr>
            </w:pPr>
            <w:r>
              <w:rPr>
                <w:rStyle w:val="TableText9"/>
                <w:b w:val="0"/>
                <w:sz w:val="20"/>
              </w:rPr>
              <w:t>1.4 (1.3)</w:t>
            </w:r>
          </w:p>
        </w:tc>
        <w:tc>
          <w:tcPr>
            <w:tcW w:w="2999" w:type="dxa"/>
          </w:tcPr>
          <w:p w:rsidR="00CB10D7" w:rsidRPr="00F74E22" w:rsidRDefault="00CB10D7" w:rsidP="0045150C">
            <w:pPr>
              <w:pStyle w:val="PITableTitle"/>
              <w:widowControl w:val="0"/>
              <w:spacing w:before="0" w:line="240" w:lineRule="atLeast"/>
              <w:jc w:val="center"/>
              <w:rPr>
                <w:rStyle w:val="TableText9"/>
                <w:b w:val="0"/>
                <w:sz w:val="20"/>
              </w:rPr>
            </w:pPr>
            <w:r>
              <w:rPr>
                <w:rStyle w:val="TableText9"/>
                <w:b w:val="0"/>
                <w:sz w:val="20"/>
              </w:rPr>
              <w:t>1.6 (0.7)</w:t>
            </w:r>
          </w:p>
        </w:tc>
      </w:tr>
      <w:tr w:rsidR="00CB10D7" w:rsidRPr="00727D4A" w:rsidTr="0045150C">
        <w:trPr>
          <w:trHeight w:val="273"/>
          <w:jc w:val="center"/>
        </w:trPr>
        <w:tc>
          <w:tcPr>
            <w:tcW w:w="2999" w:type="dxa"/>
          </w:tcPr>
          <w:p w:rsidR="00CB10D7" w:rsidRPr="0065179D" w:rsidRDefault="00CB10D7" w:rsidP="0045150C">
            <w:pPr>
              <w:pStyle w:val="PITableTitle"/>
              <w:widowControl w:val="0"/>
              <w:spacing w:before="0" w:line="240" w:lineRule="atLeast"/>
              <w:rPr>
                <w:rStyle w:val="TableText9"/>
                <w:sz w:val="20"/>
              </w:rPr>
            </w:pPr>
            <w:r w:rsidRPr="0065179D">
              <w:rPr>
                <w:rStyle w:val="TableText9"/>
                <w:sz w:val="20"/>
              </w:rPr>
              <w:t>Liver Volume</w:t>
            </w:r>
            <w:r w:rsidR="004D1E90">
              <w:rPr>
                <w:rStyle w:val="TableText9"/>
                <w:sz w:val="20"/>
              </w:rPr>
              <w:t xml:space="preserve"> </w:t>
            </w:r>
            <w:r w:rsidRPr="0065179D">
              <w:rPr>
                <w:rStyle w:val="TableText9"/>
                <w:sz w:val="20"/>
              </w:rPr>
              <w:t>% Change</w:t>
            </w:r>
          </w:p>
        </w:tc>
        <w:tc>
          <w:tcPr>
            <w:tcW w:w="2999" w:type="dxa"/>
          </w:tcPr>
          <w:p w:rsidR="00CB10D7" w:rsidRPr="00F74E22" w:rsidRDefault="00CB10D7" w:rsidP="0045150C">
            <w:pPr>
              <w:pStyle w:val="PITableTitle"/>
              <w:widowControl w:val="0"/>
              <w:spacing w:before="0" w:line="240" w:lineRule="atLeast"/>
              <w:jc w:val="center"/>
              <w:rPr>
                <w:rStyle w:val="TableText9"/>
                <w:b w:val="0"/>
                <w:sz w:val="20"/>
              </w:rPr>
            </w:pPr>
            <w:r>
              <w:rPr>
                <w:rStyle w:val="TableText9"/>
                <w:b w:val="0"/>
                <w:sz w:val="20"/>
              </w:rPr>
              <w:t>-6.3 (8.5)</w:t>
            </w:r>
          </w:p>
        </w:tc>
        <w:tc>
          <w:tcPr>
            <w:tcW w:w="2999" w:type="dxa"/>
          </w:tcPr>
          <w:p w:rsidR="00CB10D7" w:rsidRPr="00F74E22" w:rsidRDefault="00CB10D7" w:rsidP="0045150C">
            <w:pPr>
              <w:pStyle w:val="PITableTitle"/>
              <w:widowControl w:val="0"/>
              <w:spacing w:before="0" w:line="240" w:lineRule="atLeast"/>
              <w:jc w:val="center"/>
              <w:rPr>
                <w:rStyle w:val="TableText9"/>
                <w:b w:val="0"/>
                <w:sz w:val="20"/>
              </w:rPr>
            </w:pPr>
            <w:r>
              <w:rPr>
                <w:rStyle w:val="TableText9"/>
                <w:b w:val="0"/>
                <w:sz w:val="20"/>
              </w:rPr>
              <w:t>-14.0 (9.0)</w:t>
            </w:r>
          </w:p>
        </w:tc>
      </w:tr>
      <w:tr w:rsidR="00CB10D7" w:rsidRPr="00727D4A" w:rsidTr="0045150C">
        <w:trPr>
          <w:trHeight w:val="60"/>
          <w:jc w:val="center"/>
        </w:trPr>
        <w:tc>
          <w:tcPr>
            <w:tcW w:w="2999" w:type="dxa"/>
          </w:tcPr>
          <w:p w:rsidR="00CB10D7" w:rsidRPr="0065179D" w:rsidRDefault="00CB10D7" w:rsidP="0045150C">
            <w:pPr>
              <w:pStyle w:val="PITableTitle"/>
              <w:widowControl w:val="0"/>
              <w:spacing w:before="0" w:line="240" w:lineRule="atLeast"/>
              <w:rPr>
                <w:rStyle w:val="TableText9"/>
                <w:sz w:val="20"/>
              </w:rPr>
            </w:pPr>
            <w:r w:rsidRPr="0065179D">
              <w:rPr>
                <w:rStyle w:val="TableText9"/>
                <w:sz w:val="20"/>
              </w:rPr>
              <w:t>Platelet Count</w:t>
            </w:r>
            <w:r w:rsidR="004D1E90">
              <w:rPr>
                <w:rStyle w:val="TableText9"/>
                <w:sz w:val="20"/>
              </w:rPr>
              <w:t xml:space="preserve"> </w:t>
            </w:r>
            <w:r w:rsidRPr="0065179D">
              <w:rPr>
                <w:rStyle w:val="TableText9"/>
                <w:sz w:val="20"/>
              </w:rPr>
              <w:t>/mm</w:t>
            </w:r>
            <w:r w:rsidRPr="0065179D">
              <w:rPr>
                <w:rStyle w:val="TableText9"/>
                <w:sz w:val="20"/>
                <w:vertAlign w:val="superscript"/>
              </w:rPr>
              <w:t xml:space="preserve">3 </w:t>
            </w:r>
            <w:r w:rsidRPr="0065179D">
              <w:rPr>
                <w:rStyle w:val="TableText9"/>
                <w:sz w:val="20"/>
              </w:rPr>
              <w:t>Change</w:t>
            </w:r>
          </w:p>
        </w:tc>
        <w:tc>
          <w:tcPr>
            <w:tcW w:w="2999" w:type="dxa"/>
          </w:tcPr>
          <w:p w:rsidR="00CB10D7" w:rsidRPr="00F74E22" w:rsidRDefault="00CB10D7" w:rsidP="0045150C">
            <w:pPr>
              <w:pStyle w:val="PITableTitle"/>
              <w:widowControl w:val="0"/>
              <w:spacing w:before="0" w:line="240" w:lineRule="atLeast"/>
              <w:jc w:val="center"/>
              <w:rPr>
                <w:rStyle w:val="TableText9"/>
                <w:b w:val="0"/>
                <w:sz w:val="20"/>
              </w:rPr>
            </w:pPr>
            <w:r>
              <w:rPr>
                <w:rStyle w:val="TableText9"/>
                <w:b w:val="0"/>
                <w:sz w:val="20"/>
              </w:rPr>
              <w:t>45500 (52884)</w:t>
            </w:r>
          </w:p>
        </w:tc>
        <w:tc>
          <w:tcPr>
            <w:tcW w:w="2999" w:type="dxa"/>
          </w:tcPr>
          <w:p w:rsidR="00CB10D7" w:rsidRPr="00F74E22" w:rsidRDefault="00CB10D7" w:rsidP="0045150C">
            <w:pPr>
              <w:pStyle w:val="PITableTitle"/>
              <w:widowControl w:val="0"/>
              <w:spacing w:before="0" w:line="240" w:lineRule="atLeast"/>
              <w:jc w:val="center"/>
              <w:rPr>
                <w:rStyle w:val="TableText9"/>
                <w:b w:val="0"/>
                <w:sz w:val="20"/>
              </w:rPr>
            </w:pPr>
            <w:r>
              <w:rPr>
                <w:rStyle w:val="TableText9"/>
                <w:b w:val="0"/>
                <w:sz w:val="20"/>
              </w:rPr>
              <w:t>72600 (59197)</w:t>
            </w:r>
          </w:p>
        </w:tc>
      </w:tr>
    </w:tbl>
    <w:p w:rsidR="0096171D" w:rsidRPr="00EA5C2C" w:rsidRDefault="00BA202F" w:rsidP="00E02163">
      <w:pPr>
        <w:keepNext/>
        <w:keepLines/>
        <w:widowControl w:val="0"/>
        <w:spacing w:after="0"/>
        <w:rPr>
          <w:noProof/>
          <w:sz w:val="20"/>
        </w:rPr>
      </w:pPr>
      <w:r>
        <w:rPr>
          <w:noProof/>
          <w:sz w:val="20"/>
        </w:rPr>
        <w:t xml:space="preserve">   </w:t>
      </w:r>
      <w:r w:rsidR="0096171D" w:rsidRPr="00EA5C2C">
        <w:rPr>
          <w:noProof/>
          <w:sz w:val="20"/>
        </w:rPr>
        <w:t>SD: standa</w:t>
      </w:r>
      <w:r w:rsidR="0096171D">
        <w:rPr>
          <w:noProof/>
          <w:sz w:val="20"/>
        </w:rPr>
        <w:t>rd deviation</w:t>
      </w:r>
    </w:p>
    <w:p w:rsidR="0096171D" w:rsidRDefault="0096171D" w:rsidP="00E02163">
      <w:pPr>
        <w:widowControl w:val="0"/>
        <w:spacing w:after="0"/>
        <w:rPr>
          <w:rFonts w:eastAsia="SimSun"/>
          <w:lang w:eastAsia="zh-CN"/>
        </w:rPr>
      </w:pPr>
    </w:p>
    <w:p w:rsidR="0096171D" w:rsidRDefault="0096171D" w:rsidP="00E02163">
      <w:pPr>
        <w:widowControl w:val="0"/>
        <w:rPr>
          <w:rFonts w:eastAsia="SimSun"/>
          <w:lang w:eastAsia="zh-CN"/>
        </w:rPr>
      </w:pPr>
      <w:proofErr w:type="spellStart"/>
      <w:r w:rsidRPr="00EA5C2C">
        <w:rPr>
          <w:rFonts w:eastAsia="SimSun"/>
          <w:lang w:eastAsia="zh-CN"/>
        </w:rPr>
        <w:t>Auxological</w:t>
      </w:r>
      <w:proofErr w:type="spellEnd"/>
      <w:r w:rsidRPr="00EA5C2C">
        <w:rPr>
          <w:rFonts w:eastAsia="SimSun"/>
          <w:lang w:eastAsia="zh-CN"/>
        </w:rPr>
        <w:t xml:space="preserve"> parameters for the </w:t>
      </w:r>
      <w:r>
        <w:rPr>
          <w:rFonts w:eastAsia="SimSun"/>
          <w:lang w:eastAsia="zh-CN"/>
        </w:rPr>
        <w:t>paediatric</w:t>
      </w:r>
      <w:r w:rsidRPr="00EA5C2C">
        <w:rPr>
          <w:rFonts w:eastAsia="SimSun"/>
          <w:lang w:eastAsia="zh-CN"/>
        </w:rPr>
        <w:t xml:space="preserve"> cohort, including height, height velocity and weight, all improved on </w:t>
      </w:r>
      <w:proofErr w:type="spellStart"/>
      <w:r w:rsidRPr="00EA5C2C">
        <w:rPr>
          <w:rFonts w:eastAsia="SimSun"/>
          <w:lang w:eastAsia="zh-CN"/>
        </w:rPr>
        <w:t>taliglucerase</w:t>
      </w:r>
      <w:proofErr w:type="spellEnd"/>
      <w:r w:rsidRPr="00EA5C2C">
        <w:rPr>
          <w:rFonts w:eastAsia="SimSun"/>
          <w:lang w:eastAsia="zh-CN"/>
        </w:rPr>
        <w:t xml:space="preserve"> </w:t>
      </w:r>
      <w:proofErr w:type="spellStart"/>
      <w:r w:rsidRPr="00EA5C2C">
        <w:rPr>
          <w:rFonts w:eastAsia="SimSun"/>
          <w:lang w:eastAsia="zh-CN"/>
        </w:rPr>
        <w:t>alfa</w:t>
      </w:r>
      <w:proofErr w:type="spellEnd"/>
      <w:r w:rsidRPr="00EA5C2C">
        <w:rPr>
          <w:rFonts w:eastAsia="SimSun"/>
          <w:lang w:eastAsia="zh-CN"/>
        </w:rPr>
        <w:t xml:space="preserve"> therapy as shown in Table 3.</w:t>
      </w:r>
    </w:p>
    <w:p w:rsidR="0096171D" w:rsidRPr="006A6BDA" w:rsidRDefault="0096171D" w:rsidP="00E02163">
      <w:pPr>
        <w:pStyle w:val="PITableTitle"/>
        <w:jc w:val="both"/>
        <w:rPr>
          <w:noProof/>
          <w:sz w:val="20"/>
        </w:rPr>
      </w:pPr>
      <w:r w:rsidRPr="00EA5C2C">
        <w:rPr>
          <w:rFonts w:eastAsia="SimSun"/>
          <w:lang w:eastAsia="zh-CN"/>
        </w:rPr>
        <w:t xml:space="preserve">Table 3: </w:t>
      </w:r>
      <w:r w:rsidRPr="00EA5C2C">
        <w:t>P</w:t>
      </w:r>
      <w:r>
        <w:t>a</w:t>
      </w:r>
      <w:r w:rsidRPr="00EA5C2C">
        <w:t xml:space="preserve">ediatric </w:t>
      </w:r>
      <w:proofErr w:type="spellStart"/>
      <w:r w:rsidRPr="00EA5C2C">
        <w:t>Auxological</w:t>
      </w:r>
      <w:proofErr w:type="spellEnd"/>
      <w:r w:rsidRPr="00EA5C2C">
        <w:t xml:space="preserve"> Data</w:t>
      </w:r>
      <w:r w:rsidR="000975B4">
        <w:t xml:space="preserve"> </w:t>
      </w:r>
      <w:r w:rsidR="00EE33A4">
        <w:t>for</w:t>
      </w:r>
      <w:r w:rsidR="000975B4">
        <w:t xml:space="preserve"> Study PB-06-005</w:t>
      </w:r>
    </w:p>
    <w:tbl>
      <w:tblPr>
        <w:tblW w:w="8104" w:type="dxa"/>
        <w:tblInd w:w="108" w:type="dxa"/>
        <w:tblLayout w:type="fixed"/>
        <w:tblLook w:val="04A0" w:firstRow="1" w:lastRow="0" w:firstColumn="1" w:lastColumn="0" w:noHBand="0" w:noVBand="1"/>
      </w:tblPr>
      <w:tblGrid>
        <w:gridCol w:w="1824"/>
        <w:gridCol w:w="2145"/>
        <w:gridCol w:w="2067"/>
        <w:gridCol w:w="2068"/>
      </w:tblGrid>
      <w:tr w:rsidR="0096171D" w:rsidRPr="007D0F8E" w:rsidTr="0045150C">
        <w:trPr>
          <w:trHeight w:val="121"/>
        </w:trPr>
        <w:tc>
          <w:tcPr>
            <w:tcW w:w="18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6171D" w:rsidRPr="0096171D" w:rsidRDefault="0096171D" w:rsidP="0045150C">
            <w:pPr>
              <w:pStyle w:val="Paragraph"/>
              <w:keepNext/>
              <w:spacing w:after="120" w:line="240" w:lineRule="atLeast"/>
              <w:rPr>
                <w:rFonts w:eastAsia="SimSun"/>
                <w:b/>
                <w:sz w:val="20"/>
                <w:szCs w:val="20"/>
                <w:lang w:eastAsia="zh-CN"/>
              </w:rPr>
            </w:pPr>
            <w:r w:rsidRPr="0096171D">
              <w:rPr>
                <w:rFonts w:eastAsia="SimSun"/>
                <w:b/>
                <w:sz w:val="20"/>
                <w:szCs w:val="20"/>
                <w:lang w:eastAsia="zh-CN"/>
              </w:rPr>
              <w:t>Clinical Parameter</w:t>
            </w:r>
          </w:p>
        </w:tc>
        <w:tc>
          <w:tcPr>
            <w:tcW w:w="2145" w:type="dxa"/>
            <w:tcBorders>
              <w:top w:val="single" w:sz="8" w:space="0" w:color="auto"/>
              <w:left w:val="nil"/>
              <w:bottom w:val="single" w:sz="8" w:space="0" w:color="auto"/>
              <w:right w:val="single" w:sz="8" w:space="0" w:color="auto"/>
            </w:tcBorders>
            <w:shd w:val="clear" w:color="auto" w:fill="auto"/>
            <w:vAlign w:val="center"/>
            <w:hideMark/>
          </w:tcPr>
          <w:p w:rsidR="0096171D" w:rsidRPr="0096171D" w:rsidRDefault="0096171D" w:rsidP="0045150C">
            <w:pPr>
              <w:pStyle w:val="Paragraph"/>
              <w:keepNext/>
              <w:spacing w:after="120" w:line="240" w:lineRule="atLeast"/>
              <w:jc w:val="both"/>
              <w:rPr>
                <w:rFonts w:eastAsia="SimSun"/>
                <w:b/>
                <w:sz w:val="20"/>
                <w:szCs w:val="20"/>
                <w:lang w:eastAsia="zh-CN"/>
              </w:rPr>
            </w:pPr>
            <w:r w:rsidRPr="0096171D">
              <w:rPr>
                <w:rFonts w:eastAsia="SimSun"/>
                <w:b/>
                <w:sz w:val="20"/>
                <w:szCs w:val="20"/>
                <w:lang w:eastAsia="zh-CN"/>
              </w:rPr>
              <w:t>Time Point</w:t>
            </w:r>
          </w:p>
        </w:tc>
        <w:tc>
          <w:tcPr>
            <w:tcW w:w="2067" w:type="dxa"/>
            <w:tcBorders>
              <w:top w:val="single" w:sz="8" w:space="0" w:color="auto"/>
              <w:left w:val="nil"/>
              <w:bottom w:val="single" w:sz="8" w:space="0" w:color="auto"/>
              <w:right w:val="single" w:sz="8" w:space="0" w:color="auto"/>
            </w:tcBorders>
            <w:shd w:val="clear" w:color="auto" w:fill="auto"/>
            <w:hideMark/>
          </w:tcPr>
          <w:p w:rsidR="0096171D" w:rsidRPr="0096171D" w:rsidRDefault="00EE33A4" w:rsidP="0045150C">
            <w:pPr>
              <w:pStyle w:val="Paragraph"/>
              <w:keepNext/>
              <w:spacing w:after="120" w:line="240" w:lineRule="atLeast"/>
              <w:jc w:val="center"/>
              <w:rPr>
                <w:rFonts w:eastAsia="SimSun"/>
                <w:b/>
                <w:sz w:val="20"/>
                <w:szCs w:val="20"/>
                <w:lang w:eastAsia="zh-CN"/>
              </w:rPr>
            </w:pPr>
            <w:r>
              <w:rPr>
                <w:rFonts w:eastAsia="SimSun"/>
                <w:b/>
                <w:sz w:val="20"/>
                <w:szCs w:val="20"/>
                <w:lang w:eastAsia="zh-CN"/>
              </w:rPr>
              <w:t xml:space="preserve">ELELYSO       </w:t>
            </w:r>
            <w:r w:rsidR="0045150C">
              <w:rPr>
                <w:rFonts w:eastAsia="SimSun"/>
                <w:b/>
                <w:sz w:val="20"/>
                <w:szCs w:val="20"/>
                <w:lang w:eastAsia="zh-CN"/>
              </w:rPr>
              <w:t xml:space="preserve">  </w:t>
            </w:r>
            <w:r>
              <w:rPr>
                <w:rFonts w:eastAsia="SimSun"/>
                <w:b/>
                <w:sz w:val="20"/>
                <w:szCs w:val="20"/>
                <w:lang w:eastAsia="zh-CN"/>
              </w:rPr>
              <w:t xml:space="preserve">       </w:t>
            </w:r>
            <w:r w:rsidR="0096171D" w:rsidRPr="0096171D">
              <w:rPr>
                <w:rFonts w:eastAsia="SimSun"/>
                <w:b/>
                <w:sz w:val="20"/>
                <w:szCs w:val="20"/>
                <w:lang w:eastAsia="zh-CN"/>
              </w:rPr>
              <w:t>30 units/kg             (n=6)</w:t>
            </w:r>
          </w:p>
        </w:tc>
        <w:tc>
          <w:tcPr>
            <w:tcW w:w="2068" w:type="dxa"/>
            <w:tcBorders>
              <w:top w:val="single" w:sz="8" w:space="0" w:color="auto"/>
              <w:left w:val="nil"/>
              <w:bottom w:val="single" w:sz="8" w:space="0" w:color="auto"/>
              <w:right w:val="single" w:sz="8" w:space="0" w:color="auto"/>
            </w:tcBorders>
            <w:shd w:val="clear" w:color="auto" w:fill="auto"/>
            <w:hideMark/>
          </w:tcPr>
          <w:p w:rsidR="0096171D" w:rsidRPr="0096171D" w:rsidRDefault="00EE33A4" w:rsidP="0045150C">
            <w:pPr>
              <w:pStyle w:val="Paragraph"/>
              <w:keepNext/>
              <w:spacing w:after="120" w:line="240" w:lineRule="atLeast"/>
              <w:jc w:val="center"/>
              <w:rPr>
                <w:rFonts w:eastAsia="SimSun"/>
                <w:b/>
                <w:sz w:val="20"/>
                <w:szCs w:val="20"/>
                <w:lang w:eastAsia="zh-CN"/>
              </w:rPr>
            </w:pPr>
            <w:r>
              <w:rPr>
                <w:rFonts w:eastAsia="SimSun"/>
                <w:b/>
                <w:sz w:val="20"/>
                <w:szCs w:val="20"/>
                <w:lang w:eastAsia="zh-CN"/>
              </w:rPr>
              <w:t xml:space="preserve">ELELYSO                      </w:t>
            </w:r>
            <w:r w:rsidR="0096171D" w:rsidRPr="0096171D">
              <w:rPr>
                <w:rFonts w:eastAsia="SimSun"/>
                <w:b/>
                <w:sz w:val="20"/>
                <w:szCs w:val="20"/>
                <w:lang w:eastAsia="zh-CN"/>
              </w:rPr>
              <w:t>60 units/kg            (n=5)</w:t>
            </w:r>
          </w:p>
        </w:tc>
      </w:tr>
      <w:tr w:rsidR="0096171D" w:rsidRPr="007D0F8E" w:rsidTr="0045150C">
        <w:trPr>
          <w:trHeight w:val="327"/>
        </w:trPr>
        <w:tc>
          <w:tcPr>
            <w:tcW w:w="1824" w:type="dxa"/>
            <w:vMerge w:val="restart"/>
            <w:tcBorders>
              <w:top w:val="nil"/>
              <w:left w:val="single" w:sz="8" w:space="0" w:color="auto"/>
              <w:bottom w:val="single" w:sz="8" w:space="0" w:color="000000"/>
              <w:right w:val="single" w:sz="8" w:space="0" w:color="auto"/>
            </w:tcBorders>
            <w:shd w:val="clear" w:color="auto" w:fill="auto"/>
            <w:vAlign w:val="center"/>
            <w:hideMark/>
          </w:tcPr>
          <w:p w:rsidR="0096171D" w:rsidRPr="002B27BC" w:rsidRDefault="0096171D" w:rsidP="0045150C">
            <w:pPr>
              <w:pStyle w:val="Paragraph"/>
              <w:keepNext/>
              <w:spacing w:after="120" w:line="240" w:lineRule="atLeast"/>
              <w:jc w:val="both"/>
              <w:rPr>
                <w:rFonts w:eastAsia="SimSun"/>
                <w:b/>
                <w:sz w:val="20"/>
                <w:szCs w:val="20"/>
                <w:lang w:eastAsia="zh-CN"/>
              </w:rPr>
            </w:pPr>
            <w:r w:rsidRPr="002B27BC">
              <w:rPr>
                <w:rFonts w:eastAsia="SimSun"/>
                <w:b/>
                <w:sz w:val="20"/>
                <w:szCs w:val="20"/>
                <w:lang w:eastAsia="zh-CN"/>
              </w:rPr>
              <w:t>Height (cm)</w:t>
            </w:r>
          </w:p>
        </w:tc>
        <w:tc>
          <w:tcPr>
            <w:tcW w:w="2145" w:type="dxa"/>
            <w:tcBorders>
              <w:top w:val="nil"/>
              <w:left w:val="nil"/>
              <w:bottom w:val="single" w:sz="8" w:space="0" w:color="auto"/>
              <w:right w:val="single" w:sz="8" w:space="0" w:color="auto"/>
            </w:tcBorders>
            <w:shd w:val="clear" w:color="auto" w:fill="auto"/>
            <w:vAlign w:val="center"/>
            <w:hideMark/>
          </w:tcPr>
          <w:p w:rsidR="0096171D" w:rsidRPr="002B27BC" w:rsidRDefault="0096171D" w:rsidP="0045150C">
            <w:pPr>
              <w:pStyle w:val="Paragraph"/>
              <w:keepNext/>
              <w:spacing w:after="120" w:line="240" w:lineRule="atLeast"/>
              <w:jc w:val="both"/>
              <w:rPr>
                <w:rFonts w:eastAsia="SimSun"/>
                <w:b/>
                <w:sz w:val="20"/>
                <w:szCs w:val="20"/>
                <w:lang w:eastAsia="zh-CN"/>
              </w:rPr>
            </w:pPr>
            <w:r w:rsidRPr="002B27BC">
              <w:rPr>
                <w:rFonts w:eastAsia="SimSun"/>
                <w:b/>
                <w:sz w:val="20"/>
                <w:szCs w:val="20"/>
                <w:lang w:eastAsia="zh-CN"/>
              </w:rPr>
              <w:t>Baseline (Mean (SE)</w:t>
            </w:r>
            <w:r w:rsidR="007D5AF4">
              <w:rPr>
                <w:rFonts w:eastAsia="SimSun"/>
                <w:b/>
                <w:sz w:val="20"/>
                <w:szCs w:val="20"/>
                <w:lang w:eastAsia="zh-CN"/>
              </w:rPr>
              <w:t>)</w:t>
            </w:r>
          </w:p>
        </w:tc>
        <w:tc>
          <w:tcPr>
            <w:tcW w:w="2067" w:type="dxa"/>
            <w:tcBorders>
              <w:top w:val="nil"/>
              <w:left w:val="nil"/>
              <w:bottom w:val="single" w:sz="8" w:space="0" w:color="auto"/>
              <w:right w:val="single" w:sz="8" w:space="0" w:color="auto"/>
            </w:tcBorders>
            <w:shd w:val="clear" w:color="auto" w:fill="auto"/>
            <w:noWrap/>
            <w:vAlign w:val="center"/>
            <w:hideMark/>
          </w:tcPr>
          <w:p w:rsidR="0096171D" w:rsidRPr="0096171D" w:rsidRDefault="0096171D" w:rsidP="0045150C">
            <w:pPr>
              <w:pStyle w:val="Paragraph"/>
              <w:keepNext/>
              <w:spacing w:after="120" w:line="240" w:lineRule="atLeast"/>
              <w:jc w:val="center"/>
              <w:rPr>
                <w:rFonts w:eastAsia="SimSun"/>
                <w:sz w:val="20"/>
                <w:szCs w:val="20"/>
                <w:lang w:eastAsia="zh-CN"/>
              </w:rPr>
            </w:pPr>
            <w:r w:rsidRPr="0096171D">
              <w:rPr>
                <w:rFonts w:eastAsia="SimSun"/>
                <w:sz w:val="20"/>
                <w:szCs w:val="20"/>
                <w:lang w:eastAsia="zh-CN"/>
              </w:rPr>
              <w:t>129.3 (8.9)</w:t>
            </w:r>
          </w:p>
        </w:tc>
        <w:tc>
          <w:tcPr>
            <w:tcW w:w="2068" w:type="dxa"/>
            <w:tcBorders>
              <w:top w:val="nil"/>
              <w:left w:val="nil"/>
              <w:bottom w:val="single" w:sz="8" w:space="0" w:color="auto"/>
              <w:right w:val="single" w:sz="8" w:space="0" w:color="auto"/>
            </w:tcBorders>
            <w:shd w:val="clear" w:color="auto" w:fill="auto"/>
            <w:noWrap/>
            <w:vAlign w:val="center"/>
            <w:hideMark/>
          </w:tcPr>
          <w:p w:rsidR="0096171D" w:rsidRPr="0096171D" w:rsidRDefault="0096171D" w:rsidP="0045150C">
            <w:pPr>
              <w:pStyle w:val="Paragraph"/>
              <w:keepNext/>
              <w:spacing w:after="120" w:line="240" w:lineRule="atLeast"/>
              <w:jc w:val="center"/>
              <w:rPr>
                <w:rFonts w:eastAsia="SimSun"/>
                <w:sz w:val="20"/>
                <w:szCs w:val="20"/>
                <w:lang w:eastAsia="zh-CN"/>
              </w:rPr>
            </w:pPr>
            <w:r w:rsidRPr="0096171D">
              <w:rPr>
                <w:rFonts w:eastAsia="SimSun"/>
                <w:sz w:val="20"/>
                <w:szCs w:val="20"/>
                <w:lang w:eastAsia="zh-CN"/>
              </w:rPr>
              <w:t>107.8 (6.4)</w:t>
            </w:r>
          </w:p>
        </w:tc>
      </w:tr>
      <w:tr w:rsidR="0096171D" w:rsidRPr="007D0F8E" w:rsidTr="0045150C">
        <w:trPr>
          <w:trHeight w:val="375"/>
        </w:trPr>
        <w:tc>
          <w:tcPr>
            <w:tcW w:w="1824" w:type="dxa"/>
            <w:vMerge/>
            <w:tcBorders>
              <w:top w:val="nil"/>
              <w:left w:val="single" w:sz="8" w:space="0" w:color="auto"/>
              <w:bottom w:val="single" w:sz="8" w:space="0" w:color="000000"/>
              <w:right w:val="single" w:sz="8" w:space="0" w:color="auto"/>
            </w:tcBorders>
            <w:vAlign w:val="center"/>
            <w:hideMark/>
          </w:tcPr>
          <w:p w:rsidR="0096171D" w:rsidRPr="002B27BC" w:rsidRDefault="0096171D" w:rsidP="0045150C">
            <w:pPr>
              <w:pStyle w:val="Paragraph"/>
              <w:keepNext/>
              <w:spacing w:after="120" w:line="240" w:lineRule="atLeast"/>
              <w:jc w:val="both"/>
              <w:rPr>
                <w:rFonts w:eastAsia="SimSun"/>
                <w:b/>
                <w:sz w:val="20"/>
                <w:szCs w:val="20"/>
                <w:lang w:eastAsia="zh-CN"/>
              </w:rPr>
            </w:pPr>
          </w:p>
        </w:tc>
        <w:tc>
          <w:tcPr>
            <w:tcW w:w="2145" w:type="dxa"/>
            <w:tcBorders>
              <w:top w:val="nil"/>
              <w:left w:val="nil"/>
              <w:bottom w:val="single" w:sz="8" w:space="0" w:color="auto"/>
              <w:right w:val="single" w:sz="8" w:space="0" w:color="auto"/>
            </w:tcBorders>
            <w:shd w:val="clear" w:color="auto" w:fill="auto"/>
            <w:vAlign w:val="center"/>
            <w:hideMark/>
          </w:tcPr>
          <w:p w:rsidR="0096171D" w:rsidRPr="002B27BC" w:rsidRDefault="0096171D" w:rsidP="0045150C">
            <w:pPr>
              <w:pStyle w:val="Paragraph"/>
              <w:keepNext/>
              <w:spacing w:after="120" w:line="240" w:lineRule="atLeast"/>
              <w:jc w:val="both"/>
              <w:rPr>
                <w:rFonts w:eastAsia="SimSun"/>
                <w:b/>
                <w:sz w:val="20"/>
                <w:szCs w:val="20"/>
                <w:lang w:eastAsia="zh-CN"/>
              </w:rPr>
            </w:pPr>
            <w:r w:rsidRPr="002B27BC">
              <w:rPr>
                <w:rFonts w:eastAsia="SimSun"/>
                <w:b/>
                <w:sz w:val="20"/>
                <w:szCs w:val="20"/>
                <w:lang w:eastAsia="zh-CN"/>
              </w:rPr>
              <w:t>Month 12 (Mean (SE)</w:t>
            </w:r>
            <w:r w:rsidR="007D5AF4">
              <w:rPr>
                <w:rFonts w:eastAsia="SimSun"/>
                <w:b/>
                <w:sz w:val="20"/>
                <w:szCs w:val="20"/>
                <w:lang w:eastAsia="zh-CN"/>
              </w:rPr>
              <w:t>)</w:t>
            </w:r>
          </w:p>
        </w:tc>
        <w:tc>
          <w:tcPr>
            <w:tcW w:w="2067" w:type="dxa"/>
            <w:tcBorders>
              <w:top w:val="nil"/>
              <w:left w:val="nil"/>
              <w:bottom w:val="single" w:sz="8" w:space="0" w:color="auto"/>
              <w:right w:val="single" w:sz="8" w:space="0" w:color="auto"/>
            </w:tcBorders>
            <w:shd w:val="clear" w:color="auto" w:fill="auto"/>
            <w:noWrap/>
            <w:vAlign w:val="center"/>
            <w:hideMark/>
          </w:tcPr>
          <w:p w:rsidR="0096171D" w:rsidRPr="0096171D" w:rsidRDefault="0096171D" w:rsidP="0045150C">
            <w:pPr>
              <w:pStyle w:val="Paragraph"/>
              <w:keepNext/>
              <w:spacing w:after="120" w:line="240" w:lineRule="atLeast"/>
              <w:jc w:val="center"/>
              <w:rPr>
                <w:rFonts w:eastAsia="SimSun"/>
                <w:sz w:val="20"/>
                <w:szCs w:val="20"/>
                <w:lang w:eastAsia="zh-CN"/>
              </w:rPr>
            </w:pPr>
            <w:r w:rsidRPr="0096171D">
              <w:rPr>
                <w:rFonts w:eastAsia="SimSun"/>
                <w:sz w:val="20"/>
                <w:szCs w:val="20"/>
                <w:lang w:eastAsia="zh-CN"/>
              </w:rPr>
              <w:t>134.4 (8.5)</w:t>
            </w:r>
          </w:p>
        </w:tc>
        <w:tc>
          <w:tcPr>
            <w:tcW w:w="2068" w:type="dxa"/>
            <w:tcBorders>
              <w:top w:val="nil"/>
              <w:left w:val="nil"/>
              <w:bottom w:val="single" w:sz="8" w:space="0" w:color="auto"/>
              <w:right w:val="single" w:sz="8" w:space="0" w:color="auto"/>
            </w:tcBorders>
            <w:shd w:val="clear" w:color="auto" w:fill="auto"/>
            <w:noWrap/>
            <w:vAlign w:val="center"/>
            <w:hideMark/>
          </w:tcPr>
          <w:p w:rsidR="0096171D" w:rsidRPr="0096171D" w:rsidRDefault="0096171D" w:rsidP="0045150C">
            <w:pPr>
              <w:pStyle w:val="Paragraph"/>
              <w:keepNext/>
              <w:spacing w:after="120" w:line="240" w:lineRule="atLeast"/>
              <w:jc w:val="center"/>
              <w:rPr>
                <w:rFonts w:eastAsia="SimSun"/>
                <w:sz w:val="20"/>
                <w:szCs w:val="20"/>
                <w:lang w:eastAsia="zh-CN"/>
              </w:rPr>
            </w:pPr>
            <w:r w:rsidRPr="0096171D">
              <w:rPr>
                <w:rFonts w:eastAsia="SimSun"/>
                <w:sz w:val="20"/>
                <w:szCs w:val="20"/>
                <w:lang w:eastAsia="zh-CN"/>
              </w:rPr>
              <w:t>115.7 (6.2)</w:t>
            </w:r>
          </w:p>
        </w:tc>
      </w:tr>
      <w:tr w:rsidR="0096171D" w:rsidRPr="007D0F8E" w:rsidTr="0045150C">
        <w:trPr>
          <w:trHeight w:val="267"/>
        </w:trPr>
        <w:tc>
          <w:tcPr>
            <w:tcW w:w="1824" w:type="dxa"/>
            <w:vMerge/>
            <w:tcBorders>
              <w:top w:val="nil"/>
              <w:left w:val="single" w:sz="8" w:space="0" w:color="auto"/>
              <w:bottom w:val="single" w:sz="8" w:space="0" w:color="000000"/>
              <w:right w:val="single" w:sz="8" w:space="0" w:color="auto"/>
            </w:tcBorders>
            <w:vAlign w:val="center"/>
            <w:hideMark/>
          </w:tcPr>
          <w:p w:rsidR="0096171D" w:rsidRPr="002B27BC" w:rsidRDefault="0096171D" w:rsidP="0045150C">
            <w:pPr>
              <w:pStyle w:val="Paragraph"/>
              <w:keepNext/>
              <w:spacing w:after="120" w:line="240" w:lineRule="atLeast"/>
              <w:jc w:val="both"/>
              <w:rPr>
                <w:rFonts w:eastAsia="SimSun"/>
                <w:b/>
                <w:sz w:val="20"/>
                <w:szCs w:val="20"/>
                <w:lang w:eastAsia="zh-CN"/>
              </w:rPr>
            </w:pPr>
          </w:p>
        </w:tc>
        <w:tc>
          <w:tcPr>
            <w:tcW w:w="2145" w:type="dxa"/>
            <w:tcBorders>
              <w:top w:val="nil"/>
              <w:left w:val="nil"/>
              <w:bottom w:val="single" w:sz="8" w:space="0" w:color="auto"/>
              <w:right w:val="single" w:sz="8" w:space="0" w:color="auto"/>
            </w:tcBorders>
            <w:shd w:val="clear" w:color="auto" w:fill="auto"/>
            <w:vAlign w:val="center"/>
            <w:hideMark/>
          </w:tcPr>
          <w:p w:rsidR="0096171D" w:rsidRPr="002B27BC" w:rsidRDefault="0096171D" w:rsidP="0045150C">
            <w:pPr>
              <w:pStyle w:val="Paragraph"/>
              <w:keepNext/>
              <w:spacing w:after="120" w:line="240" w:lineRule="atLeast"/>
              <w:jc w:val="both"/>
              <w:rPr>
                <w:rFonts w:eastAsia="SimSun"/>
                <w:b/>
                <w:sz w:val="20"/>
                <w:szCs w:val="20"/>
                <w:lang w:eastAsia="zh-CN"/>
              </w:rPr>
            </w:pPr>
            <w:r w:rsidRPr="002B27BC">
              <w:rPr>
                <w:rFonts w:eastAsia="SimSun"/>
                <w:b/>
                <w:sz w:val="20"/>
                <w:szCs w:val="20"/>
                <w:lang w:eastAsia="zh-CN"/>
              </w:rPr>
              <w:t>% Change (SE)</w:t>
            </w:r>
          </w:p>
        </w:tc>
        <w:tc>
          <w:tcPr>
            <w:tcW w:w="2067" w:type="dxa"/>
            <w:tcBorders>
              <w:top w:val="nil"/>
              <w:left w:val="nil"/>
              <w:bottom w:val="single" w:sz="8" w:space="0" w:color="auto"/>
              <w:right w:val="single" w:sz="8" w:space="0" w:color="auto"/>
            </w:tcBorders>
            <w:shd w:val="clear" w:color="auto" w:fill="auto"/>
            <w:noWrap/>
            <w:vAlign w:val="center"/>
            <w:hideMark/>
          </w:tcPr>
          <w:p w:rsidR="0096171D" w:rsidRPr="0096171D" w:rsidRDefault="0096171D" w:rsidP="0045150C">
            <w:pPr>
              <w:pStyle w:val="Paragraph"/>
              <w:keepNext/>
              <w:spacing w:after="120" w:line="240" w:lineRule="atLeast"/>
              <w:jc w:val="center"/>
              <w:rPr>
                <w:rFonts w:eastAsia="SimSun"/>
                <w:sz w:val="20"/>
                <w:szCs w:val="20"/>
                <w:lang w:eastAsia="zh-CN"/>
              </w:rPr>
            </w:pPr>
            <w:r w:rsidRPr="0096171D">
              <w:rPr>
                <w:rFonts w:eastAsia="SimSun"/>
                <w:sz w:val="20"/>
                <w:szCs w:val="20"/>
                <w:lang w:eastAsia="zh-CN"/>
              </w:rPr>
              <w:t>4.2 (0.9)</w:t>
            </w:r>
          </w:p>
        </w:tc>
        <w:tc>
          <w:tcPr>
            <w:tcW w:w="2068" w:type="dxa"/>
            <w:tcBorders>
              <w:top w:val="nil"/>
              <w:left w:val="nil"/>
              <w:bottom w:val="single" w:sz="8" w:space="0" w:color="auto"/>
              <w:right w:val="single" w:sz="8" w:space="0" w:color="auto"/>
            </w:tcBorders>
            <w:shd w:val="clear" w:color="auto" w:fill="auto"/>
            <w:noWrap/>
            <w:vAlign w:val="center"/>
            <w:hideMark/>
          </w:tcPr>
          <w:p w:rsidR="0096171D" w:rsidRPr="0096171D" w:rsidRDefault="0096171D" w:rsidP="0045150C">
            <w:pPr>
              <w:pStyle w:val="Paragraph"/>
              <w:keepNext/>
              <w:spacing w:after="120" w:line="240" w:lineRule="atLeast"/>
              <w:jc w:val="center"/>
              <w:rPr>
                <w:rFonts w:eastAsia="SimSun"/>
                <w:sz w:val="20"/>
                <w:szCs w:val="20"/>
                <w:lang w:eastAsia="zh-CN"/>
              </w:rPr>
            </w:pPr>
            <w:r w:rsidRPr="0096171D">
              <w:rPr>
                <w:rFonts w:eastAsia="SimSun"/>
                <w:sz w:val="20"/>
                <w:szCs w:val="20"/>
                <w:lang w:eastAsia="zh-CN"/>
              </w:rPr>
              <w:t>7.6 (1.0)</w:t>
            </w:r>
          </w:p>
        </w:tc>
      </w:tr>
      <w:tr w:rsidR="0096171D" w:rsidRPr="007D0F8E" w:rsidTr="0045150C">
        <w:trPr>
          <w:trHeight w:val="457"/>
        </w:trPr>
        <w:tc>
          <w:tcPr>
            <w:tcW w:w="1824" w:type="dxa"/>
            <w:tcBorders>
              <w:top w:val="nil"/>
              <w:left w:val="single" w:sz="8" w:space="0" w:color="auto"/>
              <w:bottom w:val="single" w:sz="8" w:space="0" w:color="auto"/>
              <w:right w:val="single" w:sz="8" w:space="0" w:color="auto"/>
            </w:tcBorders>
            <w:shd w:val="clear" w:color="auto" w:fill="auto"/>
            <w:vAlign w:val="center"/>
            <w:hideMark/>
          </w:tcPr>
          <w:p w:rsidR="0096171D" w:rsidRPr="002B27BC" w:rsidRDefault="0096171D" w:rsidP="0045150C">
            <w:pPr>
              <w:pStyle w:val="Paragraph"/>
              <w:keepNext/>
              <w:spacing w:after="120" w:line="240" w:lineRule="atLeast"/>
              <w:rPr>
                <w:rFonts w:eastAsia="SimSun"/>
                <w:b/>
                <w:sz w:val="20"/>
                <w:szCs w:val="20"/>
                <w:lang w:eastAsia="zh-CN"/>
              </w:rPr>
            </w:pPr>
            <w:r w:rsidRPr="002B27BC">
              <w:rPr>
                <w:rFonts w:eastAsia="SimSun"/>
                <w:b/>
                <w:sz w:val="20"/>
                <w:szCs w:val="20"/>
                <w:lang w:eastAsia="zh-CN"/>
              </w:rPr>
              <w:t>Height</w:t>
            </w:r>
            <w:r w:rsidR="002B27BC" w:rsidRPr="002B27BC">
              <w:rPr>
                <w:rFonts w:eastAsia="SimSun"/>
                <w:b/>
                <w:sz w:val="20"/>
                <w:szCs w:val="20"/>
                <w:lang w:eastAsia="zh-CN"/>
              </w:rPr>
              <w:t xml:space="preserve"> </w:t>
            </w:r>
            <w:r w:rsidRPr="002B27BC">
              <w:rPr>
                <w:rFonts w:eastAsia="SimSun"/>
                <w:b/>
                <w:sz w:val="20"/>
                <w:szCs w:val="20"/>
                <w:lang w:eastAsia="zh-CN"/>
              </w:rPr>
              <w:t>Velocity (cm/</w:t>
            </w:r>
            <w:proofErr w:type="spellStart"/>
            <w:r w:rsidRPr="002B27BC">
              <w:rPr>
                <w:rFonts w:eastAsia="SimSun"/>
                <w:b/>
                <w:sz w:val="20"/>
                <w:szCs w:val="20"/>
                <w:lang w:eastAsia="zh-CN"/>
              </w:rPr>
              <w:t>yr</w:t>
            </w:r>
            <w:proofErr w:type="spellEnd"/>
            <w:r w:rsidRPr="002B27BC">
              <w:rPr>
                <w:rFonts w:eastAsia="SimSun"/>
                <w:b/>
                <w:sz w:val="20"/>
                <w:szCs w:val="20"/>
                <w:lang w:eastAsia="zh-CN"/>
              </w:rPr>
              <w:t>)</w:t>
            </w:r>
          </w:p>
        </w:tc>
        <w:tc>
          <w:tcPr>
            <w:tcW w:w="2145" w:type="dxa"/>
            <w:tcBorders>
              <w:top w:val="nil"/>
              <w:left w:val="nil"/>
              <w:bottom w:val="single" w:sz="8" w:space="0" w:color="auto"/>
              <w:right w:val="single" w:sz="8" w:space="0" w:color="auto"/>
            </w:tcBorders>
            <w:shd w:val="clear" w:color="auto" w:fill="auto"/>
            <w:vAlign w:val="center"/>
            <w:hideMark/>
          </w:tcPr>
          <w:p w:rsidR="0096171D" w:rsidRPr="002B27BC" w:rsidRDefault="0096171D" w:rsidP="0045150C">
            <w:pPr>
              <w:pStyle w:val="Paragraph"/>
              <w:keepNext/>
              <w:spacing w:after="120" w:line="240" w:lineRule="atLeast"/>
              <w:jc w:val="both"/>
              <w:rPr>
                <w:rFonts w:eastAsia="SimSun"/>
                <w:b/>
                <w:sz w:val="20"/>
                <w:szCs w:val="20"/>
                <w:lang w:eastAsia="zh-CN"/>
              </w:rPr>
            </w:pPr>
            <w:r w:rsidRPr="002B27BC">
              <w:rPr>
                <w:rFonts w:eastAsia="SimSun"/>
                <w:b/>
                <w:sz w:val="20"/>
                <w:szCs w:val="20"/>
                <w:lang w:eastAsia="zh-CN"/>
              </w:rPr>
              <w:t>Month 12 (Mean (SE)</w:t>
            </w:r>
            <w:r w:rsidR="007D5AF4">
              <w:rPr>
                <w:rFonts w:eastAsia="SimSun"/>
                <w:b/>
                <w:sz w:val="20"/>
                <w:szCs w:val="20"/>
                <w:lang w:eastAsia="zh-CN"/>
              </w:rPr>
              <w:t>)</w:t>
            </w:r>
          </w:p>
        </w:tc>
        <w:tc>
          <w:tcPr>
            <w:tcW w:w="2067" w:type="dxa"/>
            <w:tcBorders>
              <w:top w:val="nil"/>
              <w:left w:val="nil"/>
              <w:bottom w:val="single" w:sz="8" w:space="0" w:color="auto"/>
              <w:right w:val="single" w:sz="8" w:space="0" w:color="auto"/>
            </w:tcBorders>
            <w:shd w:val="clear" w:color="auto" w:fill="auto"/>
            <w:vAlign w:val="center"/>
            <w:hideMark/>
          </w:tcPr>
          <w:p w:rsidR="0096171D" w:rsidRPr="0096171D" w:rsidRDefault="0096171D" w:rsidP="0045150C">
            <w:pPr>
              <w:pStyle w:val="Paragraph"/>
              <w:keepNext/>
              <w:spacing w:after="120" w:line="240" w:lineRule="atLeast"/>
              <w:jc w:val="center"/>
              <w:rPr>
                <w:rFonts w:eastAsia="SimSun"/>
                <w:sz w:val="20"/>
                <w:szCs w:val="20"/>
                <w:lang w:eastAsia="zh-CN"/>
              </w:rPr>
            </w:pPr>
            <w:r w:rsidRPr="0096171D">
              <w:rPr>
                <w:rFonts w:eastAsia="SimSun"/>
                <w:sz w:val="20"/>
                <w:szCs w:val="20"/>
                <w:lang w:eastAsia="zh-CN"/>
              </w:rPr>
              <w:t>5.1 (0.9)</w:t>
            </w:r>
          </w:p>
        </w:tc>
        <w:tc>
          <w:tcPr>
            <w:tcW w:w="2068" w:type="dxa"/>
            <w:tcBorders>
              <w:top w:val="nil"/>
              <w:left w:val="nil"/>
              <w:bottom w:val="single" w:sz="8" w:space="0" w:color="auto"/>
              <w:right w:val="single" w:sz="8" w:space="0" w:color="auto"/>
            </w:tcBorders>
            <w:shd w:val="clear" w:color="auto" w:fill="auto"/>
            <w:vAlign w:val="center"/>
            <w:hideMark/>
          </w:tcPr>
          <w:p w:rsidR="0096171D" w:rsidRPr="0096171D" w:rsidRDefault="0096171D" w:rsidP="0045150C">
            <w:pPr>
              <w:pStyle w:val="Paragraph"/>
              <w:keepNext/>
              <w:spacing w:after="120" w:line="240" w:lineRule="atLeast"/>
              <w:jc w:val="center"/>
              <w:rPr>
                <w:rFonts w:eastAsia="SimSun"/>
                <w:sz w:val="20"/>
                <w:szCs w:val="20"/>
                <w:lang w:eastAsia="zh-CN"/>
              </w:rPr>
            </w:pPr>
            <w:r w:rsidRPr="0096171D">
              <w:rPr>
                <w:rFonts w:eastAsia="SimSun"/>
                <w:sz w:val="20"/>
                <w:szCs w:val="20"/>
                <w:lang w:eastAsia="zh-CN"/>
              </w:rPr>
              <w:t>8.0 (0.6)</w:t>
            </w:r>
          </w:p>
        </w:tc>
      </w:tr>
      <w:tr w:rsidR="0096171D" w:rsidRPr="007D0F8E" w:rsidTr="0045150C">
        <w:trPr>
          <w:trHeight w:val="423"/>
        </w:trPr>
        <w:tc>
          <w:tcPr>
            <w:tcW w:w="1824" w:type="dxa"/>
            <w:vMerge w:val="restart"/>
            <w:tcBorders>
              <w:top w:val="nil"/>
              <w:left w:val="single" w:sz="8" w:space="0" w:color="auto"/>
              <w:bottom w:val="single" w:sz="8" w:space="0" w:color="000000"/>
              <w:right w:val="single" w:sz="8" w:space="0" w:color="auto"/>
            </w:tcBorders>
            <w:shd w:val="clear" w:color="auto" w:fill="auto"/>
            <w:vAlign w:val="center"/>
            <w:hideMark/>
          </w:tcPr>
          <w:p w:rsidR="0096171D" w:rsidRPr="002B27BC" w:rsidRDefault="0096171D" w:rsidP="0045150C">
            <w:pPr>
              <w:pStyle w:val="Paragraph"/>
              <w:keepNext/>
              <w:spacing w:after="120" w:line="240" w:lineRule="atLeast"/>
              <w:jc w:val="both"/>
              <w:rPr>
                <w:rFonts w:eastAsia="SimSun"/>
                <w:b/>
                <w:sz w:val="20"/>
                <w:szCs w:val="20"/>
                <w:lang w:eastAsia="zh-CN"/>
              </w:rPr>
            </w:pPr>
            <w:r w:rsidRPr="002B27BC">
              <w:rPr>
                <w:rFonts w:eastAsia="SimSun"/>
                <w:b/>
                <w:sz w:val="20"/>
                <w:szCs w:val="20"/>
                <w:lang w:eastAsia="zh-CN"/>
              </w:rPr>
              <w:t>Weight (kg)</w:t>
            </w:r>
          </w:p>
        </w:tc>
        <w:tc>
          <w:tcPr>
            <w:tcW w:w="2145" w:type="dxa"/>
            <w:tcBorders>
              <w:top w:val="nil"/>
              <w:left w:val="nil"/>
              <w:bottom w:val="single" w:sz="8" w:space="0" w:color="auto"/>
              <w:right w:val="single" w:sz="8" w:space="0" w:color="auto"/>
            </w:tcBorders>
            <w:shd w:val="clear" w:color="auto" w:fill="auto"/>
            <w:vAlign w:val="center"/>
            <w:hideMark/>
          </w:tcPr>
          <w:p w:rsidR="0096171D" w:rsidRPr="002B27BC" w:rsidRDefault="0096171D" w:rsidP="0045150C">
            <w:pPr>
              <w:pStyle w:val="Paragraph"/>
              <w:keepNext/>
              <w:spacing w:after="120" w:line="240" w:lineRule="atLeast"/>
              <w:jc w:val="both"/>
              <w:rPr>
                <w:rFonts w:eastAsia="SimSun"/>
                <w:b/>
                <w:sz w:val="20"/>
                <w:szCs w:val="20"/>
                <w:lang w:eastAsia="zh-CN"/>
              </w:rPr>
            </w:pPr>
            <w:r w:rsidRPr="002B27BC">
              <w:rPr>
                <w:rFonts w:eastAsia="SimSun"/>
                <w:b/>
                <w:sz w:val="20"/>
                <w:szCs w:val="20"/>
                <w:lang w:eastAsia="zh-CN"/>
              </w:rPr>
              <w:t>Baseline (Mean (SE)</w:t>
            </w:r>
            <w:r w:rsidR="007D5AF4">
              <w:rPr>
                <w:rFonts w:eastAsia="SimSun"/>
                <w:b/>
                <w:sz w:val="20"/>
                <w:szCs w:val="20"/>
                <w:lang w:eastAsia="zh-CN"/>
              </w:rPr>
              <w:t>)</w:t>
            </w:r>
          </w:p>
        </w:tc>
        <w:tc>
          <w:tcPr>
            <w:tcW w:w="2067" w:type="dxa"/>
            <w:tcBorders>
              <w:top w:val="nil"/>
              <w:left w:val="nil"/>
              <w:bottom w:val="single" w:sz="8" w:space="0" w:color="auto"/>
              <w:right w:val="single" w:sz="8" w:space="0" w:color="auto"/>
            </w:tcBorders>
            <w:shd w:val="clear" w:color="auto" w:fill="auto"/>
            <w:noWrap/>
            <w:vAlign w:val="center"/>
            <w:hideMark/>
          </w:tcPr>
          <w:p w:rsidR="0096171D" w:rsidRPr="0096171D" w:rsidRDefault="0096171D" w:rsidP="0045150C">
            <w:pPr>
              <w:pStyle w:val="Paragraph"/>
              <w:keepNext/>
              <w:spacing w:after="120" w:line="240" w:lineRule="atLeast"/>
              <w:jc w:val="center"/>
              <w:rPr>
                <w:rFonts w:eastAsia="SimSun"/>
                <w:sz w:val="20"/>
                <w:szCs w:val="20"/>
                <w:lang w:eastAsia="zh-CN"/>
              </w:rPr>
            </w:pPr>
            <w:r w:rsidRPr="0096171D">
              <w:rPr>
                <w:rFonts w:eastAsia="SimSun"/>
                <w:sz w:val="20"/>
                <w:szCs w:val="20"/>
                <w:lang w:eastAsia="zh-CN"/>
              </w:rPr>
              <w:t>27.9 (4.3)</w:t>
            </w:r>
          </w:p>
        </w:tc>
        <w:tc>
          <w:tcPr>
            <w:tcW w:w="2068" w:type="dxa"/>
            <w:tcBorders>
              <w:top w:val="nil"/>
              <w:left w:val="nil"/>
              <w:bottom w:val="single" w:sz="8" w:space="0" w:color="auto"/>
              <w:right w:val="single" w:sz="8" w:space="0" w:color="auto"/>
            </w:tcBorders>
            <w:shd w:val="clear" w:color="auto" w:fill="auto"/>
            <w:noWrap/>
            <w:vAlign w:val="center"/>
            <w:hideMark/>
          </w:tcPr>
          <w:p w:rsidR="0096171D" w:rsidRPr="0096171D" w:rsidRDefault="0096171D" w:rsidP="0045150C">
            <w:pPr>
              <w:pStyle w:val="Paragraph"/>
              <w:keepNext/>
              <w:spacing w:after="120" w:line="240" w:lineRule="atLeast"/>
              <w:jc w:val="center"/>
              <w:rPr>
                <w:rFonts w:eastAsia="SimSun"/>
                <w:sz w:val="20"/>
                <w:szCs w:val="20"/>
                <w:lang w:eastAsia="zh-CN"/>
              </w:rPr>
            </w:pPr>
            <w:r w:rsidRPr="0096171D">
              <w:rPr>
                <w:rFonts w:eastAsia="SimSun"/>
                <w:sz w:val="20"/>
                <w:szCs w:val="20"/>
                <w:lang w:eastAsia="zh-CN"/>
              </w:rPr>
              <w:t>17.7 (2.1)</w:t>
            </w:r>
          </w:p>
        </w:tc>
      </w:tr>
      <w:tr w:rsidR="0096171D" w:rsidRPr="007D0F8E" w:rsidTr="0045150C">
        <w:trPr>
          <w:trHeight w:val="415"/>
        </w:trPr>
        <w:tc>
          <w:tcPr>
            <w:tcW w:w="1824" w:type="dxa"/>
            <w:vMerge/>
            <w:tcBorders>
              <w:top w:val="nil"/>
              <w:left w:val="single" w:sz="8" w:space="0" w:color="auto"/>
              <w:bottom w:val="single" w:sz="8" w:space="0" w:color="000000"/>
              <w:right w:val="single" w:sz="8" w:space="0" w:color="auto"/>
            </w:tcBorders>
            <w:vAlign w:val="center"/>
            <w:hideMark/>
          </w:tcPr>
          <w:p w:rsidR="0096171D" w:rsidRPr="002B27BC" w:rsidRDefault="0096171D" w:rsidP="0045150C">
            <w:pPr>
              <w:pStyle w:val="Paragraph"/>
              <w:keepNext/>
              <w:spacing w:after="120" w:line="240" w:lineRule="atLeast"/>
              <w:jc w:val="both"/>
              <w:rPr>
                <w:rFonts w:eastAsia="SimSun"/>
                <w:b/>
                <w:sz w:val="20"/>
                <w:szCs w:val="20"/>
                <w:lang w:eastAsia="zh-CN"/>
              </w:rPr>
            </w:pPr>
          </w:p>
        </w:tc>
        <w:tc>
          <w:tcPr>
            <w:tcW w:w="2145" w:type="dxa"/>
            <w:tcBorders>
              <w:top w:val="nil"/>
              <w:left w:val="nil"/>
              <w:bottom w:val="single" w:sz="8" w:space="0" w:color="auto"/>
              <w:right w:val="single" w:sz="8" w:space="0" w:color="auto"/>
            </w:tcBorders>
            <w:shd w:val="clear" w:color="auto" w:fill="auto"/>
            <w:vAlign w:val="center"/>
            <w:hideMark/>
          </w:tcPr>
          <w:p w:rsidR="0096171D" w:rsidRPr="002B27BC" w:rsidRDefault="0096171D" w:rsidP="0045150C">
            <w:pPr>
              <w:pStyle w:val="Paragraph"/>
              <w:keepNext/>
              <w:spacing w:after="120" w:line="240" w:lineRule="atLeast"/>
              <w:jc w:val="both"/>
              <w:rPr>
                <w:rFonts w:eastAsia="SimSun"/>
                <w:b/>
                <w:sz w:val="20"/>
                <w:szCs w:val="20"/>
                <w:lang w:eastAsia="zh-CN"/>
              </w:rPr>
            </w:pPr>
            <w:r w:rsidRPr="002B27BC">
              <w:rPr>
                <w:rFonts w:eastAsia="SimSun"/>
                <w:b/>
                <w:sz w:val="20"/>
                <w:szCs w:val="20"/>
                <w:lang w:eastAsia="zh-CN"/>
              </w:rPr>
              <w:t>Month 12 (Mean (SE)</w:t>
            </w:r>
            <w:r w:rsidR="007D5AF4">
              <w:rPr>
                <w:rFonts w:eastAsia="SimSun"/>
                <w:b/>
                <w:sz w:val="20"/>
                <w:szCs w:val="20"/>
                <w:lang w:eastAsia="zh-CN"/>
              </w:rPr>
              <w:t>)</w:t>
            </w:r>
          </w:p>
        </w:tc>
        <w:tc>
          <w:tcPr>
            <w:tcW w:w="2067" w:type="dxa"/>
            <w:tcBorders>
              <w:top w:val="nil"/>
              <w:left w:val="nil"/>
              <w:bottom w:val="single" w:sz="8" w:space="0" w:color="auto"/>
              <w:right w:val="single" w:sz="8" w:space="0" w:color="auto"/>
            </w:tcBorders>
            <w:shd w:val="clear" w:color="auto" w:fill="auto"/>
            <w:noWrap/>
            <w:vAlign w:val="center"/>
            <w:hideMark/>
          </w:tcPr>
          <w:p w:rsidR="0096171D" w:rsidRPr="0096171D" w:rsidRDefault="0096171D" w:rsidP="0045150C">
            <w:pPr>
              <w:pStyle w:val="Paragraph"/>
              <w:keepNext/>
              <w:spacing w:after="120" w:line="240" w:lineRule="atLeast"/>
              <w:jc w:val="center"/>
              <w:rPr>
                <w:rFonts w:eastAsia="SimSun"/>
                <w:sz w:val="20"/>
                <w:szCs w:val="20"/>
                <w:lang w:eastAsia="zh-CN"/>
              </w:rPr>
            </w:pPr>
            <w:r w:rsidRPr="0096171D">
              <w:rPr>
                <w:rFonts w:eastAsia="SimSun"/>
                <w:sz w:val="20"/>
                <w:szCs w:val="20"/>
                <w:lang w:eastAsia="zh-CN"/>
              </w:rPr>
              <w:t>30.3 (4.3)</w:t>
            </w:r>
          </w:p>
        </w:tc>
        <w:tc>
          <w:tcPr>
            <w:tcW w:w="2068" w:type="dxa"/>
            <w:tcBorders>
              <w:top w:val="nil"/>
              <w:left w:val="nil"/>
              <w:bottom w:val="single" w:sz="8" w:space="0" w:color="auto"/>
              <w:right w:val="single" w:sz="8" w:space="0" w:color="auto"/>
            </w:tcBorders>
            <w:shd w:val="clear" w:color="auto" w:fill="auto"/>
            <w:noWrap/>
            <w:vAlign w:val="center"/>
            <w:hideMark/>
          </w:tcPr>
          <w:p w:rsidR="0096171D" w:rsidRPr="0096171D" w:rsidRDefault="0096171D" w:rsidP="0045150C">
            <w:pPr>
              <w:pStyle w:val="Paragraph"/>
              <w:keepNext/>
              <w:spacing w:after="120" w:line="240" w:lineRule="atLeast"/>
              <w:jc w:val="center"/>
              <w:rPr>
                <w:rFonts w:eastAsia="SimSun"/>
                <w:sz w:val="20"/>
                <w:szCs w:val="20"/>
                <w:lang w:eastAsia="zh-CN"/>
              </w:rPr>
            </w:pPr>
            <w:r w:rsidRPr="0096171D">
              <w:rPr>
                <w:rFonts w:eastAsia="SimSun"/>
                <w:sz w:val="20"/>
                <w:szCs w:val="20"/>
                <w:lang w:eastAsia="zh-CN"/>
              </w:rPr>
              <w:t>20.4 (2.7)</w:t>
            </w:r>
          </w:p>
        </w:tc>
      </w:tr>
      <w:tr w:rsidR="0096171D" w:rsidRPr="007D0F8E" w:rsidTr="0045150C">
        <w:trPr>
          <w:trHeight w:val="393"/>
        </w:trPr>
        <w:tc>
          <w:tcPr>
            <w:tcW w:w="1824" w:type="dxa"/>
            <w:vMerge/>
            <w:tcBorders>
              <w:top w:val="nil"/>
              <w:left w:val="single" w:sz="8" w:space="0" w:color="auto"/>
              <w:bottom w:val="single" w:sz="8" w:space="0" w:color="000000"/>
              <w:right w:val="single" w:sz="8" w:space="0" w:color="auto"/>
            </w:tcBorders>
            <w:vAlign w:val="center"/>
            <w:hideMark/>
          </w:tcPr>
          <w:p w:rsidR="0096171D" w:rsidRPr="002B27BC" w:rsidRDefault="0096171D" w:rsidP="0045150C">
            <w:pPr>
              <w:pStyle w:val="Paragraph"/>
              <w:keepNext/>
              <w:spacing w:after="120" w:line="240" w:lineRule="atLeast"/>
              <w:jc w:val="both"/>
              <w:rPr>
                <w:rFonts w:eastAsia="SimSun"/>
                <w:b/>
                <w:sz w:val="20"/>
                <w:szCs w:val="20"/>
                <w:lang w:eastAsia="zh-CN"/>
              </w:rPr>
            </w:pPr>
          </w:p>
        </w:tc>
        <w:tc>
          <w:tcPr>
            <w:tcW w:w="2145" w:type="dxa"/>
            <w:tcBorders>
              <w:top w:val="nil"/>
              <w:left w:val="nil"/>
              <w:bottom w:val="single" w:sz="8" w:space="0" w:color="auto"/>
              <w:right w:val="single" w:sz="8" w:space="0" w:color="auto"/>
            </w:tcBorders>
            <w:shd w:val="clear" w:color="auto" w:fill="auto"/>
            <w:vAlign w:val="center"/>
            <w:hideMark/>
          </w:tcPr>
          <w:p w:rsidR="0096171D" w:rsidRPr="002B27BC" w:rsidRDefault="0096171D" w:rsidP="0045150C">
            <w:pPr>
              <w:pStyle w:val="Paragraph"/>
              <w:keepNext/>
              <w:spacing w:after="120" w:line="240" w:lineRule="atLeast"/>
              <w:jc w:val="both"/>
              <w:rPr>
                <w:rFonts w:eastAsia="SimSun"/>
                <w:b/>
                <w:sz w:val="20"/>
                <w:szCs w:val="20"/>
                <w:lang w:eastAsia="zh-CN"/>
              </w:rPr>
            </w:pPr>
            <w:r w:rsidRPr="002B27BC">
              <w:rPr>
                <w:rFonts w:eastAsia="SimSun"/>
                <w:b/>
                <w:sz w:val="20"/>
                <w:szCs w:val="20"/>
                <w:lang w:eastAsia="zh-CN"/>
              </w:rPr>
              <w:t>% Change (SE)</w:t>
            </w:r>
          </w:p>
        </w:tc>
        <w:tc>
          <w:tcPr>
            <w:tcW w:w="2067" w:type="dxa"/>
            <w:tcBorders>
              <w:top w:val="nil"/>
              <w:left w:val="nil"/>
              <w:bottom w:val="single" w:sz="8" w:space="0" w:color="auto"/>
              <w:right w:val="single" w:sz="8" w:space="0" w:color="auto"/>
            </w:tcBorders>
            <w:shd w:val="clear" w:color="auto" w:fill="auto"/>
            <w:noWrap/>
            <w:vAlign w:val="center"/>
            <w:hideMark/>
          </w:tcPr>
          <w:p w:rsidR="0096171D" w:rsidRPr="0096171D" w:rsidRDefault="0096171D" w:rsidP="0045150C">
            <w:pPr>
              <w:pStyle w:val="Paragraph"/>
              <w:keepNext/>
              <w:spacing w:after="120" w:line="240" w:lineRule="atLeast"/>
              <w:jc w:val="center"/>
              <w:rPr>
                <w:rFonts w:eastAsia="SimSun"/>
                <w:sz w:val="20"/>
                <w:szCs w:val="20"/>
                <w:lang w:eastAsia="zh-CN"/>
              </w:rPr>
            </w:pPr>
            <w:r w:rsidRPr="0096171D">
              <w:rPr>
                <w:rFonts w:eastAsia="SimSun"/>
                <w:sz w:val="20"/>
                <w:szCs w:val="20"/>
                <w:lang w:eastAsia="zh-CN"/>
              </w:rPr>
              <w:t>9.6 (2.9)</w:t>
            </w:r>
          </w:p>
        </w:tc>
        <w:tc>
          <w:tcPr>
            <w:tcW w:w="2068" w:type="dxa"/>
            <w:tcBorders>
              <w:top w:val="nil"/>
              <w:left w:val="nil"/>
              <w:bottom w:val="single" w:sz="8" w:space="0" w:color="auto"/>
              <w:right w:val="single" w:sz="8" w:space="0" w:color="auto"/>
            </w:tcBorders>
            <w:shd w:val="clear" w:color="auto" w:fill="auto"/>
            <w:noWrap/>
            <w:vAlign w:val="center"/>
            <w:hideMark/>
          </w:tcPr>
          <w:p w:rsidR="0096171D" w:rsidRPr="0096171D" w:rsidRDefault="0096171D" w:rsidP="0045150C">
            <w:pPr>
              <w:pStyle w:val="Paragraph"/>
              <w:keepNext/>
              <w:spacing w:after="120" w:line="240" w:lineRule="atLeast"/>
              <w:jc w:val="center"/>
              <w:rPr>
                <w:rFonts w:eastAsia="SimSun"/>
                <w:sz w:val="20"/>
                <w:szCs w:val="20"/>
                <w:lang w:eastAsia="zh-CN"/>
              </w:rPr>
            </w:pPr>
            <w:r w:rsidRPr="0096171D">
              <w:rPr>
                <w:rFonts w:eastAsia="SimSun"/>
                <w:sz w:val="20"/>
                <w:szCs w:val="20"/>
                <w:lang w:eastAsia="zh-CN"/>
              </w:rPr>
              <w:t>14.7 (2.5)</w:t>
            </w:r>
          </w:p>
        </w:tc>
      </w:tr>
    </w:tbl>
    <w:p w:rsidR="0096171D" w:rsidRPr="00EA5C2C" w:rsidRDefault="0096171D" w:rsidP="00E02163">
      <w:pPr>
        <w:widowControl w:val="0"/>
        <w:spacing w:after="0"/>
        <w:rPr>
          <w:rFonts w:eastAsia="SimSun"/>
          <w:lang w:eastAsia="zh-CN"/>
        </w:rPr>
      </w:pPr>
    </w:p>
    <w:p w:rsidR="0083224B" w:rsidRPr="00A27BA3" w:rsidRDefault="0083224B" w:rsidP="00A27BA3">
      <w:pPr>
        <w:pStyle w:val="PIHeading3"/>
      </w:pPr>
      <w:r w:rsidRPr="00A27BA3">
        <w:t xml:space="preserve">Study in patients switching from </w:t>
      </w:r>
      <w:proofErr w:type="spellStart"/>
      <w:r w:rsidRPr="00A27BA3">
        <w:t>Imiglucerase</w:t>
      </w:r>
      <w:proofErr w:type="spellEnd"/>
      <w:r w:rsidRPr="00A27BA3">
        <w:t xml:space="preserve"> to ELELYSO</w:t>
      </w:r>
      <w:r w:rsidR="005037E0" w:rsidRPr="00A27BA3">
        <w:t xml:space="preserve"> </w:t>
      </w:r>
      <w:r w:rsidR="004E7F8E" w:rsidRPr="00A27BA3">
        <w:t>(PB-06-002)</w:t>
      </w:r>
    </w:p>
    <w:p w:rsidR="0083224B" w:rsidRDefault="004A3474" w:rsidP="00E02163">
      <w:r w:rsidRPr="00CB3919">
        <w:t xml:space="preserve">A multi-centre, open-label, </w:t>
      </w:r>
      <w:r w:rsidR="00DA7BAE">
        <w:t>single arm</w:t>
      </w:r>
      <w:r w:rsidR="004E7F8E">
        <w:t xml:space="preserve"> 9 month</w:t>
      </w:r>
      <w:r w:rsidR="00DA7BAE">
        <w:t xml:space="preserve"> </w:t>
      </w:r>
      <w:r w:rsidRPr="00CB3919">
        <w:t xml:space="preserve">study in clinically stable adult </w:t>
      </w:r>
      <w:r w:rsidR="0096171D">
        <w:t>and paediatric</w:t>
      </w:r>
      <w:r w:rsidR="004E7F8E">
        <w:t xml:space="preserve"> </w:t>
      </w:r>
      <w:proofErr w:type="spellStart"/>
      <w:r w:rsidRPr="00CB3919">
        <w:t>Gaucher</w:t>
      </w:r>
      <w:proofErr w:type="spellEnd"/>
      <w:r w:rsidRPr="00CB3919">
        <w:t xml:space="preserve"> disease patients</w:t>
      </w:r>
      <w:r w:rsidR="004E7F8E">
        <w:t xml:space="preserve"> (2 years </w:t>
      </w:r>
      <w:r w:rsidR="00B679B9">
        <w:t xml:space="preserve">of age </w:t>
      </w:r>
      <w:r w:rsidR="004E7F8E">
        <w:t xml:space="preserve">or </w:t>
      </w:r>
      <w:r w:rsidR="009B0114">
        <w:t>above</w:t>
      </w:r>
      <w:r w:rsidR="004E7F8E">
        <w:t>)</w:t>
      </w:r>
      <w:r w:rsidRPr="00CB3919">
        <w:t xml:space="preserve"> treated with </w:t>
      </w:r>
      <w:proofErr w:type="spellStart"/>
      <w:r w:rsidRPr="00CB3919">
        <w:t>imiglucerase</w:t>
      </w:r>
      <w:proofErr w:type="spellEnd"/>
      <w:r w:rsidRPr="00CB3919">
        <w:t xml:space="preserve"> and switched to ELELYSO at the same dose as the previous </w:t>
      </w:r>
      <w:proofErr w:type="spellStart"/>
      <w:r w:rsidRPr="00CB3919">
        <w:t>imiglucerase</w:t>
      </w:r>
      <w:proofErr w:type="spellEnd"/>
      <w:r w:rsidRPr="00CB3919">
        <w:t xml:space="preserve"> dose was performed</w:t>
      </w:r>
      <w:r w:rsidR="006853AF">
        <w:t xml:space="preserve"> (PB-0</w:t>
      </w:r>
      <w:r w:rsidR="00814CA3">
        <w:t>6</w:t>
      </w:r>
      <w:r w:rsidR="006853AF">
        <w:t>-002)</w:t>
      </w:r>
      <w:r w:rsidRPr="00CB3919">
        <w:t>.</w:t>
      </w:r>
    </w:p>
    <w:p w:rsidR="00912381" w:rsidRDefault="004E7F8E" w:rsidP="00E02163">
      <w:r w:rsidRPr="00492086">
        <w:lastRenderedPageBreak/>
        <w:t xml:space="preserve">Patients were required to be clinically stable and to have a stable biweekly dose of </w:t>
      </w:r>
      <w:proofErr w:type="spellStart"/>
      <w:r w:rsidRPr="00492086">
        <w:t>imiglucerase</w:t>
      </w:r>
      <w:proofErr w:type="spellEnd"/>
      <w:r w:rsidRPr="00492086">
        <w:t xml:space="preserve"> for at least 6 months prior to </w:t>
      </w:r>
      <w:proofErr w:type="spellStart"/>
      <w:r w:rsidRPr="00492086">
        <w:t>enrollment</w:t>
      </w:r>
      <w:proofErr w:type="spellEnd"/>
      <w:r w:rsidRPr="00492086">
        <w:t>. Patient age ranged from 13</w:t>
      </w:r>
      <w:r>
        <w:t xml:space="preserve"> to </w:t>
      </w:r>
      <w:r w:rsidRPr="00492086">
        <w:t xml:space="preserve">66 years </w:t>
      </w:r>
      <w:r w:rsidR="007900F3">
        <w:t xml:space="preserve">of age </w:t>
      </w:r>
      <w:r w:rsidRPr="00492086">
        <w:t xml:space="preserve">(mean 45 years </w:t>
      </w:r>
      <w:r w:rsidR="007900F3">
        <w:t>of age</w:t>
      </w:r>
      <w:r w:rsidRPr="00492086">
        <w:t>)</w:t>
      </w:r>
      <w:r>
        <w:t xml:space="preserve">, </w:t>
      </w:r>
      <w:r w:rsidRPr="007246FB">
        <w:t>46%</w:t>
      </w:r>
      <w:r w:rsidRPr="00492086">
        <w:t xml:space="preserve"> were male. </w:t>
      </w:r>
      <w:proofErr w:type="spellStart"/>
      <w:r w:rsidRPr="00492086">
        <w:t>Imiglucerase</w:t>
      </w:r>
      <w:proofErr w:type="spellEnd"/>
      <w:r w:rsidRPr="00492086">
        <w:t xml:space="preserve"> therapy was stopped, and treatment with ELELYSO was administered every </w:t>
      </w:r>
      <w:r>
        <w:t>2</w:t>
      </w:r>
      <w:r w:rsidRPr="00492086">
        <w:t xml:space="preserve"> week</w:t>
      </w:r>
      <w:r>
        <w:t>s</w:t>
      </w:r>
      <w:r w:rsidRPr="00492086">
        <w:t>. Adjustment of dose was allowed by study criteria if needed in order to maintain clinical parameters (i.e.</w:t>
      </w:r>
      <w:r w:rsidR="00912381">
        <w:t xml:space="preserve"> </w:t>
      </w:r>
      <w:r w:rsidRPr="00492086">
        <w:t>h</w:t>
      </w:r>
      <w:r w:rsidR="00912381">
        <w:t>a</w:t>
      </w:r>
      <w:r w:rsidRPr="00492086">
        <w:t xml:space="preserve">emoglobin, platelet count, spleen volume, and liver volume). One patient required a dose increase (from 9.5 </w:t>
      </w:r>
      <w:r w:rsidR="00912381" w:rsidRPr="00492086">
        <w:t>units</w:t>
      </w:r>
      <w:r w:rsidRPr="00492086">
        <w:t xml:space="preserve">/kg to 19 </w:t>
      </w:r>
      <w:r w:rsidR="00912381" w:rsidRPr="00492086">
        <w:t>units</w:t>
      </w:r>
      <w:r w:rsidRPr="00492086">
        <w:t>/kg at week 24) for a platelet count of 92000/mm</w:t>
      </w:r>
      <w:r w:rsidRPr="00912381">
        <w:rPr>
          <w:vertAlign w:val="superscript"/>
        </w:rPr>
        <w:t>3</w:t>
      </w:r>
      <w:r w:rsidRPr="00492086">
        <w:t xml:space="preserve"> at week 22, and responded with a platelet count of 170000mm</w:t>
      </w:r>
      <w:r w:rsidRPr="00912381">
        <w:rPr>
          <w:vertAlign w:val="superscript"/>
        </w:rPr>
        <w:t>3</w:t>
      </w:r>
      <w:r w:rsidRPr="00492086">
        <w:t xml:space="preserve"> at month 9. </w:t>
      </w:r>
    </w:p>
    <w:p w:rsidR="004E7F8E" w:rsidRPr="00CB3919" w:rsidRDefault="004E7F8E" w:rsidP="00E02163">
      <w:r w:rsidRPr="00492086">
        <w:t xml:space="preserve">Primary efficacy </w:t>
      </w:r>
      <w:r w:rsidR="00912381">
        <w:t>endpoints</w:t>
      </w:r>
      <w:r w:rsidRPr="00492086">
        <w:t xml:space="preserve"> </w:t>
      </w:r>
      <w:r w:rsidR="00912381">
        <w:t>included</w:t>
      </w:r>
      <w:r w:rsidRPr="00492086">
        <w:t xml:space="preserve"> platelet count, h</w:t>
      </w:r>
      <w:r w:rsidR="00912381">
        <w:t>a</w:t>
      </w:r>
      <w:r w:rsidRPr="00492086">
        <w:t>emoglobin, spleen v</w:t>
      </w:r>
      <w:r>
        <w:t>olume, liver volume and biomark</w:t>
      </w:r>
      <w:r w:rsidRPr="00492086">
        <w:t>ers (</w:t>
      </w:r>
      <w:proofErr w:type="spellStart"/>
      <w:r w:rsidRPr="00492086">
        <w:t>chitotriosidase</w:t>
      </w:r>
      <w:proofErr w:type="spellEnd"/>
      <w:r w:rsidRPr="00492086">
        <w:t xml:space="preserve"> and PARC/CCL18). Secondary endpoints for </w:t>
      </w:r>
      <w:r>
        <w:t xml:space="preserve">paediatric </w:t>
      </w:r>
      <w:r w:rsidRPr="00492086">
        <w:t>patients included: height and weight for growth evaluation; Tanner Stage for sexual development; and bone age by X-ray of left hand and wrist.</w:t>
      </w:r>
    </w:p>
    <w:p w:rsidR="007F655C" w:rsidRDefault="00EC3B54" w:rsidP="00E02163">
      <w:r w:rsidRPr="000D64E7">
        <w:t xml:space="preserve">Twenty-six </w:t>
      </w:r>
      <w:r>
        <w:t xml:space="preserve">clinically stable </w:t>
      </w:r>
      <w:r w:rsidRPr="000D64E7">
        <w:t xml:space="preserve">adult patients </w:t>
      </w:r>
      <w:r w:rsidR="00FC4CA2">
        <w:t xml:space="preserve">were enrolled and 25 completed 9 months of treatment. </w:t>
      </w:r>
      <w:r w:rsidRPr="000D64E7">
        <w:t>Doses ranged from 11 to 60</w:t>
      </w:r>
      <w:r>
        <w:t> u</w:t>
      </w:r>
      <w:r w:rsidRPr="000D64E7">
        <w:t xml:space="preserve">nits/kg with a mean </w:t>
      </w:r>
      <w:proofErr w:type="gramStart"/>
      <w:r w:rsidRPr="000D64E7">
        <w:t>of 29.2</w:t>
      </w:r>
      <w:r>
        <w:t> u</w:t>
      </w:r>
      <w:r w:rsidRPr="000D64E7">
        <w:t>nits/kg</w:t>
      </w:r>
      <w:proofErr w:type="gramEnd"/>
      <w:r w:rsidRPr="000D64E7">
        <w:t>. The age range was 18 to 66</w:t>
      </w:r>
      <w:r>
        <w:t> </w:t>
      </w:r>
      <w:r w:rsidRPr="000D64E7">
        <w:t>years and 1</w:t>
      </w:r>
      <w:r w:rsidR="00A5642C">
        <w:t>4</w:t>
      </w:r>
      <w:r w:rsidRPr="000D64E7">
        <w:t xml:space="preserve"> patients were male</w:t>
      </w:r>
      <w:r>
        <w:t xml:space="preserve"> and 1</w:t>
      </w:r>
      <w:r w:rsidR="00A5642C">
        <w:t>2</w:t>
      </w:r>
      <w:r>
        <w:t xml:space="preserve"> were female</w:t>
      </w:r>
      <w:r w:rsidRPr="000D64E7">
        <w:t>.</w:t>
      </w:r>
      <w:r>
        <w:t xml:space="preserve"> </w:t>
      </w:r>
    </w:p>
    <w:p w:rsidR="00E52CA3" w:rsidRDefault="00EC3B54" w:rsidP="00E02163">
      <w:r w:rsidRPr="000D64E7">
        <w:t>Organ volumes remained stable.</w:t>
      </w:r>
      <w:r w:rsidR="00912381">
        <w:t xml:space="preserve"> </w:t>
      </w:r>
      <w:r w:rsidRPr="000D64E7">
        <w:t>Median spleen volume was 814.2</w:t>
      </w:r>
      <w:r>
        <w:t> </w:t>
      </w:r>
      <w:r w:rsidR="00EB6897" w:rsidRPr="000D64E7">
        <w:t>m</w:t>
      </w:r>
      <w:r w:rsidR="00EB6897">
        <w:t>L</w:t>
      </w:r>
      <w:r w:rsidR="00EB6897" w:rsidRPr="000D64E7">
        <w:t xml:space="preserve"> </w:t>
      </w:r>
      <w:r w:rsidRPr="000D64E7">
        <w:t>at baseline and 697.3</w:t>
      </w:r>
      <w:r>
        <w:t> </w:t>
      </w:r>
      <w:r w:rsidR="00EB6897" w:rsidRPr="000D64E7">
        <w:t>m</w:t>
      </w:r>
      <w:r w:rsidR="00EB6897">
        <w:t>L</w:t>
      </w:r>
      <w:r w:rsidR="00EB6897" w:rsidRPr="000D64E7">
        <w:t xml:space="preserve"> </w:t>
      </w:r>
      <w:r w:rsidRPr="000D64E7">
        <w:t>after 9</w:t>
      </w:r>
      <w:r>
        <w:t> </w:t>
      </w:r>
      <w:r w:rsidRPr="000D64E7">
        <w:t>months</w:t>
      </w:r>
      <w:r w:rsidR="001966D7">
        <w:t>,</w:t>
      </w:r>
      <w:r w:rsidRPr="000D64E7">
        <w:t xml:space="preserve"> and the respective median liver volumes were 1816.5</w:t>
      </w:r>
      <w:r w:rsidR="001966D7">
        <w:t xml:space="preserve"> </w:t>
      </w:r>
      <w:r w:rsidR="00CF328C">
        <w:t xml:space="preserve">mL </w:t>
      </w:r>
      <w:r w:rsidR="001966D7">
        <w:t>at baseline</w:t>
      </w:r>
      <w:r w:rsidRPr="000D64E7">
        <w:t xml:space="preserve"> and 1800.6</w:t>
      </w:r>
      <w:r>
        <w:t> </w:t>
      </w:r>
      <w:r w:rsidR="00EB6897" w:rsidRPr="000D64E7">
        <w:t>m</w:t>
      </w:r>
      <w:r w:rsidR="00EB6897">
        <w:t xml:space="preserve">L </w:t>
      </w:r>
      <w:r w:rsidR="001966D7">
        <w:t>at 9 months</w:t>
      </w:r>
      <w:r w:rsidRPr="000D64E7">
        <w:t>. H</w:t>
      </w:r>
      <w:r>
        <w:t>a</w:t>
      </w:r>
      <w:r w:rsidRPr="000D64E7">
        <w:t>ematological parameters were also stable. Median h</w:t>
      </w:r>
      <w:r>
        <w:t>a</w:t>
      </w:r>
      <w:r w:rsidRPr="000D64E7">
        <w:t>emoglobin was 13.</w:t>
      </w:r>
      <w:r w:rsidR="00C22419">
        <w:t>6</w:t>
      </w:r>
      <w:r>
        <w:t> </w:t>
      </w:r>
      <w:r w:rsidRPr="000D64E7">
        <w:t>g/</w:t>
      </w:r>
      <w:proofErr w:type="spellStart"/>
      <w:r w:rsidRPr="000D64E7">
        <w:t>d</w:t>
      </w:r>
      <w:r w:rsidR="00CF328C">
        <w:t>L</w:t>
      </w:r>
      <w:proofErr w:type="spellEnd"/>
      <w:r w:rsidRPr="000D64E7">
        <w:t xml:space="preserve"> at both baseline and after 9</w:t>
      </w:r>
      <w:r>
        <w:t> </w:t>
      </w:r>
      <w:r w:rsidRPr="000D64E7">
        <w:t xml:space="preserve">months, and median platelet counts were </w:t>
      </w:r>
      <w:r w:rsidR="005305AF">
        <w:t>163167/</w:t>
      </w:r>
      <w:r w:rsidR="005305AF" w:rsidRPr="000D64E7">
        <w:t>mm</w:t>
      </w:r>
      <w:r w:rsidR="005305AF" w:rsidRPr="007461E7">
        <w:rPr>
          <w:vertAlign w:val="superscript"/>
        </w:rPr>
        <w:t>3</w:t>
      </w:r>
      <w:r w:rsidR="001966D7">
        <w:rPr>
          <w:vertAlign w:val="superscript"/>
        </w:rPr>
        <w:t xml:space="preserve"> </w:t>
      </w:r>
      <w:r w:rsidRPr="000D64E7">
        <w:t>a</w:t>
      </w:r>
      <w:r w:rsidR="001966D7">
        <w:t>t baseline a</w:t>
      </w:r>
      <w:r w:rsidRPr="000D64E7">
        <w:t xml:space="preserve">nd </w:t>
      </w:r>
      <w:r w:rsidR="005305AF">
        <w:t>159000</w:t>
      </w:r>
      <w:r w:rsidRPr="000D64E7">
        <w:t>/mm</w:t>
      </w:r>
      <w:r w:rsidRPr="007461E7">
        <w:rPr>
          <w:vertAlign w:val="superscript"/>
        </w:rPr>
        <w:t>3</w:t>
      </w:r>
      <w:r w:rsidRPr="000D64E7">
        <w:t xml:space="preserve"> after </w:t>
      </w:r>
      <w:r w:rsidRPr="00807E8B">
        <w:t>9</w:t>
      </w:r>
      <w:r>
        <w:t> </w:t>
      </w:r>
      <w:r w:rsidRPr="00807E8B">
        <w:t>months</w:t>
      </w:r>
      <w:r w:rsidRPr="000D64E7">
        <w:t>.</w:t>
      </w:r>
    </w:p>
    <w:p w:rsidR="0096171D" w:rsidRDefault="0096171D" w:rsidP="00E02163">
      <w:r w:rsidRPr="00B43526">
        <w:t>Five p</w:t>
      </w:r>
      <w:r>
        <w:t>a</w:t>
      </w:r>
      <w:r w:rsidRPr="00B43526">
        <w:t xml:space="preserve">ediatric patients were enrolled and completed the trial. Median doses ranged </w:t>
      </w:r>
      <w:proofErr w:type="gramStart"/>
      <w:r w:rsidRPr="00B43526">
        <w:t>from 26 units/kg</w:t>
      </w:r>
      <w:proofErr w:type="gramEnd"/>
      <w:r w:rsidRPr="00B43526">
        <w:t xml:space="preserve"> to 60 units/kg. The age range was 6 years to 16 years; 3 patients were male and 2 were female. Organ volumes remained stable. Median spleen values were 324 mL at baseline and 256 mL at 9 months. Median liver values were 1243 mL at baseline and 1305 mL at 9 months. Haematological parameters were also stable. Median h</w:t>
      </w:r>
      <w:r>
        <w:t>a</w:t>
      </w:r>
      <w:r w:rsidRPr="00B43526">
        <w:t xml:space="preserve">emoglobin was 13.4 </w:t>
      </w:r>
      <w:r w:rsidR="00212261">
        <w:t>g/</w:t>
      </w:r>
      <w:proofErr w:type="spellStart"/>
      <w:r w:rsidR="00212261">
        <w:t>dL</w:t>
      </w:r>
      <w:proofErr w:type="spellEnd"/>
      <w:r w:rsidR="00212261">
        <w:t xml:space="preserve"> </w:t>
      </w:r>
      <w:r w:rsidRPr="00B43526">
        <w:t>and 14.3 g/</w:t>
      </w:r>
      <w:proofErr w:type="spellStart"/>
      <w:r w:rsidRPr="00B43526">
        <w:t>dL</w:t>
      </w:r>
      <w:proofErr w:type="spellEnd"/>
      <w:r w:rsidRPr="00B43526">
        <w:t xml:space="preserve"> at baseline and 9 months, respectively. Median platelet count was 146500</w:t>
      </w:r>
      <w:r w:rsidR="00212261">
        <w:t>/mm</w:t>
      </w:r>
      <w:r w:rsidR="00212261" w:rsidRPr="00212261">
        <w:rPr>
          <w:vertAlign w:val="superscript"/>
        </w:rPr>
        <w:t>3</w:t>
      </w:r>
      <w:r w:rsidRPr="00B43526">
        <w:t xml:space="preserve"> and 200000/mm</w:t>
      </w:r>
      <w:r w:rsidRPr="00212261">
        <w:rPr>
          <w:vertAlign w:val="superscript"/>
        </w:rPr>
        <w:t>3</w:t>
      </w:r>
      <w:r w:rsidRPr="00B43526">
        <w:t xml:space="preserve"> at baseline and 9 months, respectively.</w:t>
      </w:r>
    </w:p>
    <w:p w:rsidR="003130E1" w:rsidRPr="005943F4" w:rsidRDefault="007310AC" w:rsidP="00E02163">
      <w:pPr>
        <w:pStyle w:val="PIHeading1"/>
      </w:pPr>
      <w:r w:rsidRPr="005943F4">
        <w:t>INDICATIONS</w:t>
      </w:r>
      <w:r w:rsidR="008C6495" w:rsidRPr="005943F4">
        <w:t xml:space="preserve"> </w:t>
      </w:r>
    </w:p>
    <w:p w:rsidR="00CB3919" w:rsidRPr="00CB3919" w:rsidRDefault="00E67F94" w:rsidP="00E02163">
      <w:pPr>
        <w:rPr>
          <w:noProof/>
          <w:color w:val="000000"/>
          <w:szCs w:val="24"/>
        </w:rPr>
      </w:pPr>
      <w:r>
        <w:rPr>
          <w:iCs/>
          <w:color w:val="000000"/>
          <w:lang w:val="en-GB"/>
        </w:rPr>
        <w:t xml:space="preserve">ELELYSO </w:t>
      </w:r>
      <w:r w:rsidR="00CB3919" w:rsidRPr="00CB3919">
        <w:rPr>
          <w:iCs/>
          <w:color w:val="000000"/>
          <w:lang w:val="en-GB"/>
        </w:rPr>
        <w:t xml:space="preserve">is indicated for long-term enzyme replacement therapy for </w:t>
      </w:r>
      <w:r w:rsidR="00A529FD">
        <w:rPr>
          <w:iCs/>
          <w:color w:val="000000"/>
          <w:lang w:val="en-GB"/>
        </w:rPr>
        <w:t xml:space="preserve">adult </w:t>
      </w:r>
      <w:r w:rsidR="00912381">
        <w:rPr>
          <w:iCs/>
          <w:color w:val="000000"/>
          <w:lang w:val="en-GB"/>
        </w:rPr>
        <w:t xml:space="preserve">and paediatric </w:t>
      </w:r>
      <w:r w:rsidR="00CB3919" w:rsidRPr="00CB3919">
        <w:rPr>
          <w:iCs/>
          <w:color w:val="000000"/>
          <w:lang w:val="en-GB"/>
        </w:rPr>
        <w:t xml:space="preserve">patients with a confirmed diagnosis of </w:t>
      </w:r>
      <w:r w:rsidR="00A529FD">
        <w:rPr>
          <w:iCs/>
          <w:color w:val="000000"/>
          <w:lang w:val="en-GB"/>
        </w:rPr>
        <w:t xml:space="preserve">Type 1 </w:t>
      </w:r>
      <w:proofErr w:type="spellStart"/>
      <w:r w:rsidR="00CB3919" w:rsidRPr="00CB3919">
        <w:rPr>
          <w:iCs/>
          <w:color w:val="000000"/>
          <w:lang w:val="en-GB"/>
        </w:rPr>
        <w:t>Gaucher</w:t>
      </w:r>
      <w:proofErr w:type="spellEnd"/>
      <w:r w:rsidR="00CB3919" w:rsidRPr="00CB3919">
        <w:rPr>
          <w:iCs/>
          <w:color w:val="000000"/>
          <w:lang w:val="en-GB"/>
        </w:rPr>
        <w:t xml:space="preserve"> disease</w:t>
      </w:r>
      <w:r w:rsidR="000A75CC">
        <w:rPr>
          <w:iCs/>
          <w:color w:val="000000"/>
          <w:lang w:val="en-GB"/>
        </w:rPr>
        <w:t xml:space="preserve"> associated with at least </w:t>
      </w:r>
      <w:r w:rsidR="00BA266F" w:rsidRPr="00592792">
        <w:rPr>
          <w:iCs/>
          <w:color w:val="000000"/>
          <w:lang w:val="en-GB"/>
        </w:rPr>
        <w:t xml:space="preserve">one of the following: splenomegaly, hepatomegaly, anaemia, </w:t>
      </w:r>
      <w:proofErr w:type="gramStart"/>
      <w:r w:rsidR="00BA266F" w:rsidRPr="00592792">
        <w:rPr>
          <w:iCs/>
          <w:color w:val="000000"/>
          <w:lang w:val="en-GB"/>
        </w:rPr>
        <w:t>thrombocytopenia</w:t>
      </w:r>
      <w:proofErr w:type="gramEnd"/>
      <w:r w:rsidR="00CB3919" w:rsidRPr="00592792">
        <w:rPr>
          <w:iCs/>
          <w:color w:val="000000"/>
          <w:lang w:val="en-GB"/>
        </w:rPr>
        <w:t>.</w:t>
      </w:r>
    </w:p>
    <w:p w:rsidR="007310AC" w:rsidRPr="005943F4" w:rsidRDefault="007310AC" w:rsidP="00E02163">
      <w:pPr>
        <w:pStyle w:val="PIHeading1"/>
      </w:pPr>
      <w:r w:rsidRPr="005943F4">
        <w:t>CONTRAINDICATIONS</w:t>
      </w:r>
      <w:r w:rsidR="008C6495" w:rsidRPr="005943F4">
        <w:t xml:space="preserve"> </w:t>
      </w:r>
    </w:p>
    <w:p w:rsidR="008C6495" w:rsidRPr="00965C4E" w:rsidRDefault="0083224B" w:rsidP="00E02163">
      <w:pPr>
        <w:rPr>
          <w:b/>
          <w:szCs w:val="24"/>
        </w:rPr>
      </w:pPr>
      <w:r>
        <w:rPr>
          <w:noProof/>
        </w:rPr>
        <w:t xml:space="preserve">Severe allergic reactions </w:t>
      </w:r>
      <w:r w:rsidR="004D3880" w:rsidRPr="005943F4">
        <w:rPr>
          <w:noProof/>
        </w:rPr>
        <w:t xml:space="preserve">to </w:t>
      </w:r>
      <w:r w:rsidR="00F04CFE">
        <w:rPr>
          <w:noProof/>
        </w:rPr>
        <w:t>taliglucerase alfa</w:t>
      </w:r>
      <w:r>
        <w:rPr>
          <w:noProof/>
        </w:rPr>
        <w:t xml:space="preserve"> </w:t>
      </w:r>
      <w:r w:rsidR="0023662A">
        <w:rPr>
          <w:noProof/>
        </w:rPr>
        <w:t>rpc</w:t>
      </w:r>
      <w:r w:rsidR="00E67F94">
        <w:rPr>
          <w:noProof/>
        </w:rPr>
        <w:t>,</w:t>
      </w:r>
      <w:r w:rsidR="00F04CFE">
        <w:rPr>
          <w:noProof/>
        </w:rPr>
        <w:t xml:space="preserve"> any excipient components of the product, or other similar glucocerebrosidase enzymes</w:t>
      </w:r>
      <w:r w:rsidR="004D3880" w:rsidRPr="005943F4">
        <w:rPr>
          <w:noProof/>
        </w:rPr>
        <w:t xml:space="preserve"> (See PRECAUTIONS).</w:t>
      </w:r>
    </w:p>
    <w:p w:rsidR="00981844" w:rsidRPr="00A27BA3" w:rsidRDefault="00981844" w:rsidP="00A27BA3">
      <w:pPr>
        <w:pStyle w:val="PIHeading1"/>
      </w:pPr>
      <w:r w:rsidRPr="00A27BA3">
        <w:t>PRECAUTIONS</w:t>
      </w:r>
      <w:r w:rsidR="008C6495" w:rsidRPr="00A27BA3">
        <w:t xml:space="preserve"> </w:t>
      </w:r>
    </w:p>
    <w:p w:rsidR="00393B4E" w:rsidRPr="002C0076" w:rsidRDefault="002C0076" w:rsidP="0045150C">
      <w:pPr>
        <w:rPr>
          <w:noProof/>
        </w:rPr>
      </w:pPr>
      <w:r w:rsidRPr="002C0076">
        <w:t>Pulmonary</w:t>
      </w:r>
      <w:r w:rsidR="007900F3">
        <w:t xml:space="preserve"> </w:t>
      </w:r>
      <w:r w:rsidRPr="002C0076">
        <w:t xml:space="preserve">hypertension is a known complication of </w:t>
      </w:r>
      <w:proofErr w:type="spellStart"/>
      <w:proofErr w:type="gramStart"/>
      <w:r w:rsidRPr="002C0076">
        <w:t>Gaucher</w:t>
      </w:r>
      <w:proofErr w:type="spellEnd"/>
      <w:proofErr w:type="gramEnd"/>
      <w:r w:rsidRPr="002C0076">
        <w:t xml:space="preserve"> disease</w:t>
      </w:r>
      <w:r w:rsidR="00034661">
        <w:t>. P</w:t>
      </w:r>
      <w:r w:rsidR="00393B4E" w:rsidRPr="002C0076">
        <w:t>atients with respiratory</w:t>
      </w:r>
      <w:r w:rsidR="00393B4E" w:rsidRPr="002C0076">
        <w:rPr>
          <w:rFonts w:cs="Arial"/>
        </w:rPr>
        <w:t xml:space="preserve"> symptoms should be evaluated for the presence of pulmonary hypertension. </w:t>
      </w:r>
    </w:p>
    <w:p w:rsidR="004B07AD" w:rsidRPr="00CB3919" w:rsidRDefault="004B07AD" w:rsidP="009262C1">
      <w:pPr>
        <w:pStyle w:val="PIHeading2"/>
        <w:rPr>
          <w:noProof/>
        </w:rPr>
      </w:pPr>
      <w:r w:rsidRPr="00CB3919">
        <w:rPr>
          <w:noProof/>
        </w:rPr>
        <w:lastRenderedPageBreak/>
        <w:t>Antibody response</w:t>
      </w:r>
    </w:p>
    <w:p w:rsidR="004B07AD" w:rsidRDefault="004B07AD" w:rsidP="00E02163">
      <w:pPr>
        <w:rPr>
          <w:lang w:val="en-GB"/>
        </w:rPr>
      </w:pPr>
      <w:r w:rsidRPr="00CB3919">
        <w:t xml:space="preserve">Patients have developed </w:t>
      </w:r>
      <w:r w:rsidR="0059715F">
        <w:t>immunoglobulin G (</w:t>
      </w:r>
      <w:proofErr w:type="spellStart"/>
      <w:r w:rsidRPr="00CB3919">
        <w:t>IgG</w:t>
      </w:r>
      <w:proofErr w:type="spellEnd"/>
      <w:r w:rsidR="0059715F">
        <w:t>)</w:t>
      </w:r>
      <w:r w:rsidRPr="00CB3919">
        <w:t xml:space="preserve"> antibodies to </w:t>
      </w:r>
      <w:proofErr w:type="spellStart"/>
      <w:r w:rsidRPr="00CB3919">
        <w:t>taliglucerase</w:t>
      </w:r>
      <w:proofErr w:type="spellEnd"/>
      <w:r w:rsidRPr="00CB3919">
        <w:t xml:space="preserve"> </w:t>
      </w:r>
      <w:proofErr w:type="spellStart"/>
      <w:r w:rsidRPr="00CB3919">
        <w:t>alfa</w:t>
      </w:r>
      <w:proofErr w:type="spellEnd"/>
      <w:r w:rsidRPr="00CB3919">
        <w:t xml:space="preserve"> </w:t>
      </w:r>
      <w:proofErr w:type="spellStart"/>
      <w:r w:rsidRPr="00CB3919">
        <w:t>rpc</w:t>
      </w:r>
      <w:proofErr w:type="spellEnd"/>
      <w:r w:rsidRPr="00CB3919">
        <w:t>. The relevance of anti-</w:t>
      </w:r>
      <w:proofErr w:type="spellStart"/>
      <w:r w:rsidRPr="00CB3919">
        <w:t>taliglucerase</w:t>
      </w:r>
      <w:proofErr w:type="spellEnd"/>
      <w:r w:rsidRPr="00CB3919">
        <w:t xml:space="preserve"> </w:t>
      </w:r>
      <w:proofErr w:type="spellStart"/>
      <w:r w:rsidRPr="00CB3919">
        <w:t>alfa</w:t>
      </w:r>
      <w:proofErr w:type="spellEnd"/>
      <w:r w:rsidRPr="00CB3919">
        <w:t xml:space="preserve"> antibodies to adverse events is currently unclear</w:t>
      </w:r>
      <w:r w:rsidR="0059715F">
        <w:t>,</w:t>
      </w:r>
      <w:r w:rsidR="00E97493">
        <w:t xml:space="preserve"> given the small numbers of patients thus far evaluated in the clinical program</w:t>
      </w:r>
      <w:r w:rsidR="00E67F94">
        <w:t>.</w:t>
      </w:r>
      <w:r w:rsidRPr="00CB3919">
        <w:t xml:space="preserve"> </w:t>
      </w:r>
      <w:r w:rsidR="00E97493">
        <w:t xml:space="preserve">However, </w:t>
      </w:r>
      <w:r w:rsidR="0059715F">
        <w:t>an analysis</w:t>
      </w:r>
      <w:r w:rsidR="00E97493">
        <w:t xml:space="preserve"> of the presence of anti-</w:t>
      </w:r>
      <w:proofErr w:type="spellStart"/>
      <w:r w:rsidR="00E97493">
        <w:t>taliglucerase</w:t>
      </w:r>
      <w:proofErr w:type="spellEnd"/>
      <w:r w:rsidR="00E97493">
        <w:t xml:space="preserve"> antibod</w:t>
      </w:r>
      <w:r w:rsidR="0059715F">
        <w:t>ies</w:t>
      </w:r>
      <w:r w:rsidR="00E97493">
        <w:t xml:space="preserve"> with adverse events that might be related to hypersensitivity showed that more events were observed in patients who </w:t>
      </w:r>
      <w:r w:rsidR="0059715F">
        <w:t xml:space="preserve">tested </w:t>
      </w:r>
      <w:r w:rsidR="00E97493">
        <w:t>positive for anti-</w:t>
      </w:r>
      <w:proofErr w:type="spellStart"/>
      <w:r w:rsidR="00E97493">
        <w:t>taliglucerase</w:t>
      </w:r>
      <w:proofErr w:type="spellEnd"/>
      <w:r w:rsidR="00E97493">
        <w:t xml:space="preserve"> </w:t>
      </w:r>
      <w:proofErr w:type="spellStart"/>
      <w:r w:rsidR="00E97493">
        <w:t>alfa</w:t>
      </w:r>
      <w:proofErr w:type="spellEnd"/>
      <w:r w:rsidR="00E97493">
        <w:t xml:space="preserve"> </w:t>
      </w:r>
      <w:proofErr w:type="spellStart"/>
      <w:r w:rsidR="0059715F">
        <w:t>IgG</w:t>
      </w:r>
      <w:proofErr w:type="spellEnd"/>
      <w:r w:rsidR="0059715F">
        <w:t xml:space="preserve"> </w:t>
      </w:r>
      <w:r w:rsidR="00E97493">
        <w:t xml:space="preserve">antibodies than in patients who </w:t>
      </w:r>
      <w:r w:rsidR="0059715F">
        <w:t xml:space="preserve">tested </w:t>
      </w:r>
      <w:r w:rsidR="00E97493">
        <w:t>negative</w:t>
      </w:r>
      <w:r w:rsidR="0059715F">
        <w:t xml:space="preserve"> for anti-</w:t>
      </w:r>
      <w:proofErr w:type="spellStart"/>
      <w:r w:rsidR="0059715F">
        <w:t>taliglucerase</w:t>
      </w:r>
      <w:proofErr w:type="spellEnd"/>
      <w:r w:rsidR="0059715F">
        <w:t xml:space="preserve"> </w:t>
      </w:r>
      <w:proofErr w:type="spellStart"/>
      <w:r w:rsidR="0059715F">
        <w:t>alfa</w:t>
      </w:r>
      <w:proofErr w:type="spellEnd"/>
      <w:r w:rsidR="0059715F">
        <w:t xml:space="preserve"> </w:t>
      </w:r>
      <w:proofErr w:type="spellStart"/>
      <w:r w:rsidR="0059715F">
        <w:t>IgG</w:t>
      </w:r>
      <w:proofErr w:type="spellEnd"/>
      <w:r w:rsidR="0059715F">
        <w:t xml:space="preserve"> antibodies</w:t>
      </w:r>
      <w:r w:rsidR="00E97493">
        <w:t xml:space="preserve">. </w:t>
      </w:r>
      <w:r w:rsidRPr="00CB3919">
        <w:rPr>
          <w:lang w:val="en-GB"/>
        </w:rPr>
        <w:t xml:space="preserve">Two </w:t>
      </w:r>
      <w:r w:rsidR="00471E78">
        <w:rPr>
          <w:lang w:val="en-GB"/>
        </w:rPr>
        <w:t xml:space="preserve">of </w:t>
      </w:r>
      <w:r w:rsidR="00FC5EF1">
        <w:rPr>
          <w:lang w:val="en-GB"/>
        </w:rPr>
        <w:t xml:space="preserve">the </w:t>
      </w:r>
      <w:r w:rsidR="00471E78">
        <w:rPr>
          <w:lang w:val="en-GB"/>
        </w:rPr>
        <w:t xml:space="preserve">26 </w:t>
      </w:r>
      <w:r w:rsidRPr="00CB3919">
        <w:rPr>
          <w:lang w:val="en-GB"/>
        </w:rPr>
        <w:t xml:space="preserve">treatment naïve patients and one patient switched from </w:t>
      </w:r>
      <w:proofErr w:type="spellStart"/>
      <w:r w:rsidRPr="00CB3919">
        <w:rPr>
          <w:lang w:val="en-GB"/>
        </w:rPr>
        <w:t>imiglucerase</w:t>
      </w:r>
      <w:proofErr w:type="spellEnd"/>
      <w:r w:rsidRPr="00CB3919">
        <w:rPr>
          <w:lang w:val="en-GB"/>
        </w:rPr>
        <w:t xml:space="preserve"> were determined to be positive for </w:t>
      </w:r>
      <w:r w:rsidR="0059715F" w:rsidRPr="00CB3919">
        <w:rPr>
          <w:lang w:val="en-GB"/>
        </w:rPr>
        <w:t>neutrali</w:t>
      </w:r>
      <w:r w:rsidR="0059715F">
        <w:rPr>
          <w:lang w:val="en-GB"/>
        </w:rPr>
        <w:t>s</w:t>
      </w:r>
      <w:r w:rsidR="0059715F" w:rsidRPr="00CB3919">
        <w:rPr>
          <w:lang w:val="en-GB"/>
        </w:rPr>
        <w:t xml:space="preserve">ing </w:t>
      </w:r>
      <w:r w:rsidRPr="00CB3919">
        <w:rPr>
          <w:lang w:val="en-GB"/>
        </w:rPr>
        <w:t xml:space="preserve">antibody activity in an </w:t>
      </w:r>
      <w:r w:rsidRPr="00D63A67">
        <w:rPr>
          <w:i/>
          <w:lang w:val="en-GB"/>
        </w:rPr>
        <w:t>in vitro</w:t>
      </w:r>
      <w:r w:rsidRPr="00CB3919">
        <w:rPr>
          <w:lang w:val="en-GB"/>
        </w:rPr>
        <w:t xml:space="preserve"> assay</w:t>
      </w:r>
      <w:r w:rsidR="0059715F">
        <w:rPr>
          <w:lang w:val="en-GB"/>
        </w:rPr>
        <w:t>; these</w:t>
      </w:r>
      <w:r w:rsidR="001C2B07">
        <w:rPr>
          <w:lang w:val="en-GB"/>
        </w:rPr>
        <w:t xml:space="preserve"> </w:t>
      </w:r>
      <w:r w:rsidR="0059715F">
        <w:rPr>
          <w:lang w:val="en-GB"/>
        </w:rPr>
        <w:t xml:space="preserve">three patients tested </w:t>
      </w:r>
      <w:r w:rsidRPr="00CB3919">
        <w:rPr>
          <w:lang w:val="en-GB"/>
        </w:rPr>
        <w:t>negative in a cell</w:t>
      </w:r>
      <w:r w:rsidR="0059715F">
        <w:rPr>
          <w:lang w:val="en-GB"/>
        </w:rPr>
        <w:t>-</w:t>
      </w:r>
      <w:r w:rsidRPr="00CB3919">
        <w:rPr>
          <w:lang w:val="en-GB"/>
        </w:rPr>
        <w:t xml:space="preserve">based assay. </w:t>
      </w:r>
      <w:r w:rsidRPr="001A1FF4">
        <w:rPr>
          <w:lang w:val="en-GB"/>
        </w:rPr>
        <w:t xml:space="preserve">There has been no demonstrated association between positive </w:t>
      </w:r>
      <w:r w:rsidR="0059715F" w:rsidRPr="001A1FF4">
        <w:rPr>
          <w:lang w:val="en-GB"/>
        </w:rPr>
        <w:t>neutrali</w:t>
      </w:r>
      <w:r w:rsidR="0059715F">
        <w:rPr>
          <w:lang w:val="en-GB"/>
        </w:rPr>
        <w:t>s</w:t>
      </w:r>
      <w:r w:rsidR="0059715F" w:rsidRPr="001A1FF4">
        <w:rPr>
          <w:lang w:val="en-GB"/>
        </w:rPr>
        <w:t xml:space="preserve">ing </w:t>
      </w:r>
      <w:r w:rsidRPr="001A1FF4">
        <w:rPr>
          <w:lang w:val="en-GB"/>
        </w:rPr>
        <w:t>antibody assay results and therapeutic response.</w:t>
      </w:r>
      <w:r w:rsidR="00471E78">
        <w:rPr>
          <w:lang w:val="en-GB"/>
        </w:rPr>
        <w:t xml:space="preserve"> </w:t>
      </w:r>
    </w:p>
    <w:p w:rsidR="0059715F" w:rsidRDefault="0059715F" w:rsidP="00E02163">
      <w:pPr>
        <w:autoSpaceDE w:val="0"/>
        <w:autoSpaceDN w:val="0"/>
        <w:adjustRightInd w:val="0"/>
        <w:rPr>
          <w:rFonts w:eastAsia="TimesNewRoman"/>
          <w:szCs w:val="24"/>
          <w:lang w:eastAsia="en-AU"/>
        </w:rPr>
      </w:pPr>
      <w:r>
        <w:rPr>
          <w:rFonts w:eastAsia="TimesNewRoman"/>
          <w:szCs w:val="24"/>
          <w:lang w:eastAsia="en-AU"/>
        </w:rPr>
        <w:t>I</w:t>
      </w:r>
      <w:r w:rsidRPr="002865A0">
        <w:rPr>
          <w:rFonts w:eastAsia="TimesNewRoman"/>
          <w:szCs w:val="24"/>
          <w:lang w:eastAsia="en-AU"/>
        </w:rPr>
        <w:t xml:space="preserve">n </w:t>
      </w:r>
      <w:r w:rsidR="00912381">
        <w:rPr>
          <w:rFonts w:eastAsia="TimesNewRoman"/>
          <w:szCs w:val="24"/>
          <w:lang w:eastAsia="en-AU"/>
        </w:rPr>
        <w:t>the adult treatment</w:t>
      </w:r>
      <w:r w:rsidR="00EE33A4">
        <w:rPr>
          <w:rFonts w:eastAsia="TimesNewRoman"/>
          <w:szCs w:val="24"/>
          <w:lang w:eastAsia="en-AU"/>
        </w:rPr>
        <w:t xml:space="preserve"> </w:t>
      </w:r>
      <w:r w:rsidR="00912381" w:rsidRPr="00B72B10">
        <w:rPr>
          <w:szCs w:val="24"/>
        </w:rPr>
        <w:t xml:space="preserve">naïve </w:t>
      </w:r>
      <w:r w:rsidR="00912381">
        <w:rPr>
          <w:rFonts w:eastAsia="TimesNewRoman"/>
          <w:szCs w:val="24"/>
          <w:lang w:eastAsia="en-AU"/>
        </w:rPr>
        <w:t>study (PB-06-001),</w:t>
      </w:r>
      <w:r w:rsidRPr="002865A0">
        <w:rPr>
          <w:rFonts w:eastAsia="TimesNewRoman"/>
          <w:szCs w:val="24"/>
          <w:lang w:eastAsia="en-AU"/>
        </w:rPr>
        <w:t xml:space="preserve"> </w:t>
      </w:r>
      <w:r w:rsidR="00912381">
        <w:rPr>
          <w:rFonts w:eastAsia="TimesNewRoman"/>
          <w:szCs w:val="24"/>
          <w:lang w:eastAsia="en-AU"/>
        </w:rPr>
        <w:t>17</w:t>
      </w:r>
      <w:r w:rsidRPr="002865A0">
        <w:rPr>
          <w:rFonts w:eastAsia="TimesNewRoman"/>
          <w:szCs w:val="24"/>
          <w:lang w:eastAsia="en-AU"/>
        </w:rPr>
        <w:t xml:space="preserve"> </w:t>
      </w:r>
      <w:r w:rsidR="00F22728">
        <w:rPr>
          <w:rFonts w:eastAsia="TimesNewRoman"/>
          <w:szCs w:val="24"/>
          <w:lang w:eastAsia="en-AU"/>
        </w:rPr>
        <w:t xml:space="preserve">out </w:t>
      </w:r>
      <w:r w:rsidRPr="002865A0">
        <w:rPr>
          <w:rFonts w:eastAsia="TimesNewRoman"/>
          <w:szCs w:val="24"/>
          <w:lang w:eastAsia="en-AU"/>
        </w:rPr>
        <w:t>of 32</w:t>
      </w:r>
      <w:r w:rsidR="0028729D">
        <w:rPr>
          <w:rFonts w:eastAsia="TimesNewRoman"/>
          <w:szCs w:val="24"/>
          <w:lang w:eastAsia="en-AU"/>
        </w:rPr>
        <w:t xml:space="preserve"> (53%)</w:t>
      </w:r>
      <w:r w:rsidRPr="002865A0">
        <w:rPr>
          <w:rFonts w:eastAsia="TimesNewRoman"/>
          <w:szCs w:val="24"/>
          <w:lang w:eastAsia="en-AU"/>
        </w:rPr>
        <w:t xml:space="preserve"> treatment naïve patients</w:t>
      </w:r>
      <w:r>
        <w:rPr>
          <w:rFonts w:eastAsia="TimesNewRoman"/>
          <w:szCs w:val="24"/>
          <w:lang w:eastAsia="en-AU"/>
        </w:rPr>
        <w:t xml:space="preserve"> </w:t>
      </w:r>
      <w:r w:rsidRPr="002865A0">
        <w:rPr>
          <w:rFonts w:eastAsia="TimesNewRoman"/>
          <w:szCs w:val="24"/>
          <w:lang w:eastAsia="en-AU"/>
        </w:rPr>
        <w:t>who were administered ELELYSO every two weeks developed ADA post-treatment (defined as ADA positive at one or more post-treatment</w:t>
      </w:r>
      <w:r>
        <w:rPr>
          <w:rFonts w:eastAsia="TimesNewRoman"/>
          <w:szCs w:val="24"/>
          <w:lang w:eastAsia="en-AU"/>
        </w:rPr>
        <w:t xml:space="preserve"> </w:t>
      </w:r>
      <w:r w:rsidRPr="002865A0">
        <w:rPr>
          <w:rFonts w:eastAsia="TimesNewRoman"/>
          <w:szCs w:val="24"/>
          <w:lang w:eastAsia="en-AU"/>
        </w:rPr>
        <w:t xml:space="preserve">time points). Two additional patients were antibody positive at baseline; </w:t>
      </w:r>
      <w:r w:rsidR="00F22728">
        <w:rPr>
          <w:rFonts w:eastAsia="TimesNewRoman"/>
          <w:szCs w:val="24"/>
          <w:lang w:eastAsia="en-AU"/>
        </w:rPr>
        <w:t>the first</w:t>
      </w:r>
      <w:r w:rsidRPr="002865A0">
        <w:rPr>
          <w:rFonts w:eastAsia="TimesNewRoman"/>
          <w:szCs w:val="24"/>
          <w:lang w:eastAsia="en-AU"/>
        </w:rPr>
        <w:t xml:space="preserve"> patient withdrew after developing an allergic reaction with the first dose of</w:t>
      </w:r>
      <w:r>
        <w:rPr>
          <w:rFonts w:eastAsia="TimesNewRoman"/>
          <w:szCs w:val="24"/>
          <w:lang w:eastAsia="en-AU"/>
        </w:rPr>
        <w:t xml:space="preserve"> </w:t>
      </w:r>
      <w:r w:rsidRPr="002865A0">
        <w:rPr>
          <w:rFonts w:eastAsia="TimesNewRoman"/>
          <w:szCs w:val="24"/>
          <w:lang w:eastAsia="en-AU"/>
        </w:rPr>
        <w:t xml:space="preserve">ELELYSO and the second patient had increasing antibody </w:t>
      </w:r>
      <w:proofErr w:type="spellStart"/>
      <w:r w:rsidRPr="002865A0">
        <w:rPr>
          <w:rFonts w:eastAsia="TimesNewRoman"/>
          <w:szCs w:val="24"/>
          <w:lang w:eastAsia="en-AU"/>
        </w:rPr>
        <w:t>titers</w:t>
      </w:r>
      <w:proofErr w:type="spellEnd"/>
      <w:r w:rsidRPr="002865A0">
        <w:rPr>
          <w:rFonts w:eastAsia="TimesNewRoman"/>
          <w:szCs w:val="24"/>
          <w:lang w:eastAsia="en-AU"/>
        </w:rPr>
        <w:t xml:space="preserve"> with continued treatment. </w:t>
      </w:r>
    </w:p>
    <w:p w:rsidR="0059715F" w:rsidRDefault="0059715F" w:rsidP="00E02163">
      <w:pPr>
        <w:autoSpaceDE w:val="0"/>
        <w:autoSpaceDN w:val="0"/>
        <w:adjustRightInd w:val="0"/>
        <w:rPr>
          <w:rFonts w:eastAsia="TimesNewRoman"/>
          <w:szCs w:val="24"/>
          <w:lang w:eastAsia="en-AU"/>
        </w:rPr>
      </w:pPr>
      <w:r w:rsidRPr="002865A0">
        <w:rPr>
          <w:rFonts w:eastAsia="TimesNewRoman"/>
          <w:szCs w:val="24"/>
          <w:lang w:eastAsia="en-AU"/>
        </w:rPr>
        <w:t xml:space="preserve">In </w:t>
      </w:r>
      <w:r w:rsidR="00912381">
        <w:rPr>
          <w:rFonts w:eastAsia="TimesNewRoman"/>
          <w:szCs w:val="24"/>
          <w:lang w:eastAsia="en-AU"/>
        </w:rPr>
        <w:t xml:space="preserve">the switch </w:t>
      </w:r>
      <w:r w:rsidRPr="002865A0">
        <w:rPr>
          <w:rFonts w:eastAsia="TimesNewRoman"/>
          <w:szCs w:val="24"/>
          <w:lang w:eastAsia="en-AU"/>
        </w:rPr>
        <w:t xml:space="preserve">study </w:t>
      </w:r>
      <w:r w:rsidR="00912381">
        <w:rPr>
          <w:rFonts w:eastAsia="TimesNewRoman"/>
          <w:szCs w:val="24"/>
          <w:lang w:eastAsia="en-AU"/>
        </w:rPr>
        <w:t xml:space="preserve">from </w:t>
      </w:r>
      <w:proofErr w:type="spellStart"/>
      <w:r w:rsidR="00912381">
        <w:rPr>
          <w:rFonts w:eastAsia="TimesNewRoman"/>
          <w:szCs w:val="24"/>
          <w:lang w:eastAsia="en-AU"/>
        </w:rPr>
        <w:t>imiglucerase</w:t>
      </w:r>
      <w:proofErr w:type="spellEnd"/>
      <w:r w:rsidR="00912381">
        <w:rPr>
          <w:rFonts w:eastAsia="TimesNewRoman"/>
          <w:szCs w:val="24"/>
          <w:lang w:eastAsia="en-AU"/>
        </w:rPr>
        <w:t xml:space="preserve"> to </w:t>
      </w:r>
      <w:proofErr w:type="spellStart"/>
      <w:r w:rsidR="00820ED7">
        <w:rPr>
          <w:rFonts w:eastAsia="TimesNewRoman"/>
          <w:szCs w:val="24"/>
          <w:lang w:eastAsia="en-AU"/>
        </w:rPr>
        <w:t>taliglucerase</w:t>
      </w:r>
      <w:proofErr w:type="spellEnd"/>
      <w:r w:rsidR="00912381">
        <w:rPr>
          <w:rFonts w:eastAsia="TimesNewRoman"/>
          <w:szCs w:val="24"/>
          <w:lang w:eastAsia="en-AU"/>
        </w:rPr>
        <w:t xml:space="preserve"> </w:t>
      </w:r>
      <w:proofErr w:type="spellStart"/>
      <w:r w:rsidR="00912381">
        <w:rPr>
          <w:rFonts w:eastAsia="TimesNewRoman"/>
          <w:szCs w:val="24"/>
          <w:lang w:eastAsia="en-AU"/>
        </w:rPr>
        <w:t>alfa</w:t>
      </w:r>
      <w:proofErr w:type="spellEnd"/>
      <w:r w:rsidR="00912381">
        <w:rPr>
          <w:rFonts w:eastAsia="TimesNewRoman"/>
          <w:szCs w:val="24"/>
          <w:lang w:eastAsia="en-AU"/>
        </w:rPr>
        <w:t xml:space="preserve"> once every two weeks (PB-06-002)</w:t>
      </w:r>
      <w:r w:rsidRPr="002865A0">
        <w:rPr>
          <w:rFonts w:eastAsia="TimesNewRoman"/>
          <w:szCs w:val="24"/>
          <w:lang w:eastAsia="en-AU"/>
        </w:rPr>
        <w:t xml:space="preserve">, </w:t>
      </w:r>
      <w:r w:rsidR="00912381">
        <w:rPr>
          <w:rFonts w:eastAsia="TimesNewRoman"/>
          <w:szCs w:val="24"/>
          <w:lang w:eastAsia="en-AU"/>
        </w:rPr>
        <w:t>4</w:t>
      </w:r>
      <w:r w:rsidRPr="002865A0">
        <w:rPr>
          <w:rFonts w:eastAsia="TimesNewRoman"/>
          <w:szCs w:val="24"/>
          <w:lang w:eastAsia="en-AU"/>
        </w:rPr>
        <w:t xml:space="preserve"> </w:t>
      </w:r>
      <w:r w:rsidR="00F22728">
        <w:rPr>
          <w:rFonts w:eastAsia="TimesNewRoman"/>
          <w:szCs w:val="24"/>
          <w:lang w:eastAsia="en-AU"/>
        </w:rPr>
        <w:t xml:space="preserve">out </w:t>
      </w:r>
      <w:r w:rsidRPr="002865A0">
        <w:rPr>
          <w:rFonts w:eastAsia="TimesNewRoman"/>
          <w:szCs w:val="24"/>
          <w:lang w:eastAsia="en-AU"/>
        </w:rPr>
        <w:t xml:space="preserve">of 28 </w:t>
      </w:r>
      <w:r w:rsidR="0028729D">
        <w:rPr>
          <w:rFonts w:eastAsia="TimesNewRoman"/>
          <w:szCs w:val="24"/>
          <w:lang w:eastAsia="en-AU"/>
        </w:rPr>
        <w:t xml:space="preserve">(14%) </w:t>
      </w:r>
      <w:r w:rsidRPr="002865A0">
        <w:rPr>
          <w:rFonts w:eastAsia="TimesNewRoman"/>
          <w:szCs w:val="24"/>
          <w:lang w:eastAsia="en-AU"/>
        </w:rPr>
        <w:t>patients developed ADA after the switch. One additional patient who switched from</w:t>
      </w:r>
      <w:r>
        <w:rPr>
          <w:rFonts w:eastAsia="TimesNewRoman"/>
          <w:szCs w:val="24"/>
          <w:lang w:eastAsia="en-AU"/>
        </w:rPr>
        <w:t xml:space="preserve"> </w:t>
      </w:r>
      <w:proofErr w:type="spellStart"/>
      <w:r w:rsidRPr="002865A0">
        <w:rPr>
          <w:rFonts w:eastAsia="TimesNewRoman"/>
          <w:szCs w:val="24"/>
          <w:lang w:eastAsia="en-AU"/>
        </w:rPr>
        <w:t>imiglucerase</w:t>
      </w:r>
      <w:proofErr w:type="spellEnd"/>
      <w:r w:rsidRPr="002865A0">
        <w:rPr>
          <w:rFonts w:eastAsia="TimesNewRoman"/>
          <w:szCs w:val="24"/>
          <w:lang w:eastAsia="en-AU"/>
        </w:rPr>
        <w:t xml:space="preserve"> in </w:t>
      </w:r>
      <w:r w:rsidR="00912381">
        <w:rPr>
          <w:rFonts w:eastAsia="TimesNewRoman"/>
          <w:szCs w:val="24"/>
          <w:lang w:eastAsia="en-AU"/>
        </w:rPr>
        <w:t>this</w:t>
      </w:r>
      <w:r w:rsidRPr="002865A0">
        <w:rPr>
          <w:rFonts w:eastAsia="TimesNewRoman"/>
          <w:szCs w:val="24"/>
          <w:lang w:eastAsia="en-AU"/>
        </w:rPr>
        <w:t xml:space="preserve"> was positive at baseline but did not develop increased ADA </w:t>
      </w:r>
      <w:proofErr w:type="spellStart"/>
      <w:r w:rsidRPr="002865A0">
        <w:rPr>
          <w:rFonts w:eastAsia="TimesNewRoman"/>
          <w:szCs w:val="24"/>
          <w:lang w:eastAsia="en-AU"/>
        </w:rPr>
        <w:t>titers</w:t>
      </w:r>
      <w:proofErr w:type="spellEnd"/>
      <w:r w:rsidRPr="002865A0">
        <w:rPr>
          <w:rFonts w:eastAsia="TimesNewRoman"/>
          <w:szCs w:val="24"/>
          <w:lang w:eastAsia="en-AU"/>
        </w:rPr>
        <w:t xml:space="preserve"> after ELELYSO treatment. The relevance of ADA to therapeutic</w:t>
      </w:r>
      <w:r>
        <w:rPr>
          <w:rFonts w:eastAsia="TimesNewRoman"/>
          <w:szCs w:val="24"/>
          <w:lang w:eastAsia="en-AU"/>
        </w:rPr>
        <w:t xml:space="preserve"> </w:t>
      </w:r>
      <w:r w:rsidRPr="002865A0">
        <w:rPr>
          <w:rFonts w:eastAsia="TimesNewRoman"/>
          <w:szCs w:val="24"/>
          <w:lang w:eastAsia="en-AU"/>
        </w:rPr>
        <w:t>response and adverse events is currently unclear.</w:t>
      </w:r>
    </w:p>
    <w:p w:rsidR="00F22728" w:rsidRPr="009B2F05" w:rsidRDefault="00F22728" w:rsidP="00E02163">
      <w:pPr>
        <w:rPr>
          <w:lang w:val="en-GB"/>
        </w:rPr>
      </w:pPr>
      <w:r w:rsidRPr="009B2F05">
        <w:rPr>
          <w:lang w:val="en-GB"/>
        </w:rPr>
        <w:t xml:space="preserve">In a retrospective study across all clinical studies, 8 out of 71 </w:t>
      </w:r>
      <w:r w:rsidR="0028729D">
        <w:rPr>
          <w:lang w:val="en-GB"/>
        </w:rPr>
        <w:t xml:space="preserve">(11%) </w:t>
      </w:r>
      <w:r w:rsidRPr="009B2F05">
        <w:rPr>
          <w:lang w:val="en-GB"/>
        </w:rPr>
        <w:t xml:space="preserve">clinical trial </w:t>
      </w:r>
      <w:r w:rsidR="008C38E8">
        <w:rPr>
          <w:lang w:val="en-GB"/>
        </w:rPr>
        <w:t>patients</w:t>
      </w:r>
      <w:r w:rsidR="008C38E8" w:rsidRPr="009B2F05">
        <w:rPr>
          <w:lang w:val="en-GB"/>
        </w:rPr>
        <w:t xml:space="preserve"> </w:t>
      </w:r>
      <w:r w:rsidRPr="009B2F05">
        <w:rPr>
          <w:lang w:val="en-GB"/>
        </w:rPr>
        <w:t xml:space="preserve">were considered to have antibodies to the plant specific </w:t>
      </w:r>
      <w:proofErr w:type="spellStart"/>
      <w:r w:rsidRPr="009B2F05">
        <w:rPr>
          <w:lang w:val="en-GB"/>
        </w:rPr>
        <w:t>glycans</w:t>
      </w:r>
      <w:proofErr w:type="spellEnd"/>
      <w:r w:rsidRPr="009B2F05">
        <w:rPr>
          <w:lang w:val="en-GB"/>
        </w:rPr>
        <w:t xml:space="preserve"> on </w:t>
      </w:r>
      <w:proofErr w:type="spellStart"/>
      <w:r w:rsidRPr="009B2F05">
        <w:rPr>
          <w:lang w:val="en-GB"/>
        </w:rPr>
        <w:t>taliglucerase</w:t>
      </w:r>
      <w:proofErr w:type="spellEnd"/>
      <w:r w:rsidRPr="009B2F05">
        <w:rPr>
          <w:lang w:val="en-GB"/>
        </w:rPr>
        <w:t xml:space="preserve"> </w:t>
      </w:r>
      <w:proofErr w:type="spellStart"/>
      <w:r w:rsidRPr="009B2F05">
        <w:rPr>
          <w:lang w:val="en-GB"/>
        </w:rPr>
        <w:t>alfa</w:t>
      </w:r>
      <w:proofErr w:type="spellEnd"/>
      <w:r w:rsidRPr="009B2F05">
        <w:rPr>
          <w:lang w:val="en-GB"/>
        </w:rPr>
        <w:t xml:space="preserve"> </w:t>
      </w:r>
      <w:proofErr w:type="spellStart"/>
      <w:r w:rsidRPr="009B2F05">
        <w:rPr>
          <w:lang w:val="en-GB"/>
        </w:rPr>
        <w:t>rpc</w:t>
      </w:r>
      <w:proofErr w:type="spellEnd"/>
      <w:r w:rsidRPr="009B2F05">
        <w:rPr>
          <w:lang w:val="en-GB"/>
        </w:rPr>
        <w:t>. The presence of these antibodies was not associated with treatment related adverse events; nor was there a relationship demonstrated with efficacy outcomes.</w:t>
      </w:r>
    </w:p>
    <w:p w:rsidR="00F22728" w:rsidRPr="00965C4E" w:rsidRDefault="00F22728" w:rsidP="00E02163">
      <w:pPr>
        <w:rPr>
          <w:u w:val="single"/>
          <w:lang w:val="en-GB"/>
        </w:rPr>
      </w:pPr>
      <w:r w:rsidRPr="001A1FF4">
        <w:t>Since it is unknown if a</w:t>
      </w:r>
      <w:r w:rsidRPr="001A1FF4">
        <w:rPr>
          <w:noProof/>
        </w:rPr>
        <w:t xml:space="preserve">ntibodies play </w:t>
      </w:r>
      <w:r w:rsidRPr="001A1FF4">
        <w:rPr>
          <w:lang w:val="en-GB"/>
        </w:rPr>
        <w:t xml:space="preserve">a role in adverse reactions or therapeutic response to </w:t>
      </w:r>
      <w:proofErr w:type="spellStart"/>
      <w:r w:rsidRPr="001A1FF4">
        <w:rPr>
          <w:lang w:val="en-GB"/>
        </w:rPr>
        <w:t>taliglucerase</w:t>
      </w:r>
      <w:proofErr w:type="spellEnd"/>
      <w:r w:rsidRPr="001A1FF4">
        <w:rPr>
          <w:lang w:val="en-GB"/>
        </w:rPr>
        <w:t xml:space="preserve"> </w:t>
      </w:r>
      <w:proofErr w:type="spellStart"/>
      <w:r w:rsidRPr="001A1FF4">
        <w:rPr>
          <w:lang w:val="en-GB"/>
        </w:rPr>
        <w:t>alfa</w:t>
      </w:r>
      <w:proofErr w:type="spellEnd"/>
      <w:r w:rsidRPr="001A1FF4">
        <w:rPr>
          <w:lang w:val="en-GB"/>
        </w:rPr>
        <w:t xml:space="preserve"> </w:t>
      </w:r>
      <w:proofErr w:type="spellStart"/>
      <w:r w:rsidRPr="001A1FF4">
        <w:rPr>
          <w:lang w:val="en-GB"/>
        </w:rPr>
        <w:t>rpc</w:t>
      </w:r>
      <w:proofErr w:type="spellEnd"/>
      <w:r w:rsidRPr="001A1FF4">
        <w:rPr>
          <w:lang w:val="en-GB"/>
        </w:rPr>
        <w:t>, consideration should be given to the testing for the presence of anti-</w:t>
      </w:r>
      <w:proofErr w:type="spellStart"/>
      <w:r w:rsidRPr="001A1FF4">
        <w:rPr>
          <w:lang w:val="en-GB"/>
        </w:rPr>
        <w:t>taliglucerase</w:t>
      </w:r>
      <w:proofErr w:type="spellEnd"/>
      <w:r w:rsidRPr="001A1FF4">
        <w:rPr>
          <w:lang w:val="en-GB"/>
        </w:rPr>
        <w:t xml:space="preserve"> antibodies in cases of severe infusion-related reactions, hypersensitivity reactions or in cases of lack of or loss of effect.</w:t>
      </w:r>
    </w:p>
    <w:p w:rsidR="00EE33A4" w:rsidRPr="0045150C" w:rsidRDefault="0059715F" w:rsidP="0045150C">
      <w:pPr>
        <w:rPr>
          <w:rFonts w:eastAsia="TimesNewRoman"/>
          <w:b/>
          <w:i/>
          <w:lang w:eastAsia="en-AU"/>
        </w:rPr>
      </w:pPr>
      <w:r w:rsidRPr="0045150C">
        <w:rPr>
          <w:rFonts w:eastAsia="TimesNewRoman"/>
          <w:b/>
          <w:i/>
          <w:lang w:eastAsia="en-AU"/>
        </w:rPr>
        <w:t>Immunogenicity assay results are highly dependent on the sensitivity and specificity of the assay and may be influenced by several factors such as: assay methodology, sample handling, timing of sample collection, concomitant medication, and underlying disease. For these reasons, comparison of the incidence of antibodies to ELELYSO with the incidence of antibodies to other products may be misleading.</w:t>
      </w:r>
    </w:p>
    <w:p w:rsidR="00FB0550" w:rsidRPr="00A27BA3" w:rsidRDefault="004F766E" w:rsidP="00A27BA3">
      <w:pPr>
        <w:pStyle w:val="PIHeading2"/>
      </w:pPr>
      <w:r w:rsidRPr="00A27BA3">
        <w:t>Infusion-related reactions and</w:t>
      </w:r>
      <w:r w:rsidR="00FB0550" w:rsidRPr="00A27BA3">
        <w:t xml:space="preserve"> hypersensitivity</w:t>
      </w:r>
    </w:p>
    <w:p w:rsidR="004B07AD" w:rsidRPr="00AA1CC2" w:rsidRDefault="004B07AD" w:rsidP="0045150C">
      <w:pPr>
        <w:rPr>
          <w:noProof/>
        </w:rPr>
      </w:pPr>
      <w:r w:rsidRPr="00AA1CC2">
        <w:rPr>
          <w:noProof/>
        </w:rPr>
        <w:t>As with any intravenous protein product, infusion</w:t>
      </w:r>
      <w:r w:rsidR="00624A7C" w:rsidRPr="00AA1CC2">
        <w:rPr>
          <w:noProof/>
        </w:rPr>
        <w:t>-</w:t>
      </w:r>
      <w:r w:rsidRPr="00AA1CC2">
        <w:rPr>
          <w:noProof/>
        </w:rPr>
        <w:t>related reactions and hypersensitivity reactions</w:t>
      </w:r>
      <w:r w:rsidR="00BD5C9D" w:rsidRPr="00AA1CC2">
        <w:rPr>
          <w:noProof/>
        </w:rPr>
        <w:t>, including anaphylaxis</w:t>
      </w:r>
      <w:r w:rsidRPr="00AA1CC2">
        <w:rPr>
          <w:noProof/>
        </w:rPr>
        <w:t xml:space="preserve"> are possible, therefore appropriate medical support should be readily available when </w:t>
      </w:r>
      <w:r w:rsidR="00A53925" w:rsidRPr="00AA1CC2">
        <w:rPr>
          <w:noProof/>
        </w:rPr>
        <w:t xml:space="preserve">ELELYSO </w:t>
      </w:r>
      <w:r w:rsidRPr="00AA1CC2">
        <w:rPr>
          <w:noProof/>
        </w:rPr>
        <w:t>is administered. Infusion-related</w:t>
      </w:r>
      <w:r w:rsidR="0059715F" w:rsidRPr="00AA1CC2">
        <w:rPr>
          <w:noProof/>
        </w:rPr>
        <w:t xml:space="preserve"> reactions (defined as reaction occurring within 24 hours of the</w:t>
      </w:r>
      <w:r w:rsidR="00BD5C9D" w:rsidRPr="00AA1CC2">
        <w:rPr>
          <w:noProof/>
        </w:rPr>
        <w:t xml:space="preserve"> </w:t>
      </w:r>
      <w:r w:rsidR="0059715F" w:rsidRPr="00AA1CC2">
        <w:rPr>
          <w:noProof/>
        </w:rPr>
        <w:t>infusion)</w:t>
      </w:r>
      <w:r w:rsidR="007E214E" w:rsidRPr="00AA1CC2">
        <w:rPr>
          <w:noProof/>
        </w:rPr>
        <w:t>,</w:t>
      </w:r>
      <w:r w:rsidRPr="00AA1CC2">
        <w:rPr>
          <w:noProof/>
        </w:rPr>
        <w:t xml:space="preserve"> and </w:t>
      </w:r>
      <w:r w:rsidR="0059715F" w:rsidRPr="00AA1CC2">
        <w:rPr>
          <w:noProof/>
        </w:rPr>
        <w:t xml:space="preserve">allergic </w:t>
      </w:r>
      <w:r w:rsidRPr="00AA1CC2">
        <w:rPr>
          <w:noProof/>
        </w:rPr>
        <w:t xml:space="preserve">hypersensitivity reactions have been reported with </w:t>
      </w:r>
      <w:r w:rsidR="00D63A67" w:rsidRPr="00AA1CC2">
        <w:rPr>
          <w:noProof/>
        </w:rPr>
        <w:t>ELELYSO</w:t>
      </w:r>
      <w:r w:rsidRPr="00AA1CC2">
        <w:rPr>
          <w:noProof/>
        </w:rPr>
        <w:t xml:space="preserve">. </w:t>
      </w:r>
      <w:r w:rsidR="00433FE7" w:rsidRPr="00AA1CC2">
        <w:rPr>
          <w:noProof/>
        </w:rPr>
        <w:t xml:space="preserve">Patients who experience infusion-related reactions or hypersensitivity can usually be managed successfully and </w:t>
      </w:r>
      <w:r w:rsidR="0059715F" w:rsidRPr="00AA1CC2">
        <w:rPr>
          <w:noProof/>
        </w:rPr>
        <w:t>continue on ther</w:t>
      </w:r>
      <w:r w:rsidR="00BD5C9D" w:rsidRPr="00AA1CC2">
        <w:rPr>
          <w:noProof/>
        </w:rPr>
        <w:t>apy</w:t>
      </w:r>
      <w:r w:rsidR="00433FE7" w:rsidRPr="00AA1CC2">
        <w:rPr>
          <w:noProof/>
        </w:rPr>
        <w:t xml:space="preserve"> by slowing the </w:t>
      </w:r>
      <w:r w:rsidR="00433FE7" w:rsidRPr="00AA1CC2">
        <w:rPr>
          <w:noProof/>
        </w:rPr>
        <w:lastRenderedPageBreak/>
        <w:t>infusion rate</w:t>
      </w:r>
      <w:r w:rsidR="0059715F" w:rsidRPr="00AA1CC2">
        <w:rPr>
          <w:noProof/>
        </w:rPr>
        <w:t>;</w:t>
      </w:r>
      <w:r w:rsidR="00433FE7" w:rsidRPr="00AA1CC2">
        <w:rPr>
          <w:noProof/>
        </w:rPr>
        <w:t xml:space="preserve"> treating with medicinal products such as antihistamines, antipyretics and/or corticosteroids</w:t>
      </w:r>
      <w:r w:rsidR="0059715F" w:rsidRPr="00AA1CC2">
        <w:rPr>
          <w:noProof/>
        </w:rPr>
        <w:t>;</w:t>
      </w:r>
      <w:r w:rsidR="00433FE7" w:rsidRPr="00AA1CC2">
        <w:rPr>
          <w:noProof/>
        </w:rPr>
        <w:t xml:space="preserve"> and/or stopping and resuming treatment with </w:t>
      </w:r>
      <w:r w:rsidR="001966D7" w:rsidRPr="00AA1CC2">
        <w:rPr>
          <w:noProof/>
        </w:rPr>
        <w:t xml:space="preserve">a </w:t>
      </w:r>
      <w:r w:rsidR="00433FE7" w:rsidRPr="00AA1CC2">
        <w:rPr>
          <w:noProof/>
        </w:rPr>
        <w:t xml:space="preserve">decreased infusion rate. Pre-treatment with antihistamines and/or corticosteroids may prevent subsequent reactions. </w:t>
      </w:r>
    </w:p>
    <w:p w:rsidR="00FC4CA2" w:rsidRPr="00AA1CC2" w:rsidRDefault="00FC4CA2" w:rsidP="0045150C">
      <w:pPr>
        <w:rPr>
          <w:noProof/>
        </w:rPr>
      </w:pPr>
      <w:r w:rsidRPr="00AA1CC2">
        <w:rPr>
          <w:noProof/>
        </w:rPr>
        <w:t xml:space="preserve">If a severe allergic reaction occurs, </w:t>
      </w:r>
      <w:r w:rsidR="00B4573B" w:rsidRPr="00AA1CC2">
        <w:rPr>
          <w:noProof/>
        </w:rPr>
        <w:t xml:space="preserve">current medical standards for emergency treatment should be followed and </w:t>
      </w:r>
      <w:r w:rsidRPr="00AA1CC2">
        <w:rPr>
          <w:noProof/>
        </w:rPr>
        <w:t xml:space="preserve">the immediate discontinuation of the </w:t>
      </w:r>
      <w:r w:rsidR="00A53925" w:rsidRPr="00AA1CC2">
        <w:rPr>
          <w:noProof/>
        </w:rPr>
        <w:t xml:space="preserve">ELELYSO </w:t>
      </w:r>
      <w:r w:rsidRPr="00AA1CC2">
        <w:rPr>
          <w:noProof/>
        </w:rPr>
        <w:t>infusion is recommended.</w:t>
      </w:r>
    </w:p>
    <w:p w:rsidR="00536F9C" w:rsidRPr="00A27BA3" w:rsidRDefault="00536F9C" w:rsidP="00A27BA3">
      <w:pPr>
        <w:pStyle w:val="PIHeading2"/>
      </w:pPr>
      <w:r w:rsidRPr="00A27BA3">
        <w:t>Allergy to carrots</w:t>
      </w:r>
    </w:p>
    <w:p w:rsidR="00536F9C" w:rsidRPr="005943F4" w:rsidRDefault="00536F9C" w:rsidP="00E02163">
      <w:pPr>
        <w:rPr>
          <w:noProof/>
        </w:rPr>
      </w:pPr>
      <w:r w:rsidRPr="005943F4">
        <w:rPr>
          <w:noProof/>
        </w:rPr>
        <w:t>The occurrence of allergic reactions</w:t>
      </w:r>
      <w:r w:rsidR="00795F94">
        <w:rPr>
          <w:noProof/>
        </w:rPr>
        <w:t xml:space="preserve"> to taliglucerase alfa</w:t>
      </w:r>
      <w:r w:rsidR="00A53925">
        <w:rPr>
          <w:noProof/>
        </w:rPr>
        <w:t xml:space="preserve"> rpc</w:t>
      </w:r>
      <w:r w:rsidR="00795F94">
        <w:rPr>
          <w:noProof/>
        </w:rPr>
        <w:t xml:space="preserve"> in patients with </w:t>
      </w:r>
      <w:r w:rsidRPr="005943F4">
        <w:rPr>
          <w:noProof/>
        </w:rPr>
        <w:t>known carrot allergies is currently unknown and has not been studied in clinical trials</w:t>
      </w:r>
      <w:r w:rsidR="00832E8B">
        <w:rPr>
          <w:noProof/>
        </w:rPr>
        <w:t>;</w:t>
      </w:r>
      <w:r w:rsidR="009A5227">
        <w:rPr>
          <w:noProof/>
        </w:rPr>
        <w:t xml:space="preserve"> therefore</w:t>
      </w:r>
      <w:r w:rsidR="00832E8B">
        <w:rPr>
          <w:noProof/>
        </w:rPr>
        <w:t>,</w:t>
      </w:r>
      <w:r w:rsidR="009A5227">
        <w:rPr>
          <w:noProof/>
        </w:rPr>
        <w:t xml:space="preserve"> caution should be exercised in treating such patient</w:t>
      </w:r>
      <w:r w:rsidR="00795F94">
        <w:rPr>
          <w:noProof/>
        </w:rPr>
        <w:t>s</w:t>
      </w:r>
      <w:r w:rsidR="009A5227">
        <w:rPr>
          <w:noProof/>
        </w:rPr>
        <w:t>. If infusion-related reactions or hypersentivity occur</w:t>
      </w:r>
      <w:r w:rsidR="00832E8B">
        <w:rPr>
          <w:noProof/>
        </w:rPr>
        <w:t>s</w:t>
      </w:r>
      <w:r w:rsidR="009A5227">
        <w:rPr>
          <w:noProof/>
        </w:rPr>
        <w:t>, patients should be managed as described above</w:t>
      </w:r>
      <w:r w:rsidRPr="005943F4">
        <w:rPr>
          <w:noProof/>
        </w:rPr>
        <w:t xml:space="preserve">. </w:t>
      </w:r>
    </w:p>
    <w:p w:rsidR="00FB0550" w:rsidRPr="005943F4" w:rsidRDefault="00D63A67" w:rsidP="009262C1">
      <w:pPr>
        <w:pStyle w:val="PIHeading2"/>
        <w:rPr>
          <w:noProof/>
        </w:rPr>
      </w:pPr>
      <w:r>
        <w:rPr>
          <w:noProof/>
        </w:rPr>
        <w:t>Sodium</w:t>
      </w:r>
    </w:p>
    <w:p w:rsidR="00FB0550" w:rsidRDefault="00FB0550" w:rsidP="00E02163">
      <w:pPr>
        <w:rPr>
          <w:noProof/>
        </w:rPr>
      </w:pPr>
      <w:r w:rsidRPr="005943F4">
        <w:rPr>
          <w:noProof/>
        </w:rPr>
        <w:t xml:space="preserve">This medicinal product </w:t>
      </w:r>
      <w:r w:rsidR="00CF328C">
        <w:rPr>
          <w:noProof/>
        </w:rPr>
        <w:t>contains</w:t>
      </w:r>
      <w:r w:rsidRPr="005943F4">
        <w:rPr>
          <w:noProof/>
        </w:rPr>
        <w:t xml:space="preserve"> sodium and </w:t>
      </w:r>
      <w:r w:rsidR="00CF328C">
        <w:rPr>
          <w:noProof/>
        </w:rPr>
        <w:t xml:space="preserve">when </w:t>
      </w:r>
      <w:r w:rsidRPr="005943F4">
        <w:rPr>
          <w:noProof/>
        </w:rPr>
        <w:t xml:space="preserve">administered in </w:t>
      </w:r>
      <w:r w:rsidR="00795F94">
        <w:rPr>
          <w:noProof/>
        </w:rPr>
        <w:t>9</w:t>
      </w:r>
      <w:r w:rsidR="00D63A67">
        <w:rPr>
          <w:noProof/>
        </w:rPr>
        <w:t xml:space="preserve"> </w:t>
      </w:r>
      <w:r w:rsidR="00795F94">
        <w:rPr>
          <w:noProof/>
        </w:rPr>
        <w:t>mg/</w:t>
      </w:r>
      <w:r w:rsidR="00D63A67">
        <w:rPr>
          <w:noProof/>
        </w:rPr>
        <w:t xml:space="preserve">mL </w:t>
      </w:r>
      <w:r w:rsidR="00795F94">
        <w:rPr>
          <w:noProof/>
        </w:rPr>
        <w:t>(</w:t>
      </w:r>
      <w:r w:rsidRPr="005943F4">
        <w:rPr>
          <w:noProof/>
        </w:rPr>
        <w:t>0.9%</w:t>
      </w:r>
      <w:r w:rsidR="00795F94">
        <w:rPr>
          <w:noProof/>
        </w:rPr>
        <w:t>)</w:t>
      </w:r>
      <w:r w:rsidRPr="005943F4">
        <w:rPr>
          <w:noProof/>
        </w:rPr>
        <w:t xml:space="preserve"> sodium chloride intravenous solution. This should be taken into consideration </w:t>
      </w:r>
      <w:r w:rsidR="003A4066">
        <w:rPr>
          <w:noProof/>
        </w:rPr>
        <w:t xml:space="preserve">when administered to </w:t>
      </w:r>
      <w:r w:rsidRPr="005943F4">
        <w:rPr>
          <w:noProof/>
        </w:rPr>
        <w:t>patients on a controlled sodium diet.</w:t>
      </w:r>
    </w:p>
    <w:p w:rsidR="00B67034" w:rsidRPr="00B67034" w:rsidRDefault="00B67034" w:rsidP="00965C4E">
      <w:pPr>
        <w:pStyle w:val="PIHeading2"/>
      </w:pPr>
      <w:r w:rsidRPr="00B67034">
        <w:t xml:space="preserve">Effect on </w:t>
      </w:r>
      <w:r w:rsidR="00D63A67">
        <w:t>F</w:t>
      </w:r>
      <w:r w:rsidRPr="00B67034">
        <w:t>ertility</w:t>
      </w:r>
    </w:p>
    <w:p w:rsidR="00B67034" w:rsidRDefault="009E1AE2" w:rsidP="00E02163">
      <w:proofErr w:type="spellStart"/>
      <w:r>
        <w:t>Taliglucerase</w:t>
      </w:r>
      <w:proofErr w:type="spellEnd"/>
      <w:r>
        <w:t xml:space="preserve"> </w:t>
      </w:r>
      <w:proofErr w:type="spellStart"/>
      <w:r>
        <w:t>alfa</w:t>
      </w:r>
      <w:proofErr w:type="spellEnd"/>
      <w:r>
        <w:t xml:space="preserve"> </w:t>
      </w:r>
      <w:proofErr w:type="spellStart"/>
      <w:r>
        <w:t>rpc</w:t>
      </w:r>
      <w:proofErr w:type="spellEnd"/>
      <w:r w:rsidR="00A53925">
        <w:t xml:space="preserve"> </w:t>
      </w:r>
      <w:r w:rsidR="00B67034" w:rsidRPr="005943F4">
        <w:t>did not affect fertility or reproductive performance</w:t>
      </w:r>
      <w:r w:rsidR="009A5227">
        <w:t xml:space="preserve"> </w:t>
      </w:r>
      <w:r>
        <w:t>in male and female rats</w:t>
      </w:r>
      <w:r w:rsidR="008B4E92">
        <w:t>.</w:t>
      </w:r>
    </w:p>
    <w:p w:rsidR="00B67034" w:rsidRDefault="00B67034" w:rsidP="00E02163">
      <w:pPr>
        <w:pStyle w:val="PIHeading2"/>
      </w:pPr>
      <w:r w:rsidRPr="005943F4">
        <w:t xml:space="preserve">Use in Pregnancy </w:t>
      </w:r>
    </w:p>
    <w:p w:rsidR="00D93AED" w:rsidRPr="008B4E92" w:rsidRDefault="00D93AED" w:rsidP="00E02163">
      <w:pPr>
        <w:pStyle w:val="PIHeading3"/>
        <w:rPr>
          <w:noProof/>
        </w:rPr>
      </w:pPr>
      <w:r w:rsidRPr="008B4E92">
        <w:rPr>
          <w:noProof/>
        </w:rPr>
        <w:t>Category B1</w:t>
      </w:r>
    </w:p>
    <w:p w:rsidR="00B67034" w:rsidRDefault="002E75AB" w:rsidP="00E02163">
      <w:pPr>
        <w:rPr>
          <w:noProof/>
        </w:rPr>
      </w:pPr>
      <w:r w:rsidRPr="00FC5EF1">
        <w:t>Reproductive toxicity studies using pregnant rats and rabbits</w:t>
      </w:r>
      <w:r w:rsidR="009E1AE2" w:rsidRPr="00FC5EF1">
        <w:t xml:space="preserve"> given high doses of </w:t>
      </w:r>
      <w:proofErr w:type="spellStart"/>
      <w:r w:rsidR="009E1AE2" w:rsidRPr="00FC5EF1">
        <w:t>taliglucerase</w:t>
      </w:r>
      <w:proofErr w:type="spellEnd"/>
      <w:r w:rsidR="009E1AE2" w:rsidRPr="00FC5EF1">
        <w:t xml:space="preserve"> </w:t>
      </w:r>
      <w:proofErr w:type="spellStart"/>
      <w:r w:rsidR="009E1AE2" w:rsidRPr="00FC5EF1">
        <w:t>alfa</w:t>
      </w:r>
      <w:proofErr w:type="spellEnd"/>
      <w:r w:rsidR="009E1AE2" w:rsidRPr="00FC5EF1">
        <w:t xml:space="preserve"> </w:t>
      </w:r>
      <w:proofErr w:type="spellStart"/>
      <w:r w:rsidR="009E1AE2" w:rsidRPr="00FC5EF1">
        <w:t>rpc</w:t>
      </w:r>
      <w:proofErr w:type="spellEnd"/>
      <w:r w:rsidR="009E1AE2" w:rsidRPr="00FC5EF1">
        <w:t xml:space="preserve"> revealed no evidence of harm to the </w:t>
      </w:r>
      <w:proofErr w:type="spellStart"/>
      <w:r w:rsidR="009E1AE2" w:rsidRPr="00FC5EF1">
        <w:t>fetus</w:t>
      </w:r>
      <w:proofErr w:type="spellEnd"/>
      <w:r w:rsidR="009E1AE2" w:rsidRPr="00FC5EF1">
        <w:t>.</w:t>
      </w:r>
      <w:r w:rsidR="00433FE7" w:rsidRPr="00FC5EF1">
        <w:t xml:space="preserve"> </w:t>
      </w:r>
      <w:r w:rsidR="00B67034" w:rsidRPr="00FC5EF1">
        <w:t xml:space="preserve">There are, however, no adequate and well controlled studies in pregnant women. Because animal reproduction studies are not always predictive of human response, caution should be exercised when prescribing to pregnant women and </w:t>
      </w:r>
      <w:r w:rsidR="001966D7" w:rsidRPr="00FC5EF1">
        <w:t xml:space="preserve">this medicine should </w:t>
      </w:r>
      <w:r w:rsidR="0082183B" w:rsidRPr="00FC5EF1">
        <w:t xml:space="preserve">only </w:t>
      </w:r>
      <w:r w:rsidR="001966D7" w:rsidRPr="00FC5EF1">
        <w:t xml:space="preserve">be used </w:t>
      </w:r>
      <w:r w:rsidR="00B67034" w:rsidRPr="00FC5EF1">
        <w:t xml:space="preserve">during pregnancy if the potential benefit justifies the risk. </w:t>
      </w:r>
    </w:p>
    <w:p w:rsidR="009266F6" w:rsidRDefault="009266F6" w:rsidP="00E02163">
      <w:pPr>
        <w:pStyle w:val="PIHeading2"/>
      </w:pPr>
      <w:r w:rsidRPr="005943F4">
        <w:t xml:space="preserve">Use in Lactation </w:t>
      </w:r>
    </w:p>
    <w:p w:rsidR="00D93AED" w:rsidRDefault="009266F6" w:rsidP="00E02163">
      <w:pPr>
        <w:rPr>
          <w:b/>
        </w:rPr>
      </w:pPr>
      <w:r w:rsidRPr="005943F4">
        <w:rPr>
          <w:noProof/>
        </w:rPr>
        <w:t xml:space="preserve">It is unknown whether </w:t>
      </w:r>
      <w:r w:rsidR="00327191">
        <w:rPr>
          <w:noProof/>
        </w:rPr>
        <w:t>ELELYSO</w:t>
      </w:r>
      <w:r w:rsidRPr="005943F4">
        <w:rPr>
          <w:noProof/>
        </w:rPr>
        <w:t xml:space="preserve"> is excreted in animal or human breast milk</w:t>
      </w:r>
      <w:r w:rsidR="00C82E6C">
        <w:rPr>
          <w:noProof/>
        </w:rPr>
        <w:t xml:space="preserve">. Because many </w:t>
      </w:r>
      <w:r w:rsidR="0082183B">
        <w:rPr>
          <w:noProof/>
        </w:rPr>
        <w:t>medicines</w:t>
      </w:r>
      <w:r w:rsidR="00C82E6C">
        <w:rPr>
          <w:noProof/>
        </w:rPr>
        <w:t xml:space="preserve"> are excreted in human milk, caution should be exercised when ELELYSO is administered to a </w:t>
      </w:r>
      <w:r w:rsidR="00E13E25">
        <w:rPr>
          <w:noProof/>
        </w:rPr>
        <w:t>breastfeeding</w:t>
      </w:r>
      <w:r w:rsidR="00C82E6C">
        <w:rPr>
          <w:noProof/>
        </w:rPr>
        <w:t xml:space="preserve"> woman. </w:t>
      </w:r>
    </w:p>
    <w:p w:rsidR="00B041F6" w:rsidRPr="0049631E" w:rsidRDefault="00B041F6" w:rsidP="00E02163">
      <w:pPr>
        <w:pStyle w:val="PIHeading2"/>
      </w:pPr>
      <w:r w:rsidRPr="0049631E">
        <w:t>Paediatric Use</w:t>
      </w:r>
      <w:r w:rsidR="00BC5FEB" w:rsidRPr="0049631E">
        <w:t xml:space="preserve"> </w:t>
      </w:r>
    </w:p>
    <w:p w:rsidR="00C71C06" w:rsidRDefault="00103960" w:rsidP="00E02163">
      <w:pPr>
        <w:rPr>
          <w:noProof/>
        </w:rPr>
      </w:pPr>
      <w:r w:rsidRPr="00282510">
        <w:t xml:space="preserve">The safety and efficacy profiles were similar between </w:t>
      </w:r>
      <w:r w:rsidR="00F37E05">
        <w:t xml:space="preserve">adult and </w:t>
      </w:r>
      <w:r w:rsidR="002E1B11">
        <w:t xml:space="preserve">paediatric </w:t>
      </w:r>
      <w:r w:rsidRPr="00282510">
        <w:t>patients.</w:t>
      </w:r>
      <w:r w:rsidR="00C71C06">
        <w:t xml:space="preserve"> </w:t>
      </w:r>
    </w:p>
    <w:p w:rsidR="005A302A" w:rsidRPr="005943F4" w:rsidRDefault="00444E80" w:rsidP="00E02163">
      <w:pPr>
        <w:pStyle w:val="PIHeading2"/>
        <w:rPr>
          <w:noProof/>
        </w:rPr>
      </w:pPr>
      <w:r w:rsidRPr="005943F4">
        <w:rPr>
          <w:noProof/>
        </w:rPr>
        <w:t xml:space="preserve">Use in </w:t>
      </w:r>
      <w:r w:rsidR="00281B85">
        <w:rPr>
          <w:noProof/>
        </w:rPr>
        <w:t xml:space="preserve">the </w:t>
      </w:r>
      <w:r w:rsidRPr="005943F4">
        <w:rPr>
          <w:noProof/>
        </w:rPr>
        <w:t>Elderly</w:t>
      </w:r>
      <w:r w:rsidR="005A302A" w:rsidRPr="005943F4">
        <w:rPr>
          <w:noProof/>
        </w:rPr>
        <w:t xml:space="preserve"> </w:t>
      </w:r>
    </w:p>
    <w:p w:rsidR="006C60A9" w:rsidRDefault="00106F4C" w:rsidP="00A27BA3">
      <w:r>
        <w:t xml:space="preserve">Clinical studies of </w:t>
      </w:r>
      <w:r w:rsidR="00A53925">
        <w:t xml:space="preserve">ELELYSO </w:t>
      </w:r>
      <w:r>
        <w:t xml:space="preserve">did not include sufficient numbers of </w:t>
      </w:r>
      <w:r w:rsidR="00D63A67">
        <w:t xml:space="preserve">patients </w:t>
      </w:r>
      <w:r>
        <w:t xml:space="preserve">aged 65 and over to determine whether they respond differently from younger </w:t>
      </w:r>
      <w:r w:rsidR="00D63A67">
        <w:t>patients</w:t>
      </w:r>
      <w:r>
        <w:t>. Other reported clinical experience has not identified differences in responses between the elderly and younger patients.</w:t>
      </w:r>
      <w:r w:rsidR="00444E80" w:rsidRPr="005943F4">
        <w:t xml:space="preserve"> </w:t>
      </w:r>
      <w:r w:rsidR="00BC5FEB" w:rsidRPr="005943F4">
        <w:t xml:space="preserve"> </w:t>
      </w:r>
    </w:p>
    <w:p w:rsidR="005A302A" w:rsidRDefault="00951C1B" w:rsidP="00A27BA3">
      <w:r w:rsidRPr="00364764">
        <w:lastRenderedPageBreak/>
        <w:t>In general</w:t>
      </w:r>
      <w:r w:rsidR="00D63A67">
        <w:t>,</w:t>
      </w:r>
      <w:r w:rsidR="00FC4CA2">
        <w:t xml:space="preserve"> dose selection for an</w:t>
      </w:r>
      <w:r w:rsidRPr="00364764">
        <w:t xml:space="preserve"> elderly patient </w:t>
      </w:r>
      <w:r w:rsidR="00FC4CA2">
        <w:t>requires</w:t>
      </w:r>
      <w:r w:rsidRPr="00364764">
        <w:t xml:space="preserve"> caution, usually starting at the low end of the dosing range, reflecting the greater frequency of decreased hepatic, renal, or cardiac function, and of concomitant disease or other drug therapy</w:t>
      </w:r>
      <w:r w:rsidR="008B3CF5">
        <w:t xml:space="preserve"> in this patient group</w:t>
      </w:r>
      <w:r w:rsidRPr="00364764">
        <w:t>.</w:t>
      </w:r>
      <w:r w:rsidRPr="005943F4">
        <w:t xml:space="preserve"> </w:t>
      </w:r>
    </w:p>
    <w:p w:rsidR="00281B85" w:rsidRDefault="00281B85" w:rsidP="00A27BA3">
      <w:pPr>
        <w:pStyle w:val="PIHeading2"/>
      </w:pPr>
      <w:proofErr w:type="spellStart"/>
      <w:r>
        <w:t>Genotoxicity</w:t>
      </w:r>
      <w:proofErr w:type="spellEnd"/>
    </w:p>
    <w:p w:rsidR="00281B85" w:rsidRDefault="00281B85" w:rsidP="00E02163">
      <w:r>
        <w:t xml:space="preserve">Tests for </w:t>
      </w:r>
      <w:proofErr w:type="spellStart"/>
      <w:r>
        <w:t>genotoxic</w:t>
      </w:r>
      <w:proofErr w:type="spellEnd"/>
      <w:r>
        <w:t xml:space="preserve"> activity were not performed. Given that </w:t>
      </w:r>
      <w:proofErr w:type="spellStart"/>
      <w:r>
        <w:t>taliglucerase</w:t>
      </w:r>
      <w:proofErr w:type="spellEnd"/>
      <w:r>
        <w:t xml:space="preserve"> </w:t>
      </w:r>
      <w:proofErr w:type="spellStart"/>
      <w:r>
        <w:t>alfa</w:t>
      </w:r>
      <w:proofErr w:type="spellEnd"/>
      <w:r>
        <w:t xml:space="preserve"> </w:t>
      </w:r>
      <w:proofErr w:type="spellStart"/>
      <w:r>
        <w:t>rpc</w:t>
      </w:r>
      <w:proofErr w:type="spellEnd"/>
      <w:r>
        <w:t xml:space="preserve"> is degraded to peptides and amino acids and that the products of its </w:t>
      </w:r>
      <w:proofErr w:type="spellStart"/>
      <w:r>
        <w:t>enzymic</w:t>
      </w:r>
      <w:proofErr w:type="spellEnd"/>
      <w:r>
        <w:t xml:space="preserve"> action are glucose and </w:t>
      </w:r>
      <w:proofErr w:type="spellStart"/>
      <w:r>
        <w:t>ceramide</w:t>
      </w:r>
      <w:proofErr w:type="spellEnd"/>
      <w:r>
        <w:t xml:space="preserve">, it is unlikely to pose a </w:t>
      </w:r>
      <w:proofErr w:type="spellStart"/>
      <w:r>
        <w:t>genotoxic</w:t>
      </w:r>
      <w:proofErr w:type="spellEnd"/>
      <w:r>
        <w:t xml:space="preserve"> risk. </w:t>
      </w:r>
    </w:p>
    <w:p w:rsidR="00EE7205" w:rsidRDefault="00EE7205" w:rsidP="00A27BA3">
      <w:pPr>
        <w:pStyle w:val="PIHeading2"/>
      </w:pPr>
      <w:r w:rsidRPr="008B4E92">
        <w:t>Carcinogenicity</w:t>
      </w:r>
    </w:p>
    <w:p w:rsidR="00EE7205" w:rsidRDefault="00EE7205" w:rsidP="00E02163">
      <w:r>
        <w:t xml:space="preserve">Tests for carcinogenic activity were not performed. Given the nature and location </w:t>
      </w:r>
      <w:r w:rsidR="004D6F18">
        <w:t>of the</w:t>
      </w:r>
      <w:r w:rsidR="00A53925">
        <w:t xml:space="preserve"> </w:t>
      </w:r>
      <w:proofErr w:type="spellStart"/>
      <w:r w:rsidR="00A53925">
        <w:t>enzymic</w:t>
      </w:r>
      <w:proofErr w:type="spellEnd"/>
      <w:r w:rsidR="00A53925">
        <w:t xml:space="preserve"> activity of </w:t>
      </w:r>
      <w:proofErr w:type="spellStart"/>
      <w:r w:rsidR="00A53925">
        <w:t>taliglucerase</w:t>
      </w:r>
      <w:proofErr w:type="spellEnd"/>
      <w:r w:rsidR="00A53925">
        <w:t xml:space="preserve"> </w:t>
      </w:r>
      <w:proofErr w:type="spellStart"/>
      <w:r w:rsidR="00A53925">
        <w:t>alfa</w:t>
      </w:r>
      <w:proofErr w:type="spellEnd"/>
      <w:r w:rsidR="00A53925">
        <w:t xml:space="preserve"> </w:t>
      </w:r>
      <w:proofErr w:type="spellStart"/>
      <w:r w:rsidR="00A53925">
        <w:t>rpc</w:t>
      </w:r>
      <w:proofErr w:type="spellEnd"/>
      <w:r w:rsidR="00A53925">
        <w:t xml:space="preserve"> </w:t>
      </w:r>
      <w:r w:rsidR="004D6F18">
        <w:t>(</w:t>
      </w:r>
      <w:r>
        <w:t xml:space="preserve">i.e. </w:t>
      </w:r>
      <w:proofErr w:type="spellStart"/>
      <w:r>
        <w:t>lysosomal</w:t>
      </w:r>
      <w:proofErr w:type="spellEnd"/>
      <w:r>
        <w:t xml:space="preserve"> </w:t>
      </w:r>
      <w:proofErr w:type="spellStart"/>
      <w:r>
        <w:t>glucocerebrosidase</w:t>
      </w:r>
      <w:proofErr w:type="spellEnd"/>
      <w:r>
        <w:t xml:space="preserve">) and the products of its </w:t>
      </w:r>
      <w:proofErr w:type="spellStart"/>
      <w:r>
        <w:t>enzymic</w:t>
      </w:r>
      <w:proofErr w:type="spellEnd"/>
      <w:r>
        <w:t xml:space="preserve"> action (i.e. glucose and </w:t>
      </w:r>
      <w:proofErr w:type="spellStart"/>
      <w:r>
        <w:t>ceramide</w:t>
      </w:r>
      <w:proofErr w:type="spellEnd"/>
      <w:r>
        <w:t xml:space="preserve">), </w:t>
      </w:r>
      <w:r w:rsidR="004D6F18">
        <w:t>ELELYSO is</w:t>
      </w:r>
      <w:r>
        <w:t xml:space="preserve"> unlikely to pose a carcinogenic risk. </w:t>
      </w:r>
    </w:p>
    <w:p w:rsidR="00847203" w:rsidRDefault="00847203" w:rsidP="00E02163">
      <w:pPr>
        <w:pStyle w:val="PIHeading2"/>
      </w:pPr>
      <w:proofErr w:type="spellStart"/>
      <w:r>
        <w:t>Neuronopathic</w:t>
      </w:r>
      <w:proofErr w:type="spellEnd"/>
      <w:r>
        <w:t xml:space="preserve"> </w:t>
      </w:r>
      <w:proofErr w:type="spellStart"/>
      <w:r>
        <w:t>Gaucher</w:t>
      </w:r>
      <w:proofErr w:type="spellEnd"/>
      <w:r>
        <w:t xml:space="preserve"> disease</w:t>
      </w:r>
    </w:p>
    <w:p w:rsidR="0057242B" w:rsidRDefault="0057242B" w:rsidP="00E02163">
      <w:pPr>
        <w:autoSpaceDE w:val="0"/>
        <w:autoSpaceDN w:val="0"/>
        <w:adjustRightInd w:val="0"/>
        <w:spacing w:after="0"/>
      </w:pPr>
      <w:r w:rsidRPr="002432E8">
        <w:t xml:space="preserve">Patients with severe and complex neurological symptoms were excluded from clinical studies; </w:t>
      </w:r>
      <w:r>
        <w:t>paediatric</w:t>
      </w:r>
      <w:r w:rsidRPr="002432E8">
        <w:t xml:space="preserve"> patients with longstanding </w:t>
      </w:r>
      <w:proofErr w:type="spellStart"/>
      <w:r w:rsidRPr="002432E8">
        <w:t>oculomotor</w:t>
      </w:r>
      <w:proofErr w:type="spellEnd"/>
      <w:r w:rsidRPr="002432E8">
        <w:t xml:space="preserve"> gaze palsy and/or mutations suggestive of </w:t>
      </w:r>
      <w:proofErr w:type="spellStart"/>
      <w:r w:rsidRPr="002432E8">
        <w:t>neuronopathic</w:t>
      </w:r>
      <w:proofErr w:type="spellEnd"/>
      <w:r w:rsidRPr="002432E8">
        <w:t xml:space="preserve"> disease were permitted to </w:t>
      </w:r>
      <w:r w:rsidR="00C12B9F" w:rsidRPr="002432E8">
        <w:t>enrol</w:t>
      </w:r>
      <w:r w:rsidRPr="002432E8">
        <w:t xml:space="preserve">. </w:t>
      </w:r>
      <w:r w:rsidRPr="003A0668">
        <w:t xml:space="preserve">Two </w:t>
      </w:r>
      <w:r w:rsidR="00393B4E">
        <w:t xml:space="preserve">out of 11 (18%) </w:t>
      </w:r>
      <w:r w:rsidRPr="003A0668">
        <w:t xml:space="preserve">patients in the paediatric </w:t>
      </w:r>
      <w:r w:rsidR="00F22728">
        <w:t>study (PB-06-005)</w:t>
      </w:r>
      <w:r w:rsidRPr="003A0668">
        <w:t xml:space="preserve"> for </w:t>
      </w:r>
      <w:proofErr w:type="gramStart"/>
      <w:r w:rsidRPr="003A0668">
        <w:t>patients</w:t>
      </w:r>
      <w:proofErr w:type="gramEnd"/>
      <w:r w:rsidRPr="003A0668">
        <w:t xml:space="preserve"> naïve to enzyme replacement therapy were diagnosed with Type 3c disease and one child in the switch trial possesses the homozygote L444P genotype.</w:t>
      </w:r>
      <w:r w:rsidR="00393B4E">
        <w:t xml:space="preserve"> There is no clinical </w:t>
      </w:r>
      <w:r w:rsidR="00393B4E" w:rsidRPr="00393B4E">
        <w:rPr>
          <w:rFonts w:cs="Arial"/>
          <w:szCs w:val="24"/>
        </w:rPr>
        <w:t xml:space="preserve">experience with the use of ELELYSO in patients with </w:t>
      </w:r>
      <w:r w:rsidR="00CB6E0D" w:rsidRPr="00393B4E">
        <w:rPr>
          <w:rFonts w:cs="Arial"/>
          <w:szCs w:val="24"/>
        </w:rPr>
        <w:t xml:space="preserve">Type </w:t>
      </w:r>
      <w:r w:rsidR="00393B4E" w:rsidRPr="00393B4E">
        <w:rPr>
          <w:rFonts w:cs="Arial"/>
          <w:szCs w:val="24"/>
        </w:rPr>
        <w:t xml:space="preserve">2 </w:t>
      </w:r>
      <w:proofErr w:type="spellStart"/>
      <w:r w:rsidR="00393B4E" w:rsidRPr="00393B4E">
        <w:rPr>
          <w:rFonts w:cs="Arial"/>
          <w:szCs w:val="24"/>
        </w:rPr>
        <w:t>Gaucher</w:t>
      </w:r>
      <w:proofErr w:type="spellEnd"/>
      <w:r w:rsidR="00393B4E" w:rsidRPr="00393B4E">
        <w:rPr>
          <w:rFonts w:cs="Arial"/>
          <w:szCs w:val="24"/>
        </w:rPr>
        <w:t xml:space="preserve"> disease</w:t>
      </w:r>
      <w:r w:rsidR="00393B4E">
        <w:rPr>
          <w:rFonts w:cs="Arial"/>
          <w:szCs w:val="24"/>
        </w:rPr>
        <w:t>.</w:t>
      </w:r>
      <w:r w:rsidR="00393B4E">
        <w:t xml:space="preserve"> </w:t>
      </w:r>
    </w:p>
    <w:p w:rsidR="00D56DC2" w:rsidRPr="005943F4" w:rsidRDefault="00D56DC2" w:rsidP="00E02163">
      <w:pPr>
        <w:pStyle w:val="PIHeading2"/>
      </w:pPr>
      <w:r w:rsidRPr="00D56DC2">
        <w:t>Use in Renal and Hepatic Impairment</w:t>
      </w:r>
      <w:r w:rsidRPr="005943F4">
        <w:t xml:space="preserve"> </w:t>
      </w:r>
    </w:p>
    <w:p w:rsidR="00E97493" w:rsidRPr="005943F4" w:rsidRDefault="00E97493" w:rsidP="00E02163">
      <w:r>
        <w:t xml:space="preserve">Studies of </w:t>
      </w:r>
      <w:proofErr w:type="spellStart"/>
      <w:r>
        <w:t>taliglucerase</w:t>
      </w:r>
      <w:proofErr w:type="spellEnd"/>
      <w:r>
        <w:t xml:space="preserve"> </w:t>
      </w:r>
      <w:proofErr w:type="spellStart"/>
      <w:r>
        <w:t>alfa</w:t>
      </w:r>
      <w:proofErr w:type="spellEnd"/>
      <w:r>
        <w:t xml:space="preserve"> </w:t>
      </w:r>
      <w:proofErr w:type="spellStart"/>
      <w:r w:rsidR="00CD7F51">
        <w:t>rpc</w:t>
      </w:r>
      <w:proofErr w:type="spellEnd"/>
      <w:r w:rsidR="00CD7F51">
        <w:t xml:space="preserve"> </w:t>
      </w:r>
      <w:r>
        <w:t xml:space="preserve">in patients with </w:t>
      </w:r>
      <w:proofErr w:type="spellStart"/>
      <w:proofErr w:type="gramStart"/>
      <w:r>
        <w:t>Gaucher</w:t>
      </w:r>
      <w:proofErr w:type="spellEnd"/>
      <w:proofErr w:type="gramEnd"/>
      <w:r>
        <w:t xml:space="preserve"> disease with renal or hepatic dysfunction have not been conducted. </w:t>
      </w:r>
    </w:p>
    <w:p w:rsidR="002162E9" w:rsidRPr="005943F4" w:rsidRDefault="002162E9" w:rsidP="00E02163">
      <w:pPr>
        <w:pStyle w:val="PIHeading2"/>
      </w:pPr>
      <w:r w:rsidRPr="005943F4">
        <w:t>Effects on Ability to Drive and Use of Machines</w:t>
      </w:r>
      <w:r w:rsidR="00851B65" w:rsidRPr="005943F4">
        <w:t xml:space="preserve"> </w:t>
      </w:r>
    </w:p>
    <w:p w:rsidR="002D5FA8" w:rsidRDefault="00A53925" w:rsidP="00E02163">
      <w:pPr>
        <w:rPr>
          <w:noProof/>
        </w:rPr>
      </w:pPr>
      <w:r>
        <w:rPr>
          <w:noProof/>
        </w:rPr>
        <w:t>Patients should be aware of how they react to ELELYSO before driving or operating machinery a</w:t>
      </w:r>
      <w:r w:rsidR="002D5FA8">
        <w:rPr>
          <w:noProof/>
        </w:rPr>
        <w:t>s dizziness has been reported in clinical trials with</w:t>
      </w:r>
      <w:r w:rsidR="00D63A67">
        <w:rPr>
          <w:noProof/>
        </w:rPr>
        <w:t xml:space="preserve"> </w:t>
      </w:r>
      <w:r>
        <w:rPr>
          <w:noProof/>
        </w:rPr>
        <w:t>ELELYSO.</w:t>
      </w:r>
    </w:p>
    <w:p w:rsidR="00AE180E" w:rsidRPr="005C6BDD" w:rsidRDefault="00AE180E" w:rsidP="00E02163">
      <w:pPr>
        <w:pStyle w:val="PIHeading1"/>
      </w:pPr>
      <w:r w:rsidRPr="005C6BDD">
        <w:t xml:space="preserve">Interactions with Other Medicines </w:t>
      </w:r>
    </w:p>
    <w:p w:rsidR="00AE180E" w:rsidRDefault="00AE180E" w:rsidP="00E02163">
      <w:pPr>
        <w:rPr>
          <w:noProof/>
        </w:rPr>
      </w:pPr>
      <w:r>
        <w:rPr>
          <w:noProof/>
        </w:rPr>
        <w:t xml:space="preserve">In the absence of compatibility studies, </w:t>
      </w:r>
      <w:r w:rsidR="00E67F94">
        <w:rPr>
          <w:noProof/>
        </w:rPr>
        <w:t xml:space="preserve">ELELYSO </w:t>
      </w:r>
      <w:r w:rsidR="008C3F3C">
        <w:rPr>
          <w:noProof/>
        </w:rPr>
        <w:t>should</w:t>
      </w:r>
      <w:r>
        <w:rPr>
          <w:noProof/>
        </w:rPr>
        <w:t xml:space="preserve"> not be mixed with other medicinal products</w:t>
      </w:r>
      <w:r w:rsidR="002D5FA8">
        <w:rPr>
          <w:noProof/>
        </w:rPr>
        <w:t>, except those mentioned in the DOSAGE AND ADMINISTRATION section</w:t>
      </w:r>
      <w:r w:rsidR="00FD19A9">
        <w:rPr>
          <w:noProof/>
        </w:rPr>
        <w:t>.</w:t>
      </w:r>
    </w:p>
    <w:p w:rsidR="002162E9" w:rsidRPr="005C6BDD" w:rsidRDefault="00C7315D" w:rsidP="00E02163">
      <w:pPr>
        <w:pStyle w:val="PIHeading1"/>
      </w:pPr>
      <w:r w:rsidRPr="005C6BDD">
        <w:t xml:space="preserve">ADVERSE </w:t>
      </w:r>
      <w:r w:rsidR="00EC69FE" w:rsidRPr="005C6BDD">
        <w:t>Effects</w:t>
      </w:r>
    </w:p>
    <w:p w:rsidR="003E4E0B" w:rsidRPr="005943F4" w:rsidRDefault="003E4E0B" w:rsidP="00D03410">
      <w:pPr>
        <w:pStyle w:val="PIHeading2"/>
        <w:rPr>
          <w:noProof/>
        </w:rPr>
      </w:pPr>
      <w:r w:rsidRPr="005943F4">
        <w:rPr>
          <w:noProof/>
        </w:rPr>
        <w:t>Summary of the safety profile</w:t>
      </w:r>
    </w:p>
    <w:p w:rsidR="00106F4C" w:rsidRDefault="003E4E0B" w:rsidP="00E02163">
      <w:pPr>
        <w:rPr>
          <w:noProof/>
        </w:rPr>
      </w:pPr>
      <w:r w:rsidRPr="005943F4">
        <w:rPr>
          <w:noProof/>
        </w:rPr>
        <w:t xml:space="preserve">The safety of </w:t>
      </w:r>
      <w:r w:rsidR="006C60A9">
        <w:rPr>
          <w:noProof/>
        </w:rPr>
        <w:t>ELELYSO has been</w:t>
      </w:r>
      <w:r w:rsidR="00EE7205">
        <w:rPr>
          <w:noProof/>
        </w:rPr>
        <w:t xml:space="preserve"> </w:t>
      </w:r>
      <w:r w:rsidR="006C60A9">
        <w:rPr>
          <w:noProof/>
        </w:rPr>
        <w:t>evaluated</w:t>
      </w:r>
      <w:r w:rsidR="00A70FF3" w:rsidRPr="005943F4">
        <w:rPr>
          <w:noProof/>
        </w:rPr>
        <w:t xml:space="preserve"> in </w:t>
      </w:r>
      <w:r w:rsidR="006C60A9">
        <w:rPr>
          <w:noProof/>
        </w:rPr>
        <w:t xml:space="preserve">over </w:t>
      </w:r>
      <w:r w:rsidR="0057242B">
        <w:rPr>
          <w:noProof/>
        </w:rPr>
        <w:t xml:space="preserve">130 </w:t>
      </w:r>
      <w:r w:rsidR="00951C1B" w:rsidRPr="005943F4">
        <w:rPr>
          <w:noProof/>
        </w:rPr>
        <w:t>patients</w:t>
      </w:r>
      <w:r w:rsidRPr="005943F4">
        <w:rPr>
          <w:noProof/>
        </w:rPr>
        <w:t xml:space="preserve"> with Gaucher disease. </w:t>
      </w:r>
      <w:r w:rsidR="006C60A9">
        <w:rPr>
          <w:noProof/>
        </w:rPr>
        <w:t>ELELYSO</w:t>
      </w:r>
      <w:r w:rsidRPr="005943F4">
        <w:rPr>
          <w:noProof/>
        </w:rPr>
        <w:t xml:space="preserve"> was administered in doses of </w:t>
      </w:r>
      <w:r w:rsidR="00A70FF3" w:rsidRPr="005943F4">
        <w:rPr>
          <w:noProof/>
        </w:rPr>
        <w:t>11</w:t>
      </w:r>
      <w:r w:rsidR="00D63A67">
        <w:rPr>
          <w:noProof/>
        </w:rPr>
        <w:t xml:space="preserve"> to</w:t>
      </w:r>
      <w:r w:rsidR="000D0FE7">
        <w:rPr>
          <w:noProof/>
        </w:rPr>
        <w:t xml:space="preserve"> </w:t>
      </w:r>
      <w:r w:rsidR="006C60A9">
        <w:rPr>
          <w:noProof/>
        </w:rPr>
        <w:t>73</w:t>
      </w:r>
      <w:r w:rsidR="00EE7205">
        <w:rPr>
          <w:noProof/>
        </w:rPr>
        <w:t xml:space="preserve"> </w:t>
      </w:r>
      <w:r w:rsidR="006C60A9">
        <w:rPr>
          <w:noProof/>
        </w:rPr>
        <w:t>units</w:t>
      </w:r>
      <w:r w:rsidRPr="005943F4">
        <w:rPr>
          <w:noProof/>
        </w:rPr>
        <w:t>/kg</w:t>
      </w:r>
      <w:r w:rsidR="006C60A9">
        <w:rPr>
          <w:noProof/>
        </w:rPr>
        <w:t xml:space="preserve"> </w:t>
      </w:r>
      <w:r w:rsidR="00106F4C">
        <w:rPr>
          <w:noProof/>
        </w:rPr>
        <w:t xml:space="preserve">of body weight </w:t>
      </w:r>
      <w:r w:rsidR="006C60A9">
        <w:rPr>
          <w:noProof/>
        </w:rPr>
        <w:t xml:space="preserve">every </w:t>
      </w:r>
      <w:r w:rsidR="00CD7F51">
        <w:rPr>
          <w:noProof/>
        </w:rPr>
        <w:t xml:space="preserve">2 </w:t>
      </w:r>
      <w:r w:rsidR="006C60A9">
        <w:rPr>
          <w:noProof/>
        </w:rPr>
        <w:t>week</w:t>
      </w:r>
      <w:r w:rsidR="00CD7F51">
        <w:rPr>
          <w:noProof/>
        </w:rPr>
        <w:t>s</w:t>
      </w:r>
      <w:r w:rsidR="00106F4C">
        <w:rPr>
          <w:noProof/>
        </w:rPr>
        <w:t>,</w:t>
      </w:r>
      <w:r w:rsidRPr="005943F4">
        <w:rPr>
          <w:noProof/>
        </w:rPr>
        <w:t xml:space="preserve"> for </w:t>
      </w:r>
      <w:r w:rsidR="0082183B">
        <w:rPr>
          <w:noProof/>
        </w:rPr>
        <w:t>treatment durations of</w:t>
      </w:r>
      <w:r w:rsidRPr="005943F4">
        <w:rPr>
          <w:noProof/>
        </w:rPr>
        <w:t xml:space="preserve"> </w:t>
      </w:r>
      <w:r w:rsidR="00A70FF3" w:rsidRPr="005943F4">
        <w:rPr>
          <w:noProof/>
        </w:rPr>
        <w:t>up to</w:t>
      </w:r>
      <w:r w:rsidRPr="005943F4">
        <w:rPr>
          <w:noProof/>
        </w:rPr>
        <w:t xml:space="preserve"> </w:t>
      </w:r>
      <w:r w:rsidR="00A70FF3" w:rsidRPr="005943F4">
        <w:rPr>
          <w:noProof/>
        </w:rPr>
        <w:t>3</w:t>
      </w:r>
      <w:r w:rsidR="006C60A9">
        <w:rPr>
          <w:noProof/>
        </w:rPr>
        <w:t>9</w:t>
      </w:r>
      <w:r w:rsidR="00951C1B" w:rsidRPr="005943F4">
        <w:rPr>
          <w:noProof/>
        </w:rPr>
        <w:t xml:space="preserve"> months. </w:t>
      </w:r>
    </w:p>
    <w:p w:rsidR="00E52CA3" w:rsidRDefault="006C60A9" w:rsidP="00E02163">
      <w:pPr>
        <w:rPr>
          <w:noProof/>
        </w:rPr>
      </w:pPr>
      <w:r>
        <w:rPr>
          <w:noProof/>
        </w:rPr>
        <w:lastRenderedPageBreak/>
        <w:t xml:space="preserve">Patients were between 2 and 85 years </w:t>
      </w:r>
      <w:r w:rsidR="00416B5A">
        <w:rPr>
          <w:noProof/>
        </w:rPr>
        <w:t xml:space="preserve">of age </w:t>
      </w:r>
      <w:r>
        <w:rPr>
          <w:noProof/>
        </w:rPr>
        <w:t>at the time of their first treatment with ELELYSO</w:t>
      </w:r>
      <w:r w:rsidR="0082183B">
        <w:rPr>
          <w:noProof/>
        </w:rPr>
        <w:t>,</w:t>
      </w:r>
      <w:r>
        <w:rPr>
          <w:noProof/>
        </w:rPr>
        <w:t xml:space="preserve"> and include</w:t>
      </w:r>
      <w:r w:rsidR="0082183B">
        <w:rPr>
          <w:noProof/>
        </w:rPr>
        <w:t>d</w:t>
      </w:r>
      <w:r>
        <w:rPr>
          <w:noProof/>
        </w:rPr>
        <w:t xml:space="preserve"> both treatment naïve </w:t>
      </w:r>
      <w:r w:rsidR="00CD7F51">
        <w:rPr>
          <w:noProof/>
        </w:rPr>
        <w:t xml:space="preserve">patients </w:t>
      </w:r>
      <w:r>
        <w:rPr>
          <w:noProof/>
        </w:rPr>
        <w:t xml:space="preserve">and </w:t>
      </w:r>
      <w:r w:rsidR="00D37AEC">
        <w:rPr>
          <w:noProof/>
        </w:rPr>
        <w:t xml:space="preserve">those patients </w:t>
      </w:r>
      <w:r>
        <w:rPr>
          <w:noProof/>
        </w:rPr>
        <w:t xml:space="preserve">previously treated with imiglucerase. </w:t>
      </w:r>
    </w:p>
    <w:p w:rsidR="00E52CA3" w:rsidRDefault="006C60A9" w:rsidP="00E02163">
      <w:pPr>
        <w:rPr>
          <w:noProof/>
        </w:rPr>
      </w:pPr>
      <w:r>
        <w:rPr>
          <w:noProof/>
        </w:rPr>
        <w:t xml:space="preserve">The most serious adverse reactions in patients in clinical trials were </w:t>
      </w:r>
      <w:r w:rsidR="002D5FA8">
        <w:rPr>
          <w:noProof/>
        </w:rPr>
        <w:t>immune</w:t>
      </w:r>
      <w:r w:rsidR="0082183B">
        <w:rPr>
          <w:noProof/>
        </w:rPr>
        <w:t>-</w:t>
      </w:r>
      <w:r w:rsidR="002D5FA8">
        <w:rPr>
          <w:noProof/>
        </w:rPr>
        <w:t xml:space="preserve">mediated adverse events of Type 1 </w:t>
      </w:r>
      <w:r>
        <w:rPr>
          <w:noProof/>
        </w:rPr>
        <w:t>hypersensitivity reactions</w:t>
      </w:r>
      <w:r w:rsidR="0016526B">
        <w:rPr>
          <w:noProof/>
        </w:rPr>
        <w:t xml:space="preserve"> (see PRECAUTIONS)</w:t>
      </w:r>
      <w:r>
        <w:rPr>
          <w:noProof/>
        </w:rPr>
        <w:t>.</w:t>
      </w:r>
    </w:p>
    <w:p w:rsidR="00E52CA3" w:rsidRDefault="006C60A9" w:rsidP="00E02163">
      <w:pPr>
        <w:rPr>
          <w:szCs w:val="22"/>
          <w:lang w:eastAsia="en-GB"/>
        </w:rPr>
      </w:pPr>
      <w:r w:rsidRPr="00CD0448">
        <w:rPr>
          <w:szCs w:val="24"/>
          <w:lang w:eastAsia="en-GB"/>
        </w:rPr>
        <w:t>The most common adverse reactions were infusion-related reactions</w:t>
      </w:r>
      <w:r w:rsidR="00F65C17" w:rsidRPr="00CD0448">
        <w:rPr>
          <w:szCs w:val="24"/>
          <w:lang w:eastAsia="en-GB"/>
        </w:rPr>
        <w:t xml:space="preserve"> occur</w:t>
      </w:r>
      <w:r w:rsidR="0057242B" w:rsidRPr="00CD0448">
        <w:rPr>
          <w:szCs w:val="24"/>
          <w:lang w:eastAsia="en-GB"/>
        </w:rPr>
        <w:t>r</w:t>
      </w:r>
      <w:r w:rsidR="00416B5A" w:rsidRPr="00CD0448">
        <w:rPr>
          <w:szCs w:val="24"/>
          <w:lang w:eastAsia="en-GB"/>
        </w:rPr>
        <w:t>ing</w:t>
      </w:r>
      <w:r w:rsidR="0057242B" w:rsidRPr="00CD0448">
        <w:rPr>
          <w:szCs w:val="24"/>
          <w:lang w:eastAsia="en-GB"/>
        </w:rPr>
        <w:t xml:space="preserve"> within 24 hours of the infusion.</w:t>
      </w:r>
      <w:r w:rsidRPr="00CD0448">
        <w:rPr>
          <w:szCs w:val="24"/>
          <w:lang w:eastAsia="en-GB"/>
        </w:rPr>
        <w:t xml:space="preserve"> The most commonly observed symptoms of infusion-related reactions were: </w:t>
      </w:r>
      <w:r w:rsidR="0057242B" w:rsidRPr="00CD0448">
        <w:rPr>
          <w:szCs w:val="24"/>
          <w:lang w:eastAsia="en-GB"/>
        </w:rPr>
        <w:t xml:space="preserve">arthralgia, </w:t>
      </w:r>
      <w:r w:rsidRPr="00CD0448">
        <w:rPr>
          <w:szCs w:val="24"/>
          <w:lang w:eastAsia="en-GB"/>
        </w:rPr>
        <w:t xml:space="preserve">headache, </w:t>
      </w:r>
      <w:r w:rsidR="0057242B" w:rsidRPr="00CD0448">
        <w:rPr>
          <w:szCs w:val="24"/>
          <w:lang w:eastAsia="en-GB"/>
        </w:rPr>
        <w:t>infusion-related reactions, vomiting, hypersen</w:t>
      </w:r>
      <w:r w:rsidR="00E36A5F">
        <w:rPr>
          <w:szCs w:val="24"/>
          <w:lang w:eastAsia="en-GB"/>
        </w:rPr>
        <w:t>si</w:t>
      </w:r>
      <w:r w:rsidR="0057242B" w:rsidRPr="00CD0448">
        <w:rPr>
          <w:szCs w:val="24"/>
          <w:lang w:eastAsia="en-GB"/>
        </w:rPr>
        <w:t xml:space="preserve">tivity, flushing, </w:t>
      </w:r>
      <w:r w:rsidRPr="00CD0448">
        <w:rPr>
          <w:szCs w:val="24"/>
          <w:lang w:eastAsia="en-GB"/>
        </w:rPr>
        <w:t xml:space="preserve">pruritus, </w:t>
      </w:r>
      <w:r w:rsidR="0057242B" w:rsidRPr="00CD0448">
        <w:rPr>
          <w:szCs w:val="24"/>
          <w:lang w:eastAsia="en-GB"/>
        </w:rPr>
        <w:t>pain in extremity and pulmonary hypertension.</w:t>
      </w:r>
      <w:r w:rsidR="00CD5A51" w:rsidRPr="00CD0448">
        <w:rPr>
          <w:szCs w:val="24"/>
          <w:lang w:eastAsia="en-GB"/>
        </w:rPr>
        <w:t xml:space="preserve"> </w:t>
      </w:r>
      <w:r w:rsidR="0057242B" w:rsidRPr="00CD0448">
        <w:rPr>
          <w:szCs w:val="24"/>
        </w:rPr>
        <w:t>Other infusion reactions included diarrhoea, chest discomfort, feeling hot, muscle spasms, tremor, throat irritation, erythema and rash</w:t>
      </w:r>
      <w:r w:rsidR="0057242B" w:rsidRPr="0050088F">
        <w:t>.</w:t>
      </w:r>
      <w:r w:rsidRPr="008B55BB">
        <w:rPr>
          <w:szCs w:val="22"/>
          <w:lang w:eastAsia="en-GB"/>
        </w:rPr>
        <w:t xml:space="preserve"> </w:t>
      </w:r>
    </w:p>
    <w:p w:rsidR="00CD0448" w:rsidRPr="002432E8" w:rsidRDefault="00CD0448" w:rsidP="00CD0448">
      <w:pPr>
        <w:rPr>
          <w:noProof/>
          <w:u w:val="single"/>
        </w:rPr>
      </w:pPr>
      <w:r w:rsidRPr="002432E8">
        <w:t xml:space="preserve">The safety of </w:t>
      </w:r>
      <w:r>
        <w:t>ELELYSO</w:t>
      </w:r>
      <w:r w:rsidRPr="002432E8">
        <w:t xml:space="preserve"> has been established in p</w:t>
      </w:r>
      <w:r>
        <w:t>a</w:t>
      </w:r>
      <w:r w:rsidRPr="002432E8">
        <w:t xml:space="preserve">ediatric patients from </w:t>
      </w:r>
      <w:r w:rsidRPr="00FF2CF3">
        <w:t>2 to 1</w:t>
      </w:r>
      <w:r w:rsidR="00D03410" w:rsidRPr="00FF2CF3">
        <w:t>7</w:t>
      </w:r>
      <w:r w:rsidRPr="00FF2CF3">
        <w:t xml:space="preserve"> years</w:t>
      </w:r>
      <w:r w:rsidRPr="002432E8">
        <w:t xml:space="preserve"> of age</w:t>
      </w:r>
      <w:r w:rsidRPr="00D57BE3">
        <w:t>. O</w:t>
      </w:r>
      <w:r>
        <w:t>ne treatment-related serious adverse event</w:t>
      </w:r>
      <w:r w:rsidRPr="00D57BE3">
        <w:t xml:space="preserve"> was reported in</w:t>
      </w:r>
      <w:r w:rsidR="00A52109">
        <w:t xml:space="preserve"> </w:t>
      </w:r>
      <w:r w:rsidRPr="00D57BE3">
        <w:t>p</w:t>
      </w:r>
      <w:r>
        <w:t>a</w:t>
      </w:r>
      <w:r w:rsidRPr="00D57BE3">
        <w:t>ediatric clinical trials;</w:t>
      </w:r>
      <w:r>
        <w:t xml:space="preserve"> </w:t>
      </w:r>
      <w:r w:rsidR="00D03410">
        <w:t>an</w:t>
      </w:r>
      <w:r w:rsidR="00A52109">
        <w:t xml:space="preserve"> </w:t>
      </w:r>
      <w:r w:rsidRPr="002432E8">
        <w:t>8 year</w:t>
      </w:r>
      <w:r w:rsidR="007F346C">
        <w:t xml:space="preserve"> </w:t>
      </w:r>
      <w:r w:rsidRPr="002432E8">
        <w:t>old patient experienced a serious adverse reaction (gastroenteritis). There does not appear to be a major difference in frequency of adverse reactions in p</w:t>
      </w:r>
      <w:r>
        <w:t>a</w:t>
      </w:r>
      <w:r w:rsidRPr="002432E8">
        <w:t>ediatric patients compared to adult patients, with the exception that vomiting and abdominal pain were seen more commonly in p</w:t>
      </w:r>
      <w:r>
        <w:t>a</w:t>
      </w:r>
      <w:r w:rsidRPr="002432E8">
        <w:t>ediatric patients.</w:t>
      </w:r>
    </w:p>
    <w:p w:rsidR="003E4E0B" w:rsidRPr="005943F4" w:rsidRDefault="003E4E0B" w:rsidP="00E02163">
      <w:pPr>
        <w:pStyle w:val="PIHeading3"/>
        <w:keepNext w:val="0"/>
        <w:rPr>
          <w:noProof/>
        </w:rPr>
      </w:pPr>
      <w:r w:rsidRPr="005943F4">
        <w:rPr>
          <w:noProof/>
        </w:rPr>
        <w:t>Tabulated list of adverse reactions</w:t>
      </w:r>
    </w:p>
    <w:p w:rsidR="003E4E0B" w:rsidRPr="005943F4" w:rsidRDefault="003E4E0B" w:rsidP="00E02163">
      <w:pPr>
        <w:rPr>
          <w:noProof/>
        </w:rPr>
      </w:pPr>
      <w:r w:rsidRPr="005943F4">
        <w:rPr>
          <w:noProof/>
        </w:rPr>
        <w:t xml:space="preserve">The adverse reactions </w:t>
      </w:r>
      <w:r w:rsidR="006C60A9">
        <w:rPr>
          <w:noProof/>
        </w:rPr>
        <w:t>reported in patients with Gauch</w:t>
      </w:r>
      <w:r w:rsidR="003578B0">
        <w:rPr>
          <w:noProof/>
        </w:rPr>
        <w:t xml:space="preserve">er disease are listed in Table </w:t>
      </w:r>
      <w:r w:rsidR="00545803">
        <w:rPr>
          <w:noProof/>
        </w:rPr>
        <w:t>4</w:t>
      </w:r>
      <w:r w:rsidR="006C7A50">
        <w:rPr>
          <w:noProof/>
        </w:rPr>
        <w:t xml:space="preserve"> (all adult and paediatric patients)</w:t>
      </w:r>
      <w:r w:rsidR="006C60A9">
        <w:rPr>
          <w:noProof/>
        </w:rPr>
        <w:t xml:space="preserve">. </w:t>
      </w:r>
      <w:r w:rsidR="00106F4C">
        <w:rPr>
          <w:noProof/>
        </w:rPr>
        <w:t xml:space="preserve">Information is presented by system organ class and frequency according to MedDRA convention. Frequency is defined as </w:t>
      </w:r>
      <w:r w:rsidR="006C60A9">
        <w:rPr>
          <w:noProof/>
        </w:rPr>
        <w:t>very common (</w:t>
      </w:r>
      <w:r w:rsidRPr="005943F4">
        <w:rPr>
          <w:noProof/>
        </w:rPr>
        <w:sym w:font="Symbol" w:char="F0B3"/>
      </w:r>
      <w:r w:rsidRPr="005943F4">
        <w:rPr>
          <w:noProof/>
        </w:rPr>
        <w:t xml:space="preserve">1/10) </w:t>
      </w:r>
      <w:r w:rsidR="006C60A9">
        <w:rPr>
          <w:noProof/>
        </w:rPr>
        <w:t xml:space="preserve">or </w:t>
      </w:r>
      <w:r w:rsidRPr="005943F4">
        <w:rPr>
          <w:noProof/>
        </w:rPr>
        <w:t>common (</w:t>
      </w:r>
      <w:r w:rsidRPr="005943F4">
        <w:rPr>
          <w:noProof/>
        </w:rPr>
        <w:sym w:font="Symbol" w:char="F0B3"/>
      </w:r>
      <w:r w:rsidRPr="005943F4">
        <w:rPr>
          <w:noProof/>
        </w:rPr>
        <w:t>1/100 to &lt;1/10)</w:t>
      </w:r>
      <w:r w:rsidR="006C60A9">
        <w:rPr>
          <w:noProof/>
        </w:rPr>
        <w:t>.</w:t>
      </w:r>
      <w:r w:rsidR="00106F4C">
        <w:rPr>
          <w:noProof/>
        </w:rPr>
        <w:t xml:space="preserve"> </w:t>
      </w:r>
      <w:r w:rsidRPr="005943F4">
        <w:rPr>
          <w:noProof/>
        </w:rPr>
        <w:t xml:space="preserve">Within each frequency grouping, </w:t>
      </w:r>
      <w:r w:rsidR="006C7A50">
        <w:rPr>
          <w:noProof/>
        </w:rPr>
        <w:t xml:space="preserve">adverse reactions </w:t>
      </w:r>
      <w:r w:rsidRPr="005943F4">
        <w:rPr>
          <w:noProof/>
        </w:rPr>
        <w:t>are presented in order of decreasing seriousness.</w:t>
      </w:r>
    </w:p>
    <w:p w:rsidR="00DC0791" w:rsidRDefault="00316110" w:rsidP="00E02163">
      <w:pPr>
        <w:pStyle w:val="PITableTitle"/>
        <w:jc w:val="both"/>
      </w:pPr>
      <w:r>
        <w:lastRenderedPageBreak/>
        <w:t xml:space="preserve">Table </w:t>
      </w:r>
      <w:r w:rsidR="00F108A9">
        <w:t>4</w:t>
      </w:r>
      <w:r>
        <w:t xml:space="preserve">: Adverse Reactions Reported in </w:t>
      </w:r>
      <w:r w:rsidR="006C7A50">
        <w:t xml:space="preserve">Phase 3 Clinical Studies* </w:t>
      </w:r>
    </w:p>
    <w:tbl>
      <w:tblPr>
        <w:tblW w:w="9287" w:type="dxa"/>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984"/>
        <w:gridCol w:w="3151"/>
        <w:gridCol w:w="3152"/>
      </w:tblGrid>
      <w:tr w:rsidR="006C60A9" w:rsidRPr="00535D3E" w:rsidTr="00CE6B69">
        <w:tc>
          <w:tcPr>
            <w:tcW w:w="2984" w:type="dxa"/>
            <w:vMerge w:val="restart"/>
            <w:tcBorders>
              <w:top w:val="single" w:sz="4" w:space="0" w:color="000000"/>
              <w:right w:val="single" w:sz="4" w:space="0" w:color="000000"/>
            </w:tcBorders>
          </w:tcPr>
          <w:p w:rsidR="006C60A9" w:rsidRPr="00201F6D" w:rsidRDefault="006C60A9" w:rsidP="00B71258">
            <w:pPr>
              <w:keepNext/>
              <w:keepLines/>
              <w:tabs>
                <w:tab w:val="left" w:pos="1562"/>
              </w:tabs>
              <w:autoSpaceDE w:val="0"/>
              <w:autoSpaceDN w:val="0"/>
              <w:adjustRightInd w:val="0"/>
              <w:spacing w:after="120" w:line="240" w:lineRule="atLeast"/>
              <w:rPr>
                <w:rStyle w:val="TableText9"/>
                <w:b/>
                <w:sz w:val="22"/>
                <w:szCs w:val="22"/>
              </w:rPr>
            </w:pPr>
            <w:r w:rsidRPr="00201F6D">
              <w:rPr>
                <w:rStyle w:val="TableText9"/>
                <w:b/>
                <w:sz w:val="22"/>
                <w:szCs w:val="22"/>
              </w:rPr>
              <w:t xml:space="preserve">System </w:t>
            </w:r>
            <w:r w:rsidR="00CB6E0D" w:rsidRPr="00201F6D">
              <w:rPr>
                <w:rStyle w:val="TableText9"/>
                <w:b/>
                <w:sz w:val="22"/>
                <w:szCs w:val="22"/>
              </w:rPr>
              <w:t>Organ Class</w:t>
            </w:r>
          </w:p>
        </w:tc>
        <w:tc>
          <w:tcPr>
            <w:tcW w:w="6303" w:type="dxa"/>
            <w:gridSpan w:val="2"/>
            <w:tcBorders>
              <w:top w:val="single" w:sz="4" w:space="0" w:color="000000"/>
              <w:left w:val="single" w:sz="4" w:space="0" w:color="000000"/>
              <w:bottom w:val="single" w:sz="4" w:space="0" w:color="000000"/>
            </w:tcBorders>
          </w:tcPr>
          <w:p w:rsidR="006C60A9" w:rsidRPr="00201F6D" w:rsidRDefault="006C60A9" w:rsidP="00B71258">
            <w:pPr>
              <w:keepNext/>
              <w:keepLines/>
              <w:autoSpaceDE w:val="0"/>
              <w:autoSpaceDN w:val="0"/>
              <w:adjustRightInd w:val="0"/>
              <w:spacing w:after="120" w:line="240" w:lineRule="atLeast"/>
              <w:jc w:val="center"/>
              <w:rPr>
                <w:rStyle w:val="TableText9"/>
                <w:b/>
                <w:sz w:val="22"/>
                <w:szCs w:val="22"/>
              </w:rPr>
            </w:pPr>
            <w:r w:rsidRPr="00201F6D">
              <w:rPr>
                <w:rStyle w:val="TableText9"/>
                <w:b/>
                <w:sz w:val="22"/>
                <w:szCs w:val="22"/>
              </w:rPr>
              <w:t>Adverse Reaction</w:t>
            </w:r>
          </w:p>
        </w:tc>
      </w:tr>
      <w:tr w:rsidR="006C60A9" w:rsidRPr="00535D3E" w:rsidTr="00CE6B69">
        <w:tc>
          <w:tcPr>
            <w:tcW w:w="2984" w:type="dxa"/>
            <w:vMerge/>
            <w:tcBorders>
              <w:bottom w:val="single" w:sz="4" w:space="0" w:color="000000"/>
              <w:right w:val="single" w:sz="4" w:space="0" w:color="000000"/>
            </w:tcBorders>
          </w:tcPr>
          <w:p w:rsidR="00E572C2" w:rsidRPr="00201F6D" w:rsidRDefault="00E572C2" w:rsidP="00B71258">
            <w:pPr>
              <w:keepNext/>
              <w:keepLines/>
              <w:tabs>
                <w:tab w:val="left" w:pos="1562"/>
              </w:tabs>
              <w:autoSpaceDE w:val="0"/>
              <w:autoSpaceDN w:val="0"/>
              <w:adjustRightInd w:val="0"/>
              <w:spacing w:after="120" w:line="240" w:lineRule="atLeast"/>
              <w:rPr>
                <w:rStyle w:val="TableText9"/>
                <w:sz w:val="22"/>
                <w:szCs w:val="22"/>
              </w:rPr>
            </w:pPr>
          </w:p>
        </w:tc>
        <w:tc>
          <w:tcPr>
            <w:tcW w:w="3151" w:type="dxa"/>
            <w:tcBorders>
              <w:top w:val="single" w:sz="4" w:space="0" w:color="000000"/>
              <w:left w:val="single" w:sz="4" w:space="0" w:color="000000"/>
              <w:bottom w:val="single" w:sz="4" w:space="0" w:color="000000"/>
              <w:right w:val="single" w:sz="4" w:space="0" w:color="000000"/>
            </w:tcBorders>
          </w:tcPr>
          <w:p w:rsidR="00E572C2" w:rsidRPr="00201F6D" w:rsidRDefault="00553F7B" w:rsidP="00B71258">
            <w:pPr>
              <w:keepNext/>
              <w:keepLines/>
              <w:autoSpaceDE w:val="0"/>
              <w:autoSpaceDN w:val="0"/>
              <w:adjustRightInd w:val="0"/>
              <w:spacing w:after="120" w:line="240" w:lineRule="atLeast"/>
              <w:jc w:val="center"/>
              <w:rPr>
                <w:rStyle w:val="TableText9"/>
                <w:b/>
                <w:sz w:val="22"/>
                <w:szCs w:val="22"/>
              </w:rPr>
            </w:pPr>
            <w:r w:rsidRPr="00201F6D">
              <w:rPr>
                <w:rStyle w:val="TableText9"/>
                <w:b/>
                <w:sz w:val="22"/>
                <w:szCs w:val="22"/>
              </w:rPr>
              <w:t>Very Common</w:t>
            </w:r>
          </w:p>
        </w:tc>
        <w:tc>
          <w:tcPr>
            <w:tcW w:w="3152" w:type="dxa"/>
            <w:tcBorders>
              <w:top w:val="single" w:sz="4" w:space="0" w:color="000000"/>
              <w:left w:val="single" w:sz="4" w:space="0" w:color="000000"/>
              <w:bottom w:val="single" w:sz="4" w:space="0" w:color="000000"/>
            </w:tcBorders>
          </w:tcPr>
          <w:p w:rsidR="00E572C2" w:rsidRPr="00201F6D" w:rsidRDefault="00553F7B" w:rsidP="00B71258">
            <w:pPr>
              <w:keepNext/>
              <w:keepLines/>
              <w:autoSpaceDE w:val="0"/>
              <w:autoSpaceDN w:val="0"/>
              <w:adjustRightInd w:val="0"/>
              <w:spacing w:after="120" w:line="240" w:lineRule="atLeast"/>
              <w:jc w:val="center"/>
              <w:rPr>
                <w:rStyle w:val="TableText9"/>
                <w:b/>
                <w:sz w:val="22"/>
                <w:szCs w:val="22"/>
              </w:rPr>
            </w:pPr>
            <w:r w:rsidRPr="00201F6D">
              <w:rPr>
                <w:rStyle w:val="TableText9"/>
                <w:b/>
                <w:sz w:val="22"/>
                <w:szCs w:val="22"/>
              </w:rPr>
              <w:t>Common</w:t>
            </w:r>
            <w:r w:rsidR="00CD7F51" w:rsidRPr="00201F6D">
              <w:rPr>
                <w:rStyle w:val="TableText9"/>
                <w:b/>
                <w:sz w:val="22"/>
                <w:szCs w:val="22"/>
              </w:rPr>
              <w:t xml:space="preserve">                                                  </w:t>
            </w:r>
          </w:p>
        </w:tc>
      </w:tr>
      <w:tr w:rsidR="006C60A9" w:rsidRPr="00535D3E" w:rsidTr="00CE6B69">
        <w:tc>
          <w:tcPr>
            <w:tcW w:w="2984" w:type="dxa"/>
            <w:tcBorders>
              <w:top w:val="single" w:sz="4" w:space="0" w:color="000000"/>
              <w:bottom w:val="single" w:sz="4" w:space="0" w:color="000000"/>
              <w:right w:val="single" w:sz="4" w:space="0" w:color="000000"/>
            </w:tcBorders>
          </w:tcPr>
          <w:p w:rsidR="006C60A9" w:rsidRPr="00201F6D" w:rsidRDefault="006C60A9" w:rsidP="00B71258">
            <w:pPr>
              <w:keepNext/>
              <w:keepLines/>
              <w:autoSpaceDE w:val="0"/>
              <w:autoSpaceDN w:val="0"/>
              <w:adjustRightInd w:val="0"/>
              <w:spacing w:after="120" w:line="240" w:lineRule="atLeast"/>
              <w:jc w:val="left"/>
              <w:rPr>
                <w:rStyle w:val="TableText9"/>
                <w:sz w:val="22"/>
                <w:szCs w:val="22"/>
              </w:rPr>
            </w:pPr>
            <w:r w:rsidRPr="00201F6D">
              <w:rPr>
                <w:rStyle w:val="TableText9"/>
                <w:sz w:val="22"/>
                <w:szCs w:val="22"/>
              </w:rPr>
              <w:t>Immune system disorders</w:t>
            </w:r>
          </w:p>
        </w:tc>
        <w:tc>
          <w:tcPr>
            <w:tcW w:w="3151" w:type="dxa"/>
            <w:tcBorders>
              <w:top w:val="single" w:sz="4" w:space="0" w:color="000000"/>
              <w:left w:val="single" w:sz="4" w:space="0" w:color="000000"/>
              <w:bottom w:val="single" w:sz="4" w:space="0" w:color="000000"/>
              <w:right w:val="single" w:sz="4" w:space="0" w:color="000000"/>
            </w:tcBorders>
          </w:tcPr>
          <w:p w:rsidR="00086B18" w:rsidRDefault="00086B18" w:rsidP="00B71258">
            <w:pPr>
              <w:keepNext/>
              <w:keepLines/>
              <w:autoSpaceDE w:val="0"/>
              <w:autoSpaceDN w:val="0"/>
              <w:adjustRightInd w:val="0"/>
              <w:spacing w:after="120" w:line="240" w:lineRule="atLeast"/>
              <w:jc w:val="center"/>
              <w:rPr>
                <w:rStyle w:val="TableText9"/>
                <w:sz w:val="22"/>
                <w:szCs w:val="22"/>
              </w:rPr>
            </w:pPr>
          </w:p>
        </w:tc>
        <w:tc>
          <w:tcPr>
            <w:tcW w:w="3152" w:type="dxa"/>
            <w:tcBorders>
              <w:top w:val="single" w:sz="4" w:space="0" w:color="000000"/>
              <w:left w:val="single" w:sz="4" w:space="0" w:color="000000"/>
              <w:bottom w:val="single" w:sz="4" w:space="0" w:color="000000"/>
            </w:tcBorders>
          </w:tcPr>
          <w:p w:rsidR="006C60A9" w:rsidRPr="00201F6D" w:rsidRDefault="006C60A9" w:rsidP="00B71258">
            <w:pPr>
              <w:keepNext/>
              <w:keepLines/>
              <w:autoSpaceDE w:val="0"/>
              <w:autoSpaceDN w:val="0"/>
              <w:adjustRightInd w:val="0"/>
              <w:spacing w:after="120" w:line="240" w:lineRule="atLeast"/>
              <w:jc w:val="center"/>
              <w:rPr>
                <w:rStyle w:val="TableText9"/>
                <w:sz w:val="22"/>
                <w:szCs w:val="22"/>
              </w:rPr>
            </w:pPr>
            <w:r w:rsidRPr="00201F6D">
              <w:rPr>
                <w:rStyle w:val="TableText9"/>
                <w:sz w:val="22"/>
                <w:szCs w:val="22"/>
              </w:rPr>
              <w:t>Hypersensitivity</w:t>
            </w:r>
          </w:p>
        </w:tc>
      </w:tr>
      <w:tr w:rsidR="006C60A9" w:rsidRPr="00535D3E" w:rsidTr="00CE6B69">
        <w:tc>
          <w:tcPr>
            <w:tcW w:w="2984" w:type="dxa"/>
            <w:tcBorders>
              <w:top w:val="single" w:sz="4" w:space="0" w:color="000000"/>
              <w:bottom w:val="single" w:sz="4" w:space="0" w:color="000000"/>
              <w:right w:val="single" w:sz="4" w:space="0" w:color="000000"/>
            </w:tcBorders>
          </w:tcPr>
          <w:p w:rsidR="006C60A9" w:rsidRPr="00201F6D" w:rsidRDefault="006C60A9" w:rsidP="00B71258">
            <w:pPr>
              <w:keepNext/>
              <w:keepLines/>
              <w:autoSpaceDE w:val="0"/>
              <w:autoSpaceDN w:val="0"/>
              <w:adjustRightInd w:val="0"/>
              <w:spacing w:after="120" w:line="240" w:lineRule="atLeast"/>
              <w:jc w:val="left"/>
              <w:rPr>
                <w:rStyle w:val="TableText9"/>
                <w:sz w:val="22"/>
                <w:szCs w:val="22"/>
              </w:rPr>
            </w:pPr>
            <w:r w:rsidRPr="00201F6D">
              <w:rPr>
                <w:rStyle w:val="TableText9"/>
                <w:sz w:val="22"/>
                <w:szCs w:val="22"/>
              </w:rPr>
              <w:t>Nervous system disorders</w:t>
            </w:r>
          </w:p>
        </w:tc>
        <w:tc>
          <w:tcPr>
            <w:tcW w:w="3151" w:type="dxa"/>
            <w:tcBorders>
              <w:top w:val="single" w:sz="4" w:space="0" w:color="000000"/>
              <w:left w:val="single" w:sz="4" w:space="0" w:color="000000"/>
              <w:bottom w:val="single" w:sz="4" w:space="0" w:color="000000"/>
              <w:right w:val="single" w:sz="4" w:space="0" w:color="000000"/>
            </w:tcBorders>
          </w:tcPr>
          <w:p w:rsidR="00086B18" w:rsidRDefault="006C60A9" w:rsidP="00B71258">
            <w:pPr>
              <w:keepNext/>
              <w:keepLines/>
              <w:autoSpaceDE w:val="0"/>
              <w:autoSpaceDN w:val="0"/>
              <w:adjustRightInd w:val="0"/>
              <w:spacing w:after="120" w:line="240" w:lineRule="atLeast"/>
              <w:jc w:val="center"/>
              <w:rPr>
                <w:rStyle w:val="TableText9"/>
                <w:sz w:val="22"/>
                <w:szCs w:val="22"/>
              </w:rPr>
            </w:pPr>
            <w:r w:rsidRPr="00201F6D">
              <w:rPr>
                <w:rStyle w:val="TableText9"/>
                <w:sz w:val="22"/>
                <w:szCs w:val="22"/>
              </w:rPr>
              <w:t>Headache</w:t>
            </w:r>
          </w:p>
        </w:tc>
        <w:tc>
          <w:tcPr>
            <w:tcW w:w="3152" w:type="dxa"/>
            <w:tcBorders>
              <w:top w:val="single" w:sz="4" w:space="0" w:color="000000"/>
              <w:left w:val="single" w:sz="4" w:space="0" w:color="000000"/>
              <w:bottom w:val="single" w:sz="4" w:space="0" w:color="000000"/>
            </w:tcBorders>
          </w:tcPr>
          <w:p w:rsidR="006C60A9" w:rsidRPr="00201F6D" w:rsidRDefault="006C60A9" w:rsidP="00B71258">
            <w:pPr>
              <w:keepNext/>
              <w:keepLines/>
              <w:autoSpaceDE w:val="0"/>
              <w:autoSpaceDN w:val="0"/>
              <w:adjustRightInd w:val="0"/>
              <w:spacing w:after="120" w:line="240" w:lineRule="atLeast"/>
              <w:jc w:val="center"/>
              <w:rPr>
                <w:rStyle w:val="TableText9"/>
                <w:sz w:val="22"/>
                <w:szCs w:val="22"/>
              </w:rPr>
            </w:pPr>
            <w:r w:rsidRPr="00201F6D">
              <w:rPr>
                <w:rStyle w:val="TableText9"/>
                <w:sz w:val="22"/>
                <w:szCs w:val="22"/>
              </w:rPr>
              <w:t>Dizziness</w:t>
            </w:r>
          </w:p>
        </w:tc>
      </w:tr>
      <w:tr w:rsidR="006C60A9" w:rsidRPr="00535D3E" w:rsidTr="00CE6B69">
        <w:tc>
          <w:tcPr>
            <w:tcW w:w="2984" w:type="dxa"/>
            <w:tcBorders>
              <w:top w:val="single" w:sz="4" w:space="0" w:color="000000"/>
              <w:bottom w:val="single" w:sz="4" w:space="0" w:color="000000"/>
              <w:right w:val="single" w:sz="4" w:space="0" w:color="000000"/>
            </w:tcBorders>
          </w:tcPr>
          <w:p w:rsidR="006C60A9" w:rsidRPr="00201F6D" w:rsidRDefault="006C60A9" w:rsidP="00B71258">
            <w:pPr>
              <w:keepNext/>
              <w:keepLines/>
              <w:autoSpaceDE w:val="0"/>
              <w:autoSpaceDN w:val="0"/>
              <w:adjustRightInd w:val="0"/>
              <w:spacing w:after="120" w:line="240" w:lineRule="atLeast"/>
              <w:jc w:val="left"/>
              <w:rPr>
                <w:rStyle w:val="TableText9"/>
                <w:sz w:val="22"/>
                <w:szCs w:val="22"/>
              </w:rPr>
            </w:pPr>
            <w:r w:rsidRPr="00201F6D">
              <w:rPr>
                <w:rStyle w:val="TableText9"/>
                <w:sz w:val="22"/>
                <w:szCs w:val="22"/>
              </w:rPr>
              <w:t xml:space="preserve">Vascular disorders </w:t>
            </w:r>
          </w:p>
        </w:tc>
        <w:tc>
          <w:tcPr>
            <w:tcW w:w="3151" w:type="dxa"/>
            <w:tcBorders>
              <w:top w:val="single" w:sz="4" w:space="0" w:color="000000"/>
              <w:left w:val="single" w:sz="4" w:space="0" w:color="000000"/>
              <w:bottom w:val="single" w:sz="4" w:space="0" w:color="000000"/>
              <w:right w:val="single" w:sz="4" w:space="0" w:color="000000"/>
            </w:tcBorders>
          </w:tcPr>
          <w:p w:rsidR="00086B18" w:rsidRDefault="00086B18" w:rsidP="00B71258">
            <w:pPr>
              <w:keepNext/>
              <w:keepLines/>
              <w:autoSpaceDE w:val="0"/>
              <w:autoSpaceDN w:val="0"/>
              <w:adjustRightInd w:val="0"/>
              <w:spacing w:after="120" w:line="240" w:lineRule="atLeast"/>
              <w:jc w:val="center"/>
              <w:rPr>
                <w:rStyle w:val="TableText9"/>
                <w:sz w:val="22"/>
                <w:szCs w:val="22"/>
              </w:rPr>
            </w:pPr>
          </w:p>
        </w:tc>
        <w:tc>
          <w:tcPr>
            <w:tcW w:w="3152" w:type="dxa"/>
            <w:tcBorders>
              <w:top w:val="single" w:sz="4" w:space="0" w:color="000000"/>
              <w:left w:val="single" w:sz="4" w:space="0" w:color="000000"/>
              <w:bottom w:val="single" w:sz="4" w:space="0" w:color="000000"/>
            </w:tcBorders>
          </w:tcPr>
          <w:p w:rsidR="006C60A9" w:rsidRPr="00201F6D" w:rsidRDefault="006C60A9" w:rsidP="00B71258">
            <w:pPr>
              <w:keepNext/>
              <w:keepLines/>
              <w:autoSpaceDE w:val="0"/>
              <w:autoSpaceDN w:val="0"/>
              <w:adjustRightInd w:val="0"/>
              <w:spacing w:after="120" w:line="240" w:lineRule="atLeast"/>
              <w:jc w:val="center"/>
              <w:rPr>
                <w:rStyle w:val="TableText9"/>
                <w:sz w:val="22"/>
                <w:szCs w:val="22"/>
              </w:rPr>
            </w:pPr>
            <w:r w:rsidRPr="00201F6D">
              <w:rPr>
                <w:rStyle w:val="TableText9"/>
                <w:sz w:val="22"/>
                <w:szCs w:val="22"/>
              </w:rPr>
              <w:t>Flushing</w:t>
            </w:r>
          </w:p>
        </w:tc>
      </w:tr>
      <w:tr w:rsidR="006C60A9" w:rsidRPr="00535D3E" w:rsidTr="00CE6B69">
        <w:tc>
          <w:tcPr>
            <w:tcW w:w="2984" w:type="dxa"/>
            <w:tcBorders>
              <w:top w:val="single" w:sz="4" w:space="0" w:color="000000"/>
              <w:bottom w:val="single" w:sz="4" w:space="0" w:color="000000"/>
              <w:right w:val="single" w:sz="4" w:space="0" w:color="000000"/>
            </w:tcBorders>
          </w:tcPr>
          <w:p w:rsidR="006C60A9" w:rsidRPr="00201F6D" w:rsidRDefault="006C60A9" w:rsidP="00B71258">
            <w:pPr>
              <w:keepNext/>
              <w:keepLines/>
              <w:autoSpaceDE w:val="0"/>
              <w:autoSpaceDN w:val="0"/>
              <w:adjustRightInd w:val="0"/>
              <w:spacing w:after="120" w:line="240" w:lineRule="atLeast"/>
              <w:jc w:val="left"/>
              <w:rPr>
                <w:rStyle w:val="TableText9"/>
                <w:sz w:val="22"/>
                <w:szCs w:val="22"/>
              </w:rPr>
            </w:pPr>
            <w:r w:rsidRPr="00201F6D">
              <w:rPr>
                <w:rStyle w:val="TableText9"/>
                <w:sz w:val="22"/>
                <w:szCs w:val="22"/>
              </w:rPr>
              <w:t xml:space="preserve">Respiratory, thoracic and </w:t>
            </w:r>
            <w:proofErr w:type="spellStart"/>
            <w:r w:rsidR="00CD5A51" w:rsidRPr="00201F6D">
              <w:rPr>
                <w:rStyle w:val="TableText9"/>
                <w:sz w:val="22"/>
                <w:szCs w:val="22"/>
              </w:rPr>
              <w:t>mediastinal</w:t>
            </w:r>
            <w:proofErr w:type="spellEnd"/>
            <w:r w:rsidR="00CD5A51" w:rsidRPr="00201F6D">
              <w:rPr>
                <w:rStyle w:val="TableText9"/>
                <w:sz w:val="22"/>
                <w:szCs w:val="22"/>
              </w:rPr>
              <w:t xml:space="preserve"> </w:t>
            </w:r>
            <w:r w:rsidRPr="00201F6D">
              <w:rPr>
                <w:rStyle w:val="TableText9"/>
                <w:sz w:val="22"/>
                <w:szCs w:val="22"/>
              </w:rPr>
              <w:t>disorders</w:t>
            </w:r>
          </w:p>
        </w:tc>
        <w:tc>
          <w:tcPr>
            <w:tcW w:w="3151" w:type="dxa"/>
            <w:tcBorders>
              <w:top w:val="single" w:sz="4" w:space="0" w:color="000000"/>
              <w:left w:val="single" w:sz="4" w:space="0" w:color="000000"/>
              <w:bottom w:val="single" w:sz="4" w:space="0" w:color="000000"/>
              <w:right w:val="single" w:sz="4" w:space="0" w:color="000000"/>
            </w:tcBorders>
          </w:tcPr>
          <w:p w:rsidR="00086B18" w:rsidRDefault="00086B18" w:rsidP="00B71258">
            <w:pPr>
              <w:keepNext/>
              <w:keepLines/>
              <w:autoSpaceDE w:val="0"/>
              <w:autoSpaceDN w:val="0"/>
              <w:adjustRightInd w:val="0"/>
              <w:spacing w:after="120" w:line="240" w:lineRule="atLeast"/>
              <w:jc w:val="center"/>
              <w:rPr>
                <w:rStyle w:val="TableText9"/>
                <w:sz w:val="22"/>
                <w:szCs w:val="22"/>
              </w:rPr>
            </w:pPr>
          </w:p>
        </w:tc>
        <w:tc>
          <w:tcPr>
            <w:tcW w:w="3152" w:type="dxa"/>
            <w:tcBorders>
              <w:top w:val="single" w:sz="4" w:space="0" w:color="000000"/>
              <w:left w:val="single" w:sz="4" w:space="0" w:color="000000"/>
              <w:bottom w:val="single" w:sz="4" w:space="0" w:color="000000"/>
            </w:tcBorders>
          </w:tcPr>
          <w:p w:rsidR="006C60A9" w:rsidRPr="00201F6D" w:rsidRDefault="006C60A9" w:rsidP="00B71258">
            <w:pPr>
              <w:keepNext/>
              <w:keepLines/>
              <w:autoSpaceDE w:val="0"/>
              <w:autoSpaceDN w:val="0"/>
              <w:adjustRightInd w:val="0"/>
              <w:spacing w:after="120" w:line="240" w:lineRule="atLeast"/>
              <w:jc w:val="center"/>
              <w:rPr>
                <w:rStyle w:val="TableText9"/>
                <w:sz w:val="22"/>
                <w:szCs w:val="22"/>
              </w:rPr>
            </w:pPr>
            <w:r w:rsidRPr="00201F6D">
              <w:rPr>
                <w:rStyle w:val="TableText9"/>
                <w:sz w:val="22"/>
                <w:szCs w:val="22"/>
              </w:rPr>
              <w:t>Throat irritation</w:t>
            </w:r>
          </w:p>
        </w:tc>
      </w:tr>
      <w:tr w:rsidR="006C60A9" w:rsidRPr="00535D3E" w:rsidTr="00CE6B69">
        <w:tc>
          <w:tcPr>
            <w:tcW w:w="2984" w:type="dxa"/>
            <w:tcBorders>
              <w:top w:val="single" w:sz="4" w:space="0" w:color="000000"/>
              <w:bottom w:val="single" w:sz="4" w:space="0" w:color="000000"/>
              <w:right w:val="single" w:sz="4" w:space="0" w:color="000000"/>
            </w:tcBorders>
          </w:tcPr>
          <w:p w:rsidR="006C60A9" w:rsidRPr="00201F6D" w:rsidRDefault="006C60A9" w:rsidP="00B71258">
            <w:pPr>
              <w:keepNext/>
              <w:keepLines/>
              <w:autoSpaceDE w:val="0"/>
              <w:autoSpaceDN w:val="0"/>
              <w:adjustRightInd w:val="0"/>
              <w:spacing w:after="120" w:line="240" w:lineRule="atLeast"/>
              <w:jc w:val="left"/>
              <w:rPr>
                <w:rStyle w:val="TableText9"/>
                <w:sz w:val="22"/>
                <w:szCs w:val="22"/>
              </w:rPr>
            </w:pPr>
            <w:r w:rsidRPr="00201F6D">
              <w:rPr>
                <w:rStyle w:val="TableText9"/>
                <w:sz w:val="22"/>
                <w:szCs w:val="22"/>
              </w:rPr>
              <w:t xml:space="preserve">Gastrointestinal disorders </w:t>
            </w:r>
          </w:p>
        </w:tc>
        <w:tc>
          <w:tcPr>
            <w:tcW w:w="3151" w:type="dxa"/>
            <w:tcBorders>
              <w:top w:val="single" w:sz="4" w:space="0" w:color="000000"/>
              <w:left w:val="single" w:sz="4" w:space="0" w:color="000000"/>
              <w:bottom w:val="single" w:sz="4" w:space="0" w:color="000000"/>
              <w:right w:val="single" w:sz="4" w:space="0" w:color="000000"/>
            </w:tcBorders>
          </w:tcPr>
          <w:p w:rsidR="00086B18" w:rsidRDefault="00545803" w:rsidP="00B71258">
            <w:pPr>
              <w:keepNext/>
              <w:keepLines/>
              <w:autoSpaceDE w:val="0"/>
              <w:autoSpaceDN w:val="0"/>
              <w:adjustRightInd w:val="0"/>
              <w:spacing w:after="120" w:line="240" w:lineRule="atLeast"/>
              <w:jc w:val="center"/>
              <w:rPr>
                <w:rStyle w:val="TableText9"/>
                <w:sz w:val="22"/>
                <w:szCs w:val="22"/>
              </w:rPr>
            </w:pPr>
            <w:r w:rsidRPr="00B01F67">
              <w:rPr>
                <w:rStyle w:val="TableText9"/>
                <w:sz w:val="22"/>
                <w:szCs w:val="22"/>
              </w:rPr>
              <w:t xml:space="preserve">Vomiting, Abdominal </w:t>
            </w:r>
            <w:proofErr w:type="spellStart"/>
            <w:r w:rsidRPr="00B01F67">
              <w:rPr>
                <w:rStyle w:val="TableText9"/>
                <w:sz w:val="22"/>
                <w:szCs w:val="22"/>
              </w:rPr>
              <w:t>pain</w:t>
            </w:r>
            <w:r w:rsidRPr="00B01F67">
              <w:rPr>
                <w:rStyle w:val="TableText9"/>
                <w:sz w:val="22"/>
                <w:szCs w:val="22"/>
                <w:vertAlign w:val="superscript"/>
              </w:rPr>
              <w:t>a</w:t>
            </w:r>
            <w:proofErr w:type="spellEnd"/>
          </w:p>
        </w:tc>
        <w:tc>
          <w:tcPr>
            <w:tcW w:w="3152" w:type="dxa"/>
            <w:tcBorders>
              <w:top w:val="single" w:sz="4" w:space="0" w:color="000000"/>
              <w:left w:val="single" w:sz="4" w:space="0" w:color="000000"/>
              <w:bottom w:val="single" w:sz="4" w:space="0" w:color="000000"/>
            </w:tcBorders>
          </w:tcPr>
          <w:p w:rsidR="006C60A9" w:rsidRPr="00201F6D" w:rsidRDefault="006C60A9" w:rsidP="00B71258">
            <w:pPr>
              <w:keepNext/>
              <w:keepLines/>
              <w:autoSpaceDE w:val="0"/>
              <w:autoSpaceDN w:val="0"/>
              <w:adjustRightInd w:val="0"/>
              <w:spacing w:after="120" w:line="240" w:lineRule="atLeast"/>
              <w:jc w:val="center"/>
              <w:rPr>
                <w:rStyle w:val="TableText9"/>
                <w:sz w:val="22"/>
                <w:szCs w:val="22"/>
              </w:rPr>
            </w:pPr>
            <w:r w:rsidRPr="00201F6D">
              <w:rPr>
                <w:rStyle w:val="TableText9"/>
                <w:sz w:val="22"/>
                <w:szCs w:val="22"/>
              </w:rPr>
              <w:t>Nausea</w:t>
            </w:r>
          </w:p>
        </w:tc>
      </w:tr>
      <w:tr w:rsidR="006C60A9" w:rsidRPr="00535D3E" w:rsidTr="00CE6B69">
        <w:tc>
          <w:tcPr>
            <w:tcW w:w="2984" w:type="dxa"/>
            <w:tcBorders>
              <w:top w:val="single" w:sz="4" w:space="0" w:color="000000"/>
              <w:bottom w:val="single" w:sz="4" w:space="0" w:color="000000"/>
              <w:right w:val="single" w:sz="4" w:space="0" w:color="000000"/>
            </w:tcBorders>
          </w:tcPr>
          <w:p w:rsidR="006C60A9" w:rsidRPr="00201F6D" w:rsidRDefault="006C60A9" w:rsidP="00B71258">
            <w:pPr>
              <w:keepNext/>
              <w:keepLines/>
              <w:autoSpaceDE w:val="0"/>
              <w:autoSpaceDN w:val="0"/>
              <w:adjustRightInd w:val="0"/>
              <w:spacing w:after="120" w:line="240" w:lineRule="atLeast"/>
              <w:jc w:val="left"/>
              <w:rPr>
                <w:rStyle w:val="TableText9"/>
                <w:sz w:val="22"/>
                <w:szCs w:val="22"/>
              </w:rPr>
            </w:pPr>
            <w:r w:rsidRPr="00201F6D">
              <w:rPr>
                <w:rStyle w:val="TableText9"/>
                <w:sz w:val="22"/>
                <w:szCs w:val="22"/>
              </w:rPr>
              <w:t xml:space="preserve">Skin and subcutaneous tissue disorders </w:t>
            </w:r>
          </w:p>
        </w:tc>
        <w:tc>
          <w:tcPr>
            <w:tcW w:w="3151" w:type="dxa"/>
            <w:tcBorders>
              <w:top w:val="single" w:sz="4" w:space="0" w:color="000000"/>
              <w:left w:val="single" w:sz="4" w:space="0" w:color="000000"/>
              <w:bottom w:val="single" w:sz="4" w:space="0" w:color="000000"/>
              <w:right w:val="single" w:sz="4" w:space="0" w:color="000000"/>
            </w:tcBorders>
          </w:tcPr>
          <w:p w:rsidR="00086B18" w:rsidRDefault="00086B18" w:rsidP="00B71258">
            <w:pPr>
              <w:keepNext/>
              <w:keepLines/>
              <w:autoSpaceDE w:val="0"/>
              <w:autoSpaceDN w:val="0"/>
              <w:adjustRightInd w:val="0"/>
              <w:spacing w:after="120" w:line="240" w:lineRule="atLeast"/>
              <w:jc w:val="center"/>
              <w:rPr>
                <w:rStyle w:val="TableText9"/>
                <w:sz w:val="22"/>
                <w:szCs w:val="22"/>
              </w:rPr>
            </w:pPr>
          </w:p>
        </w:tc>
        <w:tc>
          <w:tcPr>
            <w:tcW w:w="3152" w:type="dxa"/>
            <w:tcBorders>
              <w:top w:val="single" w:sz="4" w:space="0" w:color="000000"/>
              <w:left w:val="single" w:sz="4" w:space="0" w:color="000000"/>
              <w:bottom w:val="single" w:sz="4" w:space="0" w:color="000000"/>
            </w:tcBorders>
          </w:tcPr>
          <w:p w:rsidR="006C60A9" w:rsidRPr="00201F6D" w:rsidRDefault="006C60A9" w:rsidP="00B71258">
            <w:pPr>
              <w:keepNext/>
              <w:keepLines/>
              <w:autoSpaceDE w:val="0"/>
              <w:autoSpaceDN w:val="0"/>
              <w:adjustRightInd w:val="0"/>
              <w:spacing w:after="120" w:line="240" w:lineRule="atLeast"/>
              <w:jc w:val="center"/>
              <w:rPr>
                <w:rStyle w:val="TableText9"/>
                <w:sz w:val="22"/>
                <w:szCs w:val="22"/>
              </w:rPr>
            </w:pPr>
            <w:r w:rsidRPr="00201F6D">
              <w:rPr>
                <w:rStyle w:val="TableText9"/>
                <w:sz w:val="22"/>
                <w:szCs w:val="22"/>
              </w:rPr>
              <w:t>Pruritus, Erythema, Rash</w:t>
            </w:r>
          </w:p>
        </w:tc>
      </w:tr>
      <w:tr w:rsidR="006C60A9" w:rsidRPr="00535D3E" w:rsidTr="00CE6B69">
        <w:tc>
          <w:tcPr>
            <w:tcW w:w="2984" w:type="dxa"/>
            <w:tcBorders>
              <w:top w:val="single" w:sz="4" w:space="0" w:color="000000"/>
              <w:bottom w:val="single" w:sz="4" w:space="0" w:color="000000"/>
              <w:right w:val="single" w:sz="4" w:space="0" w:color="000000"/>
            </w:tcBorders>
          </w:tcPr>
          <w:p w:rsidR="006C60A9" w:rsidRPr="00201F6D" w:rsidRDefault="006C60A9" w:rsidP="00B71258">
            <w:pPr>
              <w:keepNext/>
              <w:keepLines/>
              <w:autoSpaceDE w:val="0"/>
              <w:autoSpaceDN w:val="0"/>
              <w:adjustRightInd w:val="0"/>
              <w:spacing w:after="120" w:line="240" w:lineRule="atLeast"/>
              <w:jc w:val="left"/>
              <w:rPr>
                <w:rStyle w:val="TableText9"/>
                <w:sz w:val="22"/>
                <w:szCs w:val="22"/>
              </w:rPr>
            </w:pPr>
            <w:r w:rsidRPr="00201F6D">
              <w:rPr>
                <w:rStyle w:val="TableText9"/>
                <w:sz w:val="22"/>
                <w:szCs w:val="22"/>
              </w:rPr>
              <w:t xml:space="preserve">Musculoskeletal and connective tissue disorders </w:t>
            </w:r>
          </w:p>
        </w:tc>
        <w:tc>
          <w:tcPr>
            <w:tcW w:w="3151" w:type="dxa"/>
            <w:tcBorders>
              <w:top w:val="single" w:sz="4" w:space="0" w:color="000000"/>
              <w:left w:val="single" w:sz="4" w:space="0" w:color="000000"/>
              <w:bottom w:val="single" w:sz="4" w:space="0" w:color="000000"/>
              <w:right w:val="single" w:sz="4" w:space="0" w:color="000000"/>
            </w:tcBorders>
          </w:tcPr>
          <w:p w:rsidR="00086B18" w:rsidRDefault="00545803" w:rsidP="00B71258">
            <w:pPr>
              <w:keepNext/>
              <w:keepLines/>
              <w:autoSpaceDE w:val="0"/>
              <w:autoSpaceDN w:val="0"/>
              <w:adjustRightInd w:val="0"/>
              <w:spacing w:after="120" w:line="240" w:lineRule="atLeast"/>
              <w:jc w:val="center"/>
              <w:rPr>
                <w:rStyle w:val="TableText9"/>
                <w:sz w:val="22"/>
                <w:szCs w:val="22"/>
              </w:rPr>
            </w:pPr>
            <w:r w:rsidRPr="00B01F67">
              <w:rPr>
                <w:rStyle w:val="TableText9"/>
                <w:sz w:val="22"/>
                <w:szCs w:val="22"/>
              </w:rPr>
              <w:t xml:space="preserve">Arthralgia, Pain in </w:t>
            </w:r>
            <w:r w:rsidR="00CD5A51" w:rsidRPr="00B01F67">
              <w:rPr>
                <w:rStyle w:val="TableText9"/>
                <w:sz w:val="22"/>
                <w:szCs w:val="22"/>
              </w:rPr>
              <w:t>extremity</w:t>
            </w:r>
          </w:p>
        </w:tc>
        <w:tc>
          <w:tcPr>
            <w:tcW w:w="3152" w:type="dxa"/>
            <w:tcBorders>
              <w:top w:val="single" w:sz="4" w:space="0" w:color="000000"/>
              <w:left w:val="single" w:sz="4" w:space="0" w:color="000000"/>
              <w:bottom w:val="single" w:sz="4" w:space="0" w:color="000000"/>
            </w:tcBorders>
          </w:tcPr>
          <w:p w:rsidR="006C60A9" w:rsidRPr="00201F6D" w:rsidRDefault="006C60A9" w:rsidP="00B71258">
            <w:pPr>
              <w:keepNext/>
              <w:keepLines/>
              <w:autoSpaceDE w:val="0"/>
              <w:autoSpaceDN w:val="0"/>
              <w:adjustRightInd w:val="0"/>
              <w:spacing w:after="120" w:line="240" w:lineRule="atLeast"/>
              <w:jc w:val="center"/>
              <w:rPr>
                <w:rStyle w:val="TableText9"/>
                <w:sz w:val="22"/>
                <w:szCs w:val="22"/>
              </w:rPr>
            </w:pPr>
            <w:r w:rsidRPr="00201F6D">
              <w:rPr>
                <w:rStyle w:val="TableText9"/>
                <w:sz w:val="22"/>
                <w:szCs w:val="22"/>
              </w:rPr>
              <w:t>Bone pain, Back pain</w:t>
            </w:r>
          </w:p>
        </w:tc>
      </w:tr>
      <w:tr w:rsidR="006C60A9" w:rsidRPr="00535D3E" w:rsidTr="00CE6B69">
        <w:tc>
          <w:tcPr>
            <w:tcW w:w="2984" w:type="dxa"/>
            <w:tcBorders>
              <w:top w:val="single" w:sz="4" w:space="0" w:color="000000"/>
              <w:bottom w:val="single" w:sz="4" w:space="0" w:color="000000"/>
              <w:right w:val="single" w:sz="4" w:space="0" w:color="000000"/>
            </w:tcBorders>
          </w:tcPr>
          <w:p w:rsidR="006C60A9" w:rsidRPr="00201F6D" w:rsidRDefault="006C60A9" w:rsidP="00B71258">
            <w:pPr>
              <w:keepNext/>
              <w:keepLines/>
              <w:autoSpaceDE w:val="0"/>
              <w:autoSpaceDN w:val="0"/>
              <w:adjustRightInd w:val="0"/>
              <w:spacing w:after="120" w:line="240" w:lineRule="atLeast"/>
              <w:jc w:val="left"/>
              <w:rPr>
                <w:rStyle w:val="TableText9"/>
                <w:sz w:val="22"/>
                <w:szCs w:val="22"/>
              </w:rPr>
            </w:pPr>
            <w:r w:rsidRPr="00201F6D">
              <w:rPr>
                <w:rStyle w:val="TableText9"/>
                <w:sz w:val="22"/>
                <w:szCs w:val="22"/>
              </w:rPr>
              <w:t xml:space="preserve">General disorders and administration site conditions </w:t>
            </w:r>
          </w:p>
        </w:tc>
        <w:tc>
          <w:tcPr>
            <w:tcW w:w="3151" w:type="dxa"/>
            <w:tcBorders>
              <w:top w:val="single" w:sz="4" w:space="0" w:color="000000"/>
              <w:left w:val="single" w:sz="4" w:space="0" w:color="000000"/>
              <w:bottom w:val="single" w:sz="4" w:space="0" w:color="000000"/>
              <w:right w:val="single" w:sz="4" w:space="0" w:color="000000"/>
            </w:tcBorders>
          </w:tcPr>
          <w:p w:rsidR="00086B18" w:rsidRDefault="00086B18" w:rsidP="00B71258">
            <w:pPr>
              <w:keepNext/>
              <w:keepLines/>
              <w:autoSpaceDE w:val="0"/>
              <w:autoSpaceDN w:val="0"/>
              <w:adjustRightInd w:val="0"/>
              <w:spacing w:after="120" w:line="240" w:lineRule="atLeast"/>
              <w:jc w:val="center"/>
              <w:rPr>
                <w:rStyle w:val="TableText9"/>
                <w:sz w:val="22"/>
                <w:szCs w:val="22"/>
              </w:rPr>
            </w:pPr>
          </w:p>
        </w:tc>
        <w:tc>
          <w:tcPr>
            <w:tcW w:w="3152" w:type="dxa"/>
            <w:tcBorders>
              <w:top w:val="single" w:sz="4" w:space="0" w:color="000000"/>
              <w:left w:val="single" w:sz="4" w:space="0" w:color="000000"/>
              <w:bottom w:val="single" w:sz="4" w:space="0" w:color="000000"/>
            </w:tcBorders>
          </w:tcPr>
          <w:p w:rsidR="006C60A9" w:rsidRPr="00201F6D" w:rsidRDefault="006C60A9" w:rsidP="00B71258">
            <w:pPr>
              <w:keepNext/>
              <w:keepLines/>
              <w:autoSpaceDE w:val="0"/>
              <w:autoSpaceDN w:val="0"/>
              <w:adjustRightInd w:val="0"/>
              <w:spacing w:after="120" w:line="240" w:lineRule="atLeast"/>
              <w:jc w:val="center"/>
              <w:rPr>
                <w:rStyle w:val="TableText9"/>
                <w:sz w:val="22"/>
                <w:szCs w:val="22"/>
              </w:rPr>
            </w:pPr>
            <w:r w:rsidRPr="00201F6D">
              <w:rPr>
                <w:rStyle w:val="TableText9"/>
                <w:sz w:val="22"/>
                <w:szCs w:val="22"/>
              </w:rPr>
              <w:t>Infusion site</w:t>
            </w:r>
            <w:r w:rsidR="00201F6D">
              <w:rPr>
                <w:rStyle w:val="TableText9"/>
                <w:sz w:val="22"/>
                <w:szCs w:val="22"/>
              </w:rPr>
              <w:t xml:space="preserve"> </w:t>
            </w:r>
            <w:r w:rsidRPr="00201F6D">
              <w:rPr>
                <w:rStyle w:val="TableText9"/>
                <w:sz w:val="22"/>
                <w:szCs w:val="22"/>
              </w:rPr>
              <w:t>pain, Fatigue, Oedema peripheral</w:t>
            </w:r>
          </w:p>
        </w:tc>
      </w:tr>
      <w:tr w:rsidR="00F108A9" w:rsidRPr="00535D3E" w:rsidTr="00CE6B69">
        <w:tc>
          <w:tcPr>
            <w:tcW w:w="2984" w:type="dxa"/>
            <w:tcBorders>
              <w:top w:val="single" w:sz="4" w:space="0" w:color="000000"/>
              <w:bottom w:val="single" w:sz="4" w:space="0" w:color="000000"/>
              <w:right w:val="single" w:sz="4" w:space="0" w:color="000000"/>
            </w:tcBorders>
          </w:tcPr>
          <w:p w:rsidR="00F108A9" w:rsidRPr="00201F6D" w:rsidRDefault="00F108A9" w:rsidP="00B71258">
            <w:pPr>
              <w:keepNext/>
              <w:keepLines/>
              <w:autoSpaceDE w:val="0"/>
              <w:autoSpaceDN w:val="0"/>
              <w:adjustRightInd w:val="0"/>
              <w:spacing w:after="120" w:line="240" w:lineRule="atLeast"/>
              <w:jc w:val="left"/>
              <w:rPr>
                <w:rStyle w:val="TableText9"/>
                <w:sz w:val="22"/>
                <w:szCs w:val="22"/>
              </w:rPr>
            </w:pPr>
            <w:r>
              <w:rPr>
                <w:rStyle w:val="TableText9"/>
                <w:sz w:val="22"/>
                <w:szCs w:val="22"/>
              </w:rPr>
              <w:t>Injury, poisoning and procedural complications</w:t>
            </w:r>
          </w:p>
        </w:tc>
        <w:tc>
          <w:tcPr>
            <w:tcW w:w="3151" w:type="dxa"/>
            <w:tcBorders>
              <w:top w:val="single" w:sz="4" w:space="0" w:color="000000"/>
              <w:left w:val="single" w:sz="4" w:space="0" w:color="000000"/>
              <w:bottom w:val="single" w:sz="4" w:space="0" w:color="000000"/>
              <w:right w:val="single" w:sz="4" w:space="0" w:color="000000"/>
            </w:tcBorders>
          </w:tcPr>
          <w:p w:rsidR="00F108A9" w:rsidRDefault="00F108A9" w:rsidP="00B71258">
            <w:pPr>
              <w:keepNext/>
              <w:keepLines/>
              <w:autoSpaceDE w:val="0"/>
              <w:autoSpaceDN w:val="0"/>
              <w:adjustRightInd w:val="0"/>
              <w:spacing w:after="120" w:line="240" w:lineRule="atLeast"/>
              <w:jc w:val="center"/>
              <w:rPr>
                <w:rStyle w:val="TableText9"/>
                <w:sz w:val="22"/>
                <w:szCs w:val="22"/>
              </w:rPr>
            </w:pPr>
          </w:p>
        </w:tc>
        <w:tc>
          <w:tcPr>
            <w:tcW w:w="3152" w:type="dxa"/>
            <w:tcBorders>
              <w:top w:val="single" w:sz="4" w:space="0" w:color="000000"/>
              <w:left w:val="single" w:sz="4" w:space="0" w:color="000000"/>
              <w:bottom w:val="single" w:sz="4" w:space="0" w:color="000000"/>
            </w:tcBorders>
          </w:tcPr>
          <w:p w:rsidR="00F108A9" w:rsidRPr="00201F6D" w:rsidRDefault="00F108A9" w:rsidP="00B71258">
            <w:pPr>
              <w:keepNext/>
              <w:keepLines/>
              <w:autoSpaceDE w:val="0"/>
              <w:autoSpaceDN w:val="0"/>
              <w:adjustRightInd w:val="0"/>
              <w:spacing w:after="120" w:line="240" w:lineRule="atLeast"/>
              <w:jc w:val="center"/>
              <w:rPr>
                <w:rStyle w:val="TableText9"/>
                <w:sz w:val="22"/>
                <w:szCs w:val="22"/>
              </w:rPr>
            </w:pPr>
            <w:r w:rsidRPr="00201F6D">
              <w:rPr>
                <w:rStyle w:val="TableText9"/>
                <w:sz w:val="22"/>
                <w:szCs w:val="22"/>
              </w:rPr>
              <w:t>Infusion</w:t>
            </w:r>
            <w:r>
              <w:rPr>
                <w:rStyle w:val="TableText9"/>
                <w:sz w:val="22"/>
                <w:szCs w:val="22"/>
              </w:rPr>
              <w:t>-</w:t>
            </w:r>
            <w:r w:rsidRPr="00201F6D">
              <w:rPr>
                <w:rStyle w:val="TableText9"/>
                <w:sz w:val="22"/>
                <w:szCs w:val="22"/>
              </w:rPr>
              <w:t>related</w:t>
            </w:r>
            <w:r>
              <w:rPr>
                <w:rStyle w:val="TableText9"/>
                <w:sz w:val="22"/>
                <w:szCs w:val="22"/>
              </w:rPr>
              <w:t xml:space="preserve"> </w:t>
            </w:r>
            <w:r w:rsidRPr="00201F6D">
              <w:rPr>
                <w:rStyle w:val="TableText9"/>
                <w:sz w:val="22"/>
                <w:szCs w:val="22"/>
              </w:rPr>
              <w:t>reaction</w:t>
            </w:r>
          </w:p>
        </w:tc>
      </w:tr>
      <w:tr w:rsidR="006C60A9" w:rsidRPr="00535D3E" w:rsidTr="00CE6B69">
        <w:tc>
          <w:tcPr>
            <w:tcW w:w="2984" w:type="dxa"/>
            <w:tcBorders>
              <w:top w:val="single" w:sz="4" w:space="0" w:color="000000"/>
              <w:bottom w:val="single" w:sz="4" w:space="0" w:color="000000"/>
              <w:right w:val="single" w:sz="4" w:space="0" w:color="000000"/>
            </w:tcBorders>
          </w:tcPr>
          <w:p w:rsidR="006C60A9" w:rsidRPr="00201F6D" w:rsidRDefault="006C60A9" w:rsidP="00B71258">
            <w:pPr>
              <w:keepNext/>
              <w:keepLines/>
              <w:autoSpaceDE w:val="0"/>
              <w:autoSpaceDN w:val="0"/>
              <w:adjustRightInd w:val="0"/>
              <w:spacing w:after="120" w:line="240" w:lineRule="atLeast"/>
              <w:jc w:val="left"/>
              <w:rPr>
                <w:rStyle w:val="TableText9"/>
                <w:sz w:val="22"/>
                <w:szCs w:val="22"/>
              </w:rPr>
            </w:pPr>
            <w:r w:rsidRPr="00201F6D">
              <w:rPr>
                <w:rStyle w:val="TableText9"/>
                <w:sz w:val="22"/>
                <w:szCs w:val="22"/>
              </w:rPr>
              <w:t>Investigations</w:t>
            </w:r>
          </w:p>
        </w:tc>
        <w:tc>
          <w:tcPr>
            <w:tcW w:w="3151" w:type="dxa"/>
            <w:tcBorders>
              <w:top w:val="single" w:sz="4" w:space="0" w:color="000000"/>
              <w:left w:val="single" w:sz="4" w:space="0" w:color="000000"/>
              <w:bottom w:val="single" w:sz="4" w:space="0" w:color="000000"/>
              <w:right w:val="single" w:sz="4" w:space="0" w:color="000000"/>
            </w:tcBorders>
          </w:tcPr>
          <w:p w:rsidR="006C60A9" w:rsidRPr="00201F6D" w:rsidRDefault="006C60A9" w:rsidP="00B71258">
            <w:pPr>
              <w:keepNext/>
              <w:keepLines/>
              <w:autoSpaceDE w:val="0"/>
              <w:autoSpaceDN w:val="0"/>
              <w:adjustRightInd w:val="0"/>
              <w:spacing w:after="120" w:line="240" w:lineRule="atLeast"/>
              <w:jc w:val="center"/>
              <w:rPr>
                <w:rStyle w:val="TableText9"/>
                <w:sz w:val="22"/>
                <w:szCs w:val="22"/>
              </w:rPr>
            </w:pPr>
          </w:p>
        </w:tc>
        <w:tc>
          <w:tcPr>
            <w:tcW w:w="3152" w:type="dxa"/>
            <w:tcBorders>
              <w:top w:val="single" w:sz="4" w:space="0" w:color="000000"/>
              <w:left w:val="single" w:sz="4" w:space="0" w:color="000000"/>
              <w:bottom w:val="single" w:sz="4" w:space="0" w:color="000000"/>
            </w:tcBorders>
          </w:tcPr>
          <w:p w:rsidR="006C60A9" w:rsidRPr="00201F6D" w:rsidRDefault="006C60A9" w:rsidP="00B71258">
            <w:pPr>
              <w:keepNext/>
              <w:keepLines/>
              <w:autoSpaceDE w:val="0"/>
              <w:autoSpaceDN w:val="0"/>
              <w:adjustRightInd w:val="0"/>
              <w:spacing w:after="120" w:line="240" w:lineRule="atLeast"/>
              <w:jc w:val="center"/>
              <w:rPr>
                <w:rStyle w:val="TableText9"/>
                <w:sz w:val="22"/>
                <w:szCs w:val="22"/>
              </w:rPr>
            </w:pPr>
            <w:r w:rsidRPr="00201F6D">
              <w:rPr>
                <w:rStyle w:val="TableText9"/>
                <w:sz w:val="22"/>
                <w:szCs w:val="22"/>
              </w:rPr>
              <w:t>Weight increase</w:t>
            </w:r>
            <w:r w:rsidR="00545803">
              <w:rPr>
                <w:rStyle w:val="TableText9"/>
                <w:sz w:val="22"/>
                <w:szCs w:val="22"/>
              </w:rPr>
              <w:t>d</w:t>
            </w:r>
          </w:p>
        </w:tc>
      </w:tr>
    </w:tbl>
    <w:p w:rsidR="00545803" w:rsidRDefault="00545803" w:rsidP="006C7A50">
      <w:pPr>
        <w:keepNext/>
        <w:keepLines/>
        <w:spacing w:before="120" w:after="0"/>
        <w:rPr>
          <w:noProof/>
          <w:szCs w:val="24"/>
          <w:lang w:val="en-GB"/>
        </w:rPr>
      </w:pPr>
      <w:r w:rsidRPr="00B01F67">
        <w:rPr>
          <w:noProof/>
          <w:sz w:val="18"/>
          <w:szCs w:val="18"/>
          <w:vertAlign w:val="superscript"/>
        </w:rPr>
        <w:t>a</w:t>
      </w:r>
      <w:r w:rsidRPr="00B01F67">
        <w:rPr>
          <w:noProof/>
          <w:sz w:val="18"/>
          <w:szCs w:val="18"/>
        </w:rPr>
        <w:t>Abdominal pain includes Abdominal pain upper and Abdominal pain lower</w:t>
      </w:r>
      <w:r>
        <w:rPr>
          <w:noProof/>
          <w:szCs w:val="24"/>
          <w:lang w:val="en-GB"/>
        </w:rPr>
        <w:t xml:space="preserve"> </w:t>
      </w:r>
    </w:p>
    <w:p w:rsidR="006C7A50" w:rsidRPr="006C7A50" w:rsidRDefault="006C7A50" w:rsidP="006C7A50">
      <w:pPr>
        <w:keepNext/>
        <w:keepLines/>
        <w:spacing w:before="120" w:after="0"/>
        <w:rPr>
          <w:noProof/>
          <w:sz w:val="18"/>
          <w:szCs w:val="18"/>
          <w:lang w:val="en-GB"/>
        </w:rPr>
      </w:pPr>
      <w:r w:rsidRPr="006C7A50">
        <w:rPr>
          <w:noProof/>
          <w:sz w:val="18"/>
          <w:szCs w:val="18"/>
          <w:lang w:val="en-GB"/>
        </w:rPr>
        <w:t>* Frequency of adverse drug reactions was calculated from all causality adver</w:t>
      </w:r>
      <w:r w:rsidR="00C12B9F">
        <w:rPr>
          <w:noProof/>
          <w:sz w:val="18"/>
          <w:szCs w:val="18"/>
          <w:lang w:val="en-GB"/>
        </w:rPr>
        <w:t>s</w:t>
      </w:r>
      <w:r w:rsidRPr="006C7A50">
        <w:rPr>
          <w:noProof/>
          <w:sz w:val="18"/>
          <w:szCs w:val="18"/>
          <w:lang w:val="en-GB"/>
        </w:rPr>
        <w:t xml:space="preserve">e event data  </w:t>
      </w:r>
    </w:p>
    <w:p w:rsidR="006532C3" w:rsidRDefault="006532C3" w:rsidP="00E02163">
      <w:pPr>
        <w:spacing w:before="120"/>
        <w:rPr>
          <w:noProof/>
        </w:rPr>
      </w:pPr>
      <w:r>
        <w:rPr>
          <w:noProof/>
          <w:szCs w:val="24"/>
          <w:lang w:val="en-GB"/>
        </w:rPr>
        <w:t xml:space="preserve">A </w:t>
      </w:r>
      <w:r w:rsidRPr="00064F1C">
        <w:rPr>
          <w:noProof/>
          <w:szCs w:val="24"/>
          <w:lang w:val="en-GB"/>
        </w:rPr>
        <w:t xml:space="preserve">tabulated summary of adverse </w:t>
      </w:r>
      <w:r w:rsidR="00545803">
        <w:rPr>
          <w:noProof/>
          <w:szCs w:val="24"/>
          <w:lang w:val="en-GB"/>
        </w:rPr>
        <w:t>events</w:t>
      </w:r>
      <w:r w:rsidR="00545803" w:rsidRPr="00064F1C">
        <w:rPr>
          <w:noProof/>
          <w:szCs w:val="24"/>
          <w:lang w:val="en-GB"/>
        </w:rPr>
        <w:t xml:space="preserve"> </w:t>
      </w:r>
      <w:r w:rsidRPr="00064F1C">
        <w:rPr>
          <w:noProof/>
          <w:szCs w:val="24"/>
          <w:lang w:val="en-GB"/>
        </w:rPr>
        <w:t>provid</w:t>
      </w:r>
      <w:r>
        <w:rPr>
          <w:noProof/>
          <w:szCs w:val="24"/>
          <w:lang w:val="en-GB"/>
        </w:rPr>
        <w:t>ing</w:t>
      </w:r>
      <w:r w:rsidRPr="00064F1C">
        <w:rPr>
          <w:noProof/>
          <w:szCs w:val="24"/>
          <w:lang w:val="en-GB"/>
        </w:rPr>
        <w:t xml:space="preserve"> percentages for each reaction observed (preferred term) with a frequency of ≥ 1%</w:t>
      </w:r>
      <w:r>
        <w:rPr>
          <w:noProof/>
          <w:szCs w:val="24"/>
          <w:lang w:val="en-GB"/>
        </w:rPr>
        <w:t xml:space="preserve"> is provided in Table </w:t>
      </w:r>
      <w:r w:rsidR="00545803">
        <w:rPr>
          <w:noProof/>
          <w:szCs w:val="24"/>
          <w:lang w:val="en-GB"/>
        </w:rPr>
        <w:t>5</w:t>
      </w:r>
      <w:r>
        <w:rPr>
          <w:noProof/>
          <w:szCs w:val="24"/>
          <w:lang w:val="en-GB"/>
        </w:rPr>
        <w:t>.</w:t>
      </w:r>
    </w:p>
    <w:p w:rsidR="00AE2502" w:rsidRPr="0065179D" w:rsidRDefault="009B0995" w:rsidP="00E02163">
      <w:pPr>
        <w:pStyle w:val="PITableTitle"/>
        <w:jc w:val="both"/>
        <w:rPr>
          <w:noProof/>
        </w:rPr>
      </w:pPr>
      <w:r w:rsidRPr="0065179D">
        <w:rPr>
          <w:noProof/>
        </w:rPr>
        <w:lastRenderedPageBreak/>
        <w:t xml:space="preserve">Table </w:t>
      </w:r>
      <w:r w:rsidR="00545803">
        <w:rPr>
          <w:noProof/>
        </w:rPr>
        <w:t>5</w:t>
      </w:r>
      <w:r w:rsidR="00AE2502" w:rsidRPr="0065179D">
        <w:rPr>
          <w:noProof/>
        </w:rPr>
        <w:t xml:space="preserve">: Number (%) of Patients with Treatment Related Adverse Events Occuring with a </w:t>
      </w:r>
      <w:r w:rsidR="00FD25C5" w:rsidRPr="0065179D">
        <w:rPr>
          <w:noProof/>
        </w:rPr>
        <w:t xml:space="preserve">Frequency </w:t>
      </w:r>
      <w:r w:rsidR="00AE2502" w:rsidRPr="0065179D">
        <w:rPr>
          <w:noProof/>
        </w:rPr>
        <w:t>of ≥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172"/>
      </w:tblGrid>
      <w:tr w:rsidR="00AE2502" w:rsidTr="001C2B07">
        <w:tc>
          <w:tcPr>
            <w:tcW w:w="4962" w:type="dxa"/>
          </w:tcPr>
          <w:p w:rsidR="00AE2502" w:rsidRPr="00CA449A" w:rsidRDefault="00AE2502" w:rsidP="00B71258">
            <w:pPr>
              <w:keepNext/>
              <w:spacing w:after="60" w:line="240" w:lineRule="atLeast"/>
              <w:rPr>
                <w:b/>
                <w:noProof/>
                <w:sz w:val="22"/>
                <w:szCs w:val="22"/>
              </w:rPr>
            </w:pPr>
            <w:r w:rsidRPr="00CA449A">
              <w:rPr>
                <w:b/>
                <w:noProof/>
                <w:sz w:val="22"/>
                <w:szCs w:val="22"/>
              </w:rPr>
              <w:t>System Organ Class/Preferred Term</w:t>
            </w:r>
          </w:p>
        </w:tc>
        <w:tc>
          <w:tcPr>
            <w:tcW w:w="4172" w:type="dxa"/>
          </w:tcPr>
          <w:p w:rsidR="00AE2502" w:rsidRPr="00CA449A" w:rsidRDefault="00CD5A51" w:rsidP="00B71258">
            <w:pPr>
              <w:keepNext/>
              <w:spacing w:after="60" w:line="240" w:lineRule="atLeast"/>
              <w:jc w:val="center"/>
              <w:rPr>
                <w:b/>
                <w:noProof/>
                <w:sz w:val="22"/>
                <w:szCs w:val="22"/>
              </w:rPr>
            </w:pPr>
            <w:r w:rsidRPr="00CA449A">
              <w:rPr>
                <w:b/>
                <w:noProof/>
                <w:sz w:val="22"/>
                <w:szCs w:val="22"/>
              </w:rPr>
              <w:t xml:space="preserve">n </w:t>
            </w:r>
            <w:r w:rsidR="00AE2502" w:rsidRPr="00CA449A">
              <w:rPr>
                <w:b/>
                <w:noProof/>
                <w:sz w:val="22"/>
                <w:szCs w:val="22"/>
              </w:rPr>
              <w:t xml:space="preserve">= </w:t>
            </w:r>
            <w:r>
              <w:rPr>
                <w:b/>
                <w:noProof/>
                <w:sz w:val="22"/>
                <w:szCs w:val="22"/>
              </w:rPr>
              <w:t>132</w:t>
            </w:r>
          </w:p>
        </w:tc>
      </w:tr>
      <w:tr w:rsidR="00824786" w:rsidTr="001C2B07">
        <w:tc>
          <w:tcPr>
            <w:tcW w:w="4962" w:type="dxa"/>
          </w:tcPr>
          <w:p w:rsidR="00824786" w:rsidRPr="00CA449A" w:rsidRDefault="00824786" w:rsidP="00B71258">
            <w:pPr>
              <w:keepNext/>
              <w:spacing w:after="60" w:line="240" w:lineRule="atLeast"/>
              <w:rPr>
                <w:noProof/>
                <w:sz w:val="22"/>
                <w:szCs w:val="22"/>
              </w:rPr>
            </w:pPr>
            <w:r w:rsidRPr="00CA449A">
              <w:rPr>
                <w:noProof/>
                <w:sz w:val="22"/>
                <w:szCs w:val="22"/>
              </w:rPr>
              <w:t xml:space="preserve">Immune </w:t>
            </w:r>
            <w:r w:rsidR="004E26F8" w:rsidRPr="00CA449A">
              <w:rPr>
                <w:noProof/>
                <w:sz w:val="22"/>
                <w:szCs w:val="22"/>
              </w:rPr>
              <w:t>system disorders</w:t>
            </w:r>
          </w:p>
          <w:p w:rsidR="00824786" w:rsidRPr="00CA449A" w:rsidRDefault="00824786" w:rsidP="00B71258">
            <w:pPr>
              <w:keepNext/>
              <w:spacing w:after="60" w:line="240" w:lineRule="atLeast"/>
              <w:rPr>
                <w:noProof/>
                <w:sz w:val="22"/>
                <w:szCs w:val="22"/>
              </w:rPr>
            </w:pPr>
            <w:r w:rsidRPr="00CA449A">
              <w:rPr>
                <w:noProof/>
                <w:sz w:val="22"/>
                <w:szCs w:val="22"/>
              </w:rPr>
              <w:t xml:space="preserve"> </w:t>
            </w:r>
            <w:r w:rsidR="00CD5A51">
              <w:rPr>
                <w:noProof/>
                <w:sz w:val="22"/>
                <w:szCs w:val="22"/>
              </w:rPr>
              <w:t xml:space="preserve"> </w:t>
            </w:r>
            <w:r w:rsidRPr="00CA449A">
              <w:rPr>
                <w:noProof/>
                <w:sz w:val="22"/>
                <w:szCs w:val="22"/>
              </w:rPr>
              <w:t xml:space="preserve">Hypersensititivity </w:t>
            </w:r>
          </w:p>
        </w:tc>
        <w:tc>
          <w:tcPr>
            <w:tcW w:w="4172" w:type="dxa"/>
          </w:tcPr>
          <w:p w:rsidR="00E00785" w:rsidRPr="00CA449A" w:rsidRDefault="00E00785" w:rsidP="00B71258">
            <w:pPr>
              <w:keepNext/>
              <w:spacing w:after="60" w:line="240" w:lineRule="atLeast"/>
              <w:jc w:val="center"/>
              <w:rPr>
                <w:noProof/>
                <w:sz w:val="22"/>
                <w:szCs w:val="22"/>
              </w:rPr>
            </w:pPr>
          </w:p>
          <w:p w:rsidR="00824786" w:rsidRPr="00CA449A" w:rsidRDefault="00824786" w:rsidP="00B71258">
            <w:pPr>
              <w:keepNext/>
              <w:spacing w:after="60" w:line="240" w:lineRule="atLeast"/>
              <w:jc w:val="center"/>
              <w:rPr>
                <w:noProof/>
                <w:sz w:val="22"/>
                <w:szCs w:val="22"/>
              </w:rPr>
            </w:pPr>
            <w:r w:rsidRPr="00CA449A">
              <w:rPr>
                <w:noProof/>
                <w:sz w:val="22"/>
                <w:szCs w:val="22"/>
              </w:rPr>
              <w:t>5 (</w:t>
            </w:r>
            <w:r w:rsidR="00545803">
              <w:rPr>
                <w:noProof/>
                <w:sz w:val="22"/>
                <w:szCs w:val="22"/>
              </w:rPr>
              <w:t>3.8</w:t>
            </w:r>
            <w:r w:rsidRPr="00CA449A">
              <w:rPr>
                <w:noProof/>
                <w:sz w:val="22"/>
                <w:szCs w:val="22"/>
              </w:rPr>
              <w:t>%)</w:t>
            </w:r>
          </w:p>
        </w:tc>
      </w:tr>
      <w:tr w:rsidR="00545803" w:rsidTr="001C2B07">
        <w:tc>
          <w:tcPr>
            <w:tcW w:w="4962" w:type="dxa"/>
          </w:tcPr>
          <w:p w:rsidR="00545803" w:rsidRDefault="00545803" w:rsidP="00B71258">
            <w:pPr>
              <w:keepNext/>
              <w:spacing w:after="60" w:line="240" w:lineRule="atLeast"/>
              <w:rPr>
                <w:noProof/>
                <w:sz w:val="22"/>
                <w:szCs w:val="22"/>
              </w:rPr>
            </w:pPr>
            <w:r>
              <w:rPr>
                <w:noProof/>
                <w:sz w:val="22"/>
                <w:szCs w:val="22"/>
              </w:rPr>
              <w:t xml:space="preserve">Injury, </w:t>
            </w:r>
            <w:r w:rsidR="004E26F8">
              <w:rPr>
                <w:noProof/>
                <w:sz w:val="22"/>
                <w:szCs w:val="22"/>
              </w:rPr>
              <w:t xml:space="preserve">poisoning </w:t>
            </w:r>
            <w:r>
              <w:rPr>
                <w:noProof/>
                <w:sz w:val="22"/>
                <w:szCs w:val="22"/>
              </w:rPr>
              <w:t xml:space="preserve">and </w:t>
            </w:r>
            <w:r w:rsidR="004E26F8">
              <w:rPr>
                <w:noProof/>
                <w:sz w:val="22"/>
                <w:szCs w:val="22"/>
              </w:rPr>
              <w:t xml:space="preserve">procedural complications </w:t>
            </w:r>
          </w:p>
          <w:p w:rsidR="00545803" w:rsidRPr="00CA449A" w:rsidRDefault="00CD5A51" w:rsidP="00B71258">
            <w:pPr>
              <w:keepNext/>
              <w:spacing w:after="60" w:line="240" w:lineRule="atLeast"/>
              <w:rPr>
                <w:noProof/>
                <w:sz w:val="22"/>
                <w:szCs w:val="22"/>
              </w:rPr>
            </w:pPr>
            <w:r>
              <w:rPr>
                <w:noProof/>
                <w:sz w:val="22"/>
                <w:szCs w:val="22"/>
              </w:rPr>
              <w:t xml:space="preserve">  </w:t>
            </w:r>
            <w:r w:rsidR="00545803">
              <w:rPr>
                <w:noProof/>
                <w:sz w:val="22"/>
                <w:szCs w:val="22"/>
              </w:rPr>
              <w:t xml:space="preserve">Infusion-related </w:t>
            </w:r>
            <w:r w:rsidR="004E26F8">
              <w:rPr>
                <w:noProof/>
                <w:sz w:val="22"/>
                <w:szCs w:val="22"/>
              </w:rPr>
              <w:t>reaction</w:t>
            </w:r>
          </w:p>
        </w:tc>
        <w:tc>
          <w:tcPr>
            <w:tcW w:w="4172" w:type="dxa"/>
          </w:tcPr>
          <w:p w:rsidR="00545803" w:rsidRDefault="00545803" w:rsidP="00B71258">
            <w:pPr>
              <w:keepNext/>
              <w:spacing w:after="60" w:line="240" w:lineRule="atLeast"/>
              <w:jc w:val="center"/>
              <w:rPr>
                <w:noProof/>
                <w:sz w:val="22"/>
                <w:szCs w:val="22"/>
              </w:rPr>
            </w:pPr>
          </w:p>
          <w:p w:rsidR="00545803" w:rsidRPr="00CA449A" w:rsidRDefault="00545803" w:rsidP="00B71258">
            <w:pPr>
              <w:keepNext/>
              <w:spacing w:after="60" w:line="240" w:lineRule="atLeast"/>
              <w:jc w:val="center"/>
              <w:rPr>
                <w:noProof/>
                <w:sz w:val="22"/>
                <w:szCs w:val="22"/>
              </w:rPr>
            </w:pPr>
            <w:r>
              <w:rPr>
                <w:noProof/>
                <w:sz w:val="22"/>
                <w:szCs w:val="22"/>
              </w:rPr>
              <w:t>7 (5.3%)</w:t>
            </w:r>
          </w:p>
        </w:tc>
      </w:tr>
      <w:tr w:rsidR="00824786" w:rsidTr="001C2B07">
        <w:tc>
          <w:tcPr>
            <w:tcW w:w="4962" w:type="dxa"/>
          </w:tcPr>
          <w:p w:rsidR="00824786" w:rsidRPr="00CA449A" w:rsidRDefault="00824786" w:rsidP="00B71258">
            <w:pPr>
              <w:keepNext/>
              <w:spacing w:after="60" w:line="240" w:lineRule="atLeast"/>
              <w:rPr>
                <w:noProof/>
                <w:sz w:val="22"/>
                <w:szCs w:val="22"/>
              </w:rPr>
            </w:pPr>
            <w:r w:rsidRPr="00CA449A">
              <w:rPr>
                <w:noProof/>
                <w:sz w:val="22"/>
                <w:szCs w:val="22"/>
              </w:rPr>
              <w:t xml:space="preserve">Nervous </w:t>
            </w:r>
            <w:r w:rsidR="004E26F8" w:rsidRPr="00CA449A">
              <w:rPr>
                <w:noProof/>
                <w:sz w:val="22"/>
                <w:szCs w:val="22"/>
              </w:rPr>
              <w:t>system disorders</w:t>
            </w:r>
          </w:p>
          <w:p w:rsidR="00824786" w:rsidRPr="00CA449A" w:rsidRDefault="00824786" w:rsidP="00B71258">
            <w:pPr>
              <w:keepNext/>
              <w:spacing w:after="60" w:line="240" w:lineRule="atLeast"/>
              <w:rPr>
                <w:noProof/>
                <w:sz w:val="22"/>
                <w:szCs w:val="22"/>
              </w:rPr>
            </w:pPr>
            <w:r w:rsidRPr="00CA449A">
              <w:rPr>
                <w:noProof/>
                <w:sz w:val="22"/>
                <w:szCs w:val="22"/>
              </w:rPr>
              <w:t xml:space="preserve">  Dizziness</w:t>
            </w:r>
          </w:p>
          <w:p w:rsidR="00824786" w:rsidRPr="00CA449A" w:rsidRDefault="00824786" w:rsidP="00B71258">
            <w:pPr>
              <w:keepNext/>
              <w:spacing w:after="60" w:line="240" w:lineRule="atLeast"/>
              <w:rPr>
                <w:noProof/>
                <w:sz w:val="22"/>
                <w:szCs w:val="22"/>
              </w:rPr>
            </w:pPr>
            <w:r w:rsidRPr="00CA449A">
              <w:rPr>
                <w:noProof/>
                <w:sz w:val="22"/>
                <w:szCs w:val="22"/>
              </w:rPr>
              <w:t xml:space="preserve">  Headache</w:t>
            </w:r>
          </w:p>
          <w:p w:rsidR="00824786" w:rsidRPr="00CA449A" w:rsidRDefault="00824786" w:rsidP="00B71258">
            <w:pPr>
              <w:keepNext/>
              <w:spacing w:after="60" w:line="240" w:lineRule="atLeast"/>
              <w:rPr>
                <w:noProof/>
                <w:sz w:val="22"/>
                <w:szCs w:val="22"/>
              </w:rPr>
            </w:pPr>
            <w:r w:rsidRPr="00CA449A">
              <w:rPr>
                <w:noProof/>
                <w:sz w:val="22"/>
                <w:szCs w:val="22"/>
              </w:rPr>
              <w:t xml:space="preserve">  Paraesthesia</w:t>
            </w:r>
          </w:p>
        </w:tc>
        <w:tc>
          <w:tcPr>
            <w:tcW w:w="4172" w:type="dxa"/>
          </w:tcPr>
          <w:p w:rsidR="00824786" w:rsidRPr="00CA449A" w:rsidRDefault="00824786" w:rsidP="00B71258">
            <w:pPr>
              <w:keepNext/>
              <w:spacing w:after="60" w:line="240" w:lineRule="atLeast"/>
              <w:jc w:val="center"/>
              <w:rPr>
                <w:noProof/>
                <w:sz w:val="22"/>
                <w:szCs w:val="22"/>
              </w:rPr>
            </w:pPr>
          </w:p>
          <w:p w:rsidR="00824786" w:rsidRPr="00CA449A" w:rsidRDefault="00824786" w:rsidP="00B71258">
            <w:pPr>
              <w:keepNext/>
              <w:spacing w:after="60" w:line="240" w:lineRule="atLeast"/>
              <w:jc w:val="center"/>
              <w:rPr>
                <w:noProof/>
                <w:sz w:val="22"/>
                <w:szCs w:val="22"/>
              </w:rPr>
            </w:pPr>
            <w:r w:rsidRPr="00CA449A">
              <w:rPr>
                <w:noProof/>
                <w:sz w:val="22"/>
                <w:szCs w:val="22"/>
              </w:rPr>
              <w:t>2 (1.</w:t>
            </w:r>
            <w:r w:rsidR="00545803">
              <w:rPr>
                <w:noProof/>
                <w:sz w:val="22"/>
                <w:szCs w:val="22"/>
              </w:rPr>
              <w:t>5</w:t>
            </w:r>
            <w:r w:rsidRPr="00CA449A">
              <w:rPr>
                <w:noProof/>
                <w:sz w:val="22"/>
                <w:szCs w:val="22"/>
              </w:rPr>
              <w:t>%)</w:t>
            </w:r>
          </w:p>
          <w:p w:rsidR="00824786" w:rsidRPr="00CA449A" w:rsidRDefault="00545803" w:rsidP="00B71258">
            <w:pPr>
              <w:keepNext/>
              <w:spacing w:after="60" w:line="240" w:lineRule="atLeast"/>
              <w:jc w:val="center"/>
              <w:rPr>
                <w:noProof/>
                <w:sz w:val="22"/>
                <w:szCs w:val="22"/>
              </w:rPr>
            </w:pPr>
            <w:r>
              <w:rPr>
                <w:noProof/>
                <w:sz w:val="22"/>
                <w:szCs w:val="22"/>
              </w:rPr>
              <w:t>8</w:t>
            </w:r>
            <w:r w:rsidRPr="00CA449A">
              <w:rPr>
                <w:noProof/>
                <w:sz w:val="22"/>
                <w:szCs w:val="22"/>
              </w:rPr>
              <w:t xml:space="preserve"> </w:t>
            </w:r>
            <w:r w:rsidR="00824786" w:rsidRPr="00CA449A">
              <w:rPr>
                <w:noProof/>
                <w:sz w:val="22"/>
                <w:szCs w:val="22"/>
              </w:rPr>
              <w:t>(</w:t>
            </w:r>
            <w:r>
              <w:rPr>
                <w:noProof/>
                <w:sz w:val="22"/>
                <w:szCs w:val="22"/>
              </w:rPr>
              <w:t>6.1</w:t>
            </w:r>
            <w:r w:rsidR="00824786" w:rsidRPr="00CA449A">
              <w:rPr>
                <w:noProof/>
                <w:sz w:val="22"/>
                <w:szCs w:val="22"/>
              </w:rPr>
              <w:t>%)</w:t>
            </w:r>
          </w:p>
          <w:p w:rsidR="00824786" w:rsidRPr="00CA449A" w:rsidRDefault="00824786" w:rsidP="00B71258">
            <w:pPr>
              <w:keepNext/>
              <w:spacing w:after="60" w:line="240" w:lineRule="atLeast"/>
              <w:jc w:val="center"/>
              <w:rPr>
                <w:noProof/>
                <w:sz w:val="22"/>
                <w:szCs w:val="22"/>
              </w:rPr>
            </w:pPr>
            <w:r w:rsidRPr="00CA449A">
              <w:rPr>
                <w:noProof/>
                <w:sz w:val="22"/>
                <w:szCs w:val="22"/>
              </w:rPr>
              <w:t>2 (1.</w:t>
            </w:r>
            <w:r w:rsidR="00545803">
              <w:rPr>
                <w:noProof/>
                <w:sz w:val="22"/>
                <w:szCs w:val="22"/>
              </w:rPr>
              <w:t>5</w:t>
            </w:r>
            <w:r w:rsidRPr="00CA449A">
              <w:rPr>
                <w:noProof/>
                <w:sz w:val="22"/>
                <w:szCs w:val="22"/>
              </w:rPr>
              <w:t>%)</w:t>
            </w:r>
          </w:p>
        </w:tc>
      </w:tr>
      <w:tr w:rsidR="00AE2502" w:rsidTr="001C2B07">
        <w:tc>
          <w:tcPr>
            <w:tcW w:w="4962" w:type="dxa"/>
          </w:tcPr>
          <w:p w:rsidR="00CD5A51" w:rsidRPr="00CA449A" w:rsidRDefault="00CD5A51" w:rsidP="00B71258">
            <w:pPr>
              <w:keepNext/>
              <w:spacing w:after="60" w:line="240" w:lineRule="atLeast"/>
              <w:rPr>
                <w:noProof/>
                <w:sz w:val="22"/>
                <w:szCs w:val="22"/>
              </w:rPr>
            </w:pPr>
            <w:r>
              <w:rPr>
                <w:noProof/>
                <w:sz w:val="22"/>
                <w:szCs w:val="22"/>
              </w:rPr>
              <w:t>Eye</w:t>
            </w:r>
            <w:r w:rsidRPr="00CA449A">
              <w:rPr>
                <w:noProof/>
                <w:sz w:val="22"/>
                <w:szCs w:val="22"/>
              </w:rPr>
              <w:t xml:space="preserve"> disorders</w:t>
            </w:r>
          </w:p>
          <w:p w:rsidR="00CD5A51" w:rsidRPr="00CA449A" w:rsidRDefault="00CD5A51" w:rsidP="00B71258">
            <w:pPr>
              <w:keepNext/>
              <w:spacing w:after="60" w:line="240" w:lineRule="atLeast"/>
              <w:rPr>
                <w:noProof/>
                <w:sz w:val="22"/>
                <w:szCs w:val="22"/>
              </w:rPr>
            </w:pPr>
            <w:r w:rsidRPr="00CA449A">
              <w:rPr>
                <w:noProof/>
                <w:sz w:val="22"/>
                <w:szCs w:val="22"/>
              </w:rPr>
              <w:t xml:space="preserve">  </w:t>
            </w:r>
            <w:r>
              <w:rPr>
                <w:noProof/>
                <w:sz w:val="22"/>
                <w:szCs w:val="22"/>
              </w:rPr>
              <w:t>Eye pruritus</w:t>
            </w:r>
          </w:p>
          <w:p w:rsidR="00CD5A51" w:rsidRPr="00CA449A" w:rsidRDefault="00CD5A51" w:rsidP="00B71258">
            <w:pPr>
              <w:keepNext/>
              <w:spacing w:after="60" w:line="240" w:lineRule="atLeast"/>
              <w:rPr>
                <w:noProof/>
                <w:sz w:val="22"/>
                <w:szCs w:val="22"/>
              </w:rPr>
            </w:pPr>
            <w:r w:rsidRPr="00CA449A">
              <w:rPr>
                <w:noProof/>
                <w:sz w:val="22"/>
                <w:szCs w:val="22"/>
              </w:rPr>
              <w:t xml:space="preserve">  </w:t>
            </w:r>
            <w:r>
              <w:rPr>
                <w:noProof/>
                <w:sz w:val="22"/>
                <w:szCs w:val="22"/>
              </w:rPr>
              <w:t xml:space="preserve">Eye swelling </w:t>
            </w:r>
          </w:p>
          <w:p w:rsidR="00AE2502" w:rsidRPr="00CA449A" w:rsidRDefault="00CD5A51" w:rsidP="00B71258">
            <w:pPr>
              <w:keepNext/>
              <w:spacing w:after="60" w:line="240" w:lineRule="atLeast"/>
              <w:rPr>
                <w:noProof/>
                <w:sz w:val="22"/>
                <w:szCs w:val="22"/>
              </w:rPr>
            </w:pPr>
            <w:r w:rsidRPr="00CA449A">
              <w:rPr>
                <w:noProof/>
                <w:sz w:val="22"/>
                <w:szCs w:val="22"/>
              </w:rPr>
              <w:t xml:space="preserve">  </w:t>
            </w:r>
            <w:r>
              <w:rPr>
                <w:noProof/>
                <w:sz w:val="22"/>
                <w:szCs w:val="22"/>
              </w:rPr>
              <w:t>Lacrimation increased</w:t>
            </w:r>
          </w:p>
        </w:tc>
        <w:tc>
          <w:tcPr>
            <w:tcW w:w="4172" w:type="dxa"/>
          </w:tcPr>
          <w:p w:rsidR="00E00785" w:rsidRDefault="00E00785" w:rsidP="00B71258">
            <w:pPr>
              <w:keepNext/>
              <w:spacing w:after="60" w:line="240" w:lineRule="atLeast"/>
              <w:jc w:val="center"/>
              <w:rPr>
                <w:noProof/>
                <w:sz w:val="22"/>
                <w:szCs w:val="22"/>
              </w:rPr>
            </w:pPr>
          </w:p>
          <w:p w:rsidR="00CD5A51" w:rsidRPr="00CA449A" w:rsidRDefault="00545803" w:rsidP="00B71258">
            <w:pPr>
              <w:keepNext/>
              <w:spacing w:after="60" w:line="240" w:lineRule="atLeast"/>
              <w:jc w:val="center"/>
              <w:rPr>
                <w:noProof/>
                <w:sz w:val="22"/>
                <w:szCs w:val="22"/>
              </w:rPr>
            </w:pPr>
            <w:r>
              <w:rPr>
                <w:noProof/>
                <w:sz w:val="22"/>
                <w:szCs w:val="22"/>
              </w:rPr>
              <w:t>2 (1.5%)</w:t>
            </w:r>
          </w:p>
          <w:p w:rsidR="00545803" w:rsidRDefault="00545803" w:rsidP="00B71258">
            <w:pPr>
              <w:keepNext/>
              <w:spacing w:after="60" w:line="240" w:lineRule="atLeast"/>
              <w:jc w:val="center"/>
              <w:rPr>
                <w:noProof/>
                <w:sz w:val="22"/>
                <w:szCs w:val="22"/>
              </w:rPr>
            </w:pPr>
            <w:r>
              <w:rPr>
                <w:noProof/>
                <w:sz w:val="22"/>
                <w:szCs w:val="22"/>
              </w:rPr>
              <w:t>2 (1.5%)</w:t>
            </w:r>
          </w:p>
          <w:p w:rsidR="00AE2502" w:rsidRPr="00CA449A" w:rsidRDefault="00AE2502" w:rsidP="00B71258">
            <w:pPr>
              <w:keepNext/>
              <w:spacing w:after="60" w:line="240" w:lineRule="atLeast"/>
              <w:jc w:val="center"/>
              <w:rPr>
                <w:noProof/>
                <w:sz w:val="22"/>
                <w:szCs w:val="22"/>
              </w:rPr>
            </w:pPr>
            <w:r w:rsidRPr="00CA449A">
              <w:rPr>
                <w:noProof/>
                <w:sz w:val="22"/>
                <w:szCs w:val="22"/>
              </w:rPr>
              <w:t>2 (1.</w:t>
            </w:r>
            <w:r w:rsidR="00545803">
              <w:rPr>
                <w:noProof/>
                <w:sz w:val="22"/>
                <w:szCs w:val="22"/>
              </w:rPr>
              <w:t>5</w:t>
            </w:r>
            <w:r w:rsidRPr="00CA449A">
              <w:rPr>
                <w:noProof/>
                <w:sz w:val="22"/>
                <w:szCs w:val="22"/>
              </w:rPr>
              <w:t>%)</w:t>
            </w:r>
          </w:p>
        </w:tc>
      </w:tr>
      <w:tr w:rsidR="00824786" w:rsidTr="001C2B07">
        <w:tc>
          <w:tcPr>
            <w:tcW w:w="4962" w:type="dxa"/>
          </w:tcPr>
          <w:p w:rsidR="00824786" w:rsidRPr="00CA449A" w:rsidRDefault="00824786" w:rsidP="00B71258">
            <w:pPr>
              <w:keepNext/>
              <w:spacing w:after="60" w:line="240" w:lineRule="atLeast"/>
              <w:rPr>
                <w:noProof/>
                <w:sz w:val="22"/>
                <w:szCs w:val="22"/>
              </w:rPr>
            </w:pPr>
            <w:r w:rsidRPr="00CA449A">
              <w:rPr>
                <w:noProof/>
                <w:sz w:val="22"/>
                <w:szCs w:val="22"/>
              </w:rPr>
              <w:t xml:space="preserve">Vascular </w:t>
            </w:r>
            <w:r w:rsidR="004E26F8" w:rsidRPr="00CA449A">
              <w:rPr>
                <w:noProof/>
                <w:sz w:val="22"/>
                <w:szCs w:val="22"/>
              </w:rPr>
              <w:t>disorders</w:t>
            </w:r>
          </w:p>
          <w:p w:rsidR="00824786" w:rsidRPr="00CA449A" w:rsidRDefault="00824786" w:rsidP="00B71258">
            <w:pPr>
              <w:keepNext/>
              <w:spacing w:after="60" w:line="240" w:lineRule="atLeast"/>
              <w:rPr>
                <w:noProof/>
                <w:sz w:val="22"/>
                <w:szCs w:val="22"/>
              </w:rPr>
            </w:pPr>
            <w:r w:rsidRPr="00CA449A">
              <w:rPr>
                <w:noProof/>
                <w:sz w:val="22"/>
                <w:szCs w:val="22"/>
              </w:rPr>
              <w:t xml:space="preserve">  Flushing</w:t>
            </w:r>
          </w:p>
        </w:tc>
        <w:tc>
          <w:tcPr>
            <w:tcW w:w="4172" w:type="dxa"/>
          </w:tcPr>
          <w:p w:rsidR="00824786" w:rsidRPr="00CA449A" w:rsidRDefault="00824786" w:rsidP="00B71258">
            <w:pPr>
              <w:keepNext/>
              <w:spacing w:after="60" w:line="240" w:lineRule="atLeast"/>
              <w:jc w:val="center"/>
              <w:rPr>
                <w:noProof/>
                <w:sz w:val="22"/>
                <w:szCs w:val="22"/>
              </w:rPr>
            </w:pPr>
          </w:p>
          <w:p w:rsidR="00824786" w:rsidRPr="00CA449A" w:rsidRDefault="00824786" w:rsidP="00B71258">
            <w:pPr>
              <w:keepNext/>
              <w:spacing w:after="60" w:line="240" w:lineRule="atLeast"/>
              <w:jc w:val="center"/>
              <w:rPr>
                <w:noProof/>
                <w:sz w:val="22"/>
                <w:szCs w:val="22"/>
              </w:rPr>
            </w:pPr>
            <w:r w:rsidRPr="00CA449A">
              <w:rPr>
                <w:noProof/>
                <w:sz w:val="22"/>
                <w:szCs w:val="22"/>
              </w:rPr>
              <w:t>3 (2.</w:t>
            </w:r>
            <w:r w:rsidR="0095228E">
              <w:rPr>
                <w:noProof/>
                <w:sz w:val="22"/>
                <w:szCs w:val="22"/>
              </w:rPr>
              <w:t>3</w:t>
            </w:r>
            <w:r w:rsidRPr="00CA449A">
              <w:rPr>
                <w:noProof/>
                <w:sz w:val="22"/>
                <w:szCs w:val="22"/>
              </w:rPr>
              <w:t>%)</w:t>
            </w:r>
          </w:p>
        </w:tc>
      </w:tr>
      <w:tr w:rsidR="00824786" w:rsidTr="001C2B07">
        <w:tc>
          <w:tcPr>
            <w:tcW w:w="4962" w:type="dxa"/>
          </w:tcPr>
          <w:p w:rsidR="00824786" w:rsidRPr="00CA449A" w:rsidRDefault="00824786" w:rsidP="00B71258">
            <w:pPr>
              <w:keepNext/>
              <w:spacing w:after="60" w:line="240" w:lineRule="atLeast"/>
              <w:rPr>
                <w:noProof/>
                <w:sz w:val="22"/>
                <w:szCs w:val="22"/>
              </w:rPr>
            </w:pPr>
            <w:r w:rsidRPr="00CA449A">
              <w:rPr>
                <w:noProof/>
                <w:sz w:val="22"/>
                <w:szCs w:val="22"/>
              </w:rPr>
              <w:t xml:space="preserve">Respiratory, </w:t>
            </w:r>
            <w:r w:rsidR="004E26F8" w:rsidRPr="00CA449A">
              <w:rPr>
                <w:noProof/>
                <w:sz w:val="22"/>
                <w:szCs w:val="22"/>
              </w:rPr>
              <w:t xml:space="preserve">thoracic </w:t>
            </w:r>
            <w:r w:rsidRPr="00CA449A">
              <w:rPr>
                <w:noProof/>
                <w:sz w:val="22"/>
                <w:szCs w:val="22"/>
              </w:rPr>
              <w:t xml:space="preserve">and </w:t>
            </w:r>
            <w:r w:rsidR="004E26F8" w:rsidRPr="00CA449A">
              <w:rPr>
                <w:noProof/>
                <w:sz w:val="22"/>
                <w:szCs w:val="22"/>
              </w:rPr>
              <w:t>mediastinal disorders</w:t>
            </w:r>
          </w:p>
          <w:p w:rsidR="00824786" w:rsidRPr="00CA449A" w:rsidRDefault="00824786" w:rsidP="00B71258">
            <w:pPr>
              <w:keepNext/>
              <w:spacing w:after="60" w:line="240" w:lineRule="atLeast"/>
              <w:rPr>
                <w:noProof/>
                <w:sz w:val="22"/>
                <w:szCs w:val="22"/>
              </w:rPr>
            </w:pPr>
            <w:r w:rsidRPr="00CA449A">
              <w:rPr>
                <w:noProof/>
                <w:sz w:val="22"/>
                <w:szCs w:val="22"/>
              </w:rPr>
              <w:t xml:space="preserve">  Rhinorrhoea</w:t>
            </w:r>
          </w:p>
          <w:p w:rsidR="00824786" w:rsidRPr="00CA449A" w:rsidRDefault="00824786" w:rsidP="00B71258">
            <w:pPr>
              <w:keepNext/>
              <w:spacing w:after="60" w:line="240" w:lineRule="atLeast"/>
              <w:rPr>
                <w:noProof/>
                <w:sz w:val="22"/>
                <w:szCs w:val="22"/>
              </w:rPr>
            </w:pPr>
            <w:r w:rsidRPr="00CA449A">
              <w:rPr>
                <w:noProof/>
                <w:sz w:val="22"/>
                <w:szCs w:val="22"/>
              </w:rPr>
              <w:t xml:space="preserve">  Sneezing</w:t>
            </w:r>
          </w:p>
          <w:p w:rsidR="00824786" w:rsidRPr="00CA449A" w:rsidRDefault="00824786" w:rsidP="00B71258">
            <w:pPr>
              <w:keepNext/>
              <w:spacing w:after="60" w:line="240" w:lineRule="atLeast"/>
              <w:rPr>
                <w:noProof/>
                <w:sz w:val="22"/>
                <w:szCs w:val="22"/>
              </w:rPr>
            </w:pPr>
            <w:r w:rsidRPr="00CA449A">
              <w:rPr>
                <w:noProof/>
                <w:sz w:val="22"/>
                <w:szCs w:val="22"/>
              </w:rPr>
              <w:t xml:space="preserve">  Throat irritation</w:t>
            </w:r>
          </w:p>
        </w:tc>
        <w:tc>
          <w:tcPr>
            <w:tcW w:w="4172" w:type="dxa"/>
          </w:tcPr>
          <w:p w:rsidR="00824786" w:rsidRPr="00CA449A" w:rsidRDefault="00824786" w:rsidP="00B71258">
            <w:pPr>
              <w:keepNext/>
              <w:spacing w:after="60" w:line="240" w:lineRule="atLeast"/>
              <w:jc w:val="center"/>
              <w:rPr>
                <w:noProof/>
                <w:sz w:val="22"/>
                <w:szCs w:val="22"/>
              </w:rPr>
            </w:pPr>
          </w:p>
          <w:p w:rsidR="00824786" w:rsidRPr="00CA449A" w:rsidRDefault="0095228E" w:rsidP="00B71258">
            <w:pPr>
              <w:keepNext/>
              <w:spacing w:after="60" w:line="240" w:lineRule="atLeast"/>
              <w:jc w:val="center"/>
              <w:rPr>
                <w:noProof/>
                <w:sz w:val="22"/>
                <w:szCs w:val="22"/>
              </w:rPr>
            </w:pPr>
            <w:r>
              <w:rPr>
                <w:noProof/>
                <w:sz w:val="22"/>
                <w:szCs w:val="22"/>
              </w:rPr>
              <w:t>3</w:t>
            </w:r>
            <w:r w:rsidRPr="00CA449A">
              <w:rPr>
                <w:noProof/>
                <w:sz w:val="22"/>
                <w:szCs w:val="22"/>
              </w:rPr>
              <w:t xml:space="preserve"> </w:t>
            </w:r>
            <w:r w:rsidR="00824786" w:rsidRPr="00CA449A">
              <w:rPr>
                <w:noProof/>
                <w:sz w:val="22"/>
                <w:szCs w:val="22"/>
              </w:rPr>
              <w:t>(</w:t>
            </w:r>
            <w:r>
              <w:rPr>
                <w:noProof/>
                <w:sz w:val="22"/>
                <w:szCs w:val="22"/>
              </w:rPr>
              <w:t>2.3</w:t>
            </w:r>
            <w:r w:rsidR="00824786" w:rsidRPr="00CA449A">
              <w:rPr>
                <w:noProof/>
                <w:sz w:val="22"/>
                <w:szCs w:val="22"/>
              </w:rPr>
              <w:t>%)</w:t>
            </w:r>
          </w:p>
          <w:p w:rsidR="00824786" w:rsidRPr="00CA449A" w:rsidRDefault="0095228E" w:rsidP="00B71258">
            <w:pPr>
              <w:keepNext/>
              <w:spacing w:after="60" w:line="240" w:lineRule="atLeast"/>
              <w:jc w:val="center"/>
              <w:rPr>
                <w:noProof/>
                <w:sz w:val="22"/>
                <w:szCs w:val="22"/>
              </w:rPr>
            </w:pPr>
            <w:r>
              <w:rPr>
                <w:noProof/>
                <w:sz w:val="22"/>
                <w:szCs w:val="22"/>
              </w:rPr>
              <w:t>3</w:t>
            </w:r>
            <w:r w:rsidRPr="00CA449A">
              <w:rPr>
                <w:noProof/>
                <w:sz w:val="22"/>
                <w:szCs w:val="22"/>
              </w:rPr>
              <w:t xml:space="preserve"> </w:t>
            </w:r>
            <w:r w:rsidR="00824786" w:rsidRPr="00CA449A">
              <w:rPr>
                <w:noProof/>
                <w:sz w:val="22"/>
                <w:szCs w:val="22"/>
              </w:rPr>
              <w:t>(</w:t>
            </w:r>
            <w:r>
              <w:rPr>
                <w:noProof/>
                <w:sz w:val="22"/>
                <w:szCs w:val="22"/>
              </w:rPr>
              <w:t>2.3</w:t>
            </w:r>
            <w:r w:rsidR="00824786" w:rsidRPr="00CA449A">
              <w:rPr>
                <w:noProof/>
                <w:sz w:val="22"/>
                <w:szCs w:val="22"/>
              </w:rPr>
              <w:t>%)</w:t>
            </w:r>
          </w:p>
          <w:p w:rsidR="00824786" w:rsidRPr="00CA449A" w:rsidRDefault="00824786" w:rsidP="00B71258">
            <w:pPr>
              <w:keepNext/>
              <w:spacing w:after="60" w:line="240" w:lineRule="atLeast"/>
              <w:jc w:val="center"/>
              <w:rPr>
                <w:noProof/>
                <w:sz w:val="22"/>
                <w:szCs w:val="22"/>
              </w:rPr>
            </w:pPr>
            <w:r w:rsidRPr="00CA449A">
              <w:rPr>
                <w:noProof/>
                <w:sz w:val="22"/>
                <w:szCs w:val="22"/>
              </w:rPr>
              <w:t>3 (2.</w:t>
            </w:r>
            <w:r w:rsidR="0095228E">
              <w:rPr>
                <w:noProof/>
                <w:sz w:val="22"/>
                <w:szCs w:val="22"/>
              </w:rPr>
              <w:t>3</w:t>
            </w:r>
            <w:r w:rsidRPr="00CA449A">
              <w:rPr>
                <w:noProof/>
                <w:sz w:val="22"/>
                <w:szCs w:val="22"/>
              </w:rPr>
              <w:t>%)</w:t>
            </w:r>
          </w:p>
        </w:tc>
      </w:tr>
      <w:tr w:rsidR="00AE2502" w:rsidTr="001C2B07">
        <w:tc>
          <w:tcPr>
            <w:tcW w:w="4962" w:type="dxa"/>
          </w:tcPr>
          <w:p w:rsidR="00AE2502" w:rsidRPr="00CA449A" w:rsidRDefault="00AE2502" w:rsidP="00B71258">
            <w:pPr>
              <w:keepNext/>
              <w:spacing w:after="60" w:line="240" w:lineRule="atLeast"/>
              <w:rPr>
                <w:noProof/>
                <w:sz w:val="22"/>
                <w:szCs w:val="22"/>
              </w:rPr>
            </w:pPr>
            <w:r w:rsidRPr="00CA449A">
              <w:rPr>
                <w:noProof/>
                <w:sz w:val="22"/>
                <w:szCs w:val="22"/>
              </w:rPr>
              <w:t>Gastrointestinal disorders</w:t>
            </w:r>
          </w:p>
          <w:p w:rsidR="00CD5A51" w:rsidRDefault="00AE2502" w:rsidP="00B71258">
            <w:pPr>
              <w:keepNext/>
              <w:spacing w:after="60" w:line="240" w:lineRule="atLeast"/>
              <w:rPr>
                <w:noProof/>
                <w:sz w:val="22"/>
                <w:szCs w:val="22"/>
              </w:rPr>
            </w:pPr>
            <w:r w:rsidRPr="00CA449A">
              <w:rPr>
                <w:noProof/>
                <w:sz w:val="22"/>
                <w:szCs w:val="22"/>
              </w:rPr>
              <w:t xml:space="preserve"> </w:t>
            </w:r>
            <w:r w:rsidR="00CD5A51">
              <w:rPr>
                <w:noProof/>
                <w:sz w:val="22"/>
                <w:szCs w:val="22"/>
              </w:rPr>
              <w:t xml:space="preserve"> </w:t>
            </w:r>
            <w:r w:rsidR="0095228E">
              <w:rPr>
                <w:noProof/>
                <w:sz w:val="22"/>
                <w:szCs w:val="22"/>
              </w:rPr>
              <w:t>Abdominal pain</w:t>
            </w:r>
          </w:p>
          <w:p w:rsidR="00AE2502" w:rsidRPr="00CA449A" w:rsidRDefault="00CD5A51" w:rsidP="00B71258">
            <w:pPr>
              <w:keepNext/>
              <w:spacing w:after="60" w:line="240" w:lineRule="atLeast"/>
              <w:rPr>
                <w:noProof/>
                <w:sz w:val="22"/>
                <w:szCs w:val="22"/>
              </w:rPr>
            </w:pPr>
            <w:r>
              <w:rPr>
                <w:noProof/>
                <w:sz w:val="22"/>
                <w:szCs w:val="22"/>
              </w:rPr>
              <w:t xml:space="preserve">  </w:t>
            </w:r>
            <w:r w:rsidR="00AE2502" w:rsidRPr="00CA449A">
              <w:rPr>
                <w:noProof/>
                <w:sz w:val="22"/>
                <w:szCs w:val="22"/>
              </w:rPr>
              <w:t>Nausea</w:t>
            </w:r>
          </w:p>
        </w:tc>
        <w:tc>
          <w:tcPr>
            <w:tcW w:w="4172" w:type="dxa"/>
          </w:tcPr>
          <w:p w:rsidR="00E00785" w:rsidRPr="00CA449A" w:rsidRDefault="00E00785" w:rsidP="00B71258">
            <w:pPr>
              <w:keepNext/>
              <w:spacing w:after="60" w:line="240" w:lineRule="atLeast"/>
              <w:jc w:val="center"/>
              <w:rPr>
                <w:noProof/>
                <w:sz w:val="22"/>
                <w:szCs w:val="22"/>
              </w:rPr>
            </w:pPr>
          </w:p>
          <w:p w:rsidR="0095228E" w:rsidRDefault="0095228E" w:rsidP="00B71258">
            <w:pPr>
              <w:keepNext/>
              <w:spacing w:after="60" w:line="240" w:lineRule="atLeast"/>
              <w:jc w:val="center"/>
              <w:rPr>
                <w:noProof/>
                <w:sz w:val="22"/>
                <w:szCs w:val="22"/>
              </w:rPr>
            </w:pPr>
            <w:r>
              <w:rPr>
                <w:noProof/>
                <w:sz w:val="22"/>
                <w:szCs w:val="22"/>
              </w:rPr>
              <w:t>2 (1.5%)</w:t>
            </w:r>
          </w:p>
          <w:p w:rsidR="00AE2502" w:rsidRPr="00CA449A" w:rsidRDefault="0095228E" w:rsidP="00B71258">
            <w:pPr>
              <w:keepNext/>
              <w:spacing w:after="60" w:line="240" w:lineRule="atLeast"/>
              <w:jc w:val="center"/>
              <w:rPr>
                <w:noProof/>
                <w:sz w:val="22"/>
                <w:szCs w:val="22"/>
              </w:rPr>
            </w:pPr>
            <w:r>
              <w:rPr>
                <w:noProof/>
                <w:sz w:val="22"/>
                <w:szCs w:val="22"/>
              </w:rPr>
              <w:t>4</w:t>
            </w:r>
            <w:r w:rsidRPr="00CA449A">
              <w:rPr>
                <w:noProof/>
                <w:sz w:val="22"/>
                <w:szCs w:val="22"/>
              </w:rPr>
              <w:t xml:space="preserve"> </w:t>
            </w:r>
            <w:r w:rsidR="00AE2502" w:rsidRPr="00CA449A">
              <w:rPr>
                <w:noProof/>
                <w:sz w:val="22"/>
                <w:szCs w:val="22"/>
              </w:rPr>
              <w:t>(</w:t>
            </w:r>
            <w:r>
              <w:rPr>
                <w:noProof/>
                <w:sz w:val="22"/>
                <w:szCs w:val="22"/>
              </w:rPr>
              <w:t>3.0</w:t>
            </w:r>
            <w:r w:rsidR="00AE2502" w:rsidRPr="00CA449A">
              <w:rPr>
                <w:noProof/>
                <w:sz w:val="22"/>
                <w:szCs w:val="22"/>
              </w:rPr>
              <w:t>%)</w:t>
            </w:r>
          </w:p>
        </w:tc>
      </w:tr>
      <w:tr w:rsidR="00AE2502" w:rsidTr="001C2B07">
        <w:tc>
          <w:tcPr>
            <w:tcW w:w="4962" w:type="dxa"/>
          </w:tcPr>
          <w:p w:rsidR="00AE2502" w:rsidRPr="00CA449A" w:rsidRDefault="00824786" w:rsidP="00B71258">
            <w:pPr>
              <w:keepNext/>
              <w:spacing w:after="60" w:line="240" w:lineRule="atLeast"/>
              <w:rPr>
                <w:noProof/>
                <w:sz w:val="22"/>
                <w:szCs w:val="22"/>
              </w:rPr>
            </w:pPr>
            <w:r w:rsidRPr="00CA449A">
              <w:rPr>
                <w:noProof/>
                <w:sz w:val="22"/>
                <w:szCs w:val="22"/>
              </w:rPr>
              <w:t xml:space="preserve">Skin and </w:t>
            </w:r>
            <w:r w:rsidR="004E26F8" w:rsidRPr="00CA449A">
              <w:rPr>
                <w:noProof/>
                <w:sz w:val="22"/>
                <w:szCs w:val="22"/>
              </w:rPr>
              <w:t>subcutaneous tissue disorders</w:t>
            </w:r>
          </w:p>
          <w:p w:rsidR="00824786" w:rsidRPr="00CA449A" w:rsidRDefault="00824786" w:rsidP="00B71258">
            <w:pPr>
              <w:keepNext/>
              <w:spacing w:after="60" w:line="240" w:lineRule="atLeast"/>
              <w:rPr>
                <w:noProof/>
                <w:sz w:val="22"/>
                <w:szCs w:val="22"/>
              </w:rPr>
            </w:pPr>
            <w:r w:rsidRPr="00CA449A">
              <w:rPr>
                <w:noProof/>
                <w:sz w:val="22"/>
                <w:szCs w:val="22"/>
              </w:rPr>
              <w:t xml:space="preserve">  Erythema</w:t>
            </w:r>
          </w:p>
          <w:p w:rsidR="00824786" w:rsidRPr="00CA449A" w:rsidRDefault="00824786" w:rsidP="00B71258">
            <w:pPr>
              <w:keepNext/>
              <w:spacing w:after="60" w:line="240" w:lineRule="atLeast"/>
              <w:rPr>
                <w:noProof/>
                <w:sz w:val="22"/>
                <w:szCs w:val="22"/>
              </w:rPr>
            </w:pPr>
            <w:r w:rsidRPr="00CA449A">
              <w:rPr>
                <w:noProof/>
                <w:sz w:val="22"/>
                <w:szCs w:val="22"/>
              </w:rPr>
              <w:t xml:space="preserve">  Pruritus</w:t>
            </w:r>
          </w:p>
          <w:p w:rsidR="00824786" w:rsidRPr="00CA449A" w:rsidRDefault="00824786" w:rsidP="00B71258">
            <w:pPr>
              <w:keepNext/>
              <w:spacing w:after="60" w:line="240" w:lineRule="atLeast"/>
              <w:rPr>
                <w:noProof/>
                <w:sz w:val="22"/>
                <w:szCs w:val="22"/>
              </w:rPr>
            </w:pPr>
            <w:r w:rsidRPr="00CA449A">
              <w:rPr>
                <w:noProof/>
                <w:sz w:val="22"/>
                <w:szCs w:val="22"/>
              </w:rPr>
              <w:t xml:space="preserve">  Rash</w:t>
            </w:r>
          </w:p>
        </w:tc>
        <w:tc>
          <w:tcPr>
            <w:tcW w:w="4172" w:type="dxa"/>
          </w:tcPr>
          <w:p w:rsidR="00AE2502" w:rsidRPr="00CA449A" w:rsidRDefault="00AE2502" w:rsidP="00B71258">
            <w:pPr>
              <w:keepNext/>
              <w:spacing w:after="60" w:line="240" w:lineRule="atLeast"/>
              <w:jc w:val="center"/>
              <w:rPr>
                <w:noProof/>
                <w:sz w:val="22"/>
                <w:szCs w:val="22"/>
              </w:rPr>
            </w:pPr>
          </w:p>
          <w:p w:rsidR="00824786" w:rsidRPr="00CA449A" w:rsidRDefault="00824786" w:rsidP="00B71258">
            <w:pPr>
              <w:keepNext/>
              <w:spacing w:after="60" w:line="240" w:lineRule="atLeast"/>
              <w:jc w:val="center"/>
              <w:rPr>
                <w:noProof/>
                <w:sz w:val="22"/>
                <w:szCs w:val="22"/>
              </w:rPr>
            </w:pPr>
            <w:r w:rsidRPr="00CA449A">
              <w:rPr>
                <w:noProof/>
                <w:sz w:val="22"/>
                <w:szCs w:val="22"/>
              </w:rPr>
              <w:t>3 (2.</w:t>
            </w:r>
            <w:r w:rsidR="0095228E">
              <w:rPr>
                <w:noProof/>
                <w:sz w:val="22"/>
                <w:szCs w:val="22"/>
              </w:rPr>
              <w:t>3</w:t>
            </w:r>
            <w:r w:rsidRPr="00CA449A">
              <w:rPr>
                <w:noProof/>
                <w:sz w:val="22"/>
                <w:szCs w:val="22"/>
              </w:rPr>
              <w:t>%)</w:t>
            </w:r>
          </w:p>
          <w:p w:rsidR="00824786" w:rsidRPr="00CA449A" w:rsidRDefault="00824786" w:rsidP="00B71258">
            <w:pPr>
              <w:keepNext/>
              <w:spacing w:after="60" w:line="240" w:lineRule="atLeast"/>
              <w:jc w:val="center"/>
              <w:rPr>
                <w:noProof/>
                <w:sz w:val="22"/>
                <w:szCs w:val="22"/>
              </w:rPr>
            </w:pPr>
            <w:r w:rsidRPr="00CA449A">
              <w:rPr>
                <w:noProof/>
                <w:sz w:val="22"/>
                <w:szCs w:val="22"/>
              </w:rPr>
              <w:t>7 (5.</w:t>
            </w:r>
            <w:r w:rsidR="0095228E">
              <w:rPr>
                <w:noProof/>
                <w:sz w:val="22"/>
                <w:szCs w:val="22"/>
              </w:rPr>
              <w:t>3</w:t>
            </w:r>
            <w:r w:rsidRPr="00CA449A">
              <w:rPr>
                <w:noProof/>
                <w:sz w:val="22"/>
                <w:szCs w:val="22"/>
              </w:rPr>
              <w:t>%)</w:t>
            </w:r>
          </w:p>
          <w:p w:rsidR="00824786" w:rsidRPr="00CA449A" w:rsidRDefault="00824786" w:rsidP="00B71258">
            <w:pPr>
              <w:keepNext/>
              <w:spacing w:after="60" w:line="240" w:lineRule="atLeast"/>
              <w:jc w:val="center"/>
              <w:rPr>
                <w:noProof/>
                <w:sz w:val="22"/>
                <w:szCs w:val="22"/>
              </w:rPr>
            </w:pPr>
            <w:r w:rsidRPr="00CA449A">
              <w:rPr>
                <w:noProof/>
                <w:sz w:val="22"/>
                <w:szCs w:val="22"/>
              </w:rPr>
              <w:t>2 (1.</w:t>
            </w:r>
            <w:r w:rsidR="0095228E">
              <w:rPr>
                <w:noProof/>
                <w:sz w:val="22"/>
                <w:szCs w:val="22"/>
              </w:rPr>
              <w:t>5</w:t>
            </w:r>
            <w:r w:rsidRPr="00CA449A">
              <w:rPr>
                <w:noProof/>
                <w:sz w:val="22"/>
                <w:szCs w:val="22"/>
              </w:rPr>
              <w:t>%)</w:t>
            </w:r>
          </w:p>
        </w:tc>
      </w:tr>
      <w:tr w:rsidR="00AE2502" w:rsidTr="001C2B07">
        <w:tc>
          <w:tcPr>
            <w:tcW w:w="4962" w:type="dxa"/>
          </w:tcPr>
          <w:p w:rsidR="00AE2502" w:rsidRPr="00CA449A" w:rsidRDefault="00824786" w:rsidP="00B71258">
            <w:pPr>
              <w:keepNext/>
              <w:spacing w:after="60" w:line="240" w:lineRule="atLeast"/>
              <w:rPr>
                <w:noProof/>
                <w:sz w:val="22"/>
                <w:szCs w:val="22"/>
              </w:rPr>
            </w:pPr>
            <w:r w:rsidRPr="00CA449A">
              <w:rPr>
                <w:noProof/>
                <w:sz w:val="22"/>
                <w:szCs w:val="22"/>
              </w:rPr>
              <w:t>Muscul</w:t>
            </w:r>
            <w:r w:rsidR="00B41B43" w:rsidRPr="00CA449A">
              <w:rPr>
                <w:noProof/>
                <w:sz w:val="22"/>
                <w:szCs w:val="22"/>
              </w:rPr>
              <w:t xml:space="preserve">oskeletal and </w:t>
            </w:r>
            <w:r w:rsidR="00CD5A51" w:rsidRPr="00CA449A">
              <w:rPr>
                <w:noProof/>
                <w:sz w:val="22"/>
                <w:szCs w:val="22"/>
              </w:rPr>
              <w:t>connective tissue disorders</w:t>
            </w:r>
          </w:p>
          <w:p w:rsidR="00B41B43" w:rsidRPr="00CA449A" w:rsidRDefault="00B41B43" w:rsidP="00B71258">
            <w:pPr>
              <w:keepNext/>
              <w:spacing w:after="60" w:line="240" w:lineRule="atLeast"/>
              <w:rPr>
                <w:noProof/>
                <w:sz w:val="22"/>
                <w:szCs w:val="22"/>
              </w:rPr>
            </w:pPr>
            <w:r w:rsidRPr="00CA449A">
              <w:rPr>
                <w:noProof/>
                <w:sz w:val="22"/>
                <w:szCs w:val="22"/>
              </w:rPr>
              <w:t xml:space="preserve">  Arthralgia</w:t>
            </w:r>
          </w:p>
          <w:p w:rsidR="00B41B43" w:rsidRPr="00CA449A" w:rsidRDefault="00B41B43" w:rsidP="00B71258">
            <w:pPr>
              <w:keepNext/>
              <w:spacing w:after="60" w:line="240" w:lineRule="atLeast"/>
              <w:rPr>
                <w:noProof/>
                <w:sz w:val="22"/>
                <w:szCs w:val="22"/>
              </w:rPr>
            </w:pPr>
            <w:r w:rsidRPr="00CA449A">
              <w:rPr>
                <w:noProof/>
                <w:sz w:val="22"/>
                <w:szCs w:val="22"/>
              </w:rPr>
              <w:t xml:space="preserve">  Back </w:t>
            </w:r>
            <w:r w:rsidR="004E26F8" w:rsidRPr="00CA449A">
              <w:rPr>
                <w:noProof/>
                <w:sz w:val="22"/>
                <w:szCs w:val="22"/>
              </w:rPr>
              <w:t>pain</w:t>
            </w:r>
          </w:p>
          <w:p w:rsidR="00B41B43" w:rsidRPr="00CA449A" w:rsidRDefault="00B41B43" w:rsidP="00B71258">
            <w:pPr>
              <w:keepNext/>
              <w:tabs>
                <w:tab w:val="left" w:pos="1782"/>
              </w:tabs>
              <w:spacing w:after="60" w:line="240" w:lineRule="atLeast"/>
              <w:rPr>
                <w:noProof/>
                <w:sz w:val="22"/>
                <w:szCs w:val="22"/>
              </w:rPr>
            </w:pPr>
            <w:r w:rsidRPr="00CA449A">
              <w:rPr>
                <w:noProof/>
                <w:sz w:val="22"/>
                <w:szCs w:val="22"/>
              </w:rPr>
              <w:t xml:space="preserve">  </w:t>
            </w:r>
            <w:r w:rsidR="004E26F8">
              <w:rPr>
                <w:noProof/>
                <w:sz w:val="22"/>
                <w:szCs w:val="22"/>
              </w:rPr>
              <w:t>Pain in extremity</w:t>
            </w:r>
          </w:p>
        </w:tc>
        <w:tc>
          <w:tcPr>
            <w:tcW w:w="4172" w:type="dxa"/>
          </w:tcPr>
          <w:p w:rsidR="00AE2502" w:rsidRPr="00CA449A" w:rsidRDefault="00AE2502" w:rsidP="00B71258">
            <w:pPr>
              <w:keepNext/>
              <w:spacing w:after="60" w:line="240" w:lineRule="atLeast"/>
              <w:jc w:val="center"/>
              <w:rPr>
                <w:noProof/>
                <w:sz w:val="22"/>
                <w:szCs w:val="22"/>
              </w:rPr>
            </w:pPr>
          </w:p>
          <w:p w:rsidR="00B41B43" w:rsidRPr="00CA449A" w:rsidRDefault="00B41B43" w:rsidP="00B71258">
            <w:pPr>
              <w:keepNext/>
              <w:spacing w:after="60" w:line="240" w:lineRule="atLeast"/>
              <w:jc w:val="center"/>
              <w:rPr>
                <w:noProof/>
                <w:sz w:val="22"/>
                <w:szCs w:val="22"/>
              </w:rPr>
            </w:pPr>
            <w:r w:rsidRPr="00CA449A">
              <w:rPr>
                <w:noProof/>
                <w:sz w:val="22"/>
                <w:szCs w:val="22"/>
              </w:rPr>
              <w:t>2 (1.</w:t>
            </w:r>
            <w:r w:rsidR="0095228E">
              <w:rPr>
                <w:noProof/>
                <w:sz w:val="22"/>
                <w:szCs w:val="22"/>
              </w:rPr>
              <w:t>5</w:t>
            </w:r>
            <w:r w:rsidRPr="00CA449A">
              <w:rPr>
                <w:noProof/>
                <w:sz w:val="22"/>
                <w:szCs w:val="22"/>
              </w:rPr>
              <w:t>%)</w:t>
            </w:r>
          </w:p>
          <w:p w:rsidR="00B41B43" w:rsidRPr="00CA449A" w:rsidRDefault="00B41B43" w:rsidP="00B71258">
            <w:pPr>
              <w:keepNext/>
              <w:spacing w:after="60" w:line="240" w:lineRule="atLeast"/>
              <w:jc w:val="center"/>
              <w:rPr>
                <w:noProof/>
                <w:sz w:val="22"/>
                <w:szCs w:val="22"/>
              </w:rPr>
            </w:pPr>
            <w:r w:rsidRPr="00CA449A">
              <w:rPr>
                <w:noProof/>
                <w:sz w:val="22"/>
                <w:szCs w:val="22"/>
              </w:rPr>
              <w:t>2 (1.</w:t>
            </w:r>
            <w:r w:rsidR="0095228E">
              <w:rPr>
                <w:noProof/>
                <w:sz w:val="22"/>
                <w:szCs w:val="22"/>
              </w:rPr>
              <w:t>5</w:t>
            </w:r>
            <w:r w:rsidRPr="00CA449A">
              <w:rPr>
                <w:noProof/>
                <w:sz w:val="22"/>
                <w:szCs w:val="22"/>
              </w:rPr>
              <w:t>%)</w:t>
            </w:r>
          </w:p>
          <w:p w:rsidR="00B41B43" w:rsidRPr="00CA449A" w:rsidRDefault="00B41B43" w:rsidP="00B71258">
            <w:pPr>
              <w:keepNext/>
              <w:spacing w:after="60" w:line="240" w:lineRule="atLeast"/>
              <w:jc w:val="center"/>
              <w:rPr>
                <w:noProof/>
                <w:sz w:val="22"/>
                <w:szCs w:val="22"/>
              </w:rPr>
            </w:pPr>
            <w:r w:rsidRPr="00CA449A">
              <w:rPr>
                <w:noProof/>
                <w:sz w:val="22"/>
                <w:szCs w:val="22"/>
              </w:rPr>
              <w:t>2 (1.</w:t>
            </w:r>
            <w:r w:rsidR="0095228E">
              <w:rPr>
                <w:noProof/>
                <w:sz w:val="22"/>
                <w:szCs w:val="22"/>
              </w:rPr>
              <w:t>5</w:t>
            </w:r>
            <w:r w:rsidRPr="00CA449A">
              <w:rPr>
                <w:noProof/>
                <w:sz w:val="22"/>
                <w:szCs w:val="22"/>
              </w:rPr>
              <w:t>%)</w:t>
            </w:r>
          </w:p>
        </w:tc>
      </w:tr>
      <w:tr w:rsidR="00AE2502" w:rsidTr="001C2B07">
        <w:tc>
          <w:tcPr>
            <w:tcW w:w="4962" w:type="dxa"/>
          </w:tcPr>
          <w:p w:rsidR="00AE2502" w:rsidRPr="00CA449A" w:rsidRDefault="004E26F8" w:rsidP="001C2B07">
            <w:pPr>
              <w:keepNext/>
              <w:spacing w:after="60" w:line="240" w:lineRule="atLeast"/>
              <w:jc w:val="left"/>
              <w:rPr>
                <w:noProof/>
                <w:sz w:val="22"/>
                <w:szCs w:val="22"/>
              </w:rPr>
            </w:pPr>
            <w:r w:rsidRPr="00CA449A">
              <w:rPr>
                <w:noProof/>
                <w:sz w:val="22"/>
                <w:szCs w:val="22"/>
              </w:rPr>
              <w:t xml:space="preserve">General disorders and administration </w:t>
            </w:r>
            <w:r w:rsidR="00B41B43" w:rsidRPr="00CA449A">
              <w:rPr>
                <w:noProof/>
                <w:sz w:val="22"/>
                <w:szCs w:val="22"/>
              </w:rPr>
              <w:t>site conditions</w:t>
            </w:r>
          </w:p>
          <w:p w:rsidR="00B41B43" w:rsidRPr="00CA449A" w:rsidRDefault="00B41B43" w:rsidP="00B71258">
            <w:pPr>
              <w:keepNext/>
              <w:spacing w:after="60" w:line="240" w:lineRule="atLeast"/>
              <w:rPr>
                <w:noProof/>
                <w:sz w:val="22"/>
                <w:szCs w:val="22"/>
              </w:rPr>
            </w:pPr>
            <w:r w:rsidRPr="00CA449A">
              <w:rPr>
                <w:noProof/>
                <w:sz w:val="22"/>
                <w:szCs w:val="22"/>
              </w:rPr>
              <w:t xml:space="preserve">  Fatigue</w:t>
            </w:r>
          </w:p>
          <w:p w:rsidR="00B41B43" w:rsidRPr="00CA449A" w:rsidRDefault="00B41B43" w:rsidP="00B71258">
            <w:pPr>
              <w:keepNext/>
              <w:spacing w:after="60" w:line="240" w:lineRule="atLeast"/>
              <w:rPr>
                <w:noProof/>
                <w:sz w:val="22"/>
                <w:szCs w:val="22"/>
              </w:rPr>
            </w:pPr>
            <w:r w:rsidRPr="00CA449A">
              <w:rPr>
                <w:noProof/>
                <w:sz w:val="22"/>
                <w:szCs w:val="22"/>
              </w:rPr>
              <w:t xml:space="preserve">  Infusion site pain</w:t>
            </w:r>
          </w:p>
          <w:p w:rsidR="00B41B43" w:rsidRPr="00CA449A" w:rsidRDefault="00B41B43" w:rsidP="00B71258">
            <w:pPr>
              <w:keepNext/>
              <w:spacing w:after="60" w:line="240" w:lineRule="atLeast"/>
              <w:rPr>
                <w:noProof/>
                <w:sz w:val="22"/>
                <w:szCs w:val="22"/>
              </w:rPr>
            </w:pPr>
            <w:r w:rsidRPr="00CA449A">
              <w:rPr>
                <w:noProof/>
                <w:sz w:val="22"/>
                <w:szCs w:val="22"/>
              </w:rPr>
              <w:t xml:space="preserve">  Oedema </w:t>
            </w:r>
            <w:r w:rsidR="004E26F8" w:rsidRPr="00CA449A">
              <w:rPr>
                <w:noProof/>
                <w:sz w:val="22"/>
                <w:szCs w:val="22"/>
              </w:rPr>
              <w:t>peripheral</w:t>
            </w:r>
          </w:p>
        </w:tc>
        <w:tc>
          <w:tcPr>
            <w:tcW w:w="4172" w:type="dxa"/>
          </w:tcPr>
          <w:p w:rsidR="00B41B43" w:rsidRPr="00CA449A" w:rsidRDefault="00B41B43" w:rsidP="00B71258">
            <w:pPr>
              <w:keepNext/>
              <w:spacing w:after="60" w:line="240" w:lineRule="atLeast"/>
              <w:jc w:val="center"/>
              <w:rPr>
                <w:noProof/>
                <w:sz w:val="22"/>
                <w:szCs w:val="22"/>
              </w:rPr>
            </w:pPr>
            <w:r w:rsidRPr="00CA449A">
              <w:rPr>
                <w:noProof/>
                <w:sz w:val="22"/>
                <w:szCs w:val="22"/>
              </w:rPr>
              <w:t>2 (1.</w:t>
            </w:r>
            <w:r w:rsidR="0095228E">
              <w:rPr>
                <w:noProof/>
                <w:sz w:val="22"/>
                <w:szCs w:val="22"/>
              </w:rPr>
              <w:t>5</w:t>
            </w:r>
            <w:r w:rsidRPr="00CA449A">
              <w:rPr>
                <w:noProof/>
                <w:sz w:val="22"/>
                <w:szCs w:val="22"/>
              </w:rPr>
              <w:t>%)</w:t>
            </w:r>
          </w:p>
          <w:p w:rsidR="00B41B43" w:rsidRPr="00CA449A" w:rsidRDefault="00B41B43" w:rsidP="00B71258">
            <w:pPr>
              <w:keepNext/>
              <w:spacing w:after="60" w:line="240" w:lineRule="atLeast"/>
              <w:jc w:val="center"/>
              <w:rPr>
                <w:noProof/>
                <w:sz w:val="22"/>
                <w:szCs w:val="22"/>
              </w:rPr>
            </w:pPr>
            <w:r w:rsidRPr="00CA449A">
              <w:rPr>
                <w:noProof/>
                <w:sz w:val="22"/>
                <w:szCs w:val="22"/>
              </w:rPr>
              <w:t>2 (1.</w:t>
            </w:r>
            <w:r w:rsidR="0095228E">
              <w:rPr>
                <w:noProof/>
                <w:sz w:val="22"/>
                <w:szCs w:val="22"/>
              </w:rPr>
              <w:t>5</w:t>
            </w:r>
            <w:r w:rsidRPr="00CA449A">
              <w:rPr>
                <w:noProof/>
                <w:sz w:val="22"/>
                <w:szCs w:val="22"/>
              </w:rPr>
              <w:t>%)</w:t>
            </w:r>
          </w:p>
          <w:p w:rsidR="00B41B43" w:rsidRPr="00CA449A" w:rsidRDefault="00B41B43" w:rsidP="00B71258">
            <w:pPr>
              <w:keepNext/>
              <w:spacing w:after="60" w:line="240" w:lineRule="atLeast"/>
              <w:jc w:val="center"/>
              <w:rPr>
                <w:noProof/>
                <w:sz w:val="22"/>
                <w:szCs w:val="22"/>
              </w:rPr>
            </w:pPr>
            <w:r w:rsidRPr="00CA449A">
              <w:rPr>
                <w:noProof/>
                <w:sz w:val="22"/>
                <w:szCs w:val="22"/>
              </w:rPr>
              <w:t>2 (1.</w:t>
            </w:r>
            <w:r w:rsidR="0095228E">
              <w:rPr>
                <w:noProof/>
                <w:sz w:val="22"/>
                <w:szCs w:val="22"/>
              </w:rPr>
              <w:t>5</w:t>
            </w:r>
            <w:r w:rsidRPr="00CA449A">
              <w:rPr>
                <w:noProof/>
                <w:sz w:val="22"/>
                <w:szCs w:val="22"/>
              </w:rPr>
              <w:t>%)</w:t>
            </w:r>
          </w:p>
        </w:tc>
      </w:tr>
      <w:tr w:rsidR="00AE2502" w:rsidTr="001C2B07">
        <w:tc>
          <w:tcPr>
            <w:tcW w:w="4962" w:type="dxa"/>
          </w:tcPr>
          <w:p w:rsidR="00AE2502" w:rsidRPr="00CA449A" w:rsidRDefault="00B41B43" w:rsidP="00B71258">
            <w:pPr>
              <w:keepNext/>
              <w:spacing w:after="60" w:line="240" w:lineRule="atLeast"/>
              <w:rPr>
                <w:noProof/>
                <w:sz w:val="22"/>
                <w:szCs w:val="22"/>
              </w:rPr>
            </w:pPr>
            <w:r w:rsidRPr="00CA449A">
              <w:rPr>
                <w:noProof/>
                <w:sz w:val="22"/>
                <w:szCs w:val="22"/>
              </w:rPr>
              <w:t>Investigations</w:t>
            </w:r>
          </w:p>
          <w:p w:rsidR="0095228E" w:rsidRDefault="00CD5A51" w:rsidP="00B71258">
            <w:pPr>
              <w:keepNext/>
              <w:spacing w:after="60" w:line="240" w:lineRule="atLeast"/>
              <w:rPr>
                <w:noProof/>
                <w:sz w:val="22"/>
                <w:szCs w:val="22"/>
              </w:rPr>
            </w:pPr>
            <w:r>
              <w:rPr>
                <w:noProof/>
                <w:sz w:val="22"/>
                <w:szCs w:val="22"/>
              </w:rPr>
              <w:t xml:space="preserve"> </w:t>
            </w:r>
            <w:r w:rsidR="0095228E">
              <w:rPr>
                <w:noProof/>
                <w:sz w:val="22"/>
                <w:szCs w:val="22"/>
              </w:rPr>
              <w:t xml:space="preserve">Alanine aminotransferase increased </w:t>
            </w:r>
            <w:r w:rsidR="00B41B43" w:rsidRPr="00CA449A">
              <w:rPr>
                <w:noProof/>
                <w:sz w:val="22"/>
                <w:szCs w:val="22"/>
              </w:rPr>
              <w:t xml:space="preserve">  </w:t>
            </w:r>
          </w:p>
          <w:p w:rsidR="00B41B43" w:rsidRPr="00CA449A" w:rsidRDefault="00CD5A51" w:rsidP="00B71258">
            <w:pPr>
              <w:keepNext/>
              <w:spacing w:after="60" w:line="240" w:lineRule="atLeast"/>
              <w:rPr>
                <w:noProof/>
                <w:sz w:val="22"/>
                <w:szCs w:val="22"/>
              </w:rPr>
            </w:pPr>
            <w:r>
              <w:rPr>
                <w:noProof/>
                <w:sz w:val="22"/>
                <w:szCs w:val="22"/>
              </w:rPr>
              <w:t xml:space="preserve"> </w:t>
            </w:r>
            <w:r w:rsidR="00B41B43" w:rsidRPr="00CA449A">
              <w:rPr>
                <w:noProof/>
                <w:sz w:val="22"/>
                <w:szCs w:val="22"/>
              </w:rPr>
              <w:t xml:space="preserve">Weight </w:t>
            </w:r>
            <w:r w:rsidR="004E26F8" w:rsidRPr="00CA449A">
              <w:rPr>
                <w:noProof/>
                <w:sz w:val="22"/>
                <w:szCs w:val="22"/>
              </w:rPr>
              <w:t>increased</w:t>
            </w:r>
          </w:p>
        </w:tc>
        <w:tc>
          <w:tcPr>
            <w:tcW w:w="4172" w:type="dxa"/>
          </w:tcPr>
          <w:p w:rsidR="00AE2502" w:rsidRPr="00CA449A" w:rsidRDefault="00AE2502" w:rsidP="00B71258">
            <w:pPr>
              <w:keepNext/>
              <w:spacing w:after="60" w:line="240" w:lineRule="atLeast"/>
              <w:jc w:val="center"/>
              <w:rPr>
                <w:noProof/>
                <w:sz w:val="22"/>
                <w:szCs w:val="22"/>
              </w:rPr>
            </w:pPr>
          </w:p>
          <w:p w:rsidR="0095228E" w:rsidRDefault="0095228E" w:rsidP="00B71258">
            <w:pPr>
              <w:keepNext/>
              <w:spacing w:after="60" w:line="240" w:lineRule="atLeast"/>
              <w:jc w:val="center"/>
              <w:rPr>
                <w:noProof/>
                <w:sz w:val="22"/>
                <w:szCs w:val="22"/>
              </w:rPr>
            </w:pPr>
            <w:r>
              <w:rPr>
                <w:noProof/>
                <w:sz w:val="22"/>
                <w:szCs w:val="22"/>
              </w:rPr>
              <w:t>2 (1.5%)</w:t>
            </w:r>
          </w:p>
          <w:p w:rsidR="00B41B43" w:rsidRPr="00CA449A" w:rsidRDefault="0095228E" w:rsidP="00B71258">
            <w:pPr>
              <w:keepNext/>
              <w:spacing w:after="60" w:line="240" w:lineRule="atLeast"/>
              <w:jc w:val="center"/>
              <w:rPr>
                <w:noProof/>
                <w:sz w:val="22"/>
                <w:szCs w:val="22"/>
              </w:rPr>
            </w:pPr>
            <w:r>
              <w:rPr>
                <w:noProof/>
                <w:sz w:val="22"/>
                <w:szCs w:val="22"/>
              </w:rPr>
              <w:t>3</w:t>
            </w:r>
            <w:r w:rsidRPr="00CA449A">
              <w:rPr>
                <w:noProof/>
                <w:sz w:val="22"/>
                <w:szCs w:val="22"/>
              </w:rPr>
              <w:t xml:space="preserve"> </w:t>
            </w:r>
            <w:r w:rsidR="00B41B43" w:rsidRPr="00CA449A">
              <w:rPr>
                <w:noProof/>
                <w:sz w:val="22"/>
                <w:szCs w:val="22"/>
              </w:rPr>
              <w:t>(</w:t>
            </w:r>
            <w:r>
              <w:rPr>
                <w:noProof/>
                <w:sz w:val="22"/>
                <w:szCs w:val="22"/>
              </w:rPr>
              <w:t>2.3</w:t>
            </w:r>
            <w:r w:rsidR="00B41B43" w:rsidRPr="00CA449A">
              <w:rPr>
                <w:noProof/>
                <w:sz w:val="22"/>
                <w:szCs w:val="22"/>
              </w:rPr>
              <w:t>%)</w:t>
            </w:r>
          </w:p>
        </w:tc>
      </w:tr>
    </w:tbl>
    <w:p w:rsidR="00450028" w:rsidRDefault="00450028" w:rsidP="00E02163">
      <w:pPr>
        <w:pStyle w:val="Heading3"/>
        <w:rPr>
          <w:noProof/>
        </w:rPr>
      </w:pPr>
    </w:p>
    <w:p w:rsidR="00624A7C" w:rsidRDefault="00624A7C" w:rsidP="00A27BA3">
      <w:pPr>
        <w:pStyle w:val="PIHeading3"/>
        <w:rPr>
          <w:noProof/>
        </w:rPr>
      </w:pPr>
      <w:r>
        <w:rPr>
          <w:noProof/>
        </w:rPr>
        <w:t>Post-</w:t>
      </w:r>
      <w:r w:rsidR="00D03410">
        <w:rPr>
          <w:noProof/>
        </w:rPr>
        <w:t xml:space="preserve">Marketing </w:t>
      </w:r>
      <w:r>
        <w:rPr>
          <w:noProof/>
        </w:rPr>
        <w:t>Experience</w:t>
      </w:r>
    </w:p>
    <w:p w:rsidR="00624A7C" w:rsidRDefault="00624A7C" w:rsidP="00E02163">
      <w:pPr>
        <w:rPr>
          <w:noProof/>
        </w:rPr>
      </w:pPr>
      <w:r w:rsidRPr="007800EA">
        <w:rPr>
          <w:noProof/>
        </w:rPr>
        <w:t>The limited post</w:t>
      </w:r>
      <w:r w:rsidR="00250F1A">
        <w:rPr>
          <w:noProof/>
        </w:rPr>
        <w:t>-</w:t>
      </w:r>
      <w:r w:rsidRPr="007800EA">
        <w:rPr>
          <w:noProof/>
        </w:rPr>
        <w:t>marketing experience with this formulation of ELELYSO is consistent with the above profile.</w:t>
      </w:r>
      <w:r>
        <w:rPr>
          <w:noProof/>
        </w:rPr>
        <w:t xml:space="preserve"> </w:t>
      </w:r>
    </w:p>
    <w:p w:rsidR="00BD5C9D" w:rsidRDefault="00BD5C9D" w:rsidP="00E02163">
      <w:pPr>
        <w:widowControl w:val="0"/>
        <w:autoSpaceDE w:val="0"/>
        <w:autoSpaceDN w:val="0"/>
        <w:adjustRightInd w:val="0"/>
        <w:rPr>
          <w:szCs w:val="24"/>
        </w:rPr>
      </w:pPr>
      <w:r w:rsidRPr="005F6C79">
        <w:rPr>
          <w:szCs w:val="24"/>
        </w:rPr>
        <w:lastRenderedPageBreak/>
        <w:t xml:space="preserve">The following adverse events were reported during </w:t>
      </w:r>
      <w:r>
        <w:rPr>
          <w:szCs w:val="24"/>
        </w:rPr>
        <w:t xml:space="preserve">post-marketing surveillance: </w:t>
      </w:r>
    </w:p>
    <w:p w:rsidR="00BD5C9D" w:rsidRPr="00BD5C9D" w:rsidRDefault="00BD5C9D" w:rsidP="00E02163">
      <w:pPr>
        <w:widowControl w:val="0"/>
        <w:autoSpaceDE w:val="0"/>
        <w:autoSpaceDN w:val="0"/>
        <w:adjustRightInd w:val="0"/>
        <w:rPr>
          <w:szCs w:val="24"/>
          <w:lang w:val="en-GB"/>
        </w:rPr>
      </w:pPr>
      <w:r w:rsidRPr="005F6C79">
        <w:rPr>
          <w:szCs w:val="24"/>
        </w:rPr>
        <w:t>Immune system disorders: Anaphylactic reaction</w:t>
      </w:r>
      <w:r>
        <w:rPr>
          <w:szCs w:val="24"/>
        </w:rPr>
        <w:t>.</w:t>
      </w:r>
    </w:p>
    <w:p w:rsidR="00812C64" w:rsidRPr="00C71C06" w:rsidRDefault="00812C64" w:rsidP="00E02163">
      <w:pPr>
        <w:pStyle w:val="PIHeading1"/>
      </w:pPr>
      <w:r w:rsidRPr="00C71C06">
        <w:t>DOSAGE AND ADMINISTRATION</w:t>
      </w:r>
      <w:r w:rsidR="00EE1B2E" w:rsidRPr="00C71C06">
        <w:t xml:space="preserve"> </w:t>
      </w:r>
    </w:p>
    <w:p w:rsidR="00F478B1" w:rsidRDefault="00665D44" w:rsidP="00E02163">
      <w:pPr>
        <w:rPr>
          <w:bCs/>
          <w:noProof/>
        </w:rPr>
      </w:pPr>
      <w:r w:rsidRPr="00CB3919">
        <w:t xml:space="preserve">Treatment with </w:t>
      </w:r>
      <w:r w:rsidR="0090041B" w:rsidRPr="00CB3919">
        <w:t>ELELYSO</w:t>
      </w:r>
      <w:r w:rsidRPr="00CB3919">
        <w:t xml:space="preserve"> should be </w:t>
      </w:r>
      <w:r w:rsidR="00FC16B3">
        <w:t>supervised</w:t>
      </w:r>
      <w:r w:rsidRPr="00CB3919">
        <w:t xml:space="preserve"> by </w:t>
      </w:r>
      <w:r w:rsidR="00FC16B3">
        <w:t xml:space="preserve">a </w:t>
      </w:r>
      <w:r w:rsidR="00F478B1">
        <w:t>physician</w:t>
      </w:r>
      <w:r w:rsidR="00F478B1" w:rsidRPr="00CB3919">
        <w:t xml:space="preserve"> </w:t>
      </w:r>
      <w:r w:rsidR="00FC16B3">
        <w:t xml:space="preserve">experienced in the management of patients with </w:t>
      </w:r>
      <w:proofErr w:type="spellStart"/>
      <w:proofErr w:type="gramStart"/>
      <w:r w:rsidRPr="00CB3919">
        <w:t>Gaucher</w:t>
      </w:r>
      <w:proofErr w:type="spellEnd"/>
      <w:proofErr w:type="gramEnd"/>
      <w:r w:rsidRPr="00CB3919">
        <w:t xml:space="preserve"> disease. </w:t>
      </w:r>
      <w:r w:rsidR="002D5FA8">
        <w:rPr>
          <w:bCs/>
          <w:noProof/>
        </w:rPr>
        <w:t xml:space="preserve">Home administration under the supervision of a healthcare professional </w:t>
      </w:r>
      <w:r w:rsidR="00E57445">
        <w:rPr>
          <w:bCs/>
          <w:noProof/>
        </w:rPr>
        <w:t xml:space="preserve">trained in recognising and medically managing serious infusion-related reactions under the direction of a practising physician </w:t>
      </w:r>
      <w:r w:rsidR="002D5FA8">
        <w:rPr>
          <w:bCs/>
          <w:noProof/>
        </w:rPr>
        <w:t>may be considered only for those patients who have been tolerating their infusion</w:t>
      </w:r>
      <w:r w:rsidR="00CB0104">
        <w:rPr>
          <w:bCs/>
          <w:noProof/>
        </w:rPr>
        <w:t>s</w:t>
      </w:r>
      <w:r w:rsidR="002D5FA8">
        <w:rPr>
          <w:bCs/>
          <w:noProof/>
        </w:rPr>
        <w:t xml:space="preserve">. </w:t>
      </w:r>
    </w:p>
    <w:p w:rsidR="00BA0FB4" w:rsidRDefault="009266F6" w:rsidP="00E02163">
      <w:pPr>
        <w:rPr>
          <w:noProof/>
        </w:rPr>
      </w:pPr>
      <w:r>
        <w:rPr>
          <w:noProof/>
        </w:rPr>
        <w:t>ELELYSO</w:t>
      </w:r>
      <w:r w:rsidR="00C211F8" w:rsidRPr="005943F4">
        <w:rPr>
          <w:noProof/>
        </w:rPr>
        <w:t xml:space="preserve"> </w:t>
      </w:r>
      <w:r w:rsidR="00C0124A">
        <w:rPr>
          <w:noProof/>
        </w:rPr>
        <w:t>must be administered b</w:t>
      </w:r>
      <w:r>
        <w:rPr>
          <w:noProof/>
        </w:rPr>
        <w:t xml:space="preserve">y intravenous infusion </w:t>
      </w:r>
      <w:r w:rsidR="00224407" w:rsidRPr="00224407">
        <w:rPr>
          <w:noProof/>
        </w:rPr>
        <w:t>over</w:t>
      </w:r>
      <w:r>
        <w:rPr>
          <w:noProof/>
        </w:rPr>
        <w:t xml:space="preserve"> </w:t>
      </w:r>
      <w:r w:rsidR="004947F9">
        <w:rPr>
          <w:noProof/>
        </w:rPr>
        <w:t xml:space="preserve">a period from </w:t>
      </w:r>
      <w:r w:rsidR="00057F82">
        <w:rPr>
          <w:noProof/>
        </w:rPr>
        <w:t>60 to 120 minutes</w:t>
      </w:r>
      <w:r w:rsidR="004947F9">
        <w:rPr>
          <w:noProof/>
        </w:rPr>
        <w:t>.</w:t>
      </w:r>
      <w:r w:rsidR="00F77841">
        <w:rPr>
          <w:noProof/>
        </w:rPr>
        <w:t xml:space="preserve"> </w:t>
      </w:r>
      <w:r w:rsidR="00F77841" w:rsidRPr="000153C5">
        <w:rPr>
          <w:noProof/>
        </w:rPr>
        <w:t>Due to the heterogeneity and the multi-sys</w:t>
      </w:r>
      <w:r w:rsidR="00F77841">
        <w:rPr>
          <w:noProof/>
        </w:rPr>
        <w:t>temic nature of Gaucher disease,</w:t>
      </w:r>
      <w:r>
        <w:rPr>
          <w:noProof/>
        </w:rPr>
        <w:t xml:space="preserve"> </w:t>
      </w:r>
      <w:r w:rsidR="00F77841">
        <w:rPr>
          <w:noProof/>
        </w:rPr>
        <w:t xml:space="preserve">dosage </w:t>
      </w:r>
      <w:r w:rsidR="00C0124A">
        <w:rPr>
          <w:noProof/>
        </w:rPr>
        <w:t>must be individu</w:t>
      </w:r>
      <w:r w:rsidR="00B8059B">
        <w:rPr>
          <w:noProof/>
        </w:rPr>
        <w:t>a</w:t>
      </w:r>
      <w:r w:rsidR="00C0124A">
        <w:rPr>
          <w:noProof/>
        </w:rPr>
        <w:t>lised</w:t>
      </w:r>
      <w:r>
        <w:rPr>
          <w:noProof/>
        </w:rPr>
        <w:t xml:space="preserve"> to each patient.</w:t>
      </w:r>
      <w:r w:rsidR="00EE179B">
        <w:rPr>
          <w:noProof/>
        </w:rPr>
        <w:t xml:space="preserve"> </w:t>
      </w:r>
      <w:r w:rsidR="00FC16B3">
        <w:rPr>
          <w:noProof/>
        </w:rPr>
        <w:t>Dose requirements may increase or decr</w:t>
      </w:r>
      <w:r w:rsidR="0092509E">
        <w:rPr>
          <w:noProof/>
        </w:rPr>
        <w:t>e</w:t>
      </w:r>
      <w:r w:rsidR="00FC16B3">
        <w:rPr>
          <w:noProof/>
        </w:rPr>
        <w:t>ase, based on achievement of therapeutic goals as assessed by regular comprehensive evaluation</w:t>
      </w:r>
      <w:r w:rsidR="00EE179B">
        <w:rPr>
          <w:noProof/>
        </w:rPr>
        <w:t>s</w:t>
      </w:r>
      <w:r w:rsidR="00FC16B3">
        <w:rPr>
          <w:noProof/>
        </w:rPr>
        <w:t xml:space="preserve"> of the patient’s clinical manifestations. </w:t>
      </w:r>
    </w:p>
    <w:p w:rsidR="005D4263" w:rsidRPr="00F77841" w:rsidRDefault="005D4263" w:rsidP="00A27BA3">
      <w:pPr>
        <w:pStyle w:val="PIHeading2"/>
        <w:rPr>
          <w:noProof/>
        </w:rPr>
      </w:pPr>
      <w:r w:rsidRPr="00F77841">
        <w:rPr>
          <w:noProof/>
        </w:rPr>
        <w:t>Dos</w:t>
      </w:r>
      <w:r w:rsidR="00192138">
        <w:rPr>
          <w:noProof/>
        </w:rPr>
        <w:t>ing</w:t>
      </w:r>
    </w:p>
    <w:p w:rsidR="006B6A17" w:rsidRDefault="009266F6" w:rsidP="006B6A17">
      <w:pPr>
        <w:rPr>
          <w:noProof/>
        </w:rPr>
      </w:pPr>
      <w:r>
        <w:rPr>
          <w:noProof/>
        </w:rPr>
        <w:t>Initial dos</w:t>
      </w:r>
      <w:r w:rsidR="00BA0FB4">
        <w:rPr>
          <w:noProof/>
        </w:rPr>
        <w:t>es of ELELYSO</w:t>
      </w:r>
      <w:r>
        <w:rPr>
          <w:noProof/>
        </w:rPr>
        <w:t xml:space="preserve"> </w:t>
      </w:r>
      <w:r w:rsidR="005D4263">
        <w:rPr>
          <w:noProof/>
        </w:rPr>
        <w:t xml:space="preserve">in adult </w:t>
      </w:r>
      <w:r w:rsidR="002708D6">
        <w:rPr>
          <w:noProof/>
        </w:rPr>
        <w:t xml:space="preserve">and paediatric (2 to 17 years of age) </w:t>
      </w:r>
      <w:r w:rsidR="005D4263">
        <w:rPr>
          <w:noProof/>
        </w:rPr>
        <w:t xml:space="preserve">patients </w:t>
      </w:r>
      <w:r>
        <w:rPr>
          <w:noProof/>
        </w:rPr>
        <w:t xml:space="preserve">range from 30 </w:t>
      </w:r>
      <w:r w:rsidR="00F478B1">
        <w:rPr>
          <w:noProof/>
        </w:rPr>
        <w:t>u</w:t>
      </w:r>
      <w:r>
        <w:rPr>
          <w:noProof/>
        </w:rPr>
        <w:t>nit</w:t>
      </w:r>
      <w:r w:rsidR="00F77841">
        <w:rPr>
          <w:noProof/>
        </w:rPr>
        <w:t>s</w:t>
      </w:r>
      <w:r>
        <w:rPr>
          <w:noProof/>
        </w:rPr>
        <w:t>/</w:t>
      </w:r>
      <w:r w:rsidR="00B8059B">
        <w:rPr>
          <w:noProof/>
        </w:rPr>
        <w:t>k</w:t>
      </w:r>
      <w:r>
        <w:rPr>
          <w:noProof/>
        </w:rPr>
        <w:t xml:space="preserve">g to 60 </w:t>
      </w:r>
      <w:r w:rsidR="00F478B1">
        <w:rPr>
          <w:noProof/>
        </w:rPr>
        <w:t>u</w:t>
      </w:r>
      <w:r>
        <w:rPr>
          <w:noProof/>
        </w:rPr>
        <w:t>nit</w:t>
      </w:r>
      <w:r w:rsidR="00892B76">
        <w:rPr>
          <w:noProof/>
        </w:rPr>
        <w:t>s</w:t>
      </w:r>
      <w:r>
        <w:rPr>
          <w:noProof/>
        </w:rPr>
        <w:t>/kg of body weight once every 2 weeks</w:t>
      </w:r>
      <w:r w:rsidR="00FC16B3">
        <w:rPr>
          <w:noProof/>
        </w:rPr>
        <w:t>, depending on the clinical assessment of the treating p</w:t>
      </w:r>
      <w:r w:rsidR="00EE179B">
        <w:rPr>
          <w:noProof/>
        </w:rPr>
        <w:t>h</w:t>
      </w:r>
      <w:r w:rsidR="00FC16B3">
        <w:rPr>
          <w:noProof/>
        </w:rPr>
        <w:t xml:space="preserve">ysician. </w:t>
      </w:r>
      <w:r>
        <w:rPr>
          <w:noProof/>
        </w:rPr>
        <w:t>Clinical studies have evaluated dose rang</w:t>
      </w:r>
      <w:r w:rsidR="00EE179B">
        <w:rPr>
          <w:noProof/>
        </w:rPr>
        <w:t xml:space="preserve">es </w:t>
      </w:r>
      <w:r>
        <w:rPr>
          <w:noProof/>
        </w:rPr>
        <w:t>from 1</w:t>
      </w:r>
      <w:r w:rsidR="00FC16B3">
        <w:rPr>
          <w:noProof/>
        </w:rPr>
        <w:t>1</w:t>
      </w:r>
      <w:r>
        <w:rPr>
          <w:noProof/>
        </w:rPr>
        <w:t xml:space="preserve"> </w:t>
      </w:r>
      <w:r w:rsidR="00FC16B3">
        <w:rPr>
          <w:noProof/>
        </w:rPr>
        <w:t>u</w:t>
      </w:r>
      <w:r>
        <w:rPr>
          <w:noProof/>
        </w:rPr>
        <w:t>nit</w:t>
      </w:r>
      <w:r w:rsidR="00F77841">
        <w:rPr>
          <w:noProof/>
        </w:rPr>
        <w:t>s</w:t>
      </w:r>
      <w:r>
        <w:rPr>
          <w:noProof/>
        </w:rPr>
        <w:t xml:space="preserve">/kg to </w:t>
      </w:r>
      <w:r w:rsidR="00FC16B3">
        <w:rPr>
          <w:noProof/>
        </w:rPr>
        <w:t>73</w:t>
      </w:r>
      <w:r w:rsidR="00475304">
        <w:rPr>
          <w:noProof/>
        </w:rPr>
        <w:t xml:space="preserve"> </w:t>
      </w:r>
      <w:r w:rsidR="00FC16B3">
        <w:rPr>
          <w:noProof/>
        </w:rPr>
        <w:t>u</w:t>
      </w:r>
      <w:r>
        <w:rPr>
          <w:noProof/>
        </w:rPr>
        <w:t>nit</w:t>
      </w:r>
      <w:r w:rsidR="00F77841">
        <w:rPr>
          <w:noProof/>
        </w:rPr>
        <w:t>s</w:t>
      </w:r>
      <w:r>
        <w:rPr>
          <w:noProof/>
        </w:rPr>
        <w:t xml:space="preserve">/kg every </w:t>
      </w:r>
      <w:r w:rsidR="00892B76">
        <w:rPr>
          <w:noProof/>
        </w:rPr>
        <w:t xml:space="preserve">2 </w:t>
      </w:r>
      <w:r>
        <w:rPr>
          <w:noProof/>
        </w:rPr>
        <w:t>week</w:t>
      </w:r>
      <w:r w:rsidR="00892B76">
        <w:rPr>
          <w:noProof/>
        </w:rPr>
        <w:t>s</w:t>
      </w:r>
      <w:r>
        <w:rPr>
          <w:noProof/>
        </w:rPr>
        <w:t xml:space="preserve">. </w:t>
      </w:r>
    </w:p>
    <w:p w:rsidR="00E97493" w:rsidRDefault="006B6A17" w:rsidP="00E02163">
      <w:pPr>
        <w:rPr>
          <w:noProof/>
        </w:rPr>
      </w:pPr>
      <w:r>
        <w:rPr>
          <w:noProof/>
        </w:rPr>
        <w:t xml:space="preserve">Patients </w:t>
      </w:r>
      <w:r w:rsidR="00E97493">
        <w:rPr>
          <w:noProof/>
        </w:rPr>
        <w:t>currently being treated with imiglucerase for Gaucher disease can be switched to taliglucerase alfa</w:t>
      </w:r>
      <w:r w:rsidR="00250F1A">
        <w:rPr>
          <w:noProof/>
        </w:rPr>
        <w:t xml:space="preserve"> rpc</w:t>
      </w:r>
      <w:r w:rsidR="00E97493">
        <w:rPr>
          <w:noProof/>
        </w:rPr>
        <w:t xml:space="preserve">. It is recommended that patients previously treated on a stable dose of imiglucerase begin treatment with taliglucerase alfa </w:t>
      </w:r>
      <w:r w:rsidR="00250F1A">
        <w:rPr>
          <w:noProof/>
        </w:rPr>
        <w:t xml:space="preserve">rpc </w:t>
      </w:r>
      <w:r w:rsidR="00E97493">
        <w:rPr>
          <w:noProof/>
        </w:rPr>
        <w:t>at the same dose of imiglucerase when they switch from imiglucerase to taliglucerase alfa</w:t>
      </w:r>
      <w:r w:rsidR="00250F1A">
        <w:rPr>
          <w:noProof/>
        </w:rPr>
        <w:t xml:space="preserve"> rpc</w:t>
      </w:r>
      <w:r w:rsidR="00E97493">
        <w:rPr>
          <w:noProof/>
        </w:rPr>
        <w:t xml:space="preserve">. </w:t>
      </w:r>
    </w:p>
    <w:p w:rsidR="00A21C9B" w:rsidRPr="00FF398B" w:rsidRDefault="00A21C9B" w:rsidP="00A27BA3">
      <w:pPr>
        <w:pStyle w:val="PIHeading2"/>
        <w:rPr>
          <w:noProof/>
        </w:rPr>
      </w:pPr>
      <w:r w:rsidRPr="00FF398B">
        <w:rPr>
          <w:noProof/>
        </w:rPr>
        <w:t xml:space="preserve">Method of administration </w:t>
      </w:r>
    </w:p>
    <w:p w:rsidR="00DF054C" w:rsidRDefault="00A21C9B" w:rsidP="00E02163">
      <w:pPr>
        <w:rPr>
          <w:noProof/>
        </w:rPr>
      </w:pPr>
      <w:r w:rsidRPr="005943F4">
        <w:rPr>
          <w:noProof/>
        </w:rPr>
        <w:t xml:space="preserve">After reconstitution and dilution, the preparation is administered </w:t>
      </w:r>
      <w:r w:rsidR="00A81ADB">
        <w:rPr>
          <w:noProof/>
        </w:rPr>
        <w:t>by</w:t>
      </w:r>
      <w:r w:rsidRPr="005943F4">
        <w:rPr>
          <w:noProof/>
        </w:rPr>
        <w:t xml:space="preserve"> intravenous infusion over a period </w:t>
      </w:r>
      <w:r w:rsidR="004947F9">
        <w:rPr>
          <w:noProof/>
        </w:rPr>
        <w:t>from</w:t>
      </w:r>
      <w:r>
        <w:rPr>
          <w:noProof/>
        </w:rPr>
        <w:t xml:space="preserve"> </w:t>
      </w:r>
      <w:r w:rsidR="00057F82">
        <w:rPr>
          <w:noProof/>
        </w:rPr>
        <w:t>60 to 120 minutes</w:t>
      </w:r>
      <w:r>
        <w:rPr>
          <w:noProof/>
        </w:rPr>
        <w:t xml:space="preserve">. </w:t>
      </w:r>
      <w:r w:rsidR="001F3440">
        <w:rPr>
          <w:noProof/>
        </w:rPr>
        <w:t xml:space="preserve">The </w:t>
      </w:r>
      <w:r w:rsidR="001F3440" w:rsidRPr="005943F4">
        <w:rPr>
          <w:noProof/>
        </w:rPr>
        <w:t xml:space="preserve">duration </w:t>
      </w:r>
      <w:r w:rsidRPr="005943F4">
        <w:rPr>
          <w:noProof/>
        </w:rPr>
        <w:t xml:space="preserve">of infusion may be adjusted as tolerated by </w:t>
      </w:r>
      <w:r>
        <w:rPr>
          <w:noProof/>
        </w:rPr>
        <w:t xml:space="preserve">the </w:t>
      </w:r>
      <w:r w:rsidRPr="005943F4">
        <w:rPr>
          <w:noProof/>
        </w:rPr>
        <w:t xml:space="preserve">patient. </w:t>
      </w:r>
      <w:r w:rsidR="001F3440" w:rsidRPr="002432E8">
        <w:rPr>
          <w:noProof/>
        </w:rPr>
        <w:t>The total volume of the infusion solution should be delivered over a period of no less than 60 minutes.</w:t>
      </w:r>
    </w:p>
    <w:p w:rsidR="00E52CA3" w:rsidRDefault="00A21C9B" w:rsidP="00E02163">
      <w:pPr>
        <w:rPr>
          <w:u w:val="single"/>
        </w:rPr>
      </w:pPr>
      <w:r w:rsidRPr="005943F4">
        <w:rPr>
          <w:iCs/>
          <w:noProof/>
        </w:rPr>
        <w:t xml:space="preserve">Each vial of </w:t>
      </w:r>
      <w:r>
        <w:rPr>
          <w:iCs/>
          <w:noProof/>
        </w:rPr>
        <w:t>ELELYSO</w:t>
      </w:r>
      <w:r w:rsidRPr="005943F4">
        <w:rPr>
          <w:iCs/>
          <w:noProof/>
        </w:rPr>
        <w:t xml:space="preserve"> is for single use</w:t>
      </w:r>
      <w:r>
        <w:rPr>
          <w:iCs/>
          <w:noProof/>
        </w:rPr>
        <w:t xml:space="preserve"> </w:t>
      </w:r>
      <w:r w:rsidR="00E24C22">
        <w:rPr>
          <w:iCs/>
          <w:noProof/>
        </w:rPr>
        <w:t xml:space="preserve">only </w:t>
      </w:r>
      <w:r>
        <w:rPr>
          <w:iCs/>
          <w:noProof/>
        </w:rPr>
        <w:t>in one patient</w:t>
      </w:r>
      <w:r w:rsidRPr="005943F4">
        <w:rPr>
          <w:iCs/>
          <w:noProof/>
        </w:rPr>
        <w:t xml:space="preserve"> only.</w:t>
      </w:r>
      <w:r w:rsidR="00DF054C" w:rsidRPr="00DF054C">
        <w:rPr>
          <w:u w:val="single"/>
        </w:rPr>
        <w:t xml:space="preserve"> </w:t>
      </w:r>
    </w:p>
    <w:p w:rsidR="001F6D58" w:rsidRPr="00F77841" w:rsidRDefault="001F6D58" w:rsidP="00A27BA3">
      <w:pPr>
        <w:pStyle w:val="PIHeading2"/>
        <w:rPr>
          <w:noProof/>
        </w:rPr>
      </w:pPr>
      <w:r w:rsidRPr="00A257AB">
        <w:rPr>
          <w:noProof/>
        </w:rPr>
        <w:t>Paediatrics</w:t>
      </w:r>
      <w:r w:rsidR="00B13DF8" w:rsidRPr="00B13DF8">
        <w:t xml:space="preserve"> </w:t>
      </w:r>
      <w:r w:rsidR="00C748C0">
        <w:t>(2 to 17 years of age)</w:t>
      </w:r>
    </w:p>
    <w:p w:rsidR="001F6D58" w:rsidRDefault="002E1B11" w:rsidP="00E02163">
      <w:pPr>
        <w:rPr>
          <w:szCs w:val="24"/>
        </w:rPr>
      </w:pPr>
      <w:r w:rsidRPr="009C566E">
        <w:rPr>
          <w:noProof/>
        </w:rPr>
        <w:t>During clinical studies 16 patients</w:t>
      </w:r>
      <w:r>
        <w:rPr>
          <w:noProof/>
        </w:rPr>
        <w:t xml:space="preserve">, </w:t>
      </w:r>
      <w:r w:rsidRPr="009C566E">
        <w:rPr>
          <w:noProof/>
        </w:rPr>
        <w:t xml:space="preserve">2 to 17 years </w:t>
      </w:r>
      <w:r>
        <w:rPr>
          <w:noProof/>
        </w:rPr>
        <w:t xml:space="preserve">of age, </w:t>
      </w:r>
      <w:r w:rsidRPr="009C566E">
        <w:rPr>
          <w:noProof/>
        </w:rPr>
        <w:t>were treated with ELELYSO.</w:t>
      </w:r>
      <w:r>
        <w:rPr>
          <w:noProof/>
        </w:rPr>
        <w:t xml:space="preserve"> </w:t>
      </w:r>
      <w:r w:rsidR="00103960" w:rsidRPr="00282510">
        <w:t xml:space="preserve">The safety and efficacy profiles were similar between </w:t>
      </w:r>
      <w:r w:rsidR="00F37E05">
        <w:t xml:space="preserve">adult and paediatric </w:t>
      </w:r>
      <w:r w:rsidR="00103960" w:rsidRPr="00282510">
        <w:t>patients.</w:t>
      </w:r>
    </w:p>
    <w:p w:rsidR="00DF054C" w:rsidRPr="00A81ADB" w:rsidRDefault="00DF054C" w:rsidP="00A27BA3">
      <w:pPr>
        <w:pStyle w:val="PIHeading2"/>
      </w:pPr>
      <w:r w:rsidRPr="00A81ADB">
        <w:t xml:space="preserve">Elderly (&gt;65 years </w:t>
      </w:r>
      <w:r w:rsidR="00C748C0">
        <w:t>of age</w:t>
      </w:r>
      <w:r w:rsidRPr="00A81ADB">
        <w:t>)</w:t>
      </w:r>
    </w:p>
    <w:p w:rsidR="00DF054C" w:rsidRDefault="00DF054C" w:rsidP="00E02163">
      <w:r w:rsidRPr="00D3675B">
        <w:rPr>
          <w:szCs w:val="22"/>
          <w:lang w:eastAsia="en-GB"/>
        </w:rPr>
        <w:t>During clinical studies 8</w:t>
      </w:r>
      <w:r>
        <w:rPr>
          <w:szCs w:val="22"/>
          <w:lang w:eastAsia="en-GB"/>
        </w:rPr>
        <w:t> </w:t>
      </w:r>
      <w:r w:rsidRPr="00D3675B">
        <w:rPr>
          <w:szCs w:val="22"/>
          <w:lang w:eastAsia="en-GB"/>
        </w:rPr>
        <w:t>patients</w:t>
      </w:r>
      <w:r w:rsidR="002E1B11">
        <w:rPr>
          <w:szCs w:val="22"/>
          <w:lang w:eastAsia="en-GB"/>
        </w:rPr>
        <w:t>,</w:t>
      </w:r>
      <w:r w:rsidRPr="00D3675B">
        <w:rPr>
          <w:szCs w:val="22"/>
          <w:lang w:eastAsia="en-GB"/>
        </w:rPr>
        <w:t xml:space="preserve"> 65 </w:t>
      </w:r>
      <w:r w:rsidR="00303779">
        <w:rPr>
          <w:szCs w:val="22"/>
          <w:lang w:eastAsia="en-GB"/>
        </w:rPr>
        <w:t xml:space="preserve">years </w:t>
      </w:r>
      <w:r w:rsidR="002E1B11">
        <w:rPr>
          <w:szCs w:val="22"/>
          <w:lang w:eastAsia="en-GB"/>
        </w:rPr>
        <w:t xml:space="preserve">of age </w:t>
      </w:r>
      <w:r w:rsidRPr="00D3675B">
        <w:rPr>
          <w:szCs w:val="22"/>
          <w:lang w:eastAsia="en-GB"/>
        </w:rPr>
        <w:t>or older</w:t>
      </w:r>
      <w:r w:rsidR="002E1B11">
        <w:rPr>
          <w:szCs w:val="22"/>
          <w:lang w:eastAsia="en-GB"/>
        </w:rPr>
        <w:t>,</w:t>
      </w:r>
      <w:r w:rsidRPr="00D3675B">
        <w:rPr>
          <w:szCs w:val="22"/>
          <w:lang w:eastAsia="en-GB"/>
        </w:rPr>
        <w:t xml:space="preserve"> were treated with </w:t>
      </w:r>
      <w:r>
        <w:rPr>
          <w:szCs w:val="22"/>
          <w:lang w:eastAsia="en-GB"/>
        </w:rPr>
        <w:t xml:space="preserve">ELELYSO. </w:t>
      </w:r>
      <w:r>
        <w:t xml:space="preserve">This limited data set does not indicate </w:t>
      </w:r>
      <w:r w:rsidR="00303779">
        <w:t xml:space="preserve">the </w:t>
      </w:r>
      <w:r>
        <w:t xml:space="preserve">need for dose adjustment in this age </w:t>
      </w:r>
      <w:r w:rsidR="001F13D8">
        <w:t>group.</w:t>
      </w:r>
    </w:p>
    <w:p w:rsidR="00B51103" w:rsidRPr="00A81ADB" w:rsidRDefault="00B51103" w:rsidP="00A27BA3">
      <w:pPr>
        <w:pStyle w:val="PIHeading2"/>
      </w:pPr>
      <w:r w:rsidRPr="00A81ADB">
        <w:lastRenderedPageBreak/>
        <w:t xml:space="preserve">Instructions for </w:t>
      </w:r>
      <w:r w:rsidR="001705FF" w:rsidRPr="00A81ADB">
        <w:t>reconstitution, dilution and disposal</w:t>
      </w:r>
    </w:p>
    <w:p w:rsidR="001705FF" w:rsidRPr="00A81ADB" w:rsidRDefault="001705FF" w:rsidP="00B679B9">
      <w:pPr>
        <w:keepNext/>
      </w:pPr>
      <w:r w:rsidRPr="00A81ADB">
        <w:t xml:space="preserve">To allow accurate dispensing of the medicine, each vial contains </w:t>
      </w:r>
      <w:proofErr w:type="gramStart"/>
      <w:r w:rsidRPr="00A81ADB">
        <w:t>an overfill</w:t>
      </w:r>
      <w:proofErr w:type="gramEnd"/>
      <w:r w:rsidRPr="00A81ADB">
        <w:t xml:space="preserve"> of 6% (</w:t>
      </w:r>
      <w:proofErr w:type="spellStart"/>
      <w:r w:rsidR="00A81ADB">
        <w:t>ie</w:t>
      </w:r>
      <w:proofErr w:type="spellEnd"/>
      <w:r w:rsidR="00A81ADB">
        <w:t xml:space="preserve">. </w:t>
      </w:r>
      <w:r w:rsidRPr="00A81ADB">
        <w:t>12 units).</w:t>
      </w:r>
    </w:p>
    <w:p w:rsidR="00B51103" w:rsidRPr="00A81ADB" w:rsidRDefault="00B51103" w:rsidP="00B679B9">
      <w:pPr>
        <w:keepNext/>
      </w:pPr>
      <w:r w:rsidRPr="00A81ADB">
        <w:t xml:space="preserve">The powder for injection needs to be reconstituted with </w:t>
      </w:r>
      <w:r w:rsidR="00583630" w:rsidRPr="00A81ADB">
        <w:t xml:space="preserve">Water </w:t>
      </w:r>
      <w:r w:rsidR="001705FF" w:rsidRPr="00A81ADB">
        <w:t xml:space="preserve">for </w:t>
      </w:r>
      <w:r w:rsidR="00583630" w:rsidRPr="00A81ADB">
        <w:t>Injection</w:t>
      </w:r>
      <w:r w:rsidR="00583630">
        <w:t>s</w:t>
      </w:r>
      <w:r w:rsidRPr="00A81ADB">
        <w:t xml:space="preserve">, diluted immediately with sodium chloride 9 mg/mL (0.9%) solution for infusion and then administered by intravenous infusion.  </w:t>
      </w:r>
    </w:p>
    <w:p w:rsidR="001705FF" w:rsidRPr="00A81ADB" w:rsidRDefault="001705FF" w:rsidP="00E02163">
      <w:r w:rsidRPr="00A81ADB">
        <w:t xml:space="preserve">The number of vials to be reconstituted should be determined based on the individual patient’s body weight and dosage regimen. </w:t>
      </w:r>
      <w:r w:rsidR="00C12B9F" w:rsidRPr="00A81ADB">
        <w:t>Occasionally</w:t>
      </w:r>
      <w:r w:rsidRPr="00A81ADB">
        <w:t>, small dosage adjustments may be made to avoid discarding partially used vials. Dosage maybe rounded to the nearest whole vial, as long as the monthly administered dosage remains substantially unaltered.</w:t>
      </w:r>
    </w:p>
    <w:p w:rsidR="001705FF" w:rsidRPr="00A81ADB" w:rsidRDefault="001705FF" w:rsidP="00E02163">
      <w:r w:rsidRPr="00A81ADB">
        <w:t>Use aseptic technique.</w:t>
      </w:r>
    </w:p>
    <w:p w:rsidR="00B51103" w:rsidRPr="005943F4" w:rsidRDefault="00B51103" w:rsidP="00A27BA3">
      <w:pPr>
        <w:pStyle w:val="PIHeading3"/>
        <w:rPr>
          <w:noProof/>
        </w:rPr>
      </w:pPr>
      <w:r w:rsidRPr="005943F4">
        <w:rPr>
          <w:noProof/>
        </w:rPr>
        <w:t>Reconstitution</w:t>
      </w:r>
    </w:p>
    <w:p w:rsidR="00A81ADB" w:rsidRDefault="00A81ADB" w:rsidP="00E02163">
      <w:pPr>
        <w:rPr>
          <w:noProof/>
        </w:rPr>
      </w:pPr>
      <w:r w:rsidRPr="005943F4">
        <w:rPr>
          <w:noProof/>
        </w:rPr>
        <w:t xml:space="preserve">The reconstituted solution contains 40 units </w:t>
      </w:r>
      <w:r>
        <w:rPr>
          <w:noProof/>
        </w:rPr>
        <w:t xml:space="preserve">of </w:t>
      </w:r>
      <w:r w:rsidRPr="005943F4">
        <w:rPr>
          <w:noProof/>
        </w:rPr>
        <w:t>taliglucerase alfa</w:t>
      </w:r>
      <w:r>
        <w:rPr>
          <w:noProof/>
        </w:rPr>
        <w:t xml:space="preserve"> </w:t>
      </w:r>
      <w:r w:rsidR="00250F1A">
        <w:rPr>
          <w:noProof/>
        </w:rPr>
        <w:t xml:space="preserve">rpc </w:t>
      </w:r>
      <w:r w:rsidRPr="005943F4">
        <w:rPr>
          <w:noProof/>
        </w:rPr>
        <w:t xml:space="preserve">per </w:t>
      </w:r>
      <w:r w:rsidRPr="00402393">
        <w:rPr>
          <w:noProof/>
        </w:rPr>
        <w:t>m</w:t>
      </w:r>
      <w:r>
        <w:rPr>
          <w:noProof/>
        </w:rPr>
        <w:t>L</w:t>
      </w:r>
      <w:r w:rsidRPr="00402393">
        <w:rPr>
          <w:noProof/>
        </w:rPr>
        <w:t>.</w:t>
      </w:r>
      <w:r w:rsidRPr="005943F4">
        <w:rPr>
          <w:noProof/>
        </w:rPr>
        <w:t xml:space="preserve"> The reconstituted volume allows accurate withdrawal of 5.0</w:t>
      </w:r>
      <w:r>
        <w:rPr>
          <w:noProof/>
        </w:rPr>
        <w:t xml:space="preserve"> </w:t>
      </w:r>
      <w:r w:rsidRPr="005943F4">
        <w:rPr>
          <w:noProof/>
        </w:rPr>
        <w:t>m</w:t>
      </w:r>
      <w:r>
        <w:rPr>
          <w:noProof/>
        </w:rPr>
        <w:t>L</w:t>
      </w:r>
      <w:r w:rsidRPr="005943F4">
        <w:rPr>
          <w:noProof/>
        </w:rPr>
        <w:t xml:space="preserve"> (equal to 200 units) from each vial.</w:t>
      </w:r>
    </w:p>
    <w:p w:rsidR="00B51103" w:rsidRPr="005943F4" w:rsidRDefault="00B51103" w:rsidP="00E02163">
      <w:pPr>
        <w:rPr>
          <w:noProof/>
        </w:rPr>
      </w:pPr>
      <w:r w:rsidRPr="005943F4">
        <w:rPr>
          <w:noProof/>
        </w:rPr>
        <w:t>Reconstitute each vial for injection with 5.1</w:t>
      </w:r>
      <w:r>
        <w:rPr>
          <w:noProof/>
        </w:rPr>
        <w:t xml:space="preserve"> </w:t>
      </w:r>
      <w:r w:rsidRPr="00402393">
        <w:rPr>
          <w:noProof/>
        </w:rPr>
        <w:t>m</w:t>
      </w:r>
      <w:r>
        <w:rPr>
          <w:noProof/>
        </w:rPr>
        <w:t>L</w:t>
      </w:r>
      <w:r w:rsidRPr="005943F4">
        <w:rPr>
          <w:noProof/>
        </w:rPr>
        <w:t xml:space="preserve"> </w:t>
      </w:r>
      <w:r w:rsidR="00583630" w:rsidRPr="005943F4">
        <w:rPr>
          <w:noProof/>
        </w:rPr>
        <w:t xml:space="preserve">Water </w:t>
      </w:r>
      <w:r w:rsidR="001705FF" w:rsidRPr="005943F4">
        <w:rPr>
          <w:noProof/>
        </w:rPr>
        <w:t xml:space="preserve">for </w:t>
      </w:r>
      <w:r w:rsidR="00583630" w:rsidRPr="005943F4">
        <w:rPr>
          <w:noProof/>
        </w:rPr>
        <w:t>Injection</w:t>
      </w:r>
      <w:r w:rsidR="00583630">
        <w:rPr>
          <w:noProof/>
        </w:rPr>
        <w:t>s</w:t>
      </w:r>
      <w:r w:rsidRPr="005943F4">
        <w:rPr>
          <w:noProof/>
        </w:rPr>
        <w:t xml:space="preserve">. </w:t>
      </w:r>
      <w:r w:rsidR="001705FF" w:rsidRPr="005943F4">
        <w:rPr>
          <w:noProof/>
        </w:rPr>
        <w:t xml:space="preserve">Water for </w:t>
      </w:r>
      <w:r w:rsidR="00583630" w:rsidRPr="005943F4">
        <w:rPr>
          <w:noProof/>
        </w:rPr>
        <w:t>Injection</w:t>
      </w:r>
      <w:r w:rsidR="00583630">
        <w:rPr>
          <w:noProof/>
        </w:rPr>
        <w:t>s</w:t>
      </w:r>
      <w:r w:rsidR="00583630" w:rsidRPr="005943F4">
        <w:rPr>
          <w:noProof/>
        </w:rPr>
        <w:t xml:space="preserve"> </w:t>
      </w:r>
      <w:r w:rsidRPr="005943F4">
        <w:rPr>
          <w:noProof/>
        </w:rPr>
        <w:t xml:space="preserve">should be added slowly to </w:t>
      </w:r>
      <w:r>
        <w:rPr>
          <w:noProof/>
        </w:rPr>
        <w:t xml:space="preserve">minimise the formation of air bubbles and to </w:t>
      </w:r>
      <w:r w:rsidRPr="005943F4">
        <w:rPr>
          <w:noProof/>
        </w:rPr>
        <w:t xml:space="preserve">assure proper mixing of the product with </w:t>
      </w:r>
      <w:r w:rsidR="00583630" w:rsidRPr="005943F4">
        <w:rPr>
          <w:noProof/>
        </w:rPr>
        <w:t xml:space="preserve">Water </w:t>
      </w:r>
      <w:r w:rsidR="001705FF" w:rsidRPr="005943F4">
        <w:rPr>
          <w:noProof/>
        </w:rPr>
        <w:t xml:space="preserve">for </w:t>
      </w:r>
      <w:r w:rsidR="00583630" w:rsidRPr="005943F4">
        <w:rPr>
          <w:noProof/>
        </w:rPr>
        <w:t>Injection</w:t>
      </w:r>
      <w:r w:rsidR="00583630">
        <w:rPr>
          <w:noProof/>
        </w:rPr>
        <w:t>s</w:t>
      </w:r>
      <w:r w:rsidRPr="005943F4">
        <w:rPr>
          <w:noProof/>
        </w:rPr>
        <w:t>. The reconstituted volume is 5.</w:t>
      </w:r>
      <w:r w:rsidRPr="00402393">
        <w:rPr>
          <w:noProof/>
        </w:rPr>
        <w:t>3</w:t>
      </w:r>
      <w:r>
        <w:rPr>
          <w:noProof/>
        </w:rPr>
        <w:t xml:space="preserve"> </w:t>
      </w:r>
      <w:r w:rsidRPr="00402393">
        <w:rPr>
          <w:noProof/>
        </w:rPr>
        <w:t>m</w:t>
      </w:r>
      <w:r>
        <w:rPr>
          <w:noProof/>
        </w:rPr>
        <w:t>L</w:t>
      </w:r>
      <w:r w:rsidRPr="00402393">
        <w:rPr>
          <w:noProof/>
        </w:rPr>
        <w:t>.</w:t>
      </w:r>
      <w:r w:rsidRPr="005943F4">
        <w:rPr>
          <w:noProof/>
        </w:rPr>
        <w:t xml:space="preserve"> </w:t>
      </w:r>
    </w:p>
    <w:p w:rsidR="00B51103" w:rsidRDefault="00B51103" w:rsidP="00E02163">
      <w:pPr>
        <w:rPr>
          <w:noProof/>
        </w:rPr>
      </w:pPr>
      <w:r w:rsidRPr="005943F4">
        <w:rPr>
          <w:noProof/>
        </w:rPr>
        <w:t xml:space="preserve">Mix vials gently. </w:t>
      </w:r>
      <w:r>
        <w:rPr>
          <w:noProof/>
        </w:rPr>
        <w:t>DO NOT SHAKE</w:t>
      </w:r>
      <w:r w:rsidRPr="005943F4">
        <w:rPr>
          <w:noProof/>
        </w:rPr>
        <w:t>. After reconstitution the solution</w:t>
      </w:r>
      <w:r>
        <w:rPr>
          <w:noProof/>
        </w:rPr>
        <w:t xml:space="preserve"> should be</w:t>
      </w:r>
      <w:r w:rsidRPr="005943F4">
        <w:rPr>
          <w:noProof/>
        </w:rPr>
        <w:t xml:space="preserve"> </w:t>
      </w:r>
      <w:r>
        <w:rPr>
          <w:noProof/>
        </w:rPr>
        <w:t xml:space="preserve">a </w:t>
      </w:r>
      <w:r w:rsidRPr="005943F4">
        <w:rPr>
          <w:noProof/>
        </w:rPr>
        <w:t>clear and colourless liquid, essentially free of visible particles. The reconstituted solution must be further diluted.</w:t>
      </w:r>
      <w:r w:rsidR="004C72D5">
        <w:rPr>
          <w:noProof/>
        </w:rPr>
        <w:t xml:space="preserve"> </w:t>
      </w:r>
      <w:r w:rsidRPr="005943F4">
        <w:rPr>
          <w:noProof/>
        </w:rPr>
        <w:t xml:space="preserve">Before further dilution, visually inspect the reconstituted solution in each vial for </w:t>
      </w:r>
      <w:r>
        <w:rPr>
          <w:noProof/>
        </w:rPr>
        <w:t xml:space="preserve">foreign </w:t>
      </w:r>
      <w:r w:rsidRPr="005943F4">
        <w:rPr>
          <w:noProof/>
        </w:rPr>
        <w:t>particulate matter</w:t>
      </w:r>
      <w:r>
        <w:rPr>
          <w:noProof/>
        </w:rPr>
        <w:t>,</w:t>
      </w:r>
      <w:r w:rsidRPr="005943F4">
        <w:rPr>
          <w:noProof/>
        </w:rPr>
        <w:t xml:space="preserve"> </w:t>
      </w:r>
      <w:r>
        <w:rPr>
          <w:noProof/>
        </w:rPr>
        <w:t xml:space="preserve">and </w:t>
      </w:r>
      <w:r w:rsidRPr="005943F4">
        <w:rPr>
          <w:noProof/>
        </w:rPr>
        <w:t>discolouration</w:t>
      </w:r>
      <w:r>
        <w:rPr>
          <w:noProof/>
        </w:rPr>
        <w:t>.</w:t>
      </w:r>
      <w:r w:rsidR="004C72D5">
        <w:rPr>
          <w:noProof/>
        </w:rPr>
        <w:t xml:space="preserve"> </w:t>
      </w:r>
      <w:r>
        <w:rPr>
          <w:noProof/>
        </w:rPr>
        <w:t xml:space="preserve">Do not use vials that exhibit discolouration or contain foreign particulate matter. </w:t>
      </w:r>
    </w:p>
    <w:p w:rsidR="00B51103" w:rsidRPr="005943F4" w:rsidRDefault="00B51103" w:rsidP="00E02163">
      <w:pPr>
        <w:rPr>
          <w:noProof/>
        </w:rPr>
      </w:pPr>
      <w:r w:rsidRPr="005943F4">
        <w:rPr>
          <w:noProof/>
        </w:rPr>
        <w:t xml:space="preserve">After reconstitution, promptly dilute </w:t>
      </w:r>
      <w:r>
        <w:rPr>
          <w:noProof/>
        </w:rPr>
        <w:t xml:space="preserve">the </w:t>
      </w:r>
      <w:r w:rsidR="00534E04">
        <w:rPr>
          <w:noProof/>
        </w:rPr>
        <w:t>reconstituted</w:t>
      </w:r>
      <w:r>
        <w:rPr>
          <w:noProof/>
        </w:rPr>
        <w:t xml:space="preserve"> solution </w:t>
      </w:r>
      <w:r w:rsidRPr="005943F4">
        <w:rPr>
          <w:noProof/>
        </w:rPr>
        <w:t>and discard</w:t>
      </w:r>
      <w:r>
        <w:rPr>
          <w:noProof/>
        </w:rPr>
        <w:t xml:space="preserve"> the vial</w:t>
      </w:r>
      <w:r w:rsidRPr="005943F4">
        <w:rPr>
          <w:noProof/>
        </w:rPr>
        <w:t xml:space="preserve">. Do not store unused vials for subsequent use. </w:t>
      </w:r>
    </w:p>
    <w:p w:rsidR="00B51103" w:rsidRPr="005943F4" w:rsidRDefault="00B51103" w:rsidP="00A27BA3">
      <w:pPr>
        <w:pStyle w:val="PIHeading3"/>
        <w:rPr>
          <w:noProof/>
        </w:rPr>
      </w:pPr>
      <w:r w:rsidRPr="005943F4">
        <w:rPr>
          <w:noProof/>
        </w:rPr>
        <w:t>Dilution</w:t>
      </w:r>
    </w:p>
    <w:p w:rsidR="00B51103" w:rsidRPr="005943F4" w:rsidRDefault="00B51103" w:rsidP="00E02163">
      <w:pPr>
        <w:rPr>
          <w:noProof/>
        </w:rPr>
      </w:pPr>
      <w:r w:rsidRPr="005943F4">
        <w:rPr>
          <w:noProof/>
        </w:rPr>
        <w:t>Withdraw 5.0</w:t>
      </w:r>
      <w:r>
        <w:rPr>
          <w:noProof/>
        </w:rPr>
        <w:t xml:space="preserve"> </w:t>
      </w:r>
      <w:r w:rsidRPr="00402393">
        <w:rPr>
          <w:noProof/>
        </w:rPr>
        <w:t>m</w:t>
      </w:r>
      <w:r>
        <w:rPr>
          <w:noProof/>
        </w:rPr>
        <w:t>L</w:t>
      </w:r>
      <w:r w:rsidRPr="005943F4">
        <w:rPr>
          <w:noProof/>
        </w:rPr>
        <w:t xml:space="preserve"> reconstituted solution from each vial and combine the withdrawn volumes in</w:t>
      </w:r>
      <w:r>
        <w:rPr>
          <w:noProof/>
        </w:rPr>
        <w:t>to</w:t>
      </w:r>
      <w:r w:rsidRPr="005943F4">
        <w:rPr>
          <w:noProof/>
        </w:rPr>
        <w:t xml:space="preserve"> a sterile infusion bag. </w:t>
      </w:r>
    </w:p>
    <w:p w:rsidR="00B51103" w:rsidRPr="005943F4" w:rsidRDefault="00B51103" w:rsidP="00E02163">
      <w:pPr>
        <w:rPr>
          <w:noProof/>
        </w:rPr>
      </w:pPr>
      <w:r w:rsidRPr="005943F4">
        <w:rPr>
          <w:noProof/>
        </w:rPr>
        <w:t>Then dilute the combined volume with sodium chloride</w:t>
      </w:r>
      <w:r>
        <w:rPr>
          <w:noProof/>
        </w:rPr>
        <w:t xml:space="preserve"> 9 mg/mL (0.9%)</w:t>
      </w:r>
      <w:r w:rsidRPr="005943F4">
        <w:rPr>
          <w:noProof/>
        </w:rPr>
        <w:t xml:space="preserve"> solution </w:t>
      </w:r>
      <w:r>
        <w:rPr>
          <w:noProof/>
        </w:rPr>
        <w:t xml:space="preserve">for infusion </w:t>
      </w:r>
      <w:r w:rsidRPr="005943F4">
        <w:rPr>
          <w:noProof/>
        </w:rPr>
        <w:t>to a total volume of 100 to 200</w:t>
      </w:r>
      <w:r>
        <w:rPr>
          <w:noProof/>
        </w:rPr>
        <w:t xml:space="preserve"> </w:t>
      </w:r>
      <w:r w:rsidRPr="005943F4">
        <w:rPr>
          <w:noProof/>
        </w:rPr>
        <w:t>m</w:t>
      </w:r>
      <w:r>
        <w:rPr>
          <w:noProof/>
        </w:rPr>
        <w:t>L</w:t>
      </w:r>
      <w:r w:rsidRPr="005943F4">
        <w:rPr>
          <w:noProof/>
        </w:rPr>
        <w:t xml:space="preserve">. Mix the infusion solution gently. </w:t>
      </w:r>
      <w:r>
        <w:rPr>
          <w:noProof/>
        </w:rPr>
        <w:t xml:space="preserve">Since this is a protein solution, </w:t>
      </w:r>
      <w:r w:rsidR="00A81ADB">
        <w:rPr>
          <w:noProof/>
        </w:rPr>
        <w:t xml:space="preserve">a few </w:t>
      </w:r>
      <w:r>
        <w:rPr>
          <w:noProof/>
        </w:rPr>
        <w:t>translucent particles or fibers</w:t>
      </w:r>
      <w:r w:rsidR="00A81ADB">
        <w:rPr>
          <w:noProof/>
        </w:rPr>
        <w:t xml:space="preserve"> may be observed </w:t>
      </w:r>
      <w:r>
        <w:rPr>
          <w:noProof/>
        </w:rPr>
        <w:t xml:space="preserve">occasionally after dilution. </w:t>
      </w:r>
      <w:r w:rsidRPr="005943F4">
        <w:rPr>
          <w:noProof/>
        </w:rPr>
        <w:t>The diluted solution should be filtered through an in-line low protein-binding 0.2</w:t>
      </w:r>
      <w:r>
        <w:rPr>
          <w:noProof/>
        </w:rPr>
        <w:t xml:space="preserve"> </w:t>
      </w:r>
      <w:r w:rsidRPr="005943F4">
        <w:rPr>
          <w:noProof/>
        </w:rPr>
        <w:t xml:space="preserve">µm filter during administration. </w:t>
      </w:r>
    </w:p>
    <w:p w:rsidR="00534E04" w:rsidRDefault="00534E04" w:rsidP="00E02163">
      <w:pPr>
        <w:rPr>
          <w:noProof/>
        </w:rPr>
      </w:pPr>
      <w:r>
        <w:rPr>
          <w:noProof/>
        </w:rPr>
        <w:t xml:space="preserve">It is recommended that the diluted solution be adminstered as soon a possible after dilution. </w:t>
      </w:r>
    </w:p>
    <w:p w:rsidR="00B51103" w:rsidRDefault="001705FF" w:rsidP="00A27BA3">
      <w:pPr>
        <w:pStyle w:val="PIHeading3"/>
      </w:pPr>
      <w:r>
        <w:t xml:space="preserve">Disposal </w:t>
      </w:r>
    </w:p>
    <w:p w:rsidR="00324240" w:rsidRPr="00324240" w:rsidRDefault="00324240" w:rsidP="00E02163">
      <w:r w:rsidRPr="00324240">
        <w:t xml:space="preserve">Any unused product should be disposed of in accordance with local requirements. </w:t>
      </w:r>
    </w:p>
    <w:p w:rsidR="00812C64" w:rsidRPr="005C6BDD" w:rsidRDefault="00812C64" w:rsidP="00E02163">
      <w:pPr>
        <w:pStyle w:val="PIHeading1"/>
      </w:pPr>
      <w:r w:rsidRPr="005C6BDD">
        <w:lastRenderedPageBreak/>
        <w:t>OVERDOSAGE</w:t>
      </w:r>
      <w:r w:rsidR="003233A7" w:rsidRPr="005C6BDD">
        <w:t xml:space="preserve"> </w:t>
      </w:r>
    </w:p>
    <w:p w:rsidR="004422AA" w:rsidRDefault="006E4DC4" w:rsidP="00E02163">
      <w:r w:rsidRPr="00E939D3">
        <w:t xml:space="preserve">There is no experience with overdose of </w:t>
      </w:r>
      <w:r w:rsidR="00236C3B">
        <w:t>ELELYSO</w:t>
      </w:r>
      <w:r w:rsidRPr="00E939D3">
        <w:t xml:space="preserve">. The maximum dose of </w:t>
      </w:r>
      <w:r w:rsidR="007F23B0">
        <w:t>ELELYSO</w:t>
      </w:r>
      <w:r w:rsidRPr="00E939D3">
        <w:t xml:space="preserve"> in clinical studies was 73 units/kg</w:t>
      </w:r>
      <w:r w:rsidR="007F23B0">
        <w:t xml:space="preserve"> body </w:t>
      </w:r>
      <w:proofErr w:type="gramStart"/>
      <w:r w:rsidR="007F23B0">
        <w:t>weight</w:t>
      </w:r>
      <w:proofErr w:type="gramEnd"/>
      <w:r w:rsidR="00ED3498">
        <w:t>.</w:t>
      </w:r>
      <w:r w:rsidRPr="00E939D3" w:rsidDel="006E4DC4">
        <w:t xml:space="preserve"> </w:t>
      </w:r>
    </w:p>
    <w:p w:rsidR="00812C64" w:rsidRPr="005C6BDD" w:rsidRDefault="00812C64" w:rsidP="00E02163">
      <w:pPr>
        <w:pStyle w:val="PIHeading1"/>
      </w:pPr>
      <w:r w:rsidRPr="005C6BDD">
        <w:t>PRESENTATION</w:t>
      </w:r>
      <w:r w:rsidR="00BA4894" w:rsidRPr="005C6BDD">
        <w:t xml:space="preserve"> AND STORAGE CONDITIONS</w:t>
      </w:r>
    </w:p>
    <w:p w:rsidR="0089602B" w:rsidRPr="005943F4" w:rsidRDefault="00327191" w:rsidP="00E02163">
      <w:pPr>
        <w:rPr>
          <w:noProof/>
        </w:rPr>
      </w:pPr>
      <w:r>
        <w:rPr>
          <w:noProof/>
        </w:rPr>
        <w:t>ELELYSO</w:t>
      </w:r>
      <w:r w:rsidR="003E4E0B" w:rsidRPr="005943F4">
        <w:rPr>
          <w:noProof/>
        </w:rPr>
        <w:t xml:space="preserve"> powder</w:t>
      </w:r>
      <w:r w:rsidR="00236C3B">
        <w:rPr>
          <w:noProof/>
        </w:rPr>
        <w:t xml:space="preserve"> for injection</w:t>
      </w:r>
      <w:r w:rsidR="003E4E0B" w:rsidRPr="005943F4">
        <w:rPr>
          <w:noProof/>
        </w:rPr>
        <w:t xml:space="preserve"> is packaged in</w:t>
      </w:r>
      <w:r w:rsidR="00695BF3">
        <w:rPr>
          <w:noProof/>
        </w:rPr>
        <w:t xml:space="preserve"> a</w:t>
      </w:r>
      <w:r w:rsidR="003E4E0B" w:rsidRPr="005943F4">
        <w:rPr>
          <w:noProof/>
        </w:rPr>
        <w:t xml:space="preserve"> 13.5 </w:t>
      </w:r>
      <w:r w:rsidR="00EB6897">
        <w:rPr>
          <w:noProof/>
        </w:rPr>
        <w:t>mL</w:t>
      </w:r>
      <w:r w:rsidR="00EB6897" w:rsidRPr="005943F4">
        <w:rPr>
          <w:noProof/>
        </w:rPr>
        <w:t xml:space="preserve"> </w:t>
      </w:r>
      <w:r w:rsidR="00873831">
        <w:rPr>
          <w:noProof/>
        </w:rPr>
        <w:t xml:space="preserve">Type 1 </w:t>
      </w:r>
      <w:r w:rsidR="002D5FA8">
        <w:rPr>
          <w:noProof/>
        </w:rPr>
        <w:t xml:space="preserve">borosilicate </w:t>
      </w:r>
      <w:r w:rsidR="00873831">
        <w:rPr>
          <w:noProof/>
        </w:rPr>
        <w:t>glass</w:t>
      </w:r>
      <w:r w:rsidR="009907AC">
        <w:rPr>
          <w:noProof/>
        </w:rPr>
        <w:t xml:space="preserve"> </w:t>
      </w:r>
      <w:r w:rsidR="00E13E25">
        <w:rPr>
          <w:noProof/>
        </w:rPr>
        <w:t>vial</w:t>
      </w:r>
      <w:r w:rsidR="00695BF3">
        <w:rPr>
          <w:noProof/>
        </w:rPr>
        <w:t>. Available as</w:t>
      </w:r>
      <w:r w:rsidR="00E13E25">
        <w:rPr>
          <w:noProof/>
        </w:rPr>
        <w:t xml:space="preserve"> </w:t>
      </w:r>
      <w:r w:rsidR="009907AC">
        <w:rPr>
          <w:noProof/>
        </w:rPr>
        <w:t>single</w:t>
      </w:r>
      <w:r w:rsidR="00873831">
        <w:rPr>
          <w:noProof/>
        </w:rPr>
        <w:t xml:space="preserve"> vial</w:t>
      </w:r>
      <w:r w:rsidR="009907AC">
        <w:rPr>
          <w:noProof/>
        </w:rPr>
        <w:t xml:space="preserve"> </w:t>
      </w:r>
      <w:r w:rsidR="00695BF3">
        <w:rPr>
          <w:noProof/>
        </w:rPr>
        <w:t>packs</w:t>
      </w:r>
      <w:r w:rsidR="00873831">
        <w:rPr>
          <w:noProof/>
        </w:rPr>
        <w:t xml:space="preserve">. </w:t>
      </w:r>
    </w:p>
    <w:p w:rsidR="009F5BD3" w:rsidRPr="00A27BA3" w:rsidRDefault="009066D1" w:rsidP="00A27BA3">
      <w:pPr>
        <w:pStyle w:val="PIHeading2"/>
      </w:pPr>
      <w:r w:rsidRPr="00A27BA3">
        <w:t>Storage conditions</w:t>
      </w:r>
    </w:p>
    <w:p w:rsidR="007A7CFF" w:rsidRDefault="0008309D" w:rsidP="00E02163">
      <w:pPr>
        <w:rPr>
          <w:iCs/>
          <w:noProof/>
        </w:rPr>
      </w:pPr>
      <w:r w:rsidRPr="005849AE">
        <w:rPr>
          <w:i/>
          <w:iCs/>
          <w:noProof/>
        </w:rPr>
        <w:t>U</w:t>
      </w:r>
      <w:r w:rsidR="009F5BD3" w:rsidRPr="005849AE">
        <w:rPr>
          <w:i/>
          <w:iCs/>
          <w:noProof/>
        </w:rPr>
        <w:t>nopened vials</w:t>
      </w:r>
      <w:r w:rsidR="009F5BD3">
        <w:rPr>
          <w:iCs/>
          <w:noProof/>
        </w:rPr>
        <w:t>:</w:t>
      </w:r>
      <w:r w:rsidR="00CE0848">
        <w:rPr>
          <w:iCs/>
          <w:noProof/>
        </w:rPr>
        <w:t xml:space="preserve">  </w:t>
      </w:r>
      <w:r w:rsidR="00444E79">
        <w:rPr>
          <w:iCs/>
          <w:noProof/>
        </w:rPr>
        <w:t>S</w:t>
      </w:r>
      <w:r w:rsidR="003A6E52">
        <w:rPr>
          <w:iCs/>
          <w:noProof/>
        </w:rPr>
        <w:t xml:space="preserve">tore </w:t>
      </w:r>
      <w:r w:rsidR="007A7CFF">
        <w:rPr>
          <w:iCs/>
          <w:noProof/>
        </w:rPr>
        <w:t xml:space="preserve">and transport </w:t>
      </w:r>
      <w:r w:rsidR="003A6E52">
        <w:rPr>
          <w:iCs/>
          <w:noProof/>
        </w:rPr>
        <w:t xml:space="preserve">at </w:t>
      </w:r>
      <w:r w:rsidR="003A6E52" w:rsidRPr="005943F4">
        <w:rPr>
          <w:iCs/>
          <w:noProof/>
        </w:rPr>
        <w:t>2ºC to 8ºC</w:t>
      </w:r>
      <w:r w:rsidR="003A6E52">
        <w:rPr>
          <w:iCs/>
          <w:noProof/>
        </w:rPr>
        <w:t xml:space="preserve">. </w:t>
      </w:r>
      <w:r w:rsidR="00BA266F" w:rsidRPr="00BA266F">
        <w:rPr>
          <w:iCs/>
          <w:noProof/>
        </w:rPr>
        <w:t xml:space="preserve">(Refrigerate. Do not freeze). </w:t>
      </w:r>
      <w:r w:rsidR="007A7CFF" w:rsidRPr="00E939D3">
        <w:t>Keep the vial within the outer carton in order to protect from light</w:t>
      </w:r>
      <w:r w:rsidR="007A7CFF">
        <w:t>.</w:t>
      </w:r>
    </w:p>
    <w:p w:rsidR="00583630" w:rsidRDefault="00053879" w:rsidP="00E02163">
      <w:pPr>
        <w:rPr>
          <w:iCs/>
          <w:lang w:eastAsia="en-GB"/>
        </w:rPr>
      </w:pPr>
      <w:r w:rsidRPr="00583630">
        <w:rPr>
          <w:i/>
          <w:noProof/>
        </w:rPr>
        <w:t xml:space="preserve">Reconstituted </w:t>
      </w:r>
      <w:r w:rsidR="00D73A55" w:rsidRPr="00583630">
        <w:rPr>
          <w:i/>
          <w:noProof/>
        </w:rPr>
        <w:t xml:space="preserve">and diluted </w:t>
      </w:r>
      <w:r w:rsidRPr="00583630">
        <w:rPr>
          <w:i/>
          <w:noProof/>
        </w:rPr>
        <w:t>solution</w:t>
      </w:r>
      <w:r w:rsidR="00D73A55" w:rsidRPr="00583630">
        <w:rPr>
          <w:i/>
          <w:noProof/>
        </w:rPr>
        <w:t>s</w:t>
      </w:r>
      <w:r w:rsidRPr="00583630">
        <w:rPr>
          <w:i/>
          <w:noProof/>
        </w:rPr>
        <w:t>:</w:t>
      </w:r>
      <w:r w:rsidR="00583630">
        <w:rPr>
          <w:noProof/>
        </w:rPr>
        <w:t xml:space="preserve"> ELELYSO should be </w:t>
      </w:r>
      <w:r w:rsidR="004C72D5">
        <w:rPr>
          <w:noProof/>
        </w:rPr>
        <w:t xml:space="preserve">reconstituted </w:t>
      </w:r>
      <w:r w:rsidR="00583630" w:rsidRPr="009B6E29">
        <w:rPr>
          <w:lang w:eastAsia="en-GB"/>
        </w:rPr>
        <w:t>and diluted just before use and</w:t>
      </w:r>
      <w:r w:rsidR="004C72D5">
        <w:rPr>
          <w:lang w:eastAsia="en-GB"/>
        </w:rPr>
        <w:t xml:space="preserve"> </w:t>
      </w:r>
      <w:r w:rsidR="00583630" w:rsidRPr="009B6E29">
        <w:rPr>
          <w:lang w:eastAsia="en-GB"/>
        </w:rPr>
        <w:t>used immediately.</w:t>
      </w:r>
      <w:r w:rsidR="004C72D5">
        <w:rPr>
          <w:lang w:eastAsia="en-GB"/>
        </w:rPr>
        <w:t xml:space="preserve"> </w:t>
      </w:r>
      <w:r w:rsidR="00583630" w:rsidRPr="009B6E29">
        <w:rPr>
          <w:lang w:eastAsia="en-GB"/>
        </w:rPr>
        <w:t xml:space="preserve">If not used immediately, in-use storage times and conditions </w:t>
      </w:r>
      <w:r w:rsidR="00583630" w:rsidRPr="00553F7B">
        <w:rPr>
          <w:iCs/>
          <w:lang w:eastAsia="en-GB"/>
        </w:rPr>
        <w:t>of the reconstituted solution and the diluted solution prior to use are the responsibility of the user</w:t>
      </w:r>
      <w:r w:rsidR="00583630">
        <w:rPr>
          <w:iCs/>
          <w:lang w:eastAsia="en-GB"/>
        </w:rPr>
        <w:t>.</w:t>
      </w:r>
    </w:p>
    <w:p w:rsidR="00146681" w:rsidRDefault="00091DED" w:rsidP="00E02163">
      <w:pPr>
        <w:rPr>
          <w:iCs/>
          <w:noProof/>
        </w:rPr>
      </w:pPr>
      <w:r>
        <w:rPr>
          <w:lang w:eastAsia="en-GB"/>
        </w:rPr>
        <w:t xml:space="preserve">The </w:t>
      </w:r>
      <w:r w:rsidR="000B2934">
        <w:rPr>
          <w:lang w:eastAsia="en-GB"/>
        </w:rPr>
        <w:t>reconstituted</w:t>
      </w:r>
      <w:r>
        <w:rPr>
          <w:lang w:eastAsia="en-GB"/>
        </w:rPr>
        <w:t xml:space="preserve"> </w:t>
      </w:r>
      <w:r w:rsidR="00D73A55">
        <w:rPr>
          <w:lang w:eastAsia="en-GB"/>
        </w:rPr>
        <w:t xml:space="preserve">vial and the diluted </w:t>
      </w:r>
      <w:r>
        <w:rPr>
          <w:lang w:eastAsia="en-GB"/>
        </w:rPr>
        <w:t xml:space="preserve">solution </w:t>
      </w:r>
      <w:r w:rsidR="00D73A55">
        <w:rPr>
          <w:lang w:eastAsia="en-GB"/>
        </w:rPr>
        <w:t xml:space="preserve">that is made from the reconstituted vial </w:t>
      </w:r>
      <w:r>
        <w:rPr>
          <w:lang w:eastAsia="en-GB"/>
        </w:rPr>
        <w:t xml:space="preserve">can be stored for a </w:t>
      </w:r>
      <w:r w:rsidR="00D73A55">
        <w:rPr>
          <w:lang w:eastAsia="en-GB"/>
        </w:rPr>
        <w:t>combined</w:t>
      </w:r>
      <w:r>
        <w:rPr>
          <w:lang w:eastAsia="en-GB"/>
        </w:rPr>
        <w:t xml:space="preserve"> time of </w:t>
      </w:r>
      <w:r w:rsidR="00D73A55">
        <w:rPr>
          <w:lang w:eastAsia="en-GB"/>
        </w:rPr>
        <w:t xml:space="preserve">not more than </w:t>
      </w:r>
      <w:r>
        <w:rPr>
          <w:lang w:eastAsia="en-GB"/>
        </w:rPr>
        <w:t xml:space="preserve">24 hours at </w:t>
      </w:r>
      <w:r>
        <w:rPr>
          <w:iCs/>
          <w:noProof/>
        </w:rPr>
        <w:t>2ºC to 8ºC under protection from light</w:t>
      </w:r>
      <w:r w:rsidR="00D73A55">
        <w:rPr>
          <w:iCs/>
          <w:noProof/>
        </w:rPr>
        <w:t xml:space="preserve"> after the initial reconstitution step. </w:t>
      </w:r>
      <w:r w:rsidR="00052328">
        <w:rPr>
          <w:lang w:eastAsia="en-GB"/>
        </w:rPr>
        <w:t xml:space="preserve"> </w:t>
      </w:r>
      <w:r w:rsidR="00146681" w:rsidRPr="00146681">
        <w:rPr>
          <w:iCs/>
          <w:noProof/>
        </w:rPr>
        <w:t xml:space="preserve"> </w:t>
      </w:r>
    </w:p>
    <w:p w:rsidR="00550436" w:rsidRPr="00E939D3" w:rsidRDefault="00550436" w:rsidP="00E02163">
      <w:pPr>
        <w:pStyle w:val="PIHeading1"/>
      </w:pPr>
      <w:r w:rsidRPr="00E939D3">
        <w:t xml:space="preserve">NAME AND ADDRESS OF the SPONSOR </w:t>
      </w:r>
    </w:p>
    <w:p w:rsidR="00812C64" w:rsidRPr="005849AE" w:rsidRDefault="00812C64" w:rsidP="00E02163">
      <w:pPr>
        <w:spacing w:after="120" w:line="240" w:lineRule="atLeast"/>
      </w:pPr>
      <w:r w:rsidRPr="005849AE">
        <w:t>Pfizer Australia Pt</w:t>
      </w:r>
      <w:r w:rsidR="00832C92" w:rsidRPr="005849AE">
        <w:t>y Ltd</w:t>
      </w:r>
      <w:r w:rsidR="00861B27" w:rsidRPr="005849AE">
        <w:t xml:space="preserve"> </w:t>
      </w:r>
    </w:p>
    <w:p w:rsidR="00812C64" w:rsidRPr="005849AE" w:rsidRDefault="00812C64" w:rsidP="00E02163">
      <w:pPr>
        <w:spacing w:after="120" w:line="240" w:lineRule="atLeast"/>
      </w:pPr>
      <w:r w:rsidRPr="005849AE">
        <w:t>A.B.N. 50</w:t>
      </w:r>
      <w:r w:rsidR="00A23DD9">
        <w:t xml:space="preserve"> </w:t>
      </w:r>
      <w:r w:rsidRPr="005849AE">
        <w:t>008</w:t>
      </w:r>
      <w:r w:rsidR="00A23DD9">
        <w:t xml:space="preserve"> </w:t>
      </w:r>
      <w:r w:rsidRPr="005849AE">
        <w:t>422 348</w:t>
      </w:r>
    </w:p>
    <w:p w:rsidR="00812C64" w:rsidRPr="005849AE" w:rsidRDefault="00812C64" w:rsidP="00E02163">
      <w:pPr>
        <w:spacing w:after="120" w:line="240" w:lineRule="atLeast"/>
      </w:pPr>
      <w:r w:rsidRPr="005849AE">
        <w:t>38-42 Wharf Road</w:t>
      </w:r>
    </w:p>
    <w:p w:rsidR="003E4E0B" w:rsidRPr="00965C4E" w:rsidRDefault="00812C64" w:rsidP="00E02163">
      <w:pPr>
        <w:spacing w:after="120" w:line="240" w:lineRule="atLeast"/>
        <w:rPr>
          <w:szCs w:val="24"/>
        </w:rPr>
      </w:pPr>
      <w:proofErr w:type="gramStart"/>
      <w:r w:rsidRPr="005849AE">
        <w:rPr>
          <w:szCs w:val="24"/>
        </w:rPr>
        <w:t xml:space="preserve">WEST </w:t>
      </w:r>
      <w:r w:rsidR="00E51CDF" w:rsidRPr="005849AE">
        <w:rPr>
          <w:szCs w:val="24"/>
        </w:rPr>
        <w:t xml:space="preserve">RYDE </w:t>
      </w:r>
      <w:r w:rsidR="00935E33" w:rsidRPr="005849AE">
        <w:rPr>
          <w:szCs w:val="24"/>
        </w:rPr>
        <w:t>NSW 2114</w:t>
      </w:r>
      <w:r w:rsidR="004C72D5">
        <w:rPr>
          <w:szCs w:val="24"/>
        </w:rPr>
        <w:t>.</w:t>
      </w:r>
      <w:proofErr w:type="gramEnd"/>
      <w:r w:rsidR="006F3A0E" w:rsidRPr="005849AE">
        <w:rPr>
          <w:szCs w:val="24"/>
        </w:rPr>
        <w:t xml:space="preserve"> </w:t>
      </w:r>
    </w:p>
    <w:p w:rsidR="00EC69FE" w:rsidRPr="005943F4" w:rsidRDefault="00894142" w:rsidP="00E02163">
      <w:pPr>
        <w:pStyle w:val="PIHeading1"/>
      </w:pPr>
      <w:r w:rsidRPr="005943F4">
        <w:t>POISO</w:t>
      </w:r>
      <w:r w:rsidR="00EC69FE" w:rsidRPr="005943F4">
        <w:t>N SCHEDULE</w:t>
      </w:r>
      <w:r w:rsidR="00861B27" w:rsidRPr="005943F4">
        <w:t xml:space="preserve"> </w:t>
      </w:r>
      <w:r w:rsidR="00873831">
        <w:t>of the medicine</w:t>
      </w:r>
    </w:p>
    <w:p w:rsidR="00AE180E" w:rsidRDefault="00057F82" w:rsidP="00E02163">
      <w:proofErr w:type="gramStart"/>
      <w:r>
        <w:t>Prescription Medicine (</w:t>
      </w:r>
      <w:r w:rsidR="003E4E0B" w:rsidRPr="005943F4">
        <w:t>Schedule 4</w:t>
      </w:r>
      <w:r>
        <w:t>).</w:t>
      </w:r>
      <w:proofErr w:type="gramEnd"/>
    </w:p>
    <w:p w:rsidR="003233A7" w:rsidRPr="005C6BDD" w:rsidRDefault="00AE180E" w:rsidP="00E02163">
      <w:pPr>
        <w:pStyle w:val="PIHeading1"/>
      </w:pPr>
      <w:r w:rsidRPr="005C6BDD">
        <w:t>date of first inclusion in the australian register of therapeutic goods (</w:t>
      </w:r>
      <w:r w:rsidR="00281B85">
        <w:t xml:space="preserve">the </w:t>
      </w:r>
      <w:r w:rsidRPr="005C6BDD">
        <w:t>artg)</w:t>
      </w:r>
      <w:r w:rsidR="00404E3A" w:rsidRPr="005C6BDD">
        <w:tab/>
      </w:r>
    </w:p>
    <w:p w:rsidR="003233A7" w:rsidRPr="00713EFA" w:rsidRDefault="00965C4E" w:rsidP="00E02163">
      <w:r>
        <w:t>21 May 2014</w:t>
      </w:r>
      <w:r w:rsidR="00714A23">
        <w:t>.</w:t>
      </w:r>
    </w:p>
    <w:sectPr w:rsidR="003233A7" w:rsidRPr="00713EFA" w:rsidSect="002A6EE7">
      <w:headerReference w:type="default" r:id="rId10"/>
      <w:footerReference w:type="default" r:id="rId11"/>
      <w:pgSz w:w="11906" w:h="16838" w:code="9"/>
      <w:pgMar w:top="851" w:right="1440" w:bottom="1440" w:left="1440"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3C0" w:rsidRDefault="004243C0">
      <w:r>
        <w:separator/>
      </w:r>
    </w:p>
  </w:endnote>
  <w:endnote w:type="continuationSeparator" w:id="0">
    <w:p w:rsidR="004243C0" w:rsidRDefault="0042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B9F" w:rsidRDefault="00C12B9F" w:rsidP="001C2B07">
    <w:pPr>
      <w:pStyle w:val="Footer"/>
      <w:tabs>
        <w:tab w:val="clear" w:pos="9923"/>
        <w:tab w:val="right" w:pos="9072"/>
      </w:tabs>
      <w:spacing w:before="120" w:line="240" w:lineRule="atLeast"/>
      <w:jc w:val="both"/>
    </w:pPr>
    <w:r>
      <w:t>Version: pfpele</w:t>
    </w:r>
    <w:r w:rsidR="00965C4E">
      <w:t>lv1</w:t>
    </w:r>
    <w:r>
      <w:t xml:space="preserve">0514 </w:t>
    </w:r>
    <w:r>
      <w:tab/>
      <w:t>Supersede</w:t>
    </w:r>
    <w:r w:rsidR="00965C4E">
      <w:t>s</w:t>
    </w:r>
    <w:r>
      <w:t xml:space="preserve">:  </w:t>
    </w:r>
    <w:r w:rsidR="00965C4E">
      <w:t>N/A</w:t>
    </w:r>
  </w:p>
  <w:p w:rsidR="00C12B9F" w:rsidRPr="00E566D4" w:rsidRDefault="00C12B9F" w:rsidP="001C2B07">
    <w:pPr>
      <w:tabs>
        <w:tab w:val="right" w:pos="9072"/>
      </w:tabs>
      <w:spacing w:after="0" w:line="240" w:lineRule="atLeast"/>
      <w:rPr>
        <w:sz w:val="20"/>
      </w:rPr>
    </w:pPr>
    <w:r>
      <w:tab/>
    </w:r>
    <w:r w:rsidRPr="00E566D4">
      <w:rPr>
        <w:sz w:val="20"/>
      </w:rPr>
      <w:t xml:space="preserve">Page </w:t>
    </w:r>
    <w:r w:rsidRPr="00E566D4">
      <w:rPr>
        <w:sz w:val="20"/>
      </w:rPr>
      <w:fldChar w:fldCharType="begin"/>
    </w:r>
    <w:r w:rsidRPr="00E566D4">
      <w:rPr>
        <w:sz w:val="20"/>
      </w:rPr>
      <w:instrText xml:space="preserve"> PAGE </w:instrText>
    </w:r>
    <w:r w:rsidRPr="00E566D4">
      <w:rPr>
        <w:sz w:val="20"/>
      </w:rPr>
      <w:fldChar w:fldCharType="separate"/>
    </w:r>
    <w:r w:rsidR="004B1A9C">
      <w:rPr>
        <w:noProof/>
        <w:sz w:val="20"/>
      </w:rPr>
      <w:t>1</w:t>
    </w:r>
    <w:r w:rsidRPr="00E566D4">
      <w:rPr>
        <w:sz w:val="20"/>
      </w:rPr>
      <w:fldChar w:fldCharType="end"/>
    </w:r>
    <w:r w:rsidRPr="00E566D4">
      <w:rPr>
        <w:sz w:val="20"/>
      </w:rPr>
      <w:t xml:space="preserve"> of </w:t>
    </w:r>
    <w:r w:rsidRPr="00E566D4">
      <w:rPr>
        <w:sz w:val="20"/>
      </w:rPr>
      <w:fldChar w:fldCharType="begin"/>
    </w:r>
    <w:r w:rsidRPr="00E566D4">
      <w:rPr>
        <w:sz w:val="20"/>
      </w:rPr>
      <w:instrText xml:space="preserve"> NUMPAGES  </w:instrText>
    </w:r>
    <w:r w:rsidRPr="00E566D4">
      <w:rPr>
        <w:sz w:val="20"/>
      </w:rPr>
      <w:fldChar w:fldCharType="separate"/>
    </w:r>
    <w:r w:rsidR="004B1A9C">
      <w:rPr>
        <w:noProof/>
        <w:sz w:val="20"/>
      </w:rPr>
      <w:t>15</w:t>
    </w:r>
    <w:r w:rsidRPr="00E566D4">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3C0" w:rsidRDefault="004243C0">
      <w:r>
        <w:separator/>
      </w:r>
    </w:p>
  </w:footnote>
  <w:footnote w:type="continuationSeparator" w:id="0">
    <w:p w:rsidR="004243C0" w:rsidRDefault="00424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A9C" w:rsidRPr="004B1A9C" w:rsidRDefault="004B1A9C" w:rsidP="004B1A9C">
    <w:pPr>
      <w:pBdr>
        <w:top w:val="single" w:sz="4" w:space="1" w:color="auto"/>
        <w:left w:val="single" w:sz="4" w:space="4" w:color="auto"/>
        <w:bottom w:val="single" w:sz="4" w:space="1" w:color="auto"/>
        <w:right w:val="single" w:sz="4" w:space="4" w:color="auto"/>
      </w:pBdr>
      <w:shd w:val="clear" w:color="auto" w:fill="E4F2E0"/>
      <w:spacing w:before="120" w:after="120"/>
      <w:rPr>
        <w:b/>
        <w:sz w:val="20"/>
      </w:rPr>
    </w:pPr>
    <w:r w:rsidRPr="00D361CA">
      <w:rPr>
        <w:b/>
        <w:sz w:val="20"/>
      </w:rPr>
      <w:t xml:space="preserve">Attachment 1: Product information for </w:t>
    </w:r>
    <w:proofErr w:type="spellStart"/>
    <w:r w:rsidRPr="004B1A9C">
      <w:rPr>
        <w:b/>
        <w:sz w:val="20"/>
      </w:rPr>
      <w:t>AusPAR</w:t>
    </w:r>
    <w:proofErr w:type="spellEnd"/>
    <w:r w:rsidRPr="004B1A9C">
      <w:rPr>
        <w:b/>
        <w:sz w:val="20"/>
      </w:rPr>
      <w:t xml:space="preserve"> </w:t>
    </w:r>
    <w:proofErr w:type="spellStart"/>
    <w:r w:rsidRPr="004B1A9C">
      <w:rPr>
        <w:b/>
        <w:sz w:val="20"/>
      </w:rPr>
      <w:t>Elelyso</w:t>
    </w:r>
    <w:proofErr w:type="spellEnd"/>
    <w:r w:rsidRPr="004B1A9C">
      <w:rPr>
        <w:b/>
        <w:sz w:val="20"/>
      </w:rPr>
      <w:t xml:space="preserve"> </w:t>
    </w:r>
    <w:proofErr w:type="spellStart"/>
    <w:r w:rsidRPr="004B1A9C">
      <w:rPr>
        <w:b/>
        <w:sz w:val="20"/>
      </w:rPr>
      <w:t>taliglucerase</w:t>
    </w:r>
    <w:proofErr w:type="spellEnd"/>
    <w:r w:rsidRPr="004B1A9C">
      <w:rPr>
        <w:b/>
        <w:sz w:val="20"/>
      </w:rPr>
      <w:t xml:space="preserve"> </w:t>
    </w:r>
    <w:proofErr w:type="spellStart"/>
    <w:r w:rsidRPr="004B1A9C">
      <w:rPr>
        <w:b/>
        <w:sz w:val="20"/>
      </w:rPr>
      <w:t>alfa</w:t>
    </w:r>
    <w:proofErr w:type="spellEnd"/>
    <w:r w:rsidRPr="004B1A9C">
      <w:rPr>
        <w:b/>
        <w:sz w:val="20"/>
      </w:rPr>
      <w:t xml:space="preserve"> </w:t>
    </w:r>
    <w:proofErr w:type="spellStart"/>
    <w:r w:rsidRPr="004B1A9C">
      <w:rPr>
        <w:b/>
        <w:sz w:val="20"/>
      </w:rPr>
      <w:t>rpc</w:t>
    </w:r>
    <w:proofErr w:type="spellEnd"/>
    <w:r w:rsidRPr="004B1A9C">
      <w:rPr>
        <w:b/>
        <w:sz w:val="20"/>
      </w:rPr>
      <w:t xml:space="preserve"> Pfizer Australia Ltd PM-2013-00303-1-3</w:t>
    </w:r>
    <w:r>
      <w:rPr>
        <w:b/>
        <w:sz w:val="20"/>
      </w:rPr>
      <w:t xml:space="preserve"> </w:t>
    </w:r>
    <w:r w:rsidRPr="004B1A9C">
      <w:rPr>
        <w:b/>
        <w:sz w:val="20"/>
      </w:rPr>
      <w:t>Date of Finalisation 14 October 2014</w:t>
    </w:r>
    <w:r w:rsidRPr="00D361CA">
      <w:rPr>
        <w:b/>
        <w:sz w:val="20"/>
      </w:rPr>
      <w:t xml:space="preserve">. This Product Information was approved at the time this </w:t>
    </w:r>
    <w:proofErr w:type="spellStart"/>
    <w:r w:rsidRPr="00D361CA">
      <w:rPr>
        <w:b/>
        <w:sz w:val="20"/>
      </w:rPr>
      <w:t>AusPAR</w:t>
    </w:r>
    <w:proofErr w:type="spellEnd"/>
    <w:r w:rsidRPr="00D361CA">
      <w:rPr>
        <w:b/>
        <w:sz w:val="20"/>
      </w:rPr>
      <w:t xml:space="preserve"> was published.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258D0CA"/>
    <w:lvl w:ilvl="0">
      <w:start w:val="1"/>
      <w:numFmt w:val="decimal"/>
      <w:lvlText w:val="%1."/>
      <w:lvlJc w:val="left"/>
      <w:pPr>
        <w:tabs>
          <w:tab w:val="num" w:pos="360"/>
        </w:tabs>
        <w:ind w:left="360" w:hanging="360"/>
      </w:pPr>
    </w:lvl>
  </w:abstractNum>
  <w:abstractNum w:abstractNumId="1">
    <w:nsid w:val="FFFFFF89"/>
    <w:multiLevelType w:val="singleLevel"/>
    <w:tmpl w:val="D9F8B6B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28EA506D"/>
    <w:multiLevelType w:val="hybridMultilevel"/>
    <w:tmpl w:val="6792E7F8"/>
    <w:lvl w:ilvl="0" w:tplc="BDAC27AC">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AE83051"/>
    <w:multiLevelType w:val="hybridMultilevel"/>
    <w:tmpl w:val="CEBEEC3A"/>
    <w:lvl w:ilvl="0" w:tplc="F47252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922024"/>
    <w:multiLevelType w:val="singleLevel"/>
    <w:tmpl w:val="87A43664"/>
    <w:name w:val="dtNM List Alpha Table"/>
    <w:lvl w:ilvl="0">
      <w:start w:val="1"/>
      <w:numFmt w:val="lowerLetter"/>
      <w:lvlRestart w:val="0"/>
      <w:pStyle w:val="ListBullet2"/>
      <w:lvlText w:val="%1."/>
      <w:lvlJc w:val="left"/>
      <w:pPr>
        <w:tabs>
          <w:tab w:val="num" w:pos="360"/>
        </w:tabs>
        <w:ind w:left="360" w:hanging="360"/>
      </w:pPr>
      <w:rPr>
        <w:caps w:val="0"/>
        <w:u w:val="none"/>
      </w:rPr>
    </w:lvl>
  </w:abstractNum>
  <w:abstractNum w:abstractNumId="5">
    <w:nsid w:val="6A47738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7A945F18"/>
    <w:multiLevelType w:val="multilevel"/>
    <w:tmpl w:val="E7E621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5"/>
  </w:num>
  <w:num w:numId="3">
    <w:abstractNumId w:val="1"/>
  </w:num>
  <w:num w:numId="4">
    <w:abstractNumId w:val="0"/>
  </w:num>
  <w:num w:numId="5">
    <w:abstractNumId w:val="2"/>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NotTrackMoves/>
  <w:defaultTabStop w:val="720"/>
  <w:drawingGridHorizontalSpacing w:val="120"/>
  <w:drawingGridVerticalSpacing w:val="136"/>
  <w:displayHorizontalDrawingGridEvery w:val="0"/>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3B09"/>
    <w:rsid w:val="00000A70"/>
    <w:rsid w:val="000022EA"/>
    <w:rsid w:val="000059C4"/>
    <w:rsid w:val="0001473C"/>
    <w:rsid w:val="00020D3F"/>
    <w:rsid w:val="00023CA1"/>
    <w:rsid w:val="000258D5"/>
    <w:rsid w:val="00025A3C"/>
    <w:rsid w:val="00031078"/>
    <w:rsid w:val="00033DDE"/>
    <w:rsid w:val="00034661"/>
    <w:rsid w:val="00037B14"/>
    <w:rsid w:val="00040F86"/>
    <w:rsid w:val="00043518"/>
    <w:rsid w:val="00045242"/>
    <w:rsid w:val="00052328"/>
    <w:rsid w:val="0005357E"/>
    <w:rsid w:val="00053879"/>
    <w:rsid w:val="00056955"/>
    <w:rsid w:val="00056CCA"/>
    <w:rsid w:val="00056EF5"/>
    <w:rsid w:val="00057F82"/>
    <w:rsid w:val="0006386B"/>
    <w:rsid w:val="0006414E"/>
    <w:rsid w:val="00065832"/>
    <w:rsid w:val="000731FA"/>
    <w:rsid w:val="00074EF9"/>
    <w:rsid w:val="000816CC"/>
    <w:rsid w:val="0008309D"/>
    <w:rsid w:val="00084FB2"/>
    <w:rsid w:val="00085CC7"/>
    <w:rsid w:val="00086B18"/>
    <w:rsid w:val="00091DED"/>
    <w:rsid w:val="00093FB0"/>
    <w:rsid w:val="00095E2E"/>
    <w:rsid w:val="00096A82"/>
    <w:rsid w:val="00096FA5"/>
    <w:rsid w:val="000975B4"/>
    <w:rsid w:val="000A0F19"/>
    <w:rsid w:val="000A2DB4"/>
    <w:rsid w:val="000A75CC"/>
    <w:rsid w:val="000A7C1B"/>
    <w:rsid w:val="000B0B65"/>
    <w:rsid w:val="000B0E71"/>
    <w:rsid w:val="000B1217"/>
    <w:rsid w:val="000B2934"/>
    <w:rsid w:val="000B7BA3"/>
    <w:rsid w:val="000C1CA4"/>
    <w:rsid w:val="000C34EB"/>
    <w:rsid w:val="000C46F8"/>
    <w:rsid w:val="000C575A"/>
    <w:rsid w:val="000D0FE7"/>
    <w:rsid w:val="000D3737"/>
    <w:rsid w:val="000D77AF"/>
    <w:rsid w:val="000D7B5D"/>
    <w:rsid w:val="000E299D"/>
    <w:rsid w:val="000E5D47"/>
    <w:rsid w:val="000E64D0"/>
    <w:rsid w:val="000F230B"/>
    <w:rsid w:val="000F45E2"/>
    <w:rsid w:val="000F4A58"/>
    <w:rsid w:val="000F5B9F"/>
    <w:rsid w:val="00101EE2"/>
    <w:rsid w:val="00103960"/>
    <w:rsid w:val="00106907"/>
    <w:rsid w:val="00106F4C"/>
    <w:rsid w:val="00110727"/>
    <w:rsid w:val="0012366F"/>
    <w:rsid w:val="00125C3B"/>
    <w:rsid w:val="00126C32"/>
    <w:rsid w:val="001274A6"/>
    <w:rsid w:val="00131EB2"/>
    <w:rsid w:val="00134775"/>
    <w:rsid w:val="00141391"/>
    <w:rsid w:val="00143198"/>
    <w:rsid w:val="00143BB7"/>
    <w:rsid w:val="00146681"/>
    <w:rsid w:val="001579BB"/>
    <w:rsid w:val="00160022"/>
    <w:rsid w:val="0016084D"/>
    <w:rsid w:val="00161322"/>
    <w:rsid w:val="0016526B"/>
    <w:rsid w:val="0016743B"/>
    <w:rsid w:val="00167E8E"/>
    <w:rsid w:val="0017013F"/>
    <w:rsid w:val="001705FF"/>
    <w:rsid w:val="00171970"/>
    <w:rsid w:val="0017608D"/>
    <w:rsid w:val="001819DF"/>
    <w:rsid w:val="00182139"/>
    <w:rsid w:val="00182C62"/>
    <w:rsid w:val="00187A9F"/>
    <w:rsid w:val="00192138"/>
    <w:rsid w:val="00193C02"/>
    <w:rsid w:val="00194CB3"/>
    <w:rsid w:val="00194F9F"/>
    <w:rsid w:val="001966D7"/>
    <w:rsid w:val="001A1FF4"/>
    <w:rsid w:val="001A485E"/>
    <w:rsid w:val="001B2FD7"/>
    <w:rsid w:val="001B676B"/>
    <w:rsid w:val="001B6F16"/>
    <w:rsid w:val="001C1743"/>
    <w:rsid w:val="001C23DF"/>
    <w:rsid w:val="001C29E2"/>
    <w:rsid w:val="001C2B07"/>
    <w:rsid w:val="001C2DD6"/>
    <w:rsid w:val="001C4766"/>
    <w:rsid w:val="001C5490"/>
    <w:rsid w:val="001C6530"/>
    <w:rsid w:val="001C7958"/>
    <w:rsid w:val="001D2E8E"/>
    <w:rsid w:val="001D4C61"/>
    <w:rsid w:val="001D4EDD"/>
    <w:rsid w:val="001D5562"/>
    <w:rsid w:val="001E14BC"/>
    <w:rsid w:val="001E3A76"/>
    <w:rsid w:val="001F13D8"/>
    <w:rsid w:val="001F3440"/>
    <w:rsid w:val="001F54AD"/>
    <w:rsid w:val="001F5CC3"/>
    <w:rsid w:val="001F6D58"/>
    <w:rsid w:val="00201F6D"/>
    <w:rsid w:val="00210283"/>
    <w:rsid w:val="00212261"/>
    <w:rsid w:val="00212694"/>
    <w:rsid w:val="002133AB"/>
    <w:rsid w:val="002156AB"/>
    <w:rsid w:val="002162E9"/>
    <w:rsid w:val="00216B7E"/>
    <w:rsid w:val="0021777F"/>
    <w:rsid w:val="00220F3D"/>
    <w:rsid w:val="00224407"/>
    <w:rsid w:val="00234BA0"/>
    <w:rsid w:val="0023662A"/>
    <w:rsid w:val="00236C3B"/>
    <w:rsid w:val="002438DE"/>
    <w:rsid w:val="00245CDD"/>
    <w:rsid w:val="00247407"/>
    <w:rsid w:val="00247481"/>
    <w:rsid w:val="00250F1A"/>
    <w:rsid w:val="002529A5"/>
    <w:rsid w:val="002619FB"/>
    <w:rsid w:val="0026346B"/>
    <w:rsid w:val="0026448A"/>
    <w:rsid w:val="002660C0"/>
    <w:rsid w:val="002700C8"/>
    <w:rsid w:val="002708D6"/>
    <w:rsid w:val="00272A0F"/>
    <w:rsid w:val="00281B85"/>
    <w:rsid w:val="00283E99"/>
    <w:rsid w:val="00284A4F"/>
    <w:rsid w:val="00284CC3"/>
    <w:rsid w:val="00284DD6"/>
    <w:rsid w:val="002852CC"/>
    <w:rsid w:val="002865A0"/>
    <w:rsid w:val="0028729D"/>
    <w:rsid w:val="0029432E"/>
    <w:rsid w:val="002950E0"/>
    <w:rsid w:val="00297C4D"/>
    <w:rsid w:val="002A6EE7"/>
    <w:rsid w:val="002A7F1B"/>
    <w:rsid w:val="002B27BC"/>
    <w:rsid w:val="002B3283"/>
    <w:rsid w:val="002B7637"/>
    <w:rsid w:val="002C0076"/>
    <w:rsid w:val="002C0FCB"/>
    <w:rsid w:val="002C2230"/>
    <w:rsid w:val="002D030B"/>
    <w:rsid w:val="002D262E"/>
    <w:rsid w:val="002D3A6C"/>
    <w:rsid w:val="002D5FA8"/>
    <w:rsid w:val="002E1B11"/>
    <w:rsid w:val="002E66AD"/>
    <w:rsid w:val="002E75AB"/>
    <w:rsid w:val="002F0A40"/>
    <w:rsid w:val="002F0BC5"/>
    <w:rsid w:val="002F23A5"/>
    <w:rsid w:val="002F335D"/>
    <w:rsid w:val="002F3436"/>
    <w:rsid w:val="002F6948"/>
    <w:rsid w:val="00303779"/>
    <w:rsid w:val="003130E1"/>
    <w:rsid w:val="00313584"/>
    <w:rsid w:val="00316110"/>
    <w:rsid w:val="0031735E"/>
    <w:rsid w:val="00320D30"/>
    <w:rsid w:val="00321FDD"/>
    <w:rsid w:val="003233A7"/>
    <w:rsid w:val="00324240"/>
    <w:rsid w:val="00327191"/>
    <w:rsid w:val="00327C54"/>
    <w:rsid w:val="003305E6"/>
    <w:rsid w:val="003309FF"/>
    <w:rsid w:val="003350AE"/>
    <w:rsid w:val="00351130"/>
    <w:rsid w:val="0035197B"/>
    <w:rsid w:val="003536A9"/>
    <w:rsid w:val="003578B0"/>
    <w:rsid w:val="00361874"/>
    <w:rsid w:val="003620C0"/>
    <w:rsid w:val="003646C5"/>
    <w:rsid w:val="00364764"/>
    <w:rsid w:val="00366147"/>
    <w:rsid w:val="00381530"/>
    <w:rsid w:val="003843AD"/>
    <w:rsid w:val="00391264"/>
    <w:rsid w:val="00391703"/>
    <w:rsid w:val="00393B4E"/>
    <w:rsid w:val="00395F03"/>
    <w:rsid w:val="00397A5E"/>
    <w:rsid w:val="003A1C20"/>
    <w:rsid w:val="003A37CE"/>
    <w:rsid w:val="003A4066"/>
    <w:rsid w:val="003A6E52"/>
    <w:rsid w:val="003B1565"/>
    <w:rsid w:val="003B39CA"/>
    <w:rsid w:val="003B4FC2"/>
    <w:rsid w:val="003C07A3"/>
    <w:rsid w:val="003C5BED"/>
    <w:rsid w:val="003C5EB3"/>
    <w:rsid w:val="003C77B7"/>
    <w:rsid w:val="003D16B3"/>
    <w:rsid w:val="003D65B1"/>
    <w:rsid w:val="003D6E1F"/>
    <w:rsid w:val="003E423D"/>
    <w:rsid w:val="003E4E0B"/>
    <w:rsid w:val="003E65F4"/>
    <w:rsid w:val="003E6C12"/>
    <w:rsid w:val="00402393"/>
    <w:rsid w:val="00404E3A"/>
    <w:rsid w:val="004140BB"/>
    <w:rsid w:val="00416B5A"/>
    <w:rsid w:val="0042410E"/>
    <w:rsid w:val="004243C0"/>
    <w:rsid w:val="00424645"/>
    <w:rsid w:val="00425D97"/>
    <w:rsid w:val="004333E6"/>
    <w:rsid w:val="00433FE7"/>
    <w:rsid w:val="00442237"/>
    <w:rsid w:val="004422AA"/>
    <w:rsid w:val="00444E79"/>
    <w:rsid w:val="00444E80"/>
    <w:rsid w:val="00450028"/>
    <w:rsid w:val="0045150C"/>
    <w:rsid w:val="00451A81"/>
    <w:rsid w:val="00454CC9"/>
    <w:rsid w:val="00461F2F"/>
    <w:rsid w:val="004620AE"/>
    <w:rsid w:val="00462379"/>
    <w:rsid w:val="00463AD0"/>
    <w:rsid w:val="00464BE8"/>
    <w:rsid w:val="00471E78"/>
    <w:rsid w:val="00475304"/>
    <w:rsid w:val="004763EC"/>
    <w:rsid w:val="00486ACB"/>
    <w:rsid w:val="00494681"/>
    <w:rsid w:val="004947F9"/>
    <w:rsid w:val="0049513E"/>
    <w:rsid w:val="0049631E"/>
    <w:rsid w:val="00497508"/>
    <w:rsid w:val="00497F69"/>
    <w:rsid w:val="004A1AAF"/>
    <w:rsid w:val="004A1D00"/>
    <w:rsid w:val="004A3474"/>
    <w:rsid w:val="004A526A"/>
    <w:rsid w:val="004B028A"/>
    <w:rsid w:val="004B07AD"/>
    <w:rsid w:val="004B1A9C"/>
    <w:rsid w:val="004C174A"/>
    <w:rsid w:val="004C3497"/>
    <w:rsid w:val="004C4F50"/>
    <w:rsid w:val="004C72D5"/>
    <w:rsid w:val="004C7530"/>
    <w:rsid w:val="004D044B"/>
    <w:rsid w:val="004D1C09"/>
    <w:rsid w:val="004D1E74"/>
    <w:rsid w:val="004D1E90"/>
    <w:rsid w:val="004D3880"/>
    <w:rsid w:val="004D59DD"/>
    <w:rsid w:val="004D6F18"/>
    <w:rsid w:val="004D7600"/>
    <w:rsid w:val="004E12D7"/>
    <w:rsid w:val="004E26F8"/>
    <w:rsid w:val="004E7F8E"/>
    <w:rsid w:val="004F492C"/>
    <w:rsid w:val="004F766E"/>
    <w:rsid w:val="004F7EFE"/>
    <w:rsid w:val="0050144C"/>
    <w:rsid w:val="00501657"/>
    <w:rsid w:val="005037E0"/>
    <w:rsid w:val="00503C11"/>
    <w:rsid w:val="00504751"/>
    <w:rsid w:val="00505AAE"/>
    <w:rsid w:val="00507738"/>
    <w:rsid w:val="00511909"/>
    <w:rsid w:val="0051326D"/>
    <w:rsid w:val="00513401"/>
    <w:rsid w:val="00513B8C"/>
    <w:rsid w:val="00514885"/>
    <w:rsid w:val="0052643E"/>
    <w:rsid w:val="005304C4"/>
    <w:rsid w:val="005305AF"/>
    <w:rsid w:val="005307FA"/>
    <w:rsid w:val="0053238C"/>
    <w:rsid w:val="00534E04"/>
    <w:rsid w:val="00535D3E"/>
    <w:rsid w:val="00536F9C"/>
    <w:rsid w:val="005404E9"/>
    <w:rsid w:val="00544AC4"/>
    <w:rsid w:val="00544D57"/>
    <w:rsid w:val="00545803"/>
    <w:rsid w:val="00547E34"/>
    <w:rsid w:val="00550436"/>
    <w:rsid w:val="00553F7B"/>
    <w:rsid w:val="00561E63"/>
    <w:rsid w:val="00565C36"/>
    <w:rsid w:val="0057242B"/>
    <w:rsid w:val="00573D65"/>
    <w:rsid w:val="00583630"/>
    <w:rsid w:val="005849AE"/>
    <w:rsid w:val="00586352"/>
    <w:rsid w:val="00586854"/>
    <w:rsid w:val="00590E7E"/>
    <w:rsid w:val="00592339"/>
    <w:rsid w:val="00592792"/>
    <w:rsid w:val="00593DEC"/>
    <w:rsid w:val="005943F4"/>
    <w:rsid w:val="0059715F"/>
    <w:rsid w:val="00597958"/>
    <w:rsid w:val="005A26F8"/>
    <w:rsid w:val="005A302A"/>
    <w:rsid w:val="005A7B37"/>
    <w:rsid w:val="005B1B1C"/>
    <w:rsid w:val="005B2A40"/>
    <w:rsid w:val="005B2BCF"/>
    <w:rsid w:val="005B2EDA"/>
    <w:rsid w:val="005B6232"/>
    <w:rsid w:val="005B6EC2"/>
    <w:rsid w:val="005C20CD"/>
    <w:rsid w:val="005C6BDD"/>
    <w:rsid w:val="005D34E0"/>
    <w:rsid w:val="005D4263"/>
    <w:rsid w:val="005D501C"/>
    <w:rsid w:val="005D5FAD"/>
    <w:rsid w:val="005E4AFD"/>
    <w:rsid w:val="005F0AFF"/>
    <w:rsid w:val="005F2996"/>
    <w:rsid w:val="00601B5E"/>
    <w:rsid w:val="00603117"/>
    <w:rsid w:val="006038DC"/>
    <w:rsid w:val="00603A80"/>
    <w:rsid w:val="00611D91"/>
    <w:rsid w:val="00617A6A"/>
    <w:rsid w:val="00617F59"/>
    <w:rsid w:val="00624A7C"/>
    <w:rsid w:val="00627D5D"/>
    <w:rsid w:val="00633328"/>
    <w:rsid w:val="00634182"/>
    <w:rsid w:val="006418A9"/>
    <w:rsid w:val="00643F4F"/>
    <w:rsid w:val="00644227"/>
    <w:rsid w:val="00645DD4"/>
    <w:rsid w:val="00646360"/>
    <w:rsid w:val="0065179D"/>
    <w:rsid w:val="006532C3"/>
    <w:rsid w:val="00655E09"/>
    <w:rsid w:val="0065647E"/>
    <w:rsid w:val="00661CE5"/>
    <w:rsid w:val="00661E0C"/>
    <w:rsid w:val="00662908"/>
    <w:rsid w:val="00662BB9"/>
    <w:rsid w:val="00665D2A"/>
    <w:rsid w:val="00665D44"/>
    <w:rsid w:val="006733A4"/>
    <w:rsid w:val="00676445"/>
    <w:rsid w:val="0067771F"/>
    <w:rsid w:val="00680929"/>
    <w:rsid w:val="00680EA7"/>
    <w:rsid w:val="00681BA7"/>
    <w:rsid w:val="00683FF9"/>
    <w:rsid w:val="00684171"/>
    <w:rsid w:val="006853AF"/>
    <w:rsid w:val="00690FB4"/>
    <w:rsid w:val="00691534"/>
    <w:rsid w:val="00695BF3"/>
    <w:rsid w:val="006965DB"/>
    <w:rsid w:val="006A1261"/>
    <w:rsid w:val="006A3E4E"/>
    <w:rsid w:val="006A4656"/>
    <w:rsid w:val="006A4BEF"/>
    <w:rsid w:val="006A5365"/>
    <w:rsid w:val="006A5BB2"/>
    <w:rsid w:val="006A6BDA"/>
    <w:rsid w:val="006B1D89"/>
    <w:rsid w:val="006B5072"/>
    <w:rsid w:val="006B6A17"/>
    <w:rsid w:val="006C3AD4"/>
    <w:rsid w:val="006C60A9"/>
    <w:rsid w:val="006C7A50"/>
    <w:rsid w:val="006D3F94"/>
    <w:rsid w:val="006D4D5D"/>
    <w:rsid w:val="006E05EE"/>
    <w:rsid w:val="006E37B4"/>
    <w:rsid w:val="006E4DC4"/>
    <w:rsid w:val="006E5DB4"/>
    <w:rsid w:val="006F1D66"/>
    <w:rsid w:val="006F3A0E"/>
    <w:rsid w:val="006F7FE5"/>
    <w:rsid w:val="00702D6F"/>
    <w:rsid w:val="0070420B"/>
    <w:rsid w:val="00712C8A"/>
    <w:rsid w:val="00713EFA"/>
    <w:rsid w:val="00714A23"/>
    <w:rsid w:val="00715EBE"/>
    <w:rsid w:val="00716D9C"/>
    <w:rsid w:val="00721D05"/>
    <w:rsid w:val="00722637"/>
    <w:rsid w:val="007246FB"/>
    <w:rsid w:val="0072729A"/>
    <w:rsid w:val="007272DB"/>
    <w:rsid w:val="007310AC"/>
    <w:rsid w:val="00731871"/>
    <w:rsid w:val="00733AA8"/>
    <w:rsid w:val="007356DC"/>
    <w:rsid w:val="00736757"/>
    <w:rsid w:val="00736E72"/>
    <w:rsid w:val="00737B20"/>
    <w:rsid w:val="00737E25"/>
    <w:rsid w:val="00740986"/>
    <w:rsid w:val="00740FEF"/>
    <w:rsid w:val="007476FA"/>
    <w:rsid w:val="00747954"/>
    <w:rsid w:val="00754F4E"/>
    <w:rsid w:val="0075590E"/>
    <w:rsid w:val="007575FF"/>
    <w:rsid w:val="00767657"/>
    <w:rsid w:val="007721AD"/>
    <w:rsid w:val="00773BA3"/>
    <w:rsid w:val="007800EA"/>
    <w:rsid w:val="00781C65"/>
    <w:rsid w:val="007822D2"/>
    <w:rsid w:val="00783386"/>
    <w:rsid w:val="00787FAE"/>
    <w:rsid w:val="007900F3"/>
    <w:rsid w:val="00795F94"/>
    <w:rsid w:val="00797310"/>
    <w:rsid w:val="007A1013"/>
    <w:rsid w:val="007A25B8"/>
    <w:rsid w:val="007A6446"/>
    <w:rsid w:val="007A7CFF"/>
    <w:rsid w:val="007B3504"/>
    <w:rsid w:val="007B73F9"/>
    <w:rsid w:val="007B7597"/>
    <w:rsid w:val="007C21A9"/>
    <w:rsid w:val="007C2BC6"/>
    <w:rsid w:val="007C3AF0"/>
    <w:rsid w:val="007C4F4C"/>
    <w:rsid w:val="007C66FF"/>
    <w:rsid w:val="007D4EFA"/>
    <w:rsid w:val="007D5AF4"/>
    <w:rsid w:val="007E214E"/>
    <w:rsid w:val="007E5BC0"/>
    <w:rsid w:val="007E67E4"/>
    <w:rsid w:val="007F18EA"/>
    <w:rsid w:val="007F23B0"/>
    <w:rsid w:val="007F2CC5"/>
    <w:rsid w:val="007F346C"/>
    <w:rsid w:val="007F5760"/>
    <w:rsid w:val="007F655C"/>
    <w:rsid w:val="0080373A"/>
    <w:rsid w:val="00804643"/>
    <w:rsid w:val="00806150"/>
    <w:rsid w:val="00810ACF"/>
    <w:rsid w:val="0081178A"/>
    <w:rsid w:val="00812C64"/>
    <w:rsid w:val="00814CA3"/>
    <w:rsid w:val="0081521A"/>
    <w:rsid w:val="00820613"/>
    <w:rsid w:val="00820ED7"/>
    <w:rsid w:val="0082183B"/>
    <w:rsid w:val="00824786"/>
    <w:rsid w:val="0083224B"/>
    <w:rsid w:val="00832C92"/>
    <w:rsid w:val="00832E8B"/>
    <w:rsid w:val="008432D6"/>
    <w:rsid w:val="008444D0"/>
    <w:rsid w:val="00845D22"/>
    <w:rsid w:val="00847203"/>
    <w:rsid w:val="00851B65"/>
    <w:rsid w:val="00857687"/>
    <w:rsid w:val="00860769"/>
    <w:rsid w:val="008608D4"/>
    <w:rsid w:val="00861B27"/>
    <w:rsid w:val="0086527A"/>
    <w:rsid w:val="0086531A"/>
    <w:rsid w:val="0086670A"/>
    <w:rsid w:val="00867FD4"/>
    <w:rsid w:val="00870062"/>
    <w:rsid w:val="00870ECA"/>
    <w:rsid w:val="008729B2"/>
    <w:rsid w:val="00873367"/>
    <w:rsid w:val="00873762"/>
    <w:rsid w:val="00873820"/>
    <w:rsid w:val="00873831"/>
    <w:rsid w:val="00874A86"/>
    <w:rsid w:val="008752BD"/>
    <w:rsid w:val="00875F3A"/>
    <w:rsid w:val="008860EE"/>
    <w:rsid w:val="008863DD"/>
    <w:rsid w:val="00887209"/>
    <w:rsid w:val="0088739B"/>
    <w:rsid w:val="00892B76"/>
    <w:rsid w:val="00894142"/>
    <w:rsid w:val="00895B05"/>
    <w:rsid w:val="0089602B"/>
    <w:rsid w:val="00897C81"/>
    <w:rsid w:val="008A268B"/>
    <w:rsid w:val="008A3DB0"/>
    <w:rsid w:val="008B0086"/>
    <w:rsid w:val="008B37F6"/>
    <w:rsid w:val="008B3CF5"/>
    <w:rsid w:val="008B4E92"/>
    <w:rsid w:val="008B5360"/>
    <w:rsid w:val="008C15C2"/>
    <w:rsid w:val="008C38E8"/>
    <w:rsid w:val="008C3F3C"/>
    <w:rsid w:val="008C6495"/>
    <w:rsid w:val="008C71A9"/>
    <w:rsid w:val="008D0F05"/>
    <w:rsid w:val="008D54B3"/>
    <w:rsid w:val="008D6916"/>
    <w:rsid w:val="008D6AFD"/>
    <w:rsid w:val="008E48BB"/>
    <w:rsid w:val="008E5A56"/>
    <w:rsid w:val="008E5FCF"/>
    <w:rsid w:val="008E6A87"/>
    <w:rsid w:val="008F1626"/>
    <w:rsid w:val="008F31CC"/>
    <w:rsid w:val="008F60AA"/>
    <w:rsid w:val="008F7F1B"/>
    <w:rsid w:val="0090041B"/>
    <w:rsid w:val="0090203A"/>
    <w:rsid w:val="009041A7"/>
    <w:rsid w:val="00905FA6"/>
    <w:rsid w:val="009066D1"/>
    <w:rsid w:val="009076BA"/>
    <w:rsid w:val="00907AB5"/>
    <w:rsid w:val="00912381"/>
    <w:rsid w:val="00913C16"/>
    <w:rsid w:val="009159B6"/>
    <w:rsid w:val="0092509E"/>
    <w:rsid w:val="00925D07"/>
    <w:rsid w:val="009262C1"/>
    <w:rsid w:val="009266F6"/>
    <w:rsid w:val="00927D86"/>
    <w:rsid w:val="00932B1D"/>
    <w:rsid w:val="00934502"/>
    <w:rsid w:val="009347FB"/>
    <w:rsid w:val="00935E33"/>
    <w:rsid w:val="009363E6"/>
    <w:rsid w:val="009372EF"/>
    <w:rsid w:val="009433E9"/>
    <w:rsid w:val="00944475"/>
    <w:rsid w:val="009447D2"/>
    <w:rsid w:val="009459B3"/>
    <w:rsid w:val="00946CDF"/>
    <w:rsid w:val="009502FA"/>
    <w:rsid w:val="00951C1B"/>
    <w:rsid w:val="0095228E"/>
    <w:rsid w:val="009531B4"/>
    <w:rsid w:val="0096171D"/>
    <w:rsid w:val="009620B5"/>
    <w:rsid w:val="00962D6E"/>
    <w:rsid w:val="009653D6"/>
    <w:rsid w:val="00965C4E"/>
    <w:rsid w:val="00965DB6"/>
    <w:rsid w:val="0097090B"/>
    <w:rsid w:val="009723E1"/>
    <w:rsid w:val="00981844"/>
    <w:rsid w:val="00983CF7"/>
    <w:rsid w:val="009865C9"/>
    <w:rsid w:val="009866A4"/>
    <w:rsid w:val="00986BD2"/>
    <w:rsid w:val="009903B5"/>
    <w:rsid w:val="009907AC"/>
    <w:rsid w:val="0099096B"/>
    <w:rsid w:val="00993BF7"/>
    <w:rsid w:val="00996A23"/>
    <w:rsid w:val="009A1B93"/>
    <w:rsid w:val="009A5227"/>
    <w:rsid w:val="009B0114"/>
    <w:rsid w:val="009B0995"/>
    <w:rsid w:val="009B17C1"/>
    <w:rsid w:val="009B2F05"/>
    <w:rsid w:val="009B5A72"/>
    <w:rsid w:val="009B6E29"/>
    <w:rsid w:val="009C1647"/>
    <w:rsid w:val="009C1ABF"/>
    <w:rsid w:val="009C253A"/>
    <w:rsid w:val="009C4A0B"/>
    <w:rsid w:val="009C6A20"/>
    <w:rsid w:val="009D0777"/>
    <w:rsid w:val="009D2F05"/>
    <w:rsid w:val="009D42A8"/>
    <w:rsid w:val="009D6F4A"/>
    <w:rsid w:val="009D7BC7"/>
    <w:rsid w:val="009E0485"/>
    <w:rsid w:val="009E09DC"/>
    <w:rsid w:val="009E1AE2"/>
    <w:rsid w:val="009E4358"/>
    <w:rsid w:val="009E6D91"/>
    <w:rsid w:val="009F092C"/>
    <w:rsid w:val="009F38C6"/>
    <w:rsid w:val="009F5BD3"/>
    <w:rsid w:val="009F717D"/>
    <w:rsid w:val="009F741F"/>
    <w:rsid w:val="00A03B09"/>
    <w:rsid w:val="00A05CB1"/>
    <w:rsid w:val="00A074F6"/>
    <w:rsid w:val="00A13CC6"/>
    <w:rsid w:val="00A148F5"/>
    <w:rsid w:val="00A14FDE"/>
    <w:rsid w:val="00A16530"/>
    <w:rsid w:val="00A2053C"/>
    <w:rsid w:val="00A21C9B"/>
    <w:rsid w:val="00A23DD9"/>
    <w:rsid w:val="00A257AB"/>
    <w:rsid w:val="00A27BA3"/>
    <w:rsid w:val="00A30D01"/>
    <w:rsid w:val="00A35535"/>
    <w:rsid w:val="00A35B80"/>
    <w:rsid w:val="00A40526"/>
    <w:rsid w:val="00A46FF9"/>
    <w:rsid w:val="00A50FCE"/>
    <w:rsid w:val="00A52109"/>
    <w:rsid w:val="00A529FD"/>
    <w:rsid w:val="00A53925"/>
    <w:rsid w:val="00A54B81"/>
    <w:rsid w:val="00A55308"/>
    <w:rsid w:val="00A5642C"/>
    <w:rsid w:val="00A601E6"/>
    <w:rsid w:val="00A61709"/>
    <w:rsid w:val="00A70FF3"/>
    <w:rsid w:val="00A72A96"/>
    <w:rsid w:val="00A7367A"/>
    <w:rsid w:val="00A75FAD"/>
    <w:rsid w:val="00A77B49"/>
    <w:rsid w:val="00A80115"/>
    <w:rsid w:val="00A81ADB"/>
    <w:rsid w:val="00A8757A"/>
    <w:rsid w:val="00A927A4"/>
    <w:rsid w:val="00A97172"/>
    <w:rsid w:val="00AA1CC2"/>
    <w:rsid w:val="00AA3820"/>
    <w:rsid w:val="00AA755C"/>
    <w:rsid w:val="00AB067B"/>
    <w:rsid w:val="00AB0F22"/>
    <w:rsid w:val="00AB38BF"/>
    <w:rsid w:val="00AB4543"/>
    <w:rsid w:val="00AC215F"/>
    <w:rsid w:val="00AC4CE2"/>
    <w:rsid w:val="00AC52AB"/>
    <w:rsid w:val="00AD02A4"/>
    <w:rsid w:val="00AD6FE5"/>
    <w:rsid w:val="00AE16BA"/>
    <w:rsid w:val="00AE180E"/>
    <w:rsid w:val="00AE2502"/>
    <w:rsid w:val="00AE2721"/>
    <w:rsid w:val="00AE7AE4"/>
    <w:rsid w:val="00AF13AD"/>
    <w:rsid w:val="00AF1FB3"/>
    <w:rsid w:val="00AF5A34"/>
    <w:rsid w:val="00AF6D69"/>
    <w:rsid w:val="00AF75C7"/>
    <w:rsid w:val="00B02543"/>
    <w:rsid w:val="00B041F6"/>
    <w:rsid w:val="00B10784"/>
    <w:rsid w:val="00B13DF8"/>
    <w:rsid w:val="00B14342"/>
    <w:rsid w:val="00B1511D"/>
    <w:rsid w:val="00B17C4B"/>
    <w:rsid w:val="00B236D0"/>
    <w:rsid w:val="00B30E03"/>
    <w:rsid w:val="00B329CD"/>
    <w:rsid w:val="00B33A9D"/>
    <w:rsid w:val="00B35137"/>
    <w:rsid w:val="00B41B43"/>
    <w:rsid w:val="00B42C16"/>
    <w:rsid w:val="00B4573B"/>
    <w:rsid w:val="00B47DD1"/>
    <w:rsid w:val="00B50662"/>
    <w:rsid w:val="00B51103"/>
    <w:rsid w:val="00B530CD"/>
    <w:rsid w:val="00B55868"/>
    <w:rsid w:val="00B603C4"/>
    <w:rsid w:val="00B614F3"/>
    <w:rsid w:val="00B6310E"/>
    <w:rsid w:val="00B6369C"/>
    <w:rsid w:val="00B67034"/>
    <w:rsid w:val="00B679B9"/>
    <w:rsid w:val="00B71258"/>
    <w:rsid w:val="00B72B10"/>
    <w:rsid w:val="00B8059B"/>
    <w:rsid w:val="00B80E07"/>
    <w:rsid w:val="00B83863"/>
    <w:rsid w:val="00B90288"/>
    <w:rsid w:val="00B95117"/>
    <w:rsid w:val="00B96111"/>
    <w:rsid w:val="00B973FB"/>
    <w:rsid w:val="00BA0E06"/>
    <w:rsid w:val="00BA0FB4"/>
    <w:rsid w:val="00BA1209"/>
    <w:rsid w:val="00BA202F"/>
    <w:rsid w:val="00BA266F"/>
    <w:rsid w:val="00BA4894"/>
    <w:rsid w:val="00BB1F40"/>
    <w:rsid w:val="00BB33EC"/>
    <w:rsid w:val="00BB3E5B"/>
    <w:rsid w:val="00BB53BA"/>
    <w:rsid w:val="00BC5FEB"/>
    <w:rsid w:val="00BD5C9D"/>
    <w:rsid w:val="00BD66B2"/>
    <w:rsid w:val="00BD7E69"/>
    <w:rsid w:val="00BE0EEE"/>
    <w:rsid w:val="00BF0205"/>
    <w:rsid w:val="00C0124A"/>
    <w:rsid w:val="00C12B9F"/>
    <w:rsid w:val="00C16949"/>
    <w:rsid w:val="00C211F8"/>
    <w:rsid w:val="00C22419"/>
    <w:rsid w:val="00C244F7"/>
    <w:rsid w:val="00C24B32"/>
    <w:rsid w:val="00C31A6C"/>
    <w:rsid w:val="00C33199"/>
    <w:rsid w:val="00C36474"/>
    <w:rsid w:val="00C404EC"/>
    <w:rsid w:val="00C4212C"/>
    <w:rsid w:val="00C42BBC"/>
    <w:rsid w:val="00C438B8"/>
    <w:rsid w:val="00C55023"/>
    <w:rsid w:val="00C553CC"/>
    <w:rsid w:val="00C57C07"/>
    <w:rsid w:val="00C66314"/>
    <w:rsid w:val="00C704BD"/>
    <w:rsid w:val="00C71C06"/>
    <w:rsid w:val="00C7315D"/>
    <w:rsid w:val="00C73BDC"/>
    <w:rsid w:val="00C748C0"/>
    <w:rsid w:val="00C76187"/>
    <w:rsid w:val="00C82E6C"/>
    <w:rsid w:val="00C84778"/>
    <w:rsid w:val="00C851FD"/>
    <w:rsid w:val="00C86810"/>
    <w:rsid w:val="00C9278F"/>
    <w:rsid w:val="00CA07AF"/>
    <w:rsid w:val="00CA0D9A"/>
    <w:rsid w:val="00CA449A"/>
    <w:rsid w:val="00CA54E5"/>
    <w:rsid w:val="00CB0104"/>
    <w:rsid w:val="00CB10D7"/>
    <w:rsid w:val="00CB190B"/>
    <w:rsid w:val="00CB1E09"/>
    <w:rsid w:val="00CB3919"/>
    <w:rsid w:val="00CB6648"/>
    <w:rsid w:val="00CB6E0D"/>
    <w:rsid w:val="00CB7717"/>
    <w:rsid w:val="00CC1938"/>
    <w:rsid w:val="00CC2749"/>
    <w:rsid w:val="00CC2872"/>
    <w:rsid w:val="00CC2C7E"/>
    <w:rsid w:val="00CC4583"/>
    <w:rsid w:val="00CC4819"/>
    <w:rsid w:val="00CC4C34"/>
    <w:rsid w:val="00CC5F72"/>
    <w:rsid w:val="00CC7F1C"/>
    <w:rsid w:val="00CD0448"/>
    <w:rsid w:val="00CD23E0"/>
    <w:rsid w:val="00CD40C1"/>
    <w:rsid w:val="00CD442C"/>
    <w:rsid w:val="00CD536C"/>
    <w:rsid w:val="00CD5A51"/>
    <w:rsid w:val="00CD7F51"/>
    <w:rsid w:val="00CE0387"/>
    <w:rsid w:val="00CE0848"/>
    <w:rsid w:val="00CE0D49"/>
    <w:rsid w:val="00CE335A"/>
    <w:rsid w:val="00CE4018"/>
    <w:rsid w:val="00CE6B69"/>
    <w:rsid w:val="00CF1E2F"/>
    <w:rsid w:val="00CF1FC2"/>
    <w:rsid w:val="00CF1FEF"/>
    <w:rsid w:val="00CF328C"/>
    <w:rsid w:val="00CF4E04"/>
    <w:rsid w:val="00D01998"/>
    <w:rsid w:val="00D01D1F"/>
    <w:rsid w:val="00D03087"/>
    <w:rsid w:val="00D03410"/>
    <w:rsid w:val="00D0520A"/>
    <w:rsid w:val="00D065C3"/>
    <w:rsid w:val="00D06B91"/>
    <w:rsid w:val="00D106E7"/>
    <w:rsid w:val="00D1098D"/>
    <w:rsid w:val="00D1320B"/>
    <w:rsid w:val="00D200D6"/>
    <w:rsid w:val="00D24D99"/>
    <w:rsid w:val="00D26C39"/>
    <w:rsid w:val="00D303B7"/>
    <w:rsid w:val="00D317EB"/>
    <w:rsid w:val="00D3384E"/>
    <w:rsid w:val="00D33B35"/>
    <w:rsid w:val="00D36843"/>
    <w:rsid w:val="00D37AEC"/>
    <w:rsid w:val="00D45969"/>
    <w:rsid w:val="00D4606E"/>
    <w:rsid w:val="00D470F2"/>
    <w:rsid w:val="00D47B4D"/>
    <w:rsid w:val="00D56DC2"/>
    <w:rsid w:val="00D57B9F"/>
    <w:rsid w:val="00D60392"/>
    <w:rsid w:val="00D635F8"/>
    <w:rsid w:val="00D63A67"/>
    <w:rsid w:val="00D63E7F"/>
    <w:rsid w:val="00D66DB8"/>
    <w:rsid w:val="00D73A55"/>
    <w:rsid w:val="00D73F0D"/>
    <w:rsid w:val="00D76390"/>
    <w:rsid w:val="00D76A9B"/>
    <w:rsid w:val="00D817AA"/>
    <w:rsid w:val="00D83F0E"/>
    <w:rsid w:val="00D85BBB"/>
    <w:rsid w:val="00D90849"/>
    <w:rsid w:val="00D91167"/>
    <w:rsid w:val="00D919D8"/>
    <w:rsid w:val="00D922E7"/>
    <w:rsid w:val="00D9252F"/>
    <w:rsid w:val="00D932A3"/>
    <w:rsid w:val="00D93AED"/>
    <w:rsid w:val="00D971BE"/>
    <w:rsid w:val="00DA1BBB"/>
    <w:rsid w:val="00DA35EF"/>
    <w:rsid w:val="00DA5CA4"/>
    <w:rsid w:val="00DA7BAE"/>
    <w:rsid w:val="00DB0F4D"/>
    <w:rsid w:val="00DB5D71"/>
    <w:rsid w:val="00DB676A"/>
    <w:rsid w:val="00DC0791"/>
    <w:rsid w:val="00DC2628"/>
    <w:rsid w:val="00DC4272"/>
    <w:rsid w:val="00DC552A"/>
    <w:rsid w:val="00DD1AE1"/>
    <w:rsid w:val="00DD51BA"/>
    <w:rsid w:val="00DE233D"/>
    <w:rsid w:val="00DE3911"/>
    <w:rsid w:val="00DE6582"/>
    <w:rsid w:val="00DE6756"/>
    <w:rsid w:val="00DE6E8D"/>
    <w:rsid w:val="00DE7F0F"/>
    <w:rsid w:val="00DF054C"/>
    <w:rsid w:val="00DF333B"/>
    <w:rsid w:val="00E00785"/>
    <w:rsid w:val="00E01487"/>
    <w:rsid w:val="00E02163"/>
    <w:rsid w:val="00E03E96"/>
    <w:rsid w:val="00E0522F"/>
    <w:rsid w:val="00E076AE"/>
    <w:rsid w:val="00E13E25"/>
    <w:rsid w:val="00E14C18"/>
    <w:rsid w:val="00E24C22"/>
    <w:rsid w:val="00E30304"/>
    <w:rsid w:val="00E308AB"/>
    <w:rsid w:val="00E36A5F"/>
    <w:rsid w:val="00E41569"/>
    <w:rsid w:val="00E441A0"/>
    <w:rsid w:val="00E50349"/>
    <w:rsid w:val="00E51CDF"/>
    <w:rsid w:val="00E52CA3"/>
    <w:rsid w:val="00E55286"/>
    <w:rsid w:val="00E55B36"/>
    <w:rsid w:val="00E566D4"/>
    <w:rsid w:val="00E572C2"/>
    <w:rsid w:val="00E57445"/>
    <w:rsid w:val="00E613D4"/>
    <w:rsid w:val="00E61A37"/>
    <w:rsid w:val="00E61D0F"/>
    <w:rsid w:val="00E67F94"/>
    <w:rsid w:val="00E7005E"/>
    <w:rsid w:val="00E70158"/>
    <w:rsid w:val="00E70750"/>
    <w:rsid w:val="00E711D2"/>
    <w:rsid w:val="00E72187"/>
    <w:rsid w:val="00E74203"/>
    <w:rsid w:val="00E753C3"/>
    <w:rsid w:val="00E8485F"/>
    <w:rsid w:val="00E84F51"/>
    <w:rsid w:val="00E90775"/>
    <w:rsid w:val="00E92A8D"/>
    <w:rsid w:val="00E939D3"/>
    <w:rsid w:val="00E97493"/>
    <w:rsid w:val="00E979F4"/>
    <w:rsid w:val="00EA0435"/>
    <w:rsid w:val="00EA4429"/>
    <w:rsid w:val="00EB149E"/>
    <w:rsid w:val="00EB5127"/>
    <w:rsid w:val="00EB5B52"/>
    <w:rsid w:val="00EB6085"/>
    <w:rsid w:val="00EB6897"/>
    <w:rsid w:val="00EB6F88"/>
    <w:rsid w:val="00EB7BEC"/>
    <w:rsid w:val="00EC07D5"/>
    <w:rsid w:val="00EC3B54"/>
    <w:rsid w:val="00EC4B9E"/>
    <w:rsid w:val="00EC5C1F"/>
    <w:rsid w:val="00EC665D"/>
    <w:rsid w:val="00EC69FE"/>
    <w:rsid w:val="00ED1162"/>
    <w:rsid w:val="00ED1248"/>
    <w:rsid w:val="00ED2825"/>
    <w:rsid w:val="00ED3498"/>
    <w:rsid w:val="00ED4AC8"/>
    <w:rsid w:val="00EE179B"/>
    <w:rsid w:val="00EE1B2E"/>
    <w:rsid w:val="00EE33A4"/>
    <w:rsid w:val="00EE4013"/>
    <w:rsid w:val="00EE4065"/>
    <w:rsid w:val="00EE6D77"/>
    <w:rsid w:val="00EE7205"/>
    <w:rsid w:val="00EF731E"/>
    <w:rsid w:val="00F01998"/>
    <w:rsid w:val="00F04CFE"/>
    <w:rsid w:val="00F072AB"/>
    <w:rsid w:val="00F108A9"/>
    <w:rsid w:val="00F1093D"/>
    <w:rsid w:val="00F125D2"/>
    <w:rsid w:val="00F12EA2"/>
    <w:rsid w:val="00F14614"/>
    <w:rsid w:val="00F14A1E"/>
    <w:rsid w:val="00F20AC6"/>
    <w:rsid w:val="00F21A2C"/>
    <w:rsid w:val="00F22728"/>
    <w:rsid w:val="00F22FC3"/>
    <w:rsid w:val="00F24851"/>
    <w:rsid w:val="00F25F79"/>
    <w:rsid w:val="00F26C63"/>
    <w:rsid w:val="00F2757C"/>
    <w:rsid w:val="00F3634F"/>
    <w:rsid w:val="00F3687E"/>
    <w:rsid w:val="00F37A41"/>
    <w:rsid w:val="00F37A82"/>
    <w:rsid w:val="00F37C3C"/>
    <w:rsid w:val="00F37E05"/>
    <w:rsid w:val="00F417DA"/>
    <w:rsid w:val="00F45F21"/>
    <w:rsid w:val="00F478B1"/>
    <w:rsid w:val="00F52DDD"/>
    <w:rsid w:val="00F56AA7"/>
    <w:rsid w:val="00F57084"/>
    <w:rsid w:val="00F639A7"/>
    <w:rsid w:val="00F647C5"/>
    <w:rsid w:val="00F65A61"/>
    <w:rsid w:val="00F65C17"/>
    <w:rsid w:val="00F66D62"/>
    <w:rsid w:val="00F7202F"/>
    <w:rsid w:val="00F74E22"/>
    <w:rsid w:val="00F77841"/>
    <w:rsid w:val="00F82876"/>
    <w:rsid w:val="00F8480B"/>
    <w:rsid w:val="00F91634"/>
    <w:rsid w:val="00F939BD"/>
    <w:rsid w:val="00F948E7"/>
    <w:rsid w:val="00F9588D"/>
    <w:rsid w:val="00F97916"/>
    <w:rsid w:val="00FA18A0"/>
    <w:rsid w:val="00FA3208"/>
    <w:rsid w:val="00FA6DC5"/>
    <w:rsid w:val="00FB0550"/>
    <w:rsid w:val="00FB0B25"/>
    <w:rsid w:val="00FB1B73"/>
    <w:rsid w:val="00FB45E8"/>
    <w:rsid w:val="00FB46B3"/>
    <w:rsid w:val="00FB565E"/>
    <w:rsid w:val="00FB6541"/>
    <w:rsid w:val="00FC0B0B"/>
    <w:rsid w:val="00FC16B3"/>
    <w:rsid w:val="00FC1C90"/>
    <w:rsid w:val="00FC4CA2"/>
    <w:rsid w:val="00FC5EF1"/>
    <w:rsid w:val="00FD19A9"/>
    <w:rsid w:val="00FD1CE3"/>
    <w:rsid w:val="00FD25C5"/>
    <w:rsid w:val="00FD3B19"/>
    <w:rsid w:val="00FD575B"/>
    <w:rsid w:val="00FE5729"/>
    <w:rsid w:val="00FF0EAD"/>
    <w:rsid w:val="00FF2CF3"/>
    <w:rsid w:val="00FF398B"/>
    <w:rsid w:val="00FF3DC9"/>
    <w:rsid w:val="00FF68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99"/>
    <w:lsdException w:name="footer"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uiPriority="99"/>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755C"/>
    <w:pPr>
      <w:spacing w:after="240"/>
      <w:jc w:val="both"/>
    </w:pPr>
    <w:rPr>
      <w:sz w:val="24"/>
      <w:lang w:eastAsia="en-US"/>
    </w:rPr>
  </w:style>
  <w:style w:type="paragraph" w:styleId="Heading1">
    <w:name w:val="heading 1"/>
    <w:basedOn w:val="Normal"/>
    <w:next w:val="Normal"/>
    <w:qFormat/>
    <w:rsid w:val="003536A9"/>
    <w:pPr>
      <w:keepNext/>
      <w:spacing w:before="360" w:line="280" w:lineRule="exact"/>
      <w:outlineLvl w:val="0"/>
    </w:pPr>
    <w:rPr>
      <w:b/>
      <w:caps/>
      <w:kern w:val="28"/>
      <w:sz w:val="28"/>
    </w:rPr>
  </w:style>
  <w:style w:type="paragraph" w:styleId="Heading2">
    <w:name w:val="heading 2"/>
    <w:basedOn w:val="Normal"/>
    <w:next w:val="Normal"/>
    <w:qFormat/>
    <w:rsid w:val="003536A9"/>
    <w:pPr>
      <w:keepNext/>
      <w:spacing w:before="240" w:after="120" w:line="280" w:lineRule="exact"/>
      <w:outlineLvl w:val="1"/>
    </w:pPr>
    <w:rPr>
      <w:b/>
    </w:rPr>
  </w:style>
  <w:style w:type="paragraph" w:styleId="Heading3">
    <w:name w:val="heading 3"/>
    <w:basedOn w:val="Normal"/>
    <w:next w:val="Normal"/>
    <w:qFormat/>
    <w:rsid w:val="003536A9"/>
    <w:pPr>
      <w:keepNext/>
      <w:spacing w:before="120" w:after="120"/>
      <w:outlineLvl w:val="2"/>
    </w:pPr>
    <w:rPr>
      <w:b/>
      <w:i/>
      <w:iCs/>
    </w:rPr>
  </w:style>
  <w:style w:type="paragraph" w:styleId="Heading4">
    <w:name w:val="heading 4"/>
    <w:basedOn w:val="Normal"/>
    <w:next w:val="Normal"/>
    <w:qFormat/>
    <w:rsid w:val="003536A9"/>
    <w:pPr>
      <w:keepNext/>
      <w:outlineLvl w:val="3"/>
    </w:pPr>
    <w:rPr>
      <w:i/>
      <w:iCs/>
    </w:rPr>
  </w:style>
  <w:style w:type="paragraph" w:styleId="Heading5">
    <w:name w:val="heading 5"/>
    <w:basedOn w:val="Normal"/>
    <w:next w:val="Normal"/>
    <w:qFormat/>
    <w:rsid w:val="00662BB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basedOn w:val="Normal"/>
    <w:next w:val="Normal"/>
    <w:semiHidden/>
    <w:rsid w:val="003536A9"/>
    <w:pPr>
      <w:spacing w:before="240" w:after="360"/>
    </w:pPr>
    <w:rPr>
      <w:color w:val="000000"/>
    </w:rPr>
  </w:style>
  <w:style w:type="paragraph" w:customStyle="1" w:styleId="FigureFootnote">
    <w:name w:val="Figure Footnote"/>
    <w:basedOn w:val="Normal"/>
    <w:next w:val="Normal"/>
    <w:semiHidden/>
    <w:rsid w:val="003536A9"/>
    <w:pPr>
      <w:spacing w:before="240" w:after="360"/>
    </w:pPr>
    <w:rPr>
      <w:color w:val="000000"/>
    </w:rPr>
  </w:style>
  <w:style w:type="paragraph" w:customStyle="1" w:styleId="FigureTitle">
    <w:name w:val="Figure Title"/>
    <w:basedOn w:val="Normal"/>
    <w:next w:val="Figure"/>
    <w:semiHidden/>
    <w:rsid w:val="003536A9"/>
    <w:pPr>
      <w:keepNext/>
      <w:spacing w:before="360"/>
    </w:pPr>
    <w:rPr>
      <w:b/>
      <w:color w:val="000000"/>
    </w:rPr>
  </w:style>
  <w:style w:type="character" w:styleId="FootnoteReference">
    <w:name w:val="footnote reference"/>
    <w:semiHidden/>
    <w:rsid w:val="003536A9"/>
    <w:rPr>
      <w:sz w:val="24"/>
      <w:vertAlign w:val="superscript"/>
    </w:rPr>
  </w:style>
  <w:style w:type="paragraph" w:styleId="Header">
    <w:name w:val="header"/>
    <w:basedOn w:val="Normal"/>
    <w:semiHidden/>
    <w:rsid w:val="003536A9"/>
    <w:pPr>
      <w:tabs>
        <w:tab w:val="center" w:pos="4153"/>
        <w:tab w:val="right" w:pos="8306"/>
      </w:tabs>
    </w:pPr>
  </w:style>
  <w:style w:type="paragraph" w:styleId="Footer">
    <w:name w:val="footer"/>
    <w:basedOn w:val="Normal"/>
    <w:link w:val="FooterChar"/>
    <w:uiPriority w:val="99"/>
    <w:rsid w:val="003536A9"/>
    <w:pPr>
      <w:pBdr>
        <w:top w:val="single" w:sz="6" w:space="1" w:color="auto"/>
      </w:pBdr>
      <w:tabs>
        <w:tab w:val="left" w:pos="9923"/>
      </w:tabs>
      <w:spacing w:after="0" w:line="280" w:lineRule="exact"/>
      <w:jc w:val="left"/>
    </w:pPr>
    <w:rPr>
      <w:sz w:val="20"/>
    </w:rPr>
  </w:style>
  <w:style w:type="table" w:styleId="TableGrid">
    <w:name w:val="Table Grid"/>
    <w:basedOn w:val="TableNormal"/>
    <w:uiPriority w:val="59"/>
    <w:rsid w:val="00DB5D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Figure"/>
    <w:semiHidden/>
    <w:rsid w:val="003536A9"/>
    <w:pPr>
      <w:spacing w:before="0" w:after="0"/>
      <w:jc w:val="left"/>
    </w:pPr>
    <w:rPr>
      <w:snapToGrid w:val="0"/>
      <w:szCs w:val="24"/>
    </w:rPr>
  </w:style>
  <w:style w:type="paragraph" w:customStyle="1" w:styleId="TableHeading">
    <w:name w:val="Table Heading"/>
    <w:basedOn w:val="TableText"/>
    <w:semiHidden/>
    <w:rsid w:val="003536A9"/>
    <w:pPr>
      <w:keepNext/>
    </w:pPr>
    <w:rPr>
      <w:b/>
      <w:bCs/>
    </w:rPr>
  </w:style>
  <w:style w:type="character" w:styleId="Hyperlink">
    <w:name w:val="Hyperlink"/>
    <w:semiHidden/>
    <w:rsid w:val="003536A9"/>
    <w:rPr>
      <w:color w:val="auto"/>
      <w:u w:val="none"/>
    </w:rPr>
  </w:style>
  <w:style w:type="paragraph" w:styleId="ListNumber">
    <w:name w:val="List Number"/>
    <w:basedOn w:val="Normal"/>
    <w:semiHidden/>
    <w:rsid w:val="003536A9"/>
    <w:pPr>
      <w:numPr>
        <w:numId w:val="5"/>
      </w:numPr>
    </w:pPr>
  </w:style>
  <w:style w:type="paragraph" w:customStyle="1" w:styleId="TableTitle">
    <w:name w:val="Table Title"/>
    <w:basedOn w:val="FigureTitle"/>
    <w:next w:val="TableText"/>
    <w:semiHidden/>
    <w:rsid w:val="003536A9"/>
    <w:pPr>
      <w:spacing w:after="0"/>
      <w:jc w:val="left"/>
    </w:pPr>
    <w:rPr>
      <w:szCs w:val="24"/>
    </w:rPr>
  </w:style>
  <w:style w:type="paragraph" w:styleId="ListBullet">
    <w:name w:val="List Bullet"/>
    <w:basedOn w:val="Normal"/>
    <w:semiHidden/>
    <w:rsid w:val="003536A9"/>
    <w:pPr>
      <w:numPr>
        <w:numId w:val="3"/>
      </w:numPr>
    </w:pPr>
  </w:style>
  <w:style w:type="paragraph" w:styleId="Subtitle">
    <w:name w:val="Subtitle"/>
    <w:basedOn w:val="Normal"/>
    <w:link w:val="SubtitleChar"/>
    <w:qFormat/>
    <w:rsid w:val="003536A9"/>
    <w:pPr>
      <w:spacing w:after="60"/>
      <w:outlineLvl w:val="1"/>
    </w:pPr>
    <w:rPr>
      <w:b/>
      <w:sz w:val="32"/>
    </w:rPr>
  </w:style>
  <w:style w:type="paragraph" w:customStyle="1" w:styleId="TableFootnote">
    <w:name w:val="Table Footnote"/>
    <w:basedOn w:val="FigureFootnote"/>
    <w:next w:val="Normal"/>
    <w:semiHidden/>
    <w:rsid w:val="003536A9"/>
    <w:pPr>
      <w:spacing w:before="0" w:after="0"/>
      <w:jc w:val="left"/>
    </w:pPr>
    <w:rPr>
      <w:sz w:val="20"/>
      <w:szCs w:val="24"/>
    </w:rPr>
  </w:style>
  <w:style w:type="paragraph" w:customStyle="1" w:styleId="TableSpace">
    <w:name w:val="Table Space"/>
    <w:basedOn w:val="Figure"/>
    <w:next w:val="Normal"/>
    <w:semiHidden/>
    <w:rsid w:val="003536A9"/>
    <w:pPr>
      <w:spacing w:before="0" w:after="480"/>
      <w:jc w:val="left"/>
    </w:pPr>
    <w:rPr>
      <w:szCs w:val="24"/>
    </w:rPr>
  </w:style>
  <w:style w:type="paragraph" w:customStyle="1" w:styleId="TableTitleCont">
    <w:name w:val="Table Title Cont"/>
    <w:basedOn w:val="TableTitle"/>
    <w:next w:val="TableText"/>
    <w:semiHidden/>
    <w:rsid w:val="003536A9"/>
    <w:pPr>
      <w:spacing w:before="0"/>
    </w:pPr>
    <w:rPr>
      <w:b w:val="0"/>
    </w:rPr>
  </w:style>
  <w:style w:type="paragraph" w:styleId="Title">
    <w:name w:val="Title"/>
    <w:basedOn w:val="Normal"/>
    <w:qFormat/>
    <w:rsid w:val="003536A9"/>
    <w:pPr>
      <w:spacing w:before="240" w:after="60"/>
      <w:outlineLvl w:val="0"/>
    </w:pPr>
    <w:rPr>
      <w:b/>
      <w:kern w:val="28"/>
      <w:sz w:val="40"/>
    </w:rPr>
  </w:style>
  <w:style w:type="paragraph" w:styleId="BalloonText">
    <w:name w:val="Balloon Text"/>
    <w:basedOn w:val="Normal"/>
    <w:semiHidden/>
    <w:rsid w:val="00FD575B"/>
    <w:rPr>
      <w:rFonts w:ascii="Tahoma" w:hAnsi="Tahoma" w:cs="Tahoma"/>
      <w:sz w:val="16"/>
      <w:szCs w:val="16"/>
    </w:rPr>
  </w:style>
  <w:style w:type="character" w:styleId="CommentReference">
    <w:name w:val="annotation reference"/>
    <w:uiPriority w:val="99"/>
    <w:semiHidden/>
    <w:rsid w:val="00C57C07"/>
    <w:rPr>
      <w:sz w:val="16"/>
      <w:szCs w:val="16"/>
    </w:rPr>
  </w:style>
  <w:style w:type="paragraph" w:styleId="CommentText">
    <w:name w:val="annotation text"/>
    <w:basedOn w:val="Normal"/>
    <w:link w:val="CommentTextChar"/>
    <w:uiPriority w:val="99"/>
    <w:semiHidden/>
    <w:rsid w:val="00C57C07"/>
    <w:rPr>
      <w:sz w:val="20"/>
    </w:rPr>
  </w:style>
  <w:style w:type="paragraph" w:styleId="CommentSubject">
    <w:name w:val="annotation subject"/>
    <w:basedOn w:val="CommentText"/>
    <w:next w:val="CommentText"/>
    <w:semiHidden/>
    <w:rsid w:val="00C57C07"/>
    <w:rPr>
      <w:b/>
      <w:bCs/>
    </w:rPr>
  </w:style>
  <w:style w:type="character" w:styleId="PageNumber">
    <w:name w:val="page number"/>
    <w:basedOn w:val="DefaultParagraphFont"/>
    <w:semiHidden/>
    <w:rsid w:val="001B2FD7"/>
  </w:style>
  <w:style w:type="paragraph" w:customStyle="1" w:styleId="PITITLE">
    <w:name w:val="PI TITLE"/>
    <w:basedOn w:val="Title"/>
    <w:qFormat/>
    <w:rsid w:val="00CF1E2F"/>
  </w:style>
  <w:style w:type="paragraph" w:customStyle="1" w:styleId="PISubtitle">
    <w:name w:val="PI Subtitle"/>
    <w:basedOn w:val="Subtitle"/>
    <w:uiPriority w:val="1"/>
    <w:qFormat/>
    <w:rsid w:val="00CF1E2F"/>
  </w:style>
  <w:style w:type="paragraph" w:customStyle="1" w:styleId="PIHeading1">
    <w:name w:val="PI Heading 1"/>
    <w:basedOn w:val="Heading1"/>
    <w:uiPriority w:val="2"/>
    <w:qFormat/>
    <w:rsid w:val="00CF1E2F"/>
  </w:style>
  <w:style w:type="paragraph" w:customStyle="1" w:styleId="PINormal">
    <w:name w:val="PI Normal"/>
    <w:basedOn w:val="Normal"/>
    <w:uiPriority w:val="6"/>
    <w:qFormat/>
    <w:rsid w:val="00CF1E2F"/>
  </w:style>
  <w:style w:type="paragraph" w:customStyle="1" w:styleId="PIFigure">
    <w:name w:val="PI Figure"/>
    <w:basedOn w:val="Figure"/>
    <w:uiPriority w:val="7"/>
    <w:qFormat/>
    <w:rsid w:val="00CF1E2F"/>
  </w:style>
  <w:style w:type="paragraph" w:customStyle="1" w:styleId="PIHeading2">
    <w:name w:val="PI Heading 2"/>
    <w:basedOn w:val="Heading2"/>
    <w:uiPriority w:val="3"/>
    <w:qFormat/>
    <w:rsid w:val="005C6BDD"/>
    <w:pPr>
      <w:spacing w:after="240" w:line="240" w:lineRule="atLeast"/>
    </w:pPr>
  </w:style>
  <w:style w:type="paragraph" w:customStyle="1" w:styleId="PIHeading3">
    <w:name w:val="PI Heading 3"/>
    <w:basedOn w:val="Heading3"/>
    <w:uiPriority w:val="4"/>
    <w:qFormat/>
    <w:rsid w:val="00BB1F40"/>
  </w:style>
  <w:style w:type="paragraph" w:customStyle="1" w:styleId="PIHeading4">
    <w:name w:val="PI Heading 4"/>
    <w:basedOn w:val="Heading4"/>
    <w:uiPriority w:val="5"/>
    <w:qFormat/>
    <w:rsid w:val="00BB1F40"/>
    <w:pPr>
      <w:spacing w:before="120" w:after="120"/>
    </w:pPr>
  </w:style>
  <w:style w:type="paragraph" w:customStyle="1" w:styleId="PIFooter">
    <w:name w:val="PI Footer"/>
    <w:basedOn w:val="Footer"/>
    <w:uiPriority w:val="7"/>
    <w:qFormat/>
    <w:rsid w:val="00056EF5"/>
    <w:pPr>
      <w:tabs>
        <w:tab w:val="clear" w:pos="9923"/>
        <w:tab w:val="right" w:pos="8800"/>
      </w:tabs>
    </w:pPr>
  </w:style>
  <w:style w:type="paragraph" w:customStyle="1" w:styleId="PITableTitle">
    <w:name w:val="PI Table Title"/>
    <w:basedOn w:val="TableTitle"/>
    <w:uiPriority w:val="7"/>
    <w:qFormat/>
    <w:rsid w:val="00996A23"/>
    <w:pPr>
      <w:keepLines/>
      <w:spacing w:before="120" w:after="120"/>
    </w:pPr>
    <w:rPr>
      <w:sz w:val="22"/>
    </w:rPr>
  </w:style>
  <w:style w:type="paragraph" w:customStyle="1" w:styleId="PITableText">
    <w:name w:val="PI Table Text"/>
    <w:basedOn w:val="TableText"/>
    <w:uiPriority w:val="7"/>
    <w:qFormat/>
    <w:rsid w:val="00996A23"/>
    <w:pPr>
      <w:spacing w:after="240"/>
    </w:pPr>
  </w:style>
  <w:style w:type="paragraph" w:customStyle="1" w:styleId="PITableSpace">
    <w:name w:val="PI Table Space"/>
    <w:basedOn w:val="TableSpace"/>
    <w:uiPriority w:val="7"/>
    <w:qFormat/>
    <w:rsid w:val="00CC1938"/>
    <w:pPr>
      <w:spacing w:after="120"/>
    </w:pPr>
  </w:style>
  <w:style w:type="paragraph" w:customStyle="1" w:styleId="PITableFootnote">
    <w:name w:val="PI Table Footnote"/>
    <w:basedOn w:val="TableFootnote"/>
    <w:uiPriority w:val="7"/>
    <w:qFormat/>
    <w:rsid w:val="00CC1938"/>
    <w:pPr>
      <w:spacing w:after="240"/>
    </w:pPr>
  </w:style>
  <w:style w:type="paragraph" w:customStyle="1" w:styleId="HeaderTitle">
    <w:name w:val="Header Title"/>
    <w:basedOn w:val="Normal"/>
    <w:rsid w:val="00F647C5"/>
    <w:pPr>
      <w:spacing w:after="120"/>
      <w:jc w:val="center"/>
    </w:pPr>
    <w:rPr>
      <w:rFonts w:ascii="Arial" w:hAnsi="Arial"/>
      <w:b/>
      <w:szCs w:val="24"/>
      <w:lang w:val="en-US"/>
    </w:rPr>
  </w:style>
  <w:style w:type="paragraph" w:customStyle="1" w:styleId="HeaderSubtitle">
    <w:name w:val="Header Subtitle"/>
    <w:basedOn w:val="Normal"/>
    <w:rsid w:val="00F647C5"/>
    <w:pPr>
      <w:spacing w:before="120" w:after="120"/>
    </w:pPr>
    <w:rPr>
      <w:rFonts w:ascii="Arial" w:hAnsi="Arial"/>
      <w:b/>
      <w:sz w:val="18"/>
      <w:lang w:val="en-US"/>
    </w:rPr>
  </w:style>
  <w:style w:type="paragraph" w:customStyle="1" w:styleId="HeaderText">
    <w:name w:val="Header Text"/>
    <w:basedOn w:val="HeaderSubtitle"/>
    <w:rsid w:val="00F647C5"/>
    <w:rPr>
      <w:b w:val="0"/>
    </w:rPr>
  </w:style>
  <w:style w:type="character" w:customStyle="1" w:styleId="SubtitleChar">
    <w:name w:val="Subtitle Char"/>
    <w:link w:val="Subtitle"/>
    <w:rsid w:val="00FB0B25"/>
    <w:rPr>
      <w:b/>
      <w:sz w:val="32"/>
      <w:lang w:eastAsia="en-US"/>
    </w:rPr>
  </w:style>
  <w:style w:type="character" w:customStyle="1" w:styleId="PITradename">
    <w:name w:val="PI Tradename"/>
    <w:basedOn w:val="SubtitleChar"/>
    <w:rsid w:val="00FB0B25"/>
    <w:rPr>
      <w:b/>
      <w:sz w:val="32"/>
      <w:lang w:eastAsia="en-US"/>
    </w:rPr>
  </w:style>
  <w:style w:type="character" w:customStyle="1" w:styleId="PIRegisteredTrademarkSign">
    <w:name w:val="PI Registered Trademark Sign"/>
    <w:rsid w:val="00FB0B25"/>
    <w:rPr>
      <w:b/>
      <w:sz w:val="32"/>
      <w:vertAlign w:val="superscript"/>
      <w:lang w:eastAsia="en-US"/>
    </w:rPr>
  </w:style>
  <w:style w:type="paragraph" w:customStyle="1" w:styleId="Paragraph">
    <w:name w:val="Paragraph"/>
    <w:link w:val="ParagraphChar"/>
    <w:rsid w:val="009D2F05"/>
    <w:pPr>
      <w:spacing w:after="240"/>
    </w:pPr>
    <w:rPr>
      <w:sz w:val="24"/>
      <w:szCs w:val="24"/>
      <w:lang w:val="en-US" w:eastAsia="en-US"/>
    </w:rPr>
  </w:style>
  <w:style w:type="paragraph" w:customStyle="1" w:styleId="ListAlphaTable">
    <w:name w:val="List Alpha Table"/>
    <w:rsid w:val="009D2F05"/>
    <w:pPr>
      <w:tabs>
        <w:tab w:val="num" w:pos="720"/>
      </w:tabs>
      <w:ind w:left="720" w:hanging="720"/>
    </w:pPr>
    <w:rPr>
      <w:lang w:val="en-US" w:eastAsia="en-US"/>
    </w:rPr>
  </w:style>
  <w:style w:type="paragraph" w:styleId="ListBullet2">
    <w:name w:val="List Bullet 2"/>
    <w:rsid w:val="009D2F05"/>
    <w:pPr>
      <w:numPr>
        <w:numId w:val="6"/>
      </w:numPr>
      <w:tabs>
        <w:tab w:val="clear" w:pos="360"/>
        <w:tab w:val="num" w:pos="720"/>
      </w:tabs>
      <w:spacing w:after="240"/>
      <w:ind w:left="720"/>
    </w:pPr>
    <w:rPr>
      <w:sz w:val="24"/>
      <w:szCs w:val="24"/>
      <w:lang w:val="en-US" w:eastAsia="en-US"/>
    </w:rPr>
  </w:style>
  <w:style w:type="paragraph" w:customStyle="1" w:styleId="EquationFootnote">
    <w:name w:val="Equation Footnote"/>
    <w:next w:val="Normal"/>
    <w:link w:val="EquationFootnoteChar"/>
    <w:rsid w:val="00D33B35"/>
    <w:rPr>
      <w:sz w:val="24"/>
      <w:lang w:val="en-US" w:eastAsia="en-US"/>
    </w:rPr>
  </w:style>
  <w:style w:type="character" w:styleId="EndnoteReference">
    <w:name w:val="endnote reference"/>
    <w:semiHidden/>
    <w:rsid w:val="00D33B35"/>
    <w:rPr>
      <w:rFonts w:ascii="Times New Roman" w:hAnsi="Times New Roman" w:cs="Arial"/>
      <w:vertAlign w:val="superscript"/>
    </w:rPr>
  </w:style>
  <w:style w:type="character" w:customStyle="1" w:styleId="CommentTextChar">
    <w:name w:val="Comment Text Char"/>
    <w:link w:val="CommentText"/>
    <w:uiPriority w:val="99"/>
    <w:semiHidden/>
    <w:rsid w:val="00D33B35"/>
    <w:rPr>
      <w:lang w:eastAsia="en-US"/>
    </w:rPr>
  </w:style>
  <w:style w:type="character" w:customStyle="1" w:styleId="EquationFootnoteChar">
    <w:name w:val="Equation Footnote Char"/>
    <w:link w:val="EquationFootnote"/>
    <w:rsid w:val="00D33B35"/>
    <w:rPr>
      <w:sz w:val="24"/>
      <w:lang w:val="en-US" w:eastAsia="en-US" w:bidi="ar-SA"/>
    </w:rPr>
  </w:style>
  <w:style w:type="character" w:customStyle="1" w:styleId="FooterChar">
    <w:name w:val="Footer Char"/>
    <w:link w:val="Footer"/>
    <w:uiPriority w:val="99"/>
    <w:rsid w:val="00444E80"/>
    <w:rPr>
      <w:lang w:eastAsia="en-US"/>
    </w:rPr>
  </w:style>
  <w:style w:type="paragraph" w:styleId="DocumentMap">
    <w:name w:val="Document Map"/>
    <w:basedOn w:val="Normal"/>
    <w:semiHidden/>
    <w:rsid w:val="00DA1BBB"/>
    <w:pPr>
      <w:shd w:val="clear" w:color="auto" w:fill="000080"/>
    </w:pPr>
    <w:rPr>
      <w:rFonts w:ascii="Tahoma" w:hAnsi="Tahoma" w:cs="Tahoma"/>
      <w:sz w:val="20"/>
    </w:rPr>
  </w:style>
  <w:style w:type="paragraph" w:styleId="Revision">
    <w:name w:val="Revision"/>
    <w:hidden/>
    <w:uiPriority w:val="99"/>
    <w:semiHidden/>
    <w:rsid w:val="00C55023"/>
    <w:rPr>
      <w:sz w:val="24"/>
      <w:lang w:eastAsia="en-US"/>
    </w:rPr>
  </w:style>
  <w:style w:type="paragraph" w:customStyle="1" w:styleId="TableTextColHead">
    <w:name w:val="TableText Col Head"/>
    <w:rsid w:val="001F13D8"/>
    <w:pPr>
      <w:jc w:val="center"/>
    </w:pPr>
    <w:rPr>
      <w:b/>
      <w:lang w:val="en-US" w:eastAsia="en-US"/>
    </w:rPr>
  </w:style>
  <w:style w:type="character" w:customStyle="1" w:styleId="TableText9">
    <w:name w:val="TableText 9"/>
    <w:rsid w:val="001F13D8"/>
    <w:rPr>
      <w:rFonts w:ascii="Times New Roman" w:hAnsi="Times New Roman"/>
      <w:sz w:val="18"/>
    </w:rPr>
  </w:style>
  <w:style w:type="character" w:customStyle="1" w:styleId="ParagraphChar">
    <w:name w:val="Paragraph Char"/>
    <w:link w:val="Paragraph"/>
    <w:rsid w:val="0096171D"/>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0177">
      <w:bodyDiv w:val="1"/>
      <w:marLeft w:val="0"/>
      <w:marRight w:val="0"/>
      <w:marTop w:val="0"/>
      <w:marBottom w:val="0"/>
      <w:divBdr>
        <w:top w:val="none" w:sz="0" w:space="0" w:color="auto"/>
        <w:left w:val="none" w:sz="0" w:space="0" w:color="auto"/>
        <w:bottom w:val="none" w:sz="0" w:space="0" w:color="auto"/>
        <w:right w:val="none" w:sz="0" w:space="0" w:color="auto"/>
      </w:divBdr>
    </w:div>
    <w:div w:id="97800029">
      <w:bodyDiv w:val="1"/>
      <w:marLeft w:val="0"/>
      <w:marRight w:val="0"/>
      <w:marTop w:val="0"/>
      <w:marBottom w:val="0"/>
      <w:divBdr>
        <w:top w:val="none" w:sz="0" w:space="0" w:color="auto"/>
        <w:left w:val="none" w:sz="0" w:space="0" w:color="auto"/>
        <w:bottom w:val="none" w:sz="0" w:space="0" w:color="auto"/>
        <w:right w:val="none" w:sz="0" w:space="0" w:color="auto"/>
      </w:divBdr>
    </w:div>
    <w:div w:id="237322469">
      <w:bodyDiv w:val="1"/>
      <w:marLeft w:val="0"/>
      <w:marRight w:val="0"/>
      <w:marTop w:val="0"/>
      <w:marBottom w:val="0"/>
      <w:divBdr>
        <w:top w:val="none" w:sz="0" w:space="0" w:color="auto"/>
        <w:left w:val="none" w:sz="0" w:space="0" w:color="auto"/>
        <w:bottom w:val="none" w:sz="0" w:space="0" w:color="auto"/>
        <w:right w:val="none" w:sz="0" w:space="0" w:color="auto"/>
      </w:divBdr>
    </w:div>
    <w:div w:id="403451694">
      <w:bodyDiv w:val="1"/>
      <w:marLeft w:val="0"/>
      <w:marRight w:val="0"/>
      <w:marTop w:val="0"/>
      <w:marBottom w:val="0"/>
      <w:divBdr>
        <w:top w:val="none" w:sz="0" w:space="0" w:color="auto"/>
        <w:left w:val="none" w:sz="0" w:space="0" w:color="auto"/>
        <w:bottom w:val="none" w:sz="0" w:space="0" w:color="auto"/>
        <w:right w:val="none" w:sz="0" w:space="0" w:color="auto"/>
      </w:divBdr>
    </w:div>
    <w:div w:id="537789192">
      <w:bodyDiv w:val="1"/>
      <w:marLeft w:val="0"/>
      <w:marRight w:val="0"/>
      <w:marTop w:val="0"/>
      <w:marBottom w:val="0"/>
      <w:divBdr>
        <w:top w:val="none" w:sz="0" w:space="0" w:color="auto"/>
        <w:left w:val="none" w:sz="0" w:space="0" w:color="auto"/>
        <w:bottom w:val="none" w:sz="0" w:space="0" w:color="auto"/>
        <w:right w:val="none" w:sz="0" w:space="0" w:color="auto"/>
      </w:divBdr>
    </w:div>
    <w:div w:id="639304635">
      <w:bodyDiv w:val="1"/>
      <w:marLeft w:val="0"/>
      <w:marRight w:val="0"/>
      <w:marTop w:val="0"/>
      <w:marBottom w:val="0"/>
      <w:divBdr>
        <w:top w:val="none" w:sz="0" w:space="0" w:color="auto"/>
        <w:left w:val="none" w:sz="0" w:space="0" w:color="auto"/>
        <w:bottom w:val="none" w:sz="0" w:space="0" w:color="auto"/>
        <w:right w:val="none" w:sz="0" w:space="0" w:color="auto"/>
      </w:divBdr>
    </w:div>
    <w:div w:id="681971732">
      <w:bodyDiv w:val="1"/>
      <w:marLeft w:val="0"/>
      <w:marRight w:val="0"/>
      <w:marTop w:val="0"/>
      <w:marBottom w:val="0"/>
      <w:divBdr>
        <w:top w:val="none" w:sz="0" w:space="0" w:color="auto"/>
        <w:left w:val="none" w:sz="0" w:space="0" w:color="auto"/>
        <w:bottom w:val="none" w:sz="0" w:space="0" w:color="auto"/>
        <w:right w:val="none" w:sz="0" w:space="0" w:color="auto"/>
      </w:divBdr>
    </w:div>
    <w:div w:id="683823565">
      <w:bodyDiv w:val="1"/>
      <w:marLeft w:val="0"/>
      <w:marRight w:val="0"/>
      <w:marTop w:val="0"/>
      <w:marBottom w:val="0"/>
      <w:divBdr>
        <w:top w:val="none" w:sz="0" w:space="0" w:color="auto"/>
        <w:left w:val="none" w:sz="0" w:space="0" w:color="auto"/>
        <w:bottom w:val="none" w:sz="0" w:space="0" w:color="auto"/>
        <w:right w:val="none" w:sz="0" w:space="0" w:color="auto"/>
      </w:divBdr>
    </w:div>
    <w:div w:id="693504611">
      <w:bodyDiv w:val="1"/>
      <w:marLeft w:val="0"/>
      <w:marRight w:val="0"/>
      <w:marTop w:val="0"/>
      <w:marBottom w:val="0"/>
      <w:divBdr>
        <w:top w:val="none" w:sz="0" w:space="0" w:color="auto"/>
        <w:left w:val="none" w:sz="0" w:space="0" w:color="auto"/>
        <w:bottom w:val="none" w:sz="0" w:space="0" w:color="auto"/>
        <w:right w:val="none" w:sz="0" w:space="0" w:color="auto"/>
      </w:divBdr>
    </w:div>
    <w:div w:id="835153601">
      <w:bodyDiv w:val="1"/>
      <w:marLeft w:val="0"/>
      <w:marRight w:val="0"/>
      <w:marTop w:val="0"/>
      <w:marBottom w:val="0"/>
      <w:divBdr>
        <w:top w:val="none" w:sz="0" w:space="0" w:color="auto"/>
        <w:left w:val="none" w:sz="0" w:space="0" w:color="auto"/>
        <w:bottom w:val="none" w:sz="0" w:space="0" w:color="auto"/>
        <w:right w:val="none" w:sz="0" w:space="0" w:color="auto"/>
      </w:divBdr>
    </w:div>
    <w:div w:id="850878128">
      <w:bodyDiv w:val="1"/>
      <w:marLeft w:val="0"/>
      <w:marRight w:val="0"/>
      <w:marTop w:val="0"/>
      <w:marBottom w:val="0"/>
      <w:divBdr>
        <w:top w:val="none" w:sz="0" w:space="0" w:color="auto"/>
        <w:left w:val="none" w:sz="0" w:space="0" w:color="auto"/>
        <w:bottom w:val="none" w:sz="0" w:space="0" w:color="auto"/>
        <w:right w:val="none" w:sz="0" w:space="0" w:color="auto"/>
      </w:divBdr>
    </w:div>
    <w:div w:id="919757756">
      <w:bodyDiv w:val="1"/>
      <w:marLeft w:val="0"/>
      <w:marRight w:val="0"/>
      <w:marTop w:val="0"/>
      <w:marBottom w:val="0"/>
      <w:divBdr>
        <w:top w:val="none" w:sz="0" w:space="0" w:color="auto"/>
        <w:left w:val="none" w:sz="0" w:space="0" w:color="auto"/>
        <w:bottom w:val="none" w:sz="0" w:space="0" w:color="auto"/>
        <w:right w:val="none" w:sz="0" w:space="0" w:color="auto"/>
      </w:divBdr>
    </w:div>
    <w:div w:id="920020239">
      <w:bodyDiv w:val="1"/>
      <w:marLeft w:val="0"/>
      <w:marRight w:val="0"/>
      <w:marTop w:val="0"/>
      <w:marBottom w:val="0"/>
      <w:divBdr>
        <w:top w:val="none" w:sz="0" w:space="0" w:color="auto"/>
        <w:left w:val="none" w:sz="0" w:space="0" w:color="auto"/>
        <w:bottom w:val="none" w:sz="0" w:space="0" w:color="auto"/>
        <w:right w:val="none" w:sz="0" w:space="0" w:color="auto"/>
      </w:divBdr>
    </w:div>
    <w:div w:id="1049651502">
      <w:bodyDiv w:val="1"/>
      <w:marLeft w:val="0"/>
      <w:marRight w:val="0"/>
      <w:marTop w:val="0"/>
      <w:marBottom w:val="0"/>
      <w:divBdr>
        <w:top w:val="none" w:sz="0" w:space="0" w:color="auto"/>
        <w:left w:val="none" w:sz="0" w:space="0" w:color="auto"/>
        <w:bottom w:val="none" w:sz="0" w:space="0" w:color="auto"/>
        <w:right w:val="none" w:sz="0" w:space="0" w:color="auto"/>
      </w:divBdr>
    </w:div>
    <w:div w:id="1124233845">
      <w:bodyDiv w:val="1"/>
      <w:marLeft w:val="0"/>
      <w:marRight w:val="0"/>
      <w:marTop w:val="0"/>
      <w:marBottom w:val="0"/>
      <w:divBdr>
        <w:top w:val="none" w:sz="0" w:space="0" w:color="auto"/>
        <w:left w:val="none" w:sz="0" w:space="0" w:color="auto"/>
        <w:bottom w:val="none" w:sz="0" w:space="0" w:color="auto"/>
        <w:right w:val="none" w:sz="0" w:space="0" w:color="auto"/>
      </w:divBdr>
    </w:div>
    <w:div w:id="1382902040">
      <w:bodyDiv w:val="1"/>
      <w:marLeft w:val="0"/>
      <w:marRight w:val="0"/>
      <w:marTop w:val="0"/>
      <w:marBottom w:val="0"/>
      <w:divBdr>
        <w:top w:val="none" w:sz="0" w:space="0" w:color="auto"/>
        <w:left w:val="none" w:sz="0" w:space="0" w:color="auto"/>
        <w:bottom w:val="none" w:sz="0" w:space="0" w:color="auto"/>
        <w:right w:val="none" w:sz="0" w:space="0" w:color="auto"/>
      </w:divBdr>
    </w:div>
    <w:div w:id="1473329921">
      <w:bodyDiv w:val="1"/>
      <w:marLeft w:val="0"/>
      <w:marRight w:val="0"/>
      <w:marTop w:val="0"/>
      <w:marBottom w:val="0"/>
      <w:divBdr>
        <w:top w:val="none" w:sz="0" w:space="0" w:color="auto"/>
        <w:left w:val="none" w:sz="0" w:space="0" w:color="auto"/>
        <w:bottom w:val="none" w:sz="0" w:space="0" w:color="auto"/>
        <w:right w:val="none" w:sz="0" w:space="0" w:color="auto"/>
      </w:divBdr>
    </w:div>
    <w:div w:id="1519583604">
      <w:bodyDiv w:val="1"/>
      <w:marLeft w:val="0"/>
      <w:marRight w:val="0"/>
      <w:marTop w:val="0"/>
      <w:marBottom w:val="0"/>
      <w:divBdr>
        <w:top w:val="none" w:sz="0" w:space="0" w:color="auto"/>
        <w:left w:val="none" w:sz="0" w:space="0" w:color="auto"/>
        <w:bottom w:val="none" w:sz="0" w:space="0" w:color="auto"/>
        <w:right w:val="none" w:sz="0" w:space="0" w:color="auto"/>
      </w:divBdr>
    </w:div>
    <w:div w:id="1579945354">
      <w:bodyDiv w:val="1"/>
      <w:marLeft w:val="0"/>
      <w:marRight w:val="0"/>
      <w:marTop w:val="0"/>
      <w:marBottom w:val="0"/>
      <w:divBdr>
        <w:top w:val="none" w:sz="0" w:space="0" w:color="auto"/>
        <w:left w:val="none" w:sz="0" w:space="0" w:color="auto"/>
        <w:bottom w:val="none" w:sz="0" w:space="0" w:color="auto"/>
        <w:right w:val="none" w:sz="0" w:space="0" w:color="auto"/>
      </w:divBdr>
    </w:div>
    <w:div w:id="1621257157">
      <w:bodyDiv w:val="1"/>
      <w:marLeft w:val="0"/>
      <w:marRight w:val="0"/>
      <w:marTop w:val="0"/>
      <w:marBottom w:val="0"/>
      <w:divBdr>
        <w:top w:val="none" w:sz="0" w:space="0" w:color="auto"/>
        <w:left w:val="none" w:sz="0" w:space="0" w:color="auto"/>
        <w:bottom w:val="none" w:sz="0" w:space="0" w:color="auto"/>
        <w:right w:val="none" w:sz="0" w:space="0" w:color="auto"/>
      </w:divBdr>
    </w:div>
    <w:div w:id="1628779144">
      <w:bodyDiv w:val="1"/>
      <w:marLeft w:val="0"/>
      <w:marRight w:val="0"/>
      <w:marTop w:val="0"/>
      <w:marBottom w:val="0"/>
      <w:divBdr>
        <w:top w:val="none" w:sz="0" w:space="0" w:color="auto"/>
        <w:left w:val="none" w:sz="0" w:space="0" w:color="auto"/>
        <w:bottom w:val="none" w:sz="0" w:space="0" w:color="auto"/>
        <w:right w:val="none" w:sz="0" w:space="0" w:color="auto"/>
      </w:divBdr>
    </w:div>
    <w:div w:id="1741751613">
      <w:bodyDiv w:val="1"/>
      <w:marLeft w:val="0"/>
      <w:marRight w:val="0"/>
      <w:marTop w:val="0"/>
      <w:marBottom w:val="0"/>
      <w:divBdr>
        <w:top w:val="none" w:sz="0" w:space="0" w:color="auto"/>
        <w:left w:val="none" w:sz="0" w:space="0" w:color="auto"/>
        <w:bottom w:val="none" w:sz="0" w:space="0" w:color="auto"/>
        <w:right w:val="none" w:sz="0" w:space="0" w:color="auto"/>
      </w:divBdr>
    </w:div>
    <w:div w:id="1750301141">
      <w:bodyDiv w:val="1"/>
      <w:marLeft w:val="0"/>
      <w:marRight w:val="0"/>
      <w:marTop w:val="0"/>
      <w:marBottom w:val="0"/>
      <w:divBdr>
        <w:top w:val="none" w:sz="0" w:space="0" w:color="auto"/>
        <w:left w:val="none" w:sz="0" w:space="0" w:color="auto"/>
        <w:bottom w:val="none" w:sz="0" w:space="0" w:color="auto"/>
        <w:right w:val="none" w:sz="0" w:space="0" w:color="auto"/>
      </w:divBdr>
    </w:div>
    <w:div w:id="1801995549">
      <w:bodyDiv w:val="1"/>
      <w:marLeft w:val="0"/>
      <w:marRight w:val="0"/>
      <w:marTop w:val="0"/>
      <w:marBottom w:val="0"/>
      <w:divBdr>
        <w:top w:val="none" w:sz="0" w:space="0" w:color="auto"/>
        <w:left w:val="none" w:sz="0" w:space="0" w:color="auto"/>
        <w:bottom w:val="none" w:sz="0" w:space="0" w:color="auto"/>
        <w:right w:val="none" w:sz="0" w:space="0" w:color="auto"/>
      </w:divBdr>
    </w:div>
    <w:div w:id="1821799259">
      <w:bodyDiv w:val="1"/>
      <w:marLeft w:val="0"/>
      <w:marRight w:val="0"/>
      <w:marTop w:val="0"/>
      <w:marBottom w:val="0"/>
      <w:divBdr>
        <w:top w:val="none" w:sz="0" w:space="0" w:color="auto"/>
        <w:left w:val="none" w:sz="0" w:space="0" w:color="auto"/>
        <w:bottom w:val="none" w:sz="0" w:space="0" w:color="auto"/>
        <w:right w:val="none" w:sz="0" w:space="0" w:color="auto"/>
      </w:divBdr>
    </w:div>
    <w:div w:id="2022388008">
      <w:bodyDiv w:val="1"/>
      <w:marLeft w:val="0"/>
      <w:marRight w:val="0"/>
      <w:marTop w:val="0"/>
      <w:marBottom w:val="0"/>
      <w:divBdr>
        <w:top w:val="none" w:sz="0" w:space="0" w:color="auto"/>
        <w:left w:val="none" w:sz="0" w:space="0" w:color="auto"/>
        <w:bottom w:val="none" w:sz="0" w:space="0" w:color="auto"/>
        <w:right w:val="none" w:sz="0" w:space="0" w:color="auto"/>
      </w:divBdr>
    </w:div>
    <w:div w:id="2061249116">
      <w:bodyDiv w:val="1"/>
      <w:marLeft w:val="0"/>
      <w:marRight w:val="0"/>
      <w:marTop w:val="0"/>
      <w:marBottom w:val="0"/>
      <w:divBdr>
        <w:top w:val="none" w:sz="0" w:space="0" w:color="auto"/>
        <w:left w:val="none" w:sz="0" w:space="0" w:color="auto"/>
        <w:bottom w:val="none" w:sz="0" w:space="0" w:color="auto"/>
        <w:right w:val="none" w:sz="0" w:space="0" w:color="auto"/>
      </w:divBdr>
    </w:div>
    <w:div w:id="207697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1806D-89B7-4B67-A189-F9B55C3841F2}">
  <ds:schemaRefs>
    <ds:schemaRef ds:uri="http://schemas.microsoft.com/office/2006/customDocumentInformationPanel"/>
  </ds:schemaRefs>
</ds:datastoreItem>
</file>

<file path=customXml/itemProps2.xml><?xml version="1.0" encoding="utf-8"?>
<ds:datastoreItem xmlns:ds="http://schemas.openxmlformats.org/officeDocument/2006/customXml" ds:itemID="{385DA72E-49FF-4F0E-9EF9-15DA580EF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5181</Words>
  <Characters>29979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Styles for a Product Information Document</vt:lpstr>
    </vt:vector>
  </TitlesOfParts>
  <Company>Pfizer Inc</Company>
  <LinksUpToDate>false</LinksUpToDate>
  <CharactersWithSpaces>35090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ELELYSO (taliglucerase alfa rpc)</dc:title>
  <dc:subject/>
  <dc:creator>Justine Amos</dc:creator>
  <cp:keywords/>
  <cp:lastModifiedBy>Bird, Gail</cp:lastModifiedBy>
  <cp:revision>3</cp:revision>
  <cp:lastPrinted>2014-05-06T01:05:00Z</cp:lastPrinted>
  <dcterms:created xsi:type="dcterms:W3CDTF">2014-10-14T01:05:00Z</dcterms:created>
  <dcterms:modified xsi:type="dcterms:W3CDTF">2014-11-02T23:57:00Z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oup">
    <vt:lpwstr>Regulatory Affairs</vt:lpwstr>
  </property>
  <property fmtid="{D5CDD505-2E9C-101B-9397-08002B2CF9AE}" pid="3" name="Confirmation of Learning">
    <vt:lpwstr/>
  </property>
  <property fmtid="{D5CDD505-2E9C-101B-9397-08002B2CF9AE}" pid="4" name="ContentType">
    <vt:lpwstr>Document</vt:lpwstr>
  </property>
  <property fmtid="{D5CDD505-2E9C-101B-9397-08002B2CF9AE}" pid="5" name="Category">
    <vt:lpwstr>LPDs &amp; CMIs</vt:lpwstr>
  </property>
  <property fmtid="{D5CDD505-2E9C-101B-9397-08002B2CF9AE}" pid="6" name="Subcategory1">
    <vt:lpwstr/>
  </property>
</Properties>
</file>