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95D57EB" w14:textId="77777777" w:rsidTr="00BF1190">
        <w:trPr>
          <w:trHeight w:val="1863"/>
        </w:trPr>
        <w:tc>
          <w:tcPr>
            <w:tcW w:w="3652" w:type="dxa"/>
            <w:tcBorders>
              <w:top w:val="nil"/>
              <w:left w:val="nil"/>
              <w:bottom w:val="nil"/>
              <w:right w:val="nil"/>
            </w:tcBorders>
          </w:tcPr>
          <w:p w14:paraId="43F42C89" w14:textId="779529E5" w:rsidR="008E7846" w:rsidRPr="00096AA7" w:rsidRDefault="00B31C8A" w:rsidP="00096AA7">
            <w:pPr>
              <w:rPr>
                <w:rFonts w:ascii="Arial" w:hAnsi="Arial" w:cs="Arial"/>
                <w:b/>
                <w:color w:val="002C47"/>
                <w:sz w:val="36"/>
                <w:szCs w:val="36"/>
              </w:rPr>
            </w:pPr>
            <w:r>
              <w:rPr>
                <w:rFonts w:ascii="Arial" w:hAnsi="Arial" w:cs="Arial"/>
                <w:b/>
                <w:color w:val="002C47"/>
                <w:sz w:val="36"/>
                <w:szCs w:val="36"/>
              </w:rPr>
              <w:t>Febr</w:t>
            </w:r>
            <w:r w:rsidR="00054A7D">
              <w:rPr>
                <w:rFonts w:ascii="Arial" w:hAnsi="Arial" w:cs="Arial"/>
                <w:b/>
                <w:color w:val="002C47"/>
                <w:sz w:val="36"/>
                <w:szCs w:val="36"/>
              </w:rPr>
              <w:t>uary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4BBC8AB" w14:textId="77777777" w:rsidTr="0032583B">
        <w:trPr>
          <w:trHeight w:val="868"/>
        </w:trPr>
        <w:tc>
          <w:tcPr>
            <w:tcW w:w="9079" w:type="dxa"/>
          </w:tcPr>
          <w:p w14:paraId="5D02852C" w14:textId="77777777" w:rsidR="0032583B" w:rsidRPr="00A964D1" w:rsidRDefault="0032583B" w:rsidP="00165090">
            <w:pPr>
              <w:pStyle w:val="Title"/>
              <w:framePr w:hSpace="0" w:wrap="auto" w:vAnchor="margin" w:yAlign="inline"/>
            </w:pPr>
            <w:r w:rsidRPr="00A964D1">
              <w:t xml:space="preserve">Australian Public Assessment Report for </w:t>
            </w:r>
            <w:proofErr w:type="spellStart"/>
            <w:r w:rsidR="00054A7D">
              <w:t>T</w:t>
            </w:r>
            <w:r w:rsidR="00054A7D" w:rsidRPr="00054A7D">
              <w:t>alazoparib</w:t>
            </w:r>
            <w:proofErr w:type="spellEnd"/>
            <w:r w:rsidR="00054A7D" w:rsidRPr="00054A7D">
              <w:t xml:space="preserve"> (as </w:t>
            </w:r>
            <w:proofErr w:type="spellStart"/>
            <w:r w:rsidR="00054A7D" w:rsidRPr="00054A7D">
              <w:t>tosilate</w:t>
            </w:r>
            <w:proofErr w:type="spellEnd"/>
            <w:r w:rsidR="00054A7D" w:rsidRPr="00054A7D">
              <w:t>)</w:t>
            </w:r>
          </w:p>
        </w:tc>
      </w:tr>
      <w:tr w:rsidR="0032583B" w:rsidRPr="00B64760" w14:paraId="7FF78F03" w14:textId="77777777" w:rsidTr="0032583B">
        <w:tc>
          <w:tcPr>
            <w:tcW w:w="9079" w:type="dxa"/>
          </w:tcPr>
          <w:p w14:paraId="730E203C" w14:textId="77777777" w:rsidR="0032583B" w:rsidRPr="008E7846" w:rsidRDefault="00054A7D" w:rsidP="00165090">
            <w:pPr>
              <w:pStyle w:val="Subtitle"/>
              <w:framePr w:hSpace="0" w:wrap="auto" w:vAnchor="margin" w:yAlign="inline"/>
            </w:pPr>
            <w:r>
              <w:t xml:space="preserve">Proprietary Product Name: </w:t>
            </w:r>
            <w:proofErr w:type="spellStart"/>
            <w:r w:rsidRPr="00054A7D">
              <w:t>Talzenna</w:t>
            </w:r>
            <w:proofErr w:type="spellEnd"/>
          </w:p>
        </w:tc>
      </w:tr>
      <w:tr w:rsidR="0032583B" w:rsidRPr="00B64760" w14:paraId="59E5C0AF" w14:textId="77777777" w:rsidTr="0032583B">
        <w:trPr>
          <w:trHeight w:val="486"/>
        </w:trPr>
        <w:tc>
          <w:tcPr>
            <w:tcW w:w="9079" w:type="dxa"/>
          </w:tcPr>
          <w:p w14:paraId="5736519C" w14:textId="77777777" w:rsidR="0032583B" w:rsidRPr="008E7846" w:rsidRDefault="0032583B" w:rsidP="00165090">
            <w:pPr>
              <w:pStyle w:val="Subtitle"/>
              <w:framePr w:hSpace="0" w:wrap="auto" w:vAnchor="margin" w:yAlign="inline"/>
            </w:pPr>
            <w:r w:rsidRPr="008E7846">
              <w:t xml:space="preserve">Sponsor: </w:t>
            </w:r>
            <w:r w:rsidR="00054A7D" w:rsidRPr="00054A7D">
              <w:t>Pfizer Australia Pty Ltd</w:t>
            </w:r>
          </w:p>
        </w:tc>
      </w:tr>
    </w:tbl>
    <w:p w14:paraId="5E1DF2CF" w14:textId="77777777" w:rsidR="008E7846" w:rsidRPr="0085156D" w:rsidRDefault="008E7846" w:rsidP="0085156D">
      <w:r w:rsidRPr="0085156D">
        <w:br w:type="page"/>
      </w:r>
    </w:p>
    <w:p w14:paraId="3DF8C4FE" w14:textId="77777777" w:rsidR="008E7846" w:rsidRPr="001F6CBA" w:rsidRDefault="008E7846" w:rsidP="008E7846">
      <w:pPr>
        <w:pStyle w:val="NonTOCHeading2"/>
      </w:pPr>
      <w:r w:rsidRPr="001F6CBA">
        <w:lastRenderedPageBreak/>
        <w:t>About the Therapeutic Goods Administration (TGA)</w:t>
      </w:r>
    </w:p>
    <w:p w14:paraId="0BAA1D4B" w14:textId="77777777" w:rsidR="008E7846" w:rsidRDefault="008E7846" w:rsidP="000B6FF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83271A2" w14:textId="77777777" w:rsidR="008E7846" w:rsidRDefault="00C80137" w:rsidP="000B6FF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23E0DD8" w14:textId="77777777" w:rsidR="008E7846" w:rsidRDefault="008E7846" w:rsidP="000B6FF0">
      <w:pPr>
        <w:pStyle w:val="ListBullet"/>
        <w:numPr>
          <w:ilvl w:val="0"/>
          <w:numId w:val="1"/>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01A607F1" w14:textId="77777777" w:rsidR="008E7846" w:rsidRDefault="008E7846" w:rsidP="000B6FF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598B4E50" w14:textId="77777777" w:rsidR="00441C3F" w:rsidRDefault="008E7846" w:rsidP="000B6FF0">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504841E2" w14:textId="77777777" w:rsidR="008E7846" w:rsidRDefault="008E7846" w:rsidP="00875A6B">
      <w:pPr>
        <w:pStyle w:val="NonTOCHeading2"/>
      </w:pPr>
      <w:r>
        <w:t xml:space="preserve">About </w:t>
      </w:r>
      <w:proofErr w:type="spellStart"/>
      <w:r>
        <w:t>AusPARs</w:t>
      </w:r>
      <w:proofErr w:type="spellEnd"/>
    </w:p>
    <w:p w14:paraId="7F1452D7" w14:textId="77777777" w:rsidR="008E7846" w:rsidRDefault="008E7846" w:rsidP="000B6FF0">
      <w:pPr>
        <w:pStyle w:val="ListBullet"/>
        <w:numPr>
          <w:ilvl w:val="0"/>
          <w:numId w:val="1"/>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49BAF6D8" w14:textId="77777777" w:rsidR="008E7846" w:rsidRDefault="008E7846" w:rsidP="000B6FF0">
      <w:pPr>
        <w:pStyle w:val="ListBullet"/>
        <w:numPr>
          <w:ilvl w:val="0"/>
          <w:numId w:val="1"/>
        </w:numPr>
        <w:ind w:left="357" w:hanging="357"/>
      </w:pPr>
      <w:proofErr w:type="spellStart"/>
      <w:r>
        <w:t>AusPARs</w:t>
      </w:r>
      <w:proofErr w:type="spellEnd"/>
      <w:r>
        <w:t xml:space="preserve"> </w:t>
      </w:r>
      <w:proofErr w:type="gramStart"/>
      <w:r>
        <w:t>are prepared and published by the TGA</w:t>
      </w:r>
      <w:proofErr w:type="gramEnd"/>
      <w:r>
        <w:t>.</w:t>
      </w:r>
    </w:p>
    <w:p w14:paraId="249C964F" w14:textId="77777777" w:rsidR="008E7846" w:rsidRDefault="008E7846" w:rsidP="000B6FF0">
      <w:pPr>
        <w:pStyle w:val="ListBullet"/>
        <w:numPr>
          <w:ilvl w:val="0"/>
          <w:numId w:val="1"/>
        </w:numPr>
        <w:ind w:left="357" w:hanging="357"/>
      </w:pPr>
      <w:r>
        <w:t xml:space="preserve">An </w:t>
      </w:r>
      <w:proofErr w:type="spellStart"/>
      <w:r>
        <w:t>AusPAR</w:t>
      </w:r>
      <w:proofErr w:type="spellEnd"/>
      <w:r>
        <w:t xml:space="preserve"> </w:t>
      </w:r>
      <w:proofErr w:type="gramStart"/>
      <w:r>
        <w:t>is prepared</w:t>
      </w:r>
      <w:proofErr w:type="gramEnd"/>
      <w:r>
        <w:t xml:space="preserve"> for submissions that relate to new chemical entities, generic medicines, major variations and extensions of indications.</w:t>
      </w:r>
    </w:p>
    <w:p w14:paraId="263F265F" w14:textId="77777777" w:rsidR="008E7846" w:rsidRDefault="008E7846" w:rsidP="000B6FF0">
      <w:pPr>
        <w:pStyle w:val="ListBullet"/>
        <w:numPr>
          <w:ilvl w:val="0"/>
          <w:numId w:val="1"/>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5FAFE3E6" w14:textId="77777777" w:rsidR="00B452CE" w:rsidRDefault="008E7846" w:rsidP="000B6FF0">
      <w:pPr>
        <w:pStyle w:val="ListBullet"/>
        <w:numPr>
          <w:ilvl w:val="0"/>
          <w:numId w:val="1"/>
        </w:numPr>
        <w:ind w:left="357" w:hanging="357"/>
      </w:pPr>
      <w:r>
        <w:t xml:space="preserve">A new </w:t>
      </w:r>
      <w:proofErr w:type="spellStart"/>
      <w:r>
        <w:t>AusPAR</w:t>
      </w:r>
      <w:proofErr w:type="spellEnd"/>
      <w:r>
        <w:t xml:space="preserve"> </w:t>
      </w:r>
      <w:proofErr w:type="gramStart"/>
      <w:r>
        <w:t>will be developed</w:t>
      </w:r>
      <w:proofErr w:type="gramEnd"/>
      <w:r>
        <w:t xml:space="preserve"> to reflect changes to indications and/or major variations to a prescription medicine subject to evaluation by the TGA.</w:t>
      </w:r>
    </w:p>
    <w:p w14:paraId="79C6E324" w14:textId="77777777" w:rsidR="00924482" w:rsidRPr="00DF1D7F" w:rsidRDefault="00924482" w:rsidP="00F54B65">
      <w:pPr>
        <w:pStyle w:val="LegalSubheading"/>
        <w:spacing w:before="3120"/>
      </w:pPr>
      <w:r w:rsidRPr="00DF1D7F">
        <w:t>Copyright</w:t>
      </w:r>
    </w:p>
    <w:p w14:paraId="5E04CE31" w14:textId="77777777" w:rsidR="00924482" w:rsidRDefault="00924482" w:rsidP="00924482">
      <w:pPr>
        <w:pStyle w:val="LegalCopy"/>
      </w:pPr>
      <w:r w:rsidRPr="00191B3B">
        <w:rPr>
          <w:rFonts w:cs="Arial"/>
          <w:lang w:val="en-GB"/>
        </w:rPr>
        <w:t>© Comm</w:t>
      </w:r>
      <w:r w:rsidR="00054A7D">
        <w:rPr>
          <w:rFonts w:cs="Arial"/>
          <w:lang w:val="en-GB"/>
        </w:rPr>
        <w:t>onwealth of Australia 2020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w:t>
      </w:r>
      <w:proofErr w:type="gramStart"/>
      <w:r w:rsidRPr="00191B3B">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191B3B">
        <w:rPr>
          <w:rFonts w:cs="Arial"/>
          <w:lang w:val="en-GB"/>
        </w:rPr>
        <w:t xml:space="preserve">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191B3B">
        <w:rPr>
          <w:rFonts w:cs="Arial"/>
          <w:lang w:val="en-GB"/>
        </w:rPr>
        <w:t>sent</w:t>
      </w:r>
      <w:proofErr w:type="gramEnd"/>
      <w:r w:rsidRPr="00191B3B">
        <w:rPr>
          <w:rFonts w:cs="Arial"/>
          <w:lang w:val="en-GB"/>
        </w:rPr>
        <w:t xml:space="preserve">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79672037"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44BC5D6" w14:textId="77777777" w:rsidR="0089635C" w:rsidRPr="0089635C" w:rsidRDefault="0089635C" w:rsidP="0010788A">
          <w:pPr>
            <w:pStyle w:val="Contents"/>
          </w:pPr>
          <w:r w:rsidRPr="0010788A">
            <w:t>Contents</w:t>
          </w:r>
        </w:p>
        <w:bookmarkStart w:id="2" w:name="_GoBack"/>
        <w:bookmarkEnd w:id="2"/>
        <w:p w14:paraId="52F5EC08" w14:textId="530A450E" w:rsidR="00EF1ECC"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4745991" w:history="1">
            <w:r w:rsidR="00EF1ECC" w:rsidRPr="008828DC">
              <w:rPr>
                <w:rStyle w:val="Hyperlink"/>
                <w:noProof/>
              </w:rPr>
              <w:t>Common abbreviations</w:t>
            </w:r>
            <w:r w:rsidR="00EF1ECC">
              <w:rPr>
                <w:noProof/>
                <w:webHidden/>
              </w:rPr>
              <w:tab/>
            </w:r>
            <w:r w:rsidR="00EF1ECC">
              <w:rPr>
                <w:noProof/>
                <w:webHidden/>
              </w:rPr>
              <w:fldChar w:fldCharType="begin"/>
            </w:r>
            <w:r w:rsidR="00EF1ECC">
              <w:rPr>
                <w:noProof/>
                <w:webHidden/>
              </w:rPr>
              <w:instrText xml:space="preserve"> PAGEREF _Toc34745991 \h </w:instrText>
            </w:r>
            <w:r w:rsidR="00EF1ECC">
              <w:rPr>
                <w:noProof/>
                <w:webHidden/>
              </w:rPr>
            </w:r>
            <w:r w:rsidR="00EF1ECC">
              <w:rPr>
                <w:noProof/>
                <w:webHidden/>
              </w:rPr>
              <w:fldChar w:fldCharType="separate"/>
            </w:r>
            <w:r w:rsidR="00EF1ECC">
              <w:rPr>
                <w:noProof/>
                <w:webHidden/>
              </w:rPr>
              <w:t>4</w:t>
            </w:r>
            <w:r w:rsidR="00EF1ECC">
              <w:rPr>
                <w:noProof/>
                <w:webHidden/>
              </w:rPr>
              <w:fldChar w:fldCharType="end"/>
            </w:r>
          </w:hyperlink>
        </w:p>
        <w:p w14:paraId="3F6CC201" w14:textId="4F39D1BA" w:rsidR="00EF1ECC" w:rsidRDefault="00EF1ECC">
          <w:pPr>
            <w:pStyle w:val="TOC2"/>
            <w:rPr>
              <w:rFonts w:asciiTheme="minorHAnsi" w:eastAsiaTheme="minorEastAsia" w:hAnsiTheme="minorHAnsi" w:cstheme="minorBidi"/>
              <w:b w:val="0"/>
              <w:noProof/>
              <w:sz w:val="22"/>
              <w:lang w:eastAsia="en-AU"/>
            </w:rPr>
          </w:pPr>
          <w:hyperlink w:anchor="_Toc34745992" w:history="1">
            <w:r w:rsidRPr="008828DC">
              <w:rPr>
                <w:rStyle w:val="Hyperlink"/>
                <w:noProof/>
              </w:rPr>
              <w:t>I. Introduction to product submission</w:t>
            </w:r>
            <w:r>
              <w:rPr>
                <w:noProof/>
                <w:webHidden/>
              </w:rPr>
              <w:tab/>
            </w:r>
            <w:r>
              <w:rPr>
                <w:noProof/>
                <w:webHidden/>
              </w:rPr>
              <w:fldChar w:fldCharType="begin"/>
            </w:r>
            <w:r>
              <w:rPr>
                <w:noProof/>
                <w:webHidden/>
              </w:rPr>
              <w:instrText xml:space="preserve"> PAGEREF _Toc34745992 \h </w:instrText>
            </w:r>
            <w:r>
              <w:rPr>
                <w:noProof/>
                <w:webHidden/>
              </w:rPr>
            </w:r>
            <w:r>
              <w:rPr>
                <w:noProof/>
                <w:webHidden/>
              </w:rPr>
              <w:fldChar w:fldCharType="separate"/>
            </w:r>
            <w:r>
              <w:rPr>
                <w:noProof/>
                <w:webHidden/>
              </w:rPr>
              <w:t>8</w:t>
            </w:r>
            <w:r>
              <w:rPr>
                <w:noProof/>
                <w:webHidden/>
              </w:rPr>
              <w:fldChar w:fldCharType="end"/>
            </w:r>
          </w:hyperlink>
        </w:p>
        <w:p w14:paraId="4A5B64B3" w14:textId="480DDA98" w:rsidR="00EF1ECC" w:rsidRDefault="00EF1ECC">
          <w:pPr>
            <w:pStyle w:val="TOC3"/>
            <w:rPr>
              <w:rFonts w:asciiTheme="minorHAnsi" w:eastAsiaTheme="minorEastAsia" w:hAnsiTheme="minorHAnsi" w:cstheme="minorBidi"/>
              <w:noProof/>
              <w:lang w:eastAsia="en-AU"/>
            </w:rPr>
          </w:pPr>
          <w:hyperlink w:anchor="_Toc34745993" w:history="1">
            <w:r w:rsidRPr="008828DC">
              <w:rPr>
                <w:rStyle w:val="Hyperlink"/>
                <w:noProof/>
                <w:lang w:eastAsia="en-AU"/>
              </w:rPr>
              <w:t>Submission details</w:t>
            </w:r>
            <w:r>
              <w:rPr>
                <w:noProof/>
                <w:webHidden/>
              </w:rPr>
              <w:tab/>
            </w:r>
            <w:r>
              <w:rPr>
                <w:noProof/>
                <w:webHidden/>
              </w:rPr>
              <w:fldChar w:fldCharType="begin"/>
            </w:r>
            <w:r>
              <w:rPr>
                <w:noProof/>
                <w:webHidden/>
              </w:rPr>
              <w:instrText xml:space="preserve"> PAGEREF _Toc34745993 \h </w:instrText>
            </w:r>
            <w:r>
              <w:rPr>
                <w:noProof/>
                <w:webHidden/>
              </w:rPr>
            </w:r>
            <w:r>
              <w:rPr>
                <w:noProof/>
                <w:webHidden/>
              </w:rPr>
              <w:fldChar w:fldCharType="separate"/>
            </w:r>
            <w:r>
              <w:rPr>
                <w:noProof/>
                <w:webHidden/>
              </w:rPr>
              <w:t>8</w:t>
            </w:r>
            <w:r>
              <w:rPr>
                <w:noProof/>
                <w:webHidden/>
              </w:rPr>
              <w:fldChar w:fldCharType="end"/>
            </w:r>
          </w:hyperlink>
        </w:p>
        <w:p w14:paraId="2F32F3AE" w14:textId="60BF1AFB" w:rsidR="00EF1ECC" w:rsidRDefault="00EF1ECC">
          <w:pPr>
            <w:pStyle w:val="TOC3"/>
            <w:rPr>
              <w:rFonts w:asciiTheme="minorHAnsi" w:eastAsiaTheme="minorEastAsia" w:hAnsiTheme="minorHAnsi" w:cstheme="minorBidi"/>
              <w:noProof/>
              <w:lang w:eastAsia="en-AU"/>
            </w:rPr>
          </w:pPr>
          <w:hyperlink w:anchor="_Toc34745994" w:history="1">
            <w:r w:rsidRPr="008828DC">
              <w:rPr>
                <w:rStyle w:val="Hyperlink"/>
                <w:noProof/>
              </w:rPr>
              <w:t>Product background</w:t>
            </w:r>
            <w:r>
              <w:rPr>
                <w:noProof/>
                <w:webHidden/>
              </w:rPr>
              <w:tab/>
            </w:r>
            <w:r>
              <w:rPr>
                <w:noProof/>
                <w:webHidden/>
              </w:rPr>
              <w:fldChar w:fldCharType="begin"/>
            </w:r>
            <w:r>
              <w:rPr>
                <w:noProof/>
                <w:webHidden/>
              </w:rPr>
              <w:instrText xml:space="preserve"> PAGEREF _Toc34745994 \h </w:instrText>
            </w:r>
            <w:r>
              <w:rPr>
                <w:noProof/>
                <w:webHidden/>
              </w:rPr>
            </w:r>
            <w:r>
              <w:rPr>
                <w:noProof/>
                <w:webHidden/>
              </w:rPr>
              <w:fldChar w:fldCharType="separate"/>
            </w:r>
            <w:r>
              <w:rPr>
                <w:noProof/>
                <w:webHidden/>
              </w:rPr>
              <w:t>9</w:t>
            </w:r>
            <w:r>
              <w:rPr>
                <w:noProof/>
                <w:webHidden/>
              </w:rPr>
              <w:fldChar w:fldCharType="end"/>
            </w:r>
          </w:hyperlink>
        </w:p>
        <w:p w14:paraId="50BB2D15" w14:textId="5975710E" w:rsidR="00EF1ECC" w:rsidRDefault="00EF1ECC">
          <w:pPr>
            <w:pStyle w:val="TOC3"/>
            <w:rPr>
              <w:rFonts w:asciiTheme="minorHAnsi" w:eastAsiaTheme="minorEastAsia" w:hAnsiTheme="minorHAnsi" w:cstheme="minorBidi"/>
              <w:noProof/>
              <w:lang w:eastAsia="en-AU"/>
            </w:rPr>
          </w:pPr>
          <w:hyperlink w:anchor="_Toc34745995" w:history="1">
            <w:r w:rsidRPr="008828DC">
              <w:rPr>
                <w:rStyle w:val="Hyperlink"/>
                <w:noProof/>
              </w:rPr>
              <w:t>Regulatory status</w:t>
            </w:r>
            <w:r>
              <w:rPr>
                <w:noProof/>
                <w:webHidden/>
              </w:rPr>
              <w:tab/>
            </w:r>
            <w:r>
              <w:rPr>
                <w:noProof/>
                <w:webHidden/>
              </w:rPr>
              <w:fldChar w:fldCharType="begin"/>
            </w:r>
            <w:r>
              <w:rPr>
                <w:noProof/>
                <w:webHidden/>
              </w:rPr>
              <w:instrText xml:space="preserve"> PAGEREF _Toc34745995 \h </w:instrText>
            </w:r>
            <w:r>
              <w:rPr>
                <w:noProof/>
                <w:webHidden/>
              </w:rPr>
            </w:r>
            <w:r>
              <w:rPr>
                <w:noProof/>
                <w:webHidden/>
              </w:rPr>
              <w:fldChar w:fldCharType="separate"/>
            </w:r>
            <w:r>
              <w:rPr>
                <w:noProof/>
                <w:webHidden/>
              </w:rPr>
              <w:t>10</w:t>
            </w:r>
            <w:r>
              <w:rPr>
                <w:noProof/>
                <w:webHidden/>
              </w:rPr>
              <w:fldChar w:fldCharType="end"/>
            </w:r>
          </w:hyperlink>
        </w:p>
        <w:p w14:paraId="37BD546C" w14:textId="2B412DFD" w:rsidR="00EF1ECC" w:rsidRDefault="00EF1ECC">
          <w:pPr>
            <w:pStyle w:val="TOC3"/>
            <w:rPr>
              <w:rFonts w:asciiTheme="minorHAnsi" w:eastAsiaTheme="minorEastAsia" w:hAnsiTheme="minorHAnsi" w:cstheme="minorBidi"/>
              <w:noProof/>
              <w:lang w:eastAsia="en-AU"/>
            </w:rPr>
          </w:pPr>
          <w:hyperlink w:anchor="_Toc34745996" w:history="1">
            <w:r w:rsidRPr="008828DC">
              <w:rPr>
                <w:rStyle w:val="Hyperlink"/>
                <w:noProof/>
              </w:rPr>
              <w:t>Product Information</w:t>
            </w:r>
            <w:r>
              <w:rPr>
                <w:noProof/>
                <w:webHidden/>
              </w:rPr>
              <w:tab/>
            </w:r>
            <w:r>
              <w:rPr>
                <w:noProof/>
                <w:webHidden/>
              </w:rPr>
              <w:fldChar w:fldCharType="begin"/>
            </w:r>
            <w:r>
              <w:rPr>
                <w:noProof/>
                <w:webHidden/>
              </w:rPr>
              <w:instrText xml:space="preserve"> PAGEREF _Toc34745996 \h </w:instrText>
            </w:r>
            <w:r>
              <w:rPr>
                <w:noProof/>
                <w:webHidden/>
              </w:rPr>
            </w:r>
            <w:r>
              <w:rPr>
                <w:noProof/>
                <w:webHidden/>
              </w:rPr>
              <w:fldChar w:fldCharType="separate"/>
            </w:r>
            <w:r>
              <w:rPr>
                <w:noProof/>
                <w:webHidden/>
              </w:rPr>
              <w:t>11</w:t>
            </w:r>
            <w:r>
              <w:rPr>
                <w:noProof/>
                <w:webHidden/>
              </w:rPr>
              <w:fldChar w:fldCharType="end"/>
            </w:r>
          </w:hyperlink>
        </w:p>
        <w:p w14:paraId="755C8C3F" w14:textId="244B1F62" w:rsidR="00EF1ECC" w:rsidRDefault="00EF1ECC">
          <w:pPr>
            <w:pStyle w:val="TOC2"/>
            <w:rPr>
              <w:rFonts w:asciiTheme="minorHAnsi" w:eastAsiaTheme="minorEastAsia" w:hAnsiTheme="minorHAnsi" w:cstheme="minorBidi"/>
              <w:b w:val="0"/>
              <w:noProof/>
              <w:sz w:val="22"/>
              <w:lang w:eastAsia="en-AU"/>
            </w:rPr>
          </w:pPr>
          <w:hyperlink w:anchor="_Toc34745997" w:history="1">
            <w:r w:rsidRPr="008828DC">
              <w:rPr>
                <w:rStyle w:val="Hyperlink"/>
                <w:noProof/>
              </w:rPr>
              <w:t>II. Registration timeline</w:t>
            </w:r>
            <w:r>
              <w:rPr>
                <w:noProof/>
                <w:webHidden/>
              </w:rPr>
              <w:tab/>
            </w:r>
            <w:r>
              <w:rPr>
                <w:noProof/>
                <w:webHidden/>
              </w:rPr>
              <w:fldChar w:fldCharType="begin"/>
            </w:r>
            <w:r>
              <w:rPr>
                <w:noProof/>
                <w:webHidden/>
              </w:rPr>
              <w:instrText xml:space="preserve"> PAGEREF _Toc34745997 \h </w:instrText>
            </w:r>
            <w:r>
              <w:rPr>
                <w:noProof/>
                <w:webHidden/>
              </w:rPr>
            </w:r>
            <w:r>
              <w:rPr>
                <w:noProof/>
                <w:webHidden/>
              </w:rPr>
              <w:fldChar w:fldCharType="separate"/>
            </w:r>
            <w:r>
              <w:rPr>
                <w:noProof/>
                <w:webHidden/>
              </w:rPr>
              <w:t>11</w:t>
            </w:r>
            <w:r>
              <w:rPr>
                <w:noProof/>
                <w:webHidden/>
              </w:rPr>
              <w:fldChar w:fldCharType="end"/>
            </w:r>
          </w:hyperlink>
        </w:p>
        <w:p w14:paraId="7A7D44FE" w14:textId="5D39BA1E" w:rsidR="00EF1ECC" w:rsidRDefault="00EF1ECC">
          <w:pPr>
            <w:pStyle w:val="TOC2"/>
            <w:rPr>
              <w:rFonts w:asciiTheme="minorHAnsi" w:eastAsiaTheme="minorEastAsia" w:hAnsiTheme="minorHAnsi" w:cstheme="minorBidi"/>
              <w:b w:val="0"/>
              <w:noProof/>
              <w:sz w:val="22"/>
              <w:lang w:eastAsia="en-AU"/>
            </w:rPr>
          </w:pPr>
          <w:hyperlink w:anchor="_Toc34745998" w:history="1">
            <w:r w:rsidRPr="008828DC">
              <w:rPr>
                <w:rStyle w:val="Hyperlink"/>
                <w:noProof/>
              </w:rPr>
              <w:t>III. Submission overview and risk/benefit assessment</w:t>
            </w:r>
            <w:r>
              <w:rPr>
                <w:noProof/>
                <w:webHidden/>
              </w:rPr>
              <w:tab/>
            </w:r>
            <w:r>
              <w:rPr>
                <w:noProof/>
                <w:webHidden/>
              </w:rPr>
              <w:fldChar w:fldCharType="begin"/>
            </w:r>
            <w:r>
              <w:rPr>
                <w:noProof/>
                <w:webHidden/>
              </w:rPr>
              <w:instrText xml:space="preserve"> PAGEREF _Toc34745998 \h </w:instrText>
            </w:r>
            <w:r>
              <w:rPr>
                <w:noProof/>
                <w:webHidden/>
              </w:rPr>
            </w:r>
            <w:r>
              <w:rPr>
                <w:noProof/>
                <w:webHidden/>
              </w:rPr>
              <w:fldChar w:fldCharType="separate"/>
            </w:r>
            <w:r>
              <w:rPr>
                <w:noProof/>
                <w:webHidden/>
              </w:rPr>
              <w:t>11</w:t>
            </w:r>
            <w:r>
              <w:rPr>
                <w:noProof/>
                <w:webHidden/>
              </w:rPr>
              <w:fldChar w:fldCharType="end"/>
            </w:r>
          </w:hyperlink>
        </w:p>
        <w:p w14:paraId="32CCCB12" w14:textId="6B8C68EB" w:rsidR="00EF1ECC" w:rsidRDefault="00EF1ECC">
          <w:pPr>
            <w:pStyle w:val="TOC3"/>
            <w:rPr>
              <w:rFonts w:asciiTheme="minorHAnsi" w:eastAsiaTheme="minorEastAsia" w:hAnsiTheme="minorHAnsi" w:cstheme="minorBidi"/>
              <w:noProof/>
              <w:lang w:eastAsia="en-AU"/>
            </w:rPr>
          </w:pPr>
          <w:hyperlink w:anchor="_Toc34745999" w:history="1">
            <w:r w:rsidRPr="008828DC">
              <w:rPr>
                <w:rStyle w:val="Hyperlink"/>
                <w:noProof/>
              </w:rPr>
              <w:t>Quality</w:t>
            </w:r>
            <w:r>
              <w:rPr>
                <w:noProof/>
                <w:webHidden/>
              </w:rPr>
              <w:tab/>
            </w:r>
            <w:r>
              <w:rPr>
                <w:noProof/>
                <w:webHidden/>
              </w:rPr>
              <w:fldChar w:fldCharType="begin"/>
            </w:r>
            <w:r>
              <w:rPr>
                <w:noProof/>
                <w:webHidden/>
              </w:rPr>
              <w:instrText xml:space="preserve"> PAGEREF _Toc34745999 \h </w:instrText>
            </w:r>
            <w:r>
              <w:rPr>
                <w:noProof/>
                <w:webHidden/>
              </w:rPr>
            </w:r>
            <w:r>
              <w:rPr>
                <w:noProof/>
                <w:webHidden/>
              </w:rPr>
              <w:fldChar w:fldCharType="separate"/>
            </w:r>
            <w:r>
              <w:rPr>
                <w:noProof/>
                <w:webHidden/>
              </w:rPr>
              <w:t>12</w:t>
            </w:r>
            <w:r>
              <w:rPr>
                <w:noProof/>
                <w:webHidden/>
              </w:rPr>
              <w:fldChar w:fldCharType="end"/>
            </w:r>
          </w:hyperlink>
        </w:p>
        <w:p w14:paraId="759742AF" w14:textId="26B811AD" w:rsidR="00EF1ECC" w:rsidRDefault="00EF1ECC">
          <w:pPr>
            <w:pStyle w:val="TOC3"/>
            <w:rPr>
              <w:rFonts w:asciiTheme="minorHAnsi" w:eastAsiaTheme="minorEastAsia" w:hAnsiTheme="minorHAnsi" w:cstheme="minorBidi"/>
              <w:noProof/>
              <w:lang w:eastAsia="en-AU"/>
            </w:rPr>
          </w:pPr>
          <w:hyperlink w:anchor="_Toc34746000" w:history="1">
            <w:r w:rsidRPr="008828DC">
              <w:rPr>
                <w:rStyle w:val="Hyperlink"/>
                <w:noProof/>
              </w:rPr>
              <w:t>Nonclinical</w:t>
            </w:r>
            <w:r>
              <w:rPr>
                <w:noProof/>
                <w:webHidden/>
              </w:rPr>
              <w:tab/>
            </w:r>
            <w:r>
              <w:rPr>
                <w:noProof/>
                <w:webHidden/>
              </w:rPr>
              <w:fldChar w:fldCharType="begin"/>
            </w:r>
            <w:r>
              <w:rPr>
                <w:noProof/>
                <w:webHidden/>
              </w:rPr>
              <w:instrText xml:space="preserve"> PAGEREF _Toc34746000 \h </w:instrText>
            </w:r>
            <w:r>
              <w:rPr>
                <w:noProof/>
                <w:webHidden/>
              </w:rPr>
            </w:r>
            <w:r>
              <w:rPr>
                <w:noProof/>
                <w:webHidden/>
              </w:rPr>
              <w:fldChar w:fldCharType="separate"/>
            </w:r>
            <w:r>
              <w:rPr>
                <w:noProof/>
                <w:webHidden/>
              </w:rPr>
              <w:t>12</w:t>
            </w:r>
            <w:r>
              <w:rPr>
                <w:noProof/>
                <w:webHidden/>
              </w:rPr>
              <w:fldChar w:fldCharType="end"/>
            </w:r>
          </w:hyperlink>
        </w:p>
        <w:p w14:paraId="46E628E9" w14:textId="14CA140D" w:rsidR="00EF1ECC" w:rsidRDefault="00EF1ECC">
          <w:pPr>
            <w:pStyle w:val="TOC3"/>
            <w:rPr>
              <w:rFonts w:asciiTheme="minorHAnsi" w:eastAsiaTheme="minorEastAsia" w:hAnsiTheme="minorHAnsi" w:cstheme="minorBidi"/>
              <w:noProof/>
              <w:lang w:eastAsia="en-AU"/>
            </w:rPr>
          </w:pPr>
          <w:hyperlink w:anchor="_Toc34746001" w:history="1">
            <w:r w:rsidRPr="008828DC">
              <w:rPr>
                <w:rStyle w:val="Hyperlink"/>
                <w:noProof/>
              </w:rPr>
              <w:t>Clinical</w:t>
            </w:r>
            <w:r>
              <w:rPr>
                <w:noProof/>
                <w:webHidden/>
              </w:rPr>
              <w:tab/>
            </w:r>
            <w:r>
              <w:rPr>
                <w:noProof/>
                <w:webHidden/>
              </w:rPr>
              <w:fldChar w:fldCharType="begin"/>
            </w:r>
            <w:r>
              <w:rPr>
                <w:noProof/>
                <w:webHidden/>
              </w:rPr>
              <w:instrText xml:space="preserve"> PAGEREF _Toc34746001 \h </w:instrText>
            </w:r>
            <w:r>
              <w:rPr>
                <w:noProof/>
                <w:webHidden/>
              </w:rPr>
            </w:r>
            <w:r>
              <w:rPr>
                <w:noProof/>
                <w:webHidden/>
              </w:rPr>
              <w:fldChar w:fldCharType="separate"/>
            </w:r>
            <w:r>
              <w:rPr>
                <w:noProof/>
                <w:webHidden/>
              </w:rPr>
              <w:t>13</w:t>
            </w:r>
            <w:r>
              <w:rPr>
                <w:noProof/>
                <w:webHidden/>
              </w:rPr>
              <w:fldChar w:fldCharType="end"/>
            </w:r>
          </w:hyperlink>
        </w:p>
        <w:p w14:paraId="06BC5DDF" w14:textId="3F37C756" w:rsidR="00EF1ECC" w:rsidRDefault="00EF1ECC">
          <w:pPr>
            <w:pStyle w:val="TOC3"/>
            <w:rPr>
              <w:rFonts w:asciiTheme="minorHAnsi" w:eastAsiaTheme="minorEastAsia" w:hAnsiTheme="minorHAnsi" w:cstheme="minorBidi"/>
              <w:noProof/>
              <w:lang w:eastAsia="en-AU"/>
            </w:rPr>
          </w:pPr>
          <w:hyperlink w:anchor="_Toc34746002" w:history="1">
            <w:r w:rsidRPr="008828DC">
              <w:rPr>
                <w:rStyle w:val="Hyperlink"/>
                <w:noProof/>
                <w:lang w:eastAsia="en-AU"/>
              </w:rPr>
              <w:t>Risk management plan</w:t>
            </w:r>
            <w:r>
              <w:rPr>
                <w:noProof/>
                <w:webHidden/>
              </w:rPr>
              <w:tab/>
            </w:r>
            <w:r>
              <w:rPr>
                <w:noProof/>
                <w:webHidden/>
              </w:rPr>
              <w:fldChar w:fldCharType="begin"/>
            </w:r>
            <w:r>
              <w:rPr>
                <w:noProof/>
                <w:webHidden/>
              </w:rPr>
              <w:instrText xml:space="preserve"> PAGEREF _Toc34746002 \h </w:instrText>
            </w:r>
            <w:r>
              <w:rPr>
                <w:noProof/>
                <w:webHidden/>
              </w:rPr>
            </w:r>
            <w:r>
              <w:rPr>
                <w:noProof/>
                <w:webHidden/>
              </w:rPr>
              <w:fldChar w:fldCharType="separate"/>
            </w:r>
            <w:r>
              <w:rPr>
                <w:noProof/>
                <w:webHidden/>
              </w:rPr>
              <w:t>34</w:t>
            </w:r>
            <w:r>
              <w:rPr>
                <w:noProof/>
                <w:webHidden/>
              </w:rPr>
              <w:fldChar w:fldCharType="end"/>
            </w:r>
          </w:hyperlink>
        </w:p>
        <w:p w14:paraId="0369E4B8" w14:textId="7E94B90E" w:rsidR="00EF1ECC" w:rsidRDefault="00EF1ECC">
          <w:pPr>
            <w:pStyle w:val="TOC3"/>
            <w:rPr>
              <w:rFonts w:asciiTheme="minorHAnsi" w:eastAsiaTheme="minorEastAsia" w:hAnsiTheme="minorHAnsi" w:cstheme="minorBidi"/>
              <w:noProof/>
              <w:lang w:eastAsia="en-AU"/>
            </w:rPr>
          </w:pPr>
          <w:hyperlink w:anchor="_Toc34746003" w:history="1">
            <w:r w:rsidRPr="008828DC">
              <w:rPr>
                <w:rStyle w:val="Hyperlink"/>
                <w:noProof/>
              </w:rPr>
              <w:t>Risk-benefit analysis</w:t>
            </w:r>
            <w:r>
              <w:rPr>
                <w:noProof/>
                <w:webHidden/>
              </w:rPr>
              <w:tab/>
            </w:r>
            <w:r>
              <w:rPr>
                <w:noProof/>
                <w:webHidden/>
              </w:rPr>
              <w:fldChar w:fldCharType="begin"/>
            </w:r>
            <w:r>
              <w:rPr>
                <w:noProof/>
                <w:webHidden/>
              </w:rPr>
              <w:instrText xml:space="preserve"> PAGEREF _Toc34746003 \h </w:instrText>
            </w:r>
            <w:r>
              <w:rPr>
                <w:noProof/>
                <w:webHidden/>
              </w:rPr>
            </w:r>
            <w:r>
              <w:rPr>
                <w:noProof/>
                <w:webHidden/>
              </w:rPr>
              <w:fldChar w:fldCharType="separate"/>
            </w:r>
            <w:r>
              <w:rPr>
                <w:noProof/>
                <w:webHidden/>
              </w:rPr>
              <w:t>35</w:t>
            </w:r>
            <w:r>
              <w:rPr>
                <w:noProof/>
                <w:webHidden/>
              </w:rPr>
              <w:fldChar w:fldCharType="end"/>
            </w:r>
          </w:hyperlink>
        </w:p>
        <w:p w14:paraId="10781CDF" w14:textId="626236E3" w:rsidR="00EF1ECC" w:rsidRDefault="00EF1ECC">
          <w:pPr>
            <w:pStyle w:val="TOC3"/>
            <w:rPr>
              <w:rFonts w:asciiTheme="minorHAnsi" w:eastAsiaTheme="minorEastAsia" w:hAnsiTheme="minorHAnsi" w:cstheme="minorBidi"/>
              <w:noProof/>
              <w:lang w:eastAsia="en-AU"/>
            </w:rPr>
          </w:pPr>
          <w:hyperlink w:anchor="_Toc34746004" w:history="1">
            <w:r w:rsidRPr="008828DC">
              <w:rPr>
                <w:rStyle w:val="Hyperlink"/>
                <w:noProof/>
              </w:rPr>
              <w:t>Outcome</w:t>
            </w:r>
            <w:r>
              <w:rPr>
                <w:noProof/>
                <w:webHidden/>
              </w:rPr>
              <w:tab/>
            </w:r>
            <w:r>
              <w:rPr>
                <w:noProof/>
                <w:webHidden/>
              </w:rPr>
              <w:fldChar w:fldCharType="begin"/>
            </w:r>
            <w:r>
              <w:rPr>
                <w:noProof/>
                <w:webHidden/>
              </w:rPr>
              <w:instrText xml:space="preserve"> PAGEREF _Toc34746004 \h </w:instrText>
            </w:r>
            <w:r>
              <w:rPr>
                <w:noProof/>
                <w:webHidden/>
              </w:rPr>
            </w:r>
            <w:r>
              <w:rPr>
                <w:noProof/>
                <w:webHidden/>
              </w:rPr>
              <w:fldChar w:fldCharType="separate"/>
            </w:r>
            <w:r>
              <w:rPr>
                <w:noProof/>
                <w:webHidden/>
              </w:rPr>
              <w:t>37</w:t>
            </w:r>
            <w:r>
              <w:rPr>
                <w:noProof/>
                <w:webHidden/>
              </w:rPr>
              <w:fldChar w:fldCharType="end"/>
            </w:r>
          </w:hyperlink>
        </w:p>
        <w:p w14:paraId="6AF84910" w14:textId="1869828E" w:rsidR="00EF1ECC" w:rsidRDefault="00EF1ECC">
          <w:pPr>
            <w:pStyle w:val="TOC2"/>
            <w:rPr>
              <w:rFonts w:asciiTheme="minorHAnsi" w:eastAsiaTheme="minorEastAsia" w:hAnsiTheme="minorHAnsi" w:cstheme="minorBidi"/>
              <w:b w:val="0"/>
              <w:noProof/>
              <w:sz w:val="22"/>
              <w:lang w:eastAsia="en-AU"/>
            </w:rPr>
          </w:pPr>
          <w:hyperlink w:anchor="_Toc34746005" w:history="1">
            <w:r w:rsidRPr="008828DC">
              <w:rPr>
                <w:rStyle w:val="Hyperlink"/>
                <w:noProof/>
              </w:rPr>
              <w:t>Attachment 1. Product Information</w:t>
            </w:r>
            <w:r>
              <w:rPr>
                <w:noProof/>
                <w:webHidden/>
              </w:rPr>
              <w:tab/>
            </w:r>
            <w:r>
              <w:rPr>
                <w:noProof/>
                <w:webHidden/>
              </w:rPr>
              <w:fldChar w:fldCharType="begin"/>
            </w:r>
            <w:r>
              <w:rPr>
                <w:noProof/>
                <w:webHidden/>
              </w:rPr>
              <w:instrText xml:space="preserve"> PAGEREF _Toc34746005 \h </w:instrText>
            </w:r>
            <w:r>
              <w:rPr>
                <w:noProof/>
                <w:webHidden/>
              </w:rPr>
            </w:r>
            <w:r>
              <w:rPr>
                <w:noProof/>
                <w:webHidden/>
              </w:rPr>
              <w:fldChar w:fldCharType="separate"/>
            </w:r>
            <w:r>
              <w:rPr>
                <w:noProof/>
                <w:webHidden/>
              </w:rPr>
              <w:t>38</w:t>
            </w:r>
            <w:r>
              <w:rPr>
                <w:noProof/>
                <w:webHidden/>
              </w:rPr>
              <w:fldChar w:fldCharType="end"/>
            </w:r>
          </w:hyperlink>
        </w:p>
        <w:p w14:paraId="0A0A43CA" w14:textId="32F097A2" w:rsidR="003A7F6C" w:rsidRPr="00B811C6" w:rsidRDefault="00960520" w:rsidP="00B811C6">
          <w:pPr>
            <w:pStyle w:val="TOC2"/>
          </w:pPr>
          <w:r>
            <w:fldChar w:fldCharType="end"/>
          </w:r>
        </w:p>
      </w:sdtContent>
    </w:sdt>
    <w:bookmarkStart w:id="3" w:name="_Toc314842482" w:displacedByCustomXml="prev"/>
    <w:p w14:paraId="4015DFCC" w14:textId="6CAF5681" w:rsidR="00C52E24" w:rsidRPr="00C52E24" w:rsidRDefault="00441C3F" w:rsidP="00165090">
      <w:pPr>
        <w:pStyle w:val="Heading2"/>
        <w:pageBreakBefore/>
        <w:spacing w:before="0"/>
      </w:pPr>
      <w:bookmarkStart w:id="4" w:name="_Toc351716269"/>
      <w:bookmarkStart w:id="5" w:name="_Toc351718881"/>
      <w:bookmarkStart w:id="6" w:name="_Toc355338616"/>
      <w:bookmarkStart w:id="7" w:name="_Toc356306144"/>
      <w:bookmarkStart w:id="8" w:name="_Toc34745991"/>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564AD6" w:rsidRPr="00FD119B" w14:paraId="65293AD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7AE4CA3F" w14:textId="77777777" w:rsidR="00564AD6" w:rsidRPr="00FD119B" w:rsidRDefault="00564AD6" w:rsidP="00FD119B">
            <w:pPr>
              <w:keepNext w:val="0"/>
              <w:ind w:left="0" w:right="0"/>
              <w:rPr>
                <w:szCs w:val="22"/>
                <w:lang w:eastAsia="en-US"/>
              </w:rPr>
            </w:pPr>
            <w:r w:rsidRPr="00FD119B">
              <w:rPr>
                <w:szCs w:val="22"/>
                <w:lang w:eastAsia="en-US"/>
              </w:rPr>
              <w:t>Abbreviation</w:t>
            </w:r>
          </w:p>
        </w:tc>
        <w:tc>
          <w:tcPr>
            <w:tcW w:w="6911" w:type="dxa"/>
          </w:tcPr>
          <w:p w14:paraId="362FDC75" w14:textId="77777777" w:rsidR="00564AD6" w:rsidRPr="00FD119B" w:rsidRDefault="00564AD6" w:rsidP="00FD119B">
            <w:pPr>
              <w:keepNext w:val="0"/>
              <w:ind w:left="0" w:right="0"/>
              <w:rPr>
                <w:szCs w:val="22"/>
                <w:lang w:eastAsia="en-US"/>
              </w:rPr>
            </w:pPr>
            <w:r w:rsidRPr="00FD119B">
              <w:rPr>
                <w:szCs w:val="22"/>
                <w:lang w:eastAsia="en-US"/>
              </w:rPr>
              <w:t>Meaning</w:t>
            </w:r>
          </w:p>
        </w:tc>
      </w:tr>
      <w:tr w:rsidR="00564AD6" w:rsidRPr="00FD119B" w14:paraId="6E370EAC" w14:textId="77777777" w:rsidTr="00FD119B">
        <w:tc>
          <w:tcPr>
            <w:tcW w:w="1809" w:type="dxa"/>
          </w:tcPr>
          <w:p w14:paraId="79C3F943" w14:textId="77777777" w:rsidR="00564AD6" w:rsidRDefault="00564AD6" w:rsidP="00FD119B">
            <w:r>
              <w:t>AE</w:t>
            </w:r>
          </w:p>
        </w:tc>
        <w:tc>
          <w:tcPr>
            <w:tcW w:w="6911" w:type="dxa"/>
          </w:tcPr>
          <w:p w14:paraId="6E3E7C65" w14:textId="77777777" w:rsidR="00564AD6" w:rsidRDefault="00564AD6" w:rsidP="00180AB7">
            <w:r>
              <w:t>Adverse event</w:t>
            </w:r>
          </w:p>
        </w:tc>
      </w:tr>
      <w:tr w:rsidR="00564AD6" w:rsidRPr="00FD119B" w14:paraId="60BDA0A5" w14:textId="77777777" w:rsidTr="00FD119B">
        <w:tc>
          <w:tcPr>
            <w:tcW w:w="1809" w:type="dxa"/>
          </w:tcPr>
          <w:p w14:paraId="513AD08C" w14:textId="77777777" w:rsidR="00564AD6" w:rsidRDefault="00564AD6" w:rsidP="00FD119B">
            <w:r>
              <w:t>AESI</w:t>
            </w:r>
          </w:p>
        </w:tc>
        <w:tc>
          <w:tcPr>
            <w:tcW w:w="6911" w:type="dxa"/>
          </w:tcPr>
          <w:p w14:paraId="585F72A2" w14:textId="7E0DC034" w:rsidR="00564AD6" w:rsidRDefault="00564AD6" w:rsidP="0044358C">
            <w:r>
              <w:t>Adverse event of special interest</w:t>
            </w:r>
          </w:p>
        </w:tc>
      </w:tr>
      <w:tr w:rsidR="00564AD6" w:rsidRPr="00FD119B" w14:paraId="30760478" w14:textId="77777777" w:rsidTr="00FD119B">
        <w:tc>
          <w:tcPr>
            <w:tcW w:w="1809" w:type="dxa"/>
          </w:tcPr>
          <w:p w14:paraId="65C8B414" w14:textId="77777777" w:rsidR="00564AD6" w:rsidRDefault="00564AD6" w:rsidP="00FD119B">
            <w:r>
              <w:t>ALT</w:t>
            </w:r>
          </w:p>
        </w:tc>
        <w:tc>
          <w:tcPr>
            <w:tcW w:w="6911" w:type="dxa"/>
          </w:tcPr>
          <w:p w14:paraId="5FB150CF" w14:textId="77777777" w:rsidR="00564AD6" w:rsidRDefault="00564AD6" w:rsidP="009046A3">
            <w:r>
              <w:t>Alanine aminotransferase</w:t>
            </w:r>
          </w:p>
        </w:tc>
      </w:tr>
      <w:tr w:rsidR="00564AD6" w:rsidRPr="00FD119B" w14:paraId="17BA50CA" w14:textId="77777777" w:rsidTr="00FD119B">
        <w:tc>
          <w:tcPr>
            <w:tcW w:w="1809" w:type="dxa"/>
          </w:tcPr>
          <w:p w14:paraId="3A963F51" w14:textId="77777777" w:rsidR="00564AD6" w:rsidRDefault="00564AD6" w:rsidP="00FD119B">
            <w:r>
              <w:t>AML</w:t>
            </w:r>
          </w:p>
        </w:tc>
        <w:tc>
          <w:tcPr>
            <w:tcW w:w="6911" w:type="dxa"/>
          </w:tcPr>
          <w:p w14:paraId="3107EA75" w14:textId="77777777" w:rsidR="00564AD6" w:rsidRDefault="00564AD6" w:rsidP="0044358C">
            <w:r>
              <w:t>Acute myeloid leukaemia</w:t>
            </w:r>
          </w:p>
        </w:tc>
      </w:tr>
      <w:tr w:rsidR="00564AD6" w:rsidRPr="00FD119B" w14:paraId="62F02C65" w14:textId="77777777" w:rsidTr="00FD119B">
        <w:tc>
          <w:tcPr>
            <w:tcW w:w="1809" w:type="dxa"/>
          </w:tcPr>
          <w:p w14:paraId="61BA1765" w14:textId="77777777" w:rsidR="00564AD6" w:rsidRDefault="00564AD6" w:rsidP="00FD119B">
            <w:r>
              <w:t>ARTG</w:t>
            </w:r>
          </w:p>
        </w:tc>
        <w:tc>
          <w:tcPr>
            <w:tcW w:w="6911" w:type="dxa"/>
          </w:tcPr>
          <w:p w14:paraId="3B205881" w14:textId="77777777" w:rsidR="00564AD6" w:rsidRPr="00FD119B" w:rsidRDefault="00564AD6" w:rsidP="00015C3C">
            <w:r>
              <w:t>Australian Register of Therapeutic Goods</w:t>
            </w:r>
          </w:p>
        </w:tc>
      </w:tr>
      <w:tr w:rsidR="00564AD6" w:rsidRPr="00FD119B" w14:paraId="341E6C87" w14:textId="77777777" w:rsidTr="00FD119B">
        <w:tc>
          <w:tcPr>
            <w:tcW w:w="1809" w:type="dxa"/>
          </w:tcPr>
          <w:p w14:paraId="32E40F3C" w14:textId="77777777" w:rsidR="00564AD6" w:rsidRDefault="00564AD6" w:rsidP="00FD119B">
            <w:r w:rsidRPr="005A1342">
              <w:t>ASA</w:t>
            </w:r>
          </w:p>
        </w:tc>
        <w:tc>
          <w:tcPr>
            <w:tcW w:w="6911" w:type="dxa"/>
          </w:tcPr>
          <w:p w14:paraId="722943E4" w14:textId="65799102" w:rsidR="00564AD6" w:rsidRDefault="00564AD6" w:rsidP="00E873E0">
            <w:r>
              <w:t xml:space="preserve">Australian </w:t>
            </w:r>
            <w:r w:rsidR="00E873E0">
              <w:t xml:space="preserve">specific </w:t>
            </w:r>
            <w:r>
              <w:t>Annex</w:t>
            </w:r>
          </w:p>
        </w:tc>
      </w:tr>
      <w:tr w:rsidR="00CA3EC9" w:rsidRPr="00FD119B" w14:paraId="291F96F5" w14:textId="77777777" w:rsidTr="00FD119B">
        <w:tc>
          <w:tcPr>
            <w:tcW w:w="1809" w:type="dxa"/>
          </w:tcPr>
          <w:p w14:paraId="46F325DF" w14:textId="7006A4E6" w:rsidR="00CA3EC9" w:rsidRPr="00CA3EC9" w:rsidRDefault="00CA3EC9" w:rsidP="00FD119B">
            <w:r w:rsidRPr="00520FF6">
              <w:t>AST</w:t>
            </w:r>
          </w:p>
        </w:tc>
        <w:tc>
          <w:tcPr>
            <w:tcW w:w="6911" w:type="dxa"/>
          </w:tcPr>
          <w:p w14:paraId="7900A750" w14:textId="31B16A79" w:rsidR="00CA3EC9" w:rsidRPr="00CA3EC9" w:rsidRDefault="00CA3EC9" w:rsidP="00CA3EC9">
            <w:r w:rsidRPr="00520FF6">
              <w:t>Aspartate aminotransferase</w:t>
            </w:r>
          </w:p>
        </w:tc>
      </w:tr>
      <w:tr w:rsidR="00564AD6" w:rsidRPr="00FD119B" w14:paraId="0A661B91" w14:textId="77777777" w:rsidTr="00FD119B">
        <w:tc>
          <w:tcPr>
            <w:tcW w:w="1809" w:type="dxa"/>
          </w:tcPr>
          <w:p w14:paraId="0E3643B3" w14:textId="77777777" w:rsidR="00564AD6" w:rsidRDefault="00564AD6" w:rsidP="00FD119B">
            <w:r w:rsidRPr="00262C99">
              <w:t>AUC</w:t>
            </w:r>
          </w:p>
        </w:tc>
        <w:tc>
          <w:tcPr>
            <w:tcW w:w="6911" w:type="dxa"/>
          </w:tcPr>
          <w:p w14:paraId="52CFD689" w14:textId="77777777" w:rsidR="00564AD6" w:rsidRDefault="00564AD6" w:rsidP="00262C99">
            <w:r>
              <w:t>Area under the concentration time curve</w:t>
            </w:r>
          </w:p>
        </w:tc>
      </w:tr>
      <w:tr w:rsidR="00564AD6" w:rsidRPr="00FD119B" w14:paraId="7E58CEB2" w14:textId="77777777" w:rsidTr="00FD119B">
        <w:tc>
          <w:tcPr>
            <w:tcW w:w="1809" w:type="dxa"/>
          </w:tcPr>
          <w:p w14:paraId="0A3C3C55" w14:textId="77777777" w:rsidR="00564AD6" w:rsidRDefault="00564AD6" w:rsidP="00FD119B">
            <w:r>
              <w:t>BCRP</w:t>
            </w:r>
          </w:p>
        </w:tc>
        <w:tc>
          <w:tcPr>
            <w:tcW w:w="6911" w:type="dxa"/>
          </w:tcPr>
          <w:p w14:paraId="43E33443" w14:textId="77777777" w:rsidR="00564AD6" w:rsidRDefault="00564AD6" w:rsidP="00B84459">
            <w:r>
              <w:t>Breast cancer resistance protein</w:t>
            </w:r>
          </w:p>
        </w:tc>
      </w:tr>
      <w:tr w:rsidR="00564AD6" w:rsidRPr="00FD119B" w14:paraId="6F293602" w14:textId="77777777" w:rsidTr="00FD119B">
        <w:tc>
          <w:tcPr>
            <w:tcW w:w="1809" w:type="dxa"/>
          </w:tcPr>
          <w:p w14:paraId="2FFE7322" w14:textId="77777777" w:rsidR="00564AD6" w:rsidRDefault="00564AD6" w:rsidP="00FD119B">
            <w:r>
              <w:t>BID</w:t>
            </w:r>
          </w:p>
        </w:tc>
        <w:tc>
          <w:tcPr>
            <w:tcW w:w="6911" w:type="dxa"/>
          </w:tcPr>
          <w:p w14:paraId="4F93AB8E" w14:textId="77777777" w:rsidR="00564AD6" w:rsidRDefault="00564AD6" w:rsidP="00CB20EC">
            <w:r>
              <w:t xml:space="preserve">Twice daily, Latin: </w:t>
            </w:r>
            <w:proofErr w:type="spellStart"/>
            <w:r w:rsidRPr="00795182">
              <w:rPr>
                <w:i/>
              </w:rPr>
              <w:t>bis</w:t>
            </w:r>
            <w:proofErr w:type="spellEnd"/>
            <w:r w:rsidRPr="00795182">
              <w:rPr>
                <w:i/>
              </w:rPr>
              <w:t xml:space="preserve"> in die</w:t>
            </w:r>
          </w:p>
        </w:tc>
      </w:tr>
      <w:tr w:rsidR="00564AD6" w:rsidRPr="00FD119B" w14:paraId="27BAF96B" w14:textId="77777777" w:rsidTr="00FD119B">
        <w:tc>
          <w:tcPr>
            <w:tcW w:w="1809" w:type="dxa"/>
          </w:tcPr>
          <w:p w14:paraId="1B09D940" w14:textId="77777777" w:rsidR="00564AD6" w:rsidRDefault="00564AD6" w:rsidP="00FD119B">
            <w:r>
              <w:t>BRCA</w:t>
            </w:r>
          </w:p>
        </w:tc>
        <w:tc>
          <w:tcPr>
            <w:tcW w:w="6911" w:type="dxa"/>
          </w:tcPr>
          <w:p w14:paraId="63E01CBA" w14:textId="77777777" w:rsidR="00564AD6" w:rsidRPr="00FD119B" w:rsidRDefault="00564AD6" w:rsidP="00FD119B">
            <w:r>
              <w:t>B</w:t>
            </w:r>
            <w:r w:rsidRPr="008C7FFA">
              <w:t>reast cancer susceptibility gene</w:t>
            </w:r>
          </w:p>
        </w:tc>
      </w:tr>
      <w:tr w:rsidR="00564AD6" w:rsidRPr="00FD119B" w14:paraId="123064CB" w14:textId="77777777" w:rsidTr="00FD119B">
        <w:tc>
          <w:tcPr>
            <w:tcW w:w="1809" w:type="dxa"/>
          </w:tcPr>
          <w:p w14:paraId="4AFF3C49" w14:textId="77777777" w:rsidR="00564AD6" w:rsidRDefault="00564AD6" w:rsidP="00FD119B">
            <w:r>
              <w:t>BSEP</w:t>
            </w:r>
          </w:p>
        </w:tc>
        <w:tc>
          <w:tcPr>
            <w:tcW w:w="6911" w:type="dxa"/>
          </w:tcPr>
          <w:p w14:paraId="3CB8A21F" w14:textId="77777777" w:rsidR="00564AD6" w:rsidRDefault="00564AD6" w:rsidP="00B84459">
            <w:r>
              <w:t>Bile salt export pump</w:t>
            </w:r>
          </w:p>
        </w:tc>
      </w:tr>
      <w:tr w:rsidR="00564AD6" w:rsidRPr="00FD119B" w14:paraId="21AA28BE" w14:textId="77777777" w:rsidTr="00FD119B">
        <w:tc>
          <w:tcPr>
            <w:tcW w:w="1809" w:type="dxa"/>
          </w:tcPr>
          <w:p w14:paraId="659777F1" w14:textId="77777777" w:rsidR="00564AD6" w:rsidRDefault="00564AD6" w:rsidP="00FD119B">
            <w:r>
              <w:t>CDK</w:t>
            </w:r>
          </w:p>
        </w:tc>
        <w:tc>
          <w:tcPr>
            <w:tcW w:w="6911" w:type="dxa"/>
          </w:tcPr>
          <w:p w14:paraId="7EE13B3A" w14:textId="77777777" w:rsidR="00564AD6" w:rsidRDefault="00564AD6" w:rsidP="00B13185">
            <w:r>
              <w:t>C</w:t>
            </w:r>
            <w:r w:rsidRPr="00B13185">
              <w:t>ycl</w:t>
            </w:r>
            <w:r>
              <w:t>in-dependent protein kinase</w:t>
            </w:r>
          </w:p>
        </w:tc>
      </w:tr>
      <w:tr w:rsidR="00564AD6" w:rsidRPr="00FD119B" w14:paraId="3E17F3E1" w14:textId="77777777" w:rsidTr="00FD119B">
        <w:tc>
          <w:tcPr>
            <w:tcW w:w="1809" w:type="dxa"/>
          </w:tcPr>
          <w:p w14:paraId="17E9C07E" w14:textId="77777777" w:rsidR="00564AD6" w:rsidRDefault="00564AD6" w:rsidP="00FD119B">
            <w:r>
              <w:t>CHMP</w:t>
            </w:r>
          </w:p>
        </w:tc>
        <w:tc>
          <w:tcPr>
            <w:tcW w:w="6911" w:type="dxa"/>
          </w:tcPr>
          <w:p w14:paraId="7D8A4F7A" w14:textId="0827C15A" w:rsidR="00564AD6" w:rsidRDefault="00564AD6" w:rsidP="00B16F8C">
            <w:r w:rsidRPr="00B16F8C">
              <w:t>Committee for M</w:t>
            </w:r>
            <w:r>
              <w:t>edicinal Products for Human Use</w:t>
            </w:r>
            <w:r w:rsidR="00E873E0">
              <w:t xml:space="preserve"> (EU)</w:t>
            </w:r>
          </w:p>
        </w:tc>
      </w:tr>
      <w:tr w:rsidR="00564AD6" w:rsidRPr="00FD119B" w14:paraId="7E764A6C" w14:textId="77777777" w:rsidTr="00FD119B">
        <w:tc>
          <w:tcPr>
            <w:tcW w:w="1809" w:type="dxa"/>
          </w:tcPr>
          <w:p w14:paraId="37F3E29E" w14:textId="77777777" w:rsidR="00564AD6" w:rsidRDefault="00564AD6" w:rsidP="00FD119B">
            <w:r>
              <w:t>CI</w:t>
            </w:r>
          </w:p>
        </w:tc>
        <w:tc>
          <w:tcPr>
            <w:tcW w:w="6911" w:type="dxa"/>
          </w:tcPr>
          <w:p w14:paraId="2249A61C" w14:textId="77777777" w:rsidR="00564AD6" w:rsidRDefault="00564AD6" w:rsidP="00B16F8C">
            <w:r>
              <w:t>Confidence interval</w:t>
            </w:r>
          </w:p>
        </w:tc>
      </w:tr>
      <w:tr w:rsidR="00564AD6" w:rsidRPr="00FD119B" w14:paraId="6B4CEB39" w14:textId="77777777" w:rsidTr="00FD119B">
        <w:tc>
          <w:tcPr>
            <w:tcW w:w="1809" w:type="dxa"/>
          </w:tcPr>
          <w:p w14:paraId="1B1211AA" w14:textId="77777777" w:rsidR="00564AD6" w:rsidRDefault="00564AD6" w:rsidP="00FD119B">
            <w:r>
              <w:t>CLIA</w:t>
            </w:r>
          </w:p>
        </w:tc>
        <w:tc>
          <w:tcPr>
            <w:tcW w:w="6911" w:type="dxa"/>
          </w:tcPr>
          <w:p w14:paraId="1F3C6720" w14:textId="66190E4E" w:rsidR="00564AD6" w:rsidRDefault="00564AD6" w:rsidP="00CB20EC">
            <w:r>
              <w:t xml:space="preserve">Clinical </w:t>
            </w:r>
            <w:r w:rsidR="00E873E0">
              <w:t>laboratory improvement amendments</w:t>
            </w:r>
          </w:p>
        </w:tc>
      </w:tr>
      <w:tr w:rsidR="00564AD6" w:rsidRPr="00FD119B" w14:paraId="627BB105" w14:textId="77777777" w:rsidTr="00FD119B">
        <w:tc>
          <w:tcPr>
            <w:tcW w:w="1809" w:type="dxa"/>
          </w:tcPr>
          <w:p w14:paraId="00E8D72E" w14:textId="77777777" w:rsidR="00564AD6" w:rsidRDefault="00564AD6" w:rsidP="00FD119B">
            <w:proofErr w:type="spellStart"/>
            <w:r w:rsidRPr="00262C99">
              <w:t>C</w:t>
            </w:r>
            <w:r w:rsidRPr="00262C99">
              <w:rPr>
                <w:vertAlign w:val="subscript"/>
              </w:rPr>
              <w:t>max</w:t>
            </w:r>
            <w:proofErr w:type="spellEnd"/>
          </w:p>
        </w:tc>
        <w:tc>
          <w:tcPr>
            <w:tcW w:w="6911" w:type="dxa"/>
          </w:tcPr>
          <w:p w14:paraId="7F93C1B8" w14:textId="77777777" w:rsidR="00564AD6" w:rsidRDefault="00564AD6" w:rsidP="00262C99">
            <w:r>
              <w:t>Maximum plasma concentration</w:t>
            </w:r>
          </w:p>
        </w:tc>
      </w:tr>
      <w:tr w:rsidR="00564AD6" w:rsidRPr="00FD119B" w14:paraId="0F40D1A3" w14:textId="77777777" w:rsidTr="00FD119B">
        <w:tc>
          <w:tcPr>
            <w:tcW w:w="1809" w:type="dxa"/>
          </w:tcPr>
          <w:p w14:paraId="3E42F7E4" w14:textId="77777777" w:rsidR="00564AD6" w:rsidRDefault="00564AD6" w:rsidP="00FD119B">
            <w:r>
              <w:t>CMI</w:t>
            </w:r>
          </w:p>
        </w:tc>
        <w:tc>
          <w:tcPr>
            <w:tcW w:w="6911" w:type="dxa"/>
          </w:tcPr>
          <w:p w14:paraId="2A2CAEF6" w14:textId="77777777" w:rsidR="00564AD6" w:rsidRPr="00B16F8C" w:rsidRDefault="00564AD6" w:rsidP="00B16F8C">
            <w:r>
              <w:t>Consumer Medicines Information</w:t>
            </w:r>
          </w:p>
        </w:tc>
      </w:tr>
      <w:tr w:rsidR="00564AD6" w:rsidRPr="00FD119B" w14:paraId="1CBEFB05" w14:textId="77777777" w:rsidTr="00FD119B">
        <w:tc>
          <w:tcPr>
            <w:tcW w:w="1809" w:type="dxa"/>
          </w:tcPr>
          <w:p w14:paraId="44B70B85" w14:textId="77777777" w:rsidR="00564AD6" w:rsidRDefault="00564AD6" w:rsidP="00FD119B">
            <w:r>
              <w:t>CR</w:t>
            </w:r>
          </w:p>
        </w:tc>
        <w:tc>
          <w:tcPr>
            <w:tcW w:w="6911" w:type="dxa"/>
          </w:tcPr>
          <w:p w14:paraId="3D41B4B9" w14:textId="77777777" w:rsidR="00564AD6" w:rsidRDefault="00564AD6" w:rsidP="00E67C80">
            <w:r>
              <w:t>Complete response</w:t>
            </w:r>
          </w:p>
        </w:tc>
      </w:tr>
      <w:tr w:rsidR="00564AD6" w:rsidRPr="00FD119B" w14:paraId="749A0994" w14:textId="77777777" w:rsidTr="00FD119B">
        <w:tc>
          <w:tcPr>
            <w:tcW w:w="1809" w:type="dxa"/>
          </w:tcPr>
          <w:p w14:paraId="65B0B22D" w14:textId="77777777" w:rsidR="00564AD6" w:rsidRDefault="00564AD6" w:rsidP="00FD119B">
            <w:r>
              <w:t>CSR</w:t>
            </w:r>
          </w:p>
        </w:tc>
        <w:tc>
          <w:tcPr>
            <w:tcW w:w="6911" w:type="dxa"/>
          </w:tcPr>
          <w:p w14:paraId="46B04D80" w14:textId="77777777" w:rsidR="00564AD6" w:rsidRDefault="00564AD6" w:rsidP="00890225">
            <w:r>
              <w:t>Clinical study report</w:t>
            </w:r>
          </w:p>
        </w:tc>
      </w:tr>
      <w:tr w:rsidR="00564AD6" w:rsidRPr="00FD119B" w14:paraId="07BAB09C" w14:textId="77777777" w:rsidTr="00FD119B">
        <w:tc>
          <w:tcPr>
            <w:tcW w:w="1809" w:type="dxa"/>
          </w:tcPr>
          <w:p w14:paraId="546E6A0D" w14:textId="77777777" w:rsidR="00564AD6" w:rsidRDefault="00564AD6" w:rsidP="00FD119B">
            <w:r>
              <w:t>CT</w:t>
            </w:r>
          </w:p>
        </w:tc>
        <w:tc>
          <w:tcPr>
            <w:tcW w:w="6911" w:type="dxa"/>
          </w:tcPr>
          <w:p w14:paraId="2AE75528" w14:textId="77777777" w:rsidR="00564AD6" w:rsidRDefault="00564AD6" w:rsidP="00301727">
            <w:r>
              <w:t>C</w:t>
            </w:r>
            <w:r w:rsidRPr="00301727">
              <w:t>omputed tomography</w:t>
            </w:r>
          </w:p>
        </w:tc>
      </w:tr>
      <w:tr w:rsidR="00564AD6" w:rsidRPr="00FD119B" w14:paraId="19116ABC" w14:textId="77777777" w:rsidTr="00FD119B">
        <w:tc>
          <w:tcPr>
            <w:tcW w:w="1809" w:type="dxa"/>
          </w:tcPr>
          <w:p w14:paraId="2015F251" w14:textId="77777777" w:rsidR="00564AD6" w:rsidRDefault="00564AD6" w:rsidP="00FD119B">
            <w:r>
              <w:t>CTCAE</w:t>
            </w:r>
          </w:p>
        </w:tc>
        <w:tc>
          <w:tcPr>
            <w:tcW w:w="6911" w:type="dxa"/>
          </w:tcPr>
          <w:p w14:paraId="04FDD643" w14:textId="77777777" w:rsidR="00564AD6" w:rsidRDefault="00564AD6" w:rsidP="00435627">
            <w:r w:rsidRPr="00435627">
              <w:t>Common Terminology Criteria for Adverse Events</w:t>
            </w:r>
          </w:p>
        </w:tc>
      </w:tr>
      <w:tr w:rsidR="00564AD6" w:rsidRPr="00FD119B" w14:paraId="658B8073" w14:textId="77777777" w:rsidTr="00FD119B">
        <w:tc>
          <w:tcPr>
            <w:tcW w:w="1809" w:type="dxa"/>
          </w:tcPr>
          <w:p w14:paraId="4C387015" w14:textId="77777777" w:rsidR="00564AD6" w:rsidRDefault="00564AD6" w:rsidP="00FD119B">
            <w:r>
              <w:t>CYP</w:t>
            </w:r>
          </w:p>
        </w:tc>
        <w:tc>
          <w:tcPr>
            <w:tcW w:w="6911" w:type="dxa"/>
          </w:tcPr>
          <w:p w14:paraId="2C30C1E7" w14:textId="77777777" w:rsidR="00564AD6" w:rsidRDefault="00564AD6" w:rsidP="00890225">
            <w:r>
              <w:t>Cytochrome P450</w:t>
            </w:r>
          </w:p>
        </w:tc>
      </w:tr>
      <w:tr w:rsidR="00564AD6" w:rsidRPr="00FD119B" w14:paraId="143BCC71" w14:textId="77777777" w:rsidTr="00FD119B">
        <w:tc>
          <w:tcPr>
            <w:tcW w:w="1809" w:type="dxa"/>
          </w:tcPr>
          <w:p w14:paraId="33CBAB32" w14:textId="77777777" w:rsidR="00564AD6" w:rsidRDefault="00564AD6" w:rsidP="00FD119B">
            <w:r>
              <w:t>DCO</w:t>
            </w:r>
          </w:p>
        </w:tc>
        <w:tc>
          <w:tcPr>
            <w:tcW w:w="6911" w:type="dxa"/>
          </w:tcPr>
          <w:p w14:paraId="27737AD4" w14:textId="77777777" w:rsidR="00564AD6" w:rsidRDefault="00564AD6" w:rsidP="00262C99">
            <w:r>
              <w:t>Data cut-off</w:t>
            </w:r>
          </w:p>
        </w:tc>
      </w:tr>
      <w:tr w:rsidR="00564AD6" w:rsidRPr="00FD119B" w14:paraId="1524C556" w14:textId="77777777" w:rsidTr="00FD119B">
        <w:tc>
          <w:tcPr>
            <w:tcW w:w="1809" w:type="dxa"/>
          </w:tcPr>
          <w:p w14:paraId="551ED215" w14:textId="77777777" w:rsidR="00564AD6" w:rsidRDefault="00564AD6" w:rsidP="00FD119B">
            <w:r w:rsidRPr="005A1342">
              <w:t>DLP</w:t>
            </w:r>
          </w:p>
        </w:tc>
        <w:tc>
          <w:tcPr>
            <w:tcW w:w="6911" w:type="dxa"/>
          </w:tcPr>
          <w:p w14:paraId="1A6E50F7" w14:textId="77777777" w:rsidR="00564AD6" w:rsidRDefault="00564AD6" w:rsidP="00B16F8C">
            <w:r>
              <w:t>Data lock point</w:t>
            </w:r>
          </w:p>
        </w:tc>
      </w:tr>
      <w:tr w:rsidR="00564AD6" w:rsidRPr="00FD119B" w14:paraId="55C1B291" w14:textId="77777777" w:rsidTr="00FD119B">
        <w:tc>
          <w:tcPr>
            <w:tcW w:w="1809" w:type="dxa"/>
          </w:tcPr>
          <w:p w14:paraId="3EB33129" w14:textId="77777777" w:rsidR="00564AD6" w:rsidRDefault="00564AD6" w:rsidP="00FD119B">
            <w:r>
              <w:lastRenderedPageBreak/>
              <w:t>DOR</w:t>
            </w:r>
          </w:p>
        </w:tc>
        <w:tc>
          <w:tcPr>
            <w:tcW w:w="6911" w:type="dxa"/>
          </w:tcPr>
          <w:p w14:paraId="7B71BF38" w14:textId="77777777" w:rsidR="00564AD6" w:rsidRDefault="00564AD6" w:rsidP="00795182">
            <w:r>
              <w:t>Duration of response</w:t>
            </w:r>
          </w:p>
        </w:tc>
      </w:tr>
      <w:tr w:rsidR="00564AD6" w:rsidRPr="00FD119B" w14:paraId="420E3274" w14:textId="77777777" w:rsidTr="00FD119B">
        <w:tc>
          <w:tcPr>
            <w:tcW w:w="1809" w:type="dxa"/>
          </w:tcPr>
          <w:p w14:paraId="02EC3BD2" w14:textId="77777777" w:rsidR="00564AD6" w:rsidRDefault="00564AD6" w:rsidP="00FD119B">
            <w:r w:rsidRPr="00131458">
              <w:rPr>
                <w:lang w:eastAsia="ja-JP"/>
              </w:rPr>
              <w:t>ECG</w:t>
            </w:r>
          </w:p>
        </w:tc>
        <w:tc>
          <w:tcPr>
            <w:tcW w:w="6911" w:type="dxa"/>
          </w:tcPr>
          <w:p w14:paraId="3BBFA448" w14:textId="77777777" w:rsidR="00564AD6" w:rsidRDefault="00564AD6" w:rsidP="009046A3">
            <w:r>
              <w:rPr>
                <w:lang w:eastAsia="ja-JP"/>
              </w:rPr>
              <w:t>Electrocardiogram</w:t>
            </w:r>
          </w:p>
        </w:tc>
      </w:tr>
      <w:tr w:rsidR="00564AD6" w:rsidRPr="00FD119B" w14:paraId="21C25903" w14:textId="77777777" w:rsidTr="00FD119B">
        <w:tc>
          <w:tcPr>
            <w:tcW w:w="1809" w:type="dxa"/>
          </w:tcPr>
          <w:p w14:paraId="35B263E2" w14:textId="77777777" w:rsidR="00564AD6" w:rsidRDefault="00564AD6" w:rsidP="00FD119B">
            <w:r w:rsidRPr="00E610F3">
              <w:t>ECOG</w:t>
            </w:r>
          </w:p>
        </w:tc>
        <w:tc>
          <w:tcPr>
            <w:tcW w:w="6911" w:type="dxa"/>
          </w:tcPr>
          <w:p w14:paraId="17AEA37B" w14:textId="77777777" w:rsidR="00564AD6" w:rsidRDefault="00564AD6" w:rsidP="00F94E2C">
            <w:r w:rsidRPr="00F94E2C">
              <w:t>Eas</w:t>
            </w:r>
            <w:r>
              <w:t>tern Cooperative Oncology Group</w:t>
            </w:r>
          </w:p>
        </w:tc>
      </w:tr>
      <w:tr w:rsidR="00564AD6" w:rsidRPr="00FD119B" w14:paraId="36D360FF" w14:textId="77777777" w:rsidTr="00FD119B">
        <w:tc>
          <w:tcPr>
            <w:tcW w:w="1809" w:type="dxa"/>
          </w:tcPr>
          <w:p w14:paraId="37DD8BD3" w14:textId="77777777" w:rsidR="00564AD6" w:rsidRDefault="00564AD6" w:rsidP="00FD119B">
            <w:r>
              <w:t>EMA</w:t>
            </w:r>
          </w:p>
        </w:tc>
        <w:tc>
          <w:tcPr>
            <w:tcW w:w="6911" w:type="dxa"/>
          </w:tcPr>
          <w:p w14:paraId="4949FF49" w14:textId="6A46B60D" w:rsidR="00564AD6" w:rsidRDefault="00564AD6" w:rsidP="00B16F8C">
            <w:r>
              <w:t>European Medicines Agency</w:t>
            </w:r>
            <w:r w:rsidR="00E873E0">
              <w:t xml:space="preserve"> (EU)</w:t>
            </w:r>
          </w:p>
        </w:tc>
      </w:tr>
      <w:tr w:rsidR="00564AD6" w:rsidRPr="00FD119B" w14:paraId="68628CF0" w14:textId="77777777" w:rsidTr="00FD119B">
        <w:tc>
          <w:tcPr>
            <w:tcW w:w="1809" w:type="dxa"/>
          </w:tcPr>
          <w:p w14:paraId="663CE96E" w14:textId="77777777" w:rsidR="00564AD6" w:rsidRDefault="00564AD6" w:rsidP="00FD119B">
            <w:r>
              <w:t>ER</w:t>
            </w:r>
          </w:p>
        </w:tc>
        <w:tc>
          <w:tcPr>
            <w:tcW w:w="6911" w:type="dxa"/>
          </w:tcPr>
          <w:p w14:paraId="49D41626" w14:textId="77777777" w:rsidR="00564AD6" w:rsidRPr="00FD119B" w:rsidRDefault="00564AD6" w:rsidP="00FD119B">
            <w:r>
              <w:t>O</w:t>
            </w:r>
            <w:r w:rsidRPr="00015C3C">
              <w:t>estrogen receptor</w:t>
            </w:r>
          </w:p>
        </w:tc>
      </w:tr>
      <w:tr w:rsidR="00564AD6" w:rsidRPr="00FD119B" w14:paraId="1BBF9CBF" w14:textId="77777777" w:rsidTr="00FD119B">
        <w:tc>
          <w:tcPr>
            <w:tcW w:w="1809" w:type="dxa"/>
          </w:tcPr>
          <w:p w14:paraId="27C5CAED" w14:textId="77777777" w:rsidR="00564AD6" w:rsidRDefault="00564AD6" w:rsidP="00FD119B">
            <w:r>
              <w:t>ESRD</w:t>
            </w:r>
          </w:p>
        </w:tc>
        <w:tc>
          <w:tcPr>
            <w:tcW w:w="6911" w:type="dxa"/>
          </w:tcPr>
          <w:p w14:paraId="6A06A39D" w14:textId="77777777" w:rsidR="00564AD6" w:rsidRDefault="00564AD6" w:rsidP="00890225">
            <w:r>
              <w:t>End-stage renal disease</w:t>
            </w:r>
          </w:p>
        </w:tc>
      </w:tr>
      <w:tr w:rsidR="00564AD6" w:rsidRPr="00FD119B" w14:paraId="13929028" w14:textId="77777777" w:rsidTr="00FD119B">
        <w:tc>
          <w:tcPr>
            <w:tcW w:w="1809" w:type="dxa"/>
          </w:tcPr>
          <w:p w14:paraId="20ED15A5" w14:textId="77777777" w:rsidR="00564AD6" w:rsidRDefault="00564AD6" w:rsidP="00FD119B">
            <w:r>
              <w:t>EU</w:t>
            </w:r>
          </w:p>
        </w:tc>
        <w:tc>
          <w:tcPr>
            <w:tcW w:w="6911" w:type="dxa"/>
          </w:tcPr>
          <w:p w14:paraId="42640EA4" w14:textId="77777777" w:rsidR="00564AD6" w:rsidRDefault="00564AD6" w:rsidP="00B16F8C">
            <w:r>
              <w:t>European Union</w:t>
            </w:r>
          </w:p>
        </w:tc>
      </w:tr>
      <w:tr w:rsidR="00564AD6" w:rsidRPr="00FD119B" w14:paraId="3493A73C" w14:textId="77777777" w:rsidTr="00FD119B">
        <w:tc>
          <w:tcPr>
            <w:tcW w:w="1809" w:type="dxa"/>
          </w:tcPr>
          <w:p w14:paraId="78B11B8E" w14:textId="77777777" w:rsidR="00564AD6" w:rsidRDefault="00564AD6" w:rsidP="00FD119B">
            <w:r w:rsidRPr="005A1342">
              <w:t>EU-RMP</w:t>
            </w:r>
          </w:p>
        </w:tc>
        <w:tc>
          <w:tcPr>
            <w:tcW w:w="6911" w:type="dxa"/>
          </w:tcPr>
          <w:p w14:paraId="3D7B0C4C" w14:textId="3CFBF6E3" w:rsidR="00564AD6" w:rsidRDefault="00564AD6" w:rsidP="00E873E0">
            <w:r>
              <w:t>European Union-</w:t>
            </w:r>
            <w:r w:rsidR="00E873E0">
              <w:t>risk management plan</w:t>
            </w:r>
          </w:p>
        </w:tc>
      </w:tr>
      <w:tr w:rsidR="00564AD6" w:rsidRPr="00FD119B" w14:paraId="6993B827" w14:textId="77777777" w:rsidTr="00FD119B">
        <w:tc>
          <w:tcPr>
            <w:tcW w:w="1809" w:type="dxa"/>
          </w:tcPr>
          <w:p w14:paraId="1F838AA8" w14:textId="77777777" w:rsidR="00564AD6" w:rsidRDefault="00564AD6" w:rsidP="00FD119B">
            <w:r>
              <w:t>FDA</w:t>
            </w:r>
          </w:p>
        </w:tc>
        <w:tc>
          <w:tcPr>
            <w:tcW w:w="6911" w:type="dxa"/>
          </w:tcPr>
          <w:p w14:paraId="146B0B0D" w14:textId="77777777" w:rsidR="00564AD6" w:rsidRDefault="00564AD6" w:rsidP="00890225">
            <w:r>
              <w:t>Food and Drug Administration (USA)</w:t>
            </w:r>
          </w:p>
        </w:tc>
      </w:tr>
      <w:tr w:rsidR="00564AD6" w:rsidRPr="00FD119B" w14:paraId="0E9390E6" w14:textId="77777777" w:rsidTr="00FD119B">
        <w:tc>
          <w:tcPr>
            <w:tcW w:w="1809" w:type="dxa"/>
          </w:tcPr>
          <w:p w14:paraId="630CA67A" w14:textId="77777777" w:rsidR="00564AD6" w:rsidRDefault="00564AD6" w:rsidP="00FD119B">
            <w:r>
              <w:t>G-CSF</w:t>
            </w:r>
          </w:p>
        </w:tc>
        <w:tc>
          <w:tcPr>
            <w:tcW w:w="6911" w:type="dxa"/>
          </w:tcPr>
          <w:p w14:paraId="775B8F40" w14:textId="77777777" w:rsidR="00564AD6" w:rsidRDefault="00564AD6" w:rsidP="00795182">
            <w:r>
              <w:t>G</w:t>
            </w:r>
            <w:r w:rsidRPr="00795182">
              <w:t>ranul</w:t>
            </w:r>
            <w:r>
              <w:t>ocyte-colony stimulating factor</w:t>
            </w:r>
          </w:p>
        </w:tc>
      </w:tr>
      <w:tr w:rsidR="00564AD6" w:rsidRPr="00FD119B" w14:paraId="7ABEEB31" w14:textId="77777777" w:rsidTr="00FD119B">
        <w:tc>
          <w:tcPr>
            <w:tcW w:w="1809" w:type="dxa"/>
          </w:tcPr>
          <w:p w14:paraId="4E2A8AC4" w14:textId="77777777" w:rsidR="00564AD6" w:rsidRDefault="00564AD6" w:rsidP="00FD119B">
            <w:r>
              <w:t>GI</w:t>
            </w:r>
          </w:p>
        </w:tc>
        <w:tc>
          <w:tcPr>
            <w:tcW w:w="6911" w:type="dxa"/>
          </w:tcPr>
          <w:p w14:paraId="511A586B" w14:textId="77777777" w:rsidR="00564AD6" w:rsidRDefault="00564AD6" w:rsidP="00262C99">
            <w:r>
              <w:t>Gastrointestinal</w:t>
            </w:r>
          </w:p>
        </w:tc>
      </w:tr>
      <w:tr w:rsidR="00564AD6" w:rsidRPr="00FD119B" w14:paraId="78625D80" w14:textId="77777777" w:rsidTr="00FD119B">
        <w:tc>
          <w:tcPr>
            <w:tcW w:w="1809" w:type="dxa"/>
          </w:tcPr>
          <w:p w14:paraId="0951AD57" w14:textId="77777777" w:rsidR="00564AD6" w:rsidRDefault="00564AD6" w:rsidP="00FD119B">
            <w:r>
              <w:t>GVP</w:t>
            </w:r>
          </w:p>
        </w:tc>
        <w:tc>
          <w:tcPr>
            <w:tcW w:w="6911" w:type="dxa"/>
          </w:tcPr>
          <w:p w14:paraId="1D73A3DF" w14:textId="14BFC6D7" w:rsidR="00564AD6" w:rsidRDefault="00564AD6" w:rsidP="00B16F8C">
            <w:r>
              <w:t>Good Pharmacovigilance P</w:t>
            </w:r>
            <w:r w:rsidRPr="00C45281">
              <w:t>rac</w:t>
            </w:r>
            <w:r>
              <w:t>tice</w:t>
            </w:r>
            <w:r w:rsidR="00CA15AD">
              <w:t>(</w:t>
            </w:r>
            <w:r>
              <w:t>s</w:t>
            </w:r>
            <w:r w:rsidR="00CA15AD">
              <w:t>)</w:t>
            </w:r>
          </w:p>
        </w:tc>
      </w:tr>
      <w:tr w:rsidR="00564AD6" w:rsidRPr="00FD119B" w14:paraId="35D1F4AF" w14:textId="77777777" w:rsidTr="00FD119B">
        <w:tc>
          <w:tcPr>
            <w:tcW w:w="1809" w:type="dxa"/>
          </w:tcPr>
          <w:p w14:paraId="70AA003E" w14:textId="77777777" w:rsidR="00564AD6" w:rsidRPr="00FD119B" w:rsidRDefault="00564AD6" w:rsidP="001A43EA">
            <w:pPr>
              <w:rPr>
                <w:lang w:eastAsia="en-US"/>
              </w:rPr>
            </w:pPr>
            <w:r>
              <w:rPr>
                <w:lang w:eastAsia="en-US"/>
              </w:rPr>
              <w:t>HER2</w:t>
            </w:r>
          </w:p>
        </w:tc>
        <w:tc>
          <w:tcPr>
            <w:tcW w:w="6911" w:type="dxa"/>
          </w:tcPr>
          <w:p w14:paraId="44D83765" w14:textId="77777777" w:rsidR="00564AD6" w:rsidRPr="00FD119B" w:rsidRDefault="00564AD6" w:rsidP="001A43EA">
            <w:pPr>
              <w:rPr>
                <w:lang w:eastAsia="en-US"/>
              </w:rPr>
            </w:pPr>
            <w:r>
              <w:rPr>
                <w:lang w:eastAsia="en-US"/>
              </w:rPr>
              <w:t>H</w:t>
            </w:r>
            <w:r w:rsidRPr="001737EE">
              <w:rPr>
                <w:lang w:eastAsia="en-US"/>
              </w:rPr>
              <w:t>uman epidermal growth factor receptor 2</w:t>
            </w:r>
          </w:p>
        </w:tc>
      </w:tr>
      <w:tr w:rsidR="00564AD6" w:rsidRPr="00FD119B" w14:paraId="546D698D" w14:textId="77777777" w:rsidTr="00FD119B">
        <w:tc>
          <w:tcPr>
            <w:tcW w:w="1809" w:type="dxa"/>
          </w:tcPr>
          <w:p w14:paraId="52A4B2FE" w14:textId="77777777" w:rsidR="00564AD6" w:rsidRDefault="00564AD6" w:rsidP="00FD119B">
            <w:r>
              <w:t>HIV</w:t>
            </w:r>
          </w:p>
        </w:tc>
        <w:tc>
          <w:tcPr>
            <w:tcW w:w="6911" w:type="dxa"/>
          </w:tcPr>
          <w:p w14:paraId="137396D0" w14:textId="77777777" w:rsidR="00564AD6" w:rsidRDefault="00564AD6" w:rsidP="00AE5AC0">
            <w:r>
              <w:t>Human immunodeficiency virus</w:t>
            </w:r>
          </w:p>
        </w:tc>
      </w:tr>
      <w:tr w:rsidR="00564AD6" w:rsidRPr="00FD119B" w14:paraId="3B062EA8" w14:textId="77777777" w:rsidTr="00FD119B">
        <w:tc>
          <w:tcPr>
            <w:tcW w:w="1809" w:type="dxa"/>
          </w:tcPr>
          <w:p w14:paraId="047724B6" w14:textId="77777777" w:rsidR="00564AD6" w:rsidRDefault="00564AD6" w:rsidP="00FD119B">
            <w:r>
              <w:t>HR</w:t>
            </w:r>
          </w:p>
        </w:tc>
        <w:tc>
          <w:tcPr>
            <w:tcW w:w="6911" w:type="dxa"/>
          </w:tcPr>
          <w:p w14:paraId="69C80F77" w14:textId="77777777" w:rsidR="00564AD6" w:rsidRPr="00FD119B" w:rsidRDefault="00564AD6" w:rsidP="00FD119B">
            <w:r>
              <w:t>Hormone receptor</w:t>
            </w:r>
          </w:p>
        </w:tc>
      </w:tr>
      <w:tr w:rsidR="00564AD6" w:rsidRPr="00FD119B" w14:paraId="3F5F6628" w14:textId="77777777" w:rsidTr="00FD119B">
        <w:tc>
          <w:tcPr>
            <w:tcW w:w="1809" w:type="dxa"/>
          </w:tcPr>
          <w:p w14:paraId="1CDB9342" w14:textId="77777777" w:rsidR="00564AD6" w:rsidRDefault="00564AD6" w:rsidP="00FD119B">
            <w:r w:rsidRPr="00853E05">
              <w:t>IC</w:t>
            </w:r>
            <w:r w:rsidRPr="00890225">
              <w:rPr>
                <w:vertAlign w:val="subscript"/>
              </w:rPr>
              <w:t>50</w:t>
            </w:r>
          </w:p>
        </w:tc>
        <w:tc>
          <w:tcPr>
            <w:tcW w:w="6911" w:type="dxa"/>
          </w:tcPr>
          <w:p w14:paraId="2EAD09D8" w14:textId="77777777" w:rsidR="00564AD6" w:rsidRDefault="00564AD6" w:rsidP="00890225">
            <w:r>
              <w:t>Half maximal inhibitory concentration</w:t>
            </w:r>
          </w:p>
        </w:tc>
      </w:tr>
      <w:tr w:rsidR="00564AD6" w:rsidRPr="00FD119B" w14:paraId="2DF0977D" w14:textId="77777777" w:rsidTr="00FD119B">
        <w:tc>
          <w:tcPr>
            <w:tcW w:w="1809" w:type="dxa"/>
          </w:tcPr>
          <w:p w14:paraId="49DED955" w14:textId="77777777" w:rsidR="00564AD6" w:rsidRDefault="00564AD6" w:rsidP="00FD119B">
            <w:r>
              <w:t>IRF</w:t>
            </w:r>
          </w:p>
        </w:tc>
        <w:tc>
          <w:tcPr>
            <w:tcW w:w="6911" w:type="dxa"/>
          </w:tcPr>
          <w:p w14:paraId="054472B1" w14:textId="77777777" w:rsidR="00564AD6" w:rsidRDefault="00564AD6" w:rsidP="00795182">
            <w:r>
              <w:t>Independent radiology facility</w:t>
            </w:r>
          </w:p>
        </w:tc>
      </w:tr>
      <w:tr w:rsidR="00564AD6" w:rsidRPr="00FD119B" w14:paraId="6FF5853C" w14:textId="77777777" w:rsidTr="00FD119B">
        <w:tc>
          <w:tcPr>
            <w:tcW w:w="1809" w:type="dxa"/>
          </w:tcPr>
          <w:p w14:paraId="01F0702E" w14:textId="77777777" w:rsidR="00564AD6" w:rsidRDefault="00564AD6" w:rsidP="00FD119B">
            <w:r>
              <w:t>ITT</w:t>
            </w:r>
          </w:p>
        </w:tc>
        <w:tc>
          <w:tcPr>
            <w:tcW w:w="6911" w:type="dxa"/>
          </w:tcPr>
          <w:p w14:paraId="000C390E" w14:textId="77777777" w:rsidR="00564AD6" w:rsidRDefault="00564AD6" w:rsidP="00795182">
            <w:r>
              <w:t>Intent-to-treat</w:t>
            </w:r>
          </w:p>
        </w:tc>
      </w:tr>
      <w:tr w:rsidR="00564AD6" w:rsidRPr="00FD119B" w14:paraId="34A4393A" w14:textId="77777777" w:rsidTr="00FD119B">
        <w:tc>
          <w:tcPr>
            <w:tcW w:w="1809" w:type="dxa"/>
          </w:tcPr>
          <w:p w14:paraId="390533A5" w14:textId="77777777" w:rsidR="00564AD6" w:rsidRDefault="00564AD6" w:rsidP="00FD119B">
            <w:r>
              <w:t>IV</w:t>
            </w:r>
          </w:p>
        </w:tc>
        <w:tc>
          <w:tcPr>
            <w:tcW w:w="6911" w:type="dxa"/>
          </w:tcPr>
          <w:p w14:paraId="179B1C95" w14:textId="77777777" w:rsidR="00564AD6" w:rsidRDefault="00564AD6" w:rsidP="00795182">
            <w:r>
              <w:t>Intravenous(</w:t>
            </w:r>
            <w:proofErr w:type="spellStart"/>
            <w:r>
              <w:t>ly</w:t>
            </w:r>
            <w:proofErr w:type="spellEnd"/>
            <w:r>
              <w:t>)</w:t>
            </w:r>
          </w:p>
        </w:tc>
      </w:tr>
      <w:tr w:rsidR="00564AD6" w:rsidRPr="00FD119B" w14:paraId="69CFD4D5" w14:textId="77777777" w:rsidTr="00FD119B">
        <w:tc>
          <w:tcPr>
            <w:tcW w:w="1809" w:type="dxa"/>
          </w:tcPr>
          <w:p w14:paraId="1B342949" w14:textId="77777777" w:rsidR="00564AD6" w:rsidRDefault="00564AD6" w:rsidP="00FD119B">
            <w:r>
              <w:t>MATE</w:t>
            </w:r>
          </w:p>
        </w:tc>
        <w:tc>
          <w:tcPr>
            <w:tcW w:w="6911" w:type="dxa"/>
          </w:tcPr>
          <w:p w14:paraId="3B208660" w14:textId="77777777" w:rsidR="00564AD6" w:rsidRDefault="00564AD6" w:rsidP="00B84459">
            <w:r>
              <w:t>Multidrug and toxin extrusion</w:t>
            </w:r>
          </w:p>
        </w:tc>
      </w:tr>
      <w:tr w:rsidR="00564AD6" w:rsidRPr="00FD119B" w14:paraId="1C654DF8" w14:textId="77777777" w:rsidTr="00FD119B">
        <w:tc>
          <w:tcPr>
            <w:tcW w:w="1809" w:type="dxa"/>
          </w:tcPr>
          <w:p w14:paraId="6524E5EA" w14:textId="77777777" w:rsidR="00564AD6" w:rsidRDefault="00564AD6" w:rsidP="00FD119B">
            <w:r>
              <w:t>MBC</w:t>
            </w:r>
          </w:p>
        </w:tc>
        <w:tc>
          <w:tcPr>
            <w:tcW w:w="6911" w:type="dxa"/>
          </w:tcPr>
          <w:p w14:paraId="5395297C" w14:textId="77777777" w:rsidR="00564AD6" w:rsidRDefault="00564AD6" w:rsidP="00795182">
            <w:r>
              <w:t>Metastatic breast cancer</w:t>
            </w:r>
          </w:p>
        </w:tc>
      </w:tr>
      <w:tr w:rsidR="00564AD6" w:rsidRPr="00FD119B" w14:paraId="513D772A" w14:textId="77777777" w:rsidTr="00FD119B">
        <w:tc>
          <w:tcPr>
            <w:tcW w:w="1809" w:type="dxa"/>
          </w:tcPr>
          <w:p w14:paraId="756CE75A" w14:textId="77777777" w:rsidR="00564AD6" w:rsidRDefault="00564AD6" w:rsidP="00FD119B">
            <w:r>
              <w:t>MDS</w:t>
            </w:r>
          </w:p>
        </w:tc>
        <w:tc>
          <w:tcPr>
            <w:tcW w:w="6911" w:type="dxa"/>
          </w:tcPr>
          <w:p w14:paraId="6DF453BD" w14:textId="77777777" w:rsidR="00564AD6" w:rsidRDefault="00564AD6" w:rsidP="0044358C">
            <w:r>
              <w:t>Myelodysplastic syndrome</w:t>
            </w:r>
          </w:p>
        </w:tc>
      </w:tr>
      <w:tr w:rsidR="00564AD6" w:rsidRPr="00FD119B" w14:paraId="38476782" w14:textId="77777777" w:rsidTr="00FD119B">
        <w:tc>
          <w:tcPr>
            <w:tcW w:w="1809" w:type="dxa"/>
          </w:tcPr>
          <w:p w14:paraId="3E1169B0" w14:textId="77777777" w:rsidR="00564AD6" w:rsidRDefault="00564AD6" w:rsidP="00FD119B">
            <w:proofErr w:type="spellStart"/>
            <w:r>
              <w:t>MedDRA</w:t>
            </w:r>
            <w:proofErr w:type="spellEnd"/>
          </w:p>
        </w:tc>
        <w:tc>
          <w:tcPr>
            <w:tcW w:w="6911" w:type="dxa"/>
          </w:tcPr>
          <w:p w14:paraId="3D106033" w14:textId="77777777" w:rsidR="00564AD6" w:rsidRDefault="00564AD6" w:rsidP="00180AB7">
            <w:r w:rsidRPr="00180AB7">
              <w:t>Medical Dicti</w:t>
            </w:r>
            <w:r>
              <w:t>onary for Regulatory Activities</w:t>
            </w:r>
          </w:p>
        </w:tc>
      </w:tr>
      <w:tr w:rsidR="00564AD6" w:rsidRPr="00FD119B" w14:paraId="7323BC2C" w14:textId="77777777" w:rsidTr="00FD119B">
        <w:tc>
          <w:tcPr>
            <w:tcW w:w="1809" w:type="dxa"/>
          </w:tcPr>
          <w:p w14:paraId="265ABE0B" w14:textId="77777777" w:rsidR="00564AD6" w:rsidRDefault="00564AD6" w:rsidP="00FD119B">
            <w:r>
              <w:t>MRI</w:t>
            </w:r>
          </w:p>
        </w:tc>
        <w:tc>
          <w:tcPr>
            <w:tcW w:w="6911" w:type="dxa"/>
          </w:tcPr>
          <w:p w14:paraId="02398158" w14:textId="77777777" w:rsidR="00564AD6" w:rsidRDefault="00564AD6" w:rsidP="00262C99">
            <w:r>
              <w:t>M</w:t>
            </w:r>
            <w:r w:rsidRPr="00301727">
              <w:t>agnetic resonance imaging</w:t>
            </w:r>
          </w:p>
        </w:tc>
      </w:tr>
      <w:tr w:rsidR="00564AD6" w:rsidRPr="00FD119B" w14:paraId="41A3AA91" w14:textId="77777777" w:rsidTr="00FD119B">
        <w:tc>
          <w:tcPr>
            <w:tcW w:w="1809" w:type="dxa"/>
          </w:tcPr>
          <w:p w14:paraId="3CF6CE76" w14:textId="77777777" w:rsidR="00564AD6" w:rsidRDefault="00564AD6" w:rsidP="00FD119B">
            <w:r>
              <w:t>OAT</w:t>
            </w:r>
          </w:p>
        </w:tc>
        <w:tc>
          <w:tcPr>
            <w:tcW w:w="6911" w:type="dxa"/>
          </w:tcPr>
          <w:p w14:paraId="635B539D" w14:textId="77777777" w:rsidR="00564AD6" w:rsidRDefault="00564AD6" w:rsidP="00B84459">
            <w:r>
              <w:t>Organic anion transporter</w:t>
            </w:r>
          </w:p>
        </w:tc>
      </w:tr>
      <w:tr w:rsidR="00564AD6" w:rsidRPr="00FD119B" w14:paraId="552AF0DB" w14:textId="77777777" w:rsidTr="00FD119B">
        <w:tc>
          <w:tcPr>
            <w:tcW w:w="1809" w:type="dxa"/>
          </w:tcPr>
          <w:p w14:paraId="3ED3522B" w14:textId="77777777" w:rsidR="00564AD6" w:rsidRDefault="00564AD6" w:rsidP="00FD119B">
            <w:r>
              <w:t>OATP</w:t>
            </w:r>
          </w:p>
        </w:tc>
        <w:tc>
          <w:tcPr>
            <w:tcW w:w="6911" w:type="dxa"/>
          </w:tcPr>
          <w:p w14:paraId="4C041F20" w14:textId="77777777" w:rsidR="00564AD6" w:rsidRDefault="00564AD6" w:rsidP="00B84459">
            <w:r>
              <w:t>Organic anion transporting polypeptide</w:t>
            </w:r>
          </w:p>
        </w:tc>
      </w:tr>
      <w:tr w:rsidR="00564AD6" w:rsidRPr="00FD119B" w14:paraId="2518D4B6" w14:textId="77777777" w:rsidTr="00FD119B">
        <w:tc>
          <w:tcPr>
            <w:tcW w:w="1809" w:type="dxa"/>
          </w:tcPr>
          <w:p w14:paraId="6B66E06A" w14:textId="77777777" w:rsidR="00564AD6" w:rsidRDefault="00564AD6" w:rsidP="00FD119B">
            <w:r>
              <w:lastRenderedPageBreak/>
              <w:t>OCT</w:t>
            </w:r>
          </w:p>
        </w:tc>
        <w:tc>
          <w:tcPr>
            <w:tcW w:w="6911" w:type="dxa"/>
          </w:tcPr>
          <w:p w14:paraId="64BC410F" w14:textId="77777777" w:rsidR="00564AD6" w:rsidRDefault="00564AD6" w:rsidP="00B84459">
            <w:r>
              <w:t>Organic cation transporter</w:t>
            </w:r>
          </w:p>
        </w:tc>
      </w:tr>
      <w:tr w:rsidR="00564AD6" w:rsidRPr="00FD119B" w14:paraId="5017CD5E" w14:textId="77777777" w:rsidTr="00FD119B">
        <w:tc>
          <w:tcPr>
            <w:tcW w:w="1809" w:type="dxa"/>
          </w:tcPr>
          <w:p w14:paraId="44A5120C" w14:textId="77777777" w:rsidR="00564AD6" w:rsidRDefault="00564AD6" w:rsidP="00FD119B">
            <w:r w:rsidRPr="00262C99">
              <w:t>ORR</w:t>
            </w:r>
          </w:p>
        </w:tc>
        <w:tc>
          <w:tcPr>
            <w:tcW w:w="6911" w:type="dxa"/>
          </w:tcPr>
          <w:p w14:paraId="0BB23E97" w14:textId="77777777" w:rsidR="00564AD6" w:rsidRDefault="00564AD6" w:rsidP="00262C99">
            <w:r>
              <w:t>Objective response rate</w:t>
            </w:r>
          </w:p>
        </w:tc>
      </w:tr>
      <w:tr w:rsidR="00564AD6" w:rsidRPr="00FD119B" w14:paraId="3EB3B42F" w14:textId="77777777" w:rsidTr="00FD119B">
        <w:tc>
          <w:tcPr>
            <w:tcW w:w="1809" w:type="dxa"/>
          </w:tcPr>
          <w:p w14:paraId="3C2E76ED" w14:textId="77777777" w:rsidR="00564AD6" w:rsidRDefault="00564AD6" w:rsidP="001A43EA">
            <w:r>
              <w:t>OS</w:t>
            </w:r>
          </w:p>
        </w:tc>
        <w:tc>
          <w:tcPr>
            <w:tcW w:w="6911" w:type="dxa"/>
          </w:tcPr>
          <w:p w14:paraId="5D952B87" w14:textId="77777777" w:rsidR="00564AD6" w:rsidRPr="00FD119B" w:rsidRDefault="00564AD6" w:rsidP="001A43EA">
            <w:r>
              <w:t>Overall survival</w:t>
            </w:r>
          </w:p>
        </w:tc>
      </w:tr>
      <w:tr w:rsidR="00564AD6" w:rsidRPr="00FD119B" w14:paraId="5CAF8FD3" w14:textId="77777777" w:rsidTr="00FD119B">
        <w:tc>
          <w:tcPr>
            <w:tcW w:w="1809" w:type="dxa"/>
          </w:tcPr>
          <w:p w14:paraId="0F143642" w14:textId="77777777" w:rsidR="00564AD6" w:rsidRDefault="00564AD6" w:rsidP="00FD119B">
            <w:r>
              <w:t>PADER</w:t>
            </w:r>
          </w:p>
        </w:tc>
        <w:tc>
          <w:tcPr>
            <w:tcW w:w="6911" w:type="dxa"/>
          </w:tcPr>
          <w:p w14:paraId="15724AE2" w14:textId="37437E73" w:rsidR="00564AD6" w:rsidRDefault="00564AD6" w:rsidP="009046A3">
            <w:r>
              <w:t xml:space="preserve">Periodic </w:t>
            </w:r>
            <w:r w:rsidR="00E873E0">
              <w:t>adverse drug experience report</w:t>
            </w:r>
          </w:p>
        </w:tc>
      </w:tr>
      <w:tr w:rsidR="00564AD6" w:rsidRPr="00FD119B" w14:paraId="464439EF" w14:textId="77777777" w:rsidTr="00FD119B">
        <w:tc>
          <w:tcPr>
            <w:tcW w:w="1809" w:type="dxa"/>
          </w:tcPr>
          <w:p w14:paraId="562D75AE" w14:textId="77777777" w:rsidR="00564AD6" w:rsidRDefault="00564AD6" w:rsidP="00FD119B">
            <w:r w:rsidRPr="001737EE">
              <w:t>PARP</w:t>
            </w:r>
          </w:p>
        </w:tc>
        <w:tc>
          <w:tcPr>
            <w:tcW w:w="6911" w:type="dxa"/>
          </w:tcPr>
          <w:p w14:paraId="290880DC" w14:textId="77777777" w:rsidR="00564AD6" w:rsidRPr="00FD119B" w:rsidRDefault="00564AD6" w:rsidP="001737EE">
            <w:r>
              <w:t xml:space="preserve">Poly </w:t>
            </w:r>
            <w:r w:rsidRPr="00015C3C">
              <w:t>adenosine diphosphate</w:t>
            </w:r>
            <w:r>
              <w:t xml:space="preserve"> ribose polymerase</w:t>
            </w:r>
          </w:p>
        </w:tc>
      </w:tr>
      <w:tr w:rsidR="00564AD6" w:rsidRPr="00FD119B" w14:paraId="04508BEF" w14:textId="77777777" w:rsidTr="00FD119B">
        <w:tc>
          <w:tcPr>
            <w:tcW w:w="1809" w:type="dxa"/>
          </w:tcPr>
          <w:p w14:paraId="426F60A3" w14:textId="77777777" w:rsidR="00564AD6" w:rsidRDefault="00564AD6" w:rsidP="00FD119B">
            <w:r>
              <w:t>PCT</w:t>
            </w:r>
          </w:p>
        </w:tc>
        <w:tc>
          <w:tcPr>
            <w:tcW w:w="6911" w:type="dxa"/>
          </w:tcPr>
          <w:p w14:paraId="45DB2CC0" w14:textId="77777777" w:rsidR="00564AD6" w:rsidRDefault="00564AD6" w:rsidP="00015C3C">
            <w:r>
              <w:t>Physicians’ choice treatment</w:t>
            </w:r>
          </w:p>
        </w:tc>
      </w:tr>
      <w:tr w:rsidR="00564AD6" w:rsidRPr="00FD119B" w14:paraId="0575C32D" w14:textId="77777777" w:rsidTr="00FD119B">
        <w:tc>
          <w:tcPr>
            <w:tcW w:w="1809" w:type="dxa"/>
          </w:tcPr>
          <w:p w14:paraId="2114FC8F" w14:textId="77777777" w:rsidR="00564AD6" w:rsidRDefault="00564AD6" w:rsidP="00FD119B">
            <w:r>
              <w:t>PD</w:t>
            </w:r>
          </w:p>
        </w:tc>
        <w:tc>
          <w:tcPr>
            <w:tcW w:w="6911" w:type="dxa"/>
          </w:tcPr>
          <w:p w14:paraId="3D29BE49" w14:textId="252B99F8" w:rsidR="00564AD6" w:rsidRDefault="00564AD6" w:rsidP="00262C99">
            <w:proofErr w:type="spellStart"/>
            <w:r>
              <w:t>Pharmacodynamic</w:t>
            </w:r>
            <w:proofErr w:type="spellEnd"/>
            <w:r w:rsidR="00E873E0">
              <w:t>(</w:t>
            </w:r>
            <w:r>
              <w:t>s</w:t>
            </w:r>
            <w:r w:rsidR="00E873E0">
              <w:t>)</w:t>
            </w:r>
          </w:p>
        </w:tc>
      </w:tr>
      <w:tr w:rsidR="00564AD6" w:rsidRPr="00FD119B" w14:paraId="439F09B6" w14:textId="77777777" w:rsidTr="00FD119B">
        <w:tc>
          <w:tcPr>
            <w:tcW w:w="1809" w:type="dxa"/>
          </w:tcPr>
          <w:p w14:paraId="11CD41DC" w14:textId="77777777" w:rsidR="00564AD6" w:rsidRDefault="00564AD6" w:rsidP="00FD119B">
            <w:r>
              <w:t>PFS</w:t>
            </w:r>
          </w:p>
        </w:tc>
        <w:tc>
          <w:tcPr>
            <w:tcW w:w="6911" w:type="dxa"/>
          </w:tcPr>
          <w:p w14:paraId="0A64445B" w14:textId="77777777" w:rsidR="00564AD6" w:rsidRDefault="00564AD6" w:rsidP="00795182">
            <w:r>
              <w:t>Progression-free survival</w:t>
            </w:r>
          </w:p>
        </w:tc>
      </w:tr>
      <w:tr w:rsidR="00564AD6" w:rsidRPr="00FD119B" w14:paraId="5F27060B" w14:textId="77777777" w:rsidTr="00FD119B">
        <w:tc>
          <w:tcPr>
            <w:tcW w:w="1809" w:type="dxa"/>
          </w:tcPr>
          <w:p w14:paraId="47445CDD" w14:textId="77777777" w:rsidR="00564AD6" w:rsidRDefault="00564AD6" w:rsidP="00FD119B">
            <w:r w:rsidRPr="00940A89">
              <w:t>PI</w:t>
            </w:r>
          </w:p>
        </w:tc>
        <w:tc>
          <w:tcPr>
            <w:tcW w:w="6911" w:type="dxa"/>
          </w:tcPr>
          <w:p w14:paraId="24AB6AA5" w14:textId="77777777" w:rsidR="00564AD6" w:rsidRDefault="00564AD6" w:rsidP="00262C99">
            <w:r>
              <w:t>Product Information</w:t>
            </w:r>
          </w:p>
        </w:tc>
      </w:tr>
      <w:tr w:rsidR="00564AD6" w:rsidRPr="00FD119B" w14:paraId="5A331E00" w14:textId="77777777" w:rsidTr="00FD119B">
        <w:tc>
          <w:tcPr>
            <w:tcW w:w="1809" w:type="dxa"/>
          </w:tcPr>
          <w:p w14:paraId="771FC67C" w14:textId="77777777" w:rsidR="00564AD6" w:rsidRDefault="00564AD6" w:rsidP="00FD119B">
            <w:r w:rsidRPr="00262C99">
              <w:t>PK</w:t>
            </w:r>
          </w:p>
        </w:tc>
        <w:tc>
          <w:tcPr>
            <w:tcW w:w="6911" w:type="dxa"/>
          </w:tcPr>
          <w:p w14:paraId="190E71DE" w14:textId="14BE93FE" w:rsidR="00564AD6" w:rsidRDefault="00564AD6" w:rsidP="00262C99">
            <w:r>
              <w:t>Pharmacokinetic</w:t>
            </w:r>
            <w:r w:rsidR="00E873E0">
              <w:t>(s)</w:t>
            </w:r>
          </w:p>
        </w:tc>
      </w:tr>
      <w:tr w:rsidR="00564AD6" w:rsidRPr="00FD119B" w14:paraId="7585589E" w14:textId="77777777" w:rsidTr="00FD119B">
        <w:tc>
          <w:tcPr>
            <w:tcW w:w="1809" w:type="dxa"/>
          </w:tcPr>
          <w:p w14:paraId="7612C35C" w14:textId="77777777" w:rsidR="00564AD6" w:rsidRDefault="00564AD6" w:rsidP="00FD119B">
            <w:r>
              <w:t>PO</w:t>
            </w:r>
          </w:p>
        </w:tc>
        <w:tc>
          <w:tcPr>
            <w:tcW w:w="6911" w:type="dxa"/>
          </w:tcPr>
          <w:p w14:paraId="48DD86B3" w14:textId="77777777" w:rsidR="00564AD6" w:rsidRDefault="00564AD6" w:rsidP="00CB20EC">
            <w:r>
              <w:t xml:space="preserve">By mouth, Latin: </w:t>
            </w:r>
            <w:r w:rsidRPr="00CB20EC">
              <w:rPr>
                <w:i/>
              </w:rPr>
              <w:t xml:space="preserve">per </w:t>
            </w:r>
            <w:proofErr w:type="spellStart"/>
            <w:r w:rsidRPr="00CB20EC">
              <w:rPr>
                <w:i/>
              </w:rPr>
              <w:t>os</w:t>
            </w:r>
            <w:proofErr w:type="spellEnd"/>
          </w:p>
        </w:tc>
      </w:tr>
      <w:tr w:rsidR="00564AD6" w:rsidRPr="00FD119B" w14:paraId="3ACE0BDB" w14:textId="77777777" w:rsidTr="00FD119B">
        <w:tc>
          <w:tcPr>
            <w:tcW w:w="1809" w:type="dxa"/>
          </w:tcPr>
          <w:p w14:paraId="17A58C34" w14:textId="77777777" w:rsidR="00564AD6" w:rsidRDefault="00564AD6" w:rsidP="00FD119B">
            <w:r>
              <w:t>pop-</w:t>
            </w:r>
            <w:r w:rsidRPr="00262C99">
              <w:t>PK</w:t>
            </w:r>
          </w:p>
        </w:tc>
        <w:tc>
          <w:tcPr>
            <w:tcW w:w="6911" w:type="dxa"/>
          </w:tcPr>
          <w:p w14:paraId="45006275" w14:textId="55CBFD72" w:rsidR="00564AD6" w:rsidRDefault="00564AD6" w:rsidP="00890225">
            <w:r>
              <w:t>Population pharmacokinetic</w:t>
            </w:r>
            <w:r w:rsidR="00E873E0">
              <w:t>(s)</w:t>
            </w:r>
          </w:p>
        </w:tc>
      </w:tr>
      <w:tr w:rsidR="00564AD6" w:rsidRPr="00FD119B" w14:paraId="3094C34B" w14:textId="77777777" w:rsidTr="00FD119B">
        <w:tc>
          <w:tcPr>
            <w:tcW w:w="1809" w:type="dxa"/>
          </w:tcPr>
          <w:p w14:paraId="0DA992E0" w14:textId="77777777" w:rsidR="00564AD6" w:rsidRDefault="00564AD6" w:rsidP="00FD119B">
            <w:r>
              <w:t>PR</w:t>
            </w:r>
          </w:p>
        </w:tc>
        <w:tc>
          <w:tcPr>
            <w:tcW w:w="6911" w:type="dxa"/>
          </w:tcPr>
          <w:p w14:paraId="3D744556" w14:textId="77777777" w:rsidR="00564AD6" w:rsidRPr="00FD119B" w:rsidRDefault="00564AD6" w:rsidP="00FD119B">
            <w:r>
              <w:t>Progesterone receptor</w:t>
            </w:r>
          </w:p>
        </w:tc>
      </w:tr>
      <w:tr w:rsidR="00564AD6" w:rsidRPr="00FD119B" w14:paraId="06778CD1" w14:textId="77777777" w:rsidTr="00FD119B">
        <w:tc>
          <w:tcPr>
            <w:tcW w:w="1809" w:type="dxa"/>
          </w:tcPr>
          <w:p w14:paraId="5614DFEC" w14:textId="77777777" w:rsidR="00564AD6" w:rsidRDefault="00564AD6" w:rsidP="00FD119B">
            <w:r>
              <w:t>PR</w:t>
            </w:r>
          </w:p>
        </w:tc>
        <w:tc>
          <w:tcPr>
            <w:tcW w:w="6911" w:type="dxa"/>
          </w:tcPr>
          <w:p w14:paraId="79DF4C1A" w14:textId="77777777" w:rsidR="00564AD6" w:rsidRDefault="00564AD6" w:rsidP="00262C99">
            <w:r>
              <w:t>Partial response</w:t>
            </w:r>
          </w:p>
        </w:tc>
      </w:tr>
      <w:tr w:rsidR="00564AD6" w:rsidRPr="00FD119B" w14:paraId="6309220D" w14:textId="77777777" w:rsidTr="00FD119B">
        <w:tc>
          <w:tcPr>
            <w:tcW w:w="1809" w:type="dxa"/>
          </w:tcPr>
          <w:p w14:paraId="3361DBB5" w14:textId="77777777" w:rsidR="00564AD6" w:rsidRDefault="00564AD6" w:rsidP="00FD119B">
            <w:r>
              <w:t>PRO</w:t>
            </w:r>
          </w:p>
        </w:tc>
        <w:tc>
          <w:tcPr>
            <w:tcW w:w="6911" w:type="dxa"/>
          </w:tcPr>
          <w:p w14:paraId="4C3687EB" w14:textId="77777777" w:rsidR="00564AD6" w:rsidRDefault="00564AD6" w:rsidP="00795182">
            <w:r>
              <w:t>Patient-reported outcomes</w:t>
            </w:r>
          </w:p>
        </w:tc>
      </w:tr>
      <w:tr w:rsidR="00564AD6" w:rsidRPr="00FD119B" w14:paraId="2D27688C" w14:textId="77777777" w:rsidTr="00FD119B">
        <w:tc>
          <w:tcPr>
            <w:tcW w:w="1809" w:type="dxa"/>
          </w:tcPr>
          <w:p w14:paraId="706C4B33" w14:textId="77777777" w:rsidR="00564AD6" w:rsidRDefault="00564AD6" w:rsidP="00FD119B">
            <w:r>
              <w:t>PSUR</w:t>
            </w:r>
          </w:p>
        </w:tc>
        <w:tc>
          <w:tcPr>
            <w:tcW w:w="6911" w:type="dxa"/>
          </w:tcPr>
          <w:p w14:paraId="058DD4BF" w14:textId="77777777" w:rsidR="00564AD6" w:rsidRDefault="00564AD6" w:rsidP="00B16F8C">
            <w:r>
              <w:t>Periodic safety update report</w:t>
            </w:r>
          </w:p>
        </w:tc>
      </w:tr>
      <w:tr w:rsidR="00564AD6" w:rsidRPr="00FD119B" w14:paraId="724F85C4" w14:textId="77777777" w:rsidTr="00FD119B">
        <w:tc>
          <w:tcPr>
            <w:tcW w:w="1809" w:type="dxa"/>
          </w:tcPr>
          <w:p w14:paraId="5BE28F6F" w14:textId="77777777" w:rsidR="00564AD6" w:rsidRDefault="00564AD6" w:rsidP="00FD119B">
            <w:r>
              <w:t>PT</w:t>
            </w:r>
          </w:p>
        </w:tc>
        <w:tc>
          <w:tcPr>
            <w:tcW w:w="6911" w:type="dxa"/>
          </w:tcPr>
          <w:p w14:paraId="1DA58798" w14:textId="77777777" w:rsidR="00564AD6" w:rsidRDefault="00564AD6" w:rsidP="00262C99">
            <w:r>
              <w:t>Preferred Term</w:t>
            </w:r>
          </w:p>
        </w:tc>
      </w:tr>
      <w:tr w:rsidR="00564AD6" w:rsidRPr="00FD119B" w14:paraId="3F33183A" w14:textId="77777777" w:rsidTr="00FD119B">
        <w:tc>
          <w:tcPr>
            <w:tcW w:w="1809" w:type="dxa"/>
          </w:tcPr>
          <w:p w14:paraId="6FCBAF34" w14:textId="77777777" w:rsidR="00564AD6" w:rsidRPr="00FD119B" w:rsidRDefault="00564AD6" w:rsidP="001A43EA">
            <w:pPr>
              <w:rPr>
                <w:lang w:eastAsia="en-US"/>
              </w:rPr>
            </w:pPr>
            <w:proofErr w:type="spellStart"/>
            <w:r>
              <w:rPr>
                <w:lang w:eastAsia="en-US"/>
              </w:rPr>
              <w:t>QoL</w:t>
            </w:r>
            <w:proofErr w:type="spellEnd"/>
          </w:p>
        </w:tc>
        <w:tc>
          <w:tcPr>
            <w:tcW w:w="6911" w:type="dxa"/>
          </w:tcPr>
          <w:p w14:paraId="740D5998" w14:textId="77777777" w:rsidR="00564AD6" w:rsidRPr="00FD119B" w:rsidRDefault="00564AD6" w:rsidP="001A43EA">
            <w:pPr>
              <w:rPr>
                <w:lang w:eastAsia="en-US"/>
              </w:rPr>
            </w:pPr>
            <w:r>
              <w:rPr>
                <w:lang w:eastAsia="en-US"/>
              </w:rPr>
              <w:t>Quality of life</w:t>
            </w:r>
          </w:p>
        </w:tc>
      </w:tr>
      <w:tr w:rsidR="00564AD6" w:rsidRPr="00FD119B" w14:paraId="32FA083F" w14:textId="77777777" w:rsidTr="00FD119B">
        <w:tc>
          <w:tcPr>
            <w:tcW w:w="1809" w:type="dxa"/>
          </w:tcPr>
          <w:p w14:paraId="2635343A" w14:textId="77777777" w:rsidR="00564AD6" w:rsidRDefault="00564AD6" w:rsidP="00FD119B">
            <w:r>
              <w:t>QSR</w:t>
            </w:r>
          </w:p>
        </w:tc>
        <w:tc>
          <w:tcPr>
            <w:tcW w:w="6911" w:type="dxa"/>
          </w:tcPr>
          <w:p w14:paraId="62214FAA" w14:textId="1B7AFCD8" w:rsidR="00564AD6" w:rsidRDefault="00564AD6" w:rsidP="00CB20EC">
            <w:r>
              <w:t xml:space="preserve">Quality </w:t>
            </w:r>
            <w:r w:rsidR="00E873E0">
              <w:t>s</w:t>
            </w:r>
            <w:r>
              <w:t xml:space="preserve">ystem </w:t>
            </w:r>
            <w:r w:rsidR="00E873E0">
              <w:t>r</w:t>
            </w:r>
            <w:r>
              <w:t>egulations</w:t>
            </w:r>
          </w:p>
        </w:tc>
      </w:tr>
      <w:tr w:rsidR="00564AD6" w:rsidRPr="00FD119B" w14:paraId="0EE0C90D" w14:textId="77777777" w:rsidTr="00FD119B">
        <w:tc>
          <w:tcPr>
            <w:tcW w:w="1809" w:type="dxa"/>
          </w:tcPr>
          <w:p w14:paraId="3D1B2A69" w14:textId="77777777" w:rsidR="00564AD6" w:rsidRDefault="00564AD6" w:rsidP="00FD119B">
            <w:r>
              <w:t>RCT</w:t>
            </w:r>
          </w:p>
        </w:tc>
        <w:tc>
          <w:tcPr>
            <w:tcW w:w="6911" w:type="dxa"/>
          </w:tcPr>
          <w:p w14:paraId="5636C999" w14:textId="77777777" w:rsidR="00564AD6" w:rsidRPr="00FD119B" w:rsidRDefault="00564AD6" w:rsidP="00015C3C">
            <w:r>
              <w:t>Randomised controlled trial</w:t>
            </w:r>
          </w:p>
        </w:tc>
      </w:tr>
      <w:tr w:rsidR="00564AD6" w:rsidRPr="00FD119B" w14:paraId="38DF8096" w14:textId="77777777" w:rsidTr="00FD119B">
        <w:tc>
          <w:tcPr>
            <w:tcW w:w="1809" w:type="dxa"/>
          </w:tcPr>
          <w:p w14:paraId="608DC2B9" w14:textId="77777777" w:rsidR="00564AD6" w:rsidRDefault="00564AD6" w:rsidP="00FD119B">
            <w:r>
              <w:t>RMP</w:t>
            </w:r>
          </w:p>
        </w:tc>
        <w:tc>
          <w:tcPr>
            <w:tcW w:w="6911" w:type="dxa"/>
          </w:tcPr>
          <w:p w14:paraId="39742C97" w14:textId="77777777" w:rsidR="00564AD6" w:rsidRPr="00B16F8C" w:rsidRDefault="00564AD6" w:rsidP="00B16F8C">
            <w:r>
              <w:t>Risk management plan</w:t>
            </w:r>
          </w:p>
        </w:tc>
      </w:tr>
      <w:tr w:rsidR="00564AD6" w:rsidRPr="00FD119B" w14:paraId="6754F7EA" w14:textId="77777777" w:rsidTr="00FD119B">
        <w:tc>
          <w:tcPr>
            <w:tcW w:w="1809" w:type="dxa"/>
          </w:tcPr>
          <w:p w14:paraId="7154CB43" w14:textId="77777777" w:rsidR="00564AD6" w:rsidRDefault="00564AD6" w:rsidP="00FD119B">
            <w:r>
              <w:t>SAE</w:t>
            </w:r>
          </w:p>
        </w:tc>
        <w:tc>
          <w:tcPr>
            <w:tcW w:w="6911" w:type="dxa"/>
          </w:tcPr>
          <w:p w14:paraId="5D06C233" w14:textId="77777777" w:rsidR="00564AD6" w:rsidRDefault="00564AD6" w:rsidP="00262C99">
            <w:r>
              <w:t>Serious adverse event</w:t>
            </w:r>
          </w:p>
        </w:tc>
      </w:tr>
      <w:tr w:rsidR="00564AD6" w:rsidRPr="00FD119B" w14:paraId="468FA438" w14:textId="77777777" w:rsidTr="00FD119B">
        <w:tc>
          <w:tcPr>
            <w:tcW w:w="1809" w:type="dxa"/>
          </w:tcPr>
          <w:p w14:paraId="41B7C099" w14:textId="77777777" w:rsidR="00564AD6" w:rsidRDefault="00564AD6" w:rsidP="00FD119B">
            <w:r w:rsidRPr="00262C99">
              <w:t>SD</w:t>
            </w:r>
          </w:p>
        </w:tc>
        <w:tc>
          <w:tcPr>
            <w:tcW w:w="6911" w:type="dxa"/>
          </w:tcPr>
          <w:p w14:paraId="41647956" w14:textId="77777777" w:rsidR="00564AD6" w:rsidRDefault="00564AD6" w:rsidP="00890225">
            <w:r>
              <w:t>Standard deviation</w:t>
            </w:r>
          </w:p>
        </w:tc>
      </w:tr>
      <w:tr w:rsidR="00564AD6" w:rsidRPr="00FD119B" w14:paraId="5B45287F" w14:textId="77777777" w:rsidTr="00FD119B">
        <w:tc>
          <w:tcPr>
            <w:tcW w:w="1809" w:type="dxa"/>
          </w:tcPr>
          <w:p w14:paraId="0F9BD93B" w14:textId="77777777" w:rsidR="00564AD6" w:rsidRDefault="00564AD6" w:rsidP="00FD119B">
            <w:r>
              <w:t>TEAE</w:t>
            </w:r>
          </w:p>
        </w:tc>
        <w:tc>
          <w:tcPr>
            <w:tcW w:w="6911" w:type="dxa"/>
          </w:tcPr>
          <w:p w14:paraId="68E95A96" w14:textId="77777777" w:rsidR="00564AD6" w:rsidRDefault="00564AD6" w:rsidP="00262C99">
            <w:r>
              <w:t>Treatment emergent adverse event</w:t>
            </w:r>
          </w:p>
        </w:tc>
      </w:tr>
      <w:tr w:rsidR="00564AD6" w:rsidRPr="00FD119B" w14:paraId="1F769FB9" w14:textId="77777777" w:rsidTr="00FD119B">
        <w:tc>
          <w:tcPr>
            <w:tcW w:w="1809" w:type="dxa"/>
          </w:tcPr>
          <w:p w14:paraId="072F8195" w14:textId="77777777" w:rsidR="00564AD6" w:rsidRDefault="00564AD6" w:rsidP="00FD119B">
            <w:r>
              <w:t>TNBC</w:t>
            </w:r>
          </w:p>
        </w:tc>
        <w:tc>
          <w:tcPr>
            <w:tcW w:w="6911" w:type="dxa"/>
          </w:tcPr>
          <w:p w14:paraId="448AE4C1" w14:textId="77777777" w:rsidR="00564AD6" w:rsidRPr="00FD119B" w:rsidRDefault="00564AD6" w:rsidP="00FD119B">
            <w:r>
              <w:t>Triple negative breast cancer</w:t>
            </w:r>
          </w:p>
        </w:tc>
      </w:tr>
      <w:tr w:rsidR="00564AD6" w:rsidRPr="00FD119B" w14:paraId="6DD4FCFA" w14:textId="77777777" w:rsidTr="00FD119B">
        <w:tc>
          <w:tcPr>
            <w:tcW w:w="1809" w:type="dxa"/>
          </w:tcPr>
          <w:p w14:paraId="24DA4D5B" w14:textId="77777777" w:rsidR="00564AD6" w:rsidRDefault="00564AD6" w:rsidP="00FD119B">
            <w:r>
              <w:t>UGT</w:t>
            </w:r>
          </w:p>
        </w:tc>
        <w:tc>
          <w:tcPr>
            <w:tcW w:w="6911" w:type="dxa"/>
          </w:tcPr>
          <w:p w14:paraId="65D66B08" w14:textId="77777777" w:rsidR="00564AD6" w:rsidRDefault="00564AD6" w:rsidP="00B84459">
            <w:r w:rsidRPr="00B84459">
              <w:t>Uridine di</w:t>
            </w:r>
            <w:r>
              <w:t>phosphate-</w:t>
            </w:r>
            <w:proofErr w:type="spellStart"/>
            <w:r>
              <w:t>glucuronyltransferase</w:t>
            </w:r>
            <w:proofErr w:type="spellEnd"/>
          </w:p>
        </w:tc>
      </w:tr>
      <w:tr w:rsidR="00564AD6" w:rsidRPr="00FD119B" w14:paraId="0C801CF8" w14:textId="77777777" w:rsidTr="00FD119B">
        <w:tc>
          <w:tcPr>
            <w:tcW w:w="1809" w:type="dxa"/>
          </w:tcPr>
          <w:p w14:paraId="1EF9F251" w14:textId="77777777" w:rsidR="00564AD6" w:rsidRDefault="00564AD6" w:rsidP="00FD119B">
            <w:r>
              <w:lastRenderedPageBreak/>
              <w:t>ULN</w:t>
            </w:r>
          </w:p>
        </w:tc>
        <w:tc>
          <w:tcPr>
            <w:tcW w:w="6911" w:type="dxa"/>
          </w:tcPr>
          <w:p w14:paraId="75D1CBB0" w14:textId="77777777" w:rsidR="00564AD6" w:rsidRDefault="00564AD6" w:rsidP="009046A3">
            <w:r>
              <w:t>Upper limit of normal</w:t>
            </w:r>
          </w:p>
        </w:tc>
      </w:tr>
      <w:tr w:rsidR="00564AD6" w:rsidRPr="00FD119B" w14:paraId="0495B535" w14:textId="77777777" w:rsidTr="00FD119B">
        <w:tc>
          <w:tcPr>
            <w:tcW w:w="1809" w:type="dxa"/>
          </w:tcPr>
          <w:p w14:paraId="29E41DA7" w14:textId="77777777" w:rsidR="00564AD6" w:rsidRDefault="00564AD6" w:rsidP="00FD119B">
            <w:r>
              <w:t>USA</w:t>
            </w:r>
          </w:p>
        </w:tc>
        <w:tc>
          <w:tcPr>
            <w:tcW w:w="6911" w:type="dxa"/>
          </w:tcPr>
          <w:p w14:paraId="2F52550E" w14:textId="77777777" w:rsidR="00564AD6" w:rsidRDefault="00564AD6" w:rsidP="00262C99">
            <w:r>
              <w:t>United States of America</w:t>
            </w:r>
          </w:p>
        </w:tc>
      </w:tr>
    </w:tbl>
    <w:p w14:paraId="23029B3F" w14:textId="77777777" w:rsidR="008E7846" w:rsidRDefault="00F53C07" w:rsidP="00165090">
      <w:pPr>
        <w:pStyle w:val="Heading2"/>
        <w:pageBreakBefore/>
        <w:spacing w:before="0"/>
      </w:pPr>
      <w:bookmarkStart w:id="9" w:name="_Toc34745992"/>
      <w:r>
        <w:lastRenderedPageBreak/>
        <w:t>I.</w:t>
      </w:r>
      <w:r w:rsidR="008E7846">
        <w:t xml:space="preserve"> Introduction to product submission</w:t>
      </w:r>
      <w:bookmarkEnd w:id="0"/>
      <w:bookmarkEnd w:id="3"/>
      <w:bookmarkEnd w:id="9"/>
    </w:p>
    <w:p w14:paraId="360A85DF" w14:textId="77777777" w:rsidR="008E7846" w:rsidRDefault="008E7846" w:rsidP="008E7846">
      <w:pPr>
        <w:pStyle w:val="Heading3"/>
        <w:rPr>
          <w:lang w:eastAsia="en-AU"/>
        </w:rPr>
      </w:pPr>
      <w:bookmarkStart w:id="10" w:name="_Toc247691502"/>
      <w:bookmarkStart w:id="11" w:name="_Toc314842483"/>
      <w:bookmarkStart w:id="12" w:name="_Toc34745993"/>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2ECA8680" w14:textId="77777777" w:rsidTr="003735BC">
        <w:tc>
          <w:tcPr>
            <w:tcW w:w="2907" w:type="dxa"/>
          </w:tcPr>
          <w:p w14:paraId="4CBE888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487F4E3" w14:textId="77777777" w:rsidR="008E7846" w:rsidRPr="003D1E62" w:rsidRDefault="008E7846" w:rsidP="00C957EF">
            <w:r w:rsidRPr="003D1E62">
              <w:t xml:space="preserve">New </w:t>
            </w:r>
            <w:r w:rsidR="001B5C90">
              <w:t>c</w:t>
            </w:r>
            <w:r w:rsidRPr="003D1E62">
              <w:t xml:space="preserve">hemical </w:t>
            </w:r>
            <w:r w:rsidR="001B5C90">
              <w:t>e</w:t>
            </w:r>
            <w:r w:rsidR="00C957EF">
              <w:t>ntity</w:t>
            </w:r>
          </w:p>
        </w:tc>
      </w:tr>
      <w:tr w:rsidR="008E7846" w:rsidRPr="003D1E62" w14:paraId="3CEA427B" w14:textId="77777777" w:rsidTr="003735BC">
        <w:tc>
          <w:tcPr>
            <w:tcW w:w="2907" w:type="dxa"/>
          </w:tcPr>
          <w:p w14:paraId="2A96B4C4" w14:textId="77777777" w:rsidR="008E7846" w:rsidRPr="003D1E62" w:rsidRDefault="008E7846" w:rsidP="003D1E62">
            <w:r w:rsidRPr="003D1E62">
              <w:rPr>
                <w:i/>
              </w:rPr>
              <w:t>Decision</w:t>
            </w:r>
            <w:r w:rsidRPr="003D1E62">
              <w:t>:</w:t>
            </w:r>
          </w:p>
        </w:tc>
        <w:tc>
          <w:tcPr>
            <w:tcW w:w="6307" w:type="dxa"/>
          </w:tcPr>
          <w:p w14:paraId="72A19BFE" w14:textId="77777777" w:rsidR="008E7846" w:rsidRPr="003D1E62" w:rsidRDefault="00C957EF" w:rsidP="00C957EF">
            <w:r>
              <w:t>Approved</w:t>
            </w:r>
          </w:p>
        </w:tc>
      </w:tr>
      <w:tr w:rsidR="008E7846" w:rsidRPr="003D1E62" w14:paraId="0E892A85" w14:textId="77777777" w:rsidTr="003735BC">
        <w:tc>
          <w:tcPr>
            <w:tcW w:w="2907" w:type="dxa"/>
          </w:tcPr>
          <w:p w14:paraId="02052F0C"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BEA81FB" w14:textId="77777777" w:rsidR="008E7846" w:rsidRPr="003D1E62" w:rsidRDefault="00C957EF" w:rsidP="001B5C90">
            <w:r w:rsidRPr="005839A9">
              <w:rPr>
                <w:rFonts w:eastAsia="Calibri"/>
              </w:rPr>
              <w:t>15 November 2019</w:t>
            </w:r>
          </w:p>
        </w:tc>
      </w:tr>
      <w:tr w:rsidR="00ED2922" w:rsidRPr="003D1E62" w14:paraId="0CBDFBD2" w14:textId="77777777" w:rsidTr="003735BC">
        <w:tc>
          <w:tcPr>
            <w:tcW w:w="2907" w:type="dxa"/>
          </w:tcPr>
          <w:p w14:paraId="3F30DA80" w14:textId="77777777" w:rsidR="00ED2922" w:rsidRPr="00441C3F" w:rsidRDefault="00ED2922" w:rsidP="001B5C90">
            <w:pPr>
              <w:rPr>
                <w:i/>
              </w:rPr>
            </w:pPr>
            <w:r w:rsidRPr="00441C3F">
              <w:rPr>
                <w:i/>
              </w:rPr>
              <w:t>Date of entry onto ARTG</w:t>
            </w:r>
            <w:r w:rsidR="00500337">
              <w:rPr>
                <w:i/>
              </w:rPr>
              <w:t>:</w:t>
            </w:r>
          </w:p>
        </w:tc>
        <w:tc>
          <w:tcPr>
            <w:tcW w:w="6307" w:type="dxa"/>
          </w:tcPr>
          <w:p w14:paraId="503B4474" w14:textId="77777777" w:rsidR="00ED2922" w:rsidRPr="00441C3F" w:rsidRDefault="00C957EF" w:rsidP="00D153D8">
            <w:pPr>
              <w:rPr>
                <w:i/>
              </w:rPr>
            </w:pPr>
            <w:r w:rsidRPr="00FD6D47">
              <w:rPr>
                <w:rFonts w:eastAsia="Calibri"/>
              </w:rPr>
              <w:t>18 November 2019</w:t>
            </w:r>
          </w:p>
        </w:tc>
      </w:tr>
      <w:tr w:rsidR="00500337" w:rsidRPr="003D1E62" w14:paraId="1259839E" w14:textId="77777777" w:rsidTr="003735BC">
        <w:tc>
          <w:tcPr>
            <w:tcW w:w="2907" w:type="dxa"/>
          </w:tcPr>
          <w:p w14:paraId="6F726D6B" w14:textId="77777777" w:rsidR="00500337" w:rsidRPr="00441C3F" w:rsidRDefault="0095713A" w:rsidP="001B5C90">
            <w:pPr>
              <w:rPr>
                <w:i/>
              </w:rPr>
            </w:pPr>
            <w:r>
              <w:rPr>
                <w:i/>
              </w:rPr>
              <w:t>ARTG numbers</w:t>
            </w:r>
            <w:r w:rsidR="00500337">
              <w:rPr>
                <w:i/>
              </w:rPr>
              <w:t>:</w:t>
            </w:r>
          </w:p>
        </w:tc>
        <w:tc>
          <w:tcPr>
            <w:tcW w:w="6307" w:type="dxa"/>
          </w:tcPr>
          <w:p w14:paraId="13DCA2AD" w14:textId="77777777" w:rsidR="00500337" w:rsidRPr="00441C3F" w:rsidRDefault="00C957EF" w:rsidP="00EC463D">
            <w:r w:rsidRPr="00C45281">
              <w:rPr>
                <w:rFonts w:eastAsia="Calibri"/>
              </w:rPr>
              <w:t>310749</w:t>
            </w:r>
            <w:r>
              <w:rPr>
                <w:rFonts w:eastAsia="Calibri"/>
              </w:rPr>
              <w:t xml:space="preserve">, </w:t>
            </w:r>
            <w:r w:rsidRPr="00C45281">
              <w:rPr>
                <w:rFonts w:eastAsia="Calibri"/>
              </w:rPr>
              <w:t>310750</w:t>
            </w:r>
            <w:r>
              <w:rPr>
                <w:rFonts w:eastAsia="Calibri"/>
              </w:rPr>
              <w:t xml:space="preserve">, </w:t>
            </w:r>
            <w:r w:rsidRPr="00C45281">
              <w:rPr>
                <w:rFonts w:eastAsia="Calibri"/>
              </w:rPr>
              <w:t>310751</w:t>
            </w:r>
            <w:r>
              <w:rPr>
                <w:rFonts w:eastAsia="Calibri"/>
              </w:rPr>
              <w:t xml:space="preserve">, </w:t>
            </w:r>
            <w:r w:rsidRPr="00C45281">
              <w:rPr>
                <w:rFonts w:eastAsia="Calibri"/>
              </w:rPr>
              <w:t>310752</w:t>
            </w:r>
          </w:p>
        </w:tc>
      </w:tr>
      <w:tr w:rsidR="003735BC" w:rsidRPr="003D1E62" w14:paraId="0D60E338" w14:textId="77777777" w:rsidTr="003735BC">
        <w:tc>
          <w:tcPr>
            <w:tcW w:w="2907" w:type="dxa"/>
          </w:tcPr>
          <w:p w14:paraId="0F1B03CB"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1A6D297D" w14:textId="77777777" w:rsidR="003735BC" w:rsidRDefault="00C957EF" w:rsidP="003735BC">
            <w:r>
              <w:t>Yes</w:t>
            </w:r>
          </w:p>
          <w:p w14:paraId="68DD505D" w14:textId="77777777" w:rsidR="003735BC" w:rsidRPr="00487162" w:rsidRDefault="003735BC" w:rsidP="003735BC">
            <w:r>
              <w:t xml:space="preserve">This product will remain in the scheme for 5 years, starting on the date the product </w:t>
            </w:r>
            <w:proofErr w:type="gramStart"/>
            <w:r>
              <w:t>is first supplied</w:t>
            </w:r>
            <w:proofErr w:type="gramEnd"/>
            <w:r>
              <w:t xml:space="preserve"> in </w:t>
            </w:r>
            <w:r w:rsidR="00C957EF">
              <w:t>Australia.</w:t>
            </w:r>
          </w:p>
        </w:tc>
      </w:tr>
    </w:tbl>
    <w:p w14:paraId="58F9903E"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5861098E" w14:textId="77777777" w:rsidTr="00BF1190">
        <w:tc>
          <w:tcPr>
            <w:tcW w:w="2907" w:type="dxa"/>
          </w:tcPr>
          <w:p w14:paraId="791F7D80" w14:textId="77777777" w:rsidR="008E7846" w:rsidRPr="00487162" w:rsidRDefault="0095713A" w:rsidP="00E45619">
            <w:pPr>
              <w:rPr>
                <w:i/>
              </w:rPr>
            </w:pPr>
            <w:r>
              <w:rPr>
                <w:i/>
              </w:rPr>
              <w:t>Active ingredient</w:t>
            </w:r>
            <w:r w:rsidR="001B5C90">
              <w:rPr>
                <w:i/>
              </w:rPr>
              <w:t>:</w:t>
            </w:r>
          </w:p>
        </w:tc>
        <w:tc>
          <w:tcPr>
            <w:tcW w:w="6307" w:type="dxa"/>
          </w:tcPr>
          <w:p w14:paraId="481E95AE" w14:textId="77777777" w:rsidR="008E7846" w:rsidRPr="00487162" w:rsidRDefault="0095713A" w:rsidP="00E55CB0">
            <w:proofErr w:type="spellStart"/>
            <w:r w:rsidRPr="00BF7495">
              <w:t>Talazoparib</w:t>
            </w:r>
            <w:proofErr w:type="spellEnd"/>
            <w:r w:rsidRPr="00BF7495">
              <w:t xml:space="preserve"> (as </w:t>
            </w:r>
            <w:proofErr w:type="spellStart"/>
            <w:r w:rsidRPr="00BF7495">
              <w:t>tosilate</w:t>
            </w:r>
            <w:proofErr w:type="spellEnd"/>
            <w:r w:rsidRPr="00BF7495">
              <w:t>)</w:t>
            </w:r>
          </w:p>
        </w:tc>
      </w:tr>
      <w:tr w:rsidR="008E7846" w:rsidRPr="00487162" w14:paraId="4DE0DDB0" w14:textId="77777777" w:rsidTr="00BF1190">
        <w:tc>
          <w:tcPr>
            <w:tcW w:w="2907" w:type="dxa"/>
          </w:tcPr>
          <w:p w14:paraId="1DB86228" w14:textId="77777777" w:rsidR="008E7846" w:rsidRPr="00487162" w:rsidRDefault="008E7846" w:rsidP="001B5C90">
            <w:pPr>
              <w:rPr>
                <w:i/>
              </w:rPr>
            </w:pPr>
            <w:r w:rsidRPr="00487162">
              <w:rPr>
                <w:i/>
              </w:rPr>
              <w:t>Product</w:t>
            </w:r>
            <w:r w:rsidR="0095713A">
              <w:rPr>
                <w:i/>
              </w:rPr>
              <w:t xml:space="preserve"> name</w:t>
            </w:r>
            <w:r w:rsidR="001B5C90">
              <w:rPr>
                <w:i/>
              </w:rPr>
              <w:t>:</w:t>
            </w:r>
          </w:p>
        </w:tc>
        <w:tc>
          <w:tcPr>
            <w:tcW w:w="6307" w:type="dxa"/>
          </w:tcPr>
          <w:p w14:paraId="459A5CA4" w14:textId="77777777" w:rsidR="008E7846" w:rsidRPr="00487162" w:rsidRDefault="0095713A" w:rsidP="00E45619">
            <w:proofErr w:type="spellStart"/>
            <w:r w:rsidRPr="00BF7495">
              <w:t>Talzenna</w:t>
            </w:r>
            <w:proofErr w:type="spellEnd"/>
          </w:p>
        </w:tc>
      </w:tr>
      <w:tr w:rsidR="008E7846" w:rsidRPr="00487162" w14:paraId="26AEB6BB" w14:textId="77777777" w:rsidTr="00BF1190">
        <w:tc>
          <w:tcPr>
            <w:tcW w:w="2907" w:type="dxa"/>
          </w:tcPr>
          <w:p w14:paraId="46A5882C"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765D4A7" w14:textId="77777777" w:rsidR="0095713A" w:rsidRDefault="0095713A" w:rsidP="0095713A">
            <w:pPr>
              <w:rPr>
                <w:rFonts w:eastAsia="Calibri"/>
                <w:lang w:val="es-ES"/>
              </w:rPr>
            </w:pPr>
            <w:r w:rsidRPr="00C45281">
              <w:rPr>
                <w:rFonts w:eastAsia="Calibri"/>
                <w:lang w:val="es-ES"/>
              </w:rPr>
              <w:t xml:space="preserve">Pfizer Australia </w:t>
            </w:r>
            <w:proofErr w:type="spellStart"/>
            <w:r w:rsidRPr="00C45281">
              <w:rPr>
                <w:rFonts w:eastAsia="Calibri"/>
                <w:lang w:val="es-ES"/>
              </w:rPr>
              <w:t>Pty</w:t>
            </w:r>
            <w:proofErr w:type="spellEnd"/>
            <w:r w:rsidRPr="00C45281">
              <w:rPr>
                <w:rFonts w:eastAsia="Calibri"/>
                <w:lang w:val="es-ES"/>
              </w:rPr>
              <w:t xml:space="preserve"> </w:t>
            </w:r>
            <w:proofErr w:type="spellStart"/>
            <w:r w:rsidRPr="00C45281">
              <w:rPr>
                <w:rFonts w:eastAsia="Calibri"/>
                <w:lang w:val="es-ES"/>
              </w:rPr>
              <w:t>Ltd</w:t>
            </w:r>
            <w:proofErr w:type="spellEnd"/>
          </w:p>
          <w:p w14:paraId="789BEE3F" w14:textId="77777777" w:rsidR="0095713A" w:rsidRDefault="0095713A" w:rsidP="0095713A">
            <w:pPr>
              <w:rPr>
                <w:rFonts w:eastAsia="Calibri"/>
                <w:lang w:val="es-ES"/>
              </w:rPr>
            </w:pPr>
            <w:r>
              <w:rPr>
                <w:rFonts w:eastAsia="Calibri"/>
                <w:lang w:val="es-ES"/>
              </w:rPr>
              <w:t xml:space="preserve">151 </w:t>
            </w:r>
            <w:proofErr w:type="spellStart"/>
            <w:r>
              <w:rPr>
                <w:rFonts w:eastAsia="Calibri"/>
                <w:lang w:val="es-ES"/>
              </w:rPr>
              <w:t>Clarence</w:t>
            </w:r>
            <w:proofErr w:type="spellEnd"/>
            <w:r>
              <w:rPr>
                <w:rFonts w:eastAsia="Calibri"/>
                <w:lang w:val="es-ES"/>
              </w:rPr>
              <w:t xml:space="preserve"> Street</w:t>
            </w:r>
          </w:p>
          <w:p w14:paraId="110FD017" w14:textId="77777777" w:rsidR="008E7846" w:rsidRPr="00487162" w:rsidRDefault="0095713A" w:rsidP="0095713A">
            <w:r w:rsidRPr="00BF7495">
              <w:rPr>
                <w:rFonts w:eastAsia="Calibri"/>
                <w:lang w:val="es-ES"/>
              </w:rPr>
              <w:t>Sydney NSW 2000</w:t>
            </w:r>
          </w:p>
        </w:tc>
      </w:tr>
      <w:tr w:rsidR="008E7846" w:rsidRPr="00487162" w14:paraId="17C7F332" w14:textId="77777777" w:rsidTr="00BF1190">
        <w:tc>
          <w:tcPr>
            <w:tcW w:w="2907" w:type="dxa"/>
          </w:tcPr>
          <w:p w14:paraId="17A4FC80" w14:textId="77777777" w:rsidR="008E7846" w:rsidRPr="00487162" w:rsidRDefault="0095713A" w:rsidP="00E45619">
            <w:pPr>
              <w:rPr>
                <w:i/>
              </w:rPr>
            </w:pPr>
            <w:r>
              <w:rPr>
                <w:i/>
              </w:rPr>
              <w:t>Dose form</w:t>
            </w:r>
            <w:r w:rsidR="001B5C90">
              <w:rPr>
                <w:i/>
              </w:rPr>
              <w:t>:</w:t>
            </w:r>
          </w:p>
        </w:tc>
        <w:tc>
          <w:tcPr>
            <w:tcW w:w="6307" w:type="dxa"/>
          </w:tcPr>
          <w:p w14:paraId="2F7788CD" w14:textId="77777777" w:rsidR="008E7846" w:rsidRPr="00487162" w:rsidRDefault="0095713A" w:rsidP="00E45619">
            <w:r w:rsidRPr="005839A9">
              <w:t>Hard capsule</w:t>
            </w:r>
          </w:p>
        </w:tc>
      </w:tr>
      <w:tr w:rsidR="008E7846" w:rsidRPr="00487162" w14:paraId="5F41DC0C" w14:textId="77777777" w:rsidTr="00BF1190">
        <w:tc>
          <w:tcPr>
            <w:tcW w:w="2907" w:type="dxa"/>
          </w:tcPr>
          <w:p w14:paraId="6CC98D05" w14:textId="008DF647" w:rsidR="008E7846" w:rsidRPr="00487162" w:rsidRDefault="0095713A" w:rsidP="00E45619">
            <w:pPr>
              <w:rPr>
                <w:i/>
              </w:rPr>
            </w:pPr>
            <w:r>
              <w:rPr>
                <w:i/>
              </w:rPr>
              <w:t>Strengths</w:t>
            </w:r>
            <w:r w:rsidR="00165090">
              <w:rPr>
                <w:i/>
              </w:rPr>
              <w:t>:</w:t>
            </w:r>
          </w:p>
        </w:tc>
        <w:tc>
          <w:tcPr>
            <w:tcW w:w="6307" w:type="dxa"/>
          </w:tcPr>
          <w:p w14:paraId="0B33DA14" w14:textId="77777777" w:rsidR="008E7846" w:rsidRPr="00487162" w:rsidRDefault="0095713A" w:rsidP="00E45619">
            <w:r w:rsidRPr="00BF7495">
              <w:t>0.25 mg and 1 mg</w:t>
            </w:r>
          </w:p>
        </w:tc>
      </w:tr>
      <w:tr w:rsidR="008E7846" w:rsidRPr="00487162" w14:paraId="1F30CBDE" w14:textId="77777777" w:rsidTr="00BF1190">
        <w:tc>
          <w:tcPr>
            <w:tcW w:w="2907" w:type="dxa"/>
          </w:tcPr>
          <w:p w14:paraId="7CA3ADB2" w14:textId="77777777" w:rsidR="008E7846" w:rsidRPr="00487162" w:rsidRDefault="0095713A" w:rsidP="00E45619">
            <w:pPr>
              <w:rPr>
                <w:i/>
              </w:rPr>
            </w:pPr>
            <w:r>
              <w:rPr>
                <w:i/>
              </w:rPr>
              <w:t>Containers</w:t>
            </w:r>
            <w:r w:rsidR="008E7846" w:rsidRPr="00487162">
              <w:rPr>
                <w:i/>
              </w:rPr>
              <w:t>:</w:t>
            </w:r>
          </w:p>
        </w:tc>
        <w:tc>
          <w:tcPr>
            <w:tcW w:w="6307" w:type="dxa"/>
          </w:tcPr>
          <w:p w14:paraId="2E4B70BD" w14:textId="77777777" w:rsidR="008E7846" w:rsidRPr="00487162" w:rsidRDefault="0095713A" w:rsidP="00E45619">
            <w:r w:rsidRPr="00B40E19">
              <w:t>Bottle, blister pack</w:t>
            </w:r>
          </w:p>
        </w:tc>
      </w:tr>
      <w:tr w:rsidR="008E7846" w:rsidRPr="00487162" w14:paraId="50750F48" w14:textId="77777777" w:rsidTr="00BF1190">
        <w:tc>
          <w:tcPr>
            <w:tcW w:w="2907" w:type="dxa"/>
          </w:tcPr>
          <w:p w14:paraId="2E09C8E2" w14:textId="77777777" w:rsidR="008E7846" w:rsidRPr="00487162" w:rsidRDefault="0095713A" w:rsidP="00E45619">
            <w:pPr>
              <w:rPr>
                <w:i/>
              </w:rPr>
            </w:pPr>
            <w:r>
              <w:rPr>
                <w:i/>
              </w:rPr>
              <w:t>Pack sizes:</w:t>
            </w:r>
          </w:p>
        </w:tc>
        <w:tc>
          <w:tcPr>
            <w:tcW w:w="6307" w:type="dxa"/>
          </w:tcPr>
          <w:p w14:paraId="486C59A5" w14:textId="77777777" w:rsidR="0095713A" w:rsidRDefault="0095713A" w:rsidP="0095713A">
            <w:r>
              <w:t>Bottle: 30 capsules.</w:t>
            </w:r>
          </w:p>
          <w:p w14:paraId="7FB7FD15" w14:textId="682EE0ED" w:rsidR="008E7846" w:rsidRPr="00487162" w:rsidRDefault="0095713A" w:rsidP="0095713A">
            <w:r>
              <w:t>Blister pack:</w:t>
            </w:r>
            <w:r w:rsidRPr="00B40E19">
              <w:t xml:space="preserve"> </w:t>
            </w:r>
            <w:r>
              <w:t>30, 60 or</w:t>
            </w:r>
            <w:r w:rsidRPr="00B40E19">
              <w:t xml:space="preserve"> 90 capsules</w:t>
            </w:r>
            <w:r>
              <w:t xml:space="preserve"> (</w:t>
            </w:r>
            <w:r w:rsidRPr="00B40E19">
              <w:t>0.25 mg strength</w:t>
            </w:r>
            <w:r>
              <w:t>),</w:t>
            </w:r>
            <w:r w:rsidRPr="00B40E19">
              <w:t xml:space="preserve"> 30</w:t>
            </w:r>
            <w:r w:rsidR="00E873E0">
              <w:t> </w:t>
            </w:r>
            <w:r w:rsidRPr="00B40E19">
              <w:t>capsules</w:t>
            </w:r>
            <w:r>
              <w:t xml:space="preserve"> (</w:t>
            </w:r>
            <w:r w:rsidRPr="00B40E19">
              <w:t>1 mg strength</w:t>
            </w:r>
            <w:r>
              <w:t>)</w:t>
            </w:r>
            <w:r w:rsidRPr="00B40E19">
              <w:t>.</w:t>
            </w:r>
          </w:p>
        </w:tc>
      </w:tr>
      <w:tr w:rsidR="008E7846" w:rsidRPr="00487162" w14:paraId="13AC38DF" w14:textId="77777777" w:rsidTr="00BF1190">
        <w:tc>
          <w:tcPr>
            <w:tcW w:w="2907" w:type="dxa"/>
          </w:tcPr>
          <w:p w14:paraId="35D8125A"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D44CE54" w14:textId="77777777" w:rsidR="008E7846" w:rsidRPr="0095713A" w:rsidRDefault="0095713A" w:rsidP="00E45619">
            <w:pPr>
              <w:rPr>
                <w:rFonts w:eastAsia="MS Mincho"/>
                <w:i/>
                <w:lang w:eastAsia="ja-JP"/>
              </w:rPr>
            </w:pPr>
            <w:proofErr w:type="spellStart"/>
            <w:r w:rsidRPr="0095713A">
              <w:rPr>
                <w:i/>
              </w:rPr>
              <w:t>Talzenna</w:t>
            </w:r>
            <w:proofErr w:type="spellEnd"/>
            <w:r w:rsidRPr="0095713A">
              <w:rPr>
                <w:i/>
              </w:rPr>
              <w:t xml:space="preserve"> is indicated for the treatment of patients with a deleterious or suspected deleterious germline breast cancer susceptibility gene (BRCA) mutation according to a validated diagnostic test, who have human epidermal growth factor receptor 2 (HER2)-negative, locally advanced or metastatic breast cancer.</w:t>
            </w:r>
          </w:p>
        </w:tc>
      </w:tr>
      <w:tr w:rsidR="008E7846" w:rsidRPr="00487162" w14:paraId="3EDA4EE1" w14:textId="77777777" w:rsidTr="00BF1190">
        <w:tc>
          <w:tcPr>
            <w:tcW w:w="2907" w:type="dxa"/>
          </w:tcPr>
          <w:p w14:paraId="510E7A02" w14:textId="77777777" w:rsidR="008E7846" w:rsidRPr="00487162" w:rsidRDefault="0095713A" w:rsidP="00E45619">
            <w:pPr>
              <w:rPr>
                <w:i/>
              </w:rPr>
            </w:pPr>
            <w:r>
              <w:rPr>
                <w:i/>
              </w:rPr>
              <w:t>Route</w:t>
            </w:r>
            <w:r w:rsidR="008E7846" w:rsidRPr="00487162">
              <w:rPr>
                <w:i/>
              </w:rPr>
              <w:t xml:space="preserve"> of administration:</w:t>
            </w:r>
          </w:p>
        </w:tc>
        <w:tc>
          <w:tcPr>
            <w:tcW w:w="6307" w:type="dxa"/>
          </w:tcPr>
          <w:p w14:paraId="336B8501" w14:textId="77777777" w:rsidR="008E7846" w:rsidRPr="00487162" w:rsidRDefault="0095713A" w:rsidP="00E45619">
            <w:r w:rsidRPr="00B40E19">
              <w:t>Oral</w:t>
            </w:r>
          </w:p>
        </w:tc>
      </w:tr>
      <w:tr w:rsidR="008E7846" w:rsidRPr="00487162" w14:paraId="699FF189" w14:textId="77777777" w:rsidTr="00BF1190">
        <w:tc>
          <w:tcPr>
            <w:tcW w:w="2907" w:type="dxa"/>
          </w:tcPr>
          <w:p w14:paraId="5810ED92" w14:textId="77777777" w:rsidR="008E7846" w:rsidRPr="00487162" w:rsidRDefault="008E7846" w:rsidP="00E45619">
            <w:pPr>
              <w:rPr>
                <w:i/>
              </w:rPr>
            </w:pPr>
            <w:r w:rsidRPr="00487162">
              <w:rPr>
                <w:i/>
              </w:rPr>
              <w:t>Dosage:</w:t>
            </w:r>
          </w:p>
        </w:tc>
        <w:tc>
          <w:tcPr>
            <w:tcW w:w="6307" w:type="dxa"/>
          </w:tcPr>
          <w:p w14:paraId="1C76E018" w14:textId="77777777" w:rsidR="0095713A" w:rsidRDefault="0095713A" w:rsidP="0095713A">
            <w:r w:rsidRPr="00B40E19">
              <w:t xml:space="preserve">The recommended dose of </w:t>
            </w:r>
            <w:proofErr w:type="spellStart"/>
            <w:r w:rsidRPr="00B40E19">
              <w:t>Talzenna</w:t>
            </w:r>
            <w:proofErr w:type="spellEnd"/>
            <w:r w:rsidRPr="00B40E19">
              <w:t xml:space="preserve"> is 1 mg taken orally once daily, with or without food. The capsules should be swallowed </w:t>
            </w:r>
            <w:proofErr w:type="gramStart"/>
            <w:r w:rsidRPr="00B40E19">
              <w:t>whole</w:t>
            </w:r>
            <w:proofErr w:type="gramEnd"/>
            <w:r w:rsidRPr="00B40E19">
              <w:t xml:space="preserve"> and m</w:t>
            </w:r>
            <w:r>
              <w:t>ust not be opened or dissolved.</w:t>
            </w:r>
          </w:p>
          <w:p w14:paraId="177FBB55" w14:textId="77777777" w:rsidR="0095713A" w:rsidRPr="00B40E19" w:rsidRDefault="0095713A" w:rsidP="0095713A">
            <w:r w:rsidRPr="00B40E19">
              <w:t>The 0.25 mg strength capsule is available for dose reduction.</w:t>
            </w:r>
          </w:p>
          <w:p w14:paraId="1A4271B7" w14:textId="77777777" w:rsidR="0095713A" w:rsidRPr="00B40E19" w:rsidRDefault="0095713A" w:rsidP="0095713A">
            <w:pPr>
              <w:rPr>
                <w:rFonts w:eastAsia="Calibri"/>
              </w:rPr>
            </w:pPr>
            <w:r w:rsidRPr="00B40E19">
              <w:t xml:space="preserve">Patients </w:t>
            </w:r>
            <w:proofErr w:type="gramStart"/>
            <w:r w:rsidRPr="00B40E19">
              <w:t>should be treated</w:t>
            </w:r>
            <w:proofErr w:type="gramEnd"/>
            <w:r w:rsidRPr="00B40E19">
              <w:t xml:space="preserve"> until disease progression or </w:t>
            </w:r>
            <w:r w:rsidRPr="00B40E19">
              <w:lastRenderedPageBreak/>
              <w:t>unacceptable toxicity occurs.</w:t>
            </w:r>
          </w:p>
          <w:p w14:paraId="0211380D" w14:textId="77777777" w:rsidR="008E7846" w:rsidRPr="00487162" w:rsidRDefault="0095713A" w:rsidP="0095713A">
            <w:r w:rsidRPr="00B40E19">
              <w:rPr>
                <w:rFonts w:eastAsia="Calibri"/>
              </w:rPr>
              <w:t xml:space="preserve">For further </w:t>
            </w:r>
            <w:proofErr w:type="gramStart"/>
            <w:r w:rsidRPr="00B40E19">
              <w:rPr>
                <w:rFonts w:eastAsia="Calibri"/>
              </w:rPr>
              <w:t>information</w:t>
            </w:r>
            <w:proofErr w:type="gramEnd"/>
            <w:r w:rsidRPr="00B40E19">
              <w:rPr>
                <w:rFonts w:eastAsia="Calibri"/>
              </w:rPr>
              <w:t xml:space="preserve"> refer to the Product Information.</w:t>
            </w:r>
          </w:p>
        </w:tc>
      </w:tr>
    </w:tbl>
    <w:p w14:paraId="3801F20F" w14:textId="77777777" w:rsidR="008E7846" w:rsidRDefault="008E7846" w:rsidP="00165090">
      <w:pPr>
        <w:pStyle w:val="Heading3"/>
      </w:pPr>
      <w:bookmarkStart w:id="13" w:name="_Toc247691503"/>
      <w:bookmarkStart w:id="14" w:name="_Toc314842484"/>
      <w:bookmarkStart w:id="15" w:name="_Toc34745994"/>
      <w:r>
        <w:lastRenderedPageBreak/>
        <w:t>Product background</w:t>
      </w:r>
      <w:bookmarkEnd w:id="13"/>
      <w:bookmarkEnd w:id="14"/>
      <w:bookmarkEnd w:id="15"/>
    </w:p>
    <w:p w14:paraId="3DAFF966" w14:textId="77777777" w:rsidR="008E7846" w:rsidRDefault="00940A89" w:rsidP="00940A89">
      <w:r w:rsidRPr="00940A89">
        <w:t xml:space="preserve">This </w:t>
      </w:r>
      <w:proofErr w:type="spellStart"/>
      <w:r w:rsidRPr="00940A89">
        <w:t>AusPAR</w:t>
      </w:r>
      <w:proofErr w:type="spellEnd"/>
      <w:r w:rsidRPr="00940A89">
        <w:t xml:space="preserve"> describes the application by </w:t>
      </w:r>
      <w:r w:rsidR="0095713A" w:rsidRPr="00C45281">
        <w:rPr>
          <w:rFonts w:eastAsia="Calibri"/>
          <w:lang w:val="es-ES"/>
        </w:rPr>
        <w:t xml:space="preserve">Pfizer Australia </w:t>
      </w:r>
      <w:proofErr w:type="spellStart"/>
      <w:r w:rsidR="0095713A" w:rsidRPr="00C45281">
        <w:rPr>
          <w:rFonts w:eastAsia="Calibri"/>
          <w:lang w:val="es-ES"/>
        </w:rPr>
        <w:t>Pty</w:t>
      </w:r>
      <w:proofErr w:type="spellEnd"/>
      <w:r w:rsidR="0095713A" w:rsidRPr="00C45281">
        <w:rPr>
          <w:rFonts w:eastAsia="Calibri"/>
          <w:lang w:val="es-ES"/>
        </w:rPr>
        <w:t xml:space="preserve"> </w:t>
      </w:r>
      <w:proofErr w:type="spellStart"/>
      <w:r w:rsidR="0095713A" w:rsidRPr="00C45281">
        <w:rPr>
          <w:rFonts w:eastAsia="Calibri"/>
          <w:lang w:val="es-ES"/>
        </w:rPr>
        <w:t>Ltd</w:t>
      </w:r>
      <w:proofErr w:type="spellEnd"/>
      <w:r w:rsidR="0095713A" w:rsidRPr="00940A89">
        <w:t xml:space="preserve"> </w:t>
      </w:r>
      <w:r w:rsidR="0095713A">
        <w:t>(</w:t>
      </w:r>
      <w:r w:rsidRPr="00940A89">
        <w:t>the sponsor</w:t>
      </w:r>
      <w:r w:rsidR="0095713A">
        <w:t>)</w:t>
      </w:r>
      <w:r w:rsidRPr="00940A89">
        <w:t xml:space="preserve"> to register </w:t>
      </w:r>
      <w:proofErr w:type="spellStart"/>
      <w:r w:rsidR="0095713A" w:rsidRPr="00BF7495">
        <w:rPr>
          <w:rFonts w:eastAsia="Calibri"/>
        </w:rPr>
        <w:t>Talzenna</w:t>
      </w:r>
      <w:proofErr w:type="spellEnd"/>
      <w:r w:rsidR="0095713A" w:rsidRPr="00BF7495">
        <w:rPr>
          <w:rFonts w:eastAsia="Calibri"/>
        </w:rPr>
        <w:t xml:space="preserve"> (</w:t>
      </w:r>
      <w:proofErr w:type="spellStart"/>
      <w:r w:rsidR="0095713A" w:rsidRPr="00BF7495">
        <w:rPr>
          <w:rFonts w:eastAsia="Calibri"/>
        </w:rPr>
        <w:t>talaz</w:t>
      </w:r>
      <w:r w:rsidR="0095713A">
        <w:rPr>
          <w:rFonts w:eastAsia="Calibri"/>
        </w:rPr>
        <w:t>o</w:t>
      </w:r>
      <w:r w:rsidR="0095713A" w:rsidRPr="00BF7495">
        <w:rPr>
          <w:rFonts w:eastAsia="Calibri"/>
        </w:rPr>
        <w:t>parib</w:t>
      </w:r>
      <w:proofErr w:type="spellEnd"/>
      <w:r w:rsidR="0095713A" w:rsidRPr="00BF7495">
        <w:rPr>
          <w:rFonts w:eastAsia="Calibri"/>
        </w:rPr>
        <w:t xml:space="preserve"> as </w:t>
      </w:r>
      <w:proofErr w:type="spellStart"/>
      <w:r w:rsidR="0095713A" w:rsidRPr="00BF7495">
        <w:rPr>
          <w:rFonts w:eastAsia="Calibri"/>
        </w:rPr>
        <w:t>tosilate</w:t>
      </w:r>
      <w:proofErr w:type="spellEnd"/>
      <w:r w:rsidR="0095713A" w:rsidRPr="00BF7495">
        <w:rPr>
          <w:rFonts w:eastAsia="Calibri"/>
        </w:rPr>
        <w:t>)</w:t>
      </w:r>
      <w:r w:rsidR="0095713A">
        <w:rPr>
          <w:rFonts w:eastAsia="Calibri"/>
        </w:rPr>
        <w:t xml:space="preserve"> hard capsules</w:t>
      </w:r>
      <w:r w:rsidRPr="00940A89">
        <w:t xml:space="preserve"> f</w:t>
      </w:r>
      <w:r w:rsidR="0095713A">
        <w:t>or the following proposed indication:</w:t>
      </w:r>
    </w:p>
    <w:p w14:paraId="22FF90A1" w14:textId="77777777" w:rsidR="0095713A" w:rsidRPr="0095713A" w:rsidRDefault="0095713A" w:rsidP="0095713A">
      <w:pPr>
        <w:ind w:left="720"/>
        <w:rPr>
          <w:i/>
        </w:rPr>
      </w:pPr>
      <w:r w:rsidRPr="0095713A">
        <w:rPr>
          <w:i/>
        </w:rPr>
        <w:t>[…] for the treatment of patients with germline breast cancer susceptibility gene (BRCA) mutated human epidermal growth factor receptor 2 (HER2)-negative locally advanced or metastatic breast cancer.</w:t>
      </w:r>
    </w:p>
    <w:p w14:paraId="415C2A68" w14:textId="4B06B8A6" w:rsidR="007C5D2A" w:rsidRDefault="00D02F91" w:rsidP="009E6301">
      <w:pPr>
        <w:rPr>
          <w:lang w:eastAsia="ja-JP"/>
        </w:rPr>
      </w:pPr>
      <w:r>
        <w:rPr>
          <w:lang w:eastAsia="ja-JP"/>
        </w:rPr>
        <w:t>Metastatic</w:t>
      </w:r>
      <w:r w:rsidR="008C7FFA">
        <w:rPr>
          <w:lang w:eastAsia="ja-JP"/>
        </w:rPr>
        <w:t xml:space="preserve"> breast cancer is incurable; t</w:t>
      </w:r>
      <w:r w:rsidR="007C5D2A">
        <w:t>he aims of treatment are to alleviate symptoms, maintain or improve quality of life (</w:t>
      </w:r>
      <w:proofErr w:type="spellStart"/>
      <w:r w:rsidR="007C5D2A">
        <w:t>QoL</w:t>
      </w:r>
      <w:proofErr w:type="spellEnd"/>
      <w:r w:rsidR="007C5D2A">
        <w:t xml:space="preserve">) and increase overall survival (OS) time through sequential use of therapies. </w:t>
      </w:r>
      <w:r w:rsidR="00E873E0">
        <w:t>The m</w:t>
      </w:r>
      <w:r w:rsidR="007C5D2A">
        <w:t>edian OS is currently around 3 years.</w:t>
      </w:r>
      <w:r w:rsidR="00E9079F">
        <w:rPr>
          <w:rStyle w:val="FootnoteReference"/>
        </w:rPr>
        <w:footnoteReference w:id="1"/>
      </w:r>
      <w:r w:rsidR="007C5D2A">
        <w:t xml:space="preserve"> </w:t>
      </w:r>
      <w:r w:rsidR="00E873E0">
        <w:t xml:space="preserve">The </w:t>
      </w:r>
      <w:r w:rsidR="00E873E0">
        <w:rPr>
          <w:lang w:eastAsia="ja-JP"/>
        </w:rPr>
        <w:t>c</w:t>
      </w:r>
      <w:r w:rsidR="007C5D2A">
        <w:rPr>
          <w:lang w:eastAsia="ja-JP"/>
        </w:rPr>
        <w:t xml:space="preserve">hoice of systemic treatment for locally advanced or metastatic breast cancer </w:t>
      </w:r>
      <w:proofErr w:type="gramStart"/>
      <w:r w:rsidR="007C5D2A">
        <w:rPr>
          <w:lang w:eastAsia="ja-JP"/>
        </w:rPr>
        <w:t>is broadly directed</w:t>
      </w:r>
      <w:proofErr w:type="gramEnd"/>
      <w:r w:rsidR="007C5D2A">
        <w:rPr>
          <w:lang w:eastAsia="ja-JP"/>
        </w:rPr>
        <w:t xml:space="preserve"> by tumour status for genetic driver mutations in the genes encoding </w:t>
      </w:r>
      <w:r w:rsidR="00015C3C">
        <w:rPr>
          <w:lang w:eastAsia="ja-JP"/>
        </w:rPr>
        <w:t>h</w:t>
      </w:r>
      <w:r w:rsidR="00015C3C" w:rsidRPr="00015C3C">
        <w:rPr>
          <w:lang w:eastAsia="ja-JP"/>
        </w:rPr>
        <w:t>uman epidermal growth factor receptor 2</w:t>
      </w:r>
      <w:r w:rsidR="00015C3C">
        <w:rPr>
          <w:lang w:eastAsia="ja-JP"/>
        </w:rPr>
        <w:t xml:space="preserve"> (</w:t>
      </w:r>
      <w:r w:rsidR="007C5D2A">
        <w:rPr>
          <w:lang w:eastAsia="ja-JP"/>
        </w:rPr>
        <w:t>HER2</w:t>
      </w:r>
      <w:r w:rsidR="00015C3C">
        <w:rPr>
          <w:lang w:eastAsia="ja-JP"/>
        </w:rPr>
        <w:t>)</w:t>
      </w:r>
      <w:r w:rsidR="007C5D2A">
        <w:rPr>
          <w:lang w:eastAsia="ja-JP"/>
        </w:rPr>
        <w:t xml:space="preserve"> a</w:t>
      </w:r>
      <w:r w:rsidR="009E6301">
        <w:rPr>
          <w:lang w:eastAsia="ja-JP"/>
        </w:rPr>
        <w:t>nd/or hormone receptors (HR).</w:t>
      </w:r>
      <w:r w:rsidR="00E9079F">
        <w:rPr>
          <w:rStyle w:val="FootnoteReference"/>
          <w:lang w:eastAsia="ja-JP"/>
        </w:rPr>
        <w:footnoteReference w:id="2"/>
      </w:r>
      <w:r w:rsidR="009E6301">
        <w:rPr>
          <w:lang w:eastAsia="ja-JP"/>
        </w:rPr>
        <w:t xml:space="preserve"> </w:t>
      </w:r>
      <w:proofErr w:type="gramStart"/>
      <w:r w:rsidR="007C5D2A">
        <w:rPr>
          <w:lang w:eastAsia="ja-JP"/>
        </w:rPr>
        <w:t>Hormone receptor gene mutations</w:t>
      </w:r>
      <w:proofErr w:type="gramEnd"/>
      <w:r w:rsidR="007C5D2A">
        <w:rPr>
          <w:lang w:eastAsia="ja-JP"/>
        </w:rPr>
        <w:t xml:space="preserve"> may affect the oestrogen receptor (ER) and/or progesterone receptor (P</w:t>
      </w:r>
      <w:r w:rsidR="009E6301">
        <w:rPr>
          <w:lang w:eastAsia="ja-JP"/>
        </w:rPr>
        <w:t xml:space="preserve">R). </w:t>
      </w:r>
      <w:r w:rsidR="007C5D2A">
        <w:rPr>
          <w:lang w:eastAsia="ja-JP"/>
        </w:rPr>
        <w:t>The absence of mutations in any of HER2, ER and PR is described as ‘triple negative’ breast cancer (TNBC).</w:t>
      </w:r>
    </w:p>
    <w:p w14:paraId="07D3C149" w14:textId="026A1812" w:rsidR="007C5D2A" w:rsidRDefault="007C5D2A" w:rsidP="009E6301">
      <w:pPr>
        <w:rPr>
          <w:lang w:eastAsia="ja-JP"/>
        </w:rPr>
      </w:pPr>
      <w:r>
        <w:rPr>
          <w:lang w:eastAsia="ja-JP"/>
        </w:rPr>
        <w:t>The incidence of HER2 and HR mutations in breast cancer</w:t>
      </w:r>
      <w:r w:rsidR="009E6301">
        <w:rPr>
          <w:lang w:eastAsia="ja-JP"/>
        </w:rPr>
        <w:t xml:space="preserve"> are approximately as follows:</w:t>
      </w:r>
    </w:p>
    <w:p w14:paraId="61AAB767" w14:textId="1F4ADCE0" w:rsidR="007C5D2A" w:rsidRDefault="007C5D2A" w:rsidP="009E6301">
      <w:pPr>
        <w:pStyle w:val="ListBullet"/>
        <w:rPr>
          <w:lang w:eastAsia="ja-JP"/>
        </w:rPr>
      </w:pPr>
      <w:r>
        <w:rPr>
          <w:lang w:eastAsia="ja-JP"/>
        </w:rPr>
        <w:t>HR-positive and HER2-negative: 73%</w:t>
      </w:r>
    </w:p>
    <w:p w14:paraId="6D4AD8DC" w14:textId="426BA6D5" w:rsidR="007C5D2A" w:rsidRDefault="007C5D2A" w:rsidP="00165090">
      <w:pPr>
        <w:pStyle w:val="ListBullet"/>
        <w:rPr>
          <w:lang w:eastAsia="ja-JP"/>
        </w:rPr>
      </w:pPr>
      <w:r>
        <w:rPr>
          <w:lang w:eastAsia="ja-JP"/>
        </w:rPr>
        <w:t>TNBC: 13%</w:t>
      </w:r>
    </w:p>
    <w:p w14:paraId="6B6E6615" w14:textId="024793A6" w:rsidR="007C5D2A" w:rsidRDefault="007C5D2A" w:rsidP="009E6301">
      <w:pPr>
        <w:pStyle w:val="ListBullet"/>
        <w:rPr>
          <w:lang w:eastAsia="ja-JP"/>
        </w:rPr>
      </w:pPr>
      <w:r>
        <w:rPr>
          <w:lang w:eastAsia="ja-JP"/>
        </w:rPr>
        <w:t>HER2-positive: 15%</w:t>
      </w:r>
    </w:p>
    <w:p w14:paraId="054F1EB5" w14:textId="396F700D" w:rsidR="007C5D2A" w:rsidRDefault="007C5D2A" w:rsidP="009E6301">
      <w:pPr>
        <w:pStyle w:val="ListBullet2"/>
        <w:rPr>
          <w:lang w:eastAsia="ja-JP"/>
        </w:rPr>
      </w:pPr>
      <w:r>
        <w:rPr>
          <w:lang w:eastAsia="ja-JP"/>
        </w:rPr>
        <w:t>And HR-positive: 10%</w:t>
      </w:r>
    </w:p>
    <w:p w14:paraId="4759A898" w14:textId="3D00D24A" w:rsidR="00D02F91" w:rsidRDefault="007C5D2A" w:rsidP="009E6301">
      <w:pPr>
        <w:pStyle w:val="ListBullet2"/>
        <w:rPr>
          <w:lang w:eastAsia="ja-JP"/>
        </w:rPr>
      </w:pPr>
      <w:r>
        <w:rPr>
          <w:lang w:eastAsia="ja-JP"/>
        </w:rPr>
        <w:t>And HR-negative: 5%</w:t>
      </w:r>
    </w:p>
    <w:p w14:paraId="55A5BAD1" w14:textId="27D1B242" w:rsidR="007C5D2A" w:rsidRDefault="007C5D2A" w:rsidP="009E6301">
      <w:r>
        <w:t>In addit</w:t>
      </w:r>
      <w:r w:rsidR="004476AF">
        <w:t xml:space="preserve">ion to HER2 and HR mutations, 5 to </w:t>
      </w:r>
      <w:r>
        <w:t xml:space="preserve">10% of all breast cancers are found to harbour mutations in </w:t>
      </w:r>
      <w:r w:rsidR="008C7FFA" w:rsidRPr="008C7FFA">
        <w:t xml:space="preserve">breast cancer susceptibility gene </w:t>
      </w:r>
      <w:r w:rsidR="008C7FFA">
        <w:t xml:space="preserve">1 (BRCA1; </w:t>
      </w:r>
      <w:r>
        <w:t xml:space="preserve">70% of these patients have TNBC) or </w:t>
      </w:r>
      <w:r w:rsidR="00E873E0">
        <w:t xml:space="preserve">in </w:t>
      </w:r>
      <w:r w:rsidR="00E873E0" w:rsidRPr="008C7FFA">
        <w:t xml:space="preserve">breast cancer susceptibility gene </w:t>
      </w:r>
      <w:r w:rsidR="00E873E0">
        <w:t>2 (</w:t>
      </w:r>
      <w:r>
        <w:t>BRCA2</w:t>
      </w:r>
      <w:r w:rsidR="00E873E0">
        <w:t xml:space="preserve">; </w:t>
      </w:r>
      <w:r>
        <w:t>20% of these patients have TNBC).</w:t>
      </w:r>
      <w:r w:rsidR="00E9079F">
        <w:rPr>
          <w:rStyle w:val="FootnoteReference"/>
        </w:rPr>
        <w:footnoteReference w:id="3"/>
      </w:r>
      <w:r>
        <w:t xml:space="preserve"> </w:t>
      </w:r>
      <w:r w:rsidRPr="00B564EA">
        <w:t xml:space="preserve">BRCA testing </w:t>
      </w:r>
      <w:proofErr w:type="gramStart"/>
      <w:r>
        <w:t>should be considered</w:t>
      </w:r>
      <w:proofErr w:type="gramEnd"/>
      <w:r>
        <w:t xml:space="preserve"> </w:t>
      </w:r>
      <w:r w:rsidRPr="00B564EA">
        <w:t>for all women with TNBC</w:t>
      </w:r>
      <w:r>
        <w:t>.</w:t>
      </w:r>
      <w:r w:rsidR="00E9079F">
        <w:rPr>
          <w:rStyle w:val="FootnoteReference"/>
        </w:rPr>
        <w:footnoteReference w:id="4"/>
      </w:r>
      <w:r>
        <w:t xml:space="preserve"> The prevalence of patients with BRCA mutation who have HER2-positive breast cancer is low (around 3%).</w:t>
      </w:r>
      <w:r w:rsidR="00D31C49">
        <w:rPr>
          <w:rStyle w:val="FootnoteReference"/>
        </w:rPr>
        <w:footnoteReference w:id="5"/>
      </w:r>
    </w:p>
    <w:p w14:paraId="671764BC" w14:textId="4102A68A" w:rsidR="00D02F91" w:rsidRDefault="00D02F91" w:rsidP="009E6301">
      <w:proofErr w:type="spellStart"/>
      <w:r>
        <w:t>Talazoparib</w:t>
      </w:r>
      <w:proofErr w:type="spellEnd"/>
      <w:r>
        <w:t xml:space="preserve"> is a new therapeutic entity, </w:t>
      </w:r>
      <w:r w:rsidR="00CA15AD">
        <w:t xml:space="preserve">which </w:t>
      </w:r>
      <w:proofErr w:type="gramStart"/>
      <w:r w:rsidR="00CA15AD">
        <w:t xml:space="preserve">was </w:t>
      </w:r>
      <w:r>
        <w:t>proposed</w:t>
      </w:r>
      <w:proofErr w:type="gramEnd"/>
      <w:r>
        <w:t xml:space="preserve"> for registration for the treatment of patients who have a germline breast cancer susceptibility (BRCA) gene mutation and have locally advanced or metastatic breast cancer that is</w:t>
      </w:r>
      <w:r w:rsidRPr="00B01CB4">
        <w:t xml:space="preserve"> </w:t>
      </w:r>
      <w:r w:rsidR="00015C3C">
        <w:t>HER2</w:t>
      </w:r>
      <w:r w:rsidR="008C7FFA">
        <w:t xml:space="preserve">-negative. </w:t>
      </w:r>
      <w:proofErr w:type="spellStart"/>
      <w:r>
        <w:t>Talazoparib</w:t>
      </w:r>
      <w:proofErr w:type="spellEnd"/>
      <w:r>
        <w:t xml:space="preserve"> is an inhibitor of poly </w:t>
      </w:r>
      <w:r w:rsidR="00015C3C" w:rsidRPr="00015C3C">
        <w:t>adenosine diphosphate</w:t>
      </w:r>
      <w:r w:rsidR="00015C3C">
        <w:t xml:space="preserve"> </w:t>
      </w:r>
      <w:r>
        <w:t xml:space="preserve">ribose polymerase (PARP) enzymes, which have a role in DNA repair. Use of PARP inhibitors in patients with germline BRCA mutation (also implicated in DNA repair) may further destabilise tumour DNA repair ability. </w:t>
      </w:r>
      <w:proofErr w:type="spellStart"/>
      <w:r>
        <w:t>Olaparib</w:t>
      </w:r>
      <w:proofErr w:type="spellEnd"/>
      <w:r>
        <w:t xml:space="preserve">, another PARP inhibitor, is on the Australian Register of </w:t>
      </w:r>
      <w:r>
        <w:lastRenderedPageBreak/>
        <w:t xml:space="preserve">Therapeutic Goods (ARTG) with a similar indication to the one proposed for </w:t>
      </w:r>
      <w:proofErr w:type="spellStart"/>
      <w:r>
        <w:t>talazoparib</w:t>
      </w:r>
      <w:proofErr w:type="spellEnd"/>
      <w:r>
        <w:t>, but restricted to use after prior chemotherapy.</w:t>
      </w:r>
    </w:p>
    <w:p w14:paraId="6422DD1E" w14:textId="628E7D30" w:rsidR="00714C8C" w:rsidRDefault="00D02F91" w:rsidP="00165090">
      <w:r>
        <w:t>The pivotal study for this submission is</w:t>
      </w:r>
      <w:r w:rsidR="00E873E0">
        <w:t xml:space="preserve"> the</w:t>
      </w:r>
      <w:r w:rsidRPr="006A588B">
        <w:t xml:space="preserve"> </w:t>
      </w:r>
      <w:r w:rsidR="008C7FFA">
        <w:t>EMBRACA</w:t>
      </w:r>
      <w:r w:rsidR="00E873E0">
        <w:t xml:space="preserve"> trial;</w:t>
      </w:r>
      <w:r w:rsidR="008C7FFA">
        <w:t xml:space="preserve"> a P</w:t>
      </w:r>
      <w:r w:rsidR="00015C3C">
        <w:t xml:space="preserve">hase III, open label, multi </w:t>
      </w:r>
      <w:r>
        <w:t xml:space="preserve">centre randomised controlled trial (RCT) of </w:t>
      </w:r>
      <w:proofErr w:type="spellStart"/>
      <w:r>
        <w:t>talazoparib</w:t>
      </w:r>
      <w:proofErr w:type="spellEnd"/>
      <w:r>
        <w:t xml:space="preserve"> versus single-agent chemotherapy (physicians’ choice treatment (PCT) of </w:t>
      </w:r>
      <w:proofErr w:type="spellStart"/>
      <w:r>
        <w:t>capecitabine</w:t>
      </w:r>
      <w:proofErr w:type="spellEnd"/>
      <w:r>
        <w:t xml:space="preserve">, </w:t>
      </w:r>
      <w:proofErr w:type="spellStart"/>
      <w:r>
        <w:t>eribulin</w:t>
      </w:r>
      <w:proofErr w:type="spellEnd"/>
      <w:r>
        <w:t xml:space="preserve">, gemcitabine or </w:t>
      </w:r>
      <w:proofErr w:type="spellStart"/>
      <w:r>
        <w:t>vinorelbine</w:t>
      </w:r>
      <w:proofErr w:type="spellEnd"/>
      <w:r>
        <w:t>) in patients with a deleterious or suspected deleterious germline BRCA mutation, who have HER2-negative locally advanc</w:t>
      </w:r>
      <w:r w:rsidR="00714C8C">
        <w:t>ed or metastatic breast cancer.</w:t>
      </w:r>
    </w:p>
    <w:p w14:paraId="67DFBF65" w14:textId="77777777" w:rsidR="008E7846" w:rsidRPr="003F31A2" w:rsidRDefault="00386150" w:rsidP="00165090">
      <w:pPr>
        <w:pStyle w:val="Heading3"/>
      </w:pPr>
      <w:bookmarkStart w:id="16" w:name="_Toc314842485"/>
      <w:bookmarkStart w:id="17" w:name="_Toc247691504"/>
      <w:bookmarkStart w:id="18" w:name="_Toc34745995"/>
      <w:r>
        <w:t>Regulatory s</w:t>
      </w:r>
      <w:r w:rsidR="008E7846">
        <w:t>tatus</w:t>
      </w:r>
      <w:bookmarkEnd w:id="16"/>
      <w:bookmarkEnd w:id="17"/>
      <w:bookmarkEnd w:id="18"/>
    </w:p>
    <w:p w14:paraId="0DBE6CB9" w14:textId="77777777" w:rsidR="00940A89" w:rsidRDefault="00D02F91" w:rsidP="00940A89">
      <w:bookmarkStart w:id="19" w:name="_Toc247691505"/>
      <w:bookmarkStart w:id="20" w:name="_Toc314842486"/>
      <w:proofErr w:type="spellStart"/>
      <w:r w:rsidRPr="00BF7495">
        <w:rPr>
          <w:rFonts w:eastAsia="Calibri"/>
        </w:rPr>
        <w:t>Talzenna</w:t>
      </w:r>
      <w:proofErr w:type="spellEnd"/>
      <w:r w:rsidRPr="00BF7495">
        <w:rPr>
          <w:rFonts w:eastAsia="Calibri"/>
        </w:rPr>
        <w:t xml:space="preserve"> (</w:t>
      </w:r>
      <w:proofErr w:type="spellStart"/>
      <w:r w:rsidRPr="00BF7495">
        <w:rPr>
          <w:rFonts w:eastAsia="Calibri"/>
        </w:rPr>
        <w:t>talaz</w:t>
      </w:r>
      <w:r>
        <w:rPr>
          <w:rFonts w:eastAsia="Calibri"/>
        </w:rPr>
        <w:t>o</w:t>
      </w:r>
      <w:r w:rsidRPr="00BF7495">
        <w:rPr>
          <w:rFonts w:eastAsia="Calibri"/>
        </w:rPr>
        <w:t>parib</w:t>
      </w:r>
      <w:proofErr w:type="spellEnd"/>
      <w:r w:rsidRPr="00BF7495">
        <w:rPr>
          <w:rFonts w:eastAsia="Calibri"/>
        </w:rPr>
        <w:t xml:space="preserve"> as </w:t>
      </w:r>
      <w:proofErr w:type="spellStart"/>
      <w:r w:rsidRPr="00BF7495">
        <w:rPr>
          <w:rFonts w:eastAsia="Calibri"/>
        </w:rPr>
        <w:t>tosilate</w:t>
      </w:r>
      <w:proofErr w:type="spellEnd"/>
      <w:r w:rsidRPr="00BF7495">
        <w:rPr>
          <w:rFonts w:eastAsia="Calibri"/>
        </w:rPr>
        <w:t>)</w:t>
      </w:r>
      <w:r>
        <w:rPr>
          <w:rFonts w:eastAsia="Calibri"/>
        </w:rPr>
        <w:t xml:space="preserve"> is a new chemical entity for Australian regulatory purposes.</w:t>
      </w:r>
    </w:p>
    <w:p w14:paraId="5D5D9F51" w14:textId="17F95E2D" w:rsidR="00940A89" w:rsidRDefault="00940A89" w:rsidP="00940A89">
      <w:r w:rsidRPr="00940A89">
        <w:t xml:space="preserve">At the </w:t>
      </w:r>
      <w:proofErr w:type="gramStart"/>
      <w:r w:rsidRPr="00940A89">
        <w:t>time</w:t>
      </w:r>
      <w:proofErr w:type="gramEnd"/>
      <w:r w:rsidRPr="00940A89">
        <w:t xml:space="preserve"> the TGA considered this application, a similar application had been approved </w:t>
      </w:r>
      <w:r w:rsidR="006C1886">
        <w:t xml:space="preserve">in </w:t>
      </w:r>
      <w:r w:rsidR="00FF5762">
        <w:t>Europe</w:t>
      </w:r>
      <w:r w:rsidR="005275A0">
        <w:t>,</w:t>
      </w:r>
      <w:r w:rsidR="00FF5762">
        <w:t xml:space="preserve"> the United States of America (USA)</w:t>
      </w:r>
      <w:r w:rsidR="005275A0">
        <w:t xml:space="preserve"> and Canada</w:t>
      </w:r>
      <w:r w:rsidR="008D6950">
        <w:t>,</w:t>
      </w:r>
      <w:r w:rsidR="00FF5762">
        <w:t xml:space="preserve"> and was under consideration in Switzerland (see </w:t>
      </w:r>
      <w:r w:rsidR="00FF5762">
        <w:fldChar w:fldCharType="begin"/>
      </w:r>
      <w:r w:rsidR="00FF5762">
        <w:instrText xml:space="preserve"> REF _Ref30750235 \h </w:instrText>
      </w:r>
      <w:r w:rsidR="00FF5762">
        <w:fldChar w:fldCharType="separate"/>
      </w:r>
      <w:r w:rsidR="00FF5762">
        <w:t xml:space="preserve">Table </w:t>
      </w:r>
      <w:r w:rsidR="00FF5762">
        <w:rPr>
          <w:noProof/>
        </w:rPr>
        <w:t>1</w:t>
      </w:r>
      <w:r w:rsidR="00FF5762">
        <w:fldChar w:fldCharType="end"/>
      </w:r>
      <w:r w:rsidR="00FF5762">
        <w:t>)</w:t>
      </w:r>
      <w:r>
        <w:t>.</w:t>
      </w:r>
    </w:p>
    <w:p w14:paraId="6BB5C369" w14:textId="205E7530" w:rsidR="00FF5762" w:rsidRDefault="00FF5762" w:rsidP="00165090">
      <w:pPr>
        <w:pStyle w:val="TableTitle"/>
      </w:pPr>
      <w:bookmarkStart w:id="21" w:name="_Ref30750235"/>
      <w:r>
        <w:t xml:space="preserve">Table </w:t>
      </w:r>
      <w:fldSimple w:instr=" SEQ Table \* ARABIC ">
        <w:r>
          <w:rPr>
            <w:noProof/>
          </w:rPr>
          <w:t>1</w:t>
        </w:r>
      </w:fldSimple>
      <w:bookmarkEnd w:id="21"/>
      <w:r>
        <w:t>: International regulato</w:t>
      </w:r>
      <w:r w:rsidR="00520FF6">
        <w:t xml:space="preserve">ry status of </w:t>
      </w:r>
      <w:proofErr w:type="spellStart"/>
      <w:r w:rsidR="00520FF6">
        <w:t>Talzenna</w:t>
      </w:r>
      <w:proofErr w:type="spellEnd"/>
      <w:r w:rsidR="00520FF6">
        <w:t xml:space="preserve"> as of September</w:t>
      </w:r>
      <w:r>
        <w:t xml:space="preserve"> 2019</w:t>
      </w:r>
    </w:p>
    <w:tbl>
      <w:tblPr>
        <w:tblStyle w:val="TableTGAblue"/>
        <w:tblW w:w="0" w:type="auto"/>
        <w:tblLook w:val="04A0" w:firstRow="1" w:lastRow="0" w:firstColumn="1" w:lastColumn="0" w:noHBand="0" w:noVBand="1"/>
      </w:tblPr>
      <w:tblGrid>
        <w:gridCol w:w="1242"/>
        <w:gridCol w:w="1556"/>
        <w:gridCol w:w="4643"/>
      </w:tblGrid>
      <w:tr w:rsidR="00520FF6" w:rsidRPr="00FF5762" w14:paraId="60D59DC5" w14:textId="77777777" w:rsidTr="00FF5762">
        <w:trPr>
          <w:cnfStyle w:val="100000000000" w:firstRow="1" w:lastRow="0" w:firstColumn="0" w:lastColumn="0" w:oddVBand="0" w:evenVBand="0" w:oddHBand="0" w:evenHBand="0" w:firstRowFirstColumn="0" w:firstRowLastColumn="0" w:lastRowFirstColumn="0" w:lastRowLastColumn="0"/>
        </w:trPr>
        <w:tc>
          <w:tcPr>
            <w:tcW w:w="1242" w:type="dxa"/>
          </w:tcPr>
          <w:p w14:paraId="37167CF2" w14:textId="77777777" w:rsidR="00520FF6" w:rsidRPr="00FF5762" w:rsidRDefault="00520FF6" w:rsidP="00FF5762">
            <w:pPr>
              <w:ind w:left="0" w:right="0"/>
              <w:rPr>
                <w:sz w:val="20"/>
                <w:szCs w:val="20"/>
              </w:rPr>
            </w:pPr>
            <w:r w:rsidRPr="00FF5762">
              <w:rPr>
                <w:sz w:val="20"/>
                <w:szCs w:val="20"/>
              </w:rPr>
              <w:t>Region</w:t>
            </w:r>
          </w:p>
        </w:tc>
        <w:tc>
          <w:tcPr>
            <w:tcW w:w="1556" w:type="dxa"/>
          </w:tcPr>
          <w:p w14:paraId="21804572" w14:textId="77777777" w:rsidR="00520FF6" w:rsidRPr="00FF5762" w:rsidRDefault="00520FF6" w:rsidP="00FF5762">
            <w:pPr>
              <w:ind w:left="0" w:right="0"/>
              <w:rPr>
                <w:sz w:val="20"/>
                <w:szCs w:val="20"/>
              </w:rPr>
            </w:pPr>
            <w:r w:rsidRPr="00FF5762">
              <w:rPr>
                <w:sz w:val="20"/>
                <w:szCs w:val="20"/>
              </w:rPr>
              <w:t>Status</w:t>
            </w:r>
          </w:p>
        </w:tc>
        <w:tc>
          <w:tcPr>
            <w:tcW w:w="4643" w:type="dxa"/>
          </w:tcPr>
          <w:p w14:paraId="50F4F7DC" w14:textId="77777777" w:rsidR="00520FF6" w:rsidRPr="00FF5762" w:rsidRDefault="00520FF6" w:rsidP="00FF5762">
            <w:pPr>
              <w:ind w:left="0" w:right="0"/>
              <w:rPr>
                <w:sz w:val="20"/>
                <w:szCs w:val="20"/>
              </w:rPr>
            </w:pPr>
            <w:r w:rsidRPr="00FF5762">
              <w:rPr>
                <w:sz w:val="20"/>
                <w:szCs w:val="20"/>
              </w:rPr>
              <w:t>Indications</w:t>
            </w:r>
          </w:p>
        </w:tc>
      </w:tr>
      <w:tr w:rsidR="00520FF6" w:rsidRPr="00FF5762" w14:paraId="38A5CD4B" w14:textId="77777777" w:rsidTr="00FF5762">
        <w:tc>
          <w:tcPr>
            <w:tcW w:w="1242" w:type="dxa"/>
          </w:tcPr>
          <w:p w14:paraId="7E126927" w14:textId="77777777" w:rsidR="00520FF6" w:rsidRPr="00FF5762" w:rsidRDefault="00520FF6" w:rsidP="00FF5762">
            <w:pPr>
              <w:ind w:left="0" w:right="0"/>
              <w:rPr>
                <w:bCs/>
                <w:sz w:val="20"/>
                <w:szCs w:val="20"/>
              </w:rPr>
            </w:pPr>
            <w:r w:rsidRPr="00FF5762">
              <w:rPr>
                <w:bCs/>
                <w:sz w:val="20"/>
                <w:szCs w:val="20"/>
              </w:rPr>
              <w:t>Europe</w:t>
            </w:r>
          </w:p>
        </w:tc>
        <w:tc>
          <w:tcPr>
            <w:tcW w:w="1556" w:type="dxa"/>
          </w:tcPr>
          <w:p w14:paraId="25B57170" w14:textId="77777777" w:rsidR="00520FF6" w:rsidRPr="00FF5762" w:rsidRDefault="00520FF6" w:rsidP="00FF5762">
            <w:pPr>
              <w:ind w:left="0" w:right="0"/>
              <w:rPr>
                <w:bCs/>
                <w:i/>
                <w:iCs/>
                <w:sz w:val="20"/>
                <w:szCs w:val="20"/>
              </w:rPr>
            </w:pPr>
            <w:r w:rsidRPr="00FF5762">
              <w:rPr>
                <w:bCs/>
                <w:sz w:val="20"/>
                <w:szCs w:val="20"/>
              </w:rPr>
              <w:t>Approved 20 June 2019</w:t>
            </w:r>
          </w:p>
        </w:tc>
        <w:tc>
          <w:tcPr>
            <w:tcW w:w="4643" w:type="dxa"/>
          </w:tcPr>
          <w:p w14:paraId="3CCDA7A9" w14:textId="77777777" w:rsidR="00520FF6" w:rsidRPr="00FF5762" w:rsidRDefault="00520FF6" w:rsidP="00FF5762">
            <w:pPr>
              <w:ind w:left="0" w:right="0"/>
              <w:rPr>
                <w:bCs/>
                <w:i/>
                <w:iCs/>
                <w:sz w:val="20"/>
                <w:szCs w:val="20"/>
              </w:rPr>
            </w:pPr>
            <w:proofErr w:type="spellStart"/>
            <w:r w:rsidRPr="00FF5762">
              <w:rPr>
                <w:bCs/>
                <w:i/>
                <w:iCs/>
                <w:sz w:val="20"/>
                <w:szCs w:val="20"/>
              </w:rPr>
              <w:t>Talzenna</w:t>
            </w:r>
            <w:proofErr w:type="spellEnd"/>
            <w:r w:rsidRPr="00FF5762">
              <w:rPr>
                <w:bCs/>
                <w:i/>
                <w:iCs/>
                <w:sz w:val="20"/>
                <w:szCs w:val="20"/>
              </w:rPr>
              <w:t xml:space="preserve"> is indicated as monotherapy for the treatment of adult patients with germline breast cancer susceptibility gene (gBRCA1/2 mutations, who have human epidermal growth factor receptor 2 (HER2)-negative locally advanced or metastatic breast cancer. Patients should have been previously treated with an </w:t>
            </w:r>
            <w:proofErr w:type="spellStart"/>
            <w:r w:rsidRPr="00FF5762">
              <w:rPr>
                <w:bCs/>
                <w:i/>
                <w:iCs/>
                <w:sz w:val="20"/>
                <w:szCs w:val="20"/>
              </w:rPr>
              <w:t>anthracycline</w:t>
            </w:r>
            <w:proofErr w:type="spellEnd"/>
            <w:r w:rsidRPr="00FF5762">
              <w:rPr>
                <w:bCs/>
                <w:i/>
                <w:iCs/>
                <w:sz w:val="20"/>
                <w:szCs w:val="20"/>
              </w:rPr>
              <w:t xml:space="preserve"> and/or </w:t>
            </w:r>
            <w:proofErr w:type="spellStart"/>
            <w:r w:rsidRPr="00FF5762">
              <w:rPr>
                <w:bCs/>
                <w:i/>
                <w:iCs/>
                <w:sz w:val="20"/>
                <w:szCs w:val="20"/>
              </w:rPr>
              <w:t>taxane</w:t>
            </w:r>
            <w:proofErr w:type="spellEnd"/>
            <w:r w:rsidRPr="00FF5762">
              <w:rPr>
                <w:bCs/>
                <w:i/>
                <w:iCs/>
                <w:sz w:val="20"/>
                <w:szCs w:val="20"/>
              </w:rPr>
              <w:t xml:space="preserve"> in the (neo</w:t>
            </w:r>
            <w:proofErr w:type="gramStart"/>
            <w:r w:rsidRPr="00FF5762">
              <w:rPr>
                <w:bCs/>
                <w:i/>
                <w:iCs/>
                <w:sz w:val="20"/>
                <w:szCs w:val="20"/>
              </w:rPr>
              <w:t>)adjuvant</w:t>
            </w:r>
            <w:proofErr w:type="gramEnd"/>
            <w:r w:rsidRPr="00FF5762">
              <w:rPr>
                <w:bCs/>
                <w:i/>
                <w:iCs/>
                <w:sz w:val="20"/>
                <w:szCs w:val="20"/>
              </w:rPr>
              <w:t xml:space="preserve">, locally advanced or metastatic setting unless patients were not suitable for these treatments. Patients with hormone receptor (HR)-positive breast cancer should </w:t>
            </w:r>
            <w:proofErr w:type="gramStart"/>
            <w:r w:rsidRPr="00FF5762">
              <w:rPr>
                <w:bCs/>
                <w:i/>
                <w:iCs/>
                <w:sz w:val="20"/>
                <w:szCs w:val="20"/>
              </w:rPr>
              <w:t>have been treated</w:t>
            </w:r>
            <w:proofErr w:type="gramEnd"/>
            <w:r w:rsidRPr="00FF5762">
              <w:rPr>
                <w:bCs/>
                <w:i/>
                <w:iCs/>
                <w:sz w:val="20"/>
                <w:szCs w:val="20"/>
              </w:rPr>
              <w:t xml:space="preserve"> with a prior endocrine-based therapy, or be considered unsuitable for endocrine-based therapy.</w:t>
            </w:r>
          </w:p>
        </w:tc>
      </w:tr>
      <w:tr w:rsidR="00520FF6" w:rsidRPr="00FF5762" w14:paraId="04270C37" w14:textId="77777777" w:rsidTr="00FF5762">
        <w:tc>
          <w:tcPr>
            <w:tcW w:w="1242" w:type="dxa"/>
          </w:tcPr>
          <w:p w14:paraId="4BC19A5A" w14:textId="77777777" w:rsidR="00520FF6" w:rsidRPr="00FF5762" w:rsidRDefault="00520FF6" w:rsidP="00FF5762">
            <w:pPr>
              <w:ind w:left="0" w:right="0"/>
              <w:rPr>
                <w:bCs/>
                <w:sz w:val="20"/>
                <w:szCs w:val="20"/>
              </w:rPr>
            </w:pPr>
            <w:r w:rsidRPr="00FF5762">
              <w:rPr>
                <w:bCs/>
                <w:sz w:val="20"/>
                <w:szCs w:val="20"/>
              </w:rPr>
              <w:t>USA</w:t>
            </w:r>
          </w:p>
        </w:tc>
        <w:tc>
          <w:tcPr>
            <w:tcW w:w="1556" w:type="dxa"/>
          </w:tcPr>
          <w:p w14:paraId="2A47972B" w14:textId="77777777" w:rsidR="00520FF6" w:rsidRPr="00FF5762" w:rsidRDefault="00520FF6" w:rsidP="00FF5762">
            <w:pPr>
              <w:ind w:left="0" w:right="0"/>
              <w:rPr>
                <w:bCs/>
                <w:sz w:val="20"/>
                <w:szCs w:val="20"/>
              </w:rPr>
            </w:pPr>
            <w:r w:rsidRPr="00FF5762">
              <w:rPr>
                <w:bCs/>
                <w:sz w:val="20"/>
                <w:szCs w:val="20"/>
              </w:rPr>
              <w:t>Approved 16 October 2018</w:t>
            </w:r>
          </w:p>
        </w:tc>
        <w:tc>
          <w:tcPr>
            <w:tcW w:w="4643" w:type="dxa"/>
          </w:tcPr>
          <w:p w14:paraId="177F27D0" w14:textId="77777777" w:rsidR="00520FF6" w:rsidRPr="00FF5762" w:rsidRDefault="00520FF6" w:rsidP="00FF5762">
            <w:pPr>
              <w:ind w:left="0" w:right="0"/>
              <w:rPr>
                <w:bCs/>
                <w:i/>
                <w:sz w:val="20"/>
                <w:szCs w:val="20"/>
              </w:rPr>
            </w:pPr>
            <w:proofErr w:type="spellStart"/>
            <w:r w:rsidRPr="00FF5762">
              <w:rPr>
                <w:bCs/>
                <w:i/>
                <w:sz w:val="20"/>
                <w:szCs w:val="20"/>
              </w:rPr>
              <w:t>Talzenna</w:t>
            </w:r>
            <w:proofErr w:type="spellEnd"/>
            <w:r w:rsidRPr="00FF5762">
              <w:rPr>
                <w:bCs/>
                <w:i/>
                <w:sz w:val="20"/>
                <w:szCs w:val="20"/>
              </w:rPr>
              <w:t xml:space="preserve"> is indicated for the treatment of adult patients with deleterious or suspected deleterious germline breast cancer susceptibility gene (BRCA)-mutated (</w:t>
            </w:r>
            <w:proofErr w:type="spellStart"/>
            <w:r w:rsidRPr="00FF5762">
              <w:rPr>
                <w:bCs/>
                <w:i/>
                <w:sz w:val="20"/>
                <w:szCs w:val="20"/>
              </w:rPr>
              <w:t>gBRCAm</w:t>
            </w:r>
            <w:proofErr w:type="spellEnd"/>
            <w:r w:rsidRPr="00FF5762">
              <w:rPr>
                <w:bCs/>
                <w:i/>
                <w:sz w:val="20"/>
                <w:szCs w:val="20"/>
              </w:rPr>
              <w:t xml:space="preserve">) human epidermal growth factor receptor 2 (HER2)-negative locally advanced or metastatic breast cancer. Select patients for therapy based on an FDA-approved companion diagnostic for </w:t>
            </w:r>
            <w:proofErr w:type="spellStart"/>
            <w:r w:rsidRPr="00FF5762">
              <w:rPr>
                <w:bCs/>
                <w:i/>
                <w:sz w:val="20"/>
                <w:szCs w:val="20"/>
              </w:rPr>
              <w:t>Talzenna</w:t>
            </w:r>
            <w:proofErr w:type="spellEnd"/>
            <w:r w:rsidRPr="00FF5762">
              <w:rPr>
                <w:bCs/>
                <w:i/>
                <w:sz w:val="20"/>
                <w:szCs w:val="20"/>
              </w:rPr>
              <w:t>.</w:t>
            </w:r>
          </w:p>
        </w:tc>
      </w:tr>
      <w:tr w:rsidR="00520FF6" w:rsidRPr="00FF5762" w14:paraId="71412C8C" w14:textId="77777777" w:rsidTr="00FF5762">
        <w:tc>
          <w:tcPr>
            <w:tcW w:w="1242" w:type="dxa"/>
          </w:tcPr>
          <w:p w14:paraId="690C4F8D" w14:textId="77777777" w:rsidR="00520FF6" w:rsidRPr="00FF5762" w:rsidRDefault="00520FF6" w:rsidP="00FF5762">
            <w:pPr>
              <w:ind w:left="0" w:right="0"/>
              <w:rPr>
                <w:bCs/>
                <w:sz w:val="20"/>
                <w:szCs w:val="20"/>
              </w:rPr>
            </w:pPr>
            <w:r w:rsidRPr="00FF5762">
              <w:rPr>
                <w:bCs/>
                <w:sz w:val="20"/>
                <w:szCs w:val="20"/>
              </w:rPr>
              <w:t>Canada</w:t>
            </w:r>
          </w:p>
        </w:tc>
        <w:tc>
          <w:tcPr>
            <w:tcW w:w="1556" w:type="dxa"/>
          </w:tcPr>
          <w:p w14:paraId="08AB53AE" w14:textId="3A379209" w:rsidR="00520FF6" w:rsidRPr="00FF5762" w:rsidRDefault="00520FF6" w:rsidP="00FF5762">
            <w:pPr>
              <w:ind w:left="0" w:right="0"/>
              <w:rPr>
                <w:bCs/>
                <w:sz w:val="20"/>
                <w:szCs w:val="20"/>
              </w:rPr>
            </w:pPr>
            <w:r w:rsidRPr="00FF5762">
              <w:rPr>
                <w:bCs/>
                <w:sz w:val="20"/>
                <w:szCs w:val="20"/>
              </w:rPr>
              <w:t xml:space="preserve">Approved </w:t>
            </w:r>
            <w:r>
              <w:rPr>
                <w:bCs/>
                <w:sz w:val="20"/>
                <w:szCs w:val="20"/>
              </w:rPr>
              <w:t>6</w:t>
            </w:r>
            <w:r w:rsidRPr="00FF5762">
              <w:rPr>
                <w:bCs/>
                <w:sz w:val="20"/>
                <w:szCs w:val="20"/>
              </w:rPr>
              <w:t xml:space="preserve"> </w:t>
            </w:r>
            <w:r>
              <w:rPr>
                <w:bCs/>
                <w:sz w:val="20"/>
                <w:szCs w:val="20"/>
              </w:rPr>
              <w:t>September</w:t>
            </w:r>
            <w:r w:rsidRPr="00FF5762">
              <w:rPr>
                <w:bCs/>
                <w:sz w:val="20"/>
                <w:szCs w:val="20"/>
              </w:rPr>
              <w:t xml:space="preserve"> 2019</w:t>
            </w:r>
          </w:p>
        </w:tc>
        <w:tc>
          <w:tcPr>
            <w:tcW w:w="4643" w:type="dxa"/>
          </w:tcPr>
          <w:p w14:paraId="2FB5EC90" w14:textId="085A0133" w:rsidR="00520FF6" w:rsidRPr="005275A0" w:rsidRDefault="00520FF6" w:rsidP="00FF5762">
            <w:pPr>
              <w:ind w:left="0" w:right="0"/>
              <w:rPr>
                <w:rFonts w:asciiTheme="minorHAnsi" w:hAnsiTheme="minorHAnsi"/>
                <w:bCs/>
                <w:i/>
                <w:sz w:val="20"/>
                <w:szCs w:val="20"/>
              </w:rPr>
            </w:pPr>
            <w:proofErr w:type="spellStart"/>
            <w:proofErr w:type="gramStart"/>
            <w:r>
              <w:rPr>
                <w:rFonts w:asciiTheme="minorHAnsi" w:hAnsiTheme="minorHAnsi"/>
                <w:i/>
                <w:iCs/>
                <w:sz w:val="20"/>
                <w:szCs w:val="20"/>
                <w:lang w:eastAsia="en-GB"/>
              </w:rPr>
              <w:t>T</w:t>
            </w:r>
            <w:r w:rsidRPr="005275A0">
              <w:rPr>
                <w:rFonts w:asciiTheme="minorHAnsi" w:hAnsiTheme="minorHAnsi"/>
                <w:i/>
                <w:iCs/>
                <w:sz w:val="20"/>
                <w:szCs w:val="20"/>
                <w:lang w:eastAsia="en-GB"/>
              </w:rPr>
              <w:t>alzenna</w:t>
            </w:r>
            <w:proofErr w:type="spellEnd"/>
            <w:r w:rsidRPr="005275A0">
              <w:rPr>
                <w:rFonts w:asciiTheme="minorHAnsi" w:hAnsiTheme="minorHAnsi"/>
                <w:i/>
                <w:iCs/>
                <w:sz w:val="20"/>
                <w:szCs w:val="20"/>
                <w:lang w:eastAsia="en-GB"/>
              </w:rPr>
              <w:t xml:space="preserve"> (</w:t>
            </w:r>
            <w:proofErr w:type="spellStart"/>
            <w:r w:rsidRPr="005275A0">
              <w:rPr>
                <w:rFonts w:asciiTheme="minorHAnsi" w:hAnsiTheme="minorHAnsi"/>
                <w:i/>
                <w:iCs/>
                <w:sz w:val="20"/>
                <w:szCs w:val="20"/>
                <w:lang w:eastAsia="en-GB"/>
              </w:rPr>
              <w:t>talazoparib</w:t>
            </w:r>
            <w:proofErr w:type="spellEnd"/>
            <w:r w:rsidRPr="005275A0">
              <w:rPr>
                <w:rFonts w:asciiTheme="minorHAnsi" w:hAnsiTheme="minorHAnsi"/>
                <w:i/>
                <w:iCs/>
                <w:sz w:val="20"/>
                <w:szCs w:val="20"/>
                <w:lang w:eastAsia="en-GB"/>
              </w:rPr>
              <w:t xml:space="preserve">) is indicated as </w:t>
            </w:r>
            <w:r w:rsidRPr="005275A0">
              <w:rPr>
                <w:rFonts w:asciiTheme="minorHAnsi" w:hAnsiTheme="minorHAnsi"/>
                <w:i/>
                <w:iCs/>
                <w:sz w:val="20"/>
                <w:szCs w:val="20"/>
              </w:rPr>
              <w:t xml:space="preserve">a monotherapy for the treatment of adult patients with a deleterious or suspected deleterious germline breast cancer susceptibility gene (BRCA) mutated human epidermal growth factor receptor 2 (HER2) negative locally advanced (not amenable to curative radiation or surgery) or metastatic breast cancer, who have previously been treated with chemotherapy in the </w:t>
            </w:r>
            <w:proofErr w:type="spellStart"/>
            <w:r w:rsidRPr="005275A0">
              <w:rPr>
                <w:rFonts w:asciiTheme="minorHAnsi" w:hAnsiTheme="minorHAnsi"/>
                <w:i/>
                <w:iCs/>
                <w:sz w:val="20"/>
                <w:szCs w:val="20"/>
              </w:rPr>
              <w:t>neoadjuvant</w:t>
            </w:r>
            <w:proofErr w:type="spellEnd"/>
            <w:r w:rsidRPr="005275A0">
              <w:rPr>
                <w:rFonts w:asciiTheme="minorHAnsi" w:hAnsiTheme="minorHAnsi"/>
                <w:i/>
                <w:iCs/>
                <w:sz w:val="20"/>
                <w:szCs w:val="20"/>
              </w:rPr>
              <w:t>, adjuvant or metastatic setting, unless patients were inappropriate for these treatments.</w:t>
            </w:r>
            <w:proofErr w:type="gramEnd"/>
          </w:p>
        </w:tc>
      </w:tr>
      <w:tr w:rsidR="00520FF6" w:rsidRPr="00FF5762" w14:paraId="20CE0691" w14:textId="77777777" w:rsidTr="00FF5762">
        <w:tc>
          <w:tcPr>
            <w:tcW w:w="1242" w:type="dxa"/>
          </w:tcPr>
          <w:p w14:paraId="6C56E7B3" w14:textId="77777777" w:rsidR="00520FF6" w:rsidRPr="00FF5762" w:rsidRDefault="00520FF6" w:rsidP="00FF5762">
            <w:pPr>
              <w:ind w:left="0" w:right="0"/>
              <w:rPr>
                <w:bCs/>
                <w:sz w:val="20"/>
                <w:szCs w:val="20"/>
              </w:rPr>
            </w:pPr>
            <w:r w:rsidRPr="00FF5762">
              <w:rPr>
                <w:bCs/>
                <w:sz w:val="20"/>
                <w:szCs w:val="20"/>
              </w:rPr>
              <w:lastRenderedPageBreak/>
              <w:t>Switzerland</w:t>
            </w:r>
          </w:p>
        </w:tc>
        <w:tc>
          <w:tcPr>
            <w:tcW w:w="1556" w:type="dxa"/>
          </w:tcPr>
          <w:p w14:paraId="71164CAA" w14:textId="77777777" w:rsidR="00520FF6" w:rsidRPr="00FF5762" w:rsidRDefault="00520FF6" w:rsidP="00FF5762">
            <w:pPr>
              <w:ind w:left="0" w:right="0"/>
              <w:rPr>
                <w:bCs/>
                <w:sz w:val="20"/>
                <w:szCs w:val="20"/>
              </w:rPr>
            </w:pPr>
            <w:r w:rsidRPr="00FF5762">
              <w:rPr>
                <w:bCs/>
                <w:sz w:val="20"/>
                <w:szCs w:val="20"/>
              </w:rPr>
              <w:t>Under consideration</w:t>
            </w:r>
          </w:p>
        </w:tc>
        <w:tc>
          <w:tcPr>
            <w:tcW w:w="4643" w:type="dxa"/>
          </w:tcPr>
          <w:p w14:paraId="7F8808FE" w14:textId="77777777" w:rsidR="00520FF6" w:rsidRPr="00FF5762" w:rsidRDefault="00520FF6" w:rsidP="00FF5762">
            <w:pPr>
              <w:ind w:left="0" w:right="0"/>
              <w:rPr>
                <w:bCs/>
                <w:sz w:val="20"/>
                <w:szCs w:val="20"/>
              </w:rPr>
            </w:pPr>
            <w:r w:rsidRPr="00FF5762">
              <w:rPr>
                <w:bCs/>
                <w:sz w:val="20"/>
                <w:szCs w:val="20"/>
              </w:rPr>
              <w:t>Under consideration</w:t>
            </w:r>
          </w:p>
        </w:tc>
      </w:tr>
    </w:tbl>
    <w:p w14:paraId="68BD59FA" w14:textId="77777777" w:rsidR="008E7846" w:rsidRDefault="008E7846" w:rsidP="00940A89">
      <w:pPr>
        <w:pStyle w:val="Heading3"/>
      </w:pPr>
      <w:bookmarkStart w:id="22" w:name="_Toc34745996"/>
      <w:r>
        <w:t>Product Information</w:t>
      </w:r>
      <w:bookmarkEnd w:id="19"/>
      <w:bookmarkEnd w:id="20"/>
      <w:bookmarkEnd w:id="22"/>
    </w:p>
    <w:p w14:paraId="4331B5FE" w14:textId="77777777" w:rsidR="00940A89" w:rsidRDefault="006136D7" w:rsidP="00940A89">
      <w:bookmarkStart w:id="23" w:name="_Toc247691506"/>
      <w:bookmarkStart w:id="24" w:name="_Toc314842487"/>
      <w:r w:rsidRPr="00940A89">
        <w:t xml:space="preserve">The Product Information (PI) </w:t>
      </w:r>
      <w:r>
        <w:t xml:space="preserve">approved with the </w:t>
      </w:r>
      <w:proofErr w:type="gramStart"/>
      <w:r>
        <w:t xml:space="preserve">submission which is described in </w:t>
      </w:r>
      <w:r w:rsidRPr="00940A89">
        <w:t xml:space="preserve">this </w:t>
      </w:r>
      <w:proofErr w:type="spellStart"/>
      <w:r w:rsidRPr="00940A89">
        <w:t>AusPAR</w:t>
      </w:r>
      <w:proofErr w:type="spellEnd"/>
      <w:proofErr w:type="gram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651FB9DF" w14:textId="77777777" w:rsidR="00500337" w:rsidRDefault="00A81DB5" w:rsidP="00500337">
      <w:pPr>
        <w:pStyle w:val="Heading2"/>
      </w:pPr>
      <w:bookmarkStart w:id="25" w:name="_Toc504480011"/>
      <w:bookmarkStart w:id="26" w:name="_Toc34745997"/>
      <w:r>
        <w:t>II. Registration time</w:t>
      </w:r>
      <w:r w:rsidR="00500337">
        <w:t>line</w:t>
      </w:r>
      <w:bookmarkEnd w:id="25"/>
      <w:bookmarkEnd w:id="26"/>
    </w:p>
    <w:p w14:paraId="0D2A8FBC" w14:textId="51DE8A92" w:rsidR="00500337" w:rsidRDefault="00FF5762" w:rsidP="00500337">
      <w:r>
        <w:fldChar w:fldCharType="begin"/>
      </w:r>
      <w:r>
        <w:instrText xml:space="preserve"> REF _Ref30750290 \h </w:instrText>
      </w:r>
      <w:r>
        <w:fldChar w:fldCharType="separate"/>
      </w:r>
      <w:r w:rsidR="00262C99">
        <w:t xml:space="preserve">Table </w:t>
      </w:r>
      <w:r w:rsidR="00262C99">
        <w:rPr>
          <w:noProof/>
        </w:rPr>
        <w:t>2</w:t>
      </w:r>
      <w:r>
        <w:fldChar w:fldCharType="end"/>
      </w:r>
      <w:r>
        <w:t xml:space="preserve"> </w:t>
      </w:r>
      <w:r w:rsidR="00500337">
        <w:t xml:space="preserve">captures the key steps and dates for this application and which </w:t>
      </w:r>
      <w:proofErr w:type="gramStart"/>
      <w:r w:rsidR="00500337">
        <w:t xml:space="preserve">are detailed and discussed in this </w:t>
      </w:r>
      <w:proofErr w:type="spellStart"/>
      <w:r w:rsidR="00500337">
        <w:t>AusPAR</w:t>
      </w:r>
      <w:proofErr w:type="spellEnd"/>
      <w:proofErr w:type="gramEnd"/>
      <w:r w:rsidR="00500337">
        <w:t>.</w:t>
      </w:r>
    </w:p>
    <w:p w14:paraId="34D8CC1B" w14:textId="77777777" w:rsidR="00500337" w:rsidRPr="00377BD4" w:rsidRDefault="00FF5762" w:rsidP="00FF5762">
      <w:pPr>
        <w:pStyle w:val="TableTitle"/>
      </w:pPr>
      <w:bookmarkStart w:id="27" w:name="_Ref30750290"/>
      <w:r>
        <w:t xml:space="preserve">Table </w:t>
      </w:r>
      <w:fldSimple w:instr=" SEQ Table \* ARABIC ">
        <w:r>
          <w:rPr>
            <w:noProof/>
          </w:rPr>
          <w:t>2</w:t>
        </w:r>
      </w:fldSimple>
      <w:bookmarkEnd w:id="27"/>
      <w:r>
        <w:t xml:space="preserve">: </w:t>
      </w:r>
      <w:r w:rsidR="006A58A8" w:rsidRPr="006A58A8">
        <w:t xml:space="preserve">Timeline for Submission </w:t>
      </w:r>
      <w:r w:rsidR="00A81DB5" w:rsidRPr="00054A7D">
        <w:t>PM-2018-04458-1-4</w:t>
      </w:r>
    </w:p>
    <w:tbl>
      <w:tblPr>
        <w:tblStyle w:val="TableTGAblue"/>
        <w:tblW w:w="0" w:type="auto"/>
        <w:tblLook w:val="04A0" w:firstRow="1" w:lastRow="0" w:firstColumn="1" w:lastColumn="0" w:noHBand="0" w:noVBand="1"/>
      </w:tblPr>
      <w:tblGrid>
        <w:gridCol w:w="6204"/>
        <w:gridCol w:w="2516"/>
      </w:tblGrid>
      <w:tr w:rsidR="00500337" w14:paraId="1EBE276C" w14:textId="77777777" w:rsidTr="00165090">
        <w:trPr>
          <w:cnfStyle w:val="100000000000" w:firstRow="1" w:lastRow="0" w:firstColumn="0" w:lastColumn="0" w:oddVBand="0" w:evenVBand="0" w:oddHBand="0" w:evenHBand="0" w:firstRowFirstColumn="0" w:firstRowLastColumn="0" w:lastRowFirstColumn="0" w:lastRowLastColumn="0"/>
          <w:cantSplit/>
        </w:trPr>
        <w:tc>
          <w:tcPr>
            <w:tcW w:w="6204" w:type="dxa"/>
          </w:tcPr>
          <w:p w14:paraId="7C1AF31C" w14:textId="77777777" w:rsidR="00500337" w:rsidRDefault="00500337" w:rsidP="00165090">
            <w:r>
              <w:t>Description</w:t>
            </w:r>
          </w:p>
        </w:tc>
        <w:tc>
          <w:tcPr>
            <w:tcW w:w="2516" w:type="dxa"/>
          </w:tcPr>
          <w:p w14:paraId="30ED6811" w14:textId="77777777" w:rsidR="00500337" w:rsidRDefault="00500337" w:rsidP="00165090">
            <w:r>
              <w:t>Date</w:t>
            </w:r>
          </w:p>
        </w:tc>
      </w:tr>
      <w:tr w:rsidR="00A81DB5" w14:paraId="7EE7AFE8" w14:textId="77777777" w:rsidTr="00165090">
        <w:tc>
          <w:tcPr>
            <w:tcW w:w="6204" w:type="dxa"/>
          </w:tcPr>
          <w:p w14:paraId="7FFB2C81" w14:textId="77777777" w:rsidR="00A81DB5" w:rsidRDefault="00A81DB5" w:rsidP="00165090">
            <w:r>
              <w:t>Submission dossier accepted and first round evaluation commenced</w:t>
            </w:r>
          </w:p>
        </w:tc>
        <w:tc>
          <w:tcPr>
            <w:tcW w:w="2516" w:type="dxa"/>
            <w:vAlign w:val="center"/>
          </w:tcPr>
          <w:p w14:paraId="61E73BA2" w14:textId="77777777" w:rsidR="00A81DB5" w:rsidRPr="004C4823" w:rsidRDefault="00A81DB5" w:rsidP="00165090">
            <w:pPr>
              <w:rPr>
                <w:color w:val="auto"/>
              </w:rPr>
            </w:pPr>
            <w:r w:rsidRPr="000A34AE">
              <w:rPr>
                <w:color w:val="auto"/>
              </w:rPr>
              <w:t>30 November 2018</w:t>
            </w:r>
          </w:p>
        </w:tc>
      </w:tr>
      <w:tr w:rsidR="00A81DB5" w14:paraId="7E07093E" w14:textId="77777777" w:rsidTr="00165090">
        <w:tc>
          <w:tcPr>
            <w:tcW w:w="6204" w:type="dxa"/>
          </w:tcPr>
          <w:p w14:paraId="1954535D" w14:textId="77777777" w:rsidR="00A81DB5" w:rsidRDefault="00A81DB5" w:rsidP="00165090">
            <w:r>
              <w:t>First round evaluation completed</w:t>
            </w:r>
          </w:p>
        </w:tc>
        <w:tc>
          <w:tcPr>
            <w:tcW w:w="2516" w:type="dxa"/>
            <w:vAlign w:val="center"/>
          </w:tcPr>
          <w:p w14:paraId="530EE8D5" w14:textId="77777777" w:rsidR="00A81DB5" w:rsidRPr="004C4823" w:rsidRDefault="00A81DB5" w:rsidP="00165090">
            <w:pPr>
              <w:rPr>
                <w:color w:val="auto"/>
              </w:rPr>
            </w:pPr>
            <w:r w:rsidRPr="004C4823">
              <w:rPr>
                <w:color w:val="auto"/>
              </w:rPr>
              <w:t>31 May 2019</w:t>
            </w:r>
          </w:p>
        </w:tc>
      </w:tr>
      <w:tr w:rsidR="00A81DB5" w14:paraId="250282E5" w14:textId="77777777" w:rsidTr="00165090">
        <w:tc>
          <w:tcPr>
            <w:tcW w:w="6204" w:type="dxa"/>
          </w:tcPr>
          <w:p w14:paraId="6EFA95DE" w14:textId="77777777" w:rsidR="00A81DB5" w:rsidRDefault="00A81DB5" w:rsidP="00165090">
            <w:r>
              <w:t>Sponsor provides responses on questions raised in first round evaluation</w:t>
            </w:r>
          </w:p>
        </w:tc>
        <w:tc>
          <w:tcPr>
            <w:tcW w:w="2516" w:type="dxa"/>
            <w:vAlign w:val="center"/>
          </w:tcPr>
          <w:p w14:paraId="1E5459B7" w14:textId="77777777" w:rsidR="00A81DB5" w:rsidRPr="004C4823" w:rsidRDefault="00A81DB5" w:rsidP="00165090">
            <w:pPr>
              <w:rPr>
                <w:color w:val="auto"/>
              </w:rPr>
            </w:pPr>
            <w:r w:rsidRPr="004C4823">
              <w:rPr>
                <w:color w:val="auto"/>
              </w:rPr>
              <w:t>30 July 2019</w:t>
            </w:r>
          </w:p>
        </w:tc>
      </w:tr>
      <w:tr w:rsidR="00A81DB5" w14:paraId="41FA322D" w14:textId="77777777" w:rsidTr="00165090">
        <w:tc>
          <w:tcPr>
            <w:tcW w:w="6204" w:type="dxa"/>
          </w:tcPr>
          <w:p w14:paraId="6C64549E" w14:textId="77777777" w:rsidR="00A81DB5" w:rsidRDefault="00A81DB5" w:rsidP="00165090">
            <w:r>
              <w:t>Second round evaluation completed</w:t>
            </w:r>
          </w:p>
        </w:tc>
        <w:tc>
          <w:tcPr>
            <w:tcW w:w="2516" w:type="dxa"/>
            <w:vAlign w:val="center"/>
          </w:tcPr>
          <w:p w14:paraId="600F31E6" w14:textId="77777777" w:rsidR="00A81DB5" w:rsidRPr="004C4823" w:rsidRDefault="00A81DB5" w:rsidP="00165090">
            <w:pPr>
              <w:rPr>
                <w:color w:val="auto"/>
              </w:rPr>
            </w:pPr>
            <w:r w:rsidRPr="004C4823">
              <w:rPr>
                <w:color w:val="auto"/>
              </w:rPr>
              <w:t>27 September 2019</w:t>
            </w:r>
          </w:p>
        </w:tc>
      </w:tr>
      <w:tr w:rsidR="00A81DB5" w14:paraId="37C0711B" w14:textId="77777777" w:rsidTr="00165090">
        <w:tc>
          <w:tcPr>
            <w:tcW w:w="6204" w:type="dxa"/>
          </w:tcPr>
          <w:p w14:paraId="3663B839" w14:textId="77777777" w:rsidR="00A81DB5" w:rsidRDefault="00A81DB5" w:rsidP="00165090">
            <w:r>
              <w:t>Delegate’s Overall benefit-risk assessment</w:t>
            </w:r>
          </w:p>
        </w:tc>
        <w:tc>
          <w:tcPr>
            <w:tcW w:w="2516" w:type="dxa"/>
            <w:vAlign w:val="center"/>
          </w:tcPr>
          <w:p w14:paraId="2A9F2E50" w14:textId="77777777" w:rsidR="00A81DB5" w:rsidRPr="004C4823" w:rsidRDefault="00A81DB5" w:rsidP="00165090">
            <w:pPr>
              <w:rPr>
                <w:color w:val="auto"/>
              </w:rPr>
            </w:pPr>
            <w:r w:rsidRPr="004C4823">
              <w:rPr>
                <w:color w:val="auto"/>
              </w:rPr>
              <w:t>25 October 2019</w:t>
            </w:r>
          </w:p>
        </w:tc>
      </w:tr>
      <w:tr w:rsidR="00A81DB5" w14:paraId="09D1390A" w14:textId="77777777" w:rsidTr="00165090">
        <w:tc>
          <w:tcPr>
            <w:tcW w:w="6204" w:type="dxa"/>
          </w:tcPr>
          <w:p w14:paraId="6CBFDB91" w14:textId="77777777" w:rsidR="00A81DB5" w:rsidRDefault="00A81DB5" w:rsidP="00165090">
            <w:r>
              <w:t>Sponsor’s pre-Advisory Committee response</w:t>
            </w:r>
          </w:p>
        </w:tc>
        <w:tc>
          <w:tcPr>
            <w:tcW w:w="2516" w:type="dxa"/>
            <w:vAlign w:val="center"/>
          </w:tcPr>
          <w:p w14:paraId="175743D0" w14:textId="77777777" w:rsidR="00A81DB5" w:rsidRPr="004C4823" w:rsidRDefault="00A81DB5" w:rsidP="00165090">
            <w:pPr>
              <w:rPr>
                <w:color w:val="auto"/>
              </w:rPr>
            </w:pPr>
            <w:r w:rsidRPr="004C4823">
              <w:rPr>
                <w:color w:val="auto"/>
              </w:rPr>
              <w:t>Not applicable</w:t>
            </w:r>
          </w:p>
        </w:tc>
      </w:tr>
      <w:tr w:rsidR="00A81DB5" w14:paraId="7FA5A1E7" w14:textId="77777777" w:rsidTr="00165090">
        <w:tc>
          <w:tcPr>
            <w:tcW w:w="6204" w:type="dxa"/>
          </w:tcPr>
          <w:p w14:paraId="3A85EA22" w14:textId="77777777" w:rsidR="00A81DB5" w:rsidRDefault="00A81DB5" w:rsidP="00165090">
            <w:r>
              <w:t>Advisory Committee meeting</w:t>
            </w:r>
          </w:p>
        </w:tc>
        <w:tc>
          <w:tcPr>
            <w:tcW w:w="2516" w:type="dxa"/>
            <w:vAlign w:val="center"/>
          </w:tcPr>
          <w:p w14:paraId="3E73E85A" w14:textId="77777777" w:rsidR="00A81DB5" w:rsidRPr="004C4823" w:rsidRDefault="00A81DB5" w:rsidP="00165090">
            <w:pPr>
              <w:rPr>
                <w:color w:val="auto"/>
              </w:rPr>
            </w:pPr>
            <w:r w:rsidRPr="004C4823">
              <w:rPr>
                <w:color w:val="auto"/>
              </w:rPr>
              <w:t>Not applicable</w:t>
            </w:r>
          </w:p>
        </w:tc>
      </w:tr>
      <w:tr w:rsidR="00A81DB5" w14:paraId="639C5545" w14:textId="77777777" w:rsidTr="00165090">
        <w:tc>
          <w:tcPr>
            <w:tcW w:w="6204" w:type="dxa"/>
          </w:tcPr>
          <w:p w14:paraId="104119A0" w14:textId="77777777" w:rsidR="00A81DB5" w:rsidRDefault="00A81DB5" w:rsidP="00165090">
            <w:r>
              <w:t>Registration decision (Outcome)</w:t>
            </w:r>
          </w:p>
        </w:tc>
        <w:tc>
          <w:tcPr>
            <w:tcW w:w="2516" w:type="dxa"/>
            <w:vAlign w:val="center"/>
          </w:tcPr>
          <w:p w14:paraId="2C80C899" w14:textId="77777777" w:rsidR="00A81DB5" w:rsidRPr="004C4823" w:rsidRDefault="00A81DB5" w:rsidP="00165090">
            <w:pPr>
              <w:rPr>
                <w:color w:val="auto"/>
              </w:rPr>
            </w:pPr>
            <w:r w:rsidRPr="004C4823">
              <w:rPr>
                <w:color w:val="auto"/>
              </w:rPr>
              <w:t>15 November 2019</w:t>
            </w:r>
          </w:p>
        </w:tc>
      </w:tr>
      <w:tr w:rsidR="00A81DB5" w14:paraId="664271F1" w14:textId="77777777" w:rsidTr="00165090">
        <w:tc>
          <w:tcPr>
            <w:tcW w:w="6204" w:type="dxa"/>
          </w:tcPr>
          <w:p w14:paraId="7F80210A" w14:textId="77777777" w:rsidR="00A81DB5" w:rsidRDefault="00A81DB5" w:rsidP="00165090">
            <w:r>
              <w:t>Completion of administrative activities and registration on ARTG</w:t>
            </w:r>
          </w:p>
        </w:tc>
        <w:tc>
          <w:tcPr>
            <w:tcW w:w="2516" w:type="dxa"/>
            <w:vAlign w:val="center"/>
          </w:tcPr>
          <w:p w14:paraId="718068D4" w14:textId="77777777" w:rsidR="00A81DB5" w:rsidRPr="00FD6D47" w:rsidRDefault="00A81DB5" w:rsidP="00165090">
            <w:pPr>
              <w:rPr>
                <w:color w:val="auto"/>
              </w:rPr>
            </w:pPr>
            <w:r w:rsidRPr="00FD6D47">
              <w:rPr>
                <w:color w:val="auto"/>
              </w:rPr>
              <w:t>18 November 2019</w:t>
            </w:r>
          </w:p>
        </w:tc>
      </w:tr>
      <w:tr w:rsidR="00A81DB5" w14:paraId="16BA1DC8" w14:textId="77777777" w:rsidTr="00165090">
        <w:tc>
          <w:tcPr>
            <w:tcW w:w="6204" w:type="dxa"/>
          </w:tcPr>
          <w:p w14:paraId="1E1A1E2B" w14:textId="77777777" w:rsidR="00A81DB5" w:rsidRDefault="00A81DB5" w:rsidP="00165090">
            <w:r>
              <w:t>Number of working days from submission dossier acceptance to registration decision*</w:t>
            </w:r>
          </w:p>
        </w:tc>
        <w:tc>
          <w:tcPr>
            <w:tcW w:w="2516" w:type="dxa"/>
            <w:vAlign w:val="center"/>
          </w:tcPr>
          <w:p w14:paraId="6B041582" w14:textId="77777777" w:rsidR="00A81DB5" w:rsidRPr="00674153" w:rsidRDefault="00A81DB5" w:rsidP="00165090">
            <w:pPr>
              <w:rPr>
                <w:color w:val="auto"/>
              </w:rPr>
            </w:pPr>
            <w:r w:rsidRPr="00674153">
              <w:rPr>
                <w:color w:val="auto"/>
              </w:rPr>
              <w:t>199</w:t>
            </w:r>
          </w:p>
        </w:tc>
      </w:tr>
    </w:tbl>
    <w:p w14:paraId="7D153760" w14:textId="77777777" w:rsidR="00500337" w:rsidRDefault="00500337" w:rsidP="00FF5762">
      <w:pPr>
        <w:pStyle w:val="TableDescription"/>
      </w:pPr>
      <w:r>
        <w:t>*</w:t>
      </w:r>
      <w:r w:rsidR="00BF3774" w:rsidRPr="00BF3774">
        <w:t xml:space="preserve">Statutory </w:t>
      </w:r>
      <w:r>
        <w:t>timeframe for standard applications is 2</w:t>
      </w:r>
      <w:r w:rsidR="00BF3774">
        <w:t>55</w:t>
      </w:r>
      <w:r>
        <w:t xml:space="preserve"> working days</w:t>
      </w:r>
    </w:p>
    <w:p w14:paraId="31FA6725" w14:textId="76E99FC3" w:rsidR="008E7846" w:rsidRPr="00792A32" w:rsidRDefault="00456765" w:rsidP="00165090">
      <w:pPr>
        <w:pStyle w:val="Heading2"/>
      </w:pPr>
      <w:bookmarkStart w:id="28" w:name="_Toc196046504"/>
      <w:bookmarkStart w:id="29" w:name="_Toc247691527"/>
      <w:bookmarkStart w:id="30" w:name="_Toc314842510"/>
      <w:bookmarkStart w:id="31" w:name="_Toc163441390"/>
      <w:bookmarkStart w:id="32" w:name="_Toc34745998"/>
      <w:bookmarkEnd w:id="1"/>
      <w:bookmarkEnd w:id="23"/>
      <w:bookmarkEnd w:id="24"/>
      <w:r>
        <w:t>I</w:t>
      </w:r>
      <w:r w:rsidR="00DA64CB">
        <w:t>I</w:t>
      </w:r>
      <w:r w:rsidR="008E7846">
        <w:t xml:space="preserve">I. </w:t>
      </w:r>
      <w:r w:rsidR="00400129">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6E53C749" w14:textId="77777777" w:rsidR="008E7846" w:rsidRDefault="008E7846" w:rsidP="00165090">
      <w:bookmarkStart w:id="33" w:name="_Toc247691528"/>
      <w:r>
        <w:t xml:space="preserve">The submission was summarised in the following </w:t>
      </w:r>
      <w:r w:rsidRPr="00EF5C48">
        <w:t xml:space="preserve">Delegate’s </w:t>
      </w:r>
      <w:r>
        <w:t>overview</w:t>
      </w:r>
      <w:r w:rsidRPr="00EF5C48">
        <w:t xml:space="preserve"> and recommendation</w:t>
      </w:r>
      <w:r w:rsidR="00A81DB5">
        <w:t>s.</w:t>
      </w:r>
    </w:p>
    <w:p w14:paraId="1F113B59" w14:textId="77777777" w:rsidR="008E7846" w:rsidRDefault="008E7846" w:rsidP="008E7846">
      <w:pPr>
        <w:pStyle w:val="Heading3"/>
      </w:pPr>
      <w:bookmarkStart w:id="34" w:name="_Toc314842511"/>
      <w:bookmarkStart w:id="35" w:name="_Toc34745999"/>
      <w:r>
        <w:lastRenderedPageBreak/>
        <w:t>Quality</w:t>
      </w:r>
      <w:bookmarkEnd w:id="33"/>
      <w:bookmarkEnd w:id="34"/>
      <w:bookmarkEnd w:id="35"/>
    </w:p>
    <w:p w14:paraId="731E9AAC" w14:textId="1E3B40DC" w:rsidR="00880FC7" w:rsidRDefault="00880FC7" w:rsidP="008E7846">
      <w:r>
        <w:t xml:space="preserve">The structure of </w:t>
      </w:r>
      <w:proofErr w:type="spellStart"/>
      <w:r w:rsidRPr="00880FC7">
        <w:t>talazoparib</w:t>
      </w:r>
      <w:proofErr w:type="spellEnd"/>
      <w:r w:rsidRPr="00880FC7">
        <w:t xml:space="preserve"> </w:t>
      </w:r>
      <w:proofErr w:type="spellStart"/>
      <w:r w:rsidRPr="00880FC7">
        <w:t>tosilate</w:t>
      </w:r>
      <w:proofErr w:type="spellEnd"/>
      <w:r>
        <w:t xml:space="preserve"> </w:t>
      </w:r>
      <w:proofErr w:type="gramStart"/>
      <w:r>
        <w:t>is shown</w:t>
      </w:r>
      <w:proofErr w:type="gramEnd"/>
      <w:r>
        <w:t xml:space="preserve"> in </w:t>
      </w:r>
      <w:r>
        <w:fldChar w:fldCharType="begin"/>
      </w:r>
      <w:r>
        <w:instrText xml:space="preserve"> REF _Ref30750757 \h </w:instrText>
      </w:r>
      <w:r>
        <w:fldChar w:fldCharType="separate"/>
      </w:r>
      <w:r>
        <w:t xml:space="preserve">Figure </w:t>
      </w:r>
      <w:r>
        <w:rPr>
          <w:noProof/>
        </w:rPr>
        <w:t>1</w:t>
      </w:r>
      <w:r>
        <w:fldChar w:fldCharType="end"/>
      </w:r>
      <w:r>
        <w:t>.</w:t>
      </w:r>
    </w:p>
    <w:p w14:paraId="7820B46A" w14:textId="77777777" w:rsidR="00880FC7" w:rsidRDefault="00880FC7" w:rsidP="00880FC7">
      <w:pPr>
        <w:pStyle w:val="FigureTitle"/>
      </w:pPr>
      <w:bookmarkStart w:id="36" w:name="_Ref30750757"/>
      <w:r>
        <w:t xml:space="preserve">Figure </w:t>
      </w:r>
      <w:fldSimple w:instr=" SEQ Figure \* ARABIC ">
        <w:r>
          <w:rPr>
            <w:noProof/>
          </w:rPr>
          <w:t>1</w:t>
        </w:r>
      </w:fldSimple>
      <w:bookmarkEnd w:id="36"/>
      <w:r>
        <w:rPr>
          <w:noProof/>
          <w:lang w:eastAsia="en-AU"/>
        </w:rPr>
        <w:drawing>
          <wp:anchor distT="0" distB="0" distL="114300" distR="114300" simplePos="0" relativeHeight="251659776" behindDoc="0" locked="0" layoutInCell="1" allowOverlap="1" wp14:anchorId="11E06FC7" wp14:editId="6A2CE07C">
            <wp:simplePos x="0" y="0"/>
            <wp:positionH relativeFrom="column">
              <wp:posOffset>1905</wp:posOffset>
            </wp:positionH>
            <wp:positionV relativeFrom="paragraph">
              <wp:posOffset>343180</wp:posOffset>
            </wp:positionV>
            <wp:extent cx="2251710" cy="1880235"/>
            <wp:effectExtent l="0" t="0" r="0" b="5715"/>
            <wp:wrapTopAndBottom/>
            <wp:docPr id="1" name="Picture 26" descr="Structure of talazoparib tosi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1710" cy="188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t xml:space="preserve">: Structure of </w:t>
      </w:r>
      <w:proofErr w:type="spellStart"/>
      <w:r w:rsidRPr="00880FC7">
        <w:t>talazoparib</w:t>
      </w:r>
      <w:proofErr w:type="spellEnd"/>
      <w:r w:rsidRPr="00880FC7">
        <w:t xml:space="preserve"> </w:t>
      </w:r>
      <w:proofErr w:type="spellStart"/>
      <w:r w:rsidRPr="00880FC7">
        <w:t>tosilate</w:t>
      </w:r>
      <w:proofErr w:type="spellEnd"/>
    </w:p>
    <w:p w14:paraId="19B63122" w14:textId="22F26F54" w:rsidR="00880FC7" w:rsidRDefault="00880FC7" w:rsidP="00880FC7">
      <w:r>
        <w:t>The proposed drug product is an opaque capsule as dosage form in two strengths</w:t>
      </w:r>
      <w:r w:rsidR="00262C99">
        <w:t xml:space="preserve"> of 0.25 </w:t>
      </w:r>
      <w:r>
        <w:t>mg of which the body is printed with ‘TLZ 0.25’ and the cap printed with ‘Pfizer’ in black and 1 mg of which the body is printed with ‘TLZ 1’ and the cap printed with ‘Pfizer’ in black ink.</w:t>
      </w:r>
    </w:p>
    <w:p w14:paraId="7D87AB1B" w14:textId="77777777" w:rsidR="00880FC7" w:rsidRDefault="00880FC7" w:rsidP="00880FC7">
      <w:r>
        <w:t xml:space="preserve">The capsules </w:t>
      </w:r>
      <w:proofErr w:type="gramStart"/>
      <w:r>
        <w:t>will be packaged</w:t>
      </w:r>
      <w:proofErr w:type="gramEnd"/>
      <w:r>
        <w:t xml:space="preserve"> in Australia in bottles or blisters with aluminium peel off foil lidding. The proposed pack sizes are 30, 60 and 90 capsules for the 0.25 mg strength and 30 capsules for the 1 mg strength.</w:t>
      </w:r>
    </w:p>
    <w:p w14:paraId="58BC2F21" w14:textId="77777777" w:rsidR="00730F8A" w:rsidRDefault="00880FC7" w:rsidP="008E7846">
      <w:r w:rsidRPr="00880FC7">
        <w:t xml:space="preserve">The </w:t>
      </w:r>
      <w:r>
        <w:t>quality</w:t>
      </w:r>
      <w:r w:rsidRPr="00880FC7">
        <w:t xml:space="preserve"> evaluator recommended approval for registration of the proposed product from a pharmaceutical chemistry perspective.</w:t>
      </w:r>
    </w:p>
    <w:p w14:paraId="4668FCCC" w14:textId="77777777" w:rsidR="008E7846" w:rsidRDefault="008E7846" w:rsidP="008E7846">
      <w:pPr>
        <w:pStyle w:val="Heading3"/>
      </w:pPr>
      <w:bookmarkStart w:id="37" w:name="_Toc314842512"/>
      <w:bookmarkStart w:id="38" w:name="_Toc34746000"/>
      <w:r>
        <w:t>Nonclinical</w:t>
      </w:r>
      <w:bookmarkEnd w:id="37"/>
      <w:bookmarkEnd w:id="38"/>
    </w:p>
    <w:p w14:paraId="44B708F5" w14:textId="77777777" w:rsidR="00880FC7" w:rsidRDefault="00880FC7" w:rsidP="00880FC7">
      <w:r>
        <w:t>The non-clinical evaluator concluded:</w:t>
      </w:r>
    </w:p>
    <w:p w14:paraId="3CDF7998" w14:textId="77777777" w:rsidR="00880FC7" w:rsidRDefault="00880FC7" w:rsidP="00165090">
      <w:pPr>
        <w:pStyle w:val="ListBullet"/>
      </w:pPr>
      <w:r>
        <w:t xml:space="preserve">The pharmacology studies support the use of </w:t>
      </w:r>
      <w:proofErr w:type="spellStart"/>
      <w:r>
        <w:t>talazoparib</w:t>
      </w:r>
      <w:proofErr w:type="spellEnd"/>
      <w:r>
        <w:t xml:space="preserve"> to treat tumours with a mutated BRCA background.</w:t>
      </w:r>
    </w:p>
    <w:p w14:paraId="644886D8" w14:textId="77777777" w:rsidR="00880FC7" w:rsidRDefault="00880FC7" w:rsidP="00880FC7">
      <w:pPr>
        <w:pStyle w:val="ListBullet"/>
      </w:pPr>
      <w:r>
        <w:t>The combined animal safety studies revealed the following findings of potential clinical relevance:</w:t>
      </w:r>
    </w:p>
    <w:p w14:paraId="4D6A0960" w14:textId="595F3E73" w:rsidR="00880FC7" w:rsidRDefault="00880FC7" w:rsidP="00880FC7">
      <w:pPr>
        <w:pStyle w:val="ListBullet2"/>
      </w:pPr>
      <w:proofErr w:type="spellStart"/>
      <w:r>
        <w:t>myelosuppression</w:t>
      </w:r>
      <w:proofErr w:type="spellEnd"/>
      <w:r>
        <w:t xml:space="preserve"> and lymphoid depletion toxicity (including </w:t>
      </w:r>
      <w:proofErr w:type="spellStart"/>
      <w:r>
        <w:t>pancytop</w:t>
      </w:r>
      <w:r w:rsidR="00BD4552">
        <w:t>a</w:t>
      </w:r>
      <w:r>
        <w:t>enia</w:t>
      </w:r>
      <w:proofErr w:type="spellEnd"/>
      <w:r>
        <w:t>)</w:t>
      </w:r>
      <w:r w:rsidR="00262C99">
        <w:t>;</w:t>
      </w:r>
    </w:p>
    <w:p w14:paraId="77F679D8" w14:textId="12051E50" w:rsidR="00880FC7" w:rsidRDefault="00880FC7" w:rsidP="00880FC7">
      <w:pPr>
        <w:pStyle w:val="ListBullet2"/>
      </w:pPr>
      <w:r>
        <w:t xml:space="preserve">diminished immune reactions and opportunistic infections as a result of </w:t>
      </w:r>
      <w:proofErr w:type="spellStart"/>
      <w:r>
        <w:t>haematolymphopoietic</w:t>
      </w:r>
      <w:proofErr w:type="spellEnd"/>
      <w:r>
        <w:t xml:space="preserve"> toxicity</w:t>
      </w:r>
      <w:r w:rsidR="00262C99">
        <w:t>;</w:t>
      </w:r>
    </w:p>
    <w:p w14:paraId="45AD48BB" w14:textId="38EC6672" w:rsidR="00880FC7" w:rsidRDefault="00262C99" w:rsidP="00880FC7">
      <w:pPr>
        <w:pStyle w:val="ListBullet2"/>
      </w:pPr>
      <w:r>
        <w:t>gastrointestinal (</w:t>
      </w:r>
      <w:r w:rsidR="00880FC7">
        <w:t>GI</w:t>
      </w:r>
      <w:r>
        <w:t>)</w:t>
      </w:r>
      <w:r w:rsidR="00880FC7">
        <w:t xml:space="preserve"> toxicity, and to a lesser extent, liver toxicity</w:t>
      </w:r>
      <w:r>
        <w:t>;</w:t>
      </w:r>
    </w:p>
    <w:p w14:paraId="23CC121D" w14:textId="1A8E443C" w:rsidR="00880FC7" w:rsidRDefault="00880FC7" w:rsidP="00880FC7">
      <w:pPr>
        <w:pStyle w:val="ListBullet2"/>
      </w:pPr>
      <w:r>
        <w:t>the development of additional malignancies as a result of the genotoxic properties of the compound</w:t>
      </w:r>
      <w:r w:rsidR="00262C99">
        <w:t>;</w:t>
      </w:r>
    </w:p>
    <w:p w14:paraId="66DFB6C1" w14:textId="3C6DE1B2" w:rsidR="00880FC7" w:rsidRDefault="00880FC7" w:rsidP="00880FC7">
      <w:pPr>
        <w:pStyle w:val="ListBullet2"/>
      </w:pPr>
      <w:proofErr w:type="spellStart"/>
      <w:r>
        <w:t>embryofetal</w:t>
      </w:r>
      <w:proofErr w:type="spellEnd"/>
      <w:r>
        <w:t xml:space="preserve"> toxicity and lethality</w:t>
      </w:r>
      <w:r w:rsidR="00262C99">
        <w:t>;</w:t>
      </w:r>
    </w:p>
    <w:p w14:paraId="2F72EA3F" w14:textId="2D3288EE" w:rsidR="00880FC7" w:rsidRDefault="00880FC7" w:rsidP="00880FC7">
      <w:pPr>
        <w:pStyle w:val="ListBullet2"/>
      </w:pPr>
      <w:r>
        <w:t>effects in fertility, especially in males and possibly in females</w:t>
      </w:r>
      <w:r w:rsidR="00262C99">
        <w:t>;</w:t>
      </w:r>
    </w:p>
    <w:p w14:paraId="66914E72" w14:textId="4E825CB5" w:rsidR="00880FC7" w:rsidRDefault="00880FC7" w:rsidP="00880FC7">
      <w:pPr>
        <w:pStyle w:val="ListBullet2"/>
      </w:pPr>
      <w:proofErr w:type="spellStart"/>
      <w:proofErr w:type="gramStart"/>
      <w:r>
        <w:t>phototoxicity</w:t>
      </w:r>
      <w:proofErr w:type="spellEnd"/>
      <w:proofErr w:type="gramEnd"/>
      <w:r>
        <w:t xml:space="preserve"> (positive </w:t>
      </w:r>
      <w:proofErr w:type="spellStart"/>
      <w:r>
        <w:t>phototoxicity</w:t>
      </w:r>
      <w:proofErr w:type="spellEnd"/>
      <w:r>
        <w:t xml:space="preserve"> assay, no </w:t>
      </w:r>
      <w:proofErr w:type="spellStart"/>
      <w:r>
        <w:t>phototoxicity</w:t>
      </w:r>
      <w:proofErr w:type="spellEnd"/>
      <w:r>
        <w:t xml:space="preserve"> in a rat study but at subclinical exposure)</w:t>
      </w:r>
      <w:r w:rsidR="00262C99">
        <w:t>.</w:t>
      </w:r>
    </w:p>
    <w:p w14:paraId="6F7B6A44" w14:textId="77777777" w:rsidR="00880FC7" w:rsidRDefault="00880FC7" w:rsidP="00880FC7">
      <w:pPr>
        <w:pStyle w:val="ListBullet"/>
      </w:pPr>
      <w:r>
        <w:t xml:space="preserve">There are no objections on nonclinical grounds to the proposed registration of </w:t>
      </w:r>
      <w:proofErr w:type="spellStart"/>
      <w:r>
        <w:t>Talzenna</w:t>
      </w:r>
      <w:proofErr w:type="spellEnd"/>
      <w:r>
        <w:t xml:space="preserve"> for the treatment of advanced cancer </w:t>
      </w:r>
      <w:proofErr w:type="gramStart"/>
      <w:r>
        <w:t>provided that</w:t>
      </w:r>
      <w:proofErr w:type="gramEnd"/>
      <w:r>
        <w:t xml:space="preserve"> the potential toxicity noted above is outweighed by clinical benefits.</w:t>
      </w:r>
    </w:p>
    <w:p w14:paraId="6CA8A065" w14:textId="77777777" w:rsidR="008E7846" w:rsidRDefault="00880FC7" w:rsidP="00880FC7">
      <w:r>
        <w:lastRenderedPageBreak/>
        <w:t xml:space="preserve">The non-clinical findings are mostly congruent with the clinical data, with the exception of hepatotoxicity and </w:t>
      </w:r>
      <w:proofErr w:type="spellStart"/>
      <w:r>
        <w:t>phototoxicity</w:t>
      </w:r>
      <w:proofErr w:type="spellEnd"/>
      <w:r>
        <w:t>, which do not appear to have been borne out in the clinical setting.</w:t>
      </w:r>
    </w:p>
    <w:p w14:paraId="1C1E3FE6" w14:textId="77777777" w:rsidR="008E7846" w:rsidRDefault="008E7846" w:rsidP="00165090">
      <w:pPr>
        <w:pStyle w:val="Heading3"/>
      </w:pPr>
      <w:bookmarkStart w:id="39" w:name="_Toc247691530"/>
      <w:bookmarkStart w:id="40" w:name="_Toc314842513"/>
      <w:bookmarkStart w:id="41" w:name="_Toc34746001"/>
      <w:r>
        <w:t>Clinical</w:t>
      </w:r>
      <w:bookmarkEnd w:id="39"/>
      <w:bookmarkEnd w:id="40"/>
      <w:bookmarkEnd w:id="41"/>
    </w:p>
    <w:p w14:paraId="4F86221C" w14:textId="1A129E74" w:rsidR="00880FC7" w:rsidRDefault="00CD04C8" w:rsidP="00880FC7">
      <w:bookmarkStart w:id="42" w:name="_Toc314842514"/>
      <w:r>
        <w:t>The clinical dossier</w:t>
      </w:r>
      <w:r w:rsidR="00880FC7">
        <w:t xml:space="preserve"> contained eleven clinical studies, summarised in </w:t>
      </w:r>
      <w:r w:rsidR="00880FC7">
        <w:fldChar w:fldCharType="begin"/>
      </w:r>
      <w:r w:rsidR="00880FC7">
        <w:instrText xml:space="preserve"> REF _Ref8660512 \h </w:instrText>
      </w:r>
      <w:r w:rsidR="00880FC7">
        <w:fldChar w:fldCharType="separate"/>
      </w:r>
      <w:r>
        <w:t xml:space="preserve">Table </w:t>
      </w:r>
      <w:r>
        <w:rPr>
          <w:noProof/>
        </w:rPr>
        <w:t>3</w:t>
      </w:r>
      <w:r w:rsidR="00880FC7">
        <w:fldChar w:fldCharType="end"/>
      </w:r>
      <w:r w:rsidR="00880FC7">
        <w:t>. All studies were reviewed by the</w:t>
      </w:r>
      <w:r w:rsidR="00BD4552">
        <w:t xml:space="preserve"> US</w:t>
      </w:r>
      <w:r w:rsidR="00880FC7">
        <w:t xml:space="preserve"> </w:t>
      </w:r>
      <w:r w:rsidR="00890225">
        <w:t>Food and Drug Administration (</w:t>
      </w:r>
      <w:r w:rsidR="00880FC7">
        <w:t>FDA</w:t>
      </w:r>
      <w:r w:rsidR="00890225">
        <w:t>)</w:t>
      </w:r>
      <w:r w:rsidR="00880FC7">
        <w:t xml:space="preserve"> as part of their assessment of </w:t>
      </w:r>
      <w:proofErr w:type="spellStart"/>
      <w:r w:rsidR="00880FC7">
        <w:t>talazoparib</w:t>
      </w:r>
      <w:proofErr w:type="spellEnd"/>
      <w:r w:rsidR="00880FC7">
        <w:t xml:space="preserve"> as a new therapeutic enti</w:t>
      </w:r>
      <w:r>
        <w:t xml:space="preserve">ty, with the exception of </w:t>
      </w:r>
      <w:r w:rsidR="00262C99">
        <w:t>p</w:t>
      </w:r>
      <w:r w:rsidR="00262C99" w:rsidRPr="00262C99">
        <w:t xml:space="preserve">-glycoprotein </w:t>
      </w:r>
      <w:r w:rsidR="00262C99">
        <w:t>(</w:t>
      </w:r>
      <w:r>
        <w:t>P-</w:t>
      </w:r>
      <w:proofErr w:type="spellStart"/>
      <w:r>
        <w:t>gp</w:t>
      </w:r>
      <w:proofErr w:type="spellEnd"/>
      <w:r w:rsidR="00262C99">
        <w:t>)</w:t>
      </w:r>
      <w:r>
        <w:t xml:space="preserve"> S</w:t>
      </w:r>
      <w:r w:rsidR="00880FC7">
        <w:t>tudy</w:t>
      </w:r>
      <w:r w:rsidR="00BD4552">
        <w:t> </w:t>
      </w:r>
      <w:r w:rsidR="00880FC7">
        <w:t xml:space="preserve">C3441004. The publicly available multidisciplinary report for FDA’s assessment of </w:t>
      </w:r>
      <w:proofErr w:type="spellStart"/>
      <w:r w:rsidR="00880FC7">
        <w:t>talazoparib</w:t>
      </w:r>
      <w:proofErr w:type="spellEnd"/>
      <w:r w:rsidR="00880FC7">
        <w:t xml:space="preserve"> </w:t>
      </w:r>
      <w:proofErr w:type="gramStart"/>
      <w:r w:rsidR="00880FC7">
        <w:t>was used</w:t>
      </w:r>
      <w:proofErr w:type="gramEnd"/>
      <w:r w:rsidR="00880FC7">
        <w:t xml:space="preserve"> as a reference for the TGA review.</w:t>
      </w:r>
      <w:r w:rsidR="00D31C49">
        <w:rPr>
          <w:rStyle w:val="FootnoteReference"/>
        </w:rPr>
        <w:footnoteReference w:id="6"/>
      </w:r>
    </w:p>
    <w:p w14:paraId="67D777EB" w14:textId="77740BBA" w:rsidR="00880FC7" w:rsidRDefault="00880FC7" w:rsidP="00CD04C8">
      <w:pPr>
        <w:pStyle w:val="TableTitle"/>
      </w:pPr>
      <w:bookmarkStart w:id="43" w:name="_Ref8660512"/>
      <w:r>
        <w:t xml:space="preserve">Table </w:t>
      </w:r>
      <w:fldSimple w:instr=" SEQ Table \* ARABIC ">
        <w:r w:rsidR="00CD04C8">
          <w:rPr>
            <w:noProof/>
          </w:rPr>
          <w:t>3</w:t>
        </w:r>
      </w:fldSimple>
      <w:bookmarkEnd w:id="43"/>
      <w:r w:rsidR="00CD04C8">
        <w:t xml:space="preserve">: </w:t>
      </w:r>
      <w:r>
        <w:t>Overview of the clini</w:t>
      </w:r>
      <w:r w:rsidR="00CD04C8">
        <w:t>cal studies submitted</w:t>
      </w:r>
    </w:p>
    <w:tbl>
      <w:tblPr>
        <w:tblStyle w:val="TableTGAblue"/>
        <w:tblW w:w="8542" w:type="dxa"/>
        <w:tblLayout w:type="fixed"/>
        <w:tblCellMar>
          <w:left w:w="28" w:type="dxa"/>
          <w:right w:w="0" w:type="dxa"/>
        </w:tblCellMar>
        <w:tblLook w:val="04A0" w:firstRow="1" w:lastRow="0" w:firstColumn="1" w:lastColumn="0" w:noHBand="0" w:noVBand="1"/>
      </w:tblPr>
      <w:tblGrid>
        <w:gridCol w:w="1871"/>
        <w:gridCol w:w="3686"/>
        <w:gridCol w:w="1701"/>
        <w:gridCol w:w="1284"/>
      </w:tblGrid>
      <w:tr w:rsidR="00B84459" w:rsidRPr="00262C99" w14:paraId="5F32277F" w14:textId="0B679B58" w:rsidTr="00165090">
        <w:trPr>
          <w:cnfStyle w:val="100000000000" w:firstRow="1" w:lastRow="0" w:firstColumn="0" w:lastColumn="0" w:oddVBand="0" w:evenVBand="0" w:oddHBand="0" w:evenHBand="0" w:firstRowFirstColumn="0" w:firstRowLastColumn="0" w:lastRowFirstColumn="0" w:lastRowLastColumn="0"/>
          <w:trHeight w:val="117"/>
        </w:trPr>
        <w:tc>
          <w:tcPr>
            <w:tcW w:w="1871" w:type="dxa"/>
          </w:tcPr>
          <w:p w14:paraId="502053DA" w14:textId="5594A761" w:rsidR="00B84459" w:rsidRPr="00520FF6" w:rsidRDefault="00B84459" w:rsidP="00520FF6">
            <w:pPr>
              <w:rPr>
                <w:sz w:val="20"/>
              </w:rPr>
            </w:pPr>
            <w:r w:rsidRPr="00520FF6">
              <w:rPr>
                <w:sz w:val="20"/>
              </w:rPr>
              <w:t xml:space="preserve">Study </w:t>
            </w:r>
            <w:r w:rsidR="00BD4552" w:rsidRPr="00520FF6">
              <w:rPr>
                <w:sz w:val="20"/>
              </w:rPr>
              <w:t>ID</w:t>
            </w:r>
          </w:p>
        </w:tc>
        <w:tc>
          <w:tcPr>
            <w:tcW w:w="3686" w:type="dxa"/>
          </w:tcPr>
          <w:p w14:paraId="033DB81A" w14:textId="77777777" w:rsidR="00B84459" w:rsidRPr="00520FF6" w:rsidRDefault="00B84459" w:rsidP="00520FF6">
            <w:pPr>
              <w:rPr>
                <w:sz w:val="20"/>
              </w:rPr>
            </w:pPr>
            <w:r w:rsidRPr="00520FF6">
              <w:rPr>
                <w:sz w:val="20"/>
              </w:rPr>
              <w:t>Design</w:t>
            </w:r>
          </w:p>
        </w:tc>
        <w:tc>
          <w:tcPr>
            <w:tcW w:w="1701" w:type="dxa"/>
          </w:tcPr>
          <w:p w14:paraId="71CC721E" w14:textId="0D144F81" w:rsidR="00BD4552" w:rsidRPr="00520FF6" w:rsidRDefault="00B84459" w:rsidP="00520FF6">
            <w:pPr>
              <w:rPr>
                <w:sz w:val="20"/>
              </w:rPr>
            </w:pPr>
            <w:r w:rsidRPr="00520FF6">
              <w:rPr>
                <w:sz w:val="20"/>
              </w:rPr>
              <w:t>Subjects</w:t>
            </w:r>
            <w:r w:rsidR="00BD4552">
              <w:rPr>
                <w:sz w:val="20"/>
              </w:rPr>
              <w:t xml:space="preserve"> (N =)</w:t>
            </w:r>
          </w:p>
        </w:tc>
        <w:tc>
          <w:tcPr>
            <w:tcW w:w="1284" w:type="dxa"/>
          </w:tcPr>
          <w:p w14:paraId="04E33D5B" w14:textId="047A4DC1" w:rsidR="00B84459" w:rsidRPr="00520FF6" w:rsidRDefault="00B84459" w:rsidP="00520FF6">
            <w:pPr>
              <w:rPr>
                <w:sz w:val="20"/>
              </w:rPr>
            </w:pPr>
            <w:r w:rsidRPr="00520FF6">
              <w:rPr>
                <w:sz w:val="20"/>
              </w:rPr>
              <w:t>Status</w:t>
            </w:r>
          </w:p>
        </w:tc>
      </w:tr>
      <w:tr w:rsidR="00B84459" w:rsidRPr="00262C99" w14:paraId="6FB6752E" w14:textId="644696D5" w:rsidTr="00165090">
        <w:trPr>
          <w:trHeight w:val="117"/>
        </w:trPr>
        <w:tc>
          <w:tcPr>
            <w:tcW w:w="1871" w:type="dxa"/>
          </w:tcPr>
          <w:p w14:paraId="22222BA0" w14:textId="7EC0218D" w:rsidR="00B84459" w:rsidRPr="00165090" w:rsidRDefault="00B84459" w:rsidP="00165090">
            <w:pPr>
              <w:rPr>
                <w:sz w:val="20"/>
                <w:szCs w:val="20"/>
              </w:rPr>
            </w:pPr>
            <w:r w:rsidRPr="00165090">
              <w:rPr>
                <w:sz w:val="20"/>
                <w:szCs w:val="20"/>
              </w:rPr>
              <w:t>673-103</w:t>
            </w:r>
          </w:p>
          <w:p w14:paraId="13F04F9A" w14:textId="77777777" w:rsidR="00B84459" w:rsidRPr="00165090" w:rsidRDefault="00B84459" w:rsidP="00165090">
            <w:pPr>
              <w:rPr>
                <w:sz w:val="20"/>
                <w:szCs w:val="20"/>
              </w:rPr>
            </w:pPr>
            <w:r w:rsidRPr="00165090">
              <w:rPr>
                <w:sz w:val="20"/>
                <w:szCs w:val="20"/>
              </w:rPr>
              <w:t>(C3441023)</w:t>
            </w:r>
          </w:p>
        </w:tc>
        <w:tc>
          <w:tcPr>
            <w:tcW w:w="3686" w:type="dxa"/>
          </w:tcPr>
          <w:p w14:paraId="052A7C73" w14:textId="50BF742B" w:rsidR="00B84459" w:rsidRPr="00165090" w:rsidRDefault="00B84459" w:rsidP="00165090">
            <w:pPr>
              <w:rPr>
                <w:sz w:val="20"/>
                <w:szCs w:val="20"/>
              </w:rPr>
            </w:pPr>
            <w:r w:rsidRPr="00165090">
              <w:rPr>
                <w:sz w:val="20"/>
                <w:szCs w:val="20"/>
              </w:rPr>
              <w:t xml:space="preserve">A Phase I, open label, crossover study of 18 healthy volunteers to evaluate the effect of food on bioavailability of </w:t>
            </w:r>
            <w:proofErr w:type="spellStart"/>
            <w:r w:rsidRPr="00165090">
              <w:rPr>
                <w:sz w:val="20"/>
                <w:szCs w:val="20"/>
              </w:rPr>
              <w:t>talazoparib</w:t>
            </w:r>
            <w:proofErr w:type="spellEnd"/>
          </w:p>
        </w:tc>
        <w:tc>
          <w:tcPr>
            <w:tcW w:w="1701" w:type="dxa"/>
          </w:tcPr>
          <w:p w14:paraId="49F4EF6A" w14:textId="77777777" w:rsidR="00B84459" w:rsidRPr="00165090" w:rsidRDefault="00B84459" w:rsidP="00165090">
            <w:pPr>
              <w:rPr>
                <w:sz w:val="20"/>
                <w:szCs w:val="20"/>
              </w:rPr>
            </w:pPr>
            <w:r w:rsidRPr="00165090">
              <w:rPr>
                <w:sz w:val="20"/>
                <w:szCs w:val="20"/>
              </w:rPr>
              <w:t>18</w:t>
            </w:r>
          </w:p>
        </w:tc>
        <w:tc>
          <w:tcPr>
            <w:tcW w:w="1284" w:type="dxa"/>
          </w:tcPr>
          <w:p w14:paraId="7BDEA5EF" w14:textId="2EF849A2" w:rsidR="00B84459" w:rsidRPr="00165090" w:rsidRDefault="00B84459" w:rsidP="00165090">
            <w:pPr>
              <w:rPr>
                <w:sz w:val="20"/>
                <w:szCs w:val="20"/>
              </w:rPr>
            </w:pPr>
            <w:r w:rsidRPr="00165090">
              <w:rPr>
                <w:sz w:val="20"/>
                <w:szCs w:val="20"/>
              </w:rPr>
              <w:t>Complete</w:t>
            </w:r>
          </w:p>
        </w:tc>
      </w:tr>
      <w:tr w:rsidR="00B84459" w:rsidRPr="00262C99" w14:paraId="61A07AFC" w14:textId="62CBE0FD" w:rsidTr="00165090">
        <w:trPr>
          <w:trHeight w:val="117"/>
        </w:trPr>
        <w:tc>
          <w:tcPr>
            <w:tcW w:w="1871" w:type="dxa"/>
          </w:tcPr>
          <w:p w14:paraId="45BA6BD5" w14:textId="77777777" w:rsidR="00B84459" w:rsidRPr="00165090" w:rsidRDefault="00B84459" w:rsidP="00165090">
            <w:pPr>
              <w:rPr>
                <w:sz w:val="20"/>
                <w:szCs w:val="20"/>
              </w:rPr>
            </w:pPr>
            <w:r w:rsidRPr="00165090">
              <w:rPr>
                <w:sz w:val="20"/>
                <w:szCs w:val="20"/>
              </w:rPr>
              <w:t>MDV3800-03</w:t>
            </w:r>
          </w:p>
          <w:p w14:paraId="1BC7A99E" w14:textId="77777777" w:rsidR="00B84459" w:rsidRPr="00165090" w:rsidRDefault="00B84459" w:rsidP="00165090">
            <w:pPr>
              <w:rPr>
                <w:sz w:val="20"/>
                <w:szCs w:val="20"/>
              </w:rPr>
            </w:pPr>
            <w:r w:rsidRPr="00165090">
              <w:rPr>
                <w:sz w:val="20"/>
                <w:szCs w:val="20"/>
              </w:rPr>
              <w:t>(C3441003)</w:t>
            </w:r>
          </w:p>
        </w:tc>
        <w:tc>
          <w:tcPr>
            <w:tcW w:w="3686" w:type="dxa"/>
          </w:tcPr>
          <w:p w14:paraId="55C2C0B4" w14:textId="53211725" w:rsidR="00B84459" w:rsidRPr="00165090" w:rsidRDefault="00B84459" w:rsidP="00165090">
            <w:pPr>
              <w:rPr>
                <w:sz w:val="20"/>
                <w:szCs w:val="20"/>
              </w:rPr>
            </w:pPr>
            <w:r w:rsidRPr="00165090">
              <w:rPr>
                <w:sz w:val="20"/>
                <w:szCs w:val="20"/>
              </w:rPr>
              <w:t xml:space="preserve">Phase I, </w:t>
            </w:r>
            <w:r w:rsidRPr="00165090">
              <w:rPr>
                <w:sz w:val="20"/>
                <w:szCs w:val="20"/>
                <w:vertAlign w:val="superscript"/>
              </w:rPr>
              <w:t>14</w:t>
            </w:r>
            <w:r w:rsidRPr="00165090">
              <w:rPr>
                <w:sz w:val="20"/>
                <w:szCs w:val="20"/>
              </w:rPr>
              <w:t>C- labelled excretion study in 6 patients with advanced solid tumours</w:t>
            </w:r>
          </w:p>
        </w:tc>
        <w:tc>
          <w:tcPr>
            <w:tcW w:w="1701" w:type="dxa"/>
          </w:tcPr>
          <w:p w14:paraId="2B679CF9" w14:textId="77777777" w:rsidR="00B84459" w:rsidRPr="00165090" w:rsidRDefault="00B84459" w:rsidP="00165090">
            <w:pPr>
              <w:rPr>
                <w:sz w:val="20"/>
                <w:szCs w:val="20"/>
              </w:rPr>
            </w:pPr>
            <w:r w:rsidRPr="00165090">
              <w:rPr>
                <w:sz w:val="20"/>
                <w:szCs w:val="20"/>
              </w:rPr>
              <w:t>6</w:t>
            </w:r>
          </w:p>
        </w:tc>
        <w:tc>
          <w:tcPr>
            <w:tcW w:w="1284" w:type="dxa"/>
          </w:tcPr>
          <w:p w14:paraId="792544A1" w14:textId="7C22587C" w:rsidR="00B84459" w:rsidRPr="00165090" w:rsidRDefault="00B84459" w:rsidP="00165090">
            <w:pPr>
              <w:rPr>
                <w:sz w:val="20"/>
                <w:szCs w:val="20"/>
              </w:rPr>
            </w:pPr>
            <w:r w:rsidRPr="00165090">
              <w:rPr>
                <w:sz w:val="20"/>
                <w:szCs w:val="20"/>
              </w:rPr>
              <w:t>Complete</w:t>
            </w:r>
          </w:p>
        </w:tc>
      </w:tr>
      <w:tr w:rsidR="00B84459" w:rsidRPr="00262C99" w14:paraId="521AB61E" w14:textId="3BFC858E" w:rsidTr="00165090">
        <w:trPr>
          <w:trHeight w:val="117"/>
        </w:trPr>
        <w:tc>
          <w:tcPr>
            <w:tcW w:w="1871" w:type="dxa"/>
          </w:tcPr>
          <w:p w14:paraId="649AEE1C" w14:textId="77777777" w:rsidR="00B84459" w:rsidRPr="00165090" w:rsidRDefault="00B84459" w:rsidP="00165090">
            <w:pPr>
              <w:rPr>
                <w:sz w:val="20"/>
                <w:szCs w:val="20"/>
              </w:rPr>
            </w:pPr>
            <w:r w:rsidRPr="00165090">
              <w:rPr>
                <w:sz w:val="20"/>
                <w:szCs w:val="20"/>
              </w:rPr>
              <w:t>MDV3800-01</w:t>
            </w:r>
          </w:p>
          <w:p w14:paraId="26AD9CD6" w14:textId="77777777" w:rsidR="00B84459" w:rsidRPr="00165090" w:rsidRDefault="00B84459" w:rsidP="00165090">
            <w:pPr>
              <w:rPr>
                <w:sz w:val="20"/>
                <w:szCs w:val="20"/>
              </w:rPr>
            </w:pPr>
            <w:r w:rsidRPr="00165090">
              <w:rPr>
                <w:sz w:val="20"/>
                <w:szCs w:val="20"/>
              </w:rPr>
              <w:t>(C3441001)</w:t>
            </w:r>
          </w:p>
        </w:tc>
        <w:tc>
          <w:tcPr>
            <w:tcW w:w="3686" w:type="dxa"/>
          </w:tcPr>
          <w:p w14:paraId="6D669076" w14:textId="1B3D29C5" w:rsidR="00B84459" w:rsidRPr="00165090" w:rsidRDefault="00B84459" w:rsidP="00165090">
            <w:pPr>
              <w:rPr>
                <w:sz w:val="20"/>
                <w:szCs w:val="20"/>
              </w:rPr>
            </w:pPr>
            <w:r w:rsidRPr="00165090">
              <w:rPr>
                <w:sz w:val="20"/>
                <w:szCs w:val="20"/>
              </w:rPr>
              <w:t>Phase I pharmacokinetic (PK) study (renal impairment) in patients with advanced solid tumours</w:t>
            </w:r>
          </w:p>
        </w:tc>
        <w:tc>
          <w:tcPr>
            <w:tcW w:w="1701" w:type="dxa"/>
          </w:tcPr>
          <w:p w14:paraId="12C0ED17" w14:textId="77777777" w:rsidR="00B84459" w:rsidRPr="00165090" w:rsidRDefault="00B84459" w:rsidP="00165090">
            <w:pPr>
              <w:rPr>
                <w:sz w:val="20"/>
                <w:szCs w:val="20"/>
              </w:rPr>
            </w:pPr>
            <w:r w:rsidRPr="00165090">
              <w:rPr>
                <w:sz w:val="20"/>
                <w:szCs w:val="20"/>
              </w:rPr>
              <w:t>24</w:t>
            </w:r>
          </w:p>
        </w:tc>
        <w:tc>
          <w:tcPr>
            <w:tcW w:w="1284" w:type="dxa"/>
          </w:tcPr>
          <w:p w14:paraId="56F18699" w14:textId="11C01BCA" w:rsidR="00B84459" w:rsidRPr="00165090" w:rsidRDefault="00B84459" w:rsidP="00165090">
            <w:pPr>
              <w:rPr>
                <w:sz w:val="20"/>
                <w:szCs w:val="20"/>
              </w:rPr>
            </w:pPr>
            <w:r w:rsidRPr="00165090">
              <w:rPr>
                <w:sz w:val="20"/>
                <w:szCs w:val="20"/>
              </w:rPr>
              <w:t>Ongoing</w:t>
            </w:r>
          </w:p>
        </w:tc>
      </w:tr>
      <w:tr w:rsidR="00B84459" w:rsidRPr="00262C99" w14:paraId="4E230614" w14:textId="490F9A95" w:rsidTr="00165090">
        <w:trPr>
          <w:trHeight w:val="117"/>
        </w:trPr>
        <w:tc>
          <w:tcPr>
            <w:tcW w:w="1871" w:type="dxa"/>
          </w:tcPr>
          <w:p w14:paraId="65C9802D" w14:textId="77777777" w:rsidR="00B84459" w:rsidRPr="00165090" w:rsidRDefault="00B84459" w:rsidP="00165090">
            <w:pPr>
              <w:rPr>
                <w:sz w:val="20"/>
                <w:szCs w:val="20"/>
              </w:rPr>
            </w:pPr>
            <w:r w:rsidRPr="00165090">
              <w:rPr>
                <w:sz w:val="20"/>
                <w:szCs w:val="20"/>
              </w:rPr>
              <w:t>MDV3800-02</w:t>
            </w:r>
          </w:p>
          <w:p w14:paraId="7E473209" w14:textId="77777777" w:rsidR="00B84459" w:rsidRPr="00165090" w:rsidRDefault="00B84459" w:rsidP="00165090">
            <w:pPr>
              <w:rPr>
                <w:sz w:val="20"/>
                <w:szCs w:val="20"/>
              </w:rPr>
            </w:pPr>
            <w:r w:rsidRPr="00165090">
              <w:rPr>
                <w:sz w:val="20"/>
                <w:szCs w:val="20"/>
              </w:rPr>
              <w:t>(C3441002)</w:t>
            </w:r>
          </w:p>
        </w:tc>
        <w:tc>
          <w:tcPr>
            <w:tcW w:w="3686" w:type="dxa"/>
          </w:tcPr>
          <w:p w14:paraId="0C576E7F" w14:textId="0B1F8FA8" w:rsidR="00B84459" w:rsidRPr="00165090" w:rsidRDefault="00B84459" w:rsidP="00165090">
            <w:pPr>
              <w:rPr>
                <w:sz w:val="20"/>
                <w:szCs w:val="20"/>
              </w:rPr>
            </w:pPr>
            <w:r w:rsidRPr="00165090">
              <w:rPr>
                <w:sz w:val="20"/>
                <w:szCs w:val="20"/>
              </w:rPr>
              <w:t>Phase I PK study (hepatic impairment) in patients with advanced solid tumours</w:t>
            </w:r>
          </w:p>
        </w:tc>
        <w:tc>
          <w:tcPr>
            <w:tcW w:w="1701" w:type="dxa"/>
          </w:tcPr>
          <w:p w14:paraId="1136AEEB" w14:textId="77777777" w:rsidR="00B84459" w:rsidRPr="00165090" w:rsidRDefault="00B84459" w:rsidP="00165090">
            <w:pPr>
              <w:rPr>
                <w:sz w:val="20"/>
                <w:szCs w:val="20"/>
              </w:rPr>
            </w:pPr>
            <w:r w:rsidRPr="00165090">
              <w:rPr>
                <w:sz w:val="20"/>
                <w:szCs w:val="20"/>
              </w:rPr>
              <w:t>24</w:t>
            </w:r>
          </w:p>
        </w:tc>
        <w:tc>
          <w:tcPr>
            <w:tcW w:w="1284" w:type="dxa"/>
          </w:tcPr>
          <w:p w14:paraId="54841E6A" w14:textId="4C6A2730" w:rsidR="00B84459" w:rsidRPr="00165090" w:rsidRDefault="00B84459" w:rsidP="00165090">
            <w:pPr>
              <w:rPr>
                <w:sz w:val="20"/>
                <w:szCs w:val="20"/>
              </w:rPr>
            </w:pPr>
            <w:r w:rsidRPr="00165090">
              <w:rPr>
                <w:sz w:val="20"/>
                <w:szCs w:val="20"/>
              </w:rPr>
              <w:t>Ongoing</w:t>
            </w:r>
          </w:p>
        </w:tc>
      </w:tr>
      <w:tr w:rsidR="00B84459" w:rsidRPr="00262C99" w14:paraId="737E4C3C" w14:textId="76011120" w:rsidTr="00165090">
        <w:trPr>
          <w:trHeight w:val="117"/>
        </w:trPr>
        <w:tc>
          <w:tcPr>
            <w:tcW w:w="1871" w:type="dxa"/>
          </w:tcPr>
          <w:p w14:paraId="30AD1471" w14:textId="32FB080B" w:rsidR="00B84459" w:rsidRPr="00165090" w:rsidRDefault="00B84459" w:rsidP="00165090">
            <w:pPr>
              <w:rPr>
                <w:sz w:val="20"/>
                <w:szCs w:val="20"/>
              </w:rPr>
            </w:pPr>
            <w:r w:rsidRPr="00165090">
              <w:rPr>
                <w:sz w:val="20"/>
                <w:szCs w:val="20"/>
              </w:rPr>
              <w:t>MDV3800-04</w:t>
            </w:r>
          </w:p>
          <w:p w14:paraId="7AF61175" w14:textId="77777777" w:rsidR="00B84459" w:rsidRPr="00165090" w:rsidRDefault="00B84459" w:rsidP="00165090">
            <w:pPr>
              <w:rPr>
                <w:i/>
                <w:sz w:val="20"/>
                <w:szCs w:val="20"/>
              </w:rPr>
            </w:pPr>
            <w:r w:rsidRPr="00165090">
              <w:rPr>
                <w:sz w:val="20"/>
                <w:szCs w:val="20"/>
              </w:rPr>
              <w:t>(C3441004)</w:t>
            </w:r>
          </w:p>
        </w:tc>
        <w:tc>
          <w:tcPr>
            <w:tcW w:w="3686" w:type="dxa"/>
          </w:tcPr>
          <w:p w14:paraId="4D08B09C" w14:textId="3C4C8B49" w:rsidR="00B84459" w:rsidRPr="00165090" w:rsidRDefault="00B84459" w:rsidP="00165090">
            <w:pPr>
              <w:rPr>
                <w:sz w:val="20"/>
                <w:szCs w:val="20"/>
              </w:rPr>
            </w:pPr>
            <w:r w:rsidRPr="00165090">
              <w:rPr>
                <w:sz w:val="20"/>
                <w:szCs w:val="20"/>
              </w:rPr>
              <w:t>Phase I PK study in 36 patients with advanced solid tumours assessing the impact of a P-</w:t>
            </w:r>
            <w:proofErr w:type="spellStart"/>
            <w:r w:rsidRPr="00165090">
              <w:rPr>
                <w:sz w:val="20"/>
                <w:szCs w:val="20"/>
              </w:rPr>
              <w:t>gp</w:t>
            </w:r>
            <w:proofErr w:type="spellEnd"/>
            <w:r w:rsidRPr="00165090">
              <w:rPr>
                <w:sz w:val="20"/>
                <w:szCs w:val="20"/>
              </w:rPr>
              <w:t xml:space="preserve"> inhibitor (</w:t>
            </w:r>
            <w:proofErr w:type="spellStart"/>
            <w:r w:rsidRPr="00165090">
              <w:rPr>
                <w:sz w:val="20"/>
                <w:szCs w:val="20"/>
              </w:rPr>
              <w:t>itraconazole</w:t>
            </w:r>
            <w:proofErr w:type="spellEnd"/>
            <w:r w:rsidRPr="00165090">
              <w:rPr>
                <w:sz w:val="20"/>
                <w:szCs w:val="20"/>
              </w:rPr>
              <w:t>) and a P</w:t>
            </w:r>
            <w:r w:rsidRPr="00165090">
              <w:rPr>
                <w:sz w:val="20"/>
                <w:szCs w:val="20"/>
              </w:rPr>
              <w:noBreakHyphen/>
            </w:r>
            <w:proofErr w:type="spellStart"/>
            <w:r w:rsidRPr="00165090">
              <w:rPr>
                <w:sz w:val="20"/>
                <w:szCs w:val="20"/>
              </w:rPr>
              <w:t>gp</w:t>
            </w:r>
            <w:proofErr w:type="spellEnd"/>
            <w:r w:rsidRPr="00165090">
              <w:rPr>
                <w:sz w:val="20"/>
                <w:szCs w:val="20"/>
              </w:rPr>
              <w:t xml:space="preserve"> inducer (</w:t>
            </w:r>
            <w:proofErr w:type="spellStart"/>
            <w:r w:rsidRPr="00165090">
              <w:rPr>
                <w:sz w:val="20"/>
                <w:szCs w:val="20"/>
              </w:rPr>
              <w:t>rifampin</w:t>
            </w:r>
            <w:proofErr w:type="spellEnd"/>
            <w:r w:rsidRPr="00165090">
              <w:rPr>
                <w:sz w:val="20"/>
                <w:szCs w:val="20"/>
              </w:rPr>
              <w:t xml:space="preserve">) on the single-dose PK of </w:t>
            </w:r>
            <w:proofErr w:type="spellStart"/>
            <w:r w:rsidRPr="00165090">
              <w:rPr>
                <w:sz w:val="20"/>
                <w:szCs w:val="20"/>
              </w:rPr>
              <w:t>talazoparib</w:t>
            </w:r>
            <w:proofErr w:type="spellEnd"/>
          </w:p>
        </w:tc>
        <w:tc>
          <w:tcPr>
            <w:tcW w:w="1701" w:type="dxa"/>
          </w:tcPr>
          <w:p w14:paraId="616C3B4B" w14:textId="77777777" w:rsidR="00B84459" w:rsidRPr="00165090" w:rsidRDefault="00B84459" w:rsidP="00165090">
            <w:pPr>
              <w:rPr>
                <w:sz w:val="20"/>
                <w:szCs w:val="20"/>
              </w:rPr>
            </w:pPr>
            <w:r w:rsidRPr="00165090">
              <w:rPr>
                <w:sz w:val="20"/>
                <w:szCs w:val="20"/>
              </w:rPr>
              <w:t>36</w:t>
            </w:r>
          </w:p>
        </w:tc>
        <w:tc>
          <w:tcPr>
            <w:tcW w:w="1284" w:type="dxa"/>
          </w:tcPr>
          <w:p w14:paraId="00D55C30" w14:textId="5F4F147D" w:rsidR="00B84459" w:rsidRPr="00165090" w:rsidRDefault="00B84459" w:rsidP="00165090">
            <w:pPr>
              <w:rPr>
                <w:sz w:val="20"/>
                <w:szCs w:val="20"/>
              </w:rPr>
            </w:pPr>
            <w:r w:rsidRPr="00165090">
              <w:rPr>
                <w:sz w:val="20"/>
                <w:szCs w:val="20"/>
              </w:rPr>
              <w:t>Complete</w:t>
            </w:r>
          </w:p>
        </w:tc>
      </w:tr>
      <w:tr w:rsidR="00B84459" w:rsidRPr="00262C99" w14:paraId="6CC6FB65" w14:textId="358D1EBA" w:rsidTr="00165090">
        <w:trPr>
          <w:trHeight w:val="117"/>
        </w:trPr>
        <w:tc>
          <w:tcPr>
            <w:tcW w:w="1871" w:type="dxa"/>
          </w:tcPr>
          <w:p w14:paraId="4F3F9594" w14:textId="77777777" w:rsidR="00B84459" w:rsidRPr="00165090" w:rsidRDefault="00B84459" w:rsidP="00165090">
            <w:pPr>
              <w:rPr>
                <w:sz w:val="20"/>
                <w:szCs w:val="20"/>
              </w:rPr>
            </w:pPr>
            <w:r w:rsidRPr="00165090">
              <w:rPr>
                <w:sz w:val="20"/>
                <w:szCs w:val="20"/>
              </w:rPr>
              <w:t>MDV3800-14</w:t>
            </w:r>
          </w:p>
          <w:p w14:paraId="555A2B4D" w14:textId="77777777" w:rsidR="00B84459" w:rsidRPr="00165090" w:rsidRDefault="00B84459" w:rsidP="00165090">
            <w:pPr>
              <w:rPr>
                <w:sz w:val="20"/>
                <w:szCs w:val="20"/>
              </w:rPr>
            </w:pPr>
            <w:r w:rsidRPr="00165090">
              <w:rPr>
                <w:sz w:val="20"/>
                <w:szCs w:val="20"/>
              </w:rPr>
              <w:t>(C3441005)</w:t>
            </w:r>
          </w:p>
        </w:tc>
        <w:tc>
          <w:tcPr>
            <w:tcW w:w="3686" w:type="dxa"/>
          </w:tcPr>
          <w:p w14:paraId="7F3C0F52" w14:textId="23A365CC" w:rsidR="00B84459" w:rsidRPr="00165090" w:rsidRDefault="00B84459" w:rsidP="00165090">
            <w:pPr>
              <w:rPr>
                <w:sz w:val="20"/>
                <w:szCs w:val="20"/>
              </w:rPr>
            </w:pPr>
            <w:r w:rsidRPr="00165090">
              <w:rPr>
                <w:sz w:val="20"/>
                <w:szCs w:val="20"/>
              </w:rPr>
              <w:t xml:space="preserve">Phase I study in 38 patients with advanced solid tumours to evaluate the effect of </w:t>
            </w:r>
            <w:proofErr w:type="spellStart"/>
            <w:r w:rsidRPr="00165090">
              <w:rPr>
                <w:sz w:val="20"/>
                <w:szCs w:val="20"/>
              </w:rPr>
              <w:t>talazoparib</w:t>
            </w:r>
            <w:proofErr w:type="spellEnd"/>
            <w:r w:rsidRPr="00165090">
              <w:rPr>
                <w:sz w:val="20"/>
                <w:szCs w:val="20"/>
              </w:rPr>
              <w:t xml:space="preserve"> on cardiac repolarisation, including assessing the </w:t>
            </w:r>
            <w:proofErr w:type="spellStart"/>
            <w:r w:rsidRPr="00165090">
              <w:rPr>
                <w:sz w:val="20"/>
                <w:szCs w:val="20"/>
              </w:rPr>
              <w:t>QTc</w:t>
            </w:r>
            <w:proofErr w:type="spellEnd"/>
          </w:p>
        </w:tc>
        <w:tc>
          <w:tcPr>
            <w:tcW w:w="1701" w:type="dxa"/>
          </w:tcPr>
          <w:p w14:paraId="3E24C1A3" w14:textId="77777777" w:rsidR="00B84459" w:rsidRPr="00165090" w:rsidRDefault="00B84459" w:rsidP="00165090">
            <w:pPr>
              <w:rPr>
                <w:sz w:val="20"/>
                <w:szCs w:val="20"/>
              </w:rPr>
            </w:pPr>
            <w:r w:rsidRPr="00165090">
              <w:rPr>
                <w:sz w:val="20"/>
                <w:szCs w:val="20"/>
              </w:rPr>
              <w:t>38</w:t>
            </w:r>
          </w:p>
        </w:tc>
        <w:tc>
          <w:tcPr>
            <w:tcW w:w="1284" w:type="dxa"/>
          </w:tcPr>
          <w:p w14:paraId="3698E856" w14:textId="39E2C421" w:rsidR="00B84459" w:rsidRPr="00165090" w:rsidRDefault="00B84459" w:rsidP="00165090">
            <w:pPr>
              <w:rPr>
                <w:sz w:val="20"/>
                <w:szCs w:val="20"/>
              </w:rPr>
            </w:pPr>
            <w:r w:rsidRPr="00165090">
              <w:rPr>
                <w:sz w:val="20"/>
                <w:szCs w:val="20"/>
              </w:rPr>
              <w:t>Complete</w:t>
            </w:r>
          </w:p>
        </w:tc>
      </w:tr>
      <w:tr w:rsidR="00B84459" w:rsidRPr="00262C99" w14:paraId="311A1BED" w14:textId="2072FAC7" w:rsidTr="00165090">
        <w:trPr>
          <w:cantSplit/>
          <w:trHeight w:val="117"/>
        </w:trPr>
        <w:tc>
          <w:tcPr>
            <w:tcW w:w="1871" w:type="dxa"/>
          </w:tcPr>
          <w:p w14:paraId="28A73306" w14:textId="77777777" w:rsidR="00B84459" w:rsidRPr="00165090" w:rsidRDefault="00B84459" w:rsidP="00165090">
            <w:pPr>
              <w:rPr>
                <w:sz w:val="20"/>
                <w:szCs w:val="20"/>
              </w:rPr>
            </w:pPr>
            <w:r w:rsidRPr="00165090">
              <w:rPr>
                <w:sz w:val="20"/>
                <w:szCs w:val="20"/>
              </w:rPr>
              <w:t>673-301 ‘EMBRACA’ (C3441009)</w:t>
            </w:r>
          </w:p>
          <w:p w14:paraId="315D4539" w14:textId="77777777" w:rsidR="00B84459" w:rsidRPr="00165090" w:rsidRDefault="00B84459" w:rsidP="00165090">
            <w:pPr>
              <w:rPr>
                <w:sz w:val="20"/>
                <w:szCs w:val="20"/>
              </w:rPr>
            </w:pPr>
            <w:r w:rsidRPr="00165090">
              <w:rPr>
                <w:sz w:val="20"/>
                <w:szCs w:val="20"/>
              </w:rPr>
              <w:t>(NCT01945775)</w:t>
            </w:r>
          </w:p>
        </w:tc>
        <w:tc>
          <w:tcPr>
            <w:tcW w:w="3686" w:type="dxa"/>
          </w:tcPr>
          <w:p w14:paraId="62355F97" w14:textId="1964AE90" w:rsidR="00B84459" w:rsidRPr="00165090" w:rsidRDefault="00B84459" w:rsidP="00165090">
            <w:pPr>
              <w:rPr>
                <w:sz w:val="20"/>
                <w:szCs w:val="20"/>
              </w:rPr>
            </w:pPr>
            <w:r w:rsidRPr="00165090">
              <w:rPr>
                <w:sz w:val="20"/>
                <w:szCs w:val="20"/>
              </w:rPr>
              <w:t xml:space="preserve">Pivotal Phase III, 2-arm, open-label study of </w:t>
            </w:r>
            <w:proofErr w:type="spellStart"/>
            <w:r w:rsidRPr="00165090">
              <w:rPr>
                <w:sz w:val="20"/>
                <w:szCs w:val="20"/>
              </w:rPr>
              <w:t>talazoparib</w:t>
            </w:r>
            <w:proofErr w:type="spellEnd"/>
            <w:r w:rsidRPr="00165090">
              <w:rPr>
                <w:sz w:val="20"/>
                <w:szCs w:val="20"/>
              </w:rPr>
              <w:t xml:space="preserve"> versus physicians choice chemotherapy in patients with germline BRCA positive breast cancer who have received prior chemotherapy for metastatic disease</w:t>
            </w:r>
          </w:p>
        </w:tc>
        <w:tc>
          <w:tcPr>
            <w:tcW w:w="1701" w:type="dxa"/>
          </w:tcPr>
          <w:p w14:paraId="34A1136D" w14:textId="77777777" w:rsidR="00B84459" w:rsidRPr="00165090" w:rsidRDefault="00B84459" w:rsidP="00165090">
            <w:pPr>
              <w:rPr>
                <w:sz w:val="20"/>
                <w:szCs w:val="20"/>
              </w:rPr>
            </w:pPr>
            <w:r w:rsidRPr="00165090">
              <w:rPr>
                <w:sz w:val="20"/>
                <w:szCs w:val="20"/>
              </w:rPr>
              <w:t>431</w:t>
            </w:r>
          </w:p>
        </w:tc>
        <w:tc>
          <w:tcPr>
            <w:tcW w:w="1284" w:type="dxa"/>
          </w:tcPr>
          <w:p w14:paraId="1D0BEC95" w14:textId="28A10D5C" w:rsidR="00B84459" w:rsidRPr="00165090" w:rsidRDefault="00B84459" w:rsidP="00165090">
            <w:pPr>
              <w:rPr>
                <w:sz w:val="20"/>
                <w:szCs w:val="20"/>
              </w:rPr>
            </w:pPr>
            <w:r w:rsidRPr="00165090">
              <w:rPr>
                <w:sz w:val="20"/>
                <w:szCs w:val="20"/>
              </w:rPr>
              <w:t>Complete</w:t>
            </w:r>
          </w:p>
        </w:tc>
      </w:tr>
      <w:tr w:rsidR="00B84459" w:rsidRPr="00262C99" w14:paraId="3779B29D" w14:textId="2DB1580B" w:rsidTr="00165090">
        <w:trPr>
          <w:trHeight w:val="117"/>
        </w:trPr>
        <w:tc>
          <w:tcPr>
            <w:tcW w:w="1871" w:type="dxa"/>
          </w:tcPr>
          <w:p w14:paraId="51AE1AE1" w14:textId="77777777" w:rsidR="00B84459" w:rsidRPr="00165090" w:rsidRDefault="00B84459" w:rsidP="00165090">
            <w:pPr>
              <w:rPr>
                <w:sz w:val="20"/>
                <w:szCs w:val="20"/>
              </w:rPr>
            </w:pPr>
            <w:r w:rsidRPr="00165090">
              <w:rPr>
                <w:sz w:val="20"/>
                <w:szCs w:val="20"/>
              </w:rPr>
              <w:lastRenderedPageBreak/>
              <w:t>673-201 ‘ABRAZO’</w:t>
            </w:r>
          </w:p>
          <w:p w14:paraId="1F4A0407" w14:textId="77777777" w:rsidR="00B84459" w:rsidRPr="00165090" w:rsidRDefault="00B84459" w:rsidP="00165090">
            <w:pPr>
              <w:rPr>
                <w:sz w:val="20"/>
                <w:szCs w:val="20"/>
              </w:rPr>
            </w:pPr>
            <w:r w:rsidRPr="00165090">
              <w:rPr>
                <w:sz w:val="20"/>
                <w:szCs w:val="20"/>
              </w:rPr>
              <w:t xml:space="preserve">(C3441008) </w:t>
            </w:r>
          </w:p>
        </w:tc>
        <w:tc>
          <w:tcPr>
            <w:tcW w:w="3686" w:type="dxa"/>
          </w:tcPr>
          <w:p w14:paraId="758955A9" w14:textId="5420D0A7" w:rsidR="00B84459" w:rsidRPr="00165090" w:rsidRDefault="00B84459" w:rsidP="00165090">
            <w:pPr>
              <w:rPr>
                <w:sz w:val="20"/>
                <w:szCs w:val="20"/>
              </w:rPr>
            </w:pPr>
            <w:r w:rsidRPr="00165090">
              <w:rPr>
                <w:sz w:val="20"/>
                <w:szCs w:val="20"/>
              </w:rPr>
              <w:t xml:space="preserve">Phase II, 2-cohort study in patients with germline BRCA positive breast cancer to determine the </w:t>
            </w:r>
            <w:r w:rsidR="00795182" w:rsidRPr="00165090">
              <w:rPr>
                <w:sz w:val="20"/>
                <w:szCs w:val="20"/>
              </w:rPr>
              <w:t>objective</w:t>
            </w:r>
            <w:r w:rsidRPr="00165090">
              <w:rPr>
                <w:sz w:val="20"/>
                <w:szCs w:val="20"/>
              </w:rPr>
              <w:t xml:space="preserve"> response rate (ORR) for each cohort</w:t>
            </w:r>
          </w:p>
        </w:tc>
        <w:tc>
          <w:tcPr>
            <w:tcW w:w="1701" w:type="dxa"/>
          </w:tcPr>
          <w:p w14:paraId="30A81B6C" w14:textId="77777777" w:rsidR="00B84459" w:rsidRPr="00165090" w:rsidRDefault="00B84459" w:rsidP="00165090">
            <w:pPr>
              <w:rPr>
                <w:sz w:val="20"/>
                <w:szCs w:val="20"/>
              </w:rPr>
            </w:pPr>
            <w:r w:rsidRPr="00165090">
              <w:rPr>
                <w:sz w:val="20"/>
                <w:szCs w:val="20"/>
              </w:rPr>
              <w:t>84</w:t>
            </w:r>
          </w:p>
        </w:tc>
        <w:tc>
          <w:tcPr>
            <w:tcW w:w="1284" w:type="dxa"/>
          </w:tcPr>
          <w:p w14:paraId="58DEEA39" w14:textId="1A0CB59D" w:rsidR="00B84459" w:rsidRPr="00165090" w:rsidRDefault="00B84459" w:rsidP="00165090">
            <w:pPr>
              <w:rPr>
                <w:sz w:val="20"/>
                <w:szCs w:val="20"/>
              </w:rPr>
            </w:pPr>
            <w:r w:rsidRPr="00165090">
              <w:rPr>
                <w:sz w:val="20"/>
                <w:szCs w:val="20"/>
              </w:rPr>
              <w:t>Complete</w:t>
            </w:r>
          </w:p>
        </w:tc>
      </w:tr>
      <w:tr w:rsidR="00B84459" w:rsidRPr="00262C99" w14:paraId="15880181" w14:textId="09734198" w:rsidTr="00165090">
        <w:trPr>
          <w:trHeight w:val="117"/>
        </w:trPr>
        <w:tc>
          <w:tcPr>
            <w:tcW w:w="1871" w:type="dxa"/>
          </w:tcPr>
          <w:p w14:paraId="52C5F059" w14:textId="23C8A5FD" w:rsidR="00B84459" w:rsidRPr="00165090" w:rsidRDefault="00B84459" w:rsidP="00165090">
            <w:pPr>
              <w:rPr>
                <w:sz w:val="20"/>
                <w:szCs w:val="20"/>
              </w:rPr>
            </w:pPr>
            <w:r w:rsidRPr="00165090">
              <w:rPr>
                <w:sz w:val="20"/>
                <w:szCs w:val="20"/>
              </w:rPr>
              <w:t>PRP-001</w:t>
            </w:r>
          </w:p>
          <w:p w14:paraId="0EA272D5" w14:textId="77777777" w:rsidR="00B84459" w:rsidRPr="00165090" w:rsidRDefault="00B84459" w:rsidP="00165090">
            <w:pPr>
              <w:rPr>
                <w:sz w:val="20"/>
                <w:szCs w:val="20"/>
              </w:rPr>
            </w:pPr>
            <w:r w:rsidRPr="00165090">
              <w:rPr>
                <w:sz w:val="20"/>
                <w:szCs w:val="20"/>
              </w:rPr>
              <w:t>(C3441007)</w:t>
            </w:r>
          </w:p>
        </w:tc>
        <w:tc>
          <w:tcPr>
            <w:tcW w:w="3686" w:type="dxa"/>
          </w:tcPr>
          <w:p w14:paraId="091C0975" w14:textId="6C65563C" w:rsidR="00B84459" w:rsidRPr="00165090" w:rsidRDefault="00B84459" w:rsidP="00165090">
            <w:pPr>
              <w:rPr>
                <w:sz w:val="20"/>
                <w:szCs w:val="20"/>
              </w:rPr>
            </w:pPr>
            <w:r w:rsidRPr="00165090">
              <w:rPr>
                <w:sz w:val="20"/>
                <w:szCs w:val="20"/>
              </w:rPr>
              <w:t>Phase I, first-in-humans, dose escalation (39 patients) and dose expansion (74 patients) study in patients with advanced solid tumours</w:t>
            </w:r>
          </w:p>
        </w:tc>
        <w:tc>
          <w:tcPr>
            <w:tcW w:w="1701" w:type="dxa"/>
          </w:tcPr>
          <w:p w14:paraId="13A38A33" w14:textId="77777777" w:rsidR="00B84459" w:rsidRPr="00165090" w:rsidRDefault="00B84459" w:rsidP="00165090">
            <w:pPr>
              <w:rPr>
                <w:sz w:val="20"/>
                <w:szCs w:val="20"/>
              </w:rPr>
            </w:pPr>
            <w:r w:rsidRPr="00165090">
              <w:rPr>
                <w:sz w:val="20"/>
                <w:szCs w:val="20"/>
              </w:rPr>
              <w:t>74</w:t>
            </w:r>
          </w:p>
        </w:tc>
        <w:tc>
          <w:tcPr>
            <w:tcW w:w="1284" w:type="dxa"/>
          </w:tcPr>
          <w:p w14:paraId="0E925A04" w14:textId="04F7984D" w:rsidR="00B84459" w:rsidRPr="00165090" w:rsidRDefault="00B84459" w:rsidP="00165090">
            <w:pPr>
              <w:rPr>
                <w:sz w:val="20"/>
                <w:szCs w:val="20"/>
              </w:rPr>
            </w:pPr>
            <w:r w:rsidRPr="00165090">
              <w:rPr>
                <w:sz w:val="20"/>
                <w:szCs w:val="20"/>
              </w:rPr>
              <w:t>Complete</w:t>
            </w:r>
          </w:p>
        </w:tc>
      </w:tr>
      <w:tr w:rsidR="00B84459" w:rsidRPr="00262C99" w14:paraId="2D98136A" w14:textId="3DD28BA1" w:rsidTr="00165090">
        <w:trPr>
          <w:trHeight w:val="117"/>
        </w:trPr>
        <w:tc>
          <w:tcPr>
            <w:tcW w:w="1871" w:type="dxa"/>
          </w:tcPr>
          <w:p w14:paraId="1DAE6172" w14:textId="77777777" w:rsidR="00B84459" w:rsidRPr="00262C99" w:rsidRDefault="00B84459" w:rsidP="00B84459">
            <w:pPr>
              <w:ind w:left="0" w:right="0"/>
              <w:rPr>
                <w:sz w:val="20"/>
                <w:szCs w:val="20"/>
              </w:rPr>
            </w:pPr>
            <w:r w:rsidRPr="00262C99">
              <w:rPr>
                <w:sz w:val="20"/>
                <w:szCs w:val="20"/>
              </w:rPr>
              <w:t>MDV3800-13</w:t>
            </w:r>
          </w:p>
          <w:p w14:paraId="45DD1301" w14:textId="77777777" w:rsidR="00B84459" w:rsidRPr="00262C99" w:rsidRDefault="00B84459" w:rsidP="00B84459">
            <w:pPr>
              <w:ind w:left="0" w:right="0"/>
              <w:rPr>
                <w:sz w:val="20"/>
                <w:szCs w:val="20"/>
              </w:rPr>
            </w:pPr>
            <w:r w:rsidRPr="00262C99">
              <w:rPr>
                <w:sz w:val="20"/>
                <w:szCs w:val="20"/>
              </w:rPr>
              <w:t>(C3441010)</w:t>
            </w:r>
          </w:p>
        </w:tc>
        <w:tc>
          <w:tcPr>
            <w:tcW w:w="3686" w:type="dxa"/>
          </w:tcPr>
          <w:p w14:paraId="4D2ED6DE" w14:textId="15A6D4DB" w:rsidR="00B84459" w:rsidRPr="00262C99" w:rsidRDefault="00B84459" w:rsidP="00B84459">
            <w:pPr>
              <w:ind w:left="0" w:right="0"/>
              <w:rPr>
                <w:sz w:val="20"/>
                <w:szCs w:val="20"/>
              </w:rPr>
            </w:pPr>
            <w:r w:rsidRPr="00262C99">
              <w:rPr>
                <w:sz w:val="20"/>
                <w:szCs w:val="20"/>
              </w:rPr>
              <w:t xml:space="preserve">Phase II extended treatment safety study to obtain additional safety data about long term </w:t>
            </w:r>
            <w:proofErr w:type="spellStart"/>
            <w:r w:rsidRPr="00262C99">
              <w:rPr>
                <w:sz w:val="20"/>
                <w:szCs w:val="20"/>
              </w:rPr>
              <w:t>talazoparib</w:t>
            </w:r>
            <w:proofErr w:type="spellEnd"/>
          </w:p>
        </w:tc>
        <w:tc>
          <w:tcPr>
            <w:tcW w:w="1701" w:type="dxa"/>
          </w:tcPr>
          <w:p w14:paraId="18F5E3C2" w14:textId="77777777" w:rsidR="00B84459" w:rsidRPr="00262C99" w:rsidRDefault="00B84459" w:rsidP="00B84459">
            <w:pPr>
              <w:ind w:left="0" w:right="0"/>
              <w:rPr>
                <w:sz w:val="20"/>
                <w:szCs w:val="20"/>
              </w:rPr>
            </w:pPr>
            <w:r w:rsidRPr="00262C99">
              <w:rPr>
                <w:sz w:val="20"/>
                <w:szCs w:val="20"/>
              </w:rPr>
              <w:t>150</w:t>
            </w:r>
          </w:p>
        </w:tc>
        <w:tc>
          <w:tcPr>
            <w:tcW w:w="1284" w:type="dxa"/>
          </w:tcPr>
          <w:p w14:paraId="0EE39CE4" w14:textId="49D2880B" w:rsidR="00B84459" w:rsidRPr="00B84459" w:rsidRDefault="00B84459" w:rsidP="00B84459">
            <w:pPr>
              <w:ind w:left="0" w:right="0"/>
              <w:rPr>
                <w:sz w:val="20"/>
                <w:szCs w:val="20"/>
              </w:rPr>
            </w:pPr>
            <w:r>
              <w:rPr>
                <w:sz w:val="20"/>
                <w:szCs w:val="20"/>
              </w:rPr>
              <w:t>O</w:t>
            </w:r>
            <w:r w:rsidRPr="00B84459">
              <w:rPr>
                <w:sz w:val="20"/>
                <w:szCs w:val="20"/>
              </w:rPr>
              <w:t>ngoing</w:t>
            </w:r>
          </w:p>
        </w:tc>
      </w:tr>
      <w:tr w:rsidR="00B84459" w:rsidRPr="00262C99" w14:paraId="06A26352" w14:textId="2247F792" w:rsidTr="00165090">
        <w:trPr>
          <w:trHeight w:val="117"/>
        </w:trPr>
        <w:tc>
          <w:tcPr>
            <w:tcW w:w="1871" w:type="dxa"/>
          </w:tcPr>
          <w:p w14:paraId="3E2D95B6" w14:textId="77777777" w:rsidR="00B84459" w:rsidRPr="00262C99" w:rsidRDefault="00B84459" w:rsidP="00B84459">
            <w:pPr>
              <w:ind w:left="0" w:right="0"/>
              <w:rPr>
                <w:sz w:val="20"/>
                <w:szCs w:val="20"/>
              </w:rPr>
            </w:pPr>
            <w:r w:rsidRPr="00262C99">
              <w:rPr>
                <w:sz w:val="20"/>
                <w:szCs w:val="20"/>
              </w:rPr>
              <w:t>PRP-002 (C3441022)</w:t>
            </w:r>
          </w:p>
        </w:tc>
        <w:tc>
          <w:tcPr>
            <w:tcW w:w="3686" w:type="dxa"/>
          </w:tcPr>
          <w:p w14:paraId="0F9A3AA8" w14:textId="714CABD0" w:rsidR="00B84459" w:rsidRPr="00262C99" w:rsidRDefault="00B84459" w:rsidP="00B84459">
            <w:pPr>
              <w:ind w:left="0" w:right="0"/>
              <w:rPr>
                <w:sz w:val="20"/>
                <w:szCs w:val="20"/>
              </w:rPr>
            </w:pPr>
            <w:r w:rsidRPr="00262C99">
              <w:rPr>
                <w:sz w:val="20"/>
                <w:szCs w:val="20"/>
              </w:rPr>
              <w:t>Phase I two-arm tolerability study in patients with haematological malignancies</w:t>
            </w:r>
          </w:p>
        </w:tc>
        <w:tc>
          <w:tcPr>
            <w:tcW w:w="1701" w:type="dxa"/>
          </w:tcPr>
          <w:p w14:paraId="2AC8EF83" w14:textId="77777777" w:rsidR="00B84459" w:rsidRPr="00262C99" w:rsidRDefault="00B84459" w:rsidP="00B84459">
            <w:pPr>
              <w:ind w:left="0" w:right="0"/>
              <w:rPr>
                <w:sz w:val="20"/>
                <w:szCs w:val="20"/>
              </w:rPr>
            </w:pPr>
            <w:r w:rsidRPr="00262C99">
              <w:rPr>
                <w:sz w:val="20"/>
                <w:szCs w:val="20"/>
              </w:rPr>
              <w:t>33</w:t>
            </w:r>
          </w:p>
        </w:tc>
        <w:tc>
          <w:tcPr>
            <w:tcW w:w="1284" w:type="dxa"/>
          </w:tcPr>
          <w:p w14:paraId="0F3F60A6" w14:textId="6E194E79" w:rsidR="00B84459" w:rsidRPr="00B84459" w:rsidRDefault="00B84459" w:rsidP="00B84459">
            <w:pPr>
              <w:ind w:left="0" w:right="0"/>
              <w:rPr>
                <w:sz w:val="20"/>
                <w:szCs w:val="20"/>
              </w:rPr>
            </w:pPr>
            <w:r>
              <w:rPr>
                <w:sz w:val="20"/>
                <w:szCs w:val="20"/>
              </w:rPr>
              <w:t>C</w:t>
            </w:r>
            <w:r w:rsidRPr="00B84459">
              <w:rPr>
                <w:sz w:val="20"/>
                <w:szCs w:val="20"/>
              </w:rPr>
              <w:t>omplete</w:t>
            </w:r>
          </w:p>
        </w:tc>
      </w:tr>
    </w:tbl>
    <w:p w14:paraId="1EC9001B" w14:textId="77777777" w:rsidR="00880FC7" w:rsidRDefault="00880FC7" w:rsidP="00165090">
      <w:pPr>
        <w:pStyle w:val="Heading4"/>
      </w:pPr>
      <w:r w:rsidRPr="00AA53F4">
        <w:t>Pharmacology</w:t>
      </w:r>
    </w:p>
    <w:p w14:paraId="2015D1F2" w14:textId="77777777" w:rsidR="00880FC7" w:rsidRDefault="00880FC7" w:rsidP="00165090">
      <w:pPr>
        <w:pStyle w:val="Heading5"/>
      </w:pPr>
      <w:r w:rsidRPr="00AF5F75">
        <w:t>Study PRP-001 (C3441007)</w:t>
      </w:r>
    </w:p>
    <w:p w14:paraId="0023E4FE" w14:textId="4F293765" w:rsidR="00880FC7" w:rsidRDefault="00880FC7" w:rsidP="00CD04C8">
      <w:r>
        <w:t xml:space="preserve">This was a </w:t>
      </w:r>
      <w:proofErr w:type="gramStart"/>
      <w:r>
        <w:t>first-in-human</w:t>
      </w:r>
      <w:proofErr w:type="gramEnd"/>
      <w:r>
        <w:t xml:space="preserve">, single-arm, three-part, dose finding study of </w:t>
      </w:r>
      <w:proofErr w:type="spellStart"/>
      <w:r>
        <w:t>talazoparib</w:t>
      </w:r>
      <w:proofErr w:type="spellEnd"/>
      <w:r>
        <w:t xml:space="preserve"> in patients with locally advanced or metastatic solid tumours without accepta</w:t>
      </w:r>
      <w:r w:rsidR="005A1342">
        <w:t>ble standard treatment options.</w:t>
      </w:r>
    </w:p>
    <w:p w14:paraId="7C14A0F6" w14:textId="6A90D184" w:rsidR="00880FC7" w:rsidRPr="00454F4A" w:rsidRDefault="00880FC7" w:rsidP="00CD04C8">
      <w:r w:rsidRPr="0039330F">
        <w:t>In Part 1</w:t>
      </w:r>
      <w:r>
        <w:t xml:space="preserve"> (dose escalation</w:t>
      </w:r>
      <w:r w:rsidRPr="0039330F">
        <w:t>)</w:t>
      </w:r>
      <w:r>
        <w:t>,</w:t>
      </w:r>
      <w:r w:rsidRPr="0039330F">
        <w:t xml:space="preserve"> </w:t>
      </w:r>
      <w:r>
        <w:t xml:space="preserve">escalating </w:t>
      </w:r>
      <w:r w:rsidRPr="0039330F">
        <w:t xml:space="preserve">doses of </w:t>
      </w:r>
      <w:proofErr w:type="spellStart"/>
      <w:r w:rsidRPr="0039330F">
        <w:t>talazoparib</w:t>
      </w:r>
      <w:proofErr w:type="spellEnd"/>
      <w:r w:rsidRPr="0039330F">
        <w:t xml:space="preserve"> from 0.025 to 1.1 mg </w:t>
      </w:r>
      <w:r>
        <w:t>daily were evaluated. At a daily dose of 1.1 mg</w:t>
      </w:r>
      <w:r w:rsidRPr="0039330F">
        <w:t xml:space="preserve">, </w:t>
      </w:r>
      <w:proofErr w:type="gramStart"/>
      <w:r w:rsidRPr="0039330F">
        <w:t>2</w:t>
      </w:r>
      <w:proofErr w:type="gramEnd"/>
      <w:r w:rsidRPr="0039330F">
        <w:t xml:space="preserve"> o</w:t>
      </w:r>
      <w:r>
        <w:t>f 6 patients experienced a dose-limiting toxicity (</w:t>
      </w:r>
      <w:r w:rsidRPr="0039330F">
        <w:t xml:space="preserve">Grade 4 </w:t>
      </w:r>
      <w:proofErr w:type="spellStart"/>
      <w:r w:rsidRPr="0039330F">
        <w:t>thrombocytop</w:t>
      </w:r>
      <w:r w:rsidR="00BD4552">
        <w:t>a</w:t>
      </w:r>
      <w:r w:rsidRPr="0039330F">
        <w:t>enia</w:t>
      </w:r>
      <w:proofErr w:type="spellEnd"/>
      <w:r w:rsidRPr="0039330F">
        <w:t xml:space="preserve"> and Grade 3 </w:t>
      </w:r>
      <w:proofErr w:type="spellStart"/>
      <w:r w:rsidRPr="0039330F">
        <w:t>thrombocytop</w:t>
      </w:r>
      <w:r w:rsidR="00BD4552">
        <w:t>a</w:t>
      </w:r>
      <w:r w:rsidRPr="0039330F">
        <w:t>enia</w:t>
      </w:r>
      <w:proofErr w:type="spellEnd"/>
      <w:r w:rsidRPr="0039330F">
        <w:t xml:space="preserve"> that resulted in study drug discontinuation for 5 or more days in a cycle</w:t>
      </w:r>
      <w:r w:rsidR="00400129">
        <w:t xml:space="preserve">). </w:t>
      </w:r>
      <w:r>
        <w:t xml:space="preserve">The maximum tolerated dose was therefore considered </w:t>
      </w:r>
      <w:proofErr w:type="gramStart"/>
      <w:r>
        <w:t>to be 1</w:t>
      </w:r>
      <w:proofErr w:type="gramEnd"/>
      <w:r>
        <w:t xml:space="preserve"> mg daily</w:t>
      </w:r>
      <w:r w:rsidRPr="0039330F">
        <w:t xml:space="preserve"> </w:t>
      </w:r>
      <w:r>
        <w:t>and this was</w:t>
      </w:r>
      <w:r w:rsidRPr="0039330F">
        <w:t xml:space="preserve"> selected as the </w:t>
      </w:r>
      <w:r w:rsidR="00262C99">
        <w:t>recommended Phase II</w:t>
      </w:r>
      <w:r>
        <w:t xml:space="preserve"> dose</w:t>
      </w:r>
      <w:r w:rsidRPr="0039330F">
        <w:t>.</w:t>
      </w:r>
    </w:p>
    <w:p w14:paraId="3E700284" w14:textId="4BD82510" w:rsidR="00880FC7" w:rsidRDefault="00880FC7" w:rsidP="00CD04C8">
      <w:r>
        <w:t>In Part 2 (dose expansion), enrolment continued of a larg</w:t>
      </w:r>
      <w:r w:rsidR="00262C99">
        <w:t>er cohort of patients with BRCA</w:t>
      </w:r>
      <w:r w:rsidR="00262C99">
        <w:noBreakHyphen/>
      </w:r>
      <w:r>
        <w:t xml:space="preserve">associated solid tumours (including breast, ovarian, prostate and pancreatic), Ewing sarcoma or small cell lung cancer </w:t>
      </w:r>
      <w:proofErr w:type="gramStart"/>
      <w:r>
        <w:t>were treated</w:t>
      </w:r>
      <w:proofErr w:type="gramEnd"/>
      <w:r>
        <w:t xml:space="preserve"> with </w:t>
      </w:r>
      <w:proofErr w:type="spellStart"/>
      <w:r>
        <w:t>talazoparib</w:t>
      </w:r>
      <w:proofErr w:type="spellEnd"/>
      <w:r>
        <w:t xml:space="preserve"> at 1 mg daily. Treatment </w:t>
      </w:r>
      <w:proofErr w:type="gramStart"/>
      <w:r>
        <w:t>was continued</w:t>
      </w:r>
      <w:proofErr w:type="gramEnd"/>
      <w:r>
        <w:t xml:space="preserve"> until disease progression or unacceptable toxicity (or discontinuation criteria were met). Safety, </w:t>
      </w:r>
      <w:r w:rsidR="00BD4552">
        <w:t>pharmacokinetics (</w:t>
      </w:r>
      <w:r>
        <w:t>PK</w:t>
      </w:r>
      <w:r w:rsidR="00BD4552">
        <w:t>)</w:t>
      </w:r>
      <w:r>
        <w:t>, pharmacodynamics</w:t>
      </w:r>
      <w:r w:rsidR="00262C99">
        <w:t xml:space="preserve"> (PD)</w:t>
      </w:r>
      <w:r w:rsidRPr="005B0A19">
        <w:t xml:space="preserve">, </w:t>
      </w:r>
      <w:r>
        <w:t>and</w:t>
      </w:r>
      <w:r w:rsidRPr="005B0A19">
        <w:t xml:space="preserve"> preliminary efficacy</w:t>
      </w:r>
      <w:r>
        <w:t xml:space="preserve"> (tumour response</w:t>
      </w:r>
      <w:r w:rsidR="005A1342">
        <w:t xml:space="preserve">s by RECIST 1.1) </w:t>
      </w:r>
      <w:proofErr w:type="gramStart"/>
      <w:r w:rsidR="005A1342">
        <w:t>were assessed</w:t>
      </w:r>
      <w:proofErr w:type="gramEnd"/>
      <w:r w:rsidR="005A1342">
        <w:t>.</w:t>
      </w:r>
      <w:r w:rsidR="00BD4552">
        <w:rPr>
          <w:rStyle w:val="FootnoteReference"/>
        </w:rPr>
        <w:footnoteReference w:id="7"/>
      </w:r>
    </w:p>
    <w:p w14:paraId="6A1D61A2" w14:textId="7690F55A" w:rsidR="00880FC7" w:rsidRPr="000F66E7" w:rsidRDefault="00880FC7" w:rsidP="00CD04C8">
      <w:r>
        <w:t>Part 3 was a long-term extension study, allowing patients from parts one and two to continue treatment if receiving clinical bene</w:t>
      </w:r>
      <w:r w:rsidR="005A1342">
        <w:t>fit.</w:t>
      </w:r>
    </w:p>
    <w:p w14:paraId="04378256" w14:textId="2871D9D0" w:rsidR="00880FC7" w:rsidRDefault="00CD04C8" w:rsidP="00165090">
      <w:pPr>
        <w:pStyle w:val="Heading5"/>
      </w:pPr>
      <w:r>
        <w:t>Pharmacokinetics</w:t>
      </w:r>
    </w:p>
    <w:p w14:paraId="608FC1BB" w14:textId="00366FD3" w:rsidR="00880FC7" w:rsidRPr="00262C99" w:rsidRDefault="00880FC7" w:rsidP="00262C99">
      <w:pPr>
        <w:pStyle w:val="ListBullet"/>
      </w:pPr>
      <w:r w:rsidRPr="00262C99">
        <w:t xml:space="preserve">The PK of </w:t>
      </w:r>
      <w:proofErr w:type="spellStart"/>
      <w:r w:rsidRPr="00262C99">
        <w:t>talazoparib</w:t>
      </w:r>
      <w:proofErr w:type="spellEnd"/>
      <w:r w:rsidRPr="00262C99">
        <w:t xml:space="preserve"> is linear from 0.025 mg to 2 mg</w:t>
      </w:r>
      <w:r w:rsidR="00262C99">
        <w:t>.</w:t>
      </w:r>
    </w:p>
    <w:p w14:paraId="06080E62" w14:textId="1263C782" w:rsidR="00880FC7" w:rsidRPr="00262C99" w:rsidRDefault="00880FC7" w:rsidP="00262C99">
      <w:pPr>
        <w:pStyle w:val="ListBullet"/>
      </w:pPr>
      <w:r w:rsidRPr="00262C99">
        <w:t xml:space="preserve">Median time to </w:t>
      </w:r>
      <w:r w:rsidR="00262C99">
        <w:t>maximum plasma concentration (</w:t>
      </w:r>
      <w:proofErr w:type="spellStart"/>
      <w:r w:rsidRPr="00262C99">
        <w:t>C</w:t>
      </w:r>
      <w:r w:rsidRPr="00262C99">
        <w:rPr>
          <w:vertAlign w:val="subscript"/>
        </w:rPr>
        <w:t>max</w:t>
      </w:r>
      <w:proofErr w:type="spellEnd"/>
      <w:r w:rsidR="00262C99">
        <w:t>)</w:t>
      </w:r>
      <w:r w:rsidRPr="00262C99">
        <w:t xml:space="preserve"> f</w:t>
      </w:r>
      <w:r w:rsidR="00262C99">
        <w:t>ollowing oral administration:</w:t>
      </w:r>
      <w:r w:rsidR="00BD4552">
        <w:t> </w:t>
      </w:r>
      <w:r w:rsidR="00262C99">
        <w:t xml:space="preserve">1 to </w:t>
      </w:r>
      <w:r w:rsidRPr="00262C99">
        <w:t>2 hours</w:t>
      </w:r>
      <w:r w:rsidR="00262C99">
        <w:t>.</w:t>
      </w:r>
    </w:p>
    <w:p w14:paraId="7E1C8B35" w14:textId="7BE94C00" w:rsidR="00880FC7" w:rsidRPr="00262C99" w:rsidRDefault="00880FC7" w:rsidP="00262C99">
      <w:pPr>
        <w:pStyle w:val="ListBullet"/>
      </w:pPr>
      <w:r w:rsidRPr="00262C99">
        <w:t xml:space="preserve">Steady state plasma </w:t>
      </w:r>
      <w:proofErr w:type="spellStart"/>
      <w:r w:rsidR="00262C99">
        <w:t>talazoparib</w:t>
      </w:r>
      <w:proofErr w:type="spellEnd"/>
      <w:r w:rsidR="00262C99">
        <w:t xml:space="preserve"> </w:t>
      </w:r>
      <w:proofErr w:type="gramStart"/>
      <w:r w:rsidR="00262C99">
        <w:t>is reached</w:t>
      </w:r>
      <w:proofErr w:type="gramEnd"/>
      <w:r w:rsidR="00262C99">
        <w:t xml:space="preserve"> within 2 to </w:t>
      </w:r>
      <w:r w:rsidRPr="00262C99">
        <w:t>3 weeks</w:t>
      </w:r>
      <w:r w:rsidR="00262C99">
        <w:t>.</w:t>
      </w:r>
    </w:p>
    <w:p w14:paraId="281566A4" w14:textId="05702426" w:rsidR="00880FC7" w:rsidRPr="00262C99" w:rsidRDefault="00880FC7" w:rsidP="00262C99">
      <w:pPr>
        <w:pStyle w:val="ListBullet"/>
      </w:pPr>
      <w:r w:rsidRPr="00262C99">
        <w:t xml:space="preserve">Geometric mean </w:t>
      </w:r>
      <w:r w:rsidR="00262C99">
        <w:t>area under the concentration time curve (</w:t>
      </w:r>
      <w:r w:rsidRPr="00262C99">
        <w:t>AUC</w:t>
      </w:r>
      <w:r w:rsidR="00262C99">
        <w:t>)</w:t>
      </w:r>
      <w:r w:rsidRPr="00262C99">
        <w:t xml:space="preserve"> and </w:t>
      </w:r>
      <w:proofErr w:type="spellStart"/>
      <w:r w:rsidRPr="00262C99">
        <w:t>C</w:t>
      </w:r>
      <w:r w:rsidRPr="00890225">
        <w:rPr>
          <w:vertAlign w:val="subscript"/>
        </w:rPr>
        <w:t>max</w:t>
      </w:r>
      <w:proofErr w:type="spellEnd"/>
      <w:r w:rsidRPr="00262C99">
        <w:t xml:space="preserve"> of </w:t>
      </w:r>
      <w:proofErr w:type="spellStart"/>
      <w:r w:rsidRPr="00262C99">
        <w:t>talazoparib</w:t>
      </w:r>
      <w:proofErr w:type="spellEnd"/>
      <w:r w:rsidRPr="00262C99">
        <w:t xml:space="preserve"> at </w:t>
      </w:r>
      <w:proofErr w:type="gramStart"/>
      <w:r w:rsidRPr="00262C99">
        <w:t>steady-state</w:t>
      </w:r>
      <w:proofErr w:type="gramEnd"/>
      <w:r w:rsidRPr="00262C99">
        <w:t xml:space="preserve"> was 208 ng.hr/mL and 16.4 ng/mL, respectively</w:t>
      </w:r>
      <w:r w:rsidR="00890225">
        <w:t>.</w:t>
      </w:r>
    </w:p>
    <w:p w14:paraId="580F7B1E" w14:textId="4AD635E8" w:rsidR="00880FC7" w:rsidRPr="00262C99" w:rsidRDefault="00880FC7" w:rsidP="00262C99">
      <w:pPr>
        <w:pStyle w:val="ListBullet"/>
      </w:pPr>
      <w:r w:rsidRPr="00262C99">
        <w:t>Absolute bioavailability (estimated by mass balance</w:t>
      </w:r>
      <w:r w:rsidR="00BD4552">
        <w:t>) was</w:t>
      </w:r>
      <w:r w:rsidRPr="00262C99">
        <w:t xml:space="preserve"> at least 55%</w:t>
      </w:r>
      <w:r w:rsidR="00890225">
        <w:t>.</w:t>
      </w:r>
    </w:p>
    <w:p w14:paraId="64F30A0F" w14:textId="034A395F" w:rsidR="00880FC7" w:rsidRPr="00262C99" w:rsidRDefault="00880FC7" w:rsidP="00262C99">
      <w:pPr>
        <w:pStyle w:val="ListBullet"/>
      </w:pPr>
      <w:r w:rsidRPr="00262C99">
        <w:lastRenderedPageBreak/>
        <w:t xml:space="preserve">Food effect: food intake decreased rate but not extent of absorption after oral administration of </w:t>
      </w:r>
      <w:proofErr w:type="spellStart"/>
      <w:r w:rsidRPr="00262C99">
        <w:t>talazoparib</w:t>
      </w:r>
      <w:proofErr w:type="spellEnd"/>
      <w:r w:rsidRPr="00262C99">
        <w:t xml:space="preserve"> to healthy volunteers</w:t>
      </w:r>
      <w:r w:rsidR="00890225">
        <w:t>.</w:t>
      </w:r>
    </w:p>
    <w:p w14:paraId="5AD5CB52" w14:textId="2D6CD46D" w:rsidR="00880FC7" w:rsidRPr="00262C99" w:rsidRDefault="00880FC7" w:rsidP="00262C99">
      <w:pPr>
        <w:pStyle w:val="ListBullet"/>
      </w:pPr>
      <w:r w:rsidRPr="00262C99">
        <w:t xml:space="preserve">Clinical comparability of the clinical trial and marketed formulations </w:t>
      </w:r>
      <w:proofErr w:type="gramStart"/>
      <w:r w:rsidRPr="00262C99">
        <w:t>was demonstrated</w:t>
      </w:r>
      <w:proofErr w:type="gramEnd"/>
      <w:r w:rsidRPr="00262C99">
        <w:t xml:space="preserve"> based on PK, </w:t>
      </w:r>
      <w:r w:rsidR="00890225">
        <w:t>population pharmacokinetics (pop-</w:t>
      </w:r>
      <w:r w:rsidRPr="00262C99">
        <w:t>PK</w:t>
      </w:r>
      <w:r w:rsidR="00890225">
        <w:t>)</w:t>
      </w:r>
      <w:r w:rsidRPr="00262C99">
        <w:t xml:space="preserve"> and clinical data from </w:t>
      </w:r>
      <w:r w:rsidR="00BD4552">
        <w:t xml:space="preserve">the </w:t>
      </w:r>
      <w:r w:rsidRPr="00262C99">
        <w:t>ABRAZO and EMBRACA</w:t>
      </w:r>
      <w:r w:rsidR="00BD4552">
        <w:t xml:space="preserve"> trials</w:t>
      </w:r>
      <w:r w:rsidR="00890225">
        <w:t>.</w:t>
      </w:r>
    </w:p>
    <w:p w14:paraId="56E5FBE1" w14:textId="75396D77" w:rsidR="00880FC7" w:rsidRPr="00262C99" w:rsidRDefault="00880FC7" w:rsidP="00262C99">
      <w:pPr>
        <w:pStyle w:val="ListBullet"/>
      </w:pPr>
      <w:r w:rsidRPr="00262C99">
        <w:t>Mean apparent volume of distribution: 420 L</w:t>
      </w:r>
      <w:r w:rsidR="00890225">
        <w:t>.</w:t>
      </w:r>
    </w:p>
    <w:p w14:paraId="4FFCC094" w14:textId="288D0C33" w:rsidR="00880FC7" w:rsidRPr="00262C99" w:rsidRDefault="00880FC7" w:rsidP="00262C99">
      <w:pPr>
        <w:pStyle w:val="ListBullet"/>
      </w:pPr>
      <w:r w:rsidRPr="00262C99">
        <w:t xml:space="preserve">Plasma protein binding: 74%, independent of plasma </w:t>
      </w:r>
      <w:proofErr w:type="spellStart"/>
      <w:r w:rsidRPr="00262C99">
        <w:t>talazoparib</w:t>
      </w:r>
      <w:proofErr w:type="spellEnd"/>
      <w:r w:rsidRPr="00262C99">
        <w:t xml:space="preserve"> concentration</w:t>
      </w:r>
      <w:r w:rsidR="00890225">
        <w:t>.</w:t>
      </w:r>
    </w:p>
    <w:p w14:paraId="2E74BF70" w14:textId="5FD8F649" w:rsidR="00880FC7" w:rsidRPr="00262C99" w:rsidRDefault="00880FC7" w:rsidP="00262C99">
      <w:pPr>
        <w:pStyle w:val="ListBullet"/>
      </w:pPr>
      <w:r w:rsidRPr="00262C99">
        <w:t>Metabolism: includes mono-oxidation, dehydrogenation, cysteine conjugation of mono-</w:t>
      </w:r>
      <w:proofErr w:type="spellStart"/>
      <w:r w:rsidRPr="00262C99">
        <w:t>desfluoro</w:t>
      </w:r>
      <w:proofErr w:type="spellEnd"/>
      <w:r w:rsidRPr="00262C99">
        <w:t>-</w:t>
      </w:r>
      <w:proofErr w:type="spellStart"/>
      <w:r w:rsidRPr="00262C99">
        <w:t>talazoparib</w:t>
      </w:r>
      <w:proofErr w:type="spellEnd"/>
      <w:r w:rsidRPr="00262C99">
        <w:t xml:space="preserve">, glucuronide conjugation. Less than 10% </w:t>
      </w:r>
      <w:r w:rsidR="00BD4552">
        <w:t xml:space="preserve">was </w:t>
      </w:r>
      <w:r w:rsidRPr="00262C99">
        <w:t>hepatic.</w:t>
      </w:r>
    </w:p>
    <w:p w14:paraId="4FE10514" w14:textId="743C7049" w:rsidR="00880FC7" w:rsidRPr="00262C99" w:rsidRDefault="00880FC7" w:rsidP="00262C99">
      <w:pPr>
        <w:pStyle w:val="ListBullet"/>
      </w:pPr>
      <w:r w:rsidRPr="00262C99">
        <w:t>Mean terminal plasma half-life (</w:t>
      </w:r>
      <w:r w:rsidR="00165090">
        <w:sym w:font="Symbol" w:char="F0B1"/>
      </w:r>
      <w:r w:rsidR="00890225">
        <w:t xml:space="preserve"> standard deviation (</w:t>
      </w:r>
      <w:r w:rsidRPr="00262C99">
        <w:t>SD</w:t>
      </w:r>
      <w:r w:rsidR="00890225">
        <w:t>)</w:t>
      </w:r>
      <w:r w:rsidRPr="00262C99">
        <w:t>): 90 (</w:t>
      </w:r>
      <w:r w:rsidR="00165090">
        <w:sym w:font="Symbol" w:char="F0B1"/>
      </w:r>
      <w:r w:rsidR="00890225">
        <w:t xml:space="preserve"> </w:t>
      </w:r>
      <w:r w:rsidRPr="00262C99">
        <w:t>58) hours</w:t>
      </w:r>
      <w:r w:rsidR="00BD4552">
        <w:t>.</w:t>
      </w:r>
    </w:p>
    <w:p w14:paraId="068C9E7F" w14:textId="77777777" w:rsidR="00880FC7" w:rsidRPr="00262C99" w:rsidRDefault="00880FC7" w:rsidP="00262C99">
      <w:pPr>
        <w:pStyle w:val="ListBullet"/>
      </w:pPr>
      <w:r w:rsidRPr="00262C99">
        <w:t xml:space="preserve">Excretion: 19.7% faecal (13.6% unchanged </w:t>
      </w:r>
      <w:proofErr w:type="spellStart"/>
      <w:r w:rsidRPr="00262C99">
        <w:t>talazoparib</w:t>
      </w:r>
      <w:proofErr w:type="spellEnd"/>
      <w:r w:rsidRPr="00262C99">
        <w:t xml:space="preserve">), 68.7% urine (54.6% unchanged </w:t>
      </w:r>
      <w:proofErr w:type="spellStart"/>
      <w:r w:rsidRPr="00262C99">
        <w:t>talazoparib</w:t>
      </w:r>
      <w:proofErr w:type="spellEnd"/>
      <w:r w:rsidRPr="00262C99">
        <w:t>)</w:t>
      </w:r>
    </w:p>
    <w:p w14:paraId="5BA91386" w14:textId="77777777" w:rsidR="00880FC7" w:rsidRPr="00564CE6" w:rsidRDefault="00880FC7" w:rsidP="00CD04C8">
      <w:pPr>
        <w:pStyle w:val="Heading5"/>
      </w:pPr>
      <w:r>
        <w:t>Primary pharmacology</w:t>
      </w:r>
    </w:p>
    <w:p w14:paraId="005EEE06" w14:textId="02CD1357" w:rsidR="00880FC7" w:rsidRDefault="00880FC7" w:rsidP="00CD04C8">
      <w:r w:rsidRPr="00890225">
        <w:rPr>
          <w:i/>
        </w:rPr>
        <w:t>In vitro</w:t>
      </w:r>
      <w:r>
        <w:t xml:space="preserve"> </w:t>
      </w:r>
      <w:r w:rsidR="00890225">
        <w:t xml:space="preserve">results </w:t>
      </w:r>
      <w:r>
        <w:t xml:space="preserve">demonstrated </w:t>
      </w:r>
      <w:proofErr w:type="spellStart"/>
      <w:r>
        <w:t>talazoparib</w:t>
      </w:r>
      <w:proofErr w:type="spellEnd"/>
      <w:r w:rsidRPr="00853E05">
        <w:t xml:space="preserve"> </w:t>
      </w:r>
      <w:r>
        <w:t xml:space="preserve">inhibits </w:t>
      </w:r>
      <w:r w:rsidRPr="00853E05">
        <w:t xml:space="preserve">PARP1, PARP2 and </w:t>
      </w:r>
      <w:r>
        <w:t>PARP 5b</w:t>
      </w:r>
      <w:r w:rsidRPr="00853E05">
        <w:t xml:space="preserve"> with </w:t>
      </w:r>
      <w:r w:rsidR="00890225">
        <w:t>half maximal inhibitory concentration (</w:t>
      </w:r>
      <w:r w:rsidRPr="00853E05">
        <w:t>IC</w:t>
      </w:r>
      <w:r w:rsidRPr="00890225">
        <w:rPr>
          <w:vertAlign w:val="subscript"/>
        </w:rPr>
        <w:t>50</w:t>
      </w:r>
      <w:r w:rsidR="00890225">
        <w:t>)</w:t>
      </w:r>
      <w:r w:rsidRPr="00853E05">
        <w:t xml:space="preserve"> values </w:t>
      </w:r>
      <w:r>
        <w:t xml:space="preserve">under 5 </w:t>
      </w:r>
      <w:proofErr w:type="spellStart"/>
      <w:r>
        <w:t>nM</w:t>
      </w:r>
      <w:proofErr w:type="spellEnd"/>
      <w:r>
        <w:t xml:space="preserve"> (</w:t>
      </w:r>
      <w:r w:rsidRPr="00853E05">
        <w:t xml:space="preserve">0.7 </w:t>
      </w:r>
      <w:proofErr w:type="spellStart"/>
      <w:r w:rsidRPr="00853E05">
        <w:t>nM</w:t>
      </w:r>
      <w:proofErr w:type="spellEnd"/>
      <w:r w:rsidRPr="00853E05">
        <w:t xml:space="preserve">, 0.3 </w:t>
      </w:r>
      <w:proofErr w:type="spellStart"/>
      <w:r w:rsidRPr="00853E05">
        <w:t>nM</w:t>
      </w:r>
      <w:proofErr w:type="spellEnd"/>
      <w:r w:rsidRPr="00853E05">
        <w:t xml:space="preserve">, and 4.7 </w:t>
      </w:r>
      <w:proofErr w:type="spellStart"/>
      <w:r w:rsidRPr="00853E05">
        <w:t>nM</w:t>
      </w:r>
      <w:proofErr w:type="spellEnd"/>
      <w:r w:rsidRPr="00853E05">
        <w:t>, respectively</w:t>
      </w:r>
      <w:r>
        <w:t>), and PARP3 and PARP 5a</w:t>
      </w:r>
      <w:r w:rsidRPr="00853E05">
        <w:t xml:space="preserve"> with IC</w:t>
      </w:r>
      <w:r w:rsidRPr="00890225">
        <w:rPr>
          <w:vertAlign w:val="subscript"/>
        </w:rPr>
        <w:t>50</w:t>
      </w:r>
      <w:r w:rsidRPr="00853E05">
        <w:t xml:space="preserve"> values of &lt; 25 </w:t>
      </w:r>
      <w:proofErr w:type="spellStart"/>
      <w:r w:rsidRPr="00853E05">
        <w:t>nM</w:t>
      </w:r>
      <w:proofErr w:type="spellEnd"/>
      <w:r w:rsidRPr="00853E05">
        <w:t xml:space="preserve">. </w:t>
      </w:r>
      <w:r>
        <w:t>This level of</w:t>
      </w:r>
      <w:r w:rsidRPr="00853E05">
        <w:t xml:space="preserve"> PARP1 and PARP2</w:t>
      </w:r>
      <w:r>
        <w:t xml:space="preserve"> inhibition is similar to that seen for other PARP inhibitors registered in Australia (</w:t>
      </w:r>
      <w:proofErr w:type="spellStart"/>
      <w:r>
        <w:t>olaparib</w:t>
      </w:r>
      <w:proofErr w:type="spellEnd"/>
      <w:r>
        <w:t xml:space="preserve"> and </w:t>
      </w:r>
      <w:proofErr w:type="spellStart"/>
      <w:r>
        <w:t>niraparib</w:t>
      </w:r>
      <w:proofErr w:type="spellEnd"/>
      <w:r>
        <w:t>).</w:t>
      </w:r>
    </w:p>
    <w:p w14:paraId="54DE16B3" w14:textId="77777777" w:rsidR="00880FC7" w:rsidRPr="00CD04C8" w:rsidRDefault="00880FC7" w:rsidP="00CD04C8">
      <w:pPr>
        <w:pStyle w:val="Heading5"/>
      </w:pPr>
      <w:r w:rsidRPr="00CD04C8">
        <w:t>Pharmacodynamics</w:t>
      </w:r>
    </w:p>
    <w:p w14:paraId="6719A58C" w14:textId="68D6B3C1" w:rsidR="00880FC7" w:rsidRDefault="00CD04C8" w:rsidP="00CD04C8">
      <w:proofErr w:type="spellStart"/>
      <w:r>
        <w:t>Pharmacodynamic</w:t>
      </w:r>
      <w:proofErr w:type="spellEnd"/>
      <w:r>
        <w:t xml:space="preserve"> findings in S</w:t>
      </w:r>
      <w:r w:rsidR="00880FC7">
        <w:t xml:space="preserve">tudy PRP-001 are summarised in the </w:t>
      </w:r>
      <w:r w:rsidR="00890225">
        <w:t>clinical study report (</w:t>
      </w:r>
      <w:r w:rsidR="00880FC7">
        <w:t>CSR</w:t>
      </w:r>
      <w:r w:rsidR="00890225">
        <w:t>)</w:t>
      </w:r>
      <w:r w:rsidR="00880FC7">
        <w:t xml:space="preserve"> for that study as follows:</w:t>
      </w:r>
    </w:p>
    <w:p w14:paraId="5DF0CFE3" w14:textId="68977170" w:rsidR="00880FC7" w:rsidRPr="00454F4A" w:rsidRDefault="00CD04C8" w:rsidP="00CD04C8">
      <w:pPr>
        <w:ind w:left="720"/>
      </w:pPr>
      <w:r>
        <w:t>‘</w:t>
      </w:r>
      <w:r w:rsidR="00880FC7">
        <w:t xml:space="preserve">The </w:t>
      </w:r>
      <w:proofErr w:type="spellStart"/>
      <w:r w:rsidR="00880FC7">
        <w:t>pharmacodynamic</w:t>
      </w:r>
      <w:proofErr w:type="spellEnd"/>
      <w:r w:rsidR="00880FC7">
        <w:t xml:space="preserve"> analysis demonstrated consistent on-target effect of </w:t>
      </w:r>
      <w:proofErr w:type="spellStart"/>
      <w:r w:rsidR="00880FC7">
        <w:t>talazoparib</w:t>
      </w:r>
      <w:proofErr w:type="spellEnd"/>
      <w:r w:rsidR="00880FC7">
        <w:t xml:space="preserve"> from 0.20 mg through 1.1 mg. Successful assays were performed on samples from 36 of 39 patients (23 ovarian, 8 breast, 3 pancreatic, 2 colorectal, 2</w:t>
      </w:r>
      <w:r w:rsidR="00BD4552">
        <w:t> </w:t>
      </w:r>
      <w:r w:rsidR="00880FC7">
        <w:t xml:space="preserve">Ewing, 1 prostate) treated with 0.025 to 1.1 mg </w:t>
      </w:r>
      <w:proofErr w:type="spellStart"/>
      <w:r w:rsidR="00880FC7">
        <w:t>talazoparib</w:t>
      </w:r>
      <w:proofErr w:type="spellEnd"/>
      <w:r w:rsidR="00880FC7">
        <w:t xml:space="preserve"> in part 1. PARP activity was consiste</w:t>
      </w:r>
      <w:r w:rsidR="00890225">
        <w:t xml:space="preserve">ntly shown to be greater than 2 </w:t>
      </w:r>
      <w:r w:rsidR="00880FC7">
        <w:t xml:space="preserve">fold lower than baseline both after the first dose and after daily dosing in patients treated with </w:t>
      </w:r>
      <w:r w:rsidR="00165090">
        <w:sym w:font="Symbol" w:char="F0B3"/>
      </w:r>
      <w:r w:rsidR="00880FC7">
        <w:t xml:space="preserve"> 0.20 mg/day.</w:t>
      </w:r>
      <w:r>
        <w:t>’</w:t>
      </w:r>
    </w:p>
    <w:p w14:paraId="7A64241C" w14:textId="156EC6C8" w:rsidR="00880FC7" w:rsidRPr="00CD04C8" w:rsidRDefault="008D6950" w:rsidP="00CD04C8">
      <w:pPr>
        <w:pStyle w:val="Heading5"/>
      </w:pPr>
      <w:r>
        <w:t>Population pharmacokinetics</w:t>
      </w:r>
    </w:p>
    <w:p w14:paraId="6ECA2E8B" w14:textId="521C8F7F" w:rsidR="00880FC7" w:rsidRDefault="00880FC7" w:rsidP="00880FC7">
      <w:r>
        <w:t>The conclusions</w:t>
      </w:r>
      <w:r w:rsidR="00890225">
        <w:t xml:space="preserve"> of the sponsor’s pop-</w:t>
      </w:r>
      <w:r w:rsidR="00CB20EC">
        <w:t>PK analysis</w:t>
      </w:r>
      <w:r>
        <w:t xml:space="preserve"> included:</w:t>
      </w:r>
    </w:p>
    <w:p w14:paraId="5D688BBF" w14:textId="77777777" w:rsidR="00880FC7" w:rsidRDefault="00880FC7" w:rsidP="00CD04C8">
      <w:pPr>
        <w:pStyle w:val="ListBullet"/>
      </w:pPr>
      <w:r>
        <w:t>Regarding renal impairment:</w:t>
      </w:r>
    </w:p>
    <w:p w14:paraId="0EC604F8" w14:textId="77777777" w:rsidR="00880FC7" w:rsidRDefault="00880FC7" w:rsidP="00165090">
      <w:pPr>
        <w:pStyle w:val="ListBullet2"/>
      </w:pPr>
      <w:r>
        <w:t>Mild renal impairment decreased apparent clearance by 14.4%.</w:t>
      </w:r>
    </w:p>
    <w:p w14:paraId="5DB944C1" w14:textId="67295B33" w:rsidR="00880FC7" w:rsidRDefault="00880FC7" w:rsidP="00CD04C8">
      <w:pPr>
        <w:pStyle w:val="ListBullet2"/>
      </w:pPr>
      <w:r>
        <w:t xml:space="preserve">Moderate renal impairment decreased apparent clearance by 37.1%, and dose reduction </w:t>
      </w:r>
      <w:proofErr w:type="gramStart"/>
      <w:r>
        <w:t>is recommended</w:t>
      </w:r>
      <w:proofErr w:type="gramEnd"/>
      <w:r>
        <w:t xml:space="preserve"> in these patients</w:t>
      </w:r>
      <w:r w:rsidR="00890225">
        <w:t>.</w:t>
      </w:r>
    </w:p>
    <w:p w14:paraId="278F95D4" w14:textId="28D62451" w:rsidR="00880FC7" w:rsidRDefault="002E33E1" w:rsidP="00CD04C8">
      <w:pPr>
        <w:pStyle w:val="ListBullet2"/>
      </w:pPr>
      <w:r>
        <w:t xml:space="preserve">Insufficient data </w:t>
      </w:r>
      <w:r w:rsidRPr="00262235">
        <w:t>were</w:t>
      </w:r>
      <w:r>
        <w:t xml:space="preserve"> available in patients with s</w:t>
      </w:r>
      <w:r w:rsidR="00880FC7">
        <w:t>evere renal impairment and end-stage renal disease (ESRD)</w:t>
      </w:r>
      <w:r w:rsidR="00890225">
        <w:t>.</w:t>
      </w:r>
    </w:p>
    <w:p w14:paraId="4A73A734" w14:textId="77777777" w:rsidR="00880FC7" w:rsidRDefault="00880FC7" w:rsidP="00CD04C8">
      <w:pPr>
        <w:pStyle w:val="ListBullet"/>
      </w:pPr>
      <w:r>
        <w:t>Regarding hepatic impairment:</w:t>
      </w:r>
    </w:p>
    <w:p w14:paraId="51E250C7" w14:textId="3AF437AA" w:rsidR="00880FC7" w:rsidRDefault="00880FC7" w:rsidP="00CD04C8">
      <w:pPr>
        <w:pStyle w:val="ListBullet2"/>
      </w:pPr>
      <w:r>
        <w:t xml:space="preserve">Mild hepatic impairment did not affect </w:t>
      </w:r>
      <w:proofErr w:type="spellStart"/>
      <w:r>
        <w:t>talazoparib</w:t>
      </w:r>
      <w:proofErr w:type="spellEnd"/>
      <w:r>
        <w:t xml:space="preserve"> PK</w:t>
      </w:r>
      <w:r w:rsidR="00890225">
        <w:t>.</w:t>
      </w:r>
    </w:p>
    <w:p w14:paraId="7241C8CB" w14:textId="77777777" w:rsidR="00880FC7" w:rsidRDefault="00880FC7" w:rsidP="00CD04C8">
      <w:pPr>
        <w:pStyle w:val="ListBullet2"/>
      </w:pPr>
      <w:r>
        <w:t>Moderate and severe hepatic impairment were not represented in the analysis</w:t>
      </w:r>
    </w:p>
    <w:p w14:paraId="60C1002A" w14:textId="046AB2BA" w:rsidR="00880FC7" w:rsidRDefault="002E33E1" w:rsidP="00CD04C8">
      <w:pPr>
        <w:pStyle w:val="ListBullet"/>
      </w:pPr>
      <w:r>
        <w:t>Dosing with food</w:t>
      </w:r>
      <w:r w:rsidR="00880FC7">
        <w:t xml:space="preserve"> decreased rate but not extent of </w:t>
      </w:r>
      <w:proofErr w:type="spellStart"/>
      <w:r w:rsidR="00880FC7">
        <w:t>talazoparib</w:t>
      </w:r>
      <w:proofErr w:type="spellEnd"/>
      <w:r w:rsidR="00880FC7">
        <w:t xml:space="preserve"> absorption</w:t>
      </w:r>
    </w:p>
    <w:p w14:paraId="6730452A" w14:textId="0580DDDB" w:rsidR="00880FC7" w:rsidRDefault="00880FC7" w:rsidP="00CD04C8">
      <w:pPr>
        <w:pStyle w:val="ListBullet"/>
      </w:pPr>
      <w:r>
        <w:t xml:space="preserve">Co-administration of </w:t>
      </w:r>
      <w:r w:rsidR="00645D05">
        <w:t xml:space="preserve">strong </w:t>
      </w:r>
      <w:r>
        <w:t>P-</w:t>
      </w:r>
      <w:proofErr w:type="spellStart"/>
      <w:r>
        <w:t>gp</w:t>
      </w:r>
      <w:proofErr w:type="spellEnd"/>
      <w:r>
        <w:t xml:space="preserve"> inhibitors increased </w:t>
      </w:r>
      <w:proofErr w:type="spellStart"/>
      <w:r>
        <w:t>talazoparib</w:t>
      </w:r>
      <w:proofErr w:type="spellEnd"/>
      <w:r>
        <w:t xml:space="preserve"> exposure by an average of 45%, and dose reduction </w:t>
      </w:r>
      <w:proofErr w:type="gramStart"/>
      <w:r>
        <w:t>is recommended</w:t>
      </w:r>
      <w:proofErr w:type="gramEnd"/>
      <w:r>
        <w:t xml:space="preserve"> in patients requiring co-administrat</w:t>
      </w:r>
      <w:r w:rsidR="00890225">
        <w:t>ion of P</w:t>
      </w:r>
      <w:r w:rsidR="00890225">
        <w:noBreakHyphen/>
      </w:r>
      <w:proofErr w:type="spellStart"/>
      <w:r>
        <w:t>gp</w:t>
      </w:r>
      <w:proofErr w:type="spellEnd"/>
      <w:r>
        <w:t xml:space="preserve"> inhibitors</w:t>
      </w:r>
      <w:r w:rsidR="00890225">
        <w:t>.</w:t>
      </w:r>
    </w:p>
    <w:p w14:paraId="6E652BB4" w14:textId="2B49A0C7" w:rsidR="00880FC7" w:rsidRDefault="00880FC7" w:rsidP="00880FC7">
      <w:r>
        <w:lastRenderedPageBreak/>
        <w:t>Th</w:t>
      </w:r>
      <w:r w:rsidR="00890225">
        <w:t>e FDA pop-PK reviewer agreed that ‘</w:t>
      </w:r>
      <w:r>
        <w:t>moderate renal impairment and concomitant use with a strong P-</w:t>
      </w:r>
      <w:proofErr w:type="spellStart"/>
      <w:r>
        <w:t>gp</w:t>
      </w:r>
      <w:proofErr w:type="spellEnd"/>
      <w:r>
        <w:t xml:space="preserve"> inhibitor are the only significant covariate that have clinically </w:t>
      </w:r>
      <w:r w:rsidR="00B329DD">
        <w:t xml:space="preserve">relevant </w:t>
      </w:r>
      <w:r>
        <w:t xml:space="preserve">impact on </w:t>
      </w:r>
      <w:proofErr w:type="spellStart"/>
      <w:r>
        <w:t>talazoparib</w:t>
      </w:r>
      <w:proofErr w:type="spellEnd"/>
      <w:r>
        <w:t xml:space="preserve"> e</w:t>
      </w:r>
      <w:r w:rsidR="00B84459">
        <w:t>xposure, based on pop-</w:t>
      </w:r>
      <w:r w:rsidR="00890225">
        <w:t>PK analysis.’</w:t>
      </w:r>
    </w:p>
    <w:p w14:paraId="3A4A93E0" w14:textId="77777777" w:rsidR="00880FC7" w:rsidRDefault="00880FC7" w:rsidP="00880FC7">
      <w:pPr>
        <w:pStyle w:val="Heading5"/>
      </w:pPr>
      <w:r>
        <w:t>Potential for interactions</w:t>
      </w:r>
    </w:p>
    <w:p w14:paraId="5A17B909" w14:textId="77777777" w:rsidR="00880FC7" w:rsidRDefault="00880FC7" w:rsidP="00CB6831">
      <w:r>
        <w:t xml:space="preserve">Based on the minimal reliance on metabolic pathways, inhibition or induction of metabolism </w:t>
      </w:r>
      <w:proofErr w:type="gramStart"/>
      <w:r>
        <w:t>is considered</w:t>
      </w:r>
      <w:proofErr w:type="gramEnd"/>
      <w:r>
        <w:t xml:space="preserve"> unlikely to affect </w:t>
      </w:r>
      <w:proofErr w:type="spellStart"/>
      <w:r>
        <w:t>talazoparib</w:t>
      </w:r>
      <w:proofErr w:type="spellEnd"/>
      <w:r>
        <w:t xml:space="preserve"> exposure.</w:t>
      </w:r>
    </w:p>
    <w:p w14:paraId="5B22851B" w14:textId="77777777" w:rsidR="00880FC7" w:rsidRDefault="00880FC7" w:rsidP="00CB6831">
      <w:pPr>
        <w:pStyle w:val="ListBullet"/>
      </w:pPr>
      <w:proofErr w:type="spellStart"/>
      <w:r>
        <w:t>Talazoparib</w:t>
      </w:r>
      <w:proofErr w:type="spellEnd"/>
      <w:r>
        <w:t xml:space="preserve"> is not an inhibitor of:</w:t>
      </w:r>
    </w:p>
    <w:p w14:paraId="565939CB" w14:textId="6DBFA0D5" w:rsidR="00880FC7" w:rsidRDefault="00890225" w:rsidP="00CB6831">
      <w:pPr>
        <w:pStyle w:val="ListBullet2"/>
      </w:pPr>
      <w:r>
        <w:t>Cytochrome P450 (CYP) enzymes</w:t>
      </w:r>
      <w:proofErr w:type="gramStart"/>
      <w:r>
        <w:t>;</w:t>
      </w:r>
      <w:proofErr w:type="gramEnd"/>
      <w:r>
        <w:t xml:space="preserve"> </w:t>
      </w:r>
      <w:r w:rsidR="00880FC7">
        <w:t>CYP1A2, CYP2B6, CYP2C8, CYP2C9, CYP2C19, CYP2D6, or CYP3A4/5</w:t>
      </w:r>
      <w:r>
        <w:t>.</w:t>
      </w:r>
    </w:p>
    <w:p w14:paraId="380B0A8C" w14:textId="06D66332" w:rsidR="00880FC7" w:rsidRDefault="00B84459" w:rsidP="00B84459">
      <w:pPr>
        <w:pStyle w:val="ListBullet2"/>
      </w:pPr>
      <w:r w:rsidRPr="00B84459">
        <w:t>Uridine diphosphate-</w:t>
      </w:r>
      <w:proofErr w:type="spellStart"/>
      <w:r w:rsidRPr="00B84459">
        <w:t>glucuronyltransferase</w:t>
      </w:r>
      <w:proofErr w:type="spellEnd"/>
      <w:r w:rsidRPr="00B84459">
        <w:t xml:space="preserve"> </w:t>
      </w:r>
      <w:r>
        <w:t xml:space="preserve">(UGT) enzymes; </w:t>
      </w:r>
      <w:r w:rsidR="00880FC7">
        <w:t>UGT1A1, UGT1A4, UGT</w:t>
      </w:r>
      <w:r>
        <w:t>1A6, UGT1A9, UGT2B7, or UGT2B15.</w:t>
      </w:r>
    </w:p>
    <w:p w14:paraId="1AA0629F" w14:textId="365F4D08" w:rsidR="00880FC7" w:rsidRDefault="00880FC7" w:rsidP="00CB6831">
      <w:pPr>
        <w:pStyle w:val="ListBullet2"/>
      </w:pPr>
      <w:r>
        <w:t>P-</w:t>
      </w:r>
      <w:proofErr w:type="spellStart"/>
      <w:r>
        <w:t>gp</w:t>
      </w:r>
      <w:proofErr w:type="spellEnd"/>
      <w:r>
        <w:t xml:space="preserve">, </w:t>
      </w:r>
      <w:r w:rsidR="00B84459">
        <w:t>breast cancer resistance protein (</w:t>
      </w:r>
      <w:r>
        <w:t>BCRP</w:t>
      </w:r>
      <w:r w:rsidR="00B84459">
        <w:t>)</w:t>
      </w:r>
      <w:r>
        <w:t xml:space="preserve">, organic </w:t>
      </w:r>
      <w:r w:rsidR="00B84459">
        <w:t>anion transporting polypeptide (OATP</w:t>
      </w:r>
      <w:proofErr w:type="gramStart"/>
      <w:r w:rsidR="00B84459">
        <w:t>)</w:t>
      </w:r>
      <w:r>
        <w:t>1B1</w:t>
      </w:r>
      <w:proofErr w:type="gramEnd"/>
      <w:r>
        <w:t>, OATP1B3</w:t>
      </w:r>
      <w:r w:rsidR="00B84459">
        <w:t>, organic cation transporter (OCT)</w:t>
      </w:r>
      <w:r>
        <w:t>1, O</w:t>
      </w:r>
      <w:r w:rsidR="00B84459">
        <w:t>CT2, organic anion transporter (OAT)1, OAT3, bile salt export pump (BSEP)</w:t>
      </w:r>
      <w:r>
        <w:t>,</w:t>
      </w:r>
      <w:r w:rsidR="00B84459">
        <w:t xml:space="preserve"> multidrug and toxin extrusion (MATE)</w:t>
      </w:r>
      <w:r>
        <w:t>1, or MATE2-K</w:t>
      </w:r>
      <w:r w:rsidR="00B84459">
        <w:t>.</w:t>
      </w:r>
    </w:p>
    <w:p w14:paraId="15F4255D" w14:textId="77777777" w:rsidR="00880FC7" w:rsidRDefault="00880FC7" w:rsidP="00CB6831">
      <w:pPr>
        <w:pStyle w:val="ListBullet"/>
      </w:pPr>
      <w:proofErr w:type="spellStart"/>
      <w:r>
        <w:t>Talazoparib</w:t>
      </w:r>
      <w:proofErr w:type="spellEnd"/>
      <w:r>
        <w:t xml:space="preserve"> is not an inducer of:</w:t>
      </w:r>
    </w:p>
    <w:p w14:paraId="524A0BB8" w14:textId="4C1DAC10" w:rsidR="00880FC7" w:rsidRDefault="00880FC7" w:rsidP="00CB6831">
      <w:pPr>
        <w:pStyle w:val="ListBullet2"/>
      </w:pPr>
      <w:r>
        <w:t>CYP1A2, CYP2B6, or CYP3A4</w:t>
      </w:r>
      <w:r w:rsidR="00B84459">
        <w:t>.</w:t>
      </w:r>
    </w:p>
    <w:p w14:paraId="7DB06EC0" w14:textId="77777777" w:rsidR="00880FC7" w:rsidRPr="00AA53F4" w:rsidRDefault="00880FC7" w:rsidP="00CB6831">
      <w:pPr>
        <w:pStyle w:val="Heading4"/>
      </w:pPr>
      <w:r w:rsidRPr="00AA53F4">
        <w:t>Efficacy</w:t>
      </w:r>
    </w:p>
    <w:p w14:paraId="7495C4F1" w14:textId="76AF7266" w:rsidR="00880FC7" w:rsidRPr="00CB6831" w:rsidRDefault="00880FC7" w:rsidP="00CB6831">
      <w:pPr>
        <w:pStyle w:val="Heading5"/>
      </w:pPr>
      <w:r w:rsidRPr="00CB6831">
        <w:t>EMBRACA</w:t>
      </w:r>
      <w:r w:rsidR="006E21D7">
        <w:t xml:space="preserve"> trial</w:t>
      </w:r>
      <w:r w:rsidRPr="00CB6831">
        <w:t xml:space="preserve"> (</w:t>
      </w:r>
      <w:r w:rsidR="006E21D7">
        <w:t xml:space="preserve">Study </w:t>
      </w:r>
      <w:r w:rsidRPr="00CB6831">
        <w:t>673-301/C3441009)</w:t>
      </w:r>
    </w:p>
    <w:p w14:paraId="1B38C648" w14:textId="0DA2C714" w:rsidR="00880FC7" w:rsidRDefault="00B84459" w:rsidP="00CB6831">
      <w:r>
        <w:t>A Phase III</w:t>
      </w:r>
      <w:r w:rsidR="00880FC7" w:rsidRPr="00F00254">
        <w:t>, randomised,</w:t>
      </w:r>
      <w:r w:rsidR="00880FC7">
        <w:t xml:space="preserve"> open-label</w:t>
      </w:r>
      <w:r w:rsidR="00880FC7" w:rsidRPr="00F00254">
        <w:t>, 2-arm, mul</w:t>
      </w:r>
      <w:r>
        <w:t xml:space="preserve">ticentre study of </w:t>
      </w:r>
      <w:proofErr w:type="spellStart"/>
      <w:r>
        <w:t>talazoparib</w:t>
      </w:r>
      <w:proofErr w:type="spellEnd"/>
      <w:r>
        <w:t xml:space="preserve"> versus</w:t>
      </w:r>
      <w:r w:rsidR="00880FC7" w:rsidRPr="00F00254">
        <w:t xml:space="preserve"> chemotherapy (physicians’ choice </w:t>
      </w:r>
      <w:proofErr w:type="spellStart"/>
      <w:r w:rsidR="00880FC7" w:rsidRPr="00F00254">
        <w:t>capecitabine</w:t>
      </w:r>
      <w:proofErr w:type="spellEnd"/>
      <w:r w:rsidR="00880FC7" w:rsidRPr="00F00254">
        <w:t xml:space="preserve">, </w:t>
      </w:r>
      <w:proofErr w:type="spellStart"/>
      <w:r w:rsidR="00880FC7" w:rsidRPr="00F00254">
        <w:t>eribulin</w:t>
      </w:r>
      <w:proofErr w:type="spellEnd"/>
      <w:r w:rsidR="00880FC7" w:rsidRPr="00F00254">
        <w:t xml:space="preserve">, gemcitabine or </w:t>
      </w:r>
      <w:proofErr w:type="spellStart"/>
      <w:r w:rsidR="00880FC7" w:rsidRPr="00F00254">
        <w:t>vinorelbine</w:t>
      </w:r>
      <w:proofErr w:type="spellEnd"/>
      <w:r w:rsidR="00880FC7" w:rsidRPr="00F00254">
        <w:t>) in patients with germline BRCA mutation positive, HER2 negative locally advanced or metastatic breast cancer.</w:t>
      </w:r>
    </w:p>
    <w:p w14:paraId="6C1B6975" w14:textId="1F343988" w:rsidR="00880FC7" w:rsidRDefault="006E21D7" w:rsidP="00165090">
      <w:pPr>
        <w:pStyle w:val="Heading6"/>
      </w:pPr>
      <w:r>
        <w:t>Study size, inclusion/exclusion criteria, dates and locations</w:t>
      </w:r>
    </w:p>
    <w:p w14:paraId="285B716C" w14:textId="1EBE4DB4" w:rsidR="00DC023E" w:rsidRDefault="00FD3A41" w:rsidP="00B84459">
      <w:r w:rsidRPr="006E21D7">
        <w:t>Population</w:t>
      </w:r>
      <w:r w:rsidR="006E21D7">
        <w:t xml:space="preserve"> size</w:t>
      </w:r>
      <w:r w:rsidR="006E21D7" w:rsidRPr="006E21D7">
        <w:t xml:space="preserve">: </w:t>
      </w:r>
      <w:r w:rsidR="00DC023E">
        <w:t>431</w:t>
      </w:r>
      <w:r w:rsidR="006E21D7">
        <w:t xml:space="preserve"> subjects</w:t>
      </w:r>
    </w:p>
    <w:p w14:paraId="4A57077A" w14:textId="77777777" w:rsidR="00DC023E" w:rsidRDefault="00DC023E" w:rsidP="00DC023E">
      <w:r>
        <w:t>Inclusion criteria (abridged):</w:t>
      </w:r>
    </w:p>
    <w:p w14:paraId="07C6B6FB" w14:textId="69169554" w:rsidR="00DC023E" w:rsidRDefault="00DC023E" w:rsidP="00DC023E">
      <w:pPr>
        <w:pStyle w:val="ListBullet"/>
      </w:pPr>
      <w:r>
        <w:t>Consenting, willing and able adults with incurable locally advanced or metastatic HER2-negative breast cancer</w:t>
      </w:r>
      <w:r w:rsidR="00AE5AC0">
        <w:t>.</w:t>
      </w:r>
    </w:p>
    <w:p w14:paraId="6D665E9F" w14:textId="5239E858" w:rsidR="00DC023E" w:rsidRDefault="00DC023E" w:rsidP="00DC023E">
      <w:pPr>
        <w:pStyle w:val="ListBullet"/>
      </w:pPr>
      <w:r>
        <w:t xml:space="preserve">Documentation of a deleterious, suspected </w:t>
      </w:r>
      <w:proofErr w:type="gramStart"/>
      <w:r>
        <w:t>deleterious,</w:t>
      </w:r>
      <w:proofErr w:type="gramEnd"/>
      <w:r>
        <w:t xml:space="preserve"> or pathogenic germline BRCA1 or BRCA2 mutation according to a Myriad Genetics test or by special agreement</w:t>
      </w:r>
      <w:r w:rsidR="00AE5AC0">
        <w:t>.</w:t>
      </w:r>
    </w:p>
    <w:p w14:paraId="0B48F6BF" w14:textId="47AB2F48" w:rsidR="00DC023E" w:rsidRDefault="00DC023E" w:rsidP="00DC023E">
      <w:pPr>
        <w:pStyle w:val="ListBullet"/>
      </w:pPr>
      <w:r>
        <w:t xml:space="preserve">Maximum </w:t>
      </w:r>
      <w:proofErr w:type="gramStart"/>
      <w:r>
        <w:t>3</w:t>
      </w:r>
      <w:proofErr w:type="gramEnd"/>
      <w:r>
        <w:t xml:space="preserve"> prior cytotoxic c</w:t>
      </w:r>
      <w:r w:rsidR="00AE5AC0">
        <w:t>hemotherapy-containing regimens.</w:t>
      </w:r>
    </w:p>
    <w:p w14:paraId="092EAFF8" w14:textId="382CC1B4" w:rsidR="00DC023E" w:rsidRDefault="00DC023E" w:rsidP="00DC023E">
      <w:pPr>
        <w:pStyle w:val="ListBullet"/>
      </w:pPr>
      <w:r>
        <w:t xml:space="preserve">Must have had a prior </w:t>
      </w:r>
      <w:proofErr w:type="spellStart"/>
      <w:r>
        <w:t>taxane</w:t>
      </w:r>
      <w:proofErr w:type="spellEnd"/>
      <w:r>
        <w:t xml:space="preserve"> or </w:t>
      </w:r>
      <w:proofErr w:type="spellStart"/>
      <w:r>
        <w:t>anthracycline</w:t>
      </w:r>
      <w:proofErr w:type="spellEnd"/>
      <w:r>
        <w:t xml:space="preserve"> in the </w:t>
      </w:r>
      <w:proofErr w:type="spellStart"/>
      <w:r>
        <w:t>neoadjuvant</w:t>
      </w:r>
      <w:proofErr w:type="spellEnd"/>
      <w:r>
        <w:t>, adjuvant, locally advanced or metastatic setting unless medically contraindicated</w:t>
      </w:r>
      <w:r w:rsidR="00AE5AC0">
        <w:t>.</w:t>
      </w:r>
    </w:p>
    <w:p w14:paraId="5F216182" w14:textId="73BEB313" w:rsidR="00DC023E" w:rsidRDefault="00DC023E" w:rsidP="00DC023E">
      <w:pPr>
        <w:pStyle w:val="ListBullet"/>
      </w:pPr>
      <w:r>
        <w:t>Evaluable disease (RECIST 1.1)</w:t>
      </w:r>
      <w:r w:rsidR="00AE5AC0">
        <w:t>.</w:t>
      </w:r>
    </w:p>
    <w:p w14:paraId="15E2DACE" w14:textId="258C0253" w:rsidR="00DC023E" w:rsidRDefault="00DC023E" w:rsidP="00DC023E">
      <w:pPr>
        <w:pStyle w:val="ListBullet"/>
      </w:pPr>
      <w:r>
        <w:t>Adequate bone marrow and organ function</w:t>
      </w:r>
      <w:r w:rsidR="00AE5AC0">
        <w:t>.</w:t>
      </w:r>
    </w:p>
    <w:p w14:paraId="3AF0BBD8" w14:textId="77777777" w:rsidR="00DC023E" w:rsidRDefault="00DC023E" w:rsidP="00DC023E">
      <w:r>
        <w:t>Exclusion criteria (abridged):</w:t>
      </w:r>
    </w:p>
    <w:p w14:paraId="40633159" w14:textId="08C5F6F3" w:rsidR="00DC023E" w:rsidRDefault="00DC023E" w:rsidP="00DC023E">
      <w:pPr>
        <w:pStyle w:val="ListBullet"/>
      </w:pPr>
      <w:r>
        <w:t xml:space="preserve">Prior treatment with a PARP inhibitor other than </w:t>
      </w:r>
      <w:proofErr w:type="spellStart"/>
      <w:r>
        <w:t>iniparib</w:t>
      </w:r>
      <w:proofErr w:type="spellEnd"/>
      <w:r w:rsidR="00AE5AC0">
        <w:t>.</w:t>
      </w:r>
    </w:p>
    <w:p w14:paraId="3869020B" w14:textId="0BA6E24F" w:rsidR="00DC023E" w:rsidRDefault="00DC023E" w:rsidP="00DC023E">
      <w:pPr>
        <w:pStyle w:val="ListBullet"/>
      </w:pPr>
      <w:r>
        <w:t>Active inflammatory breast cancer</w:t>
      </w:r>
      <w:r w:rsidR="00AE5AC0">
        <w:t>.</w:t>
      </w:r>
    </w:p>
    <w:p w14:paraId="2F802A40" w14:textId="45EAA0BF" w:rsidR="00DC023E" w:rsidRDefault="00DC023E" w:rsidP="00DC023E">
      <w:pPr>
        <w:pStyle w:val="ListBullet"/>
      </w:pPr>
      <w:r>
        <w:t xml:space="preserve">Patient </w:t>
      </w:r>
      <w:proofErr w:type="gramStart"/>
      <w:r>
        <w:t>wouldn’t</w:t>
      </w:r>
      <w:proofErr w:type="gramEnd"/>
      <w:r>
        <w:t xml:space="preserve"> be a candidate for any of the comparator regimens</w:t>
      </w:r>
      <w:r w:rsidR="00AE5AC0">
        <w:t>.</w:t>
      </w:r>
    </w:p>
    <w:p w14:paraId="62E1B350" w14:textId="7EFA6F2B" w:rsidR="00DC023E" w:rsidRDefault="00DC023E" w:rsidP="00DC023E">
      <w:pPr>
        <w:pStyle w:val="ListBullet"/>
      </w:pPr>
      <w:r>
        <w:t>Progression on prior platinum in the metastatic setting, unless low dose in combination with radiation therapy</w:t>
      </w:r>
      <w:r w:rsidR="00AE5AC0">
        <w:t>.</w:t>
      </w:r>
    </w:p>
    <w:p w14:paraId="07A8EAA5" w14:textId="4188545E" w:rsidR="00DC023E" w:rsidRDefault="00DC023E" w:rsidP="00DC023E">
      <w:pPr>
        <w:pStyle w:val="ListBullet"/>
      </w:pPr>
      <w:r>
        <w:lastRenderedPageBreak/>
        <w:t xml:space="preserve">Prior platinum in the </w:t>
      </w:r>
      <w:proofErr w:type="spellStart"/>
      <w:r>
        <w:t>neoadjuvant</w:t>
      </w:r>
      <w:proofErr w:type="spellEnd"/>
      <w:r>
        <w:t xml:space="preserve"> or adjuvant setting, unless relapse occurred later than 6 mon</w:t>
      </w:r>
      <w:r w:rsidR="00AE5AC0">
        <w:t>ths after last dose of platinum.</w:t>
      </w:r>
    </w:p>
    <w:p w14:paraId="763E629A" w14:textId="42934F20" w:rsidR="00DC023E" w:rsidRDefault="00DC023E" w:rsidP="00DC023E">
      <w:pPr>
        <w:pStyle w:val="ListBullet"/>
      </w:pPr>
      <w:r>
        <w:t>Recent (14 days) anticancer therapy (radiation, endocrine, targeted or cytotoxic), investig</w:t>
      </w:r>
      <w:r w:rsidR="00AE5AC0">
        <w:t>ational therapy, major surgery.</w:t>
      </w:r>
    </w:p>
    <w:p w14:paraId="5259A3A8" w14:textId="472B4971" w:rsidR="00DC023E" w:rsidRDefault="00DC023E" w:rsidP="00DC023E">
      <w:pPr>
        <w:pStyle w:val="ListBullet"/>
      </w:pPr>
      <w:r>
        <w:t>Unresolved, important toxicity of prior treatments including radiotherapy</w:t>
      </w:r>
      <w:r w:rsidR="00AE5AC0">
        <w:t>.</w:t>
      </w:r>
    </w:p>
    <w:p w14:paraId="53E84BA8" w14:textId="02CAAEBA" w:rsidR="00DC023E" w:rsidRDefault="00DC023E" w:rsidP="00DC023E">
      <w:pPr>
        <w:pStyle w:val="ListBullet"/>
      </w:pPr>
      <w:r>
        <w:t xml:space="preserve">Prior malignancy with reasonable possibility of recurrence (specific criteria for </w:t>
      </w:r>
      <w:proofErr w:type="gramStart"/>
      <w:r>
        <w:t>same</w:t>
      </w:r>
      <w:proofErr w:type="gramEnd"/>
      <w:r>
        <w:t>)</w:t>
      </w:r>
      <w:r w:rsidR="00AE5AC0">
        <w:t>.</w:t>
      </w:r>
    </w:p>
    <w:p w14:paraId="11AB4DE4" w14:textId="6712907F" w:rsidR="00DC023E" w:rsidRDefault="008D6950" w:rsidP="00DC023E">
      <w:pPr>
        <w:pStyle w:val="ListBullet"/>
      </w:pPr>
      <w:r>
        <w:t>Central nervous system (</w:t>
      </w:r>
      <w:r w:rsidR="00DC023E">
        <w:t>CNS</w:t>
      </w:r>
      <w:r>
        <w:t>)</w:t>
      </w:r>
      <w:r w:rsidR="00DC023E">
        <w:t xml:space="preserve"> disease except stable metastases not requiring significant corticosteroid management</w:t>
      </w:r>
      <w:r w:rsidR="00AE5AC0">
        <w:t>.</w:t>
      </w:r>
    </w:p>
    <w:p w14:paraId="73D7DFD8" w14:textId="6B789144" w:rsidR="00DC023E" w:rsidRDefault="00DC023E" w:rsidP="00DC023E">
      <w:pPr>
        <w:pStyle w:val="ListBullet"/>
      </w:pPr>
      <w:r>
        <w:t xml:space="preserve">Known </w:t>
      </w:r>
      <w:r w:rsidR="00AE5AC0">
        <w:t>human immunodeficiency virus (</w:t>
      </w:r>
      <w:r>
        <w:t>HIV</w:t>
      </w:r>
      <w:r w:rsidR="00AE5AC0">
        <w:t>)</w:t>
      </w:r>
      <w:r>
        <w:t>, active Hep</w:t>
      </w:r>
      <w:r w:rsidR="00AE5AC0">
        <w:t xml:space="preserve">atitis </w:t>
      </w:r>
      <w:r>
        <w:t>B or Hep</w:t>
      </w:r>
      <w:r w:rsidR="00AE5AC0">
        <w:t xml:space="preserve">atitis </w:t>
      </w:r>
      <w:r>
        <w:t>C</w:t>
      </w:r>
      <w:r w:rsidR="00AE5AC0">
        <w:t>.</w:t>
      </w:r>
    </w:p>
    <w:p w14:paraId="3BB34E44" w14:textId="5B0A2004" w:rsidR="00DC023E" w:rsidRDefault="00DC023E" w:rsidP="00DC023E">
      <w:pPr>
        <w:pStyle w:val="ListBullet"/>
      </w:pPr>
      <w:r>
        <w:t xml:space="preserve">Significant cardiac disease (specific criteria for </w:t>
      </w:r>
      <w:proofErr w:type="gramStart"/>
      <w:r>
        <w:t>same</w:t>
      </w:r>
      <w:proofErr w:type="gramEnd"/>
      <w:r>
        <w:t>)</w:t>
      </w:r>
      <w:r w:rsidR="00AE5AC0">
        <w:t>.</w:t>
      </w:r>
    </w:p>
    <w:p w14:paraId="68CE56A6" w14:textId="7BB6B0E0" w:rsidR="00DC023E" w:rsidRDefault="00DC023E" w:rsidP="00DC023E">
      <w:pPr>
        <w:pStyle w:val="ListBullet"/>
      </w:pPr>
      <w:r>
        <w:t>Concurrent conditions that may interfere (active infection, coagulopathies, non-healing wound or ulcer)</w:t>
      </w:r>
      <w:r w:rsidR="00AE5AC0">
        <w:t>.</w:t>
      </w:r>
    </w:p>
    <w:p w14:paraId="5F8B5F71" w14:textId="595A5DC8" w:rsidR="00DC023E" w:rsidRDefault="00DC023E" w:rsidP="00DC023E">
      <w:pPr>
        <w:pStyle w:val="ListBullet"/>
      </w:pPr>
      <w:r>
        <w:t>Pregnancy, lactating, or lack of sufficient contraception</w:t>
      </w:r>
      <w:r w:rsidR="00AE5AC0">
        <w:t>.</w:t>
      </w:r>
    </w:p>
    <w:p w14:paraId="2D9A0079" w14:textId="04B20188" w:rsidR="00DC023E" w:rsidRDefault="00DC023E" w:rsidP="00DC023E">
      <w:r>
        <w:t>Locations: 145 sites, across 16 countries (USA, Belgium, France, Germany, Ireland, Italy, Poland, Spain, UK, Russia, Ukraine, Israel, Australia, Brazil, South Korea, and Taiwan).</w:t>
      </w:r>
    </w:p>
    <w:p w14:paraId="0BEF5CF0" w14:textId="5BE5C87A" w:rsidR="00DC023E" w:rsidRDefault="00DC023E" w:rsidP="00DC023E">
      <w:r>
        <w:t xml:space="preserve">Dates: recruitment commenced October 2013. Data cut-off </w:t>
      </w:r>
      <w:r w:rsidR="00180AB7">
        <w:t xml:space="preserve">(DCO) </w:t>
      </w:r>
      <w:r>
        <w:t>for primary analysis 15 Sept</w:t>
      </w:r>
      <w:r w:rsidR="00CB20EC">
        <w:t>ember</w:t>
      </w:r>
      <w:r>
        <w:t xml:space="preserve"> 2017. Survival follow-up ongoing.</w:t>
      </w:r>
    </w:p>
    <w:p w14:paraId="78CD101B" w14:textId="77777777" w:rsidR="00DC023E" w:rsidRDefault="00DC023E" w:rsidP="00DC023E">
      <w:r w:rsidRPr="00CB20EC">
        <w:rPr>
          <w:i/>
        </w:rPr>
        <w:t>In vitro</w:t>
      </w:r>
      <w:r>
        <w:t xml:space="preserve"> diagnostic testing for BRCA:</w:t>
      </w:r>
    </w:p>
    <w:p w14:paraId="6DEFC4BE" w14:textId="3F3B390C" w:rsidR="00DC023E" w:rsidRDefault="00CB20EC" w:rsidP="00FD3A41">
      <w:pPr>
        <w:pStyle w:val="ListBullet"/>
      </w:pPr>
      <w:r>
        <w:t xml:space="preserve">408 out of </w:t>
      </w:r>
      <w:r w:rsidR="00DC023E">
        <w:t>431 (94.7%) were prospectively and centrally tested using a clinical trial assay for BRCA</w:t>
      </w:r>
      <w:r>
        <w:t>:</w:t>
      </w:r>
    </w:p>
    <w:p w14:paraId="225BA908" w14:textId="482688C8" w:rsidR="00DC023E" w:rsidRDefault="00DC023E" w:rsidP="00FD3A41">
      <w:pPr>
        <w:pStyle w:val="ListBullet2"/>
      </w:pPr>
      <w:r>
        <w:t>354 (82%) were tested or retested with the Quality System Regulations (QS</w:t>
      </w:r>
      <w:r w:rsidR="00CB20EC">
        <w:t>R) version, that is,</w:t>
      </w:r>
      <w:r>
        <w:t xml:space="preserve"> </w:t>
      </w:r>
      <w:proofErr w:type="spellStart"/>
      <w:r>
        <w:t>BRACAnalysis</w:t>
      </w:r>
      <w:proofErr w:type="spellEnd"/>
      <w:r>
        <w:t>, which was registered as the companion diagnostic in the USA</w:t>
      </w:r>
      <w:r w:rsidR="00CB20EC">
        <w:t>.</w:t>
      </w:r>
    </w:p>
    <w:p w14:paraId="3170630F" w14:textId="7D035058" w:rsidR="00DC023E" w:rsidRDefault="00DC023E" w:rsidP="00FD3A41">
      <w:pPr>
        <w:pStyle w:val="ListBullet2"/>
      </w:pPr>
      <w:proofErr w:type="gramStart"/>
      <w:r>
        <w:t>54</w:t>
      </w:r>
      <w:proofErr w:type="gramEnd"/>
      <w:r>
        <w:t xml:space="preserve"> patients were centrally tested only with the Clinical Laboratory Improvement Amendments (CLIA) versi</w:t>
      </w:r>
      <w:r w:rsidR="00CB20EC">
        <w:t>on of the clinical trial assay.</w:t>
      </w:r>
    </w:p>
    <w:p w14:paraId="3F951768" w14:textId="62272BA8" w:rsidR="00DC023E" w:rsidRDefault="00CB20EC" w:rsidP="00FD3A41">
      <w:pPr>
        <w:pStyle w:val="ListBullet"/>
      </w:pPr>
      <w:r>
        <w:t xml:space="preserve">23 out of </w:t>
      </w:r>
      <w:r w:rsidR="00DC023E">
        <w:t>431 (5.3%) were intended for the same central analysis but this was not possible due to process problems (sample storage)</w:t>
      </w:r>
      <w:r>
        <w:t>;</w:t>
      </w:r>
    </w:p>
    <w:p w14:paraId="55AFCC45" w14:textId="4F979245" w:rsidR="00DC023E" w:rsidRDefault="00DC023E" w:rsidP="00FD3A41">
      <w:pPr>
        <w:pStyle w:val="ListBullet2"/>
      </w:pPr>
      <w:proofErr w:type="gramStart"/>
      <w:r>
        <w:t>16</w:t>
      </w:r>
      <w:proofErr w:type="gramEnd"/>
      <w:r>
        <w:t xml:space="preserve"> had retrospective</w:t>
      </w:r>
      <w:r w:rsidR="00CB20EC">
        <w:t xml:space="preserve"> </w:t>
      </w:r>
      <w:proofErr w:type="spellStart"/>
      <w:r w:rsidR="00CB20EC">
        <w:t>BRACAnalysis</w:t>
      </w:r>
      <w:proofErr w:type="spellEnd"/>
      <w:r w:rsidR="00CB20EC">
        <w:t xml:space="preserve"> results available.</w:t>
      </w:r>
    </w:p>
    <w:p w14:paraId="543C4496" w14:textId="2D40C176" w:rsidR="00DC023E" w:rsidRDefault="00DC023E" w:rsidP="00FD3A41">
      <w:pPr>
        <w:pStyle w:val="ListBullet2"/>
      </w:pPr>
      <w:r>
        <w:t>7 (1.6% of the total enrolled population) had</w:t>
      </w:r>
      <w:r w:rsidR="00CB20EC">
        <w:t xml:space="preserve"> a positive BRCA result per non</w:t>
      </w:r>
      <w:r w:rsidR="00CB20EC">
        <w:noBreakHyphen/>
      </w:r>
      <w:proofErr w:type="spellStart"/>
      <w:r>
        <w:t>BRACAnalysis</w:t>
      </w:r>
      <w:proofErr w:type="spellEnd"/>
      <w:r>
        <w:t xml:space="preserve"> local testing:</w:t>
      </w:r>
    </w:p>
    <w:p w14:paraId="2720204F" w14:textId="6B28573E" w:rsidR="00DC023E" w:rsidRDefault="00DC023E" w:rsidP="00FD3A41">
      <w:pPr>
        <w:pStyle w:val="ListBullet3"/>
      </w:pPr>
      <w:proofErr w:type="gramStart"/>
      <w:r>
        <w:t>5</w:t>
      </w:r>
      <w:proofErr w:type="gramEnd"/>
      <w:r>
        <w:t xml:space="preserve"> hospital lab-developed tests</w:t>
      </w:r>
      <w:r w:rsidR="00CB20EC">
        <w:t>.</w:t>
      </w:r>
    </w:p>
    <w:p w14:paraId="16844D2B" w14:textId="4CAE182D" w:rsidR="00DC023E" w:rsidRDefault="00CB20EC" w:rsidP="00165090">
      <w:pPr>
        <w:pStyle w:val="ListBullet3"/>
      </w:pPr>
      <w:proofErr w:type="gramStart"/>
      <w:r>
        <w:t>1</w:t>
      </w:r>
      <w:proofErr w:type="gramEnd"/>
      <w:r>
        <w:t xml:space="preserve"> Foundation Medicine.</w:t>
      </w:r>
    </w:p>
    <w:p w14:paraId="6C91359F" w14:textId="73060E2D" w:rsidR="00DC023E" w:rsidRDefault="00DC023E" w:rsidP="00FD3A41">
      <w:pPr>
        <w:pStyle w:val="ListBullet3"/>
      </w:pPr>
      <w:proofErr w:type="gramStart"/>
      <w:r>
        <w:t>1</w:t>
      </w:r>
      <w:proofErr w:type="gramEnd"/>
      <w:r>
        <w:t xml:space="preserve"> Ambry Genetics</w:t>
      </w:r>
      <w:r w:rsidR="00CB20EC">
        <w:t>.</w:t>
      </w:r>
    </w:p>
    <w:p w14:paraId="0601999C" w14:textId="02D12F72" w:rsidR="00DC023E" w:rsidRDefault="00DC023E" w:rsidP="00DC023E">
      <w:r>
        <w:t>Of the 431 patients randomised in the EMBRACA</w:t>
      </w:r>
      <w:r w:rsidR="00520FF6">
        <w:t xml:space="preserve"> </w:t>
      </w:r>
      <w:r w:rsidR="006E21D7">
        <w:t>trial</w:t>
      </w:r>
      <w:r>
        <w:t>, 408 (95%) were centrally confirmed to have a deleterious or suspected deleterious germline BRCA mutation using a clinical trial assay; out of which 354 (82%) were confi</w:t>
      </w:r>
      <w:r w:rsidR="00CB20EC">
        <w:t xml:space="preserve">rmed using the </w:t>
      </w:r>
      <w:proofErr w:type="spellStart"/>
      <w:r w:rsidR="00CB20EC">
        <w:t>BRACAnalysis</w:t>
      </w:r>
      <w:proofErr w:type="spellEnd"/>
      <w:r w:rsidR="00CB20EC">
        <w:t xml:space="preserve"> </w:t>
      </w:r>
      <w:proofErr w:type="spellStart"/>
      <w:r w:rsidR="00CB20EC">
        <w:t>CDx</w:t>
      </w:r>
      <w:proofErr w:type="spellEnd"/>
      <w:r>
        <w:t>.</w:t>
      </w:r>
    </w:p>
    <w:p w14:paraId="458DCF8E" w14:textId="4BC3A5BE" w:rsidR="00FD3A41" w:rsidRPr="006E21D7" w:rsidRDefault="006E21D7" w:rsidP="00520FF6">
      <w:pPr>
        <w:pStyle w:val="Heading6"/>
      </w:pPr>
      <w:r>
        <w:t>Study treatments</w:t>
      </w:r>
    </w:p>
    <w:p w14:paraId="2A44DA4F" w14:textId="1D98E4EA" w:rsidR="00FD3A41" w:rsidRDefault="00FD3A41" w:rsidP="00FD3A41">
      <w:r>
        <w:t>Intervention (n = 287):</w:t>
      </w:r>
    </w:p>
    <w:p w14:paraId="2E77D9C6" w14:textId="1BA638B3" w:rsidR="00FD3A41" w:rsidRDefault="00FD3A41" w:rsidP="00FD3A41">
      <w:pPr>
        <w:pStyle w:val="ListBullet"/>
      </w:pPr>
      <w:proofErr w:type="spellStart"/>
      <w:r>
        <w:t>Talazoparib</w:t>
      </w:r>
      <w:proofErr w:type="spellEnd"/>
      <w:r>
        <w:t xml:space="preserve"> 1 mg </w:t>
      </w:r>
      <w:r w:rsidR="00CB20EC">
        <w:t>by mouth (</w:t>
      </w:r>
      <w:r>
        <w:t>PO</w:t>
      </w:r>
      <w:r w:rsidR="00CB20EC">
        <w:t>)</w:t>
      </w:r>
      <w:r>
        <w:t xml:space="preserve"> daily.</w:t>
      </w:r>
    </w:p>
    <w:p w14:paraId="24FCE805" w14:textId="4909E786" w:rsidR="00FD3A41" w:rsidRDefault="00FD3A41" w:rsidP="00FD3A41">
      <w:pPr>
        <w:pStyle w:val="ListBullet"/>
      </w:pPr>
      <w:r>
        <w:t>Dose reductions permitted: by 0.25 mg daily per reduction level</w:t>
      </w:r>
      <w:r w:rsidR="00CB20EC">
        <w:t>.</w:t>
      </w:r>
    </w:p>
    <w:p w14:paraId="155DD093" w14:textId="7C150EA2" w:rsidR="00FD3A41" w:rsidRDefault="00FD3A41" w:rsidP="00165090">
      <w:r>
        <w:t>Comparator (n = 144)</w:t>
      </w:r>
    </w:p>
    <w:p w14:paraId="4B175930" w14:textId="565B2FAD" w:rsidR="00FD3A41" w:rsidRDefault="00FD3A41" w:rsidP="00FD3A41">
      <w:r>
        <w:lastRenderedPageBreak/>
        <w:t>PCT</w:t>
      </w:r>
      <w:r w:rsidR="00A23E27">
        <w:t>;</w:t>
      </w:r>
      <w:r w:rsidR="00A23E27">
        <w:rPr>
          <w:rStyle w:val="FootnoteReference"/>
        </w:rPr>
        <w:footnoteReference w:id="8"/>
      </w:r>
      <w:r>
        <w:t xml:space="preserve"> consisting of one of:</w:t>
      </w:r>
    </w:p>
    <w:p w14:paraId="59C572B5" w14:textId="43184CDD" w:rsidR="00FD3A41" w:rsidRDefault="00FD3A41" w:rsidP="00FD3A41">
      <w:pPr>
        <w:pStyle w:val="ListBullet"/>
      </w:pPr>
      <w:proofErr w:type="spellStart"/>
      <w:r>
        <w:t>Capecitabine</w:t>
      </w:r>
      <w:proofErr w:type="spellEnd"/>
      <w:r>
        <w:t xml:space="preserve"> 1250 mg/m</w:t>
      </w:r>
      <w:r w:rsidRPr="00CB20EC">
        <w:rPr>
          <w:vertAlign w:val="superscript"/>
        </w:rPr>
        <w:t>2</w:t>
      </w:r>
      <w:r>
        <w:t xml:space="preserve"> PO </w:t>
      </w:r>
      <w:r w:rsidR="00CB20EC">
        <w:t>twice daily (</w:t>
      </w:r>
      <w:r>
        <w:t>B</w:t>
      </w:r>
      <w:r w:rsidR="00CB20EC">
        <w:t>I</w:t>
      </w:r>
      <w:r>
        <w:t>D</w:t>
      </w:r>
      <w:r w:rsidR="00CB20EC">
        <w:t>)</w:t>
      </w:r>
      <w:r>
        <w:t xml:space="preserve"> for 14 days, repeated every 21 days</w:t>
      </w:r>
      <w:r w:rsidR="00CB20EC">
        <w:t>.</w:t>
      </w:r>
    </w:p>
    <w:p w14:paraId="06CE75A8" w14:textId="7061195C" w:rsidR="00FD3A41" w:rsidRDefault="00FD3A41" w:rsidP="00FD3A41">
      <w:pPr>
        <w:pStyle w:val="ListBullet"/>
      </w:pPr>
      <w:proofErr w:type="spellStart"/>
      <w:r>
        <w:t>Eribulin</w:t>
      </w:r>
      <w:proofErr w:type="spellEnd"/>
      <w:r>
        <w:t xml:space="preserve"> </w:t>
      </w:r>
      <w:proofErr w:type="spellStart"/>
      <w:r>
        <w:t>mesylate</w:t>
      </w:r>
      <w:proofErr w:type="spellEnd"/>
      <w:r>
        <w:t xml:space="preserve"> 1.4 mg/m</w:t>
      </w:r>
      <w:r w:rsidRPr="00CB20EC">
        <w:rPr>
          <w:vertAlign w:val="superscript"/>
        </w:rPr>
        <w:t>2</w:t>
      </w:r>
      <w:r>
        <w:t xml:space="preserve"> </w:t>
      </w:r>
      <w:r w:rsidR="00795182">
        <w:t>intravenously (</w:t>
      </w:r>
      <w:r>
        <w:t>IV</w:t>
      </w:r>
      <w:r w:rsidR="00795182">
        <w:t>)</w:t>
      </w:r>
      <w:r>
        <w:t xml:space="preserve"> on Day 1 and Day 8, repeated every 21 days</w:t>
      </w:r>
      <w:r w:rsidR="00CB20EC">
        <w:t>.</w:t>
      </w:r>
    </w:p>
    <w:p w14:paraId="398450B9" w14:textId="086909B6" w:rsidR="00FD3A41" w:rsidRDefault="00FD3A41" w:rsidP="00FD3A41">
      <w:pPr>
        <w:pStyle w:val="ListBullet"/>
      </w:pPr>
      <w:r>
        <w:t>Gemcitabine 1250</w:t>
      </w:r>
      <w:r w:rsidR="00CB20EC">
        <w:t xml:space="preserve"> </w:t>
      </w:r>
      <w:r>
        <w:t>mg/m</w:t>
      </w:r>
      <w:r w:rsidRPr="00CB20EC">
        <w:rPr>
          <w:vertAlign w:val="superscript"/>
        </w:rPr>
        <w:t>2</w:t>
      </w:r>
      <w:r>
        <w:t xml:space="preserve"> IV on Day 1 and Day 8, repeated every 21 days</w:t>
      </w:r>
      <w:r w:rsidR="00CB20EC">
        <w:t>.</w:t>
      </w:r>
    </w:p>
    <w:p w14:paraId="2419A6DF" w14:textId="56A0DEE7" w:rsidR="00FD3A41" w:rsidRDefault="00FD3A41" w:rsidP="00FD3A41">
      <w:pPr>
        <w:pStyle w:val="ListBullet"/>
      </w:pPr>
      <w:proofErr w:type="spellStart"/>
      <w:r>
        <w:t>Vinorelbine</w:t>
      </w:r>
      <w:proofErr w:type="spellEnd"/>
      <w:r>
        <w:t xml:space="preserve"> 30 mg/m</w:t>
      </w:r>
      <w:r w:rsidRPr="00CB20EC">
        <w:rPr>
          <w:vertAlign w:val="superscript"/>
        </w:rPr>
        <w:t>2</w:t>
      </w:r>
      <w:r>
        <w:t xml:space="preserve"> IV on Day 1, 8 and 15, repeated every 21 days</w:t>
      </w:r>
      <w:r w:rsidR="00CB20EC">
        <w:t>.</w:t>
      </w:r>
    </w:p>
    <w:p w14:paraId="07236E70" w14:textId="77777777" w:rsidR="00FD3A41" w:rsidRDefault="00FD3A41" w:rsidP="00FD3A41">
      <w:r>
        <w:t>Dose modifications permitted per product information.</w:t>
      </w:r>
    </w:p>
    <w:p w14:paraId="2D26C52D" w14:textId="1476A872" w:rsidR="00FD3A41" w:rsidRDefault="00FD3A41" w:rsidP="00FD3A41">
      <w:r>
        <w:t xml:space="preserve">Crossover </w:t>
      </w:r>
      <w:proofErr w:type="gramStart"/>
      <w:r>
        <w:t>was not permitted</w:t>
      </w:r>
      <w:proofErr w:type="gramEnd"/>
      <w:r>
        <w:t>.</w:t>
      </w:r>
    </w:p>
    <w:p w14:paraId="43672763" w14:textId="77777777" w:rsidR="00FD3A41" w:rsidRDefault="00FD3A41" w:rsidP="00FD3A41">
      <w:r>
        <w:t>Concomitant therapies permitted in both arms:</w:t>
      </w:r>
    </w:p>
    <w:p w14:paraId="675EEB36" w14:textId="2674F6B0" w:rsidR="00FD3A41" w:rsidRDefault="00FD3A41" w:rsidP="00795182">
      <w:pPr>
        <w:pStyle w:val="ListBullet"/>
      </w:pPr>
      <w:r>
        <w:t>Supportive medications (prophylactically or th</w:t>
      </w:r>
      <w:r w:rsidR="00795182">
        <w:t xml:space="preserve">erapeutically) </w:t>
      </w:r>
      <w:proofErr w:type="gramStart"/>
      <w:r w:rsidR="00795182">
        <w:t>were allowed</w:t>
      </w:r>
      <w:proofErr w:type="gramEnd"/>
      <w:r w:rsidR="00795182">
        <w:t xml:space="preserve"> at the i</w:t>
      </w:r>
      <w:r>
        <w:t xml:space="preserve">nvestigator’s discretion, with the exception of </w:t>
      </w:r>
      <w:r w:rsidR="00795182">
        <w:t>g</w:t>
      </w:r>
      <w:r w:rsidR="00795182" w:rsidRPr="00795182">
        <w:t xml:space="preserve">ranulocyte-colony stimulating factor </w:t>
      </w:r>
      <w:r w:rsidR="00795182">
        <w:t xml:space="preserve">(G-CSF; </w:t>
      </w:r>
      <w:r>
        <w:t>rescue only).</w:t>
      </w:r>
    </w:p>
    <w:p w14:paraId="3F726630" w14:textId="135FF92F" w:rsidR="00FD3A41" w:rsidRDefault="00FD3A41" w:rsidP="00FD3A41">
      <w:pPr>
        <w:pStyle w:val="ListBullet"/>
      </w:pPr>
      <w:r>
        <w:t xml:space="preserve">Bisphosphonates or </w:t>
      </w:r>
      <w:proofErr w:type="spellStart"/>
      <w:r>
        <w:t>denosumab</w:t>
      </w:r>
      <w:proofErr w:type="spellEnd"/>
      <w:r>
        <w:t xml:space="preserve"> for treatment or prophylaxis of bone metastases </w:t>
      </w:r>
      <w:proofErr w:type="gramStart"/>
      <w:r>
        <w:t>was permitted</w:t>
      </w:r>
      <w:proofErr w:type="gramEnd"/>
      <w:r>
        <w:t>, per local standards of care.</w:t>
      </w:r>
    </w:p>
    <w:p w14:paraId="22C704AC" w14:textId="12A5910A" w:rsidR="00FD3A41" w:rsidRDefault="00FD3A41" w:rsidP="00165090">
      <w:pPr>
        <w:pStyle w:val="ListBullet"/>
      </w:pPr>
      <w:r>
        <w:t>Investigators were instructed to avoid use of strong (and use caution for other) P-</w:t>
      </w:r>
      <w:proofErr w:type="spellStart"/>
      <w:r>
        <w:t>gp</w:t>
      </w:r>
      <w:proofErr w:type="spellEnd"/>
      <w:r>
        <w:t xml:space="preserve"> inhibitors, P-</w:t>
      </w:r>
      <w:proofErr w:type="spellStart"/>
      <w:r>
        <w:t>g</w:t>
      </w:r>
      <w:r w:rsidR="00795182">
        <w:t>p</w:t>
      </w:r>
      <w:proofErr w:type="spellEnd"/>
      <w:r w:rsidR="00795182">
        <w:t xml:space="preserve"> inducers, or BCRP inhibitors.</w:t>
      </w:r>
    </w:p>
    <w:p w14:paraId="480B0E07" w14:textId="3FBEE25C" w:rsidR="00FD3A41" w:rsidRDefault="00FD3A41" w:rsidP="00165090">
      <w:pPr>
        <w:pStyle w:val="ListBullet"/>
      </w:pPr>
      <w:r>
        <w:t xml:space="preserve">External beam radiotherapy </w:t>
      </w:r>
      <w:proofErr w:type="gramStart"/>
      <w:r>
        <w:t>was allowed</w:t>
      </w:r>
      <w:proofErr w:type="gramEnd"/>
      <w:r>
        <w:t>, following consultation with the medical monitor.</w:t>
      </w:r>
    </w:p>
    <w:p w14:paraId="3AADBF27" w14:textId="43A1FB4E" w:rsidR="00DC023E" w:rsidRDefault="00FD3A41" w:rsidP="00FD3A41">
      <w:pPr>
        <w:pStyle w:val="ListBullet"/>
      </w:pPr>
      <w:r>
        <w:t xml:space="preserve">Surgery for metastatic lesions </w:t>
      </w:r>
      <w:proofErr w:type="gramStart"/>
      <w:r>
        <w:t>was permitted</w:t>
      </w:r>
      <w:proofErr w:type="gramEnd"/>
      <w:r>
        <w:t>, with study drug continuation if cl</w:t>
      </w:r>
      <w:r w:rsidR="00795182">
        <w:t xml:space="preserve">inical benefit was maintained. </w:t>
      </w:r>
      <w:proofErr w:type="gramStart"/>
      <w:r>
        <w:t>But</w:t>
      </w:r>
      <w:proofErr w:type="gramEnd"/>
      <w:r>
        <w:t xml:space="preserve"> if the target lesions were removed, subject was excluded from the measurable disease population.</w:t>
      </w:r>
    </w:p>
    <w:p w14:paraId="74C5CF07" w14:textId="657F78AD" w:rsidR="00FD3A41" w:rsidRDefault="006E21D7" w:rsidP="00520FF6">
      <w:pPr>
        <w:pStyle w:val="Heading6"/>
      </w:pPr>
      <w:r>
        <w:t>Study o</w:t>
      </w:r>
      <w:r w:rsidR="00FD3A41">
        <w:t>utcomes</w:t>
      </w:r>
    </w:p>
    <w:p w14:paraId="564642EE" w14:textId="7D57A992" w:rsidR="00FD3A41" w:rsidRDefault="00FD3A41" w:rsidP="00FD3A41">
      <w:r>
        <w:t>Endpoints:</w:t>
      </w:r>
      <w:r w:rsidR="006E21D7">
        <w:t xml:space="preserve"> tumour </w:t>
      </w:r>
      <w:r>
        <w:t xml:space="preserve">response assessments </w:t>
      </w:r>
      <w:proofErr w:type="gramStart"/>
      <w:r>
        <w:t>were made</w:t>
      </w:r>
      <w:proofErr w:type="gramEnd"/>
      <w:r>
        <w:t xml:space="preserve"> ac</w:t>
      </w:r>
      <w:r w:rsidR="00795182">
        <w:t>cording to modified RECIST 1.1</w:t>
      </w:r>
      <w:r w:rsidR="00A23E27">
        <w:t>;</w:t>
      </w:r>
      <w:r w:rsidR="00A23E27">
        <w:rPr>
          <w:rStyle w:val="FootnoteReference"/>
        </w:rPr>
        <w:footnoteReference w:id="9"/>
      </w:r>
    </w:p>
    <w:p w14:paraId="6082966D" w14:textId="47D62C55" w:rsidR="00FD3A41" w:rsidRDefault="00FD3A41" w:rsidP="00FD3A41">
      <w:pPr>
        <w:pStyle w:val="ListBullet"/>
      </w:pPr>
      <w:r>
        <w:t>Primary:</w:t>
      </w:r>
    </w:p>
    <w:p w14:paraId="0CD1B801" w14:textId="40675D21" w:rsidR="00FD3A41" w:rsidRDefault="00FD3A41" w:rsidP="00FD3A41">
      <w:pPr>
        <w:pStyle w:val="ListBullet2"/>
      </w:pPr>
      <w:r>
        <w:t>Progression-free survival (PFS) per blinded central review by independent radiology facility (IRF)</w:t>
      </w:r>
      <w:r w:rsidR="00CA15AD">
        <w:t>.</w:t>
      </w:r>
    </w:p>
    <w:p w14:paraId="648CC11F" w14:textId="712B4A76" w:rsidR="00FD3A41" w:rsidRDefault="00795182" w:rsidP="00FD3A41">
      <w:pPr>
        <w:pStyle w:val="ListBullet"/>
      </w:pPr>
      <w:r>
        <w:t>Secondary:</w:t>
      </w:r>
    </w:p>
    <w:p w14:paraId="06D9BC66" w14:textId="2472A53E" w:rsidR="00FD3A41" w:rsidRDefault="00FD3A41" w:rsidP="00FD3A41">
      <w:pPr>
        <w:pStyle w:val="ListBullet2"/>
      </w:pPr>
      <w:r>
        <w:t>OS</w:t>
      </w:r>
      <w:r w:rsidR="00CA15AD">
        <w:t>.</w:t>
      </w:r>
    </w:p>
    <w:p w14:paraId="6A1D4B60" w14:textId="11DB5249" w:rsidR="00FD3A41" w:rsidRDefault="00795182" w:rsidP="00FD3A41">
      <w:pPr>
        <w:pStyle w:val="ListBullet2"/>
      </w:pPr>
      <w:r>
        <w:t>ORR</w:t>
      </w:r>
      <w:r w:rsidR="00FD3A41">
        <w:t xml:space="preserve"> per investigator</w:t>
      </w:r>
      <w:r w:rsidR="00CA15AD">
        <w:t>.</w:t>
      </w:r>
    </w:p>
    <w:p w14:paraId="00E1962B" w14:textId="0DA57E8F" w:rsidR="00FD3A41" w:rsidRDefault="00FD3A41" w:rsidP="00FD3A41">
      <w:pPr>
        <w:pStyle w:val="ListBullet"/>
      </w:pPr>
      <w:r>
        <w:t>Exploratory:</w:t>
      </w:r>
    </w:p>
    <w:p w14:paraId="6ED5CDF6" w14:textId="1C3FC64F" w:rsidR="00FD3A41" w:rsidRDefault="00FD3A41" w:rsidP="00165090">
      <w:pPr>
        <w:pStyle w:val="ListBullet2"/>
      </w:pPr>
      <w:r>
        <w:t xml:space="preserve">Patient-reported outcomes (PRO). </w:t>
      </w:r>
      <w:r w:rsidR="00795182" w:rsidRPr="00795182">
        <w:t xml:space="preserve">European Organisation for Research and Treatment of Cancer </w:t>
      </w:r>
      <w:r w:rsidR="00301727">
        <w:t xml:space="preserve">(EORTC) questionnaires; </w:t>
      </w:r>
      <w:r>
        <w:t>E</w:t>
      </w:r>
      <w:r w:rsidR="00795182">
        <w:t>ORTC QLQ-C30 and EORTC QLQ-BR23.</w:t>
      </w:r>
    </w:p>
    <w:p w14:paraId="3111B5B8" w14:textId="68F0C74D" w:rsidR="00FD3A41" w:rsidRDefault="00FD3A41" w:rsidP="00FD3A41">
      <w:pPr>
        <w:pStyle w:val="ListBullet2"/>
      </w:pPr>
      <w:r>
        <w:t>Duration of response (DOR)</w:t>
      </w:r>
      <w:r w:rsidR="00CA15AD">
        <w:t>.</w:t>
      </w:r>
    </w:p>
    <w:p w14:paraId="0F752C6A" w14:textId="4EBD1B74" w:rsidR="00FD3A41" w:rsidRDefault="00FD3A41" w:rsidP="00165090">
      <w:pPr>
        <w:pStyle w:val="Heading6"/>
      </w:pPr>
      <w:r>
        <w:t>Analysis populations</w:t>
      </w:r>
    </w:p>
    <w:p w14:paraId="1D358672" w14:textId="135DF2B5" w:rsidR="00FD3A41" w:rsidRDefault="00FD3A41" w:rsidP="00AE5AC0">
      <w:pPr>
        <w:pStyle w:val="ListBullet"/>
      </w:pPr>
      <w:r>
        <w:t>Intent-to-treat (ITT) – all randomised patients</w:t>
      </w:r>
      <w:r w:rsidR="00795182">
        <w:t>.</w:t>
      </w:r>
    </w:p>
    <w:p w14:paraId="29739623" w14:textId="5C2595AD" w:rsidR="00FD3A41" w:rsidRDefault="00FD3A41" w:rsidP="00AE5AC0">
      <w:pPr>
        <w:pStyle w:val="ListBullet"/>
      </w:pPr>
      <w:r>
        <w:lastRenderedPageBreak/>
        <w:t>Safety population – all randomised patients who received any study drug (and per actual treatment received; not ITT)</w:t>
      </w:r>
      <w:r w:rsidR="00795182">
        <w:t>.</w:t>
      </w:r>
    </w:p>
    <w:p w14:paraId="6911B64B" w14:textId="1A04DD58" w:rsidR="00FD3A41" w:rsidRDefault="00FD3A41" w:rsidP="00AE5AC0">
      <w:pPr>
        <w:pStyle w:val="ListBullet"/>
      </w:pPr>
      <w:r>
        <w:t xml:space="preserve">PRO evaluable population – questionnaire completed at baseline </w:t>
      </w:r>
      <w:r w:rsidR="00AE5AC0">
        <w:t>and at least one post baseline.</w:t>
      </w:r>
    </w:p>
    <w:p w14:paraId="678B529B" w14:textId="57929D29" w:rsidR="00FD3A41" w:rsidRDefault="00FD3A41" w:rsidP="00165090">
      <w:pPr>
        <w:pStyle w:val="Heading6"/>
      </w:pPr>
      <w:r>
        <w:t>Statistical plan</w:t>
      </w:r>
    </w:p>
    <w:p w14:paraId="66ECEBB5" w14:textId="17633912" w:rsidR="00FD3A41" w:rsidRDefault="00FD3A41" w:rsidP="00795182">
      <w:pPr>
        <w:pStyle w:val="ListBullet"/>
      </w:pPr>
      <w:r>
        <w:t xml:space="preserve">The minimal clinically important difference for </w:t>
      </w:r>
      <w:r w:rsidR="00B16F8C">
        <w:t>hazard ratio (</w:t>
      </w:r>
      <w:r>
        <w:t>PFS) was 0.67.</w:t>
      </w:r>
    </w:p>
    <w:p w14:paraId="2A1B7212" w14:textId="7B229432" w:rsidR="00FD3A41" w:rsidRDefault="00FD3A41" w:rsidP="00795182">
      <w:pPr>
        <w:pStyle w:val="ListBullet"/>
      </w:pPr>
      <w:r>
        <w:t xml:space="preserve">Sample size: up to 429 patients, </w:t>
      </w:r>
      <w:r w:rsidR="00795182">
        <w:t>calculated for 90% power with 2-sided</w:t>
      </w:r>
      <w:r>
        <w:t xml:space="preserve"> alpha of 5% to detect a PFS </w:t>
      </w:r>
      <w:r w:rsidR="00B16F8C">
        <w:t xml:space="preserve">hazard ratio </w:t>
      </w:r>
      <w:r>
        <w:t xml:space="preserve">of 0.67 and 80% power with 2-sided alpha of 5% to detect a </w:t>
      </w:r>
      <w:r w:rsidR="00B16F8C">
        <w:t>hazard ratio</w:t>
      </w:r>
      <w:r>
        <w:t xml:space="preserve"> of 0.72. Primary analysis planned at approximately 288 PFS events, with descriptive interim analysis for OS. Final OS analysis at approximately 321 deaths.</w:t>
      </w:r>
    </w:p>
    <w:p w14:paraId="1CA1F70C" w14:textId="7C9A1B8F" w:rsidR="00FD3A41" w:rsidRDefault="00FD3A41" w:rsidP="00795182">
      <w:pPr>
        <w:pStyle w:val="ListBullet"/>
      </w:pPr>
      <w:r>
        <w:t>OS was the only endpoint other than PFS for which multi</w:t>
      </w:r>
      <w:r w:rsidR="00AE5AC0">
        <w:t xml:space="preserve">plicity adjustment </w:t>
      </w:r>
      <w:proofErr w:type="gramStart"/>
      <w:r w:rsidR="00AE5AC0">
        <w:t>was planned</w:t>
      </w:r>
      <w:proofErr w:type="gramEnd"/>
      <w:r w:rsidR="00AE5AC0">
        <w:t>.</w:t>
      </w:r>
    </w:p>
    <w:p w14:paraId="0C8F3B96" w14:textId="78B575F2" w:rsidR="00FD3A41" w:rsidRDefault="00FD3A41" w:rsidP="00FD3A41">
      <w:r>
        <w:t>Randomisation: 2:1</w:t>
      </w:r>
      <w:r w:rsidR="00795182">
        <w:t>.</w:t>
      </w:r>
    </w:p>
    <w:p w14:paraId="6DEDB41E" w14:textId="77777777" w:rsidR="00FD3A41" w:rsidRDefault="00FD3A41" w:rsidP="00FD3A41">
      <w:r>
        <w:t>Stratification by:</w:t>
      </w:r>
    </w:p>
    <w:p w14:paraId="5323DFCE" w14:textId="13CB9C3C" w:rsidR="00FD3A41" w:rsidRDefault="00FD3A41" w:rsidP="00AE5AC0">
      <w:pPr>
        <w:pStyle w:val="ListBullet"/>
      </w:pPr>
      <w:r>
        <w:t>Number of prior cytotoxic chemotherapy regimens for locally advanced and/or met</w:t>
      </w:r>
      <w:r w:rsidR="00B16F8C">
        <w:t>astatic disease (0 versus</w:t>
      </w:r>
      <w:r>
        <w:t xml:space="preserve"> 1, 2, or 3)</w:t>
      </w:r>
      <w:r w:rsidR="00CA15AD">
        <w:t>.</w:t>
      </w:r>
    </w:p>
    <w:p w14:paraId="224DB3E2" w14:textId="41BCA7F5" w:rsidR="00FD3A41" w:rsidRDefault="00FD3A41" w:rsidP="00AE5AC0">
      <w:pPr>
        <w:pStyle w:val="ListBullet"/>
      </w:pPr>
      <w:r>
        <w:t>TNBC bas</w:t>
      </w:r>
      <w:r w:rsidR="00CA15AD">
        <w:t>ed on most recent biopsy (yes versus</w:t>
      </w:r>
      <w:r>
        <w:t xml:space="preserve"> no)</w:t>
      </w:r>
      <w:r w:rsidR="00CA15AD">
        <w:t>.</w:t>
      </w:r>
    </w:p>
    <w:p w14:paraId="19FABAF9" w14:textId="021C9E9C" w:rsidR="00FD3A41" w:rsidRDefault="00FD3A41" w:rsidP="00AE5AC0">
      <w:pPr>
        <w:pStyle w:val="ListBullet"/>
      </w:pPr>
      <w:r>
        <w:t xml:space="preserve">History of </w:t>
      </w:r>
      <w:r w:rsidR="008D6950">
        <w:t>CNS</w:t>
      </w:r>
      <w:r w:rsidR="00CA15AD">
        <w:t xml:space="preserve"> metastases (yes versus</w:t>
      </w:r>
      <w:r>
        <w:t xml:space="preserve"> no)</w:t>
      </w:r>
      <w:r w:rsidR="00CA15AD">
        <w:t>.</w:t>
      </w:r>
    </w:p>
    <w:p w14:paraId="1FA50B43" w14:textId="200F841D" w:rsidR="00FD3A41" w:rsidRPr="00B84459" w:rsidRDefault="00FD3A41" w:rsidP="00FD3A41">
      <w:r>
        <w:t xml:space="preserve">Same stratification applied to log-rank test of PFS and Cox proportional hazards model used to derive </w:t>
      </w:r>
      <w:r w:rsidR="00B16F8C">
        <w:t>hazard ratios</w:t>
      </w:r>
      <w:r>
        <w:t>.</w:t>
      </w:r>
    </w:p>
    <w:p w14:paraId="4E8D1ED9" w14:textId="77777777" w:rsidR="00880FC7" w:rsidRDefault="00880FC7" w:rsidP="00CB6831">
      <w:r>
        <w:t>Commentary on trial design from the FDA reviewer included:</w:t>
      </w:r>
    </w:p>
    <w:p w14:paraId="16E557B5" w14:textId="3EBF374B" w:rsidR="00880FC7" w:rsidRDefault="00AE5AC0" w:rsidP="00CB6831">
      <w:pPr>
        <w:ind w:left="720"/>
      </w:pPr>
      <w:r>
        <w:t>‘</w:t>
      </w:r>
      <w:r w:rsidR="00880FC7">
        <w:t xml:space="preserve">The selected doses appear appropriate. The </w:t>
      </w:r>
      <w:proofErr w:type="spellStart"/>
      <w:r w:rsidR="00880FC7">
        <w:t>talazoparib</w:t>
      </w:r>
      <w:proofErr w:type="spellEnd"/>
      <w:r w:rsidR="00880FC7">
        <w:t xml:space="preserve"> dosage</w:t>
      </w:r>
      <w:r>
        <w:t xml:space="preserve"> is the dose selected from the Phase I</w:t>
      </w:r>
      <w:r w:rsidR="00880FC7">
        <w:t xml:space="preserve"> study. The doses for </w:t>
      </w:r>
      <w:proofErr w:type="spellStart"/>
      <w:r w:rsidR="00880FC7">
        <w:t>capecitabine</w:t>
      </w:r>
      <w:proofErr w:type="spellEnd"/>
      <w:r w:rsidR="00880FC7">
        <w:t xml:space="preserve"> and </w:t>
      </w:r>
      <w:proofErr w:type="spellStart"/>
      <w:r w:rsidR="00880FC7">
        <w:t>eribulin</w:t>
      </w:r>
      <w:proofErr w:type="spellEnd"/>
      <w:r w:rsidR="00880FC7">
        <w:t xml:space="preserve"> are the FDA-approved doses for advanced/metastatic breast cancer. Gemcitabine is FDA approved </w:t>
      </w:r>
      <w:proofErr w:type="gramStart"/>
      <w:r w:rsidR="00880FC7">
        <w:t xml:space="preserve">at the selected dose in combination with paclitaxel for </w:t>
      </w:r>
      <w:r w:rsidR="00795182">
        <w:t>metastatic breast cancer (</w:t>
      </w:r>
      <w:r w:rsidR="00880FC7">
        <w:t>MBC</w:t>
      </w:r>
      <w:r w:rsidR="00795182">
        <w:t>)</w:t>
      </w:r>
      <w:proofErr w:type="gramEnd"/>
      <w:r w:rsidR="00880FC7">
        <w:t>; however, single agent gemcitabine at the selected dose is listed as a treatment option in the NCCN Breast Cancer gui</w:t>
      </w:r>
      <w:r w:rsidR="00301727">
        <w:t xml:space="preserve">delines. </w:t>
      </w:r>
      <w:proofErr w:type="spellStart"/>
      <w:r w:rsidR="00301727">
        <w:t>Vinorelbine</w:t>
      </w:r>
      <w:proofErr w:type="spellEnd"/>
      <w:r w:rsidR="00301727">
        <w:t xml:space="preserve"> is not FDA</w:t>
      </w:r>
      <w:r w:rsidR="00301727">
        <w:noBreakHyphen/>
      </w:r>
      <w:r w:rsidR="00880FC7">
        <w:t xml:space="preserve">approved for use in breast cancer; however, single agent </w:t>
      </w:r>
      <w:proofErr w:type="spellStart"/>
      <w:r w:rsidR="00880FC7">
        <w:t>vinorelbine</w:t>
      </w:r>
      <w:proofErr w:type="spellEnd"/>
      <w:r w:rsidR="00880FC7">
        <w:t xml:space="preserve"> at the dose selected </w:t>
      </w:r>
      <w:proofErr w:type="gramStart"/>
      <w:r w:rsidR="00880FC7">
        <w:t>is often used</w:t>
      </w:r>
      <w:proofErr w:type="gramEnd"/>
      <w:r w:rsidR="00880FC7">
        <w:t xml:space="preserve"> in clinical practice and is listed as a treatment option in the NCCN Breast Cancer guidelines. During an End of Phase 2 (EOP2) Meeting (April 12, 2013), the choice </w:t>
      </w:r>
      <w:r w:rsidR="00301727">
        <w:t>of control arm agents for this Phase III</w:t>
      </w:r>
      <w:r w:rsidR="00880FC7">
        <w:t xml:space="preserve"> study was discussed and agreed by the agency.</w:t>
      </w:r>
    </w:p>
    <w:p w14:paraId="77626B4E" w14:textId="2E96FCD1" w:rsidR="00880FC7" w:rsidRDefault="008D6950" w:rsidP="00CB6831">
      <w:pPr>
        <w:ind w:left="720"/>
      </w:pPr>
      <w:r>
        <w:t>[</w:t>
      </w:r>
      <w:r w:rsidR="00880FC7">
        <w:t>…</w:t>
      </w:r>
      <w:r>
        <w:t>]</w:t>
      </w:r>
    </w:p>
    <w:p w14:paraId="15BB8427" w14:textId="1170826F" w:rsidR="00880FC7" w:rsidRDefault="00880FC7" w:rsidP="00CB6831">
      <w:pPr>
        <w:ind w:left="720"/>
      </w:pPr>
      <w:r>
        <w:t>Prior therapy with hormonal therapy was not required for patients with HR-positive disease.</w:t>
      </w:r>
      <w:r w:rsidR="00AE5AC0">
        <w:t>’</w:t>
      </w:r>
    </w:p>
    <w:p w14:paraId="55C98689" w14:textId="77777777" w:rsidR="00880FC7" w:rsidRPr="00CB6831" w:rsidRDefault="00880FC7" w:rsidP="00165090">
      <w:pPr>
        <w:pStyle w:val="Heading6"/>
      </w:pPr>
      <w:r w:rsidRPr="00CB6831">
        <w:t>Protocol amendments</w:t>
      </w:r>
    </w:p>
    <w:p w14:paraId="2F3B22B7" w14:textId="35D05047" w:rsidR="00880FC7" w:rsidRPr="00CA6321" w:rsidRDefault="00880FC7" w:rsidP="00CB6831">
      <w:r>
        <w:t>A major protocol amendment (Amendment 1) was finali</w:t>
      </w:r>
      <w:r w:rsidR="00795182">
        <w:t>sed in December 2015, after 184</w:t>
      </w:r>
      <w:r w:rsidR="00301727">
        <w:t> </w:t>
      </w:r>
      <w:r>
        <w:t xml:space="preserve">patients had been randomised (43% of the planned </w:t>
      </w:r>
      <w:proofErr w:type="gramStart"/>
      <w:r>
        <w:t>total of 429</w:t>
      </w:r>
      <w:proofErr w:type="gramEnd"/>
      <w:r>
        <w:t>). The amendment included the following changes:</w:t>
      </w:r>
    </w:p>
    <w:p w14:paraId="0AAFA45F" w14:textId="3F9149B4" w:rsidR="00880FC7" w:rsidRPr="00CA6321" w:rsidRDefault="00880FC7" w:rsidP="00CB6831">
      <w:pPr>
        <w:pStyle w:val="ListBullet"/>
        <w:rPr>
          <w:b/>
        </w:rPr>
      </w:pPr>
      <w:r>
        <w:t>C</w:t>
      </w:r>
      <w:r w:rsidR="00F94E2C">
        <w:t>hange of sponsor.</w:t>
      </w:r>
    </w:p>
    <w:p w14:paraId="0F41747B" w14:textId="0D6DC9ED" w:rsidR="00880FC7" w:rsidRPr="00E610F3" w:rsidRDefault="00880FC7" w:rsidP="00CB6831">
      <w:pPr>
        <w:pStyle w:val="ListBullet"/>
      </w:pPr>
      <w:r>
        <w:t xml:space="preserve">Allowed </w:t>
      </w:r>
      <w:proofErr w:type="gramStart"/>
      <w:r>
        <w:t>3</w:t>
      </w:r>
      <w:proofErr w:type="gramEnd"/>
      <w:r w:rsidRPr="00E610F3">
        <w:t xml:space="preserve"> prior cytotoxic regimens </w:t>
      </w:r>
      <w:r>
        <w:t>(previously 2)</w:t>
      </w:r>
      <w:r w:rsidR="00F94E2C">
        <w:t>.</w:t>
      </w:r>
    </w:p>
    <w:p w14:paraId="5D1E4D5A" w14:textId="64ECE626" w:rsidR="00880FC7" w:rsidRDefault="00880FC7" w:rsidP="00CB6831">
      <w:pPr>
        <w:pStyle w:val="ListBullet"/>
      </w:pPr>
      <w:r>
        <w:t xml:space="preserve">Allowed enrolment despite prior </w:t>
      </w:r>
      <w:proofErr w:type="spellStart"/>
      <w:r>
        <w:t>neoadjuvant</w:t>
      </w:r>
      <w:proofErr w:type="spellEnd"/>
      <w:r>
        <w:t xml:space="preserve"> or adjuvant platinum, as long as progression had not occurred within 6 months of last </w:t>
      </w:r>
      <w:r w:rsidR="00F94E2C">
        <w:t>dose of platinum (previously 12 </w:t>
      </w:r>
      <w:r>
        <w:t>months)</w:t>
      </w:r>
      <w:r w:rsidR="00F94E2C">
        <w:t>.</w:t>
      </w:r>
    </w:p>
    <w:p w14:paraId="6E8A5826" w14:textId="1C7CCBD4" w:rsidR="00880FC7" w:rsidRPr="00E610F3" w:rsidRDefault="00880FC7" w:rsidP="00CB6831">
      <w:pPr>
        <w:pStyle w:val="ListBullet"/>
      </w:pPr>
      <w:r>
        <w:lastRenderedPageBreak/>
        <w:t>Allowed patients with no</w:t>
      </w:r>
      <w:r w:rsidRPr="00E610F3">
        <w:t xml:space="preserve"> prior </w:t>
      </w:r>
      <w:proofErr w:type="spellStart"/>
      <w:r w:rsidRPr="00E610F3">
        <w:t>anthracycline</w:t>
      </w:r>
      <w:proofErr w:type="spellEnd"/>
      <w:r w:rsidRPr="00E610F3">
        <w:t>/</w:t>
      </w:r>
      <w:proofErr w:type="spellStart"/>
      <w:r w:rsidRPr="00E610F3">
        <w:t>taxane</w:t>
      </w:r>
      <w:proofErr w:type="spellEnd"/>
      <w:r>
        <w:t>,</w:t>
      </w:r>
      <w:r w:rsidRPr="00E610F3">
        <w:t xml:space="preserve"> </w:t>
      </w:r>
      <w:r>
        <w:t>as long as</w:t>
      </w:r>
      <w:r w:rsidRPr="00E610F3">
        <w:t xml:space="preserve"> use </w:t>
      </w:r>
      <w:proofErr w:type="gramStart"/>
      <w:r w:rsidRPr="00E610F3">
        <w:t>was medically</w:t>
      </w:r>
      <w:r>
        <w:t xml:space="preserve"> </w:t>
      </w:r>
      <w:r w:rsidRPr="00E610F3">
        <w:t>contraindicated</w:t>
      </w:r>
      <w:proofErr w:type="gramEnd"/>
      <w:r w:rsidR="00F94E2C">
        <w:t>.</w:t>
      </w:r>
    </w:p>
    <w:p w14:paraId="4C649D92" w14:textId="7742F94C" w:rsidR="00880FC7" w:rsidRPr="00E610F3" w:rsidRDefault="00880FC7" w:rsidP="00CB6831">
      <w:pPr>
        <w:pStyle w:val="ListBullet"/>
      </w:pPr>
      <w:r w:rsidRPr="00E610F3">
        <w:t>Allow</w:t>
      </w:r>
      <w:r>
        <w:t>ed</w:t>
      </w:r>
      <w:r w:rsidRPr="00E610F3">
        <w:t xml:space="preserve"> </w:t>
      </w:r>
      <w:r w:rsidRPr="00CA15AD">
        <w:rPr>
          <w:i/>
        </w:rPr>
        <w:t>de novo</w:t>
      </w:r>
      <w:r w:rsidRPr="00E610F3">
        <w:t xml:space="preserve"> </w:t>
      </w:r>
      <w:r>
        <w:t>metastatic</w:t>
      </w:r>
      <w:r w:rsidRPr="00E610F3">
        <w:t xml:space="preserve"> disease if the treatment plan involves a protocol-specified</w:t>
      </w:r>
      <w:r>
        <w:t xml:space="preserve"> PCT</w:t>
      </w:r>
      <w:r w:rsidR="00F94E2C">
        <w:t>.</w:t>
      </w:r>
    </w:p>
    <w:p w14:paraId="4AFDB5F1" w14:textId="6E88C6C3" w:rsidR="00880FC7" w:rsidRPr="00E610F3" w:rsidRDefault="00880FC7" w:rsidP="00F94E2C">
      <w:pPr>
        <w:pStyle w:val="ListBullet"/>
      </w:pPr>
      <w:r w:rsidRPr="00E610F3">
        <w:t>Allow</w:t>
      </w:r>
      <w:r>
        <w:t>ed</w:t>
      </w:r>
      <w:r w:rsidRPr="00E610F3">
        <w:t xml:space="preserve"> an </w:t>
      </w:r>
      <w:r w:rsidR="00F94E2C" w:rsidRPr="00F94E2C">
        <w:t xml:space="preserve">Eastern Cooperative Oncology Group </w:t>
      </w:r>
      <w:r w:rsidR="00F94E2C">
        <w:t>(</w:t>
      </w:r>
      <w:r w:rsidRPr="00E610F3">
        <w:t>ECOG</w:t>
      </w:r>
      <w:r w:rsidR="00F94E2C">
        <w:t>)</w:t>
      </w:r>
      <w:r w:rsidRPr="00E610F3">
        <w:t xml:space="preserve"> performance status score of </w:t>
      </w:r>
      <w:proofErr w:type="gramStart"/>
      <w:r w:rsidRPr="00E610F3">
        <w:t>2</w:t>
      </w:r>
      <w:proofErr w:type="gramEnd"/>
      <w:r w:rsidR="008D6950">
        <w:t>.</w:t>
      </w:r>
    </w:p>
    <w:p w14:paraId="0239B878" w14:textId="2130EA1F" w:rsidR="00880FC7" w:rsidRDefault="00CB6831" w:rsidP="00880FC7">
      <w:pPr>
        <w:pStyle w:val="Heading6"/>
      </w:pPr>
      <w:r>
        <w:t>Enrolled population</w:t>
      </w:r>
    </w:p>
    <w:p w14:paraId="7B6685DE" w14:textId="6B18A065" w:rsidR="00880FC7" w:rsidRDefault="00880FC7" w:rsidP="00165090">
      <w:r>
        <w:t>The distribution of baseline demographics (</w:t>
      </w:r>
      <w:r>
        <w:fldChar w:fldCharType="begin"/>
      </w:r>
      <w:r>
        <w:instrText xml:space="preserve"> REF _Ref20305782 \h </w:instrText>
      </w:r>
      <w:r w:rsidR="00CB6831">
        <w:instrText xml:space="preserve"> \* MERGEFORMAT </w:instrText>
      </w:r>
      <w:r>
        <w:fldChar w:fldCharType="separate"/>
      </w:r>
      <w:r w:rsidR="00F94E2C">
        <w:t xml:space="preserve">Table </w:t>
      </w:r>
      <w:r w:rsidR="00F94E2C">
        <w:rPr>
          <w:noProof/>
        </w:rPr>
        <w:t>4</w:t>
      </w:r>
      <w:r>
        <w:fldChar w:fldCharType="end"/>
      </w:r>
      <w:r>
        <w:t>) and baseline disease characteristics (</w:t>
      </w:r>
      <w:r>
        <w:fldChar w:fldCharType="begin"/>
      </w:r>
      <w:r>
        <w:instrText xml:space="preserve"> REF _Ref20736481 \h </w:instrText>
      </w:r>
      <w:r w:rsidR="00CB6831">
        <w:instrText xml:space="preserve"> \* MERGEFORMAT </w:instrText>
      </w:r>
      <w:r>
        <w:fldChar w:fldCharType="separate"/>
      </w:r>
      <w:r w:rsidR="00B13185">
        <w:t xml:space="preserve">Table </w:t>
      </w:r>
      <w:r w:rsidR="00B13185">
        <w:rPr>
          <w:noProof/>
        </w:rPr>
        <w:t>5</w:t>
      </w:r>
      <w:r>
        <w:fldChar w:fldCharType="end"/>
      </w:r>
      <w:r>
        <w:t xml:space="preserve">) was broadly consistent with successful randomisation. Imbalances in age, geographic region and PR status </w:t>
      </w:r>
      <w:proofErr w:type="gramStart"/>
      <w:r>
        <w:t>are noted between arms, but based on magnitude and clinical judgement these are unlikely to have significantly affected results</w:t>
      </w:r>
      <w:proofErr w:type="gramEnd"/>
      <w:r>
        <w:t>.</w:t>
      </w:r>
    </w:p>
    <w:p w14:paraId="272A9149" w14:textId="08F8009D" w:rsidR="00880FC7" w:rsidRDefault="00880FC7" w:rsidP="00CB6831">
      <w:r>
        <w:t>PCT was most comm</w:t>
      </w:r>
      <w:r w:rsidR="00B13185">
        <w:t xml:space="preserve">only </w:t>
      </w:r>
      <w:proofErr w:type="spellStart"/>
      <w:r w:rsidR="00B13185">
        <w:t>capecitabine</w:t>
      </w:r>
      <w:proofErr w:type="spellEnd"/>
      <w:r w:rsidR="00B13185">
        <w:t xml:space="preserve"> (55 patients (44%)</w:t>
      </w:r>
      <w:r>
        <w:t xml:space="preserve">), followed by </w:t>
      </w:r>
      <w:proofErr w:type="spellStart"/>
      <w:r>
        <w:t>eribulin</w:t>
      </w:r>
      <w:proofErr w:type="spellEnd"/>
      <w:r>
        <w:t xml:space="preserve"> (50 patien</w:t>
      </w:r>
      <w:r w:rsidR="00B13185">
        <w:t xml:space="preserve">ts (40%)), gemcitabine (12 patients (10%)), and </w:t>
      </w:r>
      <w:proofErr w:type="spellStart"/>
      <w:r w:rsidR="00B13185">
        <w:t>vinorelbine</w:t>
      </w:r>
      <w:proofErr w:type="spellEnd"/>
      <w:r w:rsidR="00B13185">
        <w:t xml:space="preserve"> (9 patients (7%)</w:t>
      </w:r>
      <w:r>
        <w:t>).</w:t>
      </w:r>
    </w:p>
    <w:p w14:paraId="27145CD6" w14:textId="77777777" w:rsidR="00880FC7" w:rsidRDefault="00880FC7" w:rsidP="00CB6831">
      <w:r>
        <w:t>Regarding potential for enrolment site-based bias, the FDA reviewer’s comments were:</w:t>
      </w:r>
    </w:p>
    <w:p w14:paraId="533A43E0" w14:textId="3CEE3687" w:rsidR="00880FC7" w:rsidRPr="003D66FC" w:rsidRDefault="00CB6831" w:rsidP="00CB6831">
      <w:pPr>
        <w:ind w:left="720"/>
      </w:pPr>
      <w:r>
        <w:t>‘</w:t>
      </w:r>
      <w:r w:rsidR="00880FC7">
        <w:t xml:space="preserve">Sites that had significant </w:t>
      </w:r>
      <w:proofErr w:type="spellStart"/>
      <w:r w:rsidR="00880FC7">
        <w:t>disclosable</w:t>
      </w:r>
      <w:proofErr w:type="spellEnd"/>
      <w:r w:rsidR="00880FC7">
        <w:t xml:space="preserve"> interests enrolled approximately 10.7% (N</w:t>
      </w:r>
      <w:r w:rsidR="00B13185">
        <w:t> </w:t>
      </w:r>
      <w:r w:rsidR="00880FC7">
        <w:t>=</w:t>
      </w:r>
      <w:r w:rsidR="00B13185">
        <w:t> </w:t>
      </w:r>
      <w:r w:rsidR="00880FC7">
        <w:t>46) of the total number of patients in the EMBARCA study. Each indiv</w:t>
      </w:r>
      <w:r w:rsidR="00B13185">
        <w:t xml:space="preserve">idual site enrolled between 0.2 to </w:t>
      </w:r>
      <w:r w:rsidR="00880FC7">
        <w:t>1.9% of the population which is small and unlikely to affect the results of the study.</w:t>
      </w:r>
      <w:r>
        <w:t>’</w:t>
      </w:r>
    </w:p>
    <w:p w14:paraId="7D4AC2CF" w14:textId="13C6D770" w:rsidR="00880FC7" w:rsidRDefault="00880FC7" w:rsidP="00CB6831">
      <w:r>
        <w:t xml:space="preserve">Previous anti-neoplastic therapy for metastatic disease included a </w:t>
      </w:r>
      <w:r w:rsidR="00B13185" w:rsidRPr="00B13185">
        <w:t xml:space="preserve">cyclin-dependent protein kinase </w:t>
      </w:r>
      <w:r w:rsidR="00B13185">
        <w:t>(</w:t>
      </w:r>
      <w:r>
        <w:t>CDK</w:t>
      </w:r>
      <w:r w:rsidR="00B13185">
        <w:t>)</w:t>
      </w:r>
      <w:r>
        <w:t xml:space="preserve"> 4/6 inhibitor for 4.5% of the </w:t>
      </w:r>
      <w:proofErr w:type="spellStart"/>
      <w:r>
        <w:t>talazo</w:t>
      </w:r>
      <w:r w:rsidR="00CB6831">
        <w:t>parib</w:t>
      </w:r>
      <w:proofErr w:type="spellEnd"/>
      <w:r w:rsidR="00CB6831">
        <w:t xml:space="preserve"> and 3.5% of the PCT arm. </w:t>
      </w:r>
      <w:r>
        <w:t xml:space="preserve">A small number of men </w:t>
      </w:r>
      <w:proofErr w:type="gramStart"/>
      <w:r>
        <w:t>were enrolled</w:t>
      </w:r>
      <w:proofErr w:type="gramEnd"/>
      <w:r>
        <w:t xml:space="preserve"> in the study.</w:t>
      </w:r>
    </w:p>
    <w:p w14:paraId="3820889E" w14:textId="598706EF" w:rsidR="00880FC7" w:rsidRPr="000205A9" w:rsidRDefault="00880FC7" w:rsidP="00CB6831">
      <w:pPr>
        <w:rPr>
          <w:lang w:eastAsia="zh-TW"/>
        </w:rPr>
      </w:pPr>
      <w:proofErr w:type="gramStart"/>
      <w:r>
        <w:t>As a result</w:t>
      </w:r>
      <w:proofErr w:type="gramEnd"/>
      <w:r>
        <w:t xml:space="preserve"> of Protocol Amendment 1</w:t>
      </w:r>
      <w:r w:rsidRPr="0073109A">
        <w:rPr>
          <w:b/>
          <w:i/>
        </w:rPr>
        <w:t xml:space="preserve">, </w:t>
      </w:r>
      <w:r>
        <w:t>a</w:t>
      </w:r>
      <w:r w:rsidRPr="0073109A">
        <w:t xml:space="preserve"> small </w:t>
      </w:r>
      <w:r>
        <w:t>number</w:t>
      </w:r>
      <w:r w:rsidRPr="0073109A">
        <w:t xml:space="preserve"> of patients</w:t>
      </w:r>
      <w:r>
        <w:t xml:space="preserve"> were</w:t>
      </w:r>
      <w:r w:rsidRPr="0073109A">
        <w:t xml:space="preserve"> </w:t>
      </w:r>
      <w:r>
        <w:t xml:space="preserve">included in the study who had not been previously treated with a </w:t>
      </w:r>
      <w:proofErr w:type="spellStart"/>
      <w:r>
        <w:t>taxane</w:t>
      </w:r>
      <w:proofErr w:type="spellEnd"/>
      <w:r>
        <w:t xml:space="preserve"> or </w:t>
      </w:r>
      <w:proofErr w:type="spellStart"/>
      <w:r>
        <w:t>anthracycline</w:t>
      </w:r>
      <w:proofErr w:type="spellEnd"/>
      <w:r>
        <w:t xml:space="preserve"> </w:t>
      </w:r>
      <w:r w:rsidRPr="0073109A">
        <w:t>(</w:t>
      </w:r>
      <w:r>
        <w:t xml:space="preserve">7 </w:t>
      </w:r>
      <w:r w:rsidRPr="0073109A">
        <w:t xml:space="preserve">patients </w:t>
      </w:r>
      <w:r>
        <w:t>[</w:t>
      </w:r>
      <w:r w:rsidRPr="0073109A">
        <w:t>2%</w:t>
      </w:r>
      <w:r>
        <w:t>]</w:t>
      </w:r>
      <w:r w:rsidRPr="0073109A">
        <w:t xml:space="preserve"> in the </w:t>
      </w:r>
      <w:proofErr w:type="spellStart"/>
      <w:r w:rsidRPr="0073109A">
        <w:t>talazop</w:t>
      </w:r>
      <w:r w:rsidR="00B13185">
        <w:t>arib</w:t>
      </w:r>
      <w:proofErr w:type="spellEnd"/>
      <w:r w:rsidR="00B13185">
        <w:t xml:space="preserve"> arm and 5 patients (3%)</w:t>
      </w:r>
      <w:r>
        <w:t xml:space="preserve"> in the PCT arm). Based on the exclusion criteria, such therapy </w:t>
      </w:r>
      <w:proofErr w:type="gramStart"/>
      <w:r>
        <w:t>must have been medically contraindicated</w:t>
      </w:r>
      <w:proofErr w:type="gramEnd"/>
      <w:r>
        <w:t xml:space="preserve"> in these patients. </w:t>
      </w:r>
      <w:proofErr w:type="gramStart"/>
      <w:r>
        <w:t>There were also a small number of patients who had not received previous endocrine therapy despite having HR</w:t>
      </w:r>
      <w:r w:rsidR="00B13185">
        <w:t xml:space="preserve">-positive disease (15 patients (5%) in the </w:t>
      </w:r>
      <w:proofErr w:type="spellStart"/>
      <w:r w:rsidR="00B13185">
        <w:t>talazoparib</w:t>
      </w:r>
      <w:proofErr w:type="spellEnd"/>
      <w:r w:rsidR="00B13185">
        <w:t xml:space="preserve"> arm and 14 </w:t>
      </w:r>
      <w:r w:rsidR="00A23E27">
        <w:t>patients (10%)</w:t>
      </w:r>
      <w:r>
        <w:t xml:space="preserve"> in the PCT arm).</w:t>
      </w:r>
      <w:proofErr w:type="gramEnd"/>
      <w:r>
        <w:t xml:space="preserve"> Data on the clinical rationale for an individual patient </w:t>
      </w:r>
      <w:proofErr w:type="gramStart"/>
      <w:r>
        <w:t>being considered</w:t>
      </w:r>
      <w:proofErr w:type="gramEnd"/>
      <w:r>
        <w:t xml:space="preserve"> appropriate for PCT treatment was not</w:t>
      </w:r>
      <w:r w:rsidR="00B13185">
        <w:t xml:space="preserve"> collected.</w:t>
      </w:r>
    </w:p>
    <w:p w14:paraId="5325F455" w14:textId="32F908D5" w:rsidR="00880FC7" w:rsidRDefault="00880FC7" w:rsidP="00CB6831">
      <w:pPr>
        <w:pStyle w:val="TableTitle"/>
      </w:pPr>
      <w:bookmarkStart w:id="44" w:name="_Ref20305782"/>
      <w:r>
        <w:t xml:space="preserve">Table </w:t>
      </w:r>
      <w:fldSimple w:instr=" SEQ Table \* ARABIC ">
        <w:r w:rsidR="00CA15AD">
          <w:rPr>
            <w:noProof/>
          </w:rPr>
          <w:t>4</w:t>
        </w:r>
      </w:fldSimple>
      <w:bookmarkEnd w:id="44"/>
      <w:r w:rsidR="00F94E2C">
        <w:t>:</w:t>
      </w:r>
      <w:r>
        <w:t xml:space="preserve"> Baseline demographics of the EMBRACA </w:t>
      </w:r>
      <w:r w:rsidR="006E21D7">
        <w:t xml:space="preserve">trial </w:t>
      </w:r>
      <w:r>
        <w:t>study population</w:t>
      </w:r>
    </w:p>
    <w:tbl>
      <w:tblPr>
        <w:tblStyle w:val="TableTGAblue"/>
        <w:tblW w:w="7847" w:type="dxa"/>
        <w:tblLook w:val="04A0" w:firstRow="1" w:lastRow="0" w:firstColumn="1" w:lastColumn="0" w:noHBand="0" w:noVBand="1"/>
      </w:tblPr>
      <w:tblGrid>
        <w:gridCol w:w="3413"/>
        <w:gridCol w:w="2217"/>
        <w:gridCol w:w="2217"/>
      </w:tblGrid>
      <w:tr w:rsidR="00880FC7" w:rsidRPr="00520FF6" w14:paraId="38694FE9" w14:textId="77777777" w:rsidTr="00B13185">
        <w:trPr>
          <w:cnfStyle w:val="100000000000" w:firstRow="1" w:lastRow="0" w:firstColumn="0" w:lastColumn="0" w:oddVBand="0" w:evenVBand="0" w:oddHBand="0" w:evenHBand="0" w:firstRowFirstColumn="0" w:firstRowLastColumn="0" w:lastRowFirstColumn="0" w:lastRowLastColumn="0"/>
          <w:trHeight w:val="20"/>
        </w:trPr>
        <w:tc>
          <w:tcPr>
            <w:tcW w:w="3413" w:type="dxa"/>
            <w:vAlign w:val="center"/>
          </w:tcPr>
          <w:p w14:paraId="721B4009" w14:textId="77777777" w:rsidR="00880FC7" w:rsidRPr="00520FF6" w:rsidRDefault="00880FC7" w:rsidP="00F94E2C">
            <w:pPr>
              <w:ind w:left="0" w:right="0"/>
              <w:rPr>
                <w:sz w:val="20"/>
                <w:szCs w:val="20"/>
              </w:rPr>
            </w:pPr>
          </w:p>
        </w:tc>
        <w:tc>
          <w:tcPr>
            <w:tcW w:w="2217" w:type="dxa"/>
            <w:vAlign w:val="center"/>
          </w:tcPr>
          <w:p w14:paraId="1A748D56" w14:textId="77777777" w:rsidR="00880FC7" w:rsidRPr="00520FF6" w:rsidRDefault="00880FC7" w:rsidP="00520FF6">
            <w:pPr>
              <w:rPr>
                <w:sz w:val="20"/>
                <w:szCs w:val="20"/>
              </w:rPr>
            </w:pPr>
            <w:proofErr w:type="spellStart"/>
            <w:r w:rsidRPr="00520FF6">
              <w:rPr>
                <w:sz w:val="20"/>
                <w:szCs w:val="20"/>
              </w:rPr>
              <w:t>Talazoparib</w:t>
            </w:r>
            <w:proofErr w:type="spellEnd"/>
          </w:p>
          <w:p w14:paraId="045EDDA9" w14:textId="765AA330" w:rsidR="00880FC7" w:rsidRPr="00520FF6" w:rsidRDefault="00880FC7" w:rsidP="00520FF6">
            <w:pPr>
              <w:rPr>
                <w:sz w:val="20"/>
                <w:szCs w:val="20"/>
              </w:rPr>
            </w:pPr>
            <w:r w:rsidRPr="00520FF6">
              <w:rPr>
                <w:sz w:val="20"/>
                <w:szCs w:val="20"/>
              </w:rPr>
              <w:t>N</w:t>
            </w:r>
            <w:r w:rsidR="00F94E2C" w:rsidRPr="00520FF6">
              <w:rPr>
                <w:sz w:val="20"/>
                <w:szCs w:val="20"/>
              </w:rPr>
              <w:t xml:space="preserve"> </w:t>
            </w:r>
            <w:r w:rsidRPr="00520FF6">
              <w:rPr>
                <w:sz w:val="20"/>
                <w:szCs w:val="20"/>
              </w:rPr>
              <w:t>=</w:t>
            </w:r>
            <w:r w:rsidR="00F94E2C" w:rsidRPr="00520FF6">
              <w:rPr>
                <w:sz w:val="20"/>
                <w:szCs w:val="20"/>
              </w:rPr>
              <w:t xml:space="preserve"> </w:t>
            </w:r>
            <w:r w:rsidRPr="00520FF6">
              <w:rPr>
                <w:sz w:val="20"/>
                <w:szCs w:val="20"/>
              </w:rPr>
              <w:t>287</w:t>
            </w:r>
          </w:p>
        </w:tc>
        <w:tc>
          <w:tcPr>
            <w:tcW w:w="2217" w:type="dxa"/>
            <w:vAlign w:val="center"/>
          </w:tcPr>
          <w:p w14:paraId="466A3F76" w14:textId="77777777" w:rsidR="00880FC7" w:rsidRPr="00520FF6" w:rsidRDefault="00880FC7" w:rsidP="00520FF6">
            <w:pPr>
              <w:rPr>
                <w:sz w:val="20"/>
                <w:szCs w:val="20"/>
              </w:rPr>
            </w:pPr>
            <w:r w:rsidRPr="00520FF6">
              <w:rPr>
                <w:sz w:val="20"/>
                <w:szCs w:val="20"/>
              </w:rPr>
              <w:t>PCT</w:t>
            </w:r>
          </w:p>
          <w:p w14:paraId="75116C01" w14:textId="512D632B" w:rsidR="00880FC7" w:rsidRPr="00520FF6" w:rsidRDefault="00880FC7" w:rsidP="00520FF6">
            <w:pPr>
              <w:rPr>
                <w:sz w:val="20"/>
                <w:szCs w:val="20"/>
              </w:rPr>
            </w:pPr>
            <w:r w:rsidRPr="00520FF6">
              <w:rPr>
                <w:sz w:val="20"/>
                <w:szCs w:val="20"/>
              </w:rPr>
              <w:t>N</w:t>
            </w:r>
            <w:r w:rsidR="00F94E2C" w:rsidRPr="00520FF6">
              <w:rPr>
                <w:sz w:val="20"/>
                <w:szCs w:val="20"/>
              </w:rPr>
              <w:t xml:space="preserve"> </w:t>
            </w:r>
            <w:r w:rsidRPr="00520FF6">
              <w:rPr>
                <w:sz w:val="20"/>
                <w:szCs w:val="20"/>
              </w:rPr>
              <w:t>=</w:t>
            </w:r>
            <w:r w:rsidR="00F94E2C" w:rsidRPr="00520FF6">
              <w:rPr>
                <w:sz w:val="20"/>
                <w:szCs w:val="20"/>
              </w:rPr>
              <w:t xml:space="preserve"> </w:t>
            </w:r>
            <w:r w:rsidRPr="00520FF6">
              <w:rPr>
                <w:sz w:val="20"/>
                <w:szCs w:val="20"/>
              </w:rPr>
              <w:t>144</w:t>
            </w:r>
          </w:p>
        </w:tc>
      </w:tr>
      <w:tr w:rsidR="006E21D7" w:rsidRPr="00520FF6" w14:paraId="5BCD439A" w14:textId="77777777" w:rsidTr="00505564">
        <w:trPr>
          <w:trHeight w:val="20"/>
        </w:trPr>
        <w:tc>
          <w:tcPr>
            <w:tcW w:w="7847" w:type="dxa"/>
            <w:gridSpan w:val="3"/>
            <w:shd w:val="clear" w:color="auto" w:fill="C6D4E9"/>
            <w:vAlign w:val="center"/>
          </w:tcPr>
          <w:p w14:paraId="761341B9" w14:textId="06FF9CF1" w:rsidR="006E21D7" w:rsidRPr="00520FF6" w:rsidRDefault="006E21D7" w:rsidP="00520FF6">
            <w:pPr>
              <w:rPr>
                <w:b/>
                <w:sz w:val="20"/>
                <w:szCs w:val="20"/>
              </w:rPr>
            </w:pPr>
            <w:r w:rsidRPr="00520FF6">
              <w:rPr>
                <w:b/>
                <w:sz w:val="20"/>
                <w:szCs w:val="20"/>
              </w:rPr>
              <w:t>Sex</w:t>
            </w:r>
          </w:p>
        </w:tc>
      </w:tr>
      <w:tr w:rsidR="00880FC7" w:rsidRPr="00520FF6" w14:paraId="0AAEAF8C" w14:textId="77777777" w:rsidTr="00B13185">
        <w:trPr>
          <w:trHeight w:val="20"/>
        </w:trPr>
        <w:tc>
          <w:tcPr>
            <w:tcW w:w="3413" w:type="dxa"/>
            <w:vAlign w:val="center"/>
          </w:tcPr>
          <w:p w14:paraId="6CA74C46" w14:textId="77777777" w:rsidR="00880FC7" w:rsidRPr="00520FF6" w:rsidRDefault="00880FC7" w:rsidP="00520FF6">
            <w:pPr>
              <w:rPr>
                <w:sz w:val="20"/>
                <w:szCs w:val="20"/>
              </w:rPr>
            </w:pPr>
            <w:r w:rsidRPr="00520FF6">
              <w:rPr>
                <w:sz w:val="20"/>
                <w:szCs w:val="20"/>
              </w:rPr>
              <w:t>Female</w:t>
            </w:r>
          </w:p>
        </w:tc>
        <w:tc>
          <w:tcPr>
            <w:tcW w:w="2217" w:type="dxa"/>
            <w:vAlign w:val="center"/>
          </w:tcPr>
          <w:p w14:paraId="692617C2" w14:textId="77777777" w:rsidR="00880FC7" w:rsidRPr="00520FF6" w:rsidRDefault="00880FC7" w:rsidP="00520FF6">
            <w:pPr>
              <w:rPr>
                <w:sz w:val="20"/>
                <w:szCs w:val="20"/>
              </w:rPr>
            </w:pPr>
            <w:r w:rsidRPr="00520FF6">
              <w:rPr>
                <w:sz w:val="20"/>
                <w:szCs w:val="20"/>
              </w:rPr>
              <w:t>283 (99%)</w:t>
            </w:r>
          </w:p>
        </w:tc>
        <w:tc>
          <w:tcPr>
            <w:tcW w:w="2217" w:type="dxa"/>
            <w:vAlign w:val="center"/>
          </w:tcPr>
          <w:p w14:paraId="756A50E7" w14:textId="77777777" w:rsidR="00880FC7" w:rsidRPr="00520FF6" w:rsidRDefault="00880FC7" w:rsidP="00520FF6">
            <w:pPr>
              <w:rPr>
                <w:sz w:val="20"/>
                <w:szCs w:val="20"/>
              </w:rPr>
            </w:pPr>
            <w:r w:rsidRPr="00520FF6">
              <w:rPr>
                <w:sz w:val="20"/>
                <w:szCs w:val="20"/>
              </w:rPr>
              <w:t>141 (98%)</w:t>
            </w:r>
          </w:p>
        </w:tc>
      </w:tr>
      <w:tr w:rsidR="00880FC7" w:rsidRPr="00520FF6" w14:paraId="60E78B6C" w14:textId="77777777" w:rsidTr="00B13185">
        <w:trPr>
          <w:trHeight w:val="20"/>
        </w:trPr>
        <w:tc>
          <w:tcPr>
            <w:tcW w:w="3413" w:type="dxa"/>
            <w:vAlign w:val="center"/>
          </w:tcPr>
          <w:p w14:paraId="6A914AA0" w14:textId="77777777" w:rsidR="00880FC7" w:rsidRPr="00520FF6" w:rsidRDefault="00880FC7" w:rsidP="00520FF6">
            <w:pPr>
              <w:rPr>
                <w:sz w:val="20"/>
                <w:szCs w:val="20"/>
              </w:rPr>
            </w:pPr>
            <w:r w:rsidRPr="00520FF6">
              <w:rPr>
                <w:sz w:val="20"/>
                <w:szCs w:val="20"/>
              </w:rPr>
              <w:t>Male</w:t>
            </w:r>
          </w:p>
        </w:tc>
        <w:tc>
          <w:tcPr>
            <w:tcW w:w="2217" w:type="dxa"/>
            <w:vAlign w:val="center"/>
          </w:tcPr>
          <w:p w14:paraId="62E8C1E0" w14:textId="77777777" w:rsidR="00880FC7" w:rsidRPr="00520FF6" w:rsidRDefault="00880FC7" w:rsidP="00520FF6">
            <w:pPr>
              <w:rPr>
                <w:sz w:val="20"/>
                <w:szCs w:val="20"/>
              </w:rPr>
            </w:pPr>
            <w:r w:rsidRPr="00520FF6">
              <w:rPr>
                <w:sz w:val="20"/>
                <w:szCs w:val="20"/>
              </w:rPr>
              <w:t>4 (1%)</w:t>
            </w:r>
          </w:p>
        </w:tc>
        <w:tc>
          <w:tcPr>
            <w:tcW w:w="2217" w:type="dxa"/>
            <w:vAlign w:val="center"/>
          </w:tcPr>
          <w:p w14:paraId="1662A1D8" w14:textId="77777777" w:rsidR="00880FC7" w:rsidRPr="00520FF6" w:rsidRDefault="00880FC7" w:rsidP="00520FF6">
            <w:pPr>
              <w:rPr>
                <w:sz w:val="20"/>
                <w:szCs w:val="20"/>
              </w:rPr>
            </w:pPr>
            <w:r w:rsidRPr="00520FF6">
              <w:rPr>
                <w:sz w:val="20"/>
                <w:szCs w:val="20"/>
              </w:rPr>
              <w:t>3 (2%)</w:t>
            </w:r>
          </w:p>
        </w:tc>
      </w:tr>
      <w:tr w:rsidR="006E21D7" w:rsidRPr="00520FF6" w14:paraId="379BD5EE" w14:textId="77777777" w:rsidTr="00505564">
        <w:trPr>
          <w:trHeight w:val="20"/>
        </w:trPr>
        <w:tc>
          <w:tcPr>
            <w:tcW w:w="7847" w:type="dxa"/>
            <w:gridSpan w:val="3"/>
            <w:shd w:val="clear" w:color="auto" w:fill="C6D4E9"/>
            <w:vAlign w:val="center"/>
          </w:tcPr>
          <w:p w14:paraId="30D35CCC" w14:textId="65267AB5" w:rsidR="006E21D7" w:rsidRPr="00520FF6" w:rsidRDefault="006E21D7" w:rsidP="00520FF6">
            <w:pPr>
              <w:rPr>
                <w:b/>
                <w:sz w:val="20"/>
                <w:szCs w:val="20"/>
              </w:rPr>
            </w:pPr>
            <w:r w:rsidRPr="00520FF6">
              <w:rPr>
                <w:b/>
                <w:sz w:val="20"/>
                <w:szCs w:val="20"/>
              </w:rPr>
              <w:t>Age</w:t>
            </w:r>
          </w:p>
        </w:tc>
      </w:tr>
      <w:tr w:rsidR="00880FC7" w:rsidRPr="00520FF6" w14:paraId="3BE2B83E" w14:textId="77777777" w:rsidTr="00B13185">
        <w:trPr>
          <w:trHeight w:val="20"/>
        </w:trPr>
        <w:tc>
          <w:tcPr>
            <w:tcW w:w="3413" w:type="dxa"/>
            <w:vAlign w:val="center"/>
          </w:tcPr>
          <w:p w14:paraId="706AD171" w14:textId="77777777" w:rsidR="00880FC7" w:rsidRPr="00520FF6" w:rsidRDefault="00880FC7" w:rsidP="00520FF6">
            <w:pPr>
              <w:rPr>
                <w:sz w:val="20"/>
                <w:szCs w:val="20"/>
              </w:rPr>
            </w:pPr>
            <w:r w:rsidRPr="00520FF6">
              <w:rPr>
                <w:sz w:val="20"/>
                <w:szCs w:val="20"/>
              </w:rPr>
              <w:t>Mean (SD)</w:t>
            </w:r>
          </w:p>
        </w:tc>
        <w:tc>
          <w:tcPr>
            <w:tcW w:w="2217" w:type="dxa"/>
            <w:vAlign w:val="center"/>
          </w:tcPr>
          <w:p w14:paraId="4CF1CEEA" w14:textId="77777777" w:rsidR="00880FC7" w:rsidRPr="00520FF6" w:rsidRDefault="00880FC7" w:rsidP="00520FF6">
            <w:pPr>
              <w:rPr>
                <w:sz w:val="20"/>
                <w:szCs w:val="20"/>
              </w:rPr>
            </w:pPr>
            <w:r w:rsidRPr="00520FF6">
              <w:rPr>
                <w:sz w:val="20"/>
                <w:szCs w:val="20"/>
              </w:rPr>
              <w:t>47.5 (11.6)</w:t>
            </w:r>
          </w:p>
        </w:tc>
        <w:tc>
          <w:tcPr>
            <w:tcW w:w="2217" w:type="dxa"/>
            <w:vAlign w:val="center"/>
          </w:tcPr>
          <w:p w14:paraId="739BD261" w14:textId="77777777" w:rsidR="00880FC7" w:rsidRPr="00520FF6" w:rsidRDefault="00880FC7" w:rsidP="00520FF6">
            <w:pPr>
              <w:rPr>
                <w:sz w:val="20"/>
                <w:szCs w:val="20"/>
              </w:rPr>
            </w:pPr>
            <w:r w:rsidRPr="00520FF6">
              <w:rPr>
                <w:sz w:val="20"/>
                <w:szCs w:val="20"/>
              </w:rPr>
              <w:t>49.4 (12.1)</w:t>
            </w:r>
          </w:p>
        </w:tc>
      </w:tr>
      <w:tr w:rsidR="00880FC7" w:rsidRPr="00520FF6" w14:paraId="20240202" w14:textId="77777777" w:rsidTr="00B13185">
        <w:trPr>
          <w:trHeight w:val="20"/>
        </w:trPr>
        <w:tc>
          <w:tcPr>
            <w:tcW w:w="3413" w:type="dxa"/>
            <w:vAlign w:val="center"/>
          </w:tcPr>
          <w:p w14:paraId="03C2F6AC" w14:textId="40EA0FE0" w:rsidR="00880FC7" w:rsidRPr="00520FF6" w:rsidRDefault="00880FC7" w:rsidP="00520FF6">
            <w:pPr>
              <w:rPr>
                <w:sz w:val="20"/>
                <w:szCs w:val="20"/>
              </w:rPr>
            </w:pPr>
            <w:r w:rsidRPr="00520FF6">
              <w:rPr>
                <w:sz w:val="20"/>
                <w:szCs w:val="20"/>
              </w:rPr>
              <w:t>Median (Min</w:t>
            </w:r>
            <w:r w:rsidR="00F94E2C" w:rsidRPr="00520FF6">
              <w:rPr>
                <w:sz w:val="20"/>
                <w:szCs w:val="20"/>
              </w:rPr>
              <w:t xml:space="preserve"> </w:t>
            </w:r>
            <w:r w:rsidRPr="00520FF6">
              <w:rPr>
                <w:sz w:val="20"/>
                <w:szCs w:val="20"/>
              </w:rPr>
              <w:t>-</w:t>
            </w:r>
            <w:r w:rsidR="00F94E2C" w:rsidRPr="00520FF6">
              <w:rPr>
                <w:sz w:val="20"/>
                <w:szCs w:val="20"/>
              </w:rPr>
              <w:t xml:space="preserve"> </w:t>
            </w:r>
            <w:r w:rsidRPr="00520FF6">
              <w:rPr>
                <w:sz w:val="20"/>
                <w:szCs w:val="20"/>
              </w:rPr>
              <w:t>Max)</w:t>
            </w:r>
          </w:p>
        </w:tc>
        <w:tc>
          <w:tcPr>
            <w:tcW w:w="2217" w:type="dxa"/>
            <w:vAlign w:val="center"/>
          </w:tcPr>
          <w:p w14:paraId="697DD749" w14:textId="77777777" w:rsidR="00880FC7" w:rsidRPr="00520FF6" w:rsidRDefault="00880FC7" w:rsidP="00520FF6">
            <w:pPr>
              <w:rPr>
                <w:sz w:val="20"/>
                <w:szCs w:val="20"/>
              </w:rPr>
            </w:pPr>
            <w:r w:rsidRPr="00520FF6">
              <w:rPr>
                <w:sz w:val="20"/>
                <w:szCs w:val="20"/>
              </w:rPr>
              <w:t>45 (27 - 84)</w:t>
            </w:r>
          </w:p>
        </w:tc>
        <w:tc>
          <w:tcPr>
            <w:tcW w:w="2217" w:type="dxa"/>
            <w:vAlign w:val="center"/>
          </w:tcPr>
          <w:p w14:paraId="1BB8EB35" w14:textId="77777777" w:rsidR="00880FC7" w:rsidRPr="00520FF6" w:rsidRDefault="00880FC7" w:rsidP="00520FF6">
            <w:pPr>
              <w:rPr>
                <w:sz w:val="20"/>
                <w:szCs w:val="20"/>
              </w:rPr>
            </w:pPr>
            <w:r w:rsidRPr="00520FF6">
              <w:rPr>
                <w:sz w:val="20"/>
                <w:szCs w:val="20"/>
              </w:rPr>
              <w:t>50 (24 - 88)</w:t>
            </w:r>
          </w:p>
        </w:tc>
      </w:tr>
      <w:tr w:rsidR="00880FC7" w:rsidRPr="00520FF6" w14:paraId="1FA83DE2" w14:textId="77777777" w:rsidTr="00B13185">
        <w:trPr>
          <w:trHeight w:val="20"/>
        </w:trPr>
        <w:tc>
          <w:tcPr>
            <w:tcW w:w="3413" w:type="dxa"/>
            <w:vAlign w:val="center"/>
          </w:tcPr>
          <w:p w14:paraId="206DD195" w14:textId="64EA0157" w:rsidR="00880FC7" w:rsidRPr="00520FF6" w:rsidRDefault="00880FC7" w:rsidP="00520FF6">
            <w:pPr>
              <w:rPr>
                <w:sz w:val="20"/>
                <w:szCs w:val="20"/>
              </w:rPr>
            </w:pPr>
            <w:r w:rsidRPr="00520FF6">
              <w:rPr>
                <w:sz w:val="20"/>
                <w:szCs w:val="20"/>
              </w:rPr>
              <w:t>&lt;</w:t>
            </w:r>
            <w:r w:rsidR="00F94E2C" w:rsidRPr="00520FF6">
              <w:rPr>
                <w:sz w:val="20"/>
                <w:szCs w:val="20"/>
              </w:rPr>
              <w:t xml:space="preserve"> </w:t>
            </w:r>
            <w:r w:rsidRPr="00520FF6">
              <w:rPr>
                <w:sz w:val="20"/>
                <w:szCs w:val="20"/>
              </w:rPr>
              <w:t>50 years</w:t>
            </w:r>
          </w:p>
        </w:tc>
        <w:tc>
          <w:tcPr>
            <w:tcW w:w="2217" w:type="dxa"/>
            <w:vAlign w:val="center"/>
          </w:tcPr>
          <w:p w14:paraId="300E0637" w14:textId="77777777" w:rsidR="00880FC7" w:rsidRPr="00520FF6" w:rsidRDefault="00880FC7" w:rsidP="00520FF6">
            <w:pPr>
              <w:rPr>
                <w:sz w:val="20"/>
                <w:szCs w:val="20"/>
              </w:rPr>
            </w:pPr>
            <w:r w:rsidRPr="00520FF6">
              <w:rPr>
                <w:sz w:val="20"/>
                <w:szCs w:val="20"/>
              </w:rPr>
              <w:t>182 (63%)</w:t>
            </w:r>
          </w:p>
        </w:tc>
        <w:tc>
          <w:tcPr>
            <w:tcW w:w="2217" w:type="dxa"/>
            <w:vAlign w:val="center"/>
          </w:tcPr>
          <w:p w14:paraId="25113197" w14:textId="77777777" w:rsidR="00880FC7" w:rsidRPr="00520FF6" w:rsidRDefault="00880FC7" w:rsidP="00520FF6">
            <w:pPr>
              <w:rPr>
                <w:sz w:val="20"/>
                <w:szCs w:val="20"/>
              </w:rPr>
            </w:pPr>
            <w:r w:rsidRPr="00520FF6">
              <w:rPr>
                <w:sz w:val="20"/>
                <w:szCs w:val="20"/>
              </w:rPr>
              <w:t>67 (47%)</w:t>
            </w:r>
          </w:p>
        </w:tc>
      </w:tr>
      <w:tr w:rsidR="00880FC7" w:rsidRPr="00520FF6" w14:paraId="48813FC1" w14:textId="77777777" w:rsidTr="00B13185">
        <w:trPr>
          <w:trHeight w:val="20"/>
        </w:trPr>
        <w:tc>
          <w:tcPr>
            <w:tcW w:w="3413" w:type="dxa"/>
            <w:vAlign w:val="center"/>
          </w:tcPr>
          <w:p w14:paraId="145ABA48" w14:textId="44791661" w:rsidR="00880FC7" w:rsidRPr="00520FF6" w:rsidRDefault="00880FC7" w:rsidP="00520FF6">
            <w:pPr>
              <w:rPr>
                <w:sz w:val="20"/>
                <w:szCs w:val="20"/>
              </w:rPr>
            </w:pPr>
            <w:r w:rsidRPr="00520FF6">
              <w:rPr>
                <w:sz w:val="20"/>
                <w:szCs w:val="20"/>
              </w:rPr>
              <w:t>50 to &lt;</w:t>
            </w:r>
            <w:r w:rsidR="00A23E27" w:rsidRPr="00520FF6">
              <w:rPr>
                <w:sz w:val="20"/>
                <w:szCs w:val="20"/>
              </w:rPr>
              <w:t xml:space="preserve"> </w:t>
            </w:r>
            <w:r w:rsidRPr="00520FF6">
              <w:rPr>
                <w:sz w:val="20"/>
                <w:szCs w:val="20"/>
              </w:rPr>
              <w:t>65 years</w:t>
            </w:r>
          </w:p>
        </w:tc>
        <w:tc>
          <w:tcPr>
            <w:tcW w:w="2217" w:type="dxa"/>
            <w:vAlign w:val="center"/>
          </w:tcPr>
          <w:p w14:paraId="77A911F4" w14:textId="77777777" w:rsidR="00880FC7" w:rsidRPr="00520FF6" w:rsidRDefault="00880FC7" w:rsidP="00520FF6">
            <w:pPr>
              <w:rPr>
                <w:sz w:val="20"/>
                <w:szCs w:val="20"/>
              </w:rPr>
            </w:pPr>
            <w:r w:rsidRPr="00520FF6">
              <w:rPr>
                <w:sz w:val="20"/>
                <w:szCs w:val="20"/>
              </w:rPr>
              <w:t>78 (27%)</w:t>
            </w:r>
          </w:p>
        </w:tc>
        <w:tc>
          <w:tcPr>
            <w:tcW w:w="2217" w:type="dxa"/>
            <w:vAlign w:val="center"/>
          </w:tcPr>
          <w:p w14:paraId="2C22A784" w14:textId="77777777" w:rsidR="00880FC7" w:rsidRPr="00520FF6" w:rsidRDefault="00880FC7" w:rsidP="00520FF6">
            <w:pPr>
              <w:rPr>
                <w:sz w:val="20"/>
                <w:szCs w:val="20"/>
              </w:rPr>
            </w:pPr>
            <w:r w:rsidRPr="00520FF6">
              <w:rPr>
                <w:sz w:val="20"/>
                <w:szCs w:val="20"/>
              </w:rPr>
              <w:t>67 (47%)</w:t>
            </w:r>
          </w:p>
        </w:tc>
      </w:tr>
      <w:tr w:rsidR="00880FC7" w:rsidRPr="00520FF6" w14:paraId="5D574B39" w14:textId="77777777" w:rsidTr="00B13185">
        <w:trPr>
          <w:trHeight w:val="20"/>
        </w:trPr>
        <w:tc>
          <w:tcPr>
            <w:tcW w:w="3413" w:type="dxa"/>
            <w:vAlign w:val="center"/>
          </w:tcPr>
          <w:p w14:paraId="2177AFEC" w14:textId="1044D751" w:rsidR="00880FC7" w:rsidRPr="00520FF6" w:rsidRDefault="00CA15AD" w:rsidP="00520FF6">
            <w:pPr>
              <w:rPr>
                <w:sz w:val="20"/>
                <w:szCs w:val="20"/>
              </w:rPr>
            </w:pPr>
            <w:r w:rsidRPr="00520FF6">
              <w:rPr>
                <w:sz w:val="20"/>
                <w:szCs w:val="20"/>
              </w:rPr>
              <w:lastRenderedPageBreak/>
              <w:t xml:space="preserve">&gt; </w:t>
            </w:r>
            <w:r w:rsidR="00880FC7" w:rsidRPr="00520FF6">
              <w:rPr>
                <w:sz w:val="20"/>
                <w:szCs w:val="20"/>
              </w:rPr>
              <w:t>=</w:t>
            </w:r>
            <w:r w:rsidRPr="00520FF6">
              <w:rPr>
                <w:sz w:val="20"/>
                <w:szCs w:val="20"/>
              </w:rPr>
              <w:t xml:space="preserve"> </w:t>
            </w:r>
            <w:r w:rsidR="00880FC7" w:rsidRPr="00520FF6">
              <w:rPr>
                <w:sz w:val="20"/>
                <w:szCs w:val="20"/>
              </w:rPr>
              <w:t>65 years</w:t>
            </w:r>
          </w:p>
        </w:tc>
        <w:tc>
          <w:tcPr>
            <w:tcW w:w="2217" w:type="dxa"/>
            <w:vAlign w:val="center"/>
          </w:tcPr>
          <w:p w14:paraId="07A4BE4A" w14:textId="77777777" w:rsidR="00880FC7" w:rsidRPr="00520FF6" w:rsidRDefault="00880FC7" w:rsidP="00520FF6">
            <w:pPr>
              <w:rPr>
                <w:sz w:val="20"/>
                <w:szCs w:val="20"/>
              </w:rPr>
            </w:pPr>
            <w:r w:rsidRPr="00520FF6">
              <w:rPr>
                <w:sz w:val="20"/>
                <w:szCs w:val="20"/>
              </w:rPr>
              <w:t>27 (9%)</w:t>
            </w:r>
          </w:p>
        </w:tc>
        <w:tc>
          <w:tcPr>
            <w:tcW w:w="2217" w:type="dxa"/>
            <w:vAlign w:val="center"/>
          </w:tcPr>
          <w:p w14:paraId="5624D048" w14:textId="77777777" w:rsidR="00880FC7" w:rsidRPr="00520FF6" w:rsidRDefault="00880FC7" w:rsidP="00520FF6">
            <w:pPr>
              <w:rPr>
                <w:sz w:val="20"/>
                <w:szCs w:val="20"/>
              </w:rPr>
            </w:pPr>
            <w:r w:rsidRPr="00520FF6">
              <w:rPr>
                <w:sz w:val="20"/>
                <w:szCs w:val="20"/>
              </w:rPr>
              <w:t>10 (7%)</w:t>
            </w:r>
          </w:p>
        </w:tc>
      </w:tr>
      <w:tr w:rsidR="006E21D7" w:rsidRPr="00520FF6" w14:paraId="58990724" w14:textId="77777777" w:rsidTr="00505564">
        <w:trPr>
          <w:trHeight w:val="20"/>
        </w:trPr>
        <w:tc>
          <w:tcPr>
            <w:tcW w:w="7847" w:type="dxa"/>
            <w:gridSpan w:val="3"/>
            <w:shd w:val="clear" w:color="auto" w:fill="C6D4E9"/>
            <w:vAlign w:val="center"/>
          </w:tcPr>
          <w:p w14:paraId="17169684" w14:textId="1F140268" w:rsidR="006E21D7" w:rsidRPr="00520FF6" w:rsidRDefault="006E21D7" w:rsidP="00520FF6">
            <w:pPr>
              <w:rPr>
                <w:b/>
                <w:sz w:val="20"/>
                <w:szCs w:val="20"/>
              </w:rPr>
            </w:pPr>
            <w:r w:rsidRPr="00520FF6">
              <w:rPr>
                <w:b/>
                <w:sz w:val="20"/>
                <w:szCs w:val="20"/>
              </w:rPr>
              <w:t>Race</w:t>
            </w:r>
          </w:p>
        </w:tc>
      </w:tr>
      <w:tr w:rsidR="00880FC7" w:rsidRPr="00520FF6" w14:paraId="734D3F07" w14:textId="77777777" w:rsidTr="00B13185">
        <w:trPr>
          <w:trHeight w:val="20"/>
        </w:trPr>
        <w:tc>
          <w:tcPr>
            <w:tcW w:w="3413" w:type="dxa"/>
            <w:vAlign w:val="center"/>
          </w:tcPr>
          <w:p w14:paraId="01B3CAF8" w14:textId="77777777" w:rsidR="00880FC7" w:rsidRPr="00520FF6" w:rsidRDefault="00880FC7" w:rsidP="00520FF6">
            <w:pPr>
              <w:rPr>
                <w:sz w:val="20"/>
                <w:szCs w:val="20"/>
              </w:rPr>
            </w:pPr>
            <w:r w:rsidRPr="00520FF6">
              <w:rPr>
                <w:sz w:val="20"/>
                <w:szCs w:val="20"/>
              </w:rPr>
              <w:t>White</w:t>
            </w:r>
          </w:p>
        </w:tc>
        <w:tc>
          <w:tcPr>
            <w:tcW w:w="2217" w:type="dxa"/>
            <w:vAlign w:val="center"/>
          </w:tcPr>
          <w:p w14:paraId="697E4C3B" w14:textId="77777777" w:rsidR="00880FC7" w:rsidRPr="00520FF6" w:rsidRDefault="00880FC7" w:rsidP="00520FF6">
            <w:pPr>
              <w:rPr>
                <w:sz w:val="20"/>
                <w:szCs w:val="20"/>
              </w:rPr>
            </w:pPr>
            <w:r w:rsidRPr="00520FF6">
              <w:rPr>
                <w:sz w:val="20"/>
                <w:szCs w:val="20"/>
              </w:rPr>
              <w:t>192 (67%)</w:t>
            </w:r>
          </w:p>
        </w:tc>
        <w:tc>
          <w:tcPr>
            <w:tcW w:w="2217" w:type="dxa"/>
            <w:vAlign w:val="center"/>
          </w:tcPr>
          <w:p w14:paraId="2D3F5FDC" w14:textId="77777777" w:rsidR="00880FC7" w:rsidRPr="00520FF6" w:rsidRDefault="00880FC7" w:rsidP="00520FF6">
            <w:pPr>
              <w:rPr>
                <w:sz w:val="20"/>
                <w:szCs w:val="20"/>
              </w:rPr>
            </w:pPr>
            <w:r w:rsidRPr="00520FF6">
              <w:rPr>
                <w:sz w:val="20"/>
                <w:szCs w:val="20"/>
              </w:rPr>
              <w:t>108 (75%)</w:t>
            </w:r>
          </w:p>
        </w:tc>
      </w:tr>
      <w:tr w:rsidR="00880FC7" w:rsidRPr="00520FF6" w14:paraId="1F3FDDC3" w14:textId="77777777" w:rsidTr="00B13185">
        <w:trPr>
          <w:trHeight w:val="20"/>
        </w:trPr>
        <w:tc>
          <w:tcPr>
            <w:tcW w:w="3413" w:type="dxa"/>
            <w:vAlign w:val="center"/>
          </w:tcPr>
          <w:p w14:paraId="7577F403" w14:textId="77777777" w:rsidR="00880FC7" w:rsidRPr="00520FF6" w:rsidRDefault="00880FC7" w:rsidP="00520FF6">
            <w:pPr>
              <w:rPr>
                <w:sz w:val="20"/>
                <w:szCs w:val="20"/>
              </w:rPr>
            </w:pPr>
            <w:r w:rsidRPr="00520FF6">
              <w:rPr>
                <w:sz w:val="20"/>
                <w:szCs w:val="20"/>
              </w:rPr>
              <w:t>Black or African American</w:t>
            </w:r>
          </w:p>
        </w:tc>
        <w:tc>
          <w:tcPr>
            <w:tcW w:w="2217" w:type="dxa"/>
            <w:vAlign w:val="center"/>
          </w:tcPr>
          <w:p w14:paraId="15D91CB1" w14:textId="77777777" w:rsidR="00880FC7" w:rsidRPr="00520FF6" w:rsidRDefault="00880FC7" w:rsidP="00520FF6">
            <w:pPr>
              <w:rPr>
                <w:sz w:val="20"/>
                <w:szCs w:val="20"/>
              </w:rPr>
            </w:pPr>
            <w:r w:rsidRPr="00520FF6">
              <w:rPr>
                <w:sz w:val="20"/>
                <w:szCs w:val="20"/>
              </w:rPr>
              <w:t>12 (4%)</w:t>
            </w:r>
          </w:p>
        </w:tc>
        <w:tc>
          <w:tcPr>
            <w:tcW w:w="2217" w:type="dxa"/>
            <w:vAlign w:val="center"/>
          </w:tcPr>
          <w:p w14:paraId="452E60AE" w14:textId="77777777" w:rsidR="00880FC7" w:rsidRPr="00520FF6" w:rsidRDefault="00880FC7" w:rsidP="00520FF6">
            <w:pPr>
              <w:rPr>
                <w:sz w:val="20"/>
                <w:szCs w:val="20"/>
              </w:rPr>
            </w:pPr>
            <w:r w:rsidRPr="00520FF6">
              <w:rPr>
                <w:sz w:val="20"/>
                <w:szCs w:val="20"/>
              </w:rPr>
              <w:t>1 (1%)</w:t>
            </w:r>
          </w:p>
        </w:tc>
      </w:tr>
      <w:tr w:rsidR="00880FC7" w:rsidRPr="00520FF6" w14:paraId="75268C98" w14:textId="77777777" w:rsidTr="00B13185">
        <w:trPr>
          <w:trHeight w:val="20"/>
        </w:trPr>
        <w:tc>
          <w:tcPr>
            <w:tcW w:w="3413" w:type="dxa"/>
            <w:vAlign w:val="center"/>
          </w:tcPr>
          <w:p w14:paraId="702B408D" w14:textId="77777777" w:rsidR="00880FC7" w:rsidRPr="00520FF6" w:rsidRDefault="00880FC7" w:rsidP="00520FF6">
            <w:pPr>
              <w:rPr>
                <w:sz w:val="20"/>
                <w:szCs w:val="20"/>
              </w:rPr>
            </w:pPr>
            <w:r w:rsidRPr="00520FF6">
              <w:rPr>
                <w:sz w:val="20"/>
                <w:szCs w:val="20"/>
              </w:rPr>
              <w:t>Asian</w:t>
            </w:r>
          </w:p>
        </w:tc>
        <w:tc>
          <w:tcPr>
            <w:tcW w:w="2217" w:type="dxa"/>
            <w:vAlign w:val="center"/>
          </w:tcPr>
          <w:p w14:paraId="465862B3" w14:textId="77777777" w:rsidR="00880FC7" w:rsidRPr="00520FF6" w:rsidRDefault="00880FC7" w:rsidP="00520FF6">
            <w:pPr>
              <w:rPr>
                <w:sz w:val="20"/>
                <w:szCs w:val="20"/>
              </w:rPr>
            </w:pPr>
            <w:r w:rsidRPr="00520FF6">
              <w:rPr>
                <w:sz w:val="20"/>
                <w:szCs w:val="20"/>
              </w:rPr>
              <w:t>31 (11%)</w:t>
            </w:r>
          </w:p>
        </w:tc>
        <w:tc>
          <w:tcPr>
            <w:tcW w:w="2217" w:type="dxa"/>
            <w:vAlign w:val="center"/>
          </w:tcPr>
          <w:p w14:paraId="47CF4212" w14:textId="77777777" w:rsidR="00880FC7" w:rsidRPr="00520FF6" w:rsidRDefault="00880FC7" w:rsidP="00520FF6">
            <w:pPr>
              <w:rPr>
                <w:sz w:val="20"/>
                <w:szCs w:val="20"/>
              </w:rPr>
            </w:pPr>
            <w:r w:rsidRPr="00520FF6">
              <w:rPr>
                <w:sz w:val="20"/>
                <w:szCs w:val="20"/>
              </w:rPr>
              <w:t>16 (11%)</w:t>
            </w:r>
          </w:p>
        </w:tc>
      </w:tr>
      <w:tr w:rsidR="00880FC7" w:rsidRPr="00520FF6" w14:paraId="6DE54867" w14:textId="77777777" w:rsidTr="00B13185">
        <w:trPr>
          <w:trHeight w:val="20"/>
        </w:trPr>
        <w:tc>
          <w:tcPr>
            <w:tcW w:w="3413" w:type="dxa"/>
            <w:vAlign w:val="center"/>
          </w:tcPr>
          <w:p w14:paraId="62EC9E2D" w14:textId="77777777" w:rsidR="00880FC7" w:rsidRPr="00520FF6" w:rsidRDefault="00880FC7" w:rsidP="00520FF6">
            <w:pPr>
              <w:rPr>
                <w:sz w:val="20"/>
                <w:szCs w:val="20"/>
              </w:rPr>
            </w:pPr>
            <w:r w:rsidRPr="00520FF6">
              <w:rPr>
                <w:sz w:val="20"/>
                <w:szCs w:val="20"/>
              </w:rPr>
              <w:t>Other</w:t>
            </w:r>
          </w:p>
        </w:tc>
        <w:tc>
          <w:tcPr>
            <w:tcW w:w="2217" w:type="dxa"/>
            <w:vAlign w:val="center"/>
          </w:tcPr>
          <w:p w14:paraId="2A7D0109" w14:textId="77777777" w:rsidR="00880FC7" w:rsidRPr="00520FF6" w:rsidRDefault="00880FC7" w:rsidP="00520FF6">
            <w:pPr>
              <w:rPr>
                <w:sz w:val="20"/>
                <w:szCs w:val="20"/>
              </w:rPr>
            </w:pPr>
            <w:r w:rsidRPr="00520FF6">
              <w:rPr>
                <w:sz w:val="20"/>
                <w:szCs w:val="20"/>
              </w:rPr>
              <w:t>5 (2%)</w:t>
            </w:r>
          </w:p>
        </w:tc>
        <w:tc>
          <w:tcPr>
            <w:tcW w:w="2217" w:type="dxa"/>
            <w:vAlign w:val="center"/>
          </w:tcPr>
          <w:p w14:paraId="189D8433" w14:textId="77777777" w:rsidR="00880FC7" w:rsidRPr="00520FF6" w:rsidRDefault="00880FC7" w:rsidP="00520FF6">
            <w:pPr>
              <w:rPr>
                <w:sz w:val="20"/>
                <w:szCs w:val="20"/>
              </w:rPr>
            </w:pPr>
            <w:r w:rsidRPr="00520FF6">
              <w:rPr>
                <w:sz w:val="20"/>
                <w:szCs w:val="20"/>
              </w:rPr>
              <w:t>1 (1%)</w:t>
            </w:r>
          </w:p>
        </w:tc>
      </w:tr>
      <w:tr w:rsidR="00880FC7" w:rsidRPr="00520FF6" w14:paraId="512034BC" w14:textId="77777777" w:rsidTr="00B13185">
        <w:trPr>
          <w:trHeight w:val="20"/>
        </w:trPr>
        <w:tc>
          <w:tcPr>
            <w:tcW w:w="3413" w:type="dxa"/>
            <w:vAlign w:val="center"/>
          </w:tcPr>
          <w:p w14:paraId="10179A3F" w14:textId="77777777" w:rsidR="00880FC7" w:rsidRPr="00520FF6" w:rsidRDefault="00880FC7" w:rsidP="00520FF6">
            <w:pPr>
              <w:rPr>
                <w:sz w:val="20"/>
                <w:szCs w:val="20"/>
              </w:rPr>
            </w:pPr>
            <w:r w:rsidRPr="00520FF6">
              <w:rPr>
                <w:sz w:val="20"/>
                <w:szCs w:val="20"/>
              </w:rPr>
              <w:t>Not reported</w:t>
            </w:r>
          </w:p>
        </w:tc>
        <w:tc>
          <w:tcPr>
            <w:tcW w:w="2217" w:type="dxa"/>
            <w:vAlign w:val="center"/>
          </w:tcPr>
          <w:p w14:paraId="74851C0E" w14:textId="77777777" w:rsidR="00880FC7" w:rsidRPr="00520FF6" w:rsidRDefault="00880FC7" w:rsidP="00520FF6">
            <w:pPr>
              <w:rPr>
                <w:sz w:val="20"/>
                <w:szCs w:val="20"/>
              </w:rPr>
            </w:pPr>
            <w:r w:rsidRPr="00520FF6">
              <w:rPr>
                <w:sz w:val="20"/>
                <w:szCs w:val="20"/>
              </w:rPr>
              <w:t>47 (16%)</w:t>
            </w:r>
          </w:p>
        </w:tc>
        <w:tc>
          <w:tcPr>
            <w:tcW w:w="2217" w:type="dxa"/>
            <w:vAlign w:val="center"/>
          </w:tcPr>
          <w:p w14:paraId="319235A1" w14:textId="77777777" w:rsidR="00880FC7" w:rsidRPr="00520FF6" w:rsidRDefault="00880FC7" w:rsidP="00520FF6">
            <w:pPr>
              <w:rPr>
                <w:sz w:val="20"/>
                <w:szCs w:val="20"/>
              </w:rPr>
            </w:pPr>
            <w:r w:rsidRPr="00520FF6">
              <w:rPr>
                <w:sz w:val="20"/>
                <w:szCs w:val="20"/>
              </w:rPr>
              <w:t>18 (13%)</w:t>
            </w:r>
          </w:p>
        </w:tc>
      </w:tr>
      <w:tr w:rsidR="006E21D7" w:rsidRPr="00520FF6" w14:paraId="00B981CF" w14:textId="77777777" w:rsidTr="00505564">
        <w:trPr>
          <w:trHeight w:val="20"/>
        </w:trPr>
        <w:tc>
          <w:tcPr>
            <w:tcW w:w="7847" w:type="dxa"/>
            <w:gridSpan w:val="3"/>
            <w:shd w:val="clear" w:color="auto" w:fill="C6D4E9"/>
            <w:vAlign w:val="center"/>
          </w:tcPr>
          <w:p w14:paraId="4E287266" w14:textId="4F941128" w:rsidR="006E21D7" w:rsidRPr="00520FF6" w:rsidRDefault="006E21D7" w:rsidP="00520FF6">
            <w:pPr>
              <w:rPr>
                <w:b/>
                <w:sz w:val="20"/>
                <w:szCs w:val="20"/>
              </w:rPr>
            </w:pPr>
            <w:r w:rsidRPr="00520FF6">
              <w:rPr>
                <w:b/>
                <w:sz w:val="20"/>
                <w:szCs w:val="20"/>
              </w:rPr>
              <w:t>Ethnic group</w:t>
            </w:r>
          </w:p>
        </w:tc>
      </w:tr>
      <w:tr w:rsidR="00880FC7" w:rsidRPr="00520FF6" w14:paraId="135BC242" w14:textId="77777777" w:rsidTr="00B13185">
        <w:trPr>
          <w:trHeight w:val="20"/>
        </w:trPr>
        <w:tc>
          <w:tcPr>
            <w:tcW w:w="3413" w:type="dxa"/>
            <w:vAlign w:val="center"/>
          </w:tcPr>
          <w:p w14:paraId="67B59200" w14:textId="77777777" w:rsidR="00880FC7" w:rsidRPr="00520FF6" w:rsidRDefault="00880FC7" w:rsidP="00520FF6">
            <w:pPr>
              <w:rPr>
                <w:sz w:val="20"/>
                <w:szCs w:val="20"/>
              </w:rPr>
            </w:pPr>
            <w:r w:rsidRPr="00520FF6">
              <w:rPr>
                <w:sz w:val="20"/>
                <w:szCs w:val="20"/>
              </w:rPr>
              <w:t>Hispanic or Latino</w:t>
            </w:r>
          </w:p>
        </w:tc>
        <w:tc>
          <w:tcPr>
            <w:tcW w:w="2217" w:type="dxa"/>
            <w:vAlign w:val="center"/>
          </w:tcPr>
          <w:p w14:paraId="3BAF05DC" w14:textId="77777777" w:rsidR="00880FC7" w:rsidRPr="00520FF6" w:rsidRDefault="00880FC7" w:rsidP="00520FF6">
            <w:pPr>
              <w:rPr>
                <w:sz w:val="20"/>
                <w:szCs w:val="20"/>
              </w:rPr>
            </w:pPr>
            <w:r w:rsidRPr="00520FF6">
              <w:rPr>
                <w:sz w:val="20"/>
                <w:szCs w:val="20"/>
              </w:rPr>
              <w:t>31 (11%)</w:t>
            </w:r>
          </w:p>
        </w:tc>
        <w:tc>
          <w:tcPr>
            <w:tcW w:w="2217" w:type="dxa"/>
            <w:vAlign w:val="center"/>
          </w:tcPr>
          <w:p w14:paraId="44809187" w14:textId="77777777" w:rsidR="00880FC7" w:rsidRPr="00520FF6" w:rsidRDefault="00880FC7" w:rsidP="00520FF6">
            <w:pPr>
              <w:rPr>
                <w:sz w:val="20"/>
                <w:szCs w:val="20"/>
              </w:rPr>
            </w:pPr>
            <w:r w:rsidRPr="00520FF6">
              <w:rPr>
                <w:sz w:val="20"/>
                <w:szCs w:val="20"/>
              </w:rPr>
              <w:t>15 (10%)</w:t>
            </w:r>
          </w:p>
        </w:tc>
      </w:tr>
      <w:tr w:rsidR="00880FC7" w:rsidRPr="00520FF6" w14:paraId="57A3BB0D" w14:textId="77777777" w:rsidTr="00B13185">
        <w:trPr>
          <w:trHeight w:val="20"/>
        </w:trPr>
        <w:tc>
          <w:tcPr>
            <w:tcW w:w="3413" w:type="dxa"/>
            <w:vAlign w:val="center"/>
          </w:tcPr>
          <w:p w14:paraId="42382C21" w14:textId="77777777" w:rsidR="00880FC7" w:rsidRPr="00520FF6" w:rsidRDefault="00880FC7" w:rsidP="00520FF6">
            <w:pPr>
              <w:rPr>
                <w:sz w:val="20"/>
                <w:szCs w:val="20"/>
              </w:rPr>
            </w:pPr>
            <w:r w:rsidRPr="00520FF6">
              <w:rPr>
                <w:sz w:val="20"/>
                <w:szCs w:val="20"/>
              </w:rPr>
              <w:t>Not Hispanic or Latino</w:t>
            </w:r>
          </w:p>
        </w:tc>
        <w:tc>
          <w:tcPr>
            <w:tcW w:w="2217" w:type="dxa"/>
            <w:vAlign w:val="center"/>
          </w:tcPr>
          <w:p w14:paraId="0001B2C7" w14:textId="77777777" w:rsidR="00880FC7" w:rsidRPr="00520FF6" w:rsidRDefault="00880FC7" w:rsidP="00520FF6">
            <w:pPr>
              <w:rPr>
                <w:sz w:val="20"/>
                <w:szCs w:val="20"/>
              </w:rPr>
            </w:pPr>
            <w:r w:rsidRPr="00520FF6">
              <w:rPr>
                <w:sz w:val="20"/>
                <w:szCs w:val="20"/>
              </w:rPr>
              <w:t>210 (73%)</w:t>
            </w:r>
          </w:p>
        </w:tc>
        <w:tc>
          <w:tcPr>
            <w:tcW w:w="2217" w:type="dxa"/>
            <w:vAlign w:val="center"/>
          </w:tcPr>
          <w:p w14:paraId="5C342607" w14:textId="77777777" w:rsidR="00880FC7" w:rsidRPr="00520FF6" w:rsidRDefault="00880FC7" w:rsidP="00520FF6">
            <w:pPr>
              <w:rPr>
                <w:sz w:val="20"/>
                <w:szCs w:val="20"/>
              </w:rPr>
            </w:pPr>
            <w:r w:rsidRPr="00520FF6">
              <w:rPr>
                <w:sz w:val="20"/>
                <w:szCs w:val="20"/>
              </w:rPr>
              <w:t>111 (77%)</w:t>
            </w:r>
          </w:p>
        </w:tc>
      </w:tr>
      <w:tr w:rsidR="00880FC7" w:rsidRPr="00520FF6" w14:paraId="27DED60F" w14:textId="77777777" w:rsidTr="00B13185">
        <w:trPr>
          <w:trHeight w:val="20"/>
        </w:trPr>
        <w:tc>
          <w:tcPr>
            <w:tcW w:w="3413" w:type="dxa"/>
            <w:vAlign w:val="center"/>
          </w:tcPr>
          <w:p w14:paraId="3F4BC7A0" w14:textId="77777777" w:rsidR="00880FC7" w:rsidRPr="00520FF6" w:rsidRDefault="00880FC7" w:rsidP="00520FF6">
            <w:pPr>
              <w:rPr>
                <w:sz w:val="20"/>
                <w:szCs w:val="20"/>
              </w:rPr>
            </w:pPr>
            <w:r w:rsidRPr="00520FF6">
              <w:rPr>
                <w:sz w:val="20"/>
                <w:szCs w:val="20"/>
              </w:rPr>
              <w:t>Not reported</w:t>
            </w:r>
          </w:p>
        </w:tc>
        <w:tc>
          <w:tcPr>
            <w:tcW w:w="2217" w:type="dxa"/>
            <w:vAlign w:val="center"/>
          </w:tcPr>
          <w:p w14:paraId="59362029" w14:textId="77777777" w:rsidR="00880FC7" w:rsidRPr="00520FF6" w:rsidRDefault="00880FC7" w:rsidP="00520FF6">
            <w:pPr>
              <w:rPr>
                <w:sz w:val="20"/>
                <w:szCs w:val="20"/>
              </w:rPr>
            </w:pPr>
            <w:r w:rsidRPr="00520FF6">
              <w:rPr>
                <w:sz w:val="20"/>
                <w:szCs w:val="20"/>
              </w:rPr>
              <w:t>46 (16%)</w:t>
            </w:r>
          </w:p>
        </w:tc>
        <w:tc>
          <w:tcPr>
            <w:tcW w:w="2217" w:type="dxa"/>
            <w:vAlign w:val="center"/>
          </w:tcPr>
          <w:p w14:paraId="0C7CB956" w14:textId="77777777" w:rsidR="00880FC7" w:rsidRPr="00520FF6" w:rsidRDefault="00880FC7" w:rsidP="00520FF6">
            <w:pPr>
              <w:rPr>
                <w:sz w:val="20"/>
                <w:szCs w:val="20"/>
              </w:rPr>
            </w:pPr>
            <w:r w:rsidRPr="00520FF6">
              <w:rPr>
                <w:sz w:val="20"/>
                <w:szCs w:val="20"/>
              </w:rPr>
              <w:t>18 (13%)</w:t>
            </w:r>
          </w:p>
        </w:tc>
      </w:tr>
      <w:tr w:rsidR="006E21D7" w:rsidRPr="00520FF6" w14:paraId="76E3C0D6" w14:textId="77777777" w:rsidTr="00505564">
        <w:trPr>
          <w:trHeight w:val="20"/>
        </w:trPr>
        <w:tc>
          <w:tcPr>
            <w:tcW w:w="7847" w:type="dxa"/>
            <w:gridSpan w:val="3"/>
            <w:shd w:val="clear" w:color="auto" w:fill="C6D4E9"/>
            <w:vAlign w:val="center"/>
          </w:tcPr>
          <w:p w14:paraId="7C7A322C" w14:textId="0FF3A9E5" w:rsidR="006E21D7" w:rsidRPr="00520FF6" w:rsidRDefault="006E21D7" w:rsidP="00520FF6">
            <w:pPr>
              <w:rPr>
                <w:b/>
                <w:sz w:val="20"/>
                <w:szCs w:val="20"/>
              </w:rPr>
            </w:pPr>
            <w:r w:rsidRPr="00520FF6">
              <w:rPr>
                <w:b/>
                <w:sz w:val="20"/>
                <w:szCs w:val="20"/>
              </w:rPr>
              <w:t>ECOG</w:t>
            </w:r>
          </w:p>
        </w:tc>
      </w:tr>
      <w:tr w:rsidR="00880FC7" w:rsidRPr="00520FF6" w14:paraId="2BAABD57" w14:textId="77777777" w:rsidTr="00B13185">
        <w:trPr>
          <w:trHeight w:val="20"/>
        </w:trPr>
        <w:tc>
          <w:tcPr>
            <w:tcW w:w="3413" w:type="dxa"/>
            <w:vAlign w:val="center"/>
          </w:tcPr>
          <w:p w14:paraId="1A69BF84" w14:textId="77777777" w:rsidR="00880FC7" w:rsidRPr="00520FF6" w:rsidRDefault="00880FC7" w:rsidP="00520FF6">
            <w:pPr>
              <w:rPr>
                <w:sz w:val="20"/>
                <w:szCs w:val="20"/>
              </w:rPr>
            </w:pPr>
            <w:r w:rsidRPr="00520FF6">
              <w:rPr>
                <w:sz w:val="20"/>
                <w:szCs w:val="20"/>
              </w:rPr>
              <w:t>0</w:t>
            </w:r>
          </w:p>
        </w:tc>
        <w:tc>
          <w:tcPr>
            <w:tcW w:w="2217" w:type="dxa"/>
            <w:vAlign w:val="center"/>
          </w:tcPr>
          <w:p w14:paraId="65E4E279" w14:textId="77777777" w:rsidR="00880FC7" w:rsidRPr="00520FF6" w:rsidRDefault="00880FC7" w:rsidP="00520FF6">
            <w:pPr>
              <w:rPr>
                <w:sz w:val="20"/>
                <w:szCs w:val="20"/>
              </w:rPr>
            </w:pPr>
            <w:r w:rsidRPr="00520FF6">
              <w:rPr>
                <w:sz w:val="20"/>
                <w:szCs w:val="20"/>
              </w:rPr>
              <w:t>153 (53%)</w:t>
            </w:r>
          </w:p>
        </w:tc>
        <w:tc>
          <w:tcPr>
            <w:tcW w:w="2217" w:type="dxa"/>
            <w:vAlign w:val="center"/>
          </w:tcPr>
          <w:p w14:paraId="18D12CA7" w14:textId="77777777" w:rsidR="00880FC7" w:rsidRPr="00520FF6" w:rsidRDefault="00880FC7" w:rsidP="00520FF6">
            <w:pPr>
              <w:rPr>
                <w:sz w:val="20"/>
                <w:szCs w:val="20"/>
              </w:rPr>
            </w:pPr>
            <w:r w:rsidRPr="00520FF6">
              <w:rPr>
                <w:sz w:val="20"/>
                <w:szCs w:val="20"/>
              </w:rPr>
              <w:t>84 (58%)</w:t>
            </w:r>
          </w:p>
        </w:tc>
      </w:tr>
      <w:tr w:rsidR="00880FC7" w:rsidRPr="00520FF6" w14:paraId="416CA954" w14:textId="77777777" w:rsidTr="00B13185">
        <w:trPr>
          <w:trHeight w:val="20"/>
        </w:trPr>
        <w:tc>
          <w:tcPr>
            <w:tcW w:w="3413" w:type="dxa"/>
            <w:vAlign w:val="center"/>
          </w:tcPr>
          <w:p w14:paraId="502E6EB3" w14:textId="77777777" w:rsidR="00880FC7" w:rsidRPr="00520FF6" w:rsidRDefault="00880FC7" w:rsidP="00520FF6">
            <w:pPr>
              <w:rPr>
                <w:sz w:val="20"/>
                <w:szCs w:val="20"/>
              </w:rPr>
            </w:pPr>
            <w:r w:rsidRPr="00520FF6">
              <w:rPr>
                <w:sz w:val="20"/>
                <w:szCs w:val="20"/>
              </w:rPr>
              <w:t>1</w:t>
            </w:r>
          </w:p>
        </w:tc>
        <w:tc>
          <w:tcPr>
            <w:tcW w:w="2217" w:type="dxa"/>
            <w:vAlign w:val="center"/>
          </w:tcPr>
          <w:p w14:paraId="2059966E" w14:textId="77777777" w:rsidR="00880FC7" w:rsidRPr="00520FF6" w:rsidRDefault="00880FC7" w:rsidP="00520FF6">
            <w:pPr>
              <w:rPr>
                <w:sz w:val="20"/>
                <w:szCs w:val="20"/>
              </w:rPr>
            </w:pPr>
            <w:r w:rsidRPr="00520FF6">
              <w:rPr>
                <w:sz w:val="20"/>
                <w:szCs w:val="20"/>
              </w:rPr>
              <w:t>127 (44%)</w:t>
            </w:r>
          </w:p>
        </w:tc>
        <w:tc>
          <w:tcPr>
            <w:tcW w:w="2217" w:type="dxa"/>
            <w:vAlign w:val="center"/>
          </w:tcPr>
          <w:p w14:paraId="27ECC5CA" w14:textId="77777777" w:rsidR="00880FC7" w:rsidRPr="00520FF6" w:rsidRDefault="00880FC7" w:rsidP="00520FF6">
            <w:pPr>
              <w:rPr>
                <w:sz w:val="20"/>
                <w:szCs w:val="20"/>
              </w:rPr>
            </w:pPr>
            <w:r w:rsidRPr="00520FF6">
              <w:rPr>
                <w:sz w:val="20"/>
                <w:szCs w:val="20"/>
              </w:rPr>
              <w:t>57 (40%)</w:t>
            </w:r>
          </w:p>
        </w:tc>
      </w:tr>
      <w:tr w:rsidR="00880FC7" w:rsidRPr="00520FF6" w14:paraId="5EC9C1BF" w14:textId="77777777" w:rsidTr="00B13185">
        <w:trPr>
          <w:trHeight w:val="20"/>
        </w:trPr>
        <w:tc>
          <w:tcPr>
            <w:tcW w:w="3413" w:type="dxa"/>
            <w:vAlign w:val="center"/>
          </w:tcPr>
          <w:p w14:paraId="00A8D848" w14:textId="77777777" w:rsidR="00880FC7" w:rsidRPr="00520FF6" w:rsidRDefault="00880FC7" w:rsidP="00520FF6">
            <w:pPr>
              <w:rPr>
                <w:sz w:val="20"/>
                <w:szCs w:val="20"/>
              </w:rPr>
            </w:pPr>
            <w:r w:rsidRPr="00520FF6">
              <w:rPr>
                <w:sz w:val="20"/>
                <w:szCs w:val="20"/>
              </w:rPr>
              <w:t>2</w:t>
            </w:r>
          </w:p>
        </w:tc>
        <w:tc>
          <w:tcPr>
            <w:tcW w:w="2217" w:type="dxa"/>
            <w:vAlign w:val="center"/>
          </w:tcPr>
          <w:p w14:paraId="687DF0AF" w14:textId="77777777" w:rsidR="00880FC7" w:rsidRPr="00520FF6" w:rsidRDefault="00880FC7" w:rsidP="00520FF6">
            <w:pPr>
              <w:rPr>
                <w:sz w:val="20"/>
                <w:szCs w:val="20"/>
              </w:rPr>
            </w:pPr>
            <w:r w:rsidRPr="00520FF6">
              <w:rPr>
                <w:sz w:val="20"/>
                <w:szCs w:val="20"/>
              </w:rPr>
              <w:t>6 (2%)</w:t>
            </w:r>
          </w:p>
        </w:tc>
        <w:tc>
          <w:tcPr>
            <w:tcW w:w="2217" w:type="dxa"/>
            <w:vAlign w:val="center"/>
          </w:tcPr>
          <w:p w14:paraId="4287620F" w14:textId="77777777" w:rsidR="00880FC7" w:rsidRPr="00520FF6" w:rsidRDefault="00880FC7" w:rsidP="00520FF6">
            <w:pPr>
              <w:rPr>
                <w:sz w:val="20"/>
                <w:szCs w:val="20"/>
              </w:rPr>
            </w:pPr>
            <w:r w:rsidRPr="00520FF6">
              <w:rPr>
                <w:sz w:val="20"/>
                <w:szCs w:val="20"/>
              </w:rPr>
              <w:t>2 (1%)</w:t>
            </w:r>
          </w:p>
        </w:tc>
      </w:tr>
      <w:tr w:rsidR="00880FC7" w:rsidRPr="00520FF6" w14:paraId="27AA9212" w14:textId="77777777" w:rsidTr="00B13185">
        <w:trPr>
          <w:trHeight w:val="20"/>
        </w:trPr>
        <w:tc>
          <w:tcPr>
            <w:tcW w:w="3413" w:type="dxa"/>
            <w:vAlign w:val="center"/>
          </w:tcPr>
          <w:p w14:paraId="7D1AB697" w14:textId="77777777" w:rsidR="00880FC7" w:rsidRPr="00520FF6" w:rsidRDefault="00880FC7" w:rsidP="00520FF6">
            <w:pPr>
              <w:rPr>
                <w:sz w:val="20"/>
                <w:szCs w:val="20"/>
              </w:rPr>
            </w:pPr>
            <w:r w:rsidRPr="00520FF6">
              <w:rPr>
                <w:sz w:val="20"/>
                <w:szCs w:val="20"/>
              </w:rPr>
              <w:t>Unknown</w:t>
            </w:r>
          </w:p>
        </w:tc>
        <w:tc>
          <w:tcPr>
            <w:tcW w:w="2217" w:type="dxa"/>
            <w:vAlign w:val="center"/>
          </w:tcPr>
          <w:p w14:paraId="04DBC8E1" w14:textId="67D32008" w:rsidR="00880FC7" w:rsidRPr="00520FF6" w:rsidRDefault="00880FC7" w:rsidP="00520FF6">
            <w:pPr>
              <w:rPr>
                <w:sz w:val="20"/>
                <w:szCs w:val="20"/>
              </w:rPr>
            </w:pPr>
            <w:r w:rsidRPr="00520FF6">
              <w:rPr>
                <w:sz w:val="20"/>
                <w:szCs w:val="20"/>
              </w:rPr>
              <w:t>1 (&lt;</w:t>
            </w:r>
            <w:r w:rsidR="00B13185" w:rsidRPr="00520FF6">
              <w:rPr>
                <w:sz w:val="20"/>
                <w:szCs w:val="20"/>
              </w:rPr>
              <w:t xml:space="preserve"> </w:t>
            </w:r>
            <w:r w:rsidRPr="00520FF6">
              <w:rPr>
                <w:sz w:val="20"/>
                <w:szCs w:val="20"/>
              </w:rPr>
              <w:t>1%)</w:t>
            </w:r>
          </w:p>
        </w:tc>
        <w:tc>
          <w:tcPr>
            <w:tcW w:w="2217" w:type="dxa"/>
            <w:vAlign w:val="center"/>
          </w:tcPr>
          <w:p w14:paraId="7EB60353" w14:textId="77777777" w:rsidR="00880FC7" w:rsidRPr="00520FF6" w:rsidRDefault="00880FC7" w:rsidP="00520FF6">
            <w:pPr>
              <w:rPr>
                <w:sz w:val="20"/>
                <w:szCs w:val="20"/>
              </w:rPr>
            </w:pPr>
            <w:r w:rsidRPr="00520FF6">
              <w:rPr>
                <w:sz w:val="20"/>
                <w:szCs w:val="20"/>
              </w:rPr>
              <w:t>1 (1%)</w:t>
            </w:r>
          </w:p>
        </w:tc>
      </w:tr>
      <w:tr w:rsidR="006E21D7" w:rsidRPr="00520FF6" w14:paraId="7A535B29" w14:textId="77777777" w:rsidTr="00505564">
        <w:trPr>
          <w:trHeight w:val="20"/>
        </w:trPr>
        <w:tc>
          <w:tcPr>
            <w:tcW w:w="7847" w:type="dxa"/>
            <w:gridSpan w:val="3"/>
            <w:shd w:val="clear" w:color="auto" w:fill="C6D4E9"/>
            <w:vAlign w:val="center"/>
          </w:tcPr>
          <w:p w14:paraId="5E6F9927" w14:textId="1933E6E8" w:rsidR="006E21D7" w:rsidRPr="00520FF6" w:rsidRDefault="006E21D7" w:rsidP="00520FF6">
            <w:pPr>
              <w:rPr>
                <w:b/>
                <w:sz w:val="20"/>
                <w:szCs w:val="20"/>
              </w:rPr>
            </w:pPr>
            <w:r w:rsidRPr="00520FF6">
              <w:rPr>
                <w:b/>
                <w:sz w:val="20"/>
                <w:szCs w:val="20"/>
              </w:rPr>
              <w:t>Geographic region</w:t>
            </w:r>
          </w:p>
        </w:tc>
      </w:tr>
      <w:tr w:rsidR="00880FC7" w:rsidRPr="00520FF6" w14:paraId="766EAD59" w14:textId="77777777" w:rsidTr="00B13185">
        <w:trPr>
          <w:trHeight w:val="20"/>
        </w:trPr>
        <w:tc>
          <w:tcPr>
            <w:tcW w:w="3413" w:type="dxa"/>
            <w:vAlign w:val="center"/>
          </w:tcPr>
          <w:p w14:paraId="6ADD269C" w14:textId="77777777" w:rsidR="00880FC7" w:rsidRPr="00520FF6" w:rsidRDefault="00880FC7" w:rsidP="00520FF6">
            <w:pPr>
              <w:rPr>
                <w:sz w:val="20"/>
                <w:szCs w:val="20"/>
              </w:rPr>
            </w:pPr>
            <w:r w:rsidRPr="00520FF6">
              <w:rPr>
                <w:sz w:val="20"/>
                <w:szCs w:val="20"/>
              </w:rPr>
              <w:t>Europe</w:t>
            </w:r>
          </w:p>
        </w:tc>
        <w:tc>
          <w:tcPr>
            <w:tcW w:w="2217" w:type="dxa"/>
            <w:vAlign w:val="center"/>
          </w:tcPr>
          <w:p w14:paraId="411F0C1C" w14:textId="77777777" w:rsidR="00880FC7" w:rsidRPr="00520FF6" w:rsidRDefault="00880FC7" w:rsidP="00520FF6">
            <w:pPr>
              <w:rPr>
                <w:sz w:val="20"/>
                <w:szCs w:val="20"/>
              </w:rPr>
            </w:pPr>
            <w:r w:rsidRPr="00520FF6">
              <w:rPr>
                <w:sz w:val="20"/>
                <w:szCs w:val="20"/>
              </w:rPr>
              <w:t>134 (47%)</w:t>
            </w:r>
          </w:p>
        </w:tc>
        <w:tc>
          <w:tcPr>
            <w:tcW w:w="2217" w:type="dxa"/>
            <w:vAlign w:val="center"/>
          </w:tcPr>
          <w:p w14:paraId="5F205521" w14:textId="77777777" w:rsidR="00880FC7" w:rsidRPr="00520FF6" w:rsidRDefault="00880FC7" w:rsidP="00520FF6">
            <w:pPr>
              <w:rPr>
                <w:sz w:val="20"/>
                <w:szCs w:val="20"/>
              </w:rPr>
            </w:pPr>
            <w:r w:rsidRPr="00520FF6">
              <w:rPr>
                <w:sz w:val="20"/>
                <w:szCs w:val="20"/>
              </w:rPr>
              <w:t>56 (39%)</w:t>
            </w:r>
          </w:p>
        </w:tc>
      </w:tr>
      <w:tr w:rsidR="00880FC7" w:rsidRPr="00520FF6" w14:paraId="59650140" w14:textId="77777777" w:rsidTr="00B13185">
        <w:trPr>
          <w:trHeight w:val="20"/>
        </w:trPr>
        <w:tc>
          <w:tcPr>
            <w:tcW w:w="3413" w:type="dxa"/>
            <w:vAlign w:val="center"/>
          </w:tcPr>
          <w:p w14:paraId="0EFD31C9" w14:textId="77777777" w:rsidR="00880FC7" w:rsidRPr="00520FF6" w:rsidRDefault="00880FC7" w:rsidP="00520FF6">
            <w:pPr>
              <w:rPr>
                <w:sz w:val="20"/>
                <w:szCs w:val="20"/>
              </w:rPr>
            </w:pPr>
            <w:r w:rsidRPr="00520FF6">
              <w:rPr>
                <w:sz w:val="20"/>
                <w:szCs w:val="20"/>
              </w:rPr>
              <w:t>North America</w:t>
            </w:r>
          </w:p>
        </w:tc>
        <w:tc>
          <w:tcPr>
            <w:tcW w:w="2217" w:type="dxa"/>
            <w:vAlign w:val="center"/>
          </w:tcPr>
          <w:p w14:paraId="226BA8A3" w14:textId="77777777" w:rsidR="00880FC7" w:rsidRPr="00520FF6" w:rsidRDefault="00880FC7" w:rsidP="00520FF6">
            <w:pPr>
              <w:rPr>
                <w:sz w:val="20"/>
                <w:szCs w:val="20"/>
              </w:rPr>
            </w:pPr>
            <w:r w:rsidRPr="00520FF6">
              <w:rPr>
                <w:sz w:val="20"/>
                <w:szCs w:val="20"/>
              </w:rPr>
              <w:t>99 (35%)</w:t>
            </w:r>
          </w:p>
        </w:tc>
        <w:tc>
          <w:tcPr>
            <w:tcW w:w="2217" w:type="dxa"/>
            <w:vAlign w:val="center"/>
          </w:tcPr>
          <w:p w14:paraId="17314D09" w14:textId="77777777" w:rsidR="00880FC7" w:rsidRPr="00520FF6" w:rsidRDefault="00880FC7" w:rsidP="00520FF6">
            <w:pPr>
              <w:rPr>
                <w:sz w:val="20"/>
                <w:szCs w:val="20"/>
              </w:rPr>
            </w:pPr>
            <w:r w:rsidRPr="00520FF6">
              <w:rPr>
                <w:sz w:val="20"/>
                <w:szCs w:val="20"/>
              </w:rPr>
              <w:t>57 (40%)</w:t>
            </w:r>
          </w:p>
        </w:tc>
      </w:tr>
      <w:tr w:rsidR="00880FC7" w:rsidRPr="00520FF6" w14:paraId="32CB5E7E" w14:textId="77777777" w:rsidTr="00B13185">
        <w:trPr>
          <w:trHeight w:val="20"/>
        </w:trPr>
        <w:tc>
          <w:tcPr>
            <w:tcW w:w="3413" w:type="dxa"/>
            <w:vAlign w:val="center"/>
          </w:tcPr>
          <w:p w14:paraId="12EDC9D2" w14:textId="47155E67" w:rsidR="00880FC7" w:rsidRPr="00520FF6" w:rsidRDefault="00880FC7" w:rsidP="00520FF6">
            <w:pPr>
              <w:rPr>
                <w:sz w:val="20"/>
                <w:szCs w:val="20"/>
              </w:rPr>
            </w:pPr>
            <w:r w:rsidRPr="00520FF6">
              <w:rPr>
                <w:sz w:val="20"/>
                <w:szCs w:val="20"/>
              </w:rPr>
              <w:t xml:space="preserve">Rest </w:t>
            </w:r>
            <w:r w:rsidR="00CA15AD" w:rsidRPr="00520FF6">
              <w:rPr>
                <w:sz w:val="20"/>
                <w:szCs w:val="20"/>
              </w:rPr>
              <w:t>of the world</w:t>
            </w:r>
          </w:p>
        </w:tc>
        <w:tc>
          <w:tcPr>
            <w:tcW w:w="2217" w:type="dxa"/>
            <w:vAlign w:val="center"/>
          </w:tcPr>
          <w:p w14:paraId="47644166" w14:textId="77777777" w:rsidR="00880FC7" w:rsidRPr="00520FF6" w:rsidRDefault="00880FC7" w:rsidP="00520FF6">
            <w:pPr>
              <w:rPr>
                <w:sz w:val="20"/>
                <w:szCs w:val="20"/>
              </w:rPr>
            </w:pPr>
            <w:r w:rsidRPr="00520FF6">
              <w:rPr>
                <w:sz w:val="20"/>
                <w:szCs w:val="20"/>
              </w:rPr>
              <w:t>54 (19%)</w:t>
            </w:r>
          </w:p>
        </w:tc>
        <w:tc>
          <w:tcPr>
            <w:tcW w:w="2217" w:type="dxa"/>
            <w:vAlign w:val="center"/>
          </w:tcPr>
          <w:p w14:paraId="6C2DC42A" w14:textId="77777777" w:rsidR="00880FC7" w:rsidRPr="00520FF6" w:rsidRDefault="00880FC7" w:rsidP="00520FF6">
            <w:pPr>
              <w:rPr>
                <w:sz w:val="20"/>
                <w:szCs w:val="20"/>
              </w:rPr>
            </w:pPr>
            <w:r w:rsidRPr="00520FF6">
              <w:rPr>
                <w:sz w:val="20"/>
                <w:szCs w:val="20"/>
              </w:rPr>
              <w:t>31 (22%)</w:t>
            </w:r>
          </w:p>
        </w:tc>
      </w:tr>
    </w:tbl>
    <w:p w14:paraId="52BC9E80" w14:textId="5F3E1F3D" w:rsidR="00880FC7" w:rsidRDefault="00880FC7" w:rsidP="00CB6831">
      <w:pPr>
        <w:pStyle w:val="TableTitle"/>
      </w:pPr>
      <w:bookmarkStart w:id="45" w:name="_Ref20736481"/>
      <w:r>
        <w:t xml:space="preserve">Table </w:t>
      </w:r>
      <w:fldSimple w:instr=" SEQ Table \* ARABIC ">
        <w:r w:rsidR="00F94E2C">
          <w:rPr>
            <w:noProof/>
          </w:rPr>
          <w:t>5</w:t>
        </w:r>
      </w:fldSimple>
      <w:bookmarkEnd w:id="45"/>
      <w:r w:rsidR="00F94E2C">
        <w:t>:</w:t>
      </w:r>
      <w:r>
        <w:t xml:space="preserve"> Baseline disease characteristics of the EMBRACA</w:t>
      </w:r>
      <w:r w:rsidR="00ED7D4D">
        <w:t xml:space="preserve"> trial</w:t>
      </w:r>
      <w:r>
        <w:t xml:space="preserve"> study population</w:t>
      </w:r>
    </w:p>
    <w:tbl>
      <w:tblPr>
        <w:tblStyle w:val="TableTGAblue"/>
        <w:tblW w:w="7911" w:type="dxa"/>
        <w:tblLayout w:type="fixed"/>
        <w:tblLook w:val="01E0" w:firstRow="1" w:lastRow="1" w:firstColumn="1" w:lastColumn="1" w:noHBand="0" w:noVBand="0"/>
      </w:tblPr>
      <w:tblGrid>
        <w:gridCol w:w="3446"/>
        <w:gridCol w:w="2296"/>
        <w:gridCol w:w="2169"/>
      </w:tblGrid>
      <w:tr w:rsidR="00880FC7" w:rsidRPr="00520FF6" w14:paraId="18FC3397" w14:textId="77777777" w:rsidTr="006C320C">
        <w:trPr>
          <w:cnfStyle w:val="100000000000" w:firstRow="1" w:lastRow="0" w:firstColumn="0" w:lastColumn="0" w:oddVBand="0" w:evenVBand="0" w:oddHBand="0" w:evenHBand="0" w:firstRowFirstColumn="0" w:firstRowLastColumn="0" w:lastRowFirstColumn="0" w:lastRowLastColumn="0"/>
          <w:trHeight w:val="17"/>
        </w:trPr>
        <w:tc>
          <w:tcPr>
            <w:tcW w:w="3446" w:type="dxa"/>
          </w:tcPr>
          <w:p w14:paraId="29197994" w14:textId="77777777" w:rsidR="00880FC7" w:rsidRPr="00520FF6" w:rsidRDefault="00880FC7" w:rsidP="00B13185">
            <w:pPr>
              <w:pStyle w:val="Tabletext"/>
              <w:ind w:left="0" w:right="0"/>
              <w:jc w:val="center"/>
              <w:rPr>
                <w:sz w:val="20"/>
                <w:szCs w:val="20"/>
              </w:rPr>
            </w:pPr>
          </w:p>
        </w:tc>
        <w:tc>
          <w:tcPr>
            <w:tcW w:w="2296" w:type="dxa"/>
          </w:tcPr>
          <w:p w14:paraId="5159FDE1" w14:textId="77777777" w:rsidR="00880FC7" w:rsidRPr="00520FF6" w:rsidRDefault="00880FC7" w:rsidP="00520FF6">
            <w:pPr>
              <w:rPr>
                <w:sz w:val="20"/>
                <w:szCs w:val="20"/>
              </w:rPr>
            </w:pPr>
            <w:proofErr w:type="spellStart"/>
            <w:r w:rsidRPr="00520FF6">
              <w:rPr>
                <w:sz w:val="20"/>
                <w:szCs w:val="20"/>
              </w:rPr>
              <w:t>Talazoparib</w:t>
            </w:r>
            <w:proofErr w:type="spellEnd"/>
          </w:p>
          <w:p w14:paraId="046D75C9" w14:textId="38EC564D" w:rsidR="00880FC7" w:rsidRPr="00520FF6" w:rsidRDefault="00880FC7" w:rsidP="00520FF6">
            <w:pPr>
              <w:rPr>
                <w:sz w:val="20"/>
                <w:szCs w:val="20"/>
              </w:rPr>
            </w:pPr>
            <w:r w:rsidRPr="00520FF6">
              <w:rPr>
                <w:sz w:val="20"/>
                <w:szCs w:val="20"/>
              </w:rPr>
              <w:t>N</w:t>
            </w:r>
            <w:r w:rsidR="00F94E2C" w:rsidRPr="00520FF6">
              <w:rPr>
                <w:sz w:val="20"/>
                <w:szCs w:val="20"/>
              </w:rPr>
              <w:t xml:space="preserve"> </w:t>
            </w:r>
            <w:r w:rsidRPr="00520FF6">
              <w:rPr>
                <w:sz w:val="20"/>
                <w:szCs w:val="20"/>
              </w:rPr>
              <w:t>=</w:t>
            </w:r>
            <w:r w:rsidR="00F94E2C" w:rsidRPr="00520FF6">
              <w:rPr>
                <w:sz w:val="20"/>
                <w:szCs w:val="20"/>
              </w:rPr>
              <w:t xml:space="preserve"> </w:t>
            </w:r>
            <w:r w:rsidRPr="00520FF6">
              <w:rPr>
                <w:sz w:val="20"/>
                <w:szCs w:val="20"/>
              </w:rPr>
              <w:t>287 (%)</w:t>
            </w:r>
          </w:p>
        </w:tc>
        <w:tc>
          <w:tcPr>
            <w:tcW w:w="2169" w:type="dxa"/>
          </w:tcPr>
          <w:p w14:paraId="764C59B6" w14:textId="77777777" w:rsidR="00880FC7" w:rsidRPr="00520FF6" w:rsidRDefault="00880FC7" w:rsidP="00520FF6">
            <w:pPr>
              <w:rPr>
                <w:sz w:val="20"/>
                <w:szCs w:val="20"/>
              </w:rPr>
            </w:pPr>
            <w:r w:rsidRPr="00520FF6">
              <w:rPr>
                <w:sz w:val="20"/>
                <w:szCs w:val="20"/>
              </w:rPr>
              <w:t>PCT</w:t>
            </w:r>
          </w:p>
          <w:p w14:paraId="6A1A9613" w14:textId="167B96A6" w:rsidR="00880FC7" w:rsidRPr="00520FF6" w:rsidRDefault="00880FC7" w:rsidP="00520FF6">
            <w:pPr>
              <w:rPr>
                <w:sz w:val="20"/>
                <w:szCs w:val="20"/>
              </w:rPr>
            </w:pPr>
            <w:r w:rsidRPr="00520FF6">
              <w:rPr>
                <w:sz w:val="20"/>
                <w:szCs w:val="20"/>
              </w:rPr>
              <w:t>N</w:t>
            </w:r>
            <w:r w:rsidR="00F94E2C" w:rsidRPr="00520FF6">
              <w:rPr>
                <w:sz w:val="20"/>
                <w:szCs w:val="20"/>
              </w:rPr>
              <w:t xml:space="preserve"> </w:t>
            </w:r>
            <w:r w:rsidRPr="00520FF6">
              <w:rPr>
                <w:sz w:val="20"/>
                <w:szCs w:val="20"/>
              </w:rPr>
              <w:t>=</w:t>
            </w:r>
            <w:r w:rsidR="00F94E2C" w:rsidRPr="00520FF6">
              <w:rPr>
                <w:sz w:val="20"/>
                <w:szCs w:val="20"/>
              </w:rPr>
              <w:t xml:space="preserve"> </w:t>
            </w:r>
            <w:r w:rsidRPr="00520FF6">
              <w:rPr>
                <w:sz w:val="20"/>
                <w:szCs w:val="20"/>
              </w:rPr>
              <w:t>144 (%)</w:t>
            </w:r>
          </w:p>
        </w:tc>
      </w:tr>
      <w:tr w:rsidR="00ED7D4D" w:rsidRPr="00520FF6" w14:paraId="407483D6" w14:textId="77777777" w:rsidTr="00505564">
        <w:trPr>
          <w:trHeight w:val="17"/>
        </w:trPr>
        <w:tc>
          <w:tcPr>
            <w:tcW w:w="7911" w:type="dxa"/>
            <w:gridSpan w:val="3"/>
            <w:shd w:val="clear" w:color="auto" w:fill="C6D4E9"/>
          </w:tcPr>
          <w:p w14:paraId="6B1C8704" w14:textId="3DFED97F" w:rsidR="00ED7D4D" w:rsidRPr="00520FF6" w:rsidRDefault="00ED7D4D" w:rsidP="00520FF6">
            <w:pPr>
              <w:rPr>
                <w:b/>
                <w:sz w:val="20"/>
                <w:szCs w:val="20"/>
              </w:rPr>
            </w:pPr>
            <w:r w:rsidRPr="00520FF6">
              <w:rPr>
                <w:b/>
                <w:sz w:val="20"/>
                <w:szCs w:val="20"/>
              </w:rPr>
              <w:t>BRCA status</w:t>
            </w:r>
          </w:p>
        </w:tc>
      </w:tr>
      <w:tr w:rsidR="00880FC7" w:rsidRPr="00520FF6" w14:paraId="02EA2871" w14:textId="77777777" w:rsidTr="006C320C">
        <w:trPr>
          <w:trHeight w:val="17"/>
        </w:trPr>
        <w:tc>
          <w:tcPr>
            <w:tcW w:w="3446" w:type="dxa"/>
          </w:tcPr>
          <w:p w14:paraId="50F28B6C" w14:textId="77777777" w:rsidR="00880FC7" w:rsidRPr="00520FF6" w:rsidRDefault="00880FC7" w:rsidP="00520FF6">
            <w:pPr>
              <w:rPr>
                <w:sz w:val="20"/>
                <w:szCs w:val="20"/>
              </w:rPr>
            </w:pPr>
            <w:r w:rsidRPr="00520FF6">
              <w:rPr>
                <w:sz w:val="20"/>
                <w:szCs w:val="20"/>
              </w:rPr>
              <w:t>BRCA1 positive</w:t>
            </w:r>
          </w:p>
        </w:tc>
        <w:tc>
          <w:tcPr>
            <w:tcW w:w="2296" w:type="dxa"/>
          </w:tcPr>
          <w:p w14:paraId="03DB908B" w14:textId="77777777" w:rsidR="00880FC7" w:rsidRPr="00520FF6" w:rsidRDefault="00880FC7" w:rsidP="00520FF6">
            <w:pPr>
              <w:rPr>
                <w:sz w:val="20"/>
                <w:szCs w:val="20"/>
              </w:rPr>
            </w:pPr>
            <w:r w:rsidRPr="00520FF6">
              <w:rPr>
                <w:sz w:val="20"/>
                <w:szCs w:val="20"/>
              </w:rPr>
              <w:t>133 (47)</w:t>
            </w:r>
          </w:p>
        </w:tc>
        <w:tc>
          <w:tcPr>
            <w:tcW w:w="2169" w:type="dxa"/>
          </w:tcPr>
          <w:p w14:paraId="1944E3F7" w14:textId="77777777" w:rsidR="00880FC7" w:rsidRPr="00520FF6" w:rsidRDefault="00880FC7" w:rsidP="00520FF6">
            <w:pPr>
              <w:rPr>
                <w:sz w:val="20"/>
                <w:szCs w:val="20"/>
              </w:rPr>
            </w:pPr>
            <w:r w:rsidRPr="00520FF6">
              <w:rPr>
                <w:sz w:val="20"/>
                <w:szCs w:val="20"/>
              </w:rPr>
              <w:t>63 (44)</w:t>
            </w:r>
          </w:p>
        </w:tc>
      </w:tr>
      <w:tr w:rsidR="00880FC7" w:rsidRPr="00520FF6" w14:paraId="184FEBBA" w14:textId="77777777" w:rsidTr="006C320C">
        <w:trPr>
          <w:trHeight w:val="17"/>
        </w:trPr>
        <w:tc>
          <w:tcPr>
            <w:tcW w:w="3446" w:type="dxa"/>
          </w:tcPr>
          <w:p w14:paraId="6C1E22E2" w14:textId="77777777" w:rsidR="00880FC7" w:rsidRPr="00520FF6" w:rsidRDefault="00880FC7" w:rsidP="00520FF6">
            <w:pPr>
              <w:rPr>
                <w:sz w:val="20"/>
                <w:szCs w:val="20"/>
              </w:rPr>
            </w:pPr>
            <w:r w:rsidRPr="00520FF6">
              <w:rPr>
                <w:sz w:val="20"/>
                <w:szCs w:val="20"/>
              </w:rPr>
              <w:t>BRCA2 positive</w:t>
            </w:r>
          </w:p>
        </w:tc>
        <w:tc>
          <w:tcPr>
            <w:tcW w:w="2296" w:type="dxa"/>
          </w:tcPr>
          <w:p w14:paraId="5B2D1BE8" w14:textId="77777777" w:rsidR="00880FC7" w:rsidRPr="00520FF6" w:rsidRDefault="00880FC7" w:rsidP="00520FF6">
            <w:pPr>
              <w:rPr>
                <w:sz w:val="20"/>
                <w:szCs w:val="20"/>
              </w:rPr>
            </w:pPr>
            <w:r w:rsidRPr="00520FF6">
              <w:rPr>
                <w:sz w:val="20"/>
                <w:szCs w:val="20"/>
              </w:rPr>
              <w:t>154 (54)</w:t>
            </w:r>
          </w:p>
        </w:tc>
        <w:tc>
          <w:tcPr>
            <w:tcW w:w="2169" w:type="dxa"/>
          </w:tcPr>
          <w:p w14:paraId="6C948219" w14:textId="77777777" w:rsidR="00880FC7" w:rsidRPr="00520FF6" w:rsidRDefault="00880FC7" w:rsidP="00520FF6">
            <w:pPr>
              <w:rPr>
                <w:sz w:val="20"/>
                <w:szCs w:val="20"/>
              </w:rPr>
            </w:pPr>
            <w:r w:rsidRPr="00520FF6">
              <w:rPr>
                <w:sz w:val="20"/>
                <w:szCs w:val="20"/>
              </w:rPr>
              <w:t>81 (56)</w:t>
            </w:r>
          </w:p>
        </w:tc>
      </w:tr>
      <w:tr w:rsidR="00ED7D4D" w:rsidRPr="00520FF6" w14:paraId="236B8CEA" w14:textId="77777777" w:rsidTr="00505564">
        <w:trPr>
          <w:trHeight w:val="17"/>
        </w:trPr>
        <w:tc>
          <w:tcPr>
            <w:tcW w:w="7911" w:type="dxa"/>
            <w:gridSpan w:val="3"/>
            <w:shd w:val="clear" w:color="auto" w:fill="C6D4E9"/>
          </w:tcPr>
          <w:p w14:paraId="3541411C" w14:textId="75D8BEE2" w:rsidR="00ED7D4D" w:rsidRPr="00520FF6" w:rsidRDefault="00ED7D4D" w:rsidP="00520FF6">
            <w:pPr>
              <w:rPr>
                <w:sz w:val="20"/>
                <w:szCs w:val="20"/>
              </w:rPr>
            </w:pPr>
            <w:r w:rsidRPr="00520FF6">
              <w:rPr>
                <w:b/>
                <w:sz w:val="20"/>
                <w:szCs w:val="20"/>
              </w:rPr>
              <w:lastRenderedPageBreak/>
              <w:t>HER2 status</w:t>
            </w:r>
          </w:p>
        </w:tc>
      </w:tr>
      <w:tr w:rsidR="00880FC7" w:rsidRPr="00520FF6" w14:paraId="1083C385" w14:textId="77777777" w:rsidTr="006C320C">
        <w:trPr>
          <w:trHeight w:val="17"/>
        </w:trPr>
        <w:tc>
          <w:tcPr>
            <w:tcW w:w="3446" w:type="dxa"/>
          </w:tcPr>
          <w:p w14:paraId="7009BA42" w14:textId="77777777" w:rsidR="00880FC7" w:rsidRPr="00520FF6" w:rsidRDefault="00880FC7" w:rsidP="00520FF6">
            <w:pPr>
              <w:rPr>
                <w:sz w:val="20"/>
                <w:szCs w:val="20"/>
              </w:rPr>
            </w:pPr>
            <w:r w:rsidRPr="00520FF6">
              <w:rPr>
                <w:sz w:val="20"/>
                <w:szCs w:val="20"/>
              </w:rPr>
              <w:t>Negative</w:t>
            </w:r>
          </w:p>
        </w:tc>
        <w:tc>
          <w:tcPr>
            <w:tcW w:w="2296" w:type="dxa"/>
          </w:tcPr>
          <w:p w14:paraId="403B5A3B" w14:textId="77777777" w:rsidR="00880FC7" w:rsidRPr="00520FF6" w:rsidRDefault="00880FC7" w:rsidP="00520FF6">
            <w:pPr>
              <w:rPr>
                <w:sz w:val="20"/>
                <w:szCs w:val="20"/>
              </w:rPr>
            </w:pPr>
            <w:r w:rsidRPr="00520FF6">
              <w:rPr>
                <w:sz w:val="20"/>
                <w:szCs w:val="20"/>
              </w:rPr>
              <w:t>287 (100)</w:t>
            </w:r>
          </w:p>
        </w:tc>
        <w:tc>
          <w:tcPr>
            <w:tcW w:w="2169" w:type="dxa"/>
          </w:tcPr>
          <w:p w14:paraId="400164C6" w14:textId="77777777" w:rsidR="00880FC7" w:rsidRPr="00520FF6" w:rsidRDefault="00880FC7" w:rsidP="00520FF6">
            <w:pPr>
              <w:rPr>
                <w:sz w:val="20"/>
                <w:szCs w:val="20"/>
              </w:rPr>
            </w:pPr>
            <w:r w:rsidRPr="00520FF6">
              <w:rPr>
                <w:sz w:val="20"/>
                <w:szCs w:val="20"/>
              </w:rPr>
              <w:t>144 (100)</w:t>
            </w:r>
          </w:p>
        </w:tc>
      </w:tr>
      <w:tr w:rsidR="00ED7D4D" w:rsidRPr="00520FF6" w14:paraId="0B1D7EF1" w14:textId="77777777" w:rsidTr="00505564">
        <w:trPr>
          <w:trHeight w:val="17"/>
        </w:trPr>
        <w:tc>
          <w:tcPr>
            <w:tcW w:w="7911" w:type="dxa"/>
            <w:gridSpan w:val="3"/>
            <w:shd w:val="clear" w:color="auto" w:fill="C6D4E9"/>
          </w:tcPr>
          <w:p w14:paraId="10B8583B" w14:textId="59D8643B" w:rsidR="00ED7D4D" w:rsidRPr="00520FF6" w:rsidRDefault="00ED7D4D" w:rsidP="00520FF6">
            <w:pPr>
              <w:rPr>
                <w:b/>
                <w:sz w:val="20"/>
                <w:szCs w:val="20"/>
              </w:rPr>
            </w:pPr>
            <w:r w:rsidRPr="00520FF6">
              <w:rPr>
                <w:b/>
                <w:sz w:val="20"/>
                <w:szCs w:val="20"/>
              </w:rPr>
              <w:t>ER status</w:t>
            </w:r>
          </w:p>
        </w:tc>
      </w:tr>
      <w:tr w:rsidR="00880FC7" w:rsidRPr="00520FF6" w14:paraId="5D6B575D" w14:textId="77777777" w:rsidTr="006C320C">
        <w:trPr>
          <w:trHeight w:val="17"/>
        </w:trPr>
        <w:tc>
          <w:tcPr>
            <w:tcW w:w="3446" w:type="dxa"/>
          </w:tcPr>
          <w:p w14:paraId="059B9D2D" w14:textId="77777777" w:rsidR="00880FC7" w:rsidRPr="00520FF6" w:rsidRDefault="00880FC7" w:rsidP="00520FF6">
            <w:pPr>
              <w:rPr>
                <w:sz w:val="20"/>
                <w:szCs w:val="20"/>
              </w:rPr>
            </w:pPr>
            <w:r w:rsidRPr="00520FF6">
              <w:rPr>
                <w:sz w:val="20"/>
                <w:szCs w:val="20"/>
              </w:rPr>
              <w:t>Positive</w:t>
            </w:r>
          </w:p>
        </w:tc>
        <w:tc>
          <w:tcPr>
            <w:tcW w:w="2296" w:type="dxa"/>
          </w:tcPr>
          <w:p w14:paraId="3DE96E9C" w14:textId="77777777" w:rsidR="00880FC7" w:rsidRPr="00520FF6" w:rsidRDefault="00880FC7" w:rsidP="00520FF6">
            <w:pPr>
              <w:rPr>
                <w:sz w:val="20"/>
                <w:szCs w:val="20"/>
              </w:rPr>
            </w:pPr>
            <w:r w:rsidRPr="00520FF6">
              <w:rPr>
                <w:sz w:val="20"/>
                <w:szCs w:val="20"/>
              </w:rPr>
              <w:t>151 (53)</w:t>
            </w:r>
          </w:p>
        </w:tc>
        <w:tc>
          <w:tcPr>
            <w:tcW w:w="2169" w:type="dxa"/>
          </w:tcPr>
          <w:p w14:paraId="3F453768" w14:textId="77777777" w:rsidR="00880FC7" w:rsidRPr="00520FF6" w:rsidRDefault="00880FC7" w:rsidP="00520FF6">
            <w:pPr>
              <w:rPr>
                <w:sz w:val="20"/>
                <w:szCs w:val="20"/>
              </w:rPr>
            </w:pPr>
            <w:r w:rsidRPr="00520FF6">
              <w:rPr>
                <w:sz w:val="20"/>
                <w:szCs w:val="20"/>
              </w:rPr>
              <w:t>80 (56)</w:t>
            </w:r>
          </w:p>
        </w:tc>
      </w:tr>
      <w:tr w:rsidR="00880FC7" w:rsidRPr="00520FF6" w14:paraId="00D41DC1" w14:textId="77777777" w:rsidTr="006C320C">
        <w:trPr>
          <w:trHeight w:val="17"/>
        </w:trPr>
        <w:tc>
          <w:tcPr>
            <w:tcW w:w="3446" w:type="dxa"/>
          </w:tcPr>
          <w:p w14:paraId="7A0368AB" w14:textId="77777777" w:rsidR="00880FC7" w:rsidRPr="00520FF6" w:rsidRDefault="00880FC7" w:rsidP="00520FF6">
            <w:pPr>
              <w:rPr>
                <w:sz w:val="20"/>
                <w:szCs w:val="20"/>
              </w:rPr>
            </w:pPr>
            <w:r w:rsidRPr="00520FF6">
              <w:rPr>
                <w:sz w:val="20"/>
                <w:szCs w:val="20"/>
              </w:rPr>
              <w:t>Negative</w:t>
            </w:r>
          </w:p>
        </w:tc>
        <w:tc>
          <w:tcPr>
            <w:tcW w:w="2296" w:type="dxa"/>
          </w:tcPr>
          <w:p w14:paraId="6FD358D0" w14:textId="77777777" w:rsidR="00880FC7" w:rsidRPr="00520FF6" w:rsidRDefault="00880FC7" w:rsidP="00520FF6">
            <w:pPr>
              <w:rPr>
                <w:sz w:val="20"/>
                <w:szCs w:val="20"/>
              </w:rPr>
            </w:pPr>
            <w:r w:rsidRPr="00520FF6">
              <w:rPr>
                <w:sz w:val="20"/>
                <w:szCs w:val="20"/>
              </w:rPr>
              <w:t>136 (47)</w:t>
            </w:r>
          </w:p>
        </w:tc>
        <w:tc>
          <w:tcPr>
            <w:tcW w:w="2169" w:type="dxa"/>
          </w:tcPr>
          <w:p w14:paraId="1A030499" w14:textId="77777777" w:rsidR="00880FC7" w:rsidRPr="00520FF6" w:rsidRDefault="00880FC7" w:rsidP="00520FF6">
            <w:pPr>
              <w:rPr>
                <w:sz w:val="20"/>
                <w:szCs w:val="20"/>
              </w:rPr>
            </w:pPr>
            <w:r w:rsidRPr="00520FF6">
              <w:rPr>
                <w:sz w:val="20"/>
                <w:szCs w:val="20"/>
              </w:rPr>
              <w:t>64 (44)</w:t>
            </w:r>
          </w:p>
        </w:tc>
      </w:tr>
      <w:tr w:rsidR="00ED7D4D" w:rsidRPr="00520FF6" w14:paraId="35EBEBF6" w14:textId="77777777" w:rsidTr="00505564">
        <w:trPr>
          <w:trHeight w:val="17"/>
        </w:trPr>
        <w:tc>
          <w:tcPr>
            <w:tcW w:w="7911" w:type="dxa"/>
            <w:gridSpan w:val="3"/>
            <w:shd w:val="clear" w:color="auto" w:fill="C6D4E9"/>
          </w:tcPr>
          <w:p w14:paraId="18B6BFE1" w14:textId="38A17711" w:rsidR="00ED7D4D" w:rsidRPr="00520FF6" w:rsidRDefault="00ED7D4D" w:rsidP="00520FF6">
            <w:pPr>
              <w:rPr>
                <w:b/>
                <w:sz w:val="20"/>
                <w:szCs w:val="20"/>
              </w:rPr>
            </w:pPr>
            <w:r w:rsidRPr="00520FF6">
              <w:rPr>
                <w:b/>
                <w:sz w:val="20"/>
                <w:szCs w:val="20"/>
              </w:rPr>
              <w:t>PR status</w:t>
            </w:r>
          </w:p>
        </w:tc>
      </w:tr>
      <w:tr w:rsidR="00880FC7" w:rsidRPr="00520FF6" w14:paraId="579DC817" w14:textId="77777777" w:rsidTr="006C320C">
        <w:trPr>
          <w:trHeight w:val="17"/>
        </w:trPr>
        <w:tc>
          <w:tcPr>
            <w:tcW w:w="3446" w:type="dxa"/>
          </w:tcPr>
          <w:p w14:paraId="36C81250" w14:textId="77777777" w:rsidR="00880FC7" w:rsidRPr="00520FF6" w:rsidRDefault="00880FC7" w:rsidP="00520FF6">
            <w:pPr>
              <w:rPr>
                <w:sz w:val="20"/>
                <w:szCs w:val="20"/>
              </w:rPr>
            </w:pPr>
            <w:r w:rsidRPr="00520FF6">
              <w:rPr>
                <w:sz w:val="20"/>
                <w:szCs w:val="20"/>
              </w:rPr>
              <w:t>Positive</w:t>
            </w:r>
          </w:p>
        </w:tc>
        <w:tc>
          <w:tcPr>
            <w:tcW w:w="2296" w:type="dxa"/>
          </w:tcPr>
          <w:p w14:paraId="347347A7" w14:textId="77777777" w:rsidR="00880FC7" w:rsidRPr="00520FF6" w:rsidRDefault="00880FC7" w:rsidP="00520FF6">
            <w:pPr>
              <w:rPr>
                <w:sz w:val="20"/>
                <w:szCs w:val="20"/>
              </w:rPr>
            </w:pPr>
            <w:r w:rsidRPr="00520FF6">
              <w:rPr>
                <w:sz w:val="20"/>
                <w:szCs w:val="20"/>
              </w:rPr>
              <w:t>104 (36)</w:t>
            </w:r>
          </w:p>
        </w:tc>
        <w:tc>
          <w:tcPr>
            <w:tcW w:w="2169" w:type="dxa"/>
          </w:tcPr>
          <w:p w14:paraId="45909B2C" w14:textId="77777777" w:rsidR="00880FC7" w:rsidRPr="00520FF6" w:rsidRDefault="00880FC7" w:rsidP="00520FF6">
            <w:pPr>
              <w:rPr>
                <w:sz w:val="20"/>
                <w:szCs w:val="20"/>
              </w:rPr>
            </w:pPr>
            <w:r w:rsidRPr="00520FF6">
              <w:rPr>
                <w:sz w:val="20"/>
                <w:szCs w:val="20"/>
              </w:rPr>
              <w:t>66 (46)</w:t>
            </w:r>
          </w:p>
        </w:tc>
      </w:tr>
      <w:tr w:rsidR="00880FC7" w:rsidRPr="00520FF6" w14:paraId="6F853AC0" w14:textId="77777777" w:rsidTr="006C320C">
        <w:trPr>
          <w:trHeight w:val="17"/>
        </w:trPr>
        <w:tc>
          <w:tcPr>
            <w:tcW w:w="3446" w:type="dxa"/>
          </w:tcPr>
          <w:p w14:paraId="5B1203C7" w14:textId="77777777" w:rsidR="00880FC7" w:rsidRPr="00520FF6" w:rsidRDefault="00880FC7" w:rsidP="00520FF6">
            <w:pPr>
              <w:rPr>
                <w:sz w:val="20"/>
                <w:szCs w:val="20"/>
              </w:rPr>
            </w:pPr>
            <w:r w:rsidRPr="00520FF6">
              <w:rPr>
                <w:sz w:val="20"/>
                <w:szCs w:val="20"/>
              </w:rPr>
              <w:t>Negative</w:t>
            </w:r>
          </w:p>
        </w:tc>
        <w:tc>
          <w:tcPr>
            <w:tcW w:w="2296" w:type="dxa"/>
          </w:tcPr>
          <w:p w14:paraId="5D27D8EF" w14:textId="77777777" w:rsidR="00880FC7" w:rsidRPr="00520FF6" w:rsidRDefault="00880FC7" w:rsidP="00520FF6">
            <w:pPr>
              <w:rPr>
                <w:sz w:val="20"/>
                <w:szCs w:val="20"/>
              </w:rPr>
            </w:pPr>
            <w:r w:rsidRPr="00520FF6">
              <w:rPr>
                <w:sz w:val="20"/>
                <w:szCs w:val="20"/>
              </w:rPr>
              <w:t>181 (63)</w:t>
            </w:r>
          </w:p>
        </w:tc>
        <w:tc>
          <w:tcPr>
            <w:tcW w:w="2169" w:type="dxa"/>
          </w:tcPr>
          <w:p w14:paraId="5CBA3B63" w14:textId="77777777" w:rsidR="00880FC7" w:rsidRPr="00520FF6" w:rsidRDefault="00880FC7" w:rsidP="00520FF6">
            <w:pPr>
              <w:rPr>
                <w:sz w:val="20"/>
                <w:szCs w:val="20"/>
              </w:rPr>
            </w:pPr>
            <w:r w:rsidRPr="00520FF6">
              <w:rPr>
                <w:sz w:val="20"/>
                <w:szCs w:val="20"/>
              </w:rPr>
              <w:t>77 (53)</w:t>
            </w:r>
          </w:p>
        </w:tc>
      </w:tr>
      <w:tr w:rsidR="00880FC7" w:rsidRPr="00520FF6" w14:paraId="62C78D67" w14:textId="77777777" w:rsidTr="006C320C">
        <w:trPr>
          <w:trHeight w:val="17"/>
        </w:trPr>
        <w:tc>
          <w:tcPr>
            <w:tcW w:w="3446" w:type="dxa"/>
          </w:tcPr>
          <w:p w14:paraId="652BC644" w14:textId="77777777" w:rsidR="00880FC7" w:rsidRPr="00520FF6" w:rsidRDefault="00880FC7" w:rsidP="00520FF6">
            <w:pPr>
              <w:rPr>
                <w:sz w:val="20"/>
                <w:szCs w:val="20"/>
              </w:rPr>
            </w:pPr>
            <w:r w:rsidRPr="00520FF6">
              <w:rPr>
                <w:sz w:val="20"/>
                <w:szCs w:val="20"/>
              </w:rPr>
              <w:t>Unknown</w:t>
            </w:r>
          </w:p>
        </w:tc>
        <w:tc>
          <w:tcPr>
            <w:tcW w:w="2296" w:type="dxa"/>
          </w:tcPr>
          <w:p w14:paraId="5B621BE8" w14:textId="3DBC6A44" w:rsidR="00880FC7" w:rsidRPr="00520FF6" w:rsidRDefault="00880FC7" w:rsidP="00520FF6">
            <w:pPr>
              <w:rPr>
                <w:sz w:val="20"/>
                <w:szCs w:val="20"/>
              </w:rPr>
            </w:pPr>
            <w:r w:rsidRPr="00520FF6">
              <w:rPr>
                <w:sz w:val="20"/>
                <w:szCs w:val="20"/>
              </w:rPr>
              <w:t>2 (&lt;</w:t>
            </w:r>
            <w:r w:rsidR="006C320C" w:rsidRPr="00520FF6">
              <w:rPr>
                <w:sz w:val="20"/>
                <w:szCs w:val="20"/>
              </w:rPr>
              <w:t xml:space="preserve"> </w:t>
            </w:r>
            <w:r w:rsidRPr="00520FF6">
              <w:rPr>
                <w:sz w:val="20"/>
                <w:szCs w:val="20"/>
              </w:rPr>
              <w:t>1)</w:t>
            </w:r>
          </w:p>
        </w:tc>
        <w:tc>
          <w:tcPr>
            <w:tcW w:w="2169" w:type="dxa"/>
          </w:tcPr>
          <w:p w14:paraId="5DD58120" w14:textId="202475F3" w:rsidR="00880FC7" w:rsidRPr="00520FF6" w:rsidRDefault="00880FC7" w:rsidP="00520FF6">
            <w:pPr>
              <w:rPr>
                <w:sz w:val="20"/>
                <w:szCs w:val="20"/>
              </w:rPr>
            </w:pPr>
            <w:r w:rsidRPr="00520FF6">
              <w:rPr>
                <w:sz w:val="20"/>
                <w:szCs w:val="20"/>
              </w:rPr>
              <w:t>1 (&lt;</w:t>
            </w:r>
            <w:r w:rsidR="006C320C" w:rsidRPr="00520FF6">
              <w:rPr>
                <w:sz w:val="20"/>
                <w:szCs w:val="20"/>
              </w:rPr>
              <w:t xml:space="preserve"> </w:t>
            </w:r>
            <w:r w:rsidRPr="00520FF6">
              <w:rPr>
                <w:sz w:val="20"/>
                <w:szCs w:val="20"/>
              </w:rPr>
              <w:t>1)</w:t>
            </w:r>
          </w:p>
        </w:tc>
      </w:tr>
      <w:tr w:rsidR="00ED7D4D" w:rsidRPr="00520FF6" w14:paraId="04CE86BA" w14:textId="77777777" w:rsidTr="00505564">
        <w:trPr>
          <w:trHeight w:val="17"/>
        </w:trPr>
        <w:tc>
          <w:tcPr>
            <w:tcW w:w="7911" w:type="dxa"/>
            <w:gridSpan w:val="3"/>
            <w:shd w:val="clear" w:color="auto" w:fill="C6D4E9"/>
          </w:tcPr>
          <w:p w14:paraId="1F9A7D88" w14:textId="4C69FC83" w:rsidR="00ED7D4D" w:rsidRPr="00520FF6" w:rsidRDefault="00ED7D4D" w:rsidP="00520FF6">
            <w:pPr>
              <w:rPr>
                <w:b/>
                <w:sz w:val="20"/>
                <w:szCs w:val="20"/>
              </w:rPr>
            </w:pPr>
            <w:r w:rsidRPr="00520FF6">
              <w:rPr>
                <w:b/>
                <w:sz w:val="20"/>
                <w:szCs w:val="20"/>
              </w:rPr>
              <w:t>ER and PR status</w:t>
            </w:r>
          </w:p>
        </w:tc>
      </w:tr>
      <w:tr w:rsidR="00880FC7" w:rsidRPr="00520FF6" w14:paraId="0CF25EC1" w14:textId="77777777" w:rsidTr="006C320C">
        <w:trPr>
          <w:trHeight w:val="17"/>
        </w:trPr>
        <w:tc>
          <w:tcPr>
            <w:tcW w:w="3446" w:type="dxa"/>
          </w:tcPr>
          <w:p w14:paraId="02134984" w14:textId="77777777" w:rsidR="00880FC7" w:rsidRPr="00520FF6" w:rsidRDefault="00880FC7" w:rsidP="00520FF6">
            <w:pPr>
              <w:rPr>
                <w:sz w:val="20"/>
                <w:szCs w:val="20"/>
              </w:rPr>
            </w:pPr>
            <w:r w:rsidRPr="00520FF6">
              <w:rPr>
                <w:sz w:val="20"/>
                <w:szCs w:val="20"/>
              </w:rPr>
              <w:t>ER+ and PR+</w:t>
            </w:r>
          </w:p>
        </w:tc>
        <w:tc>
          <w:tcPr>
            <w:tcW w:w="2296" w:type="dxa"/>
          </w:tcPr>
          <w:p w14:paraId="38F80C6B" w14:textId="77777777" w:rsidR="00880FC7" w:rsidRPr="00520FF6" w:rsidRDefault="00880FC7" w:rsidP="00520FF6">
            <w:pPr>
              <w:rPr>
                <w:sz w:val="20"/>
                <w:szCs w:val="20"/>
              </w:rPr>
            </w:pPr>
            <w:r w:rsidRPr="00520FF6">
              <w:rPr>
                <w:sz w:val="20"/>
                <w:szCs w:val="20"/>
              </w:rPr>
              <w:t>98 (34)</w:t>
            </w:r>
          </w:p>
        </w:tc>
        <w:tc>
          <w:tcPr>
            <w:tcW w:w="2169" w:type="dxa"/>
          </w:tcPr>
          <w:p w14:paraId="1F0138F2" w14:textId="77777777" w:rsidR="00880FC7" w:rsidRPr="00520FF6" w:rsidRDefault="00880FC7" w:rsidP="00520FF6">
            <w:pPr>
              <w:rPr>
                <w:sz w:val="20"/>
                <w:szCs w:val="20"/>
              </w:rPr>
            </w:pPr>
            <w:r w:rsidRPr="00520FF6">
              <w:rPr>
                <w:sz w:val="20"/>
                <w:szCs w:val="20"/>
              </w:rPr>
              <w:t>62 (43)</w:t>
            </w:r>
          </w:p>
        </w:tc>
      </w:tr>
      <w:tr w:rsidR="00880FC7" w:rsidRPr="00520FF6" w14:paraId="7D64D1FB" w14:textId="77777777" w:rsidTr="006C320C">
        <w:trPr>
          <w:trHeight w:val="17"/>
        </w:trPr>
        <w:tc>
          <w:tcPr>
            <w:tcW w:w="3446" w:type="dxa"/>
          </w:tcPr>
          <w:p w14:paraId="4929C67D" w14:textId="77777777" w:rsidR="00880FC7" w:rsidRPr="00520FF6" w:rsidRDefault="00880FC7" w:rsidP="00520FF6">
            <w:pPr>
              <w:rPr>
                <w:sz w:val="20"/>
                <w:szCs w:val="20"/>
              </w:rPr>
            </w:pPr>
            <w:r w:rsidRPr="00520FF6">
              <w:rPr>
                <w:sz w:val="20"/>
                <w:szCs w:val="20"/>
              </w:rPr>
              <w:t>ER- and PR+</w:t>
            </w:r>
          </w:p>
        </w:tc>
        <w:tc>
          <w:tcPr>
            <w:tcW w:w="2296" w:type="dxa"/>
          </w:tcPr>
          <w:p w14:paraId="62B081F9" w14:textId="77777777" w:rsidR="00880FC7" w:rsidRPr="00520FF6" w:rsidRDefault="00880FC7" w:rsidP="00520FF6">
            <w:pPr>
              <w:rPr>
                <w:sz w:val="20"/>
                <w:szCs w:val="20"/>
              </w:rPr>
            </w:pPr>
            <w:r w:rsidRPr="00520FF6">
              <w:rPr>
                <w:sz w:val="20"/>
                <w:szCs w:val="20"/>
              </w:rPr>
              <w:t>6 (2)</w:t>
            </w:r>
          </w:p>
        </w:tc>
        <w:tc>
          <w:tcPr>
            <w:tcW w:w="2169" w:type="dxa"/>
          </w:tcPr>
          <w:p w14:paraId="2877221F" w14:textId="77777777" w:rsidR="00880FC7" w:rsidRPr="00520FF6" w:rsidRDefault="00880FC7" w:rsidP="00520FF6">
            <w:pPr>
              <w:rPr>
                <w:sz w:val="20"/>
                <w:szCs w:val="20"/>
              </w:rPr>
            </w:pPr>
            <w:r w:rsidRPr="00520FF6">
              <w:rPr>
                <w:sz w:val="20"/>
                <w:szCs w:val="20"/>
              </w:rPr>
              <w:t>4 (3)</w:t>
            </w:r>
          </w:p>
        </w:tc>
      </w:tr>
      <w:tr w:rsidR="00880FC7" w:rsidRPr="00520FF6" w14:paraId="2BD980C3" w14:textId="77777777" w:rsidTr="006C320C">
        <w:trPr>
          <w:trHeight w:val="17"/>
        </w:trPr>
        <w:tc>
          <w:tcPr>
            <w:tcW w:w="3446" w:type="dxa"/>
          </w:tcPr>
          <w:p w14:paraId="1FD87868" w14:textId="77777777" w:rsidR="00880FC7" w:rsidRPr="00520FF6" w:rsidRDefault="00880FC7" w:rsidP="00520FF6">
            <w:pPr>
              <w:rPr>
                <w:sz w:val="20"/>
                <w:szCs w:val="20"/>
              </w:rPr>
            </w:pPr>
            <w:r w:rsidRPr="00520FF6">
              <w:rPr>
                <w:sz w:val="20"/>
                <w:szCs w:val="20"/>
              </w:rPr>
              <w:t>ER+ and PR-</w:t>
            </w:r>
          </w:p>
        </w:tc>
        <w:tc>
          <w:tcPr>
            <w:tcW w:w="2296" w:type="dxa"/>
          </w:tcPr>
          <w:p w14:paraId="4E8FE8C0" w14:textId="77777777" w:rsidR="00880FC7" w:rsidRPr="00520FF6" w:rsidRDefault="00880FC7" w:rsidP="00520FF6">
            <w:pPr>
              <w:rPr>
                <w:sz w:val="20"/>
                <w:szCs w:val="20"/>
              </w:rPr>
            </w:pPr>
            <w:r w:rsidRPr="00520FF6">
              <w:rPr>
                <w:sz w:val="20"/>
                <w:szCs w:val="20"/>
              </w:rPr>
              <w:t>51 (18)</w:t>
            </w:r>
          </w:p>
        </w:tc>
        <w:tc>
          <w:tcPr>
            <w:tcW w:w="2169" w:type="dxa"/>
          </w:tcPr>
          <w:p w14:paraId="01E0E5B8" w14:textId="77777777" w:rsidR="00880FC7" w:rsidRPr="00520FF6" w:rsidRDefault="00880FC7" w:rsidP="00520FF6">
            <w:pPr>
              <w:rPr>
                <w:sz w:val="20"/>
                <w:szCs w:val="20"/>
              </w:rPr>
            </w:pPr>
            <w:r w:rsidRPr="00520FF6">
              <w:rPr>
                <w:sz w:val="20"/>
                <w:szCs w:val="20"/>
              </w:rPr>
              <w:t>17 (12)</w:t>
            </w:r>
          </w:p>
        </w:tc>
      </w:tr>
      <w:tr w:rsidR="00880FC7" w:rsidRPr="00520FF6" w14:paraId="30BBB392" w14:textId="77777777" w:rsidTr="006C320C">
        <w:trPr>
          <w:trHeight w:val="17"/>
        </w:trPr>
        <w:tc>
          <w:tcPr>
            <w:tcW w:w="3446" w:type="dxa"/>
          </w:tcPr>
          <w:p w14:paraId="522D862B" w14:textId="77777777" w:rsidR="00880FC7" w:rsidRPr="00520FF6" w:rsidRDefault="00880FC7" w:rsidP="00520FF6">
            <w:pPr>
              <w:rPr>
                <w:sz w:val="20"/>
                <w:szCs w:val="20"/>
              </w:rPr>
            </w:pPr>
            <w:r w:rsidRPr="00520FF6">
              <w:rPr>
                <w:sz w:val="20"/>
                <w:szCs w:val="20"/>
              </w:rPr>
              <w:t>ER- and PR-</w:t>
            </w:r>
          </w:p>
        </w:tc>
        <w:tc>
          <w:tcPr>
            <w:tcW w:w="2296" w:type="dxa"/>
          </w:tcPr>
          <w:p w14:paraId="3780FB7C" w14:textId="77777777" w:rsidR="00880FC7" w:rsidRPr="00520FF6" w:rsidRDefault="00880FC7" w:rsidP="00520FF6">
            <w:pPr>
              <w:rPr>
                <w:sz w:val="20"/>
                <w:szCs w:val="20"/>
              </w:rPr>
            </w:pPr>
            <w:r w:rsidRPr="00520FF6">
              <w:rPr>
                <w:sz w:val="20"/>
                <w:szCs w:val="20"/>
              </w:rPr>
              <w:t>130 (45)</w:t>
            </w:r>
          </w:p>
        </w:tc>
        <w:tc>
          <w:tcPr>
            <w:tcW w:w="2169" w:type="dxa"/>
          </w:tcPr>
          <w:p w14:paraId="6A3C920C" w14:textId="77777777" w:rsidR="00880FC7" w:rsidRPr="00520FF6" w:rsidRDefault="00880FC7" w:rsidP="00520FF6">
            <w:pPr>
              <w:rPr>
                <w:sz w:val="20"/>
                <w:szCs w:val="20"/>
              </w:rPr>
            </w:pPr>
            <w:r w:rsidRPr="00520FF6">
              <w:rPr>
                <w:sz w:val="20"/>
                <w:szCs w:val="20"/>
              </w:rPr>
              <w:t>60 (42)</w:t>
            </w:r>
          </w:p>
        </w:tc>
      </w:tr>
      <w:tr w:rsidR="00880FC7" w:rsidRPr="00520FF6" w14:paraId="7F9988F0" w14:textId="77777777" w:rsidTr="006C320C">
        <w:trPr>
          <w:trHeight w:val="17"/>
        </w:trPr>
        <w:tc>
          <w:tcPr>
            <w:tcW w:w="3446" w:type="dxa"/>
          </w:tcPr>
          <w:p w14:paraId="2BE4C062" w14:textId="77777777" w:rsidR="00880FC7" w:rsidRPr="00520FF6" w:rsidRDefault="00880FC7" w:rsidP="00520FF6">
            <w:pPr>
              <w:rPr>
                <w:sz w:val="20"/>
                <w:szCs w:val="20"/>
              </w:rPr>
            </w:pPr>
            <w:r w:rsidRPr="00520FF6">
              <w:rPr>
                <w:sz w:val="20"/>
                <w:szCs w:val="20"/>
              </w:rPr>
              <w:t>ER unknown or PR unknown</w:t>
            </w:r>
          </w:p>
        </w:tc>
        <w:tc>
          <w:tcPr>
            <w:tcW w:w="2296" w:type="dxa"/>
          </w:tcPr>
          <w:p w14:paraId="01B52900" w14:textId="48FE057F" w:rsidR="00880FC7" w:rsidRPr="00520FF6" w:rsidRDefault="00880FC7" w:rsidP="00520FF6">
            <w:pPr>
              <w:rPr>
                <w:sz w:val="20"/>
                <w:szCs w:val="20"/>
              </w:rPr>
            </w:pPr>
            <w:r w:rsidRPr="00520FF6">
              <w:rPr>
                <w:sz w:val="20"/>
                <w:szCs w:val="20"/>
              </w:rPr>
              <w:t>2 (&lt;</w:t>
            </w:r>
            <w:r w:rsidR="006C320C" w:rsidRPr="00520FF6">
              <w:rPr>
                <w:sz w:val="20"/>
                <w:szCs w:val="20"/>
              </w:rPr>
              <w:t xml:space="preserve"> </w:t>
            </w:r>
            <w:r w:rsidRPr="00520FF6">
              <w:rPr>
                <w:sz w:val="20"/>
                <w:szCs w:val="20"/>
              </w:rPr>
              <w:t>1)</w:t>
            </w:r>
          </w:p>
        </w:tc>
        <w:tc>
          <w:tcPr>
            <w:tcW w:w="2169" w:type="dxa"/>
          </w:tcPr>
          <w:p w14:paraId="1DF29DB9" w14:textId="3B1E8732" w:rsidR="00880FC7" w:rsidRPr="00520FF6" w:rsidRDefault="00880FC7" w:rsidP="00520FF6">
            <w:pPr>
              <w:rPr>
                <w:sz w:val="20"/>
                <w:szCs w:val="20"/>
              </w:rPr>
            </w:pPr>
            <w:r w:rsidRPr="00520FF6">
              <w:rPr>
                <w:sz w:val="20"/>
                <w:szCs w:val="20"/>
              </w:rPr>
              <w:t>1 (&lt;</w:t>
            </w:r>
            <w:r w:rsidR="006C320C" w:rsidRPr="00520FF6">
              <w:rPr>
                <w:sz w:val="20"/>
                <w:szCs w:val="20"/>
              </w:rPr>
              <w:t xml:space="preserve"> </w:t>
            </w:r>
            <w:r w:rsidRPr="00520FF6">
              <w:rPr>
                <w:sz w:val="20"/>
                <w:szCs w:val="20"/>
              </w:rPr>
              <w:t>1)</w:t>
            </w:r>
          </w:p>
        </w:tc>
      </w:tr>
      <w:tr w:rsidR="00ED7D4D" w:rsidRPr="00520FF6" w14:paraId="78E0036E" w14:textId="77777777" w:rsidTr="00505564">
        <w:trPr>
          <w:trHeight w:val="17"/>
        </w:trPr>
        <w:tc>
          <w:tcPr>
            <w:tcW w:w="7911" w:type="dxa"/>
            <w:gridSpan w:val="3"/>
            <w:shd w:val="clear" w:color="auto" w:fill="C6D4E9"/>
          </w:tcPr>
          <w:p w14:paraId="796D804D" w14:textId="4C0518B8" w:rsidR="00ED7D4D" w:rsidRPr="00520FF6" w:rsidRDefault="00ED7D4D" w:rsidP="00520FF6">
            <w:pPr>
              <w:rPr>
                <w:b/>
                <w:sz w:val="20"/>
                <w:szCs w:val="20"/>
              </w:rPr>
            </w:pPr>
            <w:r w:rsidRPr="00520FF6">
              <w:rPr>
                <w:b/>
                <w:sz w:val="20"/>
                <w:szCs w:val="20"/>
              </w:rPr>
              <w:t>Primary tumour location at Baseline</w:t>
            </w:r>
          </w:p>
        </w:tc>
      </w:tr>
      <w:tr w:rsidR="00880FC7" w:rsidRPr="00520FF6" w14:paraId="247BBB52" w14:textId="77777777" w:rsidTr="006C320C">
        <w:trPr>
          <w:trHeight w:val="17"/>
        </w:trPr>
        <w:tc>
          <w:tcPr>
            <w:tcW w:w="3446" w:type="dxa"/>
          </w:tcPr>
          <w:p w14:paraId="44F07DBC" w14:textId="77777777" w:rsidR="00880FC7" w:rsidRPr="00520FF6" w:rsidRDefault="00880FC7" w:rsidP="00520FF6">
            <w:pPr>
              <w:rPr>
                <w:sz w:val="20"/>
                <w:szCs w:val="20"/>
              </w:rPr>
            </w:pPr>
            <w:r w:rsidRPr="00520FF6">
              <w:rPr>
                <w:sz w:val="20"/>
                <w:szCs w:val="20"/>
              </w:rPr>
              <w:t>Bone only metastatic disease</w:t>
            </w:r>
          </w:p>
        </w:tc>
        <w:tc>
          <w:tcPr>
            <w:tcW w:w="2296" w:type="dxa"/>
          </w:tcPr>
          <w:p w14:paraId="591468FE" w14:textId="77777777" w:rsidR="00880FC7" w:rsidRPr="00520FF6" w:rsidRDefault="00880FC7" w:rsidP="00520FF6">
            <w:pPr>
              <w:rPr>
                <w:sz w:val="20"/>
                <w:szCs w:val="20"/>
              </w:rPr>
            </w:pPr>
            <w:r w:rsidRPr="00520FF6">
              <w:rPr>
                <w:sz w:val="20"/>
                <w:szCs w:val="20"/>
              </w:rPr>
              <w:t>25 (9)</w:t>
            </w:r>
          </w:p>
        </w:tc>
        <w:tc>
          <w:tcPr>
            <w:tcW w:w="2169" w:type="dxa"/>
          </w:tcPr>
          <w:p w14:paraId="7F0CADFD" w14:textId="77777777" w:rsidR="00880FC7" w:rsidRPr="00520FF6" w:rsidRDefault="00880FC7" w:rsidP="00520FF6">
            <w:pPr>
              <w:rPr>
                <w:sz w:val="20"/>
                <w:szCs w:val="20"/>
              </w:rPr>
            </w:pPr>
            <w:r w:rsidRPr="00520FF6">
              <w:rPr>
                <w:sz w:val="20"/>
                <w:szCs w:val="20"/>
              </w:rPr>
              <w:t>16 (11)</w:t>
            </w:r>
          </w:p>
        </w:tc>
      </w:tr>
      <w:tr w:rsidR="00880FC7" w:rsidRPr="00520FF6" w14:paraId="30F41634" w14:textId="77777777" w:rsidTr="006C320C">
        <w:trPr>
          <w:trHeight w:val="17"/>
        </w:trPr>
        <w:tc>
          <w:tcPr>
            <w:tcW w:w="3446" w:type="dxa"/>
          </w:tcPr>
          <w:p w14:paraId="39CE0EBC" w14:textId="77777777" w:rsidR="00880FC7" w:rsidRPr="00520FF6" w:rsidRDefault="00880FC7" w:rsidP="00520FF6">
            <w:pPr>
              <w:rPr>
                <w:sz w:val="20"/>
                <w:szCs w:val="20"/>
              </w:rPr>
            </w:pPr>
            <w:r w:rsidRPr="00520FF6">
              <w:rPr>
                <w:sz w:val="20"/>
                <w:szCs w:val="20"/>
              </w:rPr>
              <w:t>Other</w:t>
            </w:r>
          </w:p>
        </w:tc>
        <w:tc>
          <w:tcPr>
            <w:tcW w:w="2296" w:type="dxa"/>
          </w:tcPr>
          <w:p w14:paraId="311802E3" w14:textId="77777777" w:rsidR="00880FC7" w:rsidRPr="00520FF6" w:rsidRDefault="00880FC7" w:rsidP="00520FF6">
            <w:pPr>
              <w:rPr>
                <w:sz w:val="20"/>
                <w:szCs w:val="20"/>
              </w:rPr>
            </w:pPr>
            <w:r w:rsidRPr="00520FF6">
              <w:rPr>
                <w:sz w:val="20"/>
                <w:szCs w:val="20"/>
              </w:rPr>
              <w:t>262 (91)</w:t>
            </w:r>
          </w:p>
        </w:tc>
        <w:tc>
          <w:tcPr>
            <w:tcW w:w="2169" w:type="dxa"/>
          </w:tcPr>
          <w:p w14:paraId="013387F9" w14:textId="77777777" w:rsidR="00880FC7" w:rsidRPr="00520FF6" w:rsidRDefault="00880FC7" w:rsidP="00520FF6">
            <w:pPr>
              <w:rPr>
                <w:sz w:val="20"/>
                <w:szCs w:val="20"/>
              </w:rPr>
            </w:pPr>
            <w:r w:rsidRPr="00520FF6">
              <w:rPr>
                <w:sz w:val="20"/>
                <w:szCs w:val="20"/>
              </w:rPr>
              <w:t>128 (89)</w:t>
            </w:r>
          </w:p>
        </w:tc>
      </w:tr>
      <w:tr w:rsidR="00ED7D4D" w:rsidRPr="00520FF6" w14:paraId="2920C1D4" w14:textId="77777777" w:rsidTr="00505564">
        <w:trPr>
          <w:trHeight w:val="17"/>
        </w:trPr>
        <w:tc>
          <w:tcPr>
            <w:tcW w:w="7911" w:type="dxa"/>
            <w:gridSpan w:val="3"/>
            <w:shd w:val="clear" w:color="auto" w:fill="C6D4E9"/>
          </w:tcPr>
          <w:p w14:paraId="3B3CDE16" w14:textId="0AE9412C" w:rsidR="00ED7D4D" w:rsidRPr="00520FF6" w:rsidRDefault="00ED7D4D" w:rsidP="00520FF6">
            <w:pPr>
              <w:rPr>
                <w:sz w:val="20"/>
                <w:szCs w:val="20"/>
              </w:rPr>
            </w:pPr>
            <w:r w:rsidRPr="00520FF6">
              <w:rPr>
                <w:b/>
                <w:sz w:val="20"/>
                <w:szCs w:val="20"/>
              </w:rPr>
              <w:t>History of CNS metastasis</w:t>
            </w:r>
            <w:r w:rsidRPr="00520FF6">
              <w:rPr>
                <w:sz w:val="20"/>
                <w:szCs w:val="20"/>
                <w:vertAlign w:val="superscript"/>
              </w:rPr>
              <w:footnoteReference w:id="10"/>
            </w:r>
          </w:p>
        </w:tc>
      </w:tr>
      <w:tr w:rsidR="00880FC7" w:rsidRPr="00520FF6" w14:paraId="0CB6F2BC" w14:textId="77777777" w:rsidTr="006C320C">
        <w:trPr>
          <w:trHeight w:val="17"/>
        </w:trPr>
        <w:tc>
          <w:tcPr>
            <w:tcW w:w="3446" w:type="dxa"/>
          </w:tcPr>
          <w:p w14:paraId="68B8BD47" w14:textId="77777777" w:rsidR="00880FC7" w:rsidRPr="00520FF6" w:rsidRDefault="00880FC7" w:rsidP="00520FF6">
            <w:pPr>
              <w:rPr>
                <w:sz w:val="20"/>
                <w:szCs w:val="20"/>
              </w:rPr>
            </w:pPr>
            <w:r w:rsidRPr="00520FF6">
              <w:rPr>
                <w:sz w:val="20"/>
                <w:szCs w:val="20"/>
              </w:rPr>
              <w:t>Yes</w:t>
            </w:r>
          </w:p>
        </w:tc>
        <w:tc>
          <w:tcPr>
            <w:tcW w:w="2296" w:type="dxa"/>
          </w:tcPr>
          <w:p w14:paraId="12422FC7" w14:textId="77777777" w:rsidR="00880FC7" w:rsidRPr="00520FF6" w:rsidRDefault="00880FC7" w:rsidP="00520FF6">
            <w:pPr>
              <w:rPr>
                <w:sz w:val="20"/>
                <w:szCs w:val="20"/>
              </w:rPr>
            </w:pPr>
            <w:r w:rsidRPr="00520FF6">
              <w:rPr>
                <w:sz w:val="20"/>
                <w:szCs w:val="20"/>
              </w:rPr>
              <w:t>43 (15)</w:t>
            </w:r>
          </w:p>
        </w:tc>
        <w:tc>
          <w:tcPr>
            <w:tcW w:w="2169" w:type="dxa"/>
          </w:tcPr>
          <w:p w14:paraId="102F96C0" w14:textId="77777777" w:rsidR="00880FC7" w:rsidRPr="00520FF6" w:rsidRDefault="00880FC7" w:rsidP="00520FF6">
            <w:pPr>
              <w:rPr>
                <w:sz w:val="20"/>
                <w:szCs w:val="20"/>
              </w:rPr>
            </w:pPr>
            <w:r w:rsidRPr="00520FF6">
              <w:rPr>
                <w:sz w:val="20"/>
                <w:szCs w:val="20"/>
              </w:rPr>
              <w:t>20 (14)</w:t>
            </w:r>
          </w:p>
        </w:tc>
      </w:tr>
      <w:tr w:rsidR="00880FC7" w:rsidRPr="00520FF6" w14:paraId="05BA00EA" w14:textId="77777777" w:rsidTr="006C320C">
        <w:trPr>
          <w:trHeight w:val="17"/>
        </w:trPr>
        <w:tc>
          <w:tcPr>
            <w:tcW w:w="3446" w:type="dxa"/>
          </w:tcPr>
          <w:p w14:paraId="618AC580" w14:textId="77777777" w:rsidR="00880FC7" w:rsidRPr="00520FF6" w:rsidRDefault="00880FC7" w:rsidP="00520FF6">
            <w:pPr>
              <w:rPr>
                <w:sz w:val="20"/>
                <w:szCs w:val="20"/>
              </w:rPr>
            </w:pPr>
            <w:r w:rsidRPr="00520FF6">
              <w:rPr>
                <w:sz w:val="20"/>
                <w:szCs w:val="20"/>
              </w:rPr>
              <w:t>No</w:t>
            </w:r>
          </w:p>
        </w:tc>
        <w:tc>
          <w:tcPr>
            <w:tcW w:w="2296" w:type="dxa"/>
          </w:tcPr>
          <w:p w14:paraId="23C7A9FA" w14:textId="77777777" w:rsidR="00880FC7" w:rsidRPr="00520FF6" w:rsidRDefault="00880FC7" w:rsidP="00520FF6">
            <w:pPr>
              <w:rPr>
                <w:sz w:val="20"/>
                <w:szCs w:val="20"/>
              </w:rPr>
            </w:pPr>
            <w:r w:rsidRPr="00520FF6">
              <w:rPr>
                <w:sz w:val="20"/>
                <w:szCs w:val="20"/>
              </w:rPr>
              <w:t>244 (85)</w:t>
            </w:r>
          </w:p>
        </w:tc>
        <w:tc>
          <w:tcPr>
            <w:tcW w:w="2169" w:type="dxa"/>
          </w:tcPr>
          <w:p w14:paraId="3DD09391" w14:textId="77777777" w:rsidR="00880FC7" w:rsidRPr="00520FF6" w:rsidRDefault="00880FC7" w:rsidP="00520FF6">
            <w:pPr>
              <w:rPr>
                <w:sz w:val="20"/>
                <w:szCs w:val="20"/>
              </w:rPr>
            </w:pPr>
            <w:r w:rsidRPr="00520FF6">
              <w:rPr>
                <w:sz w:val="20"/>
                <w:szCs w:val="20"/>
              </w:rPr>
              <w:t>124 (86)</w:t>
            </w:r>
          </w:p>
        </w:tc>
      </w:tr>
      <w:tr w:rsidR="00ED7D4D" w:rsidRPr="00520FF6" w14:paraId="11195409" w14:textId="77777777" w:rsidTr="00505564">
        <w:trPr>
          <w:trHeight w:val="17"/>
        </w:trPr>
        <w:tc>
          <w:tcPr>
            <w:tcW w:w="7911" w:type="dxa"/>
            <w:gridSpan w:val="3"/>
            <w:shd w:val="clear" w:color="auto" w:fill="C6D4E9"/>
          </w:tcPr>
          <w:p w14:paraId="2A90D3C7" w14:textId="54B36169" w:rsidR="00ED7D4D" w:rsidRPr="00520FF6" w:rsidRDefault="00ED7D4D" w:rsidP="00520FF6">
            <w:pPr>
              <w:rPr>
                <w:b/>
                <w:sz w:val="20"/>
                <w:szCs w:val="20"/>
              </w:rPr>
            </w:pPr>
            <w:r w:rsidRPr="00520FF6">
              <w:rPr>
                <w:b/>
                <w:sz w:val="20"/>
                <w:szCs w:val="20"/>
              </w:rPr>
              <w:t>Prior hormonal therapy</w:t>
            </w:r>
          </w:p>
        </w:tc>
      </w:tr>
      <w:tr w:rsidR="00880FC7" w:rsidRPr="00520FF6" w14:paraId="3B3DF3E2" w14:textId="77777777" w:rsidTr="00505564">
        <w:trPr>
          <w:trHeight w:val="603"/>
        </w:trPr>
        <w:tc>
          <w:tcPr>
            <w:tcW w:w="3446" w:type="dxa"/>
          </w:tcPr>
          <w:p w14:paraId="13B98F79" w14:textId="77777777" w:rsidR="00880FC7" w:rsidRPr="00520FF6" w:rsidRDefault="00880FC7" w:rsidP="00520FF6">
            <w:pPr>
              <w:rPr>
                <w:sz w:val="20"/>
                <w:szCs w:val="20"/>
              </w:rPr>
            </w:pPr>
            <w:r w:rsidRPr="00520FF6">
              <w:rPr>
                <w:sz w:val="20"/>
                <w:szCs w:val="20"/>
              </w:rPr>
              <w:t>Yes</w:t>
            </w:r>
          </w:p>
        </w:tc>
        <w:tc>
          <w:tcPr>
            <w:tcW w:w="2296" w:type="dxa"/>
          </w:tcPr>
          <w:p w14:paraId="50C1E342" w14:textId="77777777" w:rsidR="00880FC7" w:rsidRPr="00520FF6" w:rsidRDefault="00880FC7" w:rsidP="00520FF6">
            <w:pPr>
              <w:rPr>
                <w:sz w:val="20"/>
                <w:szCs w:val="20"/>
              </w:rPr>
            </w:pPr>
            <w:r w:rsidRPr="00520FF6">
              <w:rPr>
                <w:sz w:val="20"/>
                <w:szCs w:val="20"/>
              </w:rPr>
              <w:t>161 (56)</w:t>
            </w:r>
          </w:p>
        </w:tc>
        <w:tc>
          <w:tcPr>
            <w:tcW w:w="2169" w:type="dxa"/>
          </w:tcPr>
          <w:p w14:paraId="39382DB3" w14:textId="77777777" w:rsidR="00880FC7" w:rsidRPr="00520FF6" w:rsidRDefault="00880FC7" w:rsidP="00520FF6">
            <w:pPr>
              <w:rPr>
                <w:sz w:val="20"/>
                <w:szCs w:val="20"/>
              </w:rPr>
            </w:pPr>
            <w:r w:rsidRPr="00520FF6">
              <w:rPr>
                <w:sz w:val="20"/>
                <w:szCs w:val="20"/>
              </w:rPr>
              <w:t>77 (53)</w:t>
            </w:r>
          </w:p>
        </w:tc>
      </w:tr>
      <w:tr w:rsidR="00880FC7" w:rsidRPr="00520FF6" w14:paraId="36498262" w14:textId="77777777" w:rsidTr="00505564">
        <w:trPr>
          <w:trHeight w:val="667"/>
        </w:trPr>
        <w:tc>
          <w:tcPr>
            <w:tcW w:w="3446" w:type="dxa"/>
          </w:tcPr>
          <w:p w14:paraId="52C2065C" w14:textId="77777777" w:rsidR="00880FC7" w:rsidRPr="00520FF6" w:rsidRDefault="00880FC7" w:rsidP="00520FF6">
            <w:pPr>
              <w:rPr>
                <w:sz w:val="20"/>
                <w:szCs w:val="20"/>
              </w:rPr>
            </w:pPr>
            <w:r w:rsidRPr="00520FF6">
              <w:rPr>
                <w:sz w:val="20"/>
                <w:szCs w:val="20"/>
              </w:rPr>
              <w:t>No</w:t>
            </w:r>
          </w:p>
        </w:tc>
        <w:tc>
          <w:tcPr>
            <w:tcW w:w="2296" w:type="dxa"/>
          </w:tcPr>
          <w:p w14:paraId="787AC86B" w14:textId="77777777" w:rsidR="00880FC7" w:rsidRPr="00520FF6" w:rsidRDefault="00880FC7" w:rsidP="00520FF6">
            <w:pPr>
              <w:rPr>
                <w:sz w:val="20"/>
                <w:szCs w:val="20"/>
              </w:rPr>
            </w:pPr>
            <w:r w:rsidRPr="00520FF6">
              <w:rPr>
                <w:sz w:val="20"/>
                <w:szCs w:val="20"/>
              </w:rPr>
              <w:t>126 (44)</w:t>
            </w:r>
          </w:p>
        </w:tc>
        <w:tc>
          <w:tcPr>
            <w:tcW w:w="2169" w:type="dxa"/>
          </w:tcPr>
          <w:p w14:paraId="19679846" w14:textId="77777777" w:rsidR="00880FC7" w:rsidRPr="00520FF6" w:rsidRDefault="00880FC7" w:rsidP="00520FF6">
            <w:pPr>
              <w:rPr>
                <w:sz w:val="20"/>
                <w:szCs w:val="20"/>
              </w:rPr>
            </w:pPr>
            <w:r w:rsidRPr="00520FF6">
              <w:rPr>
                <w:sz w:val="20"/>
                <w:szCs w:val="20"/>
              </w:rPr>
              <w:t>67 (47)</w:t>
            </w:r>
          </w:p>
        </w:tc>
      </w:tr>
      <w:tr w:rsidR="00ED7D4D" w:rsidRPr="00520FF6" w14:paraId="1A165591" w14:textId="77777777" w:rsidTr="00505564">
        <w:trPr>
          <w:trHeight w:val="17"/>
        </w:trPr>
        <w:tc>
          <w:tcPr>
            <w:tcW w:w="7911" w:type="dxa"/>
            <w:gridSpan w:val="3"/>
            <w:shd w:val="clear" w:color="auto" w:fill="C6D4E9"/>
          </w:tcPr>
          <w:p w14:paraId="78240D12" w14:textId="36DB79D2" w:rsidR="00ED7D4D" w:rsidRPr="00520FF6" w:rsidRDefault="00ED7D4D" w:rsidP="00520FF6">
            <w:pPr>
              <w:rPr>
                <w:b/>
                <w:sz w:val="20"/>
                <w:szCs w:val="20"/>
              </w:rPr>
            </w:pPr>
            <w:r w:rsidRPr="00520FF6">
              <w:rPr>
                <w:b/>
                <w:sz w:val="20"/>
                <w:szCs w:val="20"/>
              </w:rPr>
              <w:lastRenderedPageBreak/>
              <w:t>Prior neo/adjuvant therapy</w:t>
            </w:r>
          </w:p>
        </w:tc>
      </w:tr>
      <w:tr w:rsidR="00880FC7" w:rsidRPr="00520FF6" w14:paraId="720F01DE" w14:textId="77777777" w:rsidTr="006C320C">
        <w:trPr>
          <w:trHeight w:val="17"/>
        </w:trPr>
        <w:tc>
          <w:tcPr>
            <w:tcW w:w="3446" w:type="dxa"/>
          </w:tcPr>
          <w:p w14:paraId="65DD500C" w14:textId="77777777" w:rsidR="00880FC7" w:rsidRPr="00520FF6" w:rsidRDefault="00880FC7" w:rsidP="00520FF6">
            <w:pPr>
              <w:rPr>
                <w:sz w:val="20"/>
                <w:szCs w:val="20"/>
              </w:rPr>
            </w:pPr>
            <w:r w:rsidRPr="00520FF6">
              <w:rPr>
                <w:sz w:val="20"/>
                <w:szCs w:val="20"/>
              </w:rPr>
              <w:t>Yes</w:t>
            </w:r>
          </w:p>
        </w:tc>
        <w:tc>
          <w:tcPr>
            <w:tcW w:w="2296" w:type="dxa"/>
          </w:tcPr>
          <w:p w14:paraId="7654DB49" w14:textId="77777777" w:rsidR="00880FC7" w:rsidRPr="00520FF6" w:rsidRDefault="00880FC7" w:rsidP="00520FF6">
            <w:pPr>
              <w:rPr>
                <w:sz w:val="20"/>
                <w:szCs w:val="20"/>
              </w:rPr>
            </w:pPr>
            <w:r w:rsidRPr="00520FF6">
              <w:rPr>
                <w:sz w:val="20"/>
                <w:szCs w:val="20"/>
              </w:rPr>
              <w:t>238 (83)</w:t>
            </w:r>
          </w:p>
        </w:tc>
        <w:tc>
          <w:tcPr>
            <w:tcW w:w="2169" w:type="dxa"/>
          </w:tcPr>
          <w:p w14:paraId="306D742F" w14:textId="77777777" w:rsidR="00880FC7" w:rsidRPr="00520FF6" w:rsidRDefault="00880FC7" w:rsidP="00520FF6">
            <w:pPr>
              <w:rPr>
                <w:sz w:val="20"/>
                <w:szCs w:val="20"/>
              </w:rPr>
            </w:pPr>
            <w:r w:rsidRPr="00520FF6">
              <w:rPr>
                <w:sz w:val="20"/>
                <w:szCs w:val="20"/>
              </w:rPr>
              <w:t>121 (84)</w:t>
            </w:r>
          </w:p>
        </w:tc>
      </w:tr>
      <w:tr w:rsidR="00880FC7" w:rsidRPr="00520FF6" w14:paraId="5E61A70D" w14:textId="77777777" w:rsidTr="006C320C">
        <w:trPr>
          <w:trHeight w:val="17"/>
        </w:trPr>
        <w:tc>
          <w:tcPr>
            <w:tcW w:w="3446" w:type="dxa"/>
          </w:tcPr>
          <w:p w14:paraId="44C796D6" w14:textId="77777777" w:rsidR="00880FC7" w:rsidRPr="00520FF6" w:rsidRDefault="00880FC7" w:rsidP="00520FF6">
            <w:pPr>
              <w:rPr>
                <w:sz w:val="20"/>
                <w:szCs w:val="20"/>
              </w:rPr>
            </w:pPr>
            <w:r w:rsidRPr="00520FF6">
              <w:rPr>
                <w:sz w:val="20"/>
                <w:szCs w:val="20"/>
              </w:rPr>
              <w:t>No</w:t>
            </w:r>
          </w:p>
        </w:tc>
        <w:tc>
          <w:tcPr>
            <w:tcW w:w="2296" w:type="dxa"/>
          </w:tcPr>
          <w:p w14:paraId="37F26CE1" w14:textId="77777777" w:rsidR="00880FC7" w:rsidRPr="00520FF6" w:rsidRDefault="00880FC7" w:rsidP="00520FF6">
            <w:pPr>
              <w:rPr>
                <w:sz w:val="20"/>
                <w:szCs w:val="20"/>
              </w:rPr>
            </w:pPr>
            <w:r w:rsidRPr="00520FF6">
              <w:rPr>
                <w:sz w:val="20"/>
                <w:szCs w:val="20"/>
              </w:rPr>
              <w:t>49 (17)</w:t>
            </w:r>
          </w:p>
        </w:tc>
        <w:tc>
          <w:tcPr>
            <w:tcW w:w="2169" w:type="dxa"/>
          </w:tcPr>
          <w:p w14:paraId="6A47C51C" w14:textId="77777777" w:rsidR="00880FC7" w:rsidRPr="00520FF6" w:rsidRDefault="00880FC7" w:rsidP="00520FF6">
            <w:pPr>
              <w:rPr>
                <w:sz w:val="20"/>
                <w:szCs w:val="20"/>
              </w:rPr>
            </w:pPr>
            <w:r w:rsidRPr="00520FF6">
              <w:rPr>
                <w:sz w:val="20"/>
                <w:szCs w:val="20"/>
              </w:rPr>
              <w:t>23 (16)</w:t>
            </w:r>
          </w:p>
        </w:tc>
      </w:tr>
      <w:tr w:rsidR="00ED7D4D" w:rsidRPr="00520FF6" w14:paraId="56426EBE" w14:textId="77777777" w:rsidTr="00505564">
        <w:trPr>
          <w:trHeight w:val="17"/>
        </w:trPr>
        <w:tc>
          <w:tcPr>
            <w:tcW w:w="7911" w:type="dxa"/>
            <w:gridSpan w:val="3"/>
            <w:shd w:val="clear" w:color="auto" w:fill="C6D4E9"/>
          </w:tcPr>
          <w:p w14:paraId="382A9FD5" w14:textId="0784F134" w:rsidR="00ED7D4D" w:rsidRPr="00520FF6" w:rsidRDefault="00ED7D4D" w:rsidP="00520FF6">
            <w:pPr>
              <w:rPr>
                <w:b/>
                <w:sz w:val="20"/>
                <w:szCs w:val="20"/>
              </w:rPr>
            </w:pPr>
            <w:r w:rsidRPr="00520FF6">
              <w:rPr>
                <w:b/>
                <w:sz w:val="20"/>
                <w:szCs w:val="20"/>
              </w:rPr>
              <w:t xml:space="preserve">Prior </w:t>
            </w:r>
            <w:proofErr w:type="spellStart"/>
            <w:r w:rsidRPr="00520FF6">
              <w:rPr>
                <w:b/>
                <w:sz w:val="20"/>
                <w:szCs w:val="20"/>
              </w:rPr>
              <w:t>anthracycline</w:t>
            </w:r>
            <w:proofErr w:type="spellEnd"/>
            <w:r w:rsidRPr="00520FF6">
              <w:rPr>
                <w:b/>
                <w:sz w:val="20"/>
                <w:szCs w:val="20"/>
              </w:rPr>
              <w:t xml:space="preserve"> treatment</w:t>
            </w:r>
          </w:p>
        </w:tc>
      </w:tr>
      <w:tr w:rsidR="00880FC7" w:rsidRPr="00520FF6" w14:paraId="66D602F5" w14:textId="77777777" w:rsidTr="006C320C">
        <w:trPr>
          <w:trHeight w:val="17"/>
        </w:trPr>
        <w:tc>
          <w:tcPr>
            <w:tcW w:w="3446" w:type="dxa"/>
          </w:tcPr>
          <w:p w14:paraId="4D9F49FC" w14:textId="77777777" w:rsidR="00880FC7" w:rsidRPr="00520FF6" w:rsidRDefault="00880FC7" w:rsidP="00520FF6">
            <w:pPr>
              <w:rPr>
                <w:sz w:val="20"/>
                <w:szCs w:val="20"/>
              </w:rPr>
            </w:pPr>
            <w:r w:rsidRPr="00520FF6">
              <w:rPr>
                <w:sz w:val="20"/>
                <w:szCs w:val="20"/>
              </w:rPr>
              <w:t>Yes</w:t>
            </w:r>
          </w:p>
        </w:tc>
        <w:tc>
          <w:tcPr>
            <w:tcW w:w="2296" w:type="dxa"/>
          </w:tcPr>
          <w:p w14:paraId="72E63604" w14:textId="77777777" w:rsidR="00880FC7" w:rsidRPr="00520FF6" w:rsidRDefault="00880FC7" w:rsidP="00520FF6">
            <w:pPr>
              <w:rPr>
                <w:sz w:val="20"/>
                <w:szCs w:val="20"/>
              </w:rPr>
            </w:pPr>
            <w:r w:rsidRPr="00520FF6">
              <w:rPr>
                <w:sz w:val="20"/>
                <w:szCs w:val="20"/>
              </w:rPr>
              <w:t>243 (85)</w:t>
            </w:r>
          </w:p>
        </w:tc>
        <w:tc>
          <w:tcPr>
            <w:tcW w:w="2169" w:type="dxa"/>
          </w:tcPr>
          <w:p w14:paraId="04B31FC2" w14:textId="77777777" w:rsidR="00880FC7" w:rsidRPr="00520FF6" w:rsidRDefault="00880FC7" w:rsidP="00520FF6">
            <w:pPr>
              <w:rPr>
                <w:sz w:val="20"/>
                <w:szCs w:val="20"/>
              </w:rPr>
            </w:pPr>
            <w:r w:rsidRPr="00520FF6">
              <w:rPr>
                <w:sz w:val="20"/>
                <w:szCs w:val="20"/>
              </w:rPr>
              <w:t>115 (80)</w:t>
            </w:r>
          </w:p>
        </w:tc>
      </w:tr>
      <w:tr w:rsidR="00880FC7" w:rsidRPr="00520FF6" w14:paraId="18E87C62" w14:textId="77777777" w:rsidTr="006C320C">
        <w:trPr>
          <w:trHeight w:val="17"/>
        </w:trPr>
        <w:tc>
          <w:tcPr>
            <w:tcW w:w="3446" w:type="dxa"/>
          </w:tcPr>
          <w:p w14:paraId="3B3C54A9" w14:textId="77777777" w:rsidR="00880FC7" w:rsidRPr="00520FF6" w:rsidRDefault="00880FC7" w:rsidP="00520FF6">
            <w:pPr>
              <w:rPr>
                <w:sz w:val="20"/>
                <w:szCs w:val="20"/>
              </w:rPr>
            </w:pPr>
            <w:r w:rsidRPr="00520FF6">
              <w:rPr>
                <w:sz w:val="20"/>
                <w:szCs w:val="20"/>
              </w:rPr>
              <w:t>No</w:t>
            </w:r>
          </w:p>
        </w:tc>
        <w:tc>
          <w:tcPr>
            <w:tcW w:w="2296" w:type="dxa"/>
          </w:tcPr>
          <w:p w14:paraId="1488A134" w14:textId="77777777" w:rsidR="00880FC7" w:rsidRPr="00520FF6" w:rsidRDefault="00880FC7" w:rsidP="00520FF6">
            <w:pPr>
              <w:rPr>
                <w:sz w:val="20"/>
                <w:szCs w:val="20"/>
              </w:rPr>
            </w:pPr>
            <w:r w:rsidRPr="00520FF6">
              <w:rPr>
                <w:sz w:val="20"/>
                <w:szCs w:val="20"/>
              </w:rPr>
              <w:t>44 (15)</w:t>
            </w:r>
          </w:p>
        </w:tc>
        <w:tc>
          <w:tcPr>
            <w:tcW w:w="2169" w:type="dxa"/>
          </w:tcPr>
          <w:p w14:paraId="589CF825" w14:textId="77777777" w:rsidR="00880FC7" w:rsidRPr="00520FF6" w:rsidRDefault="00880FC7" w:rsidP="00520FF6">
            <w:pPr>
              <w:rPr>
                <w:sz w:val="20"/>
                <w:szCs w:val="20"/>
              </w:rPr>
            </w:pPr>
            <w:r w:rsidRPr="00520FF6">
              <w:rPr>
                <w:sz w:val="20"/>
                <w:szCs w:val="20"/>
              </w:rPr>
              <w:t>29 (20)</w:t>
            </w:r>
          </w:p>
        </w:tc>
      </w:tr>
      <w:tr w:rsidR="00ED7D4D" w:rsidRPr="00520FF6" w14:paraId="3E00760D" w14:textId="77777777" w:rsidTr="00505564">
        <w:trPr>
          <w:trHeight w:val="17"/>
        </w:trPr>
        <w:tc>
          <w:tcPr>
            <w:tcW w:w="7911" w:type="dxa"/>
            <w:gridSpan w:val="3"/>
            <w:shd w:val="clear" w:color="auto" w:fill="C6D4E9"/>
          </w:tcPr>
          <w:p w14:paraId="6F5C2B92" w14:textId="4A3B64B3" w:rsidR="00ED7D4D" w:rsidRPr="00520FF6" w:rsidRDefault="00ED7D4D" w:rsidP="00520FF6">
            <w:pPr>
              <w:rPr>
                <w:b/>
                <w:sz w:val="20"/>
                <w:szCs w:val="20"/>
              </w:rPr>
            </w:pPr>
            <w:r w:rsidRPr="00520FF6">
              <w:rPr>
                <w:b/>
                <w:sz w:val="20"/>
                <w:szCs w:val="20"/>
              </w:rPr>
              <w:t xml:space="preserve">Prior </w:t>
            </w:r>
            <w:proofErr w:type="spellStart"/>
            <w:r w:rsidRPr="00520FF6">
              <w:rPr>
                <w:b/>
                <w:sz w:val="20"/>
                <w:szCs w:val="20"/>
              </w:rPr>
              <w:t>taxane</w:t>
            </w:r>
            <w:proofErr w:type="spellEnd"/>
            <w:r w:rsidRPr="00520FF6">
              <w:rPr>
                <w:b/>
                <w:sz w:val="20"/>
                <w:szCs w:val="20"/>
              </w:rPr>
              <w:t xml:space="preserve"> treatment</w:t>
            </w:r>
          </w:p>
        </w:tc>
      </w:tr>
      <w:tr w:rsidR="00880FC7" w:rsidRPr="00520FF6" w14:paraId="66EFD955" w14:textId="77777777" w:rsidTr="006C320C">
        <w:trPr>
          <w:trHeight w:val="17"/>
        </w:trPr>
        <w:tc>
          <w:tcPr>
            <w:tcW w:w="3446" w:type="dxa"/>
          </w:tcPr>
          <w:p w14:paraId="32BDADDC" w14:textId="77777777" w:rsidR="00880FC7" w:rsidRPr="00520FF6" w:rsidRDefault="00880FC7" w:rsidP="00520FF6">
            <w:pPr>
              <w:rPr>
                <w:sz w:val="20"/>
                <w:szCs w:val="20"/>
              </w:rPr>
            </w:pPr>
            <w:r w:rsidRPr="00520FF6">
              <w:rPr>
                <w:sz w:val="20"/>
                <w:szCs w:val="20"/>
              </w:rPr>
              <w:t>Yes</w:t>
            </w:r>
          </w:p>
        </w:tc>
        <w:tc>
          <w:tcPr>
            <w:tcW w:w="2296" w:type="dxa"/>
          </w:tcPr>
          <w:p w14:paraId="31C3A24C" w14:textId="77777777" w:rsidR="00880FC7" w:rsidRPr="00520FF6" w:rsidRDefault="00880FC7" w:rsidP="00520FF6">
            <w:pPr>
              <w:rPr>
                <w:sz w:val="20"/>
                <w:szCs w:val="20"/>
              </w:rPr>
            </w:pPr>
            <w:r w:rsidRPr="00520FF6">
              <w:rPr>
                <w:sz w:val="20"/>
                <w:szCs w:val="20"/>
              </w:rPr>
              <w:t>262 (91)</w:t>
            </w:r>
          </w:p>
        </w:tc>
        <w:tc>
          <w:tcPr>
            <w:tcW w:w="2169" w:type="dxa"/>
          </w:tcPr>
          <w:p w14:paraId="3935FB20" w14:textId="77777777" w:rsidR="00880FC7" w:rsidRPr="00520FF6" w:rsidRDefault="00880FC7" w:rsidP="00520FF6">
            <w:pPr>
              <w:rPr>
                <w:sz w:val="20"/>
                <w:szCs w:val="20"/>
              </w:rPr>
            </w:pPr>
            <w:r w:rsidRPr="00520FF6">
              <w:rPr>
                <w:sz w:val="20"/>
                <w:szCs w:val="20"/>
              </w:rPr>
              <w:t>130 (90)</w:t>
            </w:r>
          </w:p>
        </w:tc>
      </w:tr>
      <w:tr w:rsidR="00880FC7" w:rsidRPr="00520FF6" w14:paraId="49D353D6" w14:textId="77777777" w:rsidTr="006C320C">
        <w:trPr>
          <w:trHeight w:val="17"/>
        </w:trPr>
        <w:tc>
          <w:tcPr>
            <w:tcW w:w="3446" w:type="dxa"/>
          </w:tcPr>
          <w:p w14:paraId="1A718280" w14:textId="77777777" w:rsidR="00880FC7" w:rsidRPr="00520FF6" w:rsidRDefault="00880FC7" w:rsidP="00520FF6">
            <w:pPr>
              <w:rPr>
                <w:sz w:val="20"/>
                <w:szCs w:val="20"/>
              </w:rPr>
            </w:pPr>
            <w:r w:rsidRPr="00520FF6">
              <w:rPr>
                <w:sz w:val="20"/>
                <w:szCs w:val="20"/>
              </w:rPr>
              <w:t>No</w:t>
            </w:r>
          </w:p>
        </w:tc>
        <w:tc>
          <w:tcPr>
            <w:tcW w:w="2296" w:type="dxa"/>
          </w:tcPr>
          <w:p w14:paraId="0FA81C34" w14:textId="77777777" w:rsidR="00880FC7" w:rsidRPr="00520FF6" w:rsidRDefault="00880FC7" w:rsidP="00520FF6">
            <w:pPr>
              <w:rPr>
                <w:sz w:val="20"/>
                <w:szCs w:val="20"/>
              </w:rPr>
            </w:pPr>
            <w:r w:rsidRPr="00520FF6">
              <w:rPr>
                <w:sz w:val="20"/>
                <w:szCs w:val="20"/>
              </w:rPr>
              <w:t>25 (9)</w:t>
            </w:r>
          </w:p>
        </w:tc>
        <w:tc>
          <w:tcPr>
            <w:tcW w:w="2169" w:type="dxa"/>
          </w:tcPr>
          <w:p w14:paraId="3F4EB71B" w14:textId="77777777" w:rsidR="00880FC7" w:rsidRPr="00520FF6" w:rsidRDefault="00880FC7" w:rsidP="00520FF6">
            <w:pPr>
              <w:rPr>
                <w:sz w:val="20"/>
                <w:szCs w:val="20"/>
              </w:rPr>
            </w:pPr>
            <w:r w:rsidRPr="00520FF6">
              <w:rPr>
                <w:sz w:val="20"/>
                <w:szCs w:val="20"/>
              </w:rPr>
              <w:t>14 (10)</w:t>
            </w:r>
          </w:p>
        </w:tc>
      </w:tr>
      <w:tr w:rsidR="00880FC7" w:rsidRPr="00520FF6" w14:paraId="7C19241F" w14:textId="77777777" w:rsidTr="006C320C">
        <w:trPr>
          <w:trHeight w:val="17"/>
        </w:trPr>
        <w:tc>
          <w:tcPr>
            <w:tcW w:w="3446" w:type="dxa"/>
          </w:tcPr>
          <w:p w14:paraId="4B440817" w14:textId="5010797F" w:rsidR="00880FC7" w:rsidRPr="00520FF6" w:rsidRDefault="00880FC7" w:rsidP="00520FF6">
            <w:pPr>
              <w:rPr>
                <w:sz w:val="20"/>
                <w:szCs w:val="20"/>
              </w:rPr>
            </w:pPr>
            <w:r w:rsidRPr="00520FF6">
              <w:rPr>
                <w:sz w:val="20"/>
                <w:szCs w:val="20"/>
              </w:rPr>
              <w:t xml:space="preserve">Prior </w:t>
            </w:r>
            <w:proofErr w:type="spellStart"/>
            <w:r w:rsidR="006C320C" w:rsidRPr="00520FF6">
              <w:rPr>
                <w:sz w:val="20"/>
                <w:szCs w:val="20"/>
              </w:rPr>
              <w:t>taxane</w:t>
            </w:r>
            <w:proofErr w:type="spellEnd"/>
            <w:r w:rsidR="006C320C" w:rsidRPr="00520FF6">
              <w:rPr>
                <w:sz w:val="20"/>
                <w:szCs w:val="20"/>
              </w:rPr>
              <w:t xml:space="preserve"> or </w:t>
            </w:r>
            <w:proofErr w:type="spellStart"/>
            <w:r w:rsidR="006C320C" w:rsidRPr="00520FF6">
              <w:rPr>
                <w:sz w:val="20"/>
                <w:szCs w:val="20"/>
              </w:rPr>
              <w:t>anthracycline</w:t>
            </w:r>
            <w:proofErr w:type="spellEnd"/>
            <w:r w:rsidR="006C320C" w:rsidRPr="00520FF6">
              <w:rPr>
                <w:sz w:val="20"/>
                <w:szCs w:val="20"/>
              </w:rPr>
              <w:t xml:space="preserve"> treatment</w:t>
            </w:r>
          </w:p>
        </w:tc>
        <w:tc>
          <w:tcPr>
            <w:tcW w:w="2296" w:type="dxa"/>
          </w:tcPr>
          <w:p w14:paraId="0BF741E9" w14:textId="77777777" w:rsidR="00880FC7" w:rsidRPr="00520FF6" w:rsidRDefault="00880FC7" w:rsidP="00520FF6">
            <w:pPr>
              <w:rPr>
                <w:sz w:val="20"/>
                <w:szCs w:val="20"/>
              </w:rPr>
            </w:pPr>
          </w:p>
        </w:tc>
        <w:tc>
          <w:tcPr>
            <w:tcW w:w="2169" w:type="dxa"/>
          </w:tcPr>
          <w:p w14:paraId="27A83C2C" w14:textId="77777777" w:rsidR="00880FC7" w:rsidRPr="00520FF6" w:rsidRDefault="00880FC7" w:rsidP="00520FF6">
            <w:pPr>
              <w:rPr>
                <w:sz w:val="20"/>
                <w:szCs w:val="20"/>
              </w:rPr>
            </w:pPr>
          </w:p>
        </w:tc>
      </w:tr>
      <w:tr w:rsidR="00880FC7" w:rsidRPr="00520FF6" w14:paraId="11786729" w14:textId="77777777" w:rsidTr="006C320C">
        <w:trPr>
          <w:trHeight w:val="17"/>
        </w:trPr>
        <w:tc>
          <w:tcPr>
            <w:tcW w:w="3446" w:type="dxa"/>
          </w:tcPr>
          <w:p w14:paraId="6B8BA5AE" w14:textId="77777777" w:rsidR="00880FC7" w:rsidRPr="00520FF6" w:rsidRDefault="00880FC7" w:rsidP="00520FF6">
            <w:pPr>
              <w:rPr>
                <w:sz w:val="20"/>
                <w:szCs w:val="20"/>
              </w:rPr>
            </w:pPr>
            <w:r w:rsidRPr="00520FF6">
              <w:rPr>
                <w:sz w:val="20"/>
                <w:szCs w:val="20"/>
              </w:rPr>
              <w:t>Yes</w:t>
            </w:r>
          </w:p>
        </w:tc>
        <w:tc>
          <w:tcPr>
            <w:tcW w:w="2296" w:type="dxa"/>
          </w:tcPr>
          <w:p w14:paraId="675FFE1E" w14:textId="77777777" w:rsidR="00880FC7" w:rsidRPr="00520FF6" w:rsidRDefault="00880FC7" w:rsidP="00520FF6">
            <w:pPr>
              <w:rPr>
                <w:sz w:val="20"/>
                <w:szCs w:val="20"/>
              </w:rPr>
            </w:pPr>
            <w:r w:rsidRPr="00520FF6">
              <w:rPr>
                <w:sz w:val="20"/>
                <w:szCs w:val="20"/>
              </w:rPr>
              <w:t>280 (98)</w:t>
            </w:r>
          </w:p>
        </w:tc>
        <w:tc>
          <w:tcPr>
            <w:tcW w:w="2169" w:type="dxa"/>
          </w:tcPr>
          <w:p w14:paraId="68A4B31E" w14:textId="77777777" w:rsidR="00880FC7" w:rsidRPr="00520FF6" w:rsidRDefault="00880FC7" w:rsidP="00520FF6">
            <w:pPr>
              <w:rPr>
                <w:sz w:val="20"/>
                <w:szCs w:val="20"/>
              </w:rPr>
            </w:pPr>
            <w:r w:rsidRPr="00520FF6">
              <w:rPr>
                <w:sz w:val="20"/>
                <w:szCs w:val="20"/>
              </w:rPr>
              <w:t>139 (97)</w:t>
            </w:r>
          </w:p>
        </w:tc>
      </w:tr>
      <w:tr w:rsidR="00880FC7" w:rsidRPr="00520FF6" w14:paraId="7072CC87" w14:textId="77777777" w:rsidTr="006C320C">
        <w:trPr>
          <w:trHeight w:val="17"/>
        </w:trPr>
        <w:tc>
          <w:tcPr>
            <w:tcW w:w="3446" w:type="dxa"/>
          </w:tcPr>
          <w:p w14:paraId="531A3A87" w14:textId="77777777" w:rsidR="00880FC7" w:rsidRPr="00520FF6" w:rsidRDefault="00880FC7" w:rsidP="00520FF6">
            <w:pPr>
              <w:rPr>
                <w:sz w:val="20"/>
                <w:szCs w:val="20"/>
              </w:rPr>
            </w:pPr>
            <w:r w:rsidRPr="00520FF6">
              <w:rPr>
                <w:sz w:val="20"/>
                <w:szCs w:val="20"/>
              </w:rPr>
              <w:t>No</w:t>
            </w:r>
          </w:p>
        </w:tc>
        <w:tc>
          <w:tcPr>
            <w:tcW w:w="2296" w:type="dxa"/>
          </w:tcPr>
          <w:p w14:paraId="30443472" w14:textId="77777777" w:rsidR="00880FC7" w:rsidRPr="00520FF6" w:rsidRDefault="00880FC7" w:rsidP="00520FF6">
            <w:pPr>
              <w:rPr>
                <w:sz w:val="20"/>
                <w:szCs w:val="20"/>
              </w:rPr>
            </w:pPr>
            <w:r w:rsidRPr="00520FF6">
              <w:rPr>
                <w:sz w:val="20"/>
                <w:szCs w:val="20"/>
              </w:rPr>
              <w:t>7 (2)</w:t>
            </w:r>
          </w:p>
        </w:tc>
        <w:tc>
          <w:tcPr>
            <w:tcW w:w="2169" w:type="dxa"/>
          </w:tcPr>
          <w:p w14:paraId="439CC65E" w14:textId="77777777" w:rsidR="00880FC7" w:rsidRPr="00520FF6" w:rsidRDefault="00880FC7" w:rsidP="00520FF6">
            <w:pPr>
              <w:rPr>
                <w:sz w:val="20"/>
                <w:szCs w:val="20"/>
              </w:rPr>
            </w:pPr>
            <w:r w:rsidRPr="00520FF6">
              <w:rPr>
                <w:sz w:val="20"/>
                <w:szCs w:val="20"/>
              </w:rPr>
              <w:t>5 (3)</w:t>
            </w:r>
          </w:p>
        </w:tc>
      </w:tr>
      <w:tr w:rsidR="00880FC7" w:rsidRPr="00520FF6" w14:paraId="01719A0A" w14:textId="77777777" w:rsidTr="006C320C">
        <w:trPr>
          <w:trHeight w:val="17"/>
        </w:trPr>
        <w:tc>
          <w:tcPr>
            <w:tcW w:w="3446" w:type="dxa"/>
          </w:tcPr>
          <w:p w14:paraId="7F1D42B6" w14:textId="10FB0CAD" w:rsidR="00880FC7" w:rsidRPr="00520FF6" w:rsidRDefault="00880FC7" w:rsidP="00520FF6">
            <w:pPr>
              <w:rPr>
                <w:sz w:val="20"/>
                <w:szCs w:val="20"/>
              </w:rPr>
            </w:pPr>
            <w:r w:rsidRPr="00520FF6">
              <w:rPr>
                <w:sz w:val="20"/>
                <w:szCs w:val="20"/>
              </w:rPr>
              <w:t xml:space="preserve">Prior </w:t>
            </w:r>
            <w:r w:rsidR="006C320C" w:rsidRPr="00520FF6">
              <w:rPr>
                <w:sz w:val="20"/>
                <w:szCs w:val="20"/>
              </w:rPr>
              <w:t>platinum for advanced disease</w:t>
            </w:r>
          </w:p>
        </w:tc>
        <w:tc>
          <w:tcPr>
            <w:tcW w:w="2296" w:type="dxa"/>
          </w:tcPr>
          <w:p w14:paraId="20954112" w14:textId="77777777" w:rsidR="00880FC7" w:rsidRPr="00520FF6" w:rsidRDefault="00880FC7" w:rsidP="00520FF6">
            <w:pPr>
              <w:rPr>
                <w:sz w:val="20"/>
                <w:szCs w:val="20"/>
              </w:rPr>
            </w:pPr>
          </w:p>
        </w:tc>
        <w:tc>
          <w:tcPr>
            <w:tcW w:w="2169" w:type="dxa"/>
          </w:tcPr>
          <w:p w14:paraId="18EE1A3F" w14:textId="77777777" w:rsidR="00880FC7" w:rsidRPr="00520FF6" w:rsidRDefault="00880FC7" w:rsidP="00520FF6">
            <w:pPr>
              <w:rPr>
                <w:sz w:val="20"/>
                <w:szCs w:val="20"/>
              </w:rPr>
            </w:pPr>
          </w:p>
        </w:tc>
      </w:tr>
      <w:tr w:rsidR="00880FC7" w:rsidRPr="00520FF6" w14:paraId="7A3360DC" w14:textId="77777777" w:rsidTr="006C320C">
        <w:trPr>
          <w:trHeight w:val="17"/>
        </w:trPr>
        <w:tc>
          <w:tcPr>
            <w:tcW w:w="3446" w:type="dxa"/>
          </w:tcPr>
          <w:p w14:paraId="7E2F191E" w14:textId="77777777" w:rsidR="00880FC7" w:rsidRPr="00520FF6" w:rsidRDefault="00880FC7" w:rsidP="00520FF6">
            <w:pPr>
              <w:rPr>
                <w:sz w:val="20"/>
                <w:szCs w:val="20"/>
              </w:rPr>
            </w:pPr>
            <w:r w:rsidRPr="00520FF6">
              <w:rPr>
                <w:sz w:val="20"/>
                <w:szCs w:val="20"/>
              </w:rPr>
              <w:t>Yes</w:t>
            </w:r>
          </w:p>
        </w:tc>
        <w:tc>
          <w:tcPr>
            <w:tcW w:w="2296" w:type="dxa"/>
          </w:tcPr>
          <w:p w14:paraId="6FE38989" w14:textId="77777777" w:rsidR="00880FC7" w:rsidRPr="00520FF6" w:rsidRDefault="00880FC7" w:rsidP="00520FF6">
            <w:pPr>
              <w:rPr>
                <w:sz w:val="20"/>
                <w:szCs w:val="20"/>
              </w:rPr>
            </w:pPr>
            <w:r w:rsidRPr="00520FF6">
              <w:rPr>
                <w:sz w:val="20"/>
                <w:szCs w:val="20"/>
              </w:rPr>
              <w:t>24 (8)</w:t>
            </w:r>
          </w:p>
        </w:tc>
        <w:tc>
          <w:tcPr>
            <w:tcW w:w="2169" w:type="dxa"/>
          </w:tcPr>
          <w:p w14:paraId="072038E5" w14:textId="77777777" w:rsidR="00880FC7" w:rsidRPr="00520FF6" w:rsidRDefault="00880FC7" w:rsidP="00520FF6">
            <w:pPr>
              <w:rPr>
                <w:sz w:val="20"/>
                <w:szCs w:val="20"/>
              </w:rPr>
            </w:pPr>
            <w:r w:rsidRPr="00520FF6">
              <w:rPr>
                <w:sz w:val="20"/>
                <w:szCs w:val="20"/>
              </w:rPr>
              <w:t>16 (11)</w:t>
            </w:r>
          </w:p>
        </w:tc>
      </w:tr>
      <w:tr w:rsidR="00880FC7" w:rsidRPr="00520FF6" w14:paraId="5127B3BF" w14:textId="77777777" w:rsidTr="006C320C">
        <w:trPr>
          <w:trHeight w:val="17"/>
        </w:trPr>
        <w:tc>
          <w:tcPr>
            <w:tcW w:w="3446" w:type="dxa"/>
          </w:tcPr>
          <w:p w14:paraId="2017D68E" w14:textId="77777777" w:rsidR="00880FC7" w:rsidRPr="00520FF6" w:rsidRDefault="00880FC7" w:rsidP="00520FF6">
            <w:pPr>
              <w:rPr>
                <w:sz w:val="20"/>
                <w:szCs w:val="20"/>
              </w:rPr>
            </w:pPr>
            <w:r w:rsidRPr="00520FF6">
              <w:rPr>
                <w:sz w:val="20"/>
                <w:szCs w:val="20"/>
              </w:rPr>
              <w:t>No</w:t>
            </w:r>
          </w:p>
        </w:tc>
        <w:tc>
          <w:tcPr>
            <w:tcW w:w="2296" w:type="dxa"/>
          </w:tcPr>
          <w:p w14:paraId="4D8EB829" w14:textId="77777777" w:rsidR="00880FC7" w:rsidRPr="00520FF6" w:rsidRDefault="00880FC7" w:rsidP="00520FF6">
            <w:pPr>
              <w:rPr>
                <w:sz w:val="20"/>
                <w:szCs w:val="20"/>
              </w:rPr>
            </w:pPr>
            <w:r w:rsidRPr="00520FF6">
              <w:rPr>
                <w:sz w:val="20"/>
                <w:szCs w:val="20"/>
              </w:rPr>
              <w:t>263 (92)</w:t>
            </w:r>
          </w:p>
        </w:tc>
        <w:tc>
          <w:tcPr>
            <w:tcW w:w="2169" w:type="dxa"/>
          </w:tcPr>
          <w:p w14:paraId="773BEE09" w14:textId="77777777" w:rsidR="00880FC7" w:rsidRPr="00520FF6" w:rsidRDefault="00880FC7" w:rsidP="00520FF6">
            <w:pPr>
              <w:rPr>
                <w:sz w:val="20"/>
                <w:szCs w:val="20"/>
              </w:rPr>
            </w:pPr>
            <w:r w:rsidRPr="00520FF6">
              <w:rPr>
                <w:sz w:val="20"/>
                <w:szCs w:val="20"/>
              </w:rPr>
              <w:t>128 (89)</w:t>
            </w:r>
          </w:p>
        </w:tc>
      </w:tr>
      <w:tr w:rsidR="00ED7D4D" w:rsidRPr="00520FF6" w14:paraId="58C36928" w14:textId="77777777" w:rsidTr="00505564">
        <w:trPr>
          <w:trHeight w:val="17"/>
        </w:trPr>
        <w:tc>
          <w:tcPr>
            <w:tcW w:w="7911" w:type="dxa"/>
            <w:gridSpan w:val="3"/>
            <w:shd w:val="clear" w:color="auto" w:fill="C6D4E9"/>
          </w:tcPr>
          <w:p w14:paraId="5CC04FD4" w14:textId="1E2A66F2" w:rsidR="00ED7D4D" w:rsidRPr="00520FF6" w:rsidRDefault="00ED7D4D" w:rsidP="00520FF6">
            <w:pPr>
              <w:rPr>
                <w:b/>
                <w:sz w:val="20"/>
                <w:szCs w:val="20"/>
              </w:rPr>
            </w:pPr>
            <w:r w:rsidRPr="00520FF6">
              <w:rPr>
                <w:b/>
                <w:sz w:val="20"/>
                <w:szCs w:val="20"/>
              </w:rPr>
              <w:t>Received prior platinum as neo/adjuvant treatment</w:t>
            </w:r>
          </w:p>
        </w:tc>
      </w:tr>
      <w:tr w:rsidR="00880FC7" w:rsidRPr="00520FF6" w14:paraId="6BFEE33F" w14:textId="77777777" w:rsidTr="006C320C">
        <w:trPr>
          <w:trHeight w:val="17"/>
        </w:trPr>
        <w:tc>
          <w:tcPr>
            <w:tcW w:w="3446" w:type="dxa"/>
          </w:tcPr>
          <w:p w14:paraId="5BA60802" w14:textId="77777777" w:rsidR="00880FC7" w:rsidRPr="00520FF6" w:rsidRDefault="00880FC7" w:rsidP="00520FF6">
            <w:pPr>
              <w:rPr>
                <w:sz w:val="20"/>
                <w:szCs w:val="20"/>
              </w:rPr>
            </w:pPr>
            <w:r w:rsidRPr="00520FF6">
              <w:rPr>
                <w:sz w:val="20"/>
                <w:szCs w:val="20"/>
              </w:rPr>
              <w:t>Yes</w:t>
            </w:r>
          </w:p>
        </w:tc>
        <w:tc>
          <w:tcPr>
            <w:tcW w:w="2296" w:type="dxa"/>
          </w:tcPr>
          <w:p w14:paraId="0B8E24D3" w14:textId="77777777" w:rsidR="00880FC7" w:rsidRPr="00520FF6" w:rsidRDefault="00880FC7" w:rsidP="00520FF6">
            <w:pPr>
              <w:rPr>
                <w:sz w:val="20"/>
                <w:szCs w:val="20"/>
              </w:rPr>
            </w:pPr>
            <w:r w:rsidRPr="00520FF6">
              <w:rPr>
                <w:sz w:val="20"/>
                <w:szCs w:val="20"/>
              </w:rPr>
              <w:t>24 (8)</w:t>
            </w:r>
          </w:p>
        </w:tc>
        <w:tc>
          <w:tcPr>
            <w:tcW w:w="2169" w:type="dxa"/>
          </w:tcPr>
          <w:p w14:paraId="67275BF0" w14:textId="77777777" w:rsidR="00880FC7" w:rsidRPr="00520FF6" w:rsidRDefault="00880FC7" w:rsidP="00520FF6">
            <w:pPr>
              <w:rPr>
                <w:sz w:val="20"/>
                <w:szCs w:val="20"/>
              </w:rPr>
            </w:pPr>
            <w:r w:rsidRPr="00520FF6">
              <w:rPr>
                <w:sz w:val="20"/>
                <w:szCs w:val="20"/>
              </w:rPr>
              <w:t>15 (10)</w:t>
            </w:r>
          </w:p>
        </w:tc>
      </w:tr>
      <w:tr w:rsidR="00880FC7" w:rsidRPr="00520FF6" w14:paraId="0F369C2C" w14:textId="77777777" w:rsidTr="006C320C">
        <w:trPr>
          <w:trHeight w:val="17"/>
        </w:trPr>
        <w:tc>
          <w:tcPr>
            <w:tcW w:w="3446" w:type="dxa"/>
          </w:tcPr>
          <w:p w14:paraId="2C60D8A8" w14:textId="77777777" w:rsidR="00880FC7" w:rsidRPr="00520FF6" w:rsidRDefault="00880FC7" w:rsidP="00520FF6">
            <w:pPr>
              <w:rPr>
                <w:sz w:val="20"/>
                <w:szCs w:val="20"/>
              </w:rPr>
            </w:pPr>
            <w:r w:rsidRPr="00520FF6">
              <w:rPr>
                <w:sz w:val="20"/>
                <w:szCs w:val="20"/>
              </w:rPr>
              <w:t>No</w:t>
            </w:r>
          </w:p>
        </w:tc>
        <w:tc>
          <w:tcPr>
            <w:tcW w:w="2296" w:type="dxa"/>
          </w:tcPr>
          <w:p w14:paraId="1A6466BF" w14:textId="77777777" w:rsidR="00880FC7" w:rsidRPr="00520FF6" w:rsidRDefault="00880FC7" w:rsidP="00520FF6">
            <w:pPr>
              <w:rPr>
                <w:sz w:val="20"/>
                <w:szCs w:val="20"/>
              </w:rPr>
            </w:pPr>
            <w:r w:rsidRPr="00520FF6">
              <w:rPr>
                <w:sz w:val="20"/>
                <w:szCs w:val="20"/>
              </w:rPr>
              <w:t>263 (92)</w:t>
            </w:r>
          </w:p>
        </w:tc>
        <w:tc>
          <w:tcPr>
            <w:tcW w:w="2169" w:type="dxa"/>
          </w:tcPr>
          <w:p w14:paraId="18C66C54" w14:textId="77777777" w:rsidR="00880FC7" w:rsidRPr="00520FF6" w:rsidRDefault="00880FC7" w:rsidP="00520FF6">
            <w:pPr>
              <w:rPr>
                <w:sz w:val="20"/>
                <w:szCs w:val="20"/>
              </w:rPr>
            </w:pPr>
            <w:r w:rsidRPr="00520FF6">
              <w:rPr>
                <w:sz w:val="20"/>
                <w:szCs w:val="20"/>
              </w:rPr>
              <w:t>129 (90)</w:t>
            </w:r>
          </w:p>
        </w:tc>
      </w:tr>
      <w:tr w:rsidR="00ED7D4D" w:rsidRPr="00520FF6" w14:paraId="3479EA4A" w14:textId="77777777" w:rsidTr="00505564">
        <w:trPr>
          <w:trHeight w:val="17"/>
        </w:trPr>
        <w:tc>
          <w:tcPr>
            <w:tcW w:w="7911" w:type="dxa"/>
            <w:gridSpan w:val="3"/>
            <w:shd w:val="clear" w:color="auto" w:fill="C6D4E9"/>
          </w:tcPr>
          <w:p w14:paraId="63830594" w14:textId="6FAFFD4E" w:rsidR="00ED7D4D" w:rsidRPr="00520FF6" w:rsidRDefault="00ED7D4D" w:rsidP="00520FF6">
            <w:pPr>
              <w:rPr>
                <w:b/>
                <w:sz w:val="20"/>
                <w:szCs w:val="20"/>
              </w:rPr>
            </w:pPr>
            <w:r w:rsidRPr="00520FF6">
              <w:rPr>
                <w:b/>
                <w:sz w:val="20"/>
                <w:szCs w:val="20"/>
              </w:rPr>
              <w:t>Prior cytotoxic chemo for advanced disease (</w:t>
            </w:r>
            <w:proofErr w:type="spellStart"/>
            <w:r w:rsidRPr="00520FF6">
              <w:rPr>
                <w:b/>
                <w:sz w:val="20"/>
                <w:szCs w:val="20"/>
              </w:rPr>
              <w:t>eCRF</w:t>
            </w:r>
            <w:proofErr w:type="spellEnd"/>
            <w:r w:rsidRPr="00520FF6">
              <w:rPr>
                <w:b/>
                <w:sz w:val="20"/>
                <w:szCs w:val="20"/>
              </w:rPr>
              <w:t>)</w:t>
            </w:r>
          </w:p>
        </w:tc>
      </w:tr>
      <w:tr w:rsidR="00880FC7" w:rsidRPr="00520FF6" w14:paraId="031B0D54" w14:textId="77777777" w:rsidTr="006C320C">
        <w:trPr>
          <w:trHeight w:val="17"/>
        </w:trPr>
        <w:tc>
          <w:tcPr>
            <w:tcW w:w="3446" w:type="dxa"/>
          </w:tcPr>
          <w:p w14:paraId="441DE576" w14:textId="77777777" w:rsidR="00880FC7" w:rsidRPr="00520FF6" w:rsidRDefault="00880FC7" w:rsidP="00520FF6">
            <w:pPr>
              <w:rPr>
                <w:sz w:val="20"/>
                <w:szCs w:val="20"/>
              </w:rPr>
            </w:pPr>
            <w:r w:rsidRPr="00520FF6">
              <w:rPr>
                <w:sz w:val="20"/>
                <w:szCs w:val="20"/>
              </w:rPr>
              <w:t>Yes</w:t>
            </w:r>
          </w:p>
        </w:tc>
        <w:tc>
          <w:tcPr>
            <w:tcW w:w="2296" w:type="dxa"/>
          </w:tcPr>
          <w:p w14:paraId="49F8ABC5" w14:textId="77777777" w:rsidR="00880FC7" w:rsidRPr="00520FF6" w:rsidRDefault="00880FC7" w:rsidP="00520FF6">
            <w:pPr>
              <w:rPr>
                <w:sz w:val="20"/>
                <w:szCs w:val="20"/>
              </w:rPr>
            </w:pPr>
            <w:r w:rsidRPr="00520FF6">
              <w:rPr>
                <w:sz w:val="20"/>
                <w:szCs w:val="20"/>
              </w:rPr>
              <w:t>176 (61)</w:t>
            </w:r>
          </w:p>
        </w:tc>
        <w:tc>
          <w:tcPr>
            <w:tcW w:w="2169" w:type="dxa"/>
          </w:tcPr>
          <w:p w14:paraId="63E27E7A" w14:textId="77777777" w:rsidR="00880FC7" w:rsidRPr="00520FF6" w:rsidRDefault="00880FC7" w:rsidP="00520FF6">
            <w:pPr>
              <w:rPr>
                <w:sz w:val="20"/>
                <w:szCs w:val="20"/>
              </w:rPr>
            </w:pPr>
            <w:r w:rsidRPr="00520FF6">
              <w:rPr>
                <w:sz w:val="20"/>
                <w:szCs w:val="20"/>
              </w:rPr>
              <w:t>90 (63)</w:t>
            </w:r>
          </w:p>
        </w:tc>
      </w:tr>
      <w:tr w:rsidR="00880FC7" w:rsidRPr="00520FF6" w14:paraId="4968167D" w14:textId="77777777" w:rsidTr="006C320C">
        <w:trPr>
          <w:trHeight w:val="17"/>
        </w:trPr>
        <w:tc>
          <w:tcPr>
            <w:tcW w:w="3446" w:type="dxa"/>
          </w:tcPr>
          <w:p w14:paraId="3FDAFE6C" w14:textId="77777777" w:rsidR="00880FC7" w:rsidRPr="00520FF6" w:rsidRDefault="00880FC7" w:rsidP="00520FF6">
            <w:pPr>
              <w:rPr>
                <w:sz w:val="20"/>
                <w:szCs w:val="20"/>
              </w:rPr>
            </w:pPr>
            <w:r w:rsidRPr="00520FF6">
              <w:rPr>
                <w:sz w:val="20"/>
                <w:szCs w:val="20"/>
              </w:rPr>
              <w:t>No</w:t>
            </w:r>
          </w:p>
        </w:tc>
        <w:tc>
          <w:tcPr>
            <w:tcW w:w="2296" w:type="dxa"/>
          </w:tcPr>
          <w:p w14:paraId="4F5F43D6" w14:textId="77777777" w:rsidR="00880FC7" w:rsidRPr="00520FF6" w:rsidRDefault="00880FC7" w:rsidP="00520FF6">
            <w:pPr>
              <w:rPr>
                <w:sz w:val="20"/>
                <w:szCs w:val="20"/>
              </w:rPr>
            </w:pPr>
            <w:r w:rsidRPr="00520FF6">
              <w:rPr>
                <w:sz w:val="20"/>
                <w:szCs w:val="20"/>
              </w:rPr>
              <w:t>111 (39)</w:t>
            </w:r>
          </w:p>
        </w:tc>
        <w:tc>
          <w:tcPr>
            <w:tcW w:w="2169" w:type="dxa"/>
          </w:tcPr>
          <w:p w14:paraId="14BA47FB" w14:textId="77777777" w:rsidR="00880FC7" w:rsidRPr="00520FF6" w:rsidRDefault="00880FC7" w:rsidP="00520FF6">
            <w:pPr>
              <w:rPr>
                <w:sz w:val="20"/>
                <w:szCs w:val="20"/>
              </w:rPr>
            </w:pPr>
            <w:r w:rsidRPr="00520FF6">
              <w:rPr>
                <w:sz w:val="20"/>
                <w:szCs w:val="20"/>
              </w:rPr>
              <w:t>54 (38)</w:t>
            </w:r>
          </w:p>
        </w:tc>
      </w:tr>
      <w:tr w:rsidR="00ED7D4D" w:rsidRPr="00520FF6" w14:paraId="49B9D636" w14:textId="77777777" w:rsidTr="00505564">
        <w:trPr>
          <w:trHeight w:val="17"/>
        </w:trPr>
        <w:tc>
          <w:tcPr>
            <w:tcW w:w="7911" w:type="dxa"/>
            <w:gridSpan w:val="3"/>
            <w:shd w:val="clear" w:color="auto" w:fill="C6D4E9"/>
          </w:tcPr>
          <w:p w14:paraId="6F8B2FE8" w14:textId="2DC81F9C" w:rsidR="00ED7D4D" w:rsidRPr="00520FF6" w:rsidRDefault="00ED7D4D" w:rsidP="00520FF6">
            <w:pPr>
              <w:rPr>
                <w:b/>
                <w:sz w:val="20"/>
                <w:szCs w:val="20"/>
              </w:rPr>
            </w:pPr>
            <w:r w:rsidRPr="00520FF6">
              <w:rPr>
                <w:b/>
                <w:sz w:val="20"/>
                <w:szCs w:val="20"/>
              </w:rPr>
              <w:t>Prior radiotherapy</w:t>
            </w:r>
          </w:p>
        </w:tc>
      </w:tr>
      <w:tr w:rsidR="00880FC7" w:rsidRPr="00520FF6" w14:paraId="7A3031CE" w14:textId="77777777" w:rsidTr="006C320C">
        <w:trPr>
          <w:trHeight w:val="17"/>
        </w:trPr>
        <w:tc>
          <w:tcPr>
            <w:tcW w:w="3446" w:type="dxa"/>
          </w:tcPr>
          <w:p w14:paraId="795BA410" w14:textId="77777777" w:rsidR="00880FC7" w:rsidRPr="00520FF6" w:rsidRDefault="00880FC7" w:rsidP="00520FF6">
            <w:pPr>
              <w:rPr>
                <w:sz w:val="20"/>
                <w:szCs w:val="20"/>
              </w:rPr>
            </w:pPr>
            <w:r w:rsidRPr="00520FF6">
              <w:rPr>
                <w:sz w:val="20"/>
                <w:szCs w:val="20"/>
              </w:rPr>
              <w:t>Yes</w:t>
            </w:r>
          </w:p>
        </w:tc>
        <w:tc>
          <w:tcPr>
            <w:tcW w:w="2296" w:type="dxa"/>
          </w:tcPr>
          <w:p w14:paraId="4BB200D5" w14:textId="77777777" w:rsidR="00880FC7" w:rsidRPr="00520FF6" w:rsidRDefault="00880FC7" w:rsidP="00520FF6">
            <w:pPr>
              <w:rPr>
                <w:sz w:val="20"/>
                <w:szCs w:val="20"/>
              </w:rPr>
            </w:pPr>
            <w:r w:rsidRPr="00520FF6">
              <w:rPr>
                <w:sz w:val="20"/>
                <w:szCs w:val="20"/>
              </w:rPr>
              <w:t>223 (78)</w:t>
            </w:r>
          </w:p>
        </w:tc>
        <w:tc>
          <w:tcPr>
            <w:tcW w:w="2169" w:type="dxa"/>
          </w:tcPr>
          <w:p w14:paraId="06D6D183" w14:textId="77777777" w:rsidR="00880FC7" w:rsidRPr="00520FF6" w:rsidRDefault="00880FC7" w:rsidP="00520FF6">
            <w:pPr>
              <w:rPr>
                <w:sz w:val="20"/>
                <w:szCs w:val="20"/>
              </w:rPr>
            </w:pPr>
            <w:r w:rsidRPr="00520FF6">
              <w:rPr>
                <w:sz w:val="20"/>
                <w:szCs w:val="20"/>
              </w:rPr>
              <w:t>107 (74)</w:t>
            </w:r>
          </w:p>
        </w:tc>
      </w:tr>
      <w:tr w:rsidR="00880FC7" w:rsidRPr="00520FF6" w14:paraId="7EDEF064" w14:textId="77777777" w:rsidTr="006C320C">
        <w:trPr>
          <w:trHeight w:val="17"/>
        </w:trPr>
        <w:tc>
          <w:tcPr>
            <w:tcW w:w="3446" w:type="dxa"/>
          </w:tcPr>
          <w:p w14:paraId="25F393EA" w14:textId="77777777" w:rsidR="00880FC7" w:rsidRPr="00520FF6" w:rsidRDefault="00880FC7" w:rsidP="00520FF6">
            <w:pPr>
              <w:rPr>
                <w:sz w:val="20"/>
                <w:szCs w:val="20"/>
              </w:rPr>
            </w:pPr>
            <w:r w:rsidRPr="00520FF6">
              <w:rPr>
                <w:sz w:val="20"/>
                <w:szCs w:val="20"/>
              </w:rPr>
              <w:t>No</w:t>
            </w:r>
          </w:p>
        </w:tc>
        <w:tc>
          <w:tcPr>
            <w:tcW w:w="2296" w:type="dxa"/>
          </w:tcPr>
          <w:p w14:paraId="0C7E3707" w14:textId="77777777" w:rsidR="00880FC7" w:rsidRPr="00520FF6" w:rsidRDefault="00880FC7" w:rsidP="00520FF6">
            <w:pPr>
              <w:rPr>
                <w:sz w:val="20"/>
                <w:szCs w:val="20"/>
              </w:rPr>
            </w:pPr>
            <w:r w:rsidRPr="00520FF6">
              <w:rPr>
                <w:sz w:val="20"/>
                <w:szCs w:val="20"/>
              </w:rPr>
              <w:t>64 (22)</w:t>
            </w:r>
          </w:p>
        </w:tc>
        <w:tc>
          <w:tcPr>
            <w:tcW w:w="2169" w:type="dxa"/>
          </w:tcPr>
          <w:p w14:paraId="6111B1CD" w14:textId="77777777" w:rsidR="00880FC7" w:rsidRPr="00520FF6" w:rsidRDefault="00880FC7" w:rsidP="00520FF6">
            <w:pPr>
              <w:rPr>
                <w:sz w:val="20"/>
                <w:szCs w:val="20"/>
              </w:rPr>
            </w:pPr>
            <w:r w:rsidRPr="00520FF6">
              <w:rPr>
                <w:sz w:val="20"/>
                <w:szCs w:val="20"/>
              </w:rPr>
              <w:t>37 (26)</w:t>
            </w:r>
          </w:p>
        </w:tc>
      </w:tr>
    </w:tbl>
    <w:p w14:paraId="49B9343F" w14:textId="77777777" w:rsidR="00880FC7" w:rsidRDefault="00880FC7" w:rsidP="00880FC7">
      <w:pPr>
        <w:pStyle w:val="Heading6"/>
      </w:pPr>
      <w:r>
        <w:lastRenderedPageBreak/>
        <w:t>Results</w:t>
      </w:r>
    </w:p>
    <w:p w14:paraId="611641E8" w14:textId="020A7194" w:rsidR="00880FC7" w:rsidRDefault="00880FC7" w:rsidP="00505564">
      <w:r>
        <w:t xml:space="preserve">Results for the primary and secondary efficacy outcomes are summarised in </w:t>
      </w:r>
      <w:r>
        <w:fldChar w:fldCharType="begin"/>
      </w:r>
      <w:r>
        <w:instrText xml:space="preserve"> REF _Ref8994724 \h </w:instrText>
      </w:r>
      <w:r w:rsidR="00CB6831">
        <w:instrText xml:space="preserve"> \* MERGEFORMAT </w:instrText>
      </w:r>
      <w:r>
        <w:fldChar w:fldCharType="separate"/>
      </w:r>
      <w:r w:rsidR="006C320C">
        <w:t xml:space="preserve">Table </w:t>
      </w:r>
      <w:r w:rsidR="006C320C">
        <w:rPr>
          <w:noProof/>
        </w:rPr>
        <w:t>6</w:t>
      </w:r>
      <w:r>
        <w:fldChar w:fldCharType="end"/>
      </w:r>
      <w:r>
        <w:t xml:space="preserve">. No multiplicity adjustments </w:t>
      </w:r>
      <w:proofErr w:type="gramStart"/>
      <w:r>
        <w:t>were planned</w:t>
      </w:r>
      <w:proofErr w:type="gramEnd"/>
      <w:r>
        <w:t xml:space="preserve"> for secondary endpoints other than OS, so the ORR analysis is considered exploratory. Independent review </w:t>
      </w:r>
      <w:proofErr w:type="gramStart"/>
      <w:r>
        <w:t>was only undertaken</w:t>
      </w:r>
      <w:proofErr w:type="gramEnd"/>
      <w:r>
        <w:t xml:space="preserve"> for progression events, so IRF-adjudicated ORR is not available.</w:t>
      </w:r>
    </w:p>
    <w:p w14:paraId="2DEB4623" w14:textId="4269B4C0" w:rsidR="00880FC7" w:rsidRDefault="00880FC7" w:rsidP="00CB6831">
      <w:pPr>
        <w:pStyle w:val="TableTitle"/>
      </w:pPr>
      <w:bookmarkStart w:id="46" w:name="_Ref8994724"/>
      <w:r>
        <w:t xml:space="preserve">Table </w:t>
      </w:r>
      <w:fldSimple w:instr=" SEQ Table \* ARABIC ">
        <w:r w:rsidR="006C320C">
          <w:rPr>
            <w:noProof/>
          </w:rPr>
          <w:t>6</w:t>
        </w:r>
      </w:fldSimple>
      <w:bookmarkEnd w:id="46"/>
      <w:r w:rsidR="006C320C">
        <w:t>:</w:t>
      </w:r>
      <w:r>
        <w:t xml:space="preserve"> Efficacy results (primary and secondary) in the EMBRACA trial</w:t>
      </w:r>
    </w:p>
    <w:p w14:paraId="4D8C1BA2" w14:textId="08B556AA" w:rsidR="006C320C" w:rsidRDefault="006C320C" w:rsidP="00CB6831">
      <w:r>
        <w:rPr>
          <w:noProof/>
          <w:lang w:eastAsia="en-AU"/>
        </w:rPr>
        <w:drawing>
          <wp:inline distT="0" distB="0" distL="0" distR="0" wp14:anchorId="24E7D2EB" wp14:editId="0A8CBD6C">
            <wp:extent cx="5400040" cy="3603625"/>
            <wp:effectExtent l="0" t="0" r="0" b="0"/>
            <wp:docPr id="2" name="Picture 2" descr="Efficacy results (primary and secondary) in the EMBRACA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3603625"/>
                    </a:xfrm>
                    <a:prstGeom prst="rect">
                      <a:avLst/>
                    </a:prstGeom>
                  </pic:spPr>
                </pic:pic>
              </a:graphicData>
            </a:graphic>
          </wp:inline>
        </w:drawing>
      </w:r>
    </w:p>
    <w:p w14:paraId="2FCA64F1" w14:textId="7397F092" w:rsidR="00E67C80" w:rsidRDefault="00E67C80" w:rsidP="00E67C80">
      <w:pPr>
        <w:pStyle w:val="TableDescription"/>
      </w:pPr>
      <w:r>
        <w:t>DCO = data cut-off</w:t>
      </w:r>
    </w:p>
    <w:p w14:paraId="1C3821F9" w14:textId="7FB612E4" w:rsidR="00880FC7" w:rsidRDefault="00880FC7" w:rsidP="00CB6831">
      <w:r>
        <w:t>Predefined sensitivity analyses for the primary efficacy outcome indicated IRF-assessed PFS was consistent with</w:t>
      </w:r>
      <w:r w:rsidRPr="00325BEE">
        <w:t xml:space="preserve"> </w:t>
      </w:r>
      <w:r>
        <w:t xml:space="preserve">PFS by investigator </w:t>
      </w:r>
      <w:proofErr w:type="gramStart"/>
      <w:r>
        <w:t>assessment,</w:t>
      </w:r>
      <w:proofErr w:type="gramEnd"/>
      <w:r>
        <w:t xml:space="preserve"> and with PFS across </w:t>
      </w:r>
      <w:r w:rsidRPr="0065168C">
        <w:t xml:space="preserve">patient subgroups defined by study stratification factors (line of therapy, TNBC status, and history </w:t>
      </w:r>
      <w:r w:rsidR="00E67C80">
        <w:t>of CNS metastases).</w:t>
      </w:r>
    </w:p>
    <w:p w14:paraId="307C1264" w14:textId="61947CF0" w:rsidR="00880FC7" w:rsidRDefault="00880FC7" w:rsidP="00CB6831">
      <w:r>
        <w:t xml:space="preserve">Higher rates of censoring in the primary efficacy analysis </w:t>
      </w:r>
      <w:proofErr w:type="gramStart"/>
      <w:r>
        <w:t>were observed</w:t>
      </w:r>
      <w:proofErr w:type="gramEnd"/>
      <w:r>
        <w:t xml:space="preserve"> in the PCT arm than the </w:t>
      </w:r>
      <w:proofErr w:type="spellStart"/>
      <w:r>
        <w:t>talazoparib</w:t>
      </w:r>
      <w:proofErr w:type="spellEnd"/>
      <w:r>
        <w:t xml:space="preserve"> arm, both at randomisation and at last assessment prior to beginning new antineoplastic therapy. Based on the open-label trial design, this may be attributable to patients being more likely to withdraw from the trial if</w:t>
      </w:r>
      <w:r w:rsidRPr="0065168C">
        <w:t xml:space="preserve"> </w:t>
      </w:r>
      <w:r>
        <w:t xml:space="preserve">randomised to PCT (rather than </w:t>
      </w:r>
      <w:proofErr w:type="spellStart"/>
      <w:r>
        <w:t>talazoparib</w:t>
      </w:r>
      <w:proofErr w:type="spellEnd"/>
      <w:r>
        <w:t xml:space="preserve">), and investigators being more likely to define clinical progression and recommend trial discontinuation prior to radiographic progression for patients on PCT (compared to </w:t>
      </w:r>
      <w:proofErr w:type="spellStart"/>
      <w:r>
        <w:t>talazoparib</w:t>
      </w:r>
      <w:proofErr w:type="spellEnd"/>
      <w:r>
        <w:t>), respectively. FDA-conducted sensitivity analyses to evaluate the impact of these possible biases did not indicate a significant eff</w:t>
      </w:r>
      <w:r w:rsidR="00E67C80">
        <w:t>ect on results.</w:t>
      </w:r>
    </w:p>
    <w:p w14:paraId="22DA645E" w14:textId="74082AC9" w:rsidR="00880FC7" w:rsidRDefault="00880FC7" w:rsidP="00CB6831">
      <w:r>
        <w:t>The difference in OS between arms was not statistically significant at the interim analysis (carried out wh</w:t>
      </w:r>
      <w:r w:rsidR="00E67C80">
        <w:t>en 163 events had occurred, that is,</w:t>
      </w:r>
      <w:r>
        <w:t xml:space="preserve"> 37.8% of patients). Final OS anal</w:t>
      </w:r>
      <w:r w:rsidR="00E67C80">
        <w:t xml:space="preserve">ysis </w:t>
      </w:r>
      <w:proofErr w:type="gramStart"/>
      <w:r w:rsidR="00E67C80">
        <w:t>is planned</w:t>
      </w:r>
      <w:proofErr w:type="gramEnd"/>
      <w:r w:rsidR="00E67C80">
        <w:t xml:space="preserve"> at 321 events. </w:t>
      </w:r>
      <w:r>
        <w:t xml:space="preserve">Subsequent therapies may confound the final OS analysis: the most common subsequent therapy at the </w:t>
      </w:r>
      <w:r w:rsidR="00180AB7">
        <w:t>DCO</w:t>
      </w:r>
      <w:r>
        <w:t xml:space="preserve"> date for this analysis in both arms</w:t>
      </w:r>
      <w:r w:rsidRPr="006902D5">
        <w:t xml:space="preserve"> </w:t>
      </w:r>
      <w:r w:rsidR="00E67C80">
        <w:t xml:space="preserve">was carboplatin (25 to </w:t>
      </w:r>
      <w:r>
        <w:t xml:space="preserve">30% of both arms), but 18% of the PCT arm and 1% of the </w:t>
      </w:r>
      <w:proofErr w:type="spellStart"/>
      <w:r>
        <w:t>talazoparib</w:t>
      </w:r>
      <w:proofErr w:type="spellEnd"/>
      <w:r>
        <w:t xml:space="preserve"> arm subsequently received a PARP inhibitor (mostly </w:t>
      </w:r>
      <w:proofErr w:type="spellStart"/>
      <w:r>
        <w:t>olaparib</w:t>
      </w:r>
      <w:proofErr w:type="spellEnd"/>
      <w:r>
        <w:t>).</w:t>
      </w:r>
    </w:p>
    <w:p w14:paraId="2F491C0D" w14:textId="3A3B82EF" w:rsidR="00880FC7" w:rsidRPr="001263D1" w:rsidRDefault="00880FC7" w:rsidP="00CB6831">
      <w:r>
        <w:t xml:space="preserve">DOR (95% </w:t>
      </w:r>
      <w:r w:rsidR="00B16F8C">
        <w:t>confidence interval (</w:t>
      </w:r>
      <w:r>
        <w:t>CI</w:t>
      </w:r>
      <w:r w:rsidR="00B16F8C">
        <w:t>)</w:t>
      </w:r>
      <w:r>
        <w:t xml:space="preserve">) was an exploratory outcome, and was </w:t>
      </w:r>
      <w:r w:rsidRPr="002E0858">
        <w:t xml:space="preserve">6.4 (5.4, 9.5) </w:t>
      </w:r>
      <w:r>
        <w:t xml:space="preserve">months in the </w:t>
      </w:r>
      <w:proofErr w:type="spellStart"/>
      <w:r>
        <w:t>talazoparib</w:t>
      </w:r>
      <w:proofErr w:type="spellEnd"/>
      <w:r>
        <w:t xml:space="preserve"> arm versus </w:t>
      </w:r>
      <w:r w:rsidRPr="002E0858">
        <w:t xml:space="preserve">3.9 (3.0, 7.6) </w:t>
      </w:r>
      <w:r>
        <w:t xml:space="preserve">months in the PCT arm. The results of exploratory analyses of PRO data </w:t>
      </w:r>
      <w:proofErr w:type="gramStart"/>
      <w:r>
        <w:t>were also provided</w:t>
      </w:r>
      <w:proofErr w:type="gramEnd"/>
      <w:r>
        <w:t xml:space="preserve">, however in an open-label setting against a heterogeneous control arm, interpretation of such analyses is limited. The PRO </w:t>
      </w:r>
      <w:r>
        <w:lastRenderedPageBreak/>
        <w:t xml:space="preserve">analyses did not contribute significantly to the benefit-risk assessment for the purposes of this submission so </w:t>
      </w:r>
      <w:proofErr w:type="gramStart"/>
      <w:r>
        <w:t>are not discussed</w:t>
      </w:r>
      <w:proofErr w:type="gramEnd"/>
      <w:r>
        <w:t xml:space="preserve"> further in this overview.</w:t>
      </w:r>
    </w:p>
    <w:p w14:paraId="22C5F784" w14:textId="75FCEFA4" w:rsidR="00880FC7" w:rsidRDefault="00880FC7" w:rsidP="000D01AA">
      <w:pPr>
        <w:pStyle w:val="Heading5"/>
        <w:rPr>
          <w:lang w:eastAsia="ja-JP"/>
        </w:rPr>
      </w:pPr>
      <w:r>
        <w:t>ABRAZO</w:t>
      </w:r>
      <w:r>
        <w:rPr>
          <w:lang w:eastAsia="ja-JP"/>
        </w:rPr>
        <w:t xml:space="preserve"> </w:t>
      </w:r>
      <w:r w:rsidR="00042CC9">
        <w:rPr>
          <w:lang w:eastAsia="ja-JP"/>
        </w:rPr>
        <w:t xml:space="preserve">trial </w:t>
      </w:r>
      <w:r>
        <w:rPr>
          <w:lang w:eastAsia="ja-JP"/>
        </w:rPr>
        <w:t>(</w:t>
      </w:r>
      <w:r w:rsidR="00042CC9">
        <w:rPr>
          <w:lang w:eastAsia="ja-JP"/>
        </w:rPr>
        <w:t xml:space="preserve">Study </w:t>
      </w:r>
      <w:r w:rsidRPr="00456257">
        <w:t>673-201</w:t>
      </w:r>
      <w:r>
        <w:rPr>
          <w:b w:val="0"/>
        </w:rPr>
        <w:t>/</w:t>
      </w:r>
      <w:r>
        <w:rPr>
          <w:lang w:eastAsia="ja-JP"/>
        </w:rPr>
        <w:t>C3441008)</w:t>
      </w:r>
    </w:p>
    <w:p w14:paraId="1FB53FCC" w14:textId="6C350E38" w:rsidR="00880FC7" w:rsidRDefault="00CB6831" w:rsidP="00CB6831">
      <w:r>
        <w:rPr>
          <w:lang w:eastAsia="ja-JP"/>
        </w:rPr>
        <w:t>This Phase II</w:t>
      </w:r>
      <w:r w:rsidR="00880FC7">
        <w:rPr>
          <w:lang w:eastAsia="ja-JP"/>
        </w:rPr>
        <w:t xml:space="preserve">, open-label study enrolled </w:t>
      </w:r>
      <w:r w:rsidR="00880FC7">
        <w:t xml:space="preserve">84 patients with </w:t>
      </w:r>
      <w:proofErr w:type="spellStart"/>
      <w:r w:rsidR="00880FC7">
        <w:t>unresectable</w:t>
      </w:r>
      <w:proofErr w:type="spellEnd"/>
      <w:r w:rsidR="00880FC7">
        <w:t xml:space="preserve"> breast cancer with a germline BRCA mutation whose metastatic disease had previously responded to their most recently received platinum-containing regimen without disease progression for &gt;</w:t>
      </w:r>
      <w:r w:rsidR="00E67C80">
        <w:t> 8 </w:t>
      </w:r>
      <w:r w:rsidR="00880FC7">
        <w:t xml:space="preserve">weeks following the last dose (Cohort 1) or who had at least 3 prior non-platinum cytotoxic regimens for metastatic disease (Cohort 2). Patients were treated with </w:t>
      </w:r>
      <w:proofErr w:type="spellStart"/>
      <w:r w:rsidR="00880FC7">
        <w:t>talazoparib</w:t>
      </w:r>
      <w:proofErr w:type="spellEnd"/>
      <w:r w:rsidR="00880FC7">
        <w:t xml:space="preserve"> at the proposed dosage (1 mg daily, orally) with dose reductions allowed for toxicity. The primary outcome was ORR but the study </w:t>
      </w:r>
      <w:proofErr w:type="gramStart"/>
      <w:r w:rsidR="00880FC7">
        <w:t>was ceased</w:t>
      </w:r>
      <w:proofErr w:type="gramEnd"/>
      <w:r w:rsidR="00880FC7">
        <w:t xml:space="preserve"> early to prioritise enrolment in </w:t>
      </w:r>
      <w:r w:rsidR="001A0280">
        <w:t xml:space="preserve">the </w:t>
      </w:r>
      <w:r w:rsidR="00880FC7">
        <w:t>EMBRACA</w:t>
      </w:r>
      <w:r w:rsidR="001A0280">
        <w:t xml:space="preserve"> trial</w:t>
      </w:r>
      <w:r w:rsidR="00880FC7">
        <w:t>, when a protocol amendment to</w:t>
      </w:r>
      <w:r w:rsidR="001A0280">
        <w:t xml:space="preserve"> the</w:t>
      </w:r>
      <w:r w:rsidR="00880FC7">
        <w:t xml:space="preserve"> EMBRACA </w:t>
      </w:r>
      <w:r w:rsidR="001A0280">
        <w:t xml:space="preserve">trial </w:t>
      </w:r>
      <w:r w:rsidR="00880FC7">
        <w:t>created significant overlap between its enrolmen</w:t>
      </w:r>
      <w:r>
        <w:t xml:space="preserve">t criteria and those of </w:t>
      </w:r>
      <w:r w:rsidR="001A0280">
        <w:t xml:space="preserve">the </w:t>
      </w:r>
      <w:r>
        <w:t>ABRAZO</w:t>
      </w:r>
      <w:r w:rsidR="001A0280">
        <w:t xml:space="preserve"> trial</w:t>
      </w:r>
      <w:r>
        <w:t>.</w:t>
      </w:r>
    </w:p>
    <w:p w14:paraId="075D3B79" w14:textId="77777777" w:rsidR="00880FC7" w:rsidRDefault="00880FC7" w:rsidP="00880FC7">
      <w:r>
        <w:t>As stated in the CSR:</w:t>
      </w:r>
    </w:p>
    <w:p w14:paraId="1EBF3394" w14:textId="78F0E1AE" w:rsidR="00880FC7" w:rsidRDefault="00CB6831" w:rsidP="00CB6831">
      <w:pPr>
        <w:ind w:left="720"/>
      </w:pPr>
      <w:r>
        <w:t>‘</w:t>
      </w:r>
      <w:r w:rsidR="00880FC7">
        <w:t>Both cohorts met the criteria for continuation to the second stage (≥</w:t>
      </w:r>
      <w:r w:rsidR="00E67C80">
        <w:t xml:space="preserve"> </w:t>
      </w:r>
      <w:r w:rsidR="00880FC7">
        <w:t>5 objective responses in the first 35 patients in each cohort); however,</w:t>
      </w:r>
      <w:r w:rsidR="00E67C80">
        <w:t xml:space="preserve"> </w:t>
      </w:r>
      <w:proofErr w:type="spellStart"/>
      <w:r w:rsidR="00E67C80">
        <w:t>enrollment</w:t>
      </w:r>
      <w:proofErr w:type="spellEnd"/>
      <w:r w:rsidR="00E67C80">
        <w:t xml:space="preserve"> was stopped by the s</w:t>
      </w:r>
      <w:r w:rsidR="00880FC7">
        <w:t xml:space="preserve">ponsor before 70 additional patients were enrolled in the study (35 additional patients were planned for each cohort). The study did not meet the primary endpoint of </w:t>
      </w:r>
      <w:proofErr w:type="spellStart"/>
      <w:r w:rsidR="00880FC7">
        <w:t>talazoparib</w:t>
      </w:r>
      <w:proofErr w:type="spellEnd"/>
      <w:r w:rsidR="00880FC7">
        <w:t xml:space="preserve"> effectiveness based on ≥</w:t>
      </w:r>
      <w:r w:rsidR="00E67C80">
        <w:t xml:space="preserve"> </w:t>
      </w:r>
      <w:r w:rsidR="00880FC7">
        <w:t xml:space="preserve">16 objective responses out of 70 patients by central radiology assessment in either cohort. Although </w:t>
      </w:r>
      <w:proofErr w:type="spellStart"/>
      <w:r w:rsidR="00880FC7">
        <w:t>enrollment</w:t>
      </w:r>
      <w:proofErr w:type="spellEnd"/>
      <w:r w:rsidR="00880FC7">
        <w:t xml:space="preserve"> was not completed, an analysis of the efficacy data </w:t>
      </w:r>
      <w:proofErr w:type="gramStart"/>
      <w:r w:rsidR="00880FC7">
        <w:t>was conducted</w:t>
      </w:r>
      <w:proofErr w:type="gramEnd"/>
      <w:r w:rsidR="00880FC7">
        <w:t xml:space="preserve"> to determine the effectiveness of </w:t>
      </w:r>
      <w:proofErr w:type="spellStart"/>
      <w:r w:rsidR="00880FC7">
        <w:t>talazoparib</w:t>
      </w:r>
      <w:proofErr w:type="spellEnd"/>
      <w:r w:rsidR="00880FC7">
        <w:t xml:space="preserve"> in those patients who were enrolled.</w:t>
      </w:r>
    </w:p>
    <w:p w14:paraId="282A6519" w14:textId="0E981C68" w:rsidR="00880FC7" w:rsidRPr="00AF5F75" w:rsidRDefault="00880FC7" w:rsidP="00CB6831">
      <w:pPr>
        <w:ind w:left="720"/>
      </w:pPr>
      <w:r>
        <w:t>The ORR by IRF assessment was 20.8% (95% CI: 10.47, 34.99) in Cohort 1 and 37.1% (95% CI: 21.47, 55.08) in Cohort 2.</w:t>
      </w:r>
      <w:r w:rsidR="00CB6831">
        <w:t>’</w:t>
      </w:r>
    </w:p>
    <w:p w14:paraId="7D7529A0" w14:textId="30BA5083" w:rsidR="00880FC7" w:rsidRDefault="001A0280" w:rsidP="00880FC7">
      <w:pPr>
        <w:pStyle w:val="Heading5"/>
      </w:pPr>
      <w:r>
        <w:t xml:space="preserve">Study </w:t>
      </w:r>
      <w:r w:rsidR="00880FC7">
        <w:t>PRP-001/C3441007</w:t>
      </w:r>
    </w:p>
    <w:p w14:paraId="12CACC26" w14:textId="0ED4B100" w:rsidR="00880FC7" w:rsidRPr="00C84318" w:rsidRDefault="00880FC7" w:rsidP="00CB6831">
      <w:r>
        <w:t xml:space="preserve">For 14 evaluable patients with advanced breast cancer and a BRCA mutation receiving </w:t>
      </w:r>
      <w:proofErr w:type="spellStart"/>
      <w:r w:rsidR="00E67C80">
        <w:t>talazoparib</w:t>
      </w:r>
      <w:proofErr w:type="spellEnd"/>
      <w:r w:rsidR="00E67C80">
        <w:t xml:space="preserve"> 1.0 mg/day in this Phase I</w:t>
      </w:r>
      <w:r>
        <w:t xml:space="preserve"> study, the ORR was 50% (1 </w:t>
      </w:r>
      <w:r w:rsidR="00E67C80">
        <w:t>complete response (</w:t>
      </w:r>
      <w:r>
        <w:t>CR</w:t>
      </w:r>
      <w:r w:rsidR="00E67C80">
        <w:t>)</w:t>
      </w:r>
      <w:r>
        <w:t xml:space="preserve"> and 6 </w:t>
      </w:r>
      <w:r w:rsidR="00E67C80">
        <w:t>partial responses (</w:t>
      </w:r>
      <w:r>
        <w:t>PR</w:t>
      </w:r>
      <w:r w:rsidR="00E67C80">
        <w:t>)</w:t>
      </w:r>
      <w:r>
        <w:t xml:space="preserve">). Responses were seen in two of </w:t>
      </w:r>
      <w:proofErr w:type="gramStart"/>
      <w:r>
        <w:t>5</w:t>
      </w:r>
      <w:proofErr w:type="gramEnd"/>
      <w:r>
        <w:t xml:space="preserve"> patients with a deleterious germline BRCA1 mutation and 5 of 9 patients with a deleterious germline BRCA2 mutation.</w:t>
      </w:r>
    </w:p>
    <w:p w14:paraId="09068C60" w14:textId="77777777" w:rsidR="00880FC7" w:rsidRPr="00576E8D" w:rsidRDefault="00880FC7" w:rsidP="00880FC7">
      <w:pPr>
        <w:pStyle w:val="Heading5"/>
      </w:pPr>
      <w:r>
        <w:t>Efficacy-related c</w:t>
      </w:r>
      <w:r w:rsidRPr="00576E8D">
        <w:t>onclusions</w:t>
      </w:r>
    </w:p>
    <w:p w14:paraId="5B43E5B0" w14:textId="3292505B" w:rsidR="00880FC7" w:rsidRDefault="00880FC7" w:rsidP="00CB6831">
      <w:r>
        <w:t xml:space="preserve">The findings of the EMBRACA study indicate that, compared to standard-of-care chemotherapy, </w:t>
      </w:r>
      <w:proofErr w:type="spellStart"/>
      <w:r>
        <w:t>talazoparib</w:t>
      </w:r>
      <w:proofErr w:type="spellEnd"/>
      <w:r>
        <w:t xml:space="preserve"> has efficacy in patients who have advanced HER-2 negative breast cancer and a positive result for </w:t>
      </w:r>
      <w:r w:rsidRPr="006902D5">
        <w:t xml:space="preserve">deleterious, suspected deleterious, or pathogenic germline BRCA1 or BRCA2 mutation </w:t>
      </w:r>
      <w:r>
        <w:t>using a</w:t>
      </w:r>
      <w:r w:rsidRPr="006902D5">
        <w:t xml:space="preserve"> Myriad Genetics </w:t>
      </w:r>
      <w:r w:rsidR="00CB6831">
        <w:t>diagnostic test.</w:t>
      </w:r>
    </w:p>
    <w:p w14:paraId="56CF6E39" w14:textId="6EF6F46C" w:rsidR="00880FC7" w:rsidRDefault="00880FC7" w:rsidP="00CB6831">
      <w:r>
        <w:t xml:space="preserve">Responses in earlier phase trials provide supportive evidence that </w:t>
      </w:r>
      <w:proofErr w:type="spellStart"/>
      <w:r>
        <w:t>talazoparib</w:t>
      </w:r>
      <w:proofErr w:type="spellEnd"/>
      <w:r>
        <w:t xml:space="preserve"> is active in patients with advanced breast cancer and delet</w:t>
      </w:r>
      <w:r w:rsidR="00CB6831">
        <w:t>erious germline BRCA mutations.</w:t>
      </w:r>
    </w:p>
    <w:p w14:paraId="6EC46003" w14:textId="598BD907" w:rsidR="00880FC7" w:rsidRPr="00CB6831" w:rsidRDefault="00CB6831" w:rsidP="00CB6831">
      <w:pPr>
        <w:pStyle w:val="Heading4"/>
      </w:pPr>
      <w:r>
        <w:t>Safety</w:t>
      </w:r>
    </w:p>
    <w:p w14:paraId="7EA45516" w14:textId="77777777" w:rsidR="00880FC7" w:rsidRPr="00CB6831" w:rsidRDefault="00880FC7" w:rsidP="00CB6831">
      <w:pPr>
        <w:pStyle w:val="Heading5"/>
      </w:pPr>
      <w:r w:rsidRPr="00CB6831">
        <w:t>Safety overview</w:t>
      </w:r>
    </w:p>
    <w:p w14:paraId="016132E5" w14:textId="14838843" w:rsidR="00880FC7" w:rsidRDefault="00880FC7" w:rsidP="00CB6831">
      <w:r>
        <w:t xml:space="preserve">Sponsor-initiated studies of </w:t>
      </w:r>
      <w:proofErr w:type="spellStart"/>
      <w:r>
        <w:t>talazoparib</w:t>
      </w:r>
      <w:proofErr w:type="spellEnd"/>
      <w:r>
        <w:t xml:space="preserve"> are summarised in </w:t>
      </w:r>
      <w:r>
        <w:fldChar w:fldCharType="begin"/>
      </w:r>
      <w:r>
        <w:instrText xml:space="preserve"> REF _Ref21357235 \h </w:instrText>
      </w:r>
      <w:r w:rsidR="00CB6831">
        <w:instrText xml:space="preserve"> \* MERGEFORMAT </w:instrText>
      </w:r>
      <w:r>
        <w:fldChar w:fldCharType="separate"/>
      </w:r>
      <w:r w:rsidR="00180AB7">
        <w:t xml:space="preserve">Table </w:t>
      </w:r>
      <w:r w:rsidR="00180AB7">
        <w:rPr>
          <w:noProof/>
        </w:rPr>
        <w:t>7</w:t>
      </w:r>
      <w:r>
        <w:fldChar w:fldCharType="end"/>
      </w:r>
      <w:r>
        <w:t xml:space="preserve">. The clinical evaluation primarily focuses on safety from the pivotal </w:t>
      </w:r>
      <w:r w:rsidR="001A0280">
        <w:t xml:space="preserve">EMBRACA </w:t>
      </w:r>
      <w:r>
        <w:t xml:space="preserve">trial, in 286 patients with advanced breast cancer. Safety data from three earlier phase studies in which patients with solid tumours </w:t>
      </w:r>
      <w:proofErr w:type="gramStart"/>
      <w:r>
        <w:t>were treated</w:t>
      </w:r>
      <w:proofErr w:type="gramEnd"/>
      <w:r>
        <w:t xml:space="preserve"> at the proposed dosage of 1 mg daily is considered supportive, and was consistent with the safety profile se</w:t>
      </w:r>
      <w:r w:rsidR="00CB6831">
        <w:t xml:space="preserve">en with </w:t>
      </w:r>
      <w:proofErr w:type="spellStart"/>
      <w:r w:rsidR="00CB6831">
        <w:t>talazoparib</w:t>
      </w:r>
      <w:proofErr w:type="spellEnd"/>
      <w:r w:rsidR="00CB6831">
        <w:t xml:space="preserve"> in </w:t>
      </w:r>
      <w:r w:rsidR="001A0280">
        <w:t xml:space="preserve">the </w:t>
      </w:r>
      <w:r w:rsidR="00CB6831">
        <w:t>EMBRACA</w:t>
      </w:r>
      <w:r w:rsidR="001A0280">
        <w:t xml:space="preserve"> trial</w:t>
      </w:r>
      <w:r w:rsidR="00CB6831">
        <w:t>.</w:t>
      </w:r>
    </w:p>
    <w:p w14:paraId="08EA1F16" w14:textId="78500E24" w:rsidR="00880FC7" w:rsidRDefault="00880FC7" w:rsidP="00CB6831">
      <w:pPr>
        <w:pStyle w:val="TableTitle"/>
      </w:pPr>
      <w:bookmarkStart w:id="47" w:name="_Ref21357235"/>
      <w:r>
        <w:lastRenderedPageBreak/>
        <w:t xml:space="preserve">Table </w:t>
      </w:r>
      <w:fldSimple w:instr=" SEQ Table \* ARABIC ">
        <w:r w:rsidR="00180AB7">
          <w:rPr>
            <w:noProof/>
          </w:rPr>
          <w:t>7</w:t>
        </w:r>
      </w:fldSimple>
      <w:bookmarkEnd w:id="47"/>
      <w:r w:rsidR="00CA15AD">
        <w:t>:</w:t>
      </w:r>
      <w:r>
        <w:t xml:space="preserve"> </w:t>
      </w:r>
      <w:proofErr w:type="spellStart"/>
      <w:r w:rsidR="00CB6831">
        <w:t>Talazoparib</w:t>
      </w:r>
      <w:proofErr w:type="spellEnd"/>
      <w:r w:rsidR="00CB6831">
        <w:t xml:space="preserve"> exposure in s</w:t>
      </w:r>
      <w:r w:rsidRPr="0052421F">
        <w:t>ponsor-initiated studies</w:t>
      </w:r>
    </w:p>
    <w:tbl>
      <w:tblPr>
        <w:tblStyle w:val="TableTGAblue"/>
        <w:tblW w:w="8657" w:type="dxa"/>
        <w:tblLayout w:type="fixed"/>
        <w:tblLook w:val="01E0" w:firstRow="1" w:lastRow="1" w:firstColumn="1" w:lastColumn="1" w:noHBand="0" w:noVBand="0"/>
      </w:tblPr>
      <w:tblGrid>
        <w:gridCol w:w="1548"/>
        <w:gridCol w:w="2246"/>
        <w:gridCol w:w="1304"/>
        <w:gridCol w:w="993"/>
        <w:gridCol w:w="1277"/>
        <w:gridCol w:w="1289"/>
      </w:tblGrid>
      <w:tr w:rsidR="00880FC7" w:rsidRPr="00180AB7" w14:paraId="45F5D896" w14:textId="77777777" w:rsidTr="00180AB7">
        <w:trPr>
          <w:cnfStyle w:val="100000000000" w:firstRow="1" w:lastRow="0" w:firstColumn="0" w:lastColumn="0" w:oddVBand="0" w:evenVBand="0" w:oddHBand="0" w:evenHBand="0" w:firstRowFirstColumn="0" w:firstRowLastColumn="0" w:lastRowFirstColumn="0" w:lastRowLastColumn="0"/>
          <w:trHeight w:val="734"/>
        </w:trPr>
        <w:tc>
          <w:tcPr>
            <w:tcW w:w="1548" w:type="dxa"/>
          </w:tcPr>
          <w:p w14:paraId="49867261" w14:textId="6381851D" w:rsidR="00880FC7" w:rsidRPr="00180AB7" w:rsidRDefault="00880FC7" w:rsidP="00180AB7">
            <w:pPr>
              <w:ind w:left="0" w:right="0"/>
              <w:rPr>
                <w:sz w:val="20"/>
                <w:szCs w:val="20"/>
              </w:rPr>
            </w:pPr>
            <w:r w:rsidRPr="00180AB7">
              <w:rPr>
                <w:sz w:val="20"/>
                <w:szCs w:val="20"/>
              </w:rPr>
              <w:t xml:space="preserve">Study </w:t>
            </w:r>
          </w:p>
        </w:tc>
        <w:tc>
          <w:tcPr>
            <w:tcW w:w="2246" w:type="dxa"/>
          </w:tcPr>
          <w:p w14:paraId="0FB4B6BC" w14:textId="59E490B5" w:rsidR="00880FC7" w:rsidRPr="00180AB7" w:rsidRDefault="00180AB7" w:rsidP="00180AB7">
            <w:pPr>
              <w:ind w:left="0" w:right="0"/>
              <w:rPr>
                <w:sz w:val="20"/>
                <w:szCs w:val="20"/>
              </w:rPr>
            </w:pPr>
            <w:r>
              <w:rPr>
                <w:sz w:val="20"/>
                <w:szCs w:val="20"/>
              </w:rPr>
              <w:t>Description</w:t>
            </w:r>
          </w:p>
        </w:tc>
        <w:tc>
          <w:tcPr>
            <w:tcW w:w="1304" w:type="dxa"/>
          </w:tcPr>
          <w:p w14:paraId="22D307F7" w14:textId="4CD2885E" w:rsidR="00880FC7" w:rsidRPr="00180AB7" w:rsidRDefault="00880FC7" w:rsidP="00180AB7">
            <w:pPr>
              <w:ind w:left="0" w:right="0"/>
              <w:rPr>
                <w:sz w:val="20"/>
                <w:szCs w:val="20"/>
              </w:rPr>
            </w:pPr>
            <w:r w:rsidRPr="00180AB7">
              <w:rPr>
                <w:sz w:val="20"/>
                <w:szCs w:val="20"/>
              </w:rPr>
              <w:t>Number exposed to 1</w:t>
            </w:r>
            <w:r w:rsidR="00180AB7">
              <w:rPr>
                <w:sz w:val="20"/>
                <w:szCs w:val="20"/>
              </w:rPr>
              <w:t xml:space="preserve"> </w:t>
            </w:r>
            <w:r w:rsidRPr="00180AB7">
              <w:rPr>
                <w:sz w:val="20"/>
                <w:szCs w:val="20"/>
              </w:rPr>
              <w:t>mg/day</w:t>
            </w:r>
          </w:p>
        </w:tc>
        <w:tc>
          <w:tcPr>
            <w:tcW w:w="993" w:type="dxa"/>
          </w:tcPr>
          <w:p w14:paraId="14E55504" w14:textId="2B9D330C" w:rsidR="00880FC7" w:rsidRPr="00180AB7" w:rsidRDefault="00180AB7" w:rsidP="00180AB7">
            <w:pPr>
              <w:ind w:left="0" w:right="0"/>
              <w:rPr>
                <w:sz w:val="20"/>
                <w:szCs w:val="20"/>
              </w:rPr>
            </w:pPr>
            <w:r>
              <w:rPr>
                <w:sz w:val="20"/>
                <w:szCs w:val="20"/>
              </w:rPr>
              <w:t>Number of</w:t>
            </w:r>
            <w:r w:rsidR="00880FC7" w:rsidRPr="00180AB7">
              <w:rPr>
                <w:sz w:val="20"/>
                <w:szCs w:val="20"/>
              </w:rPr>
              <w:t xml:space="preserve"> </w:t>
            </w:r>
            <w:r w:rsidRPr="00180AB7">
              <w:rPr>
                <w:sz w:val="20"/>
                <w:szCs w:val="20"/>
              </w:rPr>
              <w:t>patients or subjects treated overall</w:t>
            </w:r>
          </w:p>
        </w:tc>
        <w:tc>
          <w:tcPr>
            <w:tcW w:w="1277" w:type="dxa"/>
          </w:tcPr>
          <w:p w14:paraId="3CFB3C77" w14:textId="77777777" w:rsidR="00880FC7" w:rsidRPr="00180AB7" w:rsidRDefault="00880FC7" w:rsidP="00180AB7">
            <w:pPr>
              <w:ind w:left="0" w:right="0"/>
              <w:rPr>
                <w:sz w:val="20"/>
                <w:szCs w:val="20"/>
              </w:rPr>
            </w:pPr>
            <w:r w:rsidRPr="00180AB7">
              <w:rPr>
                <w:sz w:val="20"/>
                <w:szCs w:val="20"/>
              </w:rPr>
              <w:t>Mean (SD) duration of exposure</w:t>
            </w:r>
          </w:p>
        </w:tc>
        <w:tc>
          <w:tcPr>
            <w:tcW w:w="1289" w:type="dxa"/>
          </w:tcPr>
          <w:p w14:paraId="23E29188" w14:textId="34ADD553" w:rsidR="00880FC7" w:rsidRPr="00180AB7" w:rsidRDefault="00880FC7" w:rsidP="00180AB7">
            <w:pPr>
              <w:ind w:left="0" w:right="0"/>
              <w:rPr>
                <w:sz w:val="20"/>
                <w:szCs w:val="20"/>
              </w:rPr>
            </w:pPr>
            <w:r w:rsidRPr="00180AB7">
              <w:rPr>
                <w:sz w:val="20"/>
                <w:szCs w:val="20"/>
              </w:rPr>
              <w:t xml:space="preserve">Study </w:t>
            </w:r>
            <w:r w:rsidR="00180AB7" w:rsidRPr="00180AB7">
              <w:rPr>
                <w:sz w:val="20"/>
                <w:szCs w:val="20"/>
              </w:rPr>
              <w:t>status</w:t>
            </w:r>
          </w:p>
        </w:tc>
      </w:tr>
      <w:tr w:rsidR="00880FC7" w:rsidRPr="00180AB7" w14:paraId="4AE2F631" w14:textId="77777777" w:rsidTr="000D01AA">
        <w:trPr>
          <w:trHeight w:val="244"/>
        </w:trPr>
        <w:tc>
          <w:tcPr>
            <w:tcW w:w="8657" w:type="dxa"/>
            <w:gridSpan w:val="6"/>
            <w:shd w:val="clear" w:color="auto" w:fill="C6D4E9"/>
          </w:tcPr>
          <w:p w14:paraId="0382C597" w14:textId="77777777" w:rsidR="00880FC7" w:rsidRPr="00180AB7" w:rsidRDefault="00880FC7" w:rsidP="00180AB7">
            <w:pPr>
              <w:ind w:left="0" w:right="0"/>
              <w:rPr>
                <w:b/>
                <w:i/>
                <w:sz w:val="20"/>
                <w:szCs w:val="20"/>
              </w:rPr>
            </w:pPr>
            <w:r w:rsidRPr="00180AB7">
              <w:rPr>
                <w:b/>
                <w:i/>
                <w:sz w:val="20"/>
                <w:szCs w:val="20"/>
              </w:rPr>
              <w:t>Studies in patients with solid tumours</w:t>
            </w:r>
          </w:p>
        </w:tc>
      </w:tr>
      <w:tr w:rsidR="00880FC7" w:rsidRPr="00180AB7" w14:paraId="7FEB313D" w14:textId="77777777" w:rsidTr="00180AB7">
        <w:trPr>
          <w:trHeight w:val="486"/>
        </w:trPr>
        <w:tc>
          <w:tcPr>
            <w:tcW w:w="1548" w:type="dxa"/>
          </w:tcPr>
          <w:p w14:paraId="000B8275" w14:textId="1788251A" w:rsidR="00880FC7" w:rsidRPr="00180AB7" w:rsidRDefault="00880FC7" w:rsidP="00180AB7">
            <w:pPr>
              <w:ind w:left="0" w:right="0"/>
              <w:rPr>
                <w:i/>
                <w:sz w:val="20"/>
                <w:szCs w:val="20"/>
              </w:rPr>
            </w:pPr>
            <w:r w:rsidRPr="00180AB7">
              <w:rPr>
                <w:i/>
                <w:sz w:val="20"/>
                <w:szCs w:val="20"/>
              </w:rPr>
              <w:t>EMBRACA</w:t>
            </w:r>
            <w:r w:rsidR="001A0280">
              <w:rPr>
                <w:i/>
                <w:sz w:val="20"/>
                <w:szCs w:val="20"/>
              </w:rPr>
              <w:t xml:space="preserve"> trial (Study </w:t>
            </w:r>
            <w:r w:rsidRPr="00180AB7">
              <w:rPr>
                <w:i/>
                <w:sz w:val="20"/>
                <w:szCs w:val="20"/>
              </w:rPr>
              <w:t>673</w:t>
            </w:r>
            <w:r w:rsidR="001A0280">
              <w:rPr>
                <w:i/>
                <w:sz w:val="20"/>
                <w:szCs w:val="20"/>
              </w:rPr>
              <w:noBreakHyphen/>
            </w:r>
            <w:r w:rsidRPr="00180AB7">
              <w:rPr>
                <w:i/>
                <w:sz w:val="20"/>
                <w:szCs w:val="20"/>
              </w:rPr>
              <w:t>301</w:t>
            </w:r>
            <w:r w:rsidR="001A0280">
              <w:rPr>
                <w:i/>
                <w:sz w:val="20"/>
                <w:szCs w:val="20"/>
              </w:rPr>
              <w:t>)</w:t>
            </w:r>
          </w:p>
        </w:tc>
        <w:tc>
          <w:tcPr>
            <w:tcW w:w="2246" w:type="dxa"/>
          </w:tcPr>
          <w:p w14:paraId="54986F03" w14:textId="42138642" w:rsidR="00880FC7" w:rsidRPr="00180AB7" w:rsidRDefault="00180AB7" w:rsidP="00180AB7">
            <w:pPr>
              <w:ind w:left="0" w:right="0"/>
              <w:rPr>
                <w:sz w:val="20"/>
                <w:szCs w:val="20"/>
              </w:rPr>
            </w:pPr>
            <w:r>
              <w:rPr>
                <w:sz w:val="20"/>
                <w:szCs w:val="20"/>
              </w:rPr>
              <w:t>Phase III</w:t>
            </w:r>
            <w:r w:rsidR="00880FC7" w:rsidRPr="00180AB7">
              <w:rPr>
                <w:sz w:val="20"/>
                <w:szCs w:val="20"/>
              </w:rPr>
              <w:t xml:space="preserve">, </w:t>
            </w:r>
            <w:r>
              <w:rPr>
                <w:sz w:val="20"/>
                <w:szCs w:val="20"/>
              </w:rPr>
              <w:t>germline BRCA (</w:t>
            </w:r>
            <w:proofErr w:type="spellStart"/>
            <w:r w:rsidR="00880FC7" w:rsidRPr="00180AB7">
              <w:rPr>
                <w:sz w:val="20"/>
                <w:szCs w:val="20"/>
              </w:rPr>
              <w:t>gBRCA</w:t>
            </w:r>
            <w:proofErr w:type="spellEnd"/>
            <w:r>
              <w:rPr>
                <w:sz w:val="20"/>
                <w:szCs w:val="20"/>
              </w:rPr>
              <w:t>)</w:t>
            </w:r>
            <w:r w:rsidR="00880FC7" w:rsidRPr="00180AB7">
              <w:rPr>
                <w:sz w:val="20"/>
                <w:szCs w:val="20"/>
              </w:rPr>
              <w:t xml:space="preserve"> mutated locally advanced or metastatic breast cancer</w:t>
            </w:r>
          </w:p>
        </w:tc>
        <w:tc>
          <w:tcPr>
            <w:tcW w:w="1304" w:type="dxa"/>
          </w:tcPr>
          <w:p w14:paraId="76E79BE2" w14:textId="77777777" w:rsidR="00880FC7" w:rsidRPr="00180AB7" w:rsidRDefault="00880FC7" w:rsidP="00180AB7">
            <w:pPr>
              <w:ind w:left="0" w:right="0"/>
              <w:rPr>
                <w:sz w:val="20"/>
                <w:szCs w:val="20"/>
              </w:rPr>
            </w:pPr>
            <w:r w:rsidRPr="00180AB7">
              <w:rPr>
                <w:sz w:val="20"/>
                <w:szCs w:val="20"/>
              </w:rPr>
              <w:t>286</w:t>
            </w:r>
          </w:p>
        </w:tc>
        <w:tc>
          <w:tcPr>
            <w:tcW w:w="993" w:type="dxa"/>
          </w:tcPr>
          <w:p w14:paraId="24616CF5" w14:textId="7110A528" w:rsidR="00880FC7" w:rsidRPr="00180AB7" w:rsidRDefault="00002A9C" w:rsidP="00180AB7">
            <w:pPr>
              <w:ind w:left="0" w:right="0"/>
              <w:rPr>
                <w:sz w:val="20"/>
                <w:szCs w:val="20"/>
              </w:rPr>
            </w:pPr>
            <w:r>
              <w:rPr>
                <w:sz w:val="20"/>
                <w:szCs w:val="20"/>
              </w:rPr>
              <w:t>4</w:t>
            </w:r>
            <w:r w:rsidR="00E857CF">
              <w:rPr>
                <w:sz w:val="20"/>
                <w:szCs w:val="20"/>
              </w:rPr>
              <w:t>12</w:t>
            </w:r>
            <w:r w:rsidR="00880FC7" w:rsidRPr="00180AB7">
              <w:rPr>
                <w:sz w:val="20"/>
                <w:szCs w:val="20"/>
              </w:rPr>
              <w:t xml:space="preserve"> </w:t>
            </w:r>
            <w:r w:rsidR="00180AB7">
              <w:rPr>
                <w:sz w:val="20"/>
                <w:szCs w:val="20"/>
              </w:rPr>
              <w:t xml:space="preserve">(126 treated </w:t>
            </w:r>
            <w:r w:rsidR="00880FC7" w:rsidRPr="00180AB7">
              <w:rPr>
                <w:sz w:val="20"/>
                <w:szCs w:val="20"/>
              </w:rPr>
              <w:t>with PCT)</w:t>
            </w:r>
          </w:p>
        </w:tc>
        <w:tc>
          <w:tcPr>
            <w:tcW w:w="1277" w:type="dxa"/>
          </w:tcPr>
          <w:p w14:paraId="489DBDDB" w14:textId="0FA95412" w:rsidR="00880FC7" w:rsidRPr="00180AB7" w:rsidRDefault="00180AB7" w:rsidP="00180AB7">
            <w:pPr>
              <w:ind w:left="0" w:right="0"/>
              <w:rPr>
                <w:sz w:val="20"/>
                <w:szCs w:val="20"/>
              </w:rPr>
            </w:pPr>
            <w:proofErr w:type="spellStart"/>
            <w:r>
              <w:rPr>
                <w:sz w:val="20"/>
                <w:szCs w:val="20"/>
              </w:rPr>
              <w:t>T</w:t>
            </w:r>
            <w:r w:rsidR="00880FC7" w:rsidRPr="00180AB7">
              <w:rPr>
                <w:sz w:val="20"/>
                <w:szCs w:val="20"/>
              </w:rPr>
              <w:t>alazoparib</w:t>
            </w:r>
            <w:proofErr w:type="spellEnd"/>
            <w:r w:rsidR="00880FC7" w:rsidRPr="00180AB7">
              <w:rPr>
                <w:sz w:val="20"/>
                <w:szCs w:val="20"/>
              </w:rPr>
              <w:t xml:space="preserve"> arm: 8.4 (7.01) months</w:t>
            </w:r>
          </w:p>
          <w:p w14:paraId="401B2056" w14:textId="5D02825E" w:rsidR="00880FC7" w:rsidRPr="00180AB7" w:rsidRDefault="00880FC7" w:rsidP="00180AB7">
            <w:pPr>
              <w:ind w:left="0" w:right="0"/>
              <w:rPr>
                <w:sz w:val="20"/>
                <w:szCs w:val="20"/>
              </w:rPr>
            </w:pPr>
            <w:r w:rsidRPr="00180AB7">
              <w:rPr>
                <w:sz w:val="20"/>
                <w:szCs w:val="20"/>
              </w:rPr>
              <w:t>PCT arm: 4.5 (3.54) months</w:t>
            </w:r>
          </w:p>
        </w:tc>
        <w:tc>
          <w:tcPr>
            <w:tcW w:w="1289" w:type="dxa"/>
          </w:tcPr>
          <w:p w14:paraId="6BB45343" w14:textId="393EAC06" w:rsidR="00880FC7" w:rsidRPr="00180AB7" w:rsidRDefault="00002A9C" w:rsidP="00180AB7">
            <w:pPr>
              <w:ind w:left="0" w:right="0"/>
              <w:rPr>
                <w:sz w:val="20"/>
                <w:szCs w:val="20"/>
              </w:rPr>
            </w:pPr>
            <w:r>
              <w:rPr>
                <w:sz w:val="20"/>
                <w:szCs w:val="20"/>
              </w:rPr>
              <w:t>Ongoing</w:t>
            </w:r>
          </w:p>
        </w:tc>
      </w:tr>
      <w:tr w:rsidR="00880FC7" w:rsidRPr="00180AB7" w14:paraId="0E2C4DA3" w14:textId="77777777" w:rsidTr="00180AB7">
        <w:trPr>
          <w:trHeight w:val="489"/>
        </w:trPr>
        <w:tc>
          <w:tcPr>
            <w:tcW w:w="1548" w:type="dxa"/>
          </w:tcPr>
          <w:p w14:paraId="7CCCF3C2" w14:textId="29B2223F" w:rsidR="00880FC7" w:rsidRPr="00180AB7" w:rsidRDefault="00880FC7" w:rsidP="00180AB7">
            <w:pPr>
              <w:ind w:left="0" w:right="0"/>
              <w:rPr>
                <w:i/>
                <w:sz w:val="20"/>
                <w:szCs w:val="20"/>
              </w:rPr>
            </w:pPr>
            <w:r w:rsidRPr="00180AB7">
              <w:rPr>
                <w:i/>
                <w:sz w:val="20"/>
                <w:szCs w:val="20"/>
              </w:rPr>
              <w:t>ABRAZO</w:t>
            </w:r>
            <w:r w:rsidR="001A0280">
              <w:rPr>
                <w:i/>
                <w:sz w:val="20"/>
                <w:szCs w:val="20"/>
              </w:rPr>
              <w:t xml:space="preserve"> trial </w:t>
            </w:r>
            <w:r w:rsidRPr="00180AB7">
              <w:rPr>
                <w:i/>
                <w:sz w:val="20"/>
                <w:szCs w:val="20"/>
              </w:rPr>
              <w:t>/</w:t>
            </w:r>
            <w:r w:rsidR="001A0280">
              <w:rPr>
                <w:i/>
                <w:sz w:val="20"/>
                <w:szCs w:val="20"/>
              </w:rPr>
              <w:t xml:space="preserve"> Study </w:t>
            </w:r>
            <w:r w:rsidRPr="00180AB7">
              <w:rPr>
                <w:i/>
                <w:sz w:val="20"/>
                <w:szCs w:val="20"/>
              </w:rPr>
              <w:t>673-201</w:t>
            </w:r>
          </w:p>
        </w:tc>
        <w:tc>
          <w:tcPr>
            <w:tcW w:w="2246" w:type="dxa"/>
          </w:tcPr>
          <w:p w14:paraId="5DB04A64" w14:textId="7B24C453" w:rsidR="00880FC7" w:rsidRPr="00180AB7" w:rsidRDefault="00180AB7" w:rsidP="00180AB7">
            <w:pPr>
              <w:ind w:left="0" w:right="0"/>
              <w:rPr>
                <w:sz w:val="20"/>
                <w:szCs w:val="20"/>
              </w:rPr>
            </w:pPr>
            <w:r>
              <w:rPr>
                <w:sz w:val="20"/>
                <w:szCs w:val="20"/>
              </w:rPr>
              <w:t>Phase II</w:t>
            </w:r>
            <w:r w:rsidR="00880FC7" w:rsidRPr="00180AB7">
              <w:rPr>
                <w:sz w:val="20"/>
                <w:szCs w:val="20"/>
              </w:rPr>
              <w:t xml:space="preserve">, </w:t>
            </w:r>
            <w:proofErr w:type="spellStart"/>
            <w:r w:rsidR="00880FC7" w:rsidRPr="00180AB7">
              <w:rPr>
                <w:sz w:val="20"/>
                <w:szCs w:val="20"/>
              </w:rPr>
              <w:t>gBRCA</w:t>
            </w:r>
            <w:proofErr w:type="spellEnd"/>
            <w:r w:rsidR="00880FC7" w:rsidRPr="00180AB7">
              <w:rPr>
                <w:sz w:val="20"/>
                <w:szCs w:val="20"/>
              </w:rPr>
              <w:t xml:space="preserve"> mutated locally advanced or metastatic breast cancer</w:t>
            </w:r>
          </w:p>
        </w:tc>
        <w:tc>
          <w:tcPr>
            <w:tcW w:w="1304" w:type="dxa"/>
          </w:tcPr>
          <w:p w14:paraId="4F22D457" w14:textId="77777777" w:rsidR="00880FC7" w:rsidRPr="00180AB7" w:rsidRDefault="00880FC7" w:rsidP="00180AB7">
            <w:pPr>
              <w:ind w:left="0" w:right="0"/>
              <w:rPr>
                <w:sz w:val="20"/>
                <w:szCs w:val="20"/>
              </w:rPr>
            </w:pPr>
            <w:r w:rsidRPr="00180AB7">
              <w:rPr>
                <w:sz w:val="20"/>
                <w:szCs w:val="20"/>
              </w:rPr>
              <w:t>83</w:t>
            </w:r>
          </w:p>
        </w:tc>
        <w:tc>
          <w:tcPr>
            <w:tcW w:w="993" w:type="dxa"/>
          </w:tcPr>
          <w:p w14:paraId="0638EAAC" w14:textId="77777777" w:rsidR="00880FC7" w:rsidRPr="00180AB7" w:rsidRDefault="00880FC7" w:rsidP="00180AB7">
            <w:pPr>
              <w:ind w:left="0" w:right="0"/>
              <w:rPr>
                <w:sz w:val="20"/>
                <w:szCs w:val="20"/>
              </w:rPr>
            </w:pPr>
            <w:r w:rsidRPr="00180AB7">
              <w:rPr>
                <w:sz w:val="20"/>
                <w:szCs w:val="20"/>
              </w:rPr>
              <w:t>83</w:t>
            </w:r>
          </w:p>
        </w:tc>
        <w:tc>
          <w:tcPr>
            <w:tcW w:w="1277" w:type="dxa"/>
          </w:tcPr>
          <w:p w14:paraId="294338AF" w14:textId="033930A1" w:rsidR="00880FC7" w:rsidRPr="00180AB7" w:rsidRDefault="00180AB7" w:rsidP="00180AB7">
            <w:pPr>
              <w:ind w:left="0" w:right="0"/>
              <w:rPr>
                <w:sz w:val="20"/>
                <w:szCs w:val="20"/>
              </w:rPr>
            </w:pPr>
            <w:r>
              <w:rPr>
                <w:sz w:val="20"/>
                <w:szCs w:val="20"/>
              </w:rPr>
              <w:t>5.7 (3.4) months</w:t>
            </w:r>
          </w:p>
        </w:tc>
        <w:tc>
          <w:tcPr>
            <w:tcW w:w="1289" w:type="dxa"/>
          </w:tcPr>
          <w:p w14:paraId="12E2498C" w14:textId="15178F12" w:rsidR="00880FC7" w:rsidRPr="00180AB7" w:rsidRDefault="00E857CF" w:rsidP="00180AB7">
            <w:pPr>
              <w:ind w:left="0" w:right="0"/>
              <w:rPr>
                <w:sz w:val="20"/>
                <w:szCs w:val="20"/>
              </w:rPr>
            </w:pPr>
            <w:r>
              <w:rPr>
                <w:sz w:val="20"/>
                <w:szCs w:val="20"/>
              </w:rPr>
              <w:t>Ongoing</w:t>
            </w:r>
          </w:p>
        </w:tc>
      </w:tr>
      <w:tr w:rsidR="00880FC7" w:rsidRPr="00180AB7" w14:paraId="369DE2FE" w14:textId="77777777" w:rsidTr="00180AB7">
        <w:trPr>
          <w:trHeight w:val="486"/>
        </w:trPr>
        <w:tc>
          <w:tcPr>
            <w:tcW w:w="1548" w:type="dxa"/>
          </w:tcPr>
          <w:p w14:paraId="54AB2E85" w14:textId="31D8876E" w:rsidR="00880FC7" w:rsidRPr="00180AB7" w:rsidRDefault="001A0280" w:rsidP="00180AB7">
            <w:pPr>
              <w:ind w:left="0" w:right="0"/>
              <w:rPr>
                <w:i/>
                <w:sz w:val="20"/>
                <w:szCs w:val="20"/>
              </w:rPr>
            </w:pPr>
            <w:r>
              <w:rPr>
                <w:i/>
                <w:sz w:val="20"/>
                <w:szCs w:val="20"/>
              </w:rPr>
              <w:t xml:space="preserve">Study </w:t>
            </w:r>
            <w:r w:rsidR="00880FC7" w:rsidRPr="00180AB7">
              <w:rPr>
                <w:i/>
                <w:sz w:val="20"/>
                <w:szCs w:val="20"/>
              </w:rPr>
              <w:t>PRP-001</w:t>
            </w:r>
          </w:p>
          <w:p w14:paraId="46248905" w14:textId="77777777" w:rsidR="00880FC7" w:rsidRPr="00180AB7" w:rsidRDefault="00880FC7" w:rsidP="00180AB7">
            <w:pPr>
              <w:ind w:left="0" w:right="0"/>
              <w:rPr>
                <w:i/>
                <w:sz w:val="20"/>
                <w:szCs w:val="20"/>
              </w:rPr>
            </w:pPr>
            <w:r w:rsidRPr="00180AB7">
              <w:rPr>
                <w:i/>
                <w:sz w:val="20"/>
                <w:szCs w:val="20"/>
              </w:rPr>
              <w:t>(C3441007)</w:t>
            </w:r>
          </w:p>
        </w:tc>
        <w:tc>
          <w:tcPr>
            <w:tcW w:w="2246" w:type="dxa"/>
          </w:tcPr>
          <w:p w14:paraId="02A96374" w14:textId="0177271D" w:rsidR="00880FC7" w:rsidRPr="00180AB7" w:rsidRDefault="00180AB7" w:rsidP="00180AB7">
            <w:pPr>
              <w:ind w:left="0" w:right="0"/>
              <w:rPr>
                <w:sz w:val="20"/>
                <w:szCs w:val="20"/>
              </w:rPr>
            </w:pPr>
            <w:r>
              <w:rPr>
                <w:sz w:val="20"/>
                <w:szCs w:val="20"/>
              </w:rPr>
              <w:t>Phase I</w:t>
            </w:r>
            <w:r w:rsidR="00880FC7" w:rsidRPr="00180AB7">
              <w:rPr>
                <w:sz w:val="20"/>
                <w:szCs w:val="20"/>
              </w:rPr>
              <w:t>, first in human dose escalation study in advanced solid tumours</w:t>
            </w:r>
          </w:p>
        </w:tc>
        <w:tc>
          <w:tcPr>
            <w:tcW w:w="1304" w:type="dxa"/>
          </w:tcPr>
          <w:p w14:paraId="37591C6D" w14:textId="77777777" w:rsidR="00880FC7" w:rsidRPr="00180AB7" w:rsidRDefault="00880FC7" w:rsidP="00180AB7">
            <w:pPr>
              <w:ind w:left="0" w:right="0"/>
              <w:rPr>
                <w:sz w:val="20"/>
                <w:szCs w:val="20"/>
              </w:rPr>
            </w:pPr>
            <w:r w:rsidRPr="00180AB7">
              <w:rPr>
                <w:sz w:val="20"/>
                <w:szCs w:val="20"/>
              </w:rPr>
              <w:t>77</w:t>
            </w:r>
          </w:p>
        </w:tc>
        <w:tc>
          <w:tcPr>
            <w:tcW w:w="993" w:type="dxa"/>
          </w:tcPr>
          <w:p w14:paraId="0BE08CEE" w14:textId="22C5457B" w:rsidR="00880FC7" w:rsidRPr="00180AB7" w:rsidRDefault="00880FC7" w:rsidP="00180AB7">
            <w:pPr>
              <w:ind w:left="0" w:right="0"/>
              <w:rPr>
                <w:sz w:val="20"/>
                <w:szCs w:val="20"/>
              </w:rPr>
            </w:pPr>
            <w:r w:rsidRPr="00180AB7">
              <w:rPr>
                <w:sz w:val="20"/>
                <w:szCs w:val="20"/>
              </w:rPr>
              <w:t xml:space="preserve">110 </w:t>
            </w:r>
            <w:r w:rsidR="00180AB7">
              <w:rPr>
                <w:sz w:val="20"/>
                <w:szCs w:val="20"/>
              </w:rPr>
              <w:t xml:space="preserve">(33 at other </w:t>
            </w:r>
            <w:r w:rsidRPr="00180AB7">
              <w:rPr>
                <w:sz w:val="20"/>
                <w:szCs w:val="20"/>
              </w:rPr>
              <w:t>doses)</w:t>
            </w:r>
          </w:p>
        </w:tc>
        <w:tc>
          <w:tcPr>
            <w:tcW w:w="1277" w:type="dxa"/>
          </w:tcPr>
          <w:p w14:paraId="408B488C" w14:textId="77777777" w:rsidR="00880FC7" w:rsidRPr="00180AB7" w:rsidRDefault="00880FC7" w:rsidP="00180AB7">
            <w:pPr>
              <w:ind w:left="0" w:right="0"/>
              <w:rPr>
                <w:sz w:val="20"/>
                <w:szCs w:val="20"/>
              </w:rPr>
            </w:pPr>
            <w:r w:rsidRPr="00180AB7">
              <w:rPr>
                <w:sz w:val="20"/>
                <w:szCs w:val="20"/>
              </w:rPr>
              <w:t>187.9 (210.68) days</w:t>
            </w:r>
          </w:p>
        </w:tc>
        <w:tc>
          <w:tcPr>
            <w:tcW w:w="1289" w:type="dxa"/>
          </w:tcPr>
          <w:p w14:paraId="3A6B04A4" w14:textId="77777777" w:rsidR="00880FC7" w:rsidRPr="00180AB7" w:rsidRDefault="00880FC7" w:rsidP="00180AB7">
            <w:pPr>
              <w:ind w:left="0" w:right="0"/>
              <w:rPr>
                <w:sz w:val="20"/>
                <w:szCs w:val="20"/>
              </w:rPr>
            </w:pPr>
            <w:r w:rsidRPr="00180AB7">
              <w:rPr>
                <w:sz w:val="20"/>
                <w:szCs w:val="20"/>
              </w:rPr>
              <w:t>Completed</w:t>
            </w:r>
          </w:p>
        </w:tc>
      </w:tr>
      <w:tr w:rsidR="00880FC7" w:rsidRPr="00180AB7" w14:paraId="0E3CDF92" w14:textId="77777777" w:rsidTr="00180AB7">
        <w:trPr>
          <w:trHeight w:val="489"/>
        </w:trPr>
        <w:tc>
          <w:tcPr>
            <w:tcW w:w="1548" w:type="dxa"/>
          </w:tcPr>
          <w:p w14:paraId="6219F4D3" w14:textId="77777777" w:rsidR="00880FC7" w:rsidRPr="00180AB7" w:rsidRDefault="00880FC7" w:rsidP="00180AB7">
            <w:pPr>
              <w:ind w:left="0" w:right="0"/>
              <w:rPr>
                <w:i/>
                <w:sz w:val="20"/>
                <w:szCs w:val="20"/>
              </w:rPr>
            </w:pPr>
            <w:r w:rsidRPr="00180AB7">
              <w:rPr>
                <w:i/>
                <w:sz w:val="20"/>
                <w:szCs w:val="20"/>
              </w:rPr>
              <w:t>MDV3800-14 (C3441005)</w:t>
            </w:r>
          </w:p>
        </w:tc>
        <w:tc>
          <w:tcPr>
            <w:tcW w:w="2246" w:type="dxa"/>
          </w:tcPr>
          <w:p w14:paraId="18D23898" w14:textId="15A60B81" w:rsidR="00880FC7" w:rsidRPr="00180AB7" w:rsidRDefault="00180AB7" w:rsidP="00180AB7">
            <w:pPr>
              <w:ind w:left="0" w:right="0"/>
              <w:rPr>
                <w:sz w:val="20"/>
                <w:szCs w:val="20"/>
              </w:rPr>
            </w:pPr>
            <w:r>
              <w:rPr>
                <w:sz w:val="20"/>
                <w:szCs w:val="20"/>
              </w:rPr>
              <w:t>Phase I, cardiac repolaris</w:t>
            </w:r>
            <w:r w:rsidR="00880FC7" w:rsidRPr="00180AB7">
              <w:rPr>
                <w:sz w:val="20"/>
                <w:szCs w:val="20"/>
              </w:rPr>
              <w:t>ation study in patients with advanced solid tumours</w:t>
            </w:r>
          </w:p>
        </w:tc>
        <w:tc>
          <w:tcPr>
            <w:tcW w:w="1304" w:type="dxa"/>
          </w:tcPr>
          <w:p w14:paraId="53D1CEF2" w14:textId="77777777" w:rsidR="00880FC7" w:rsidRPr="00180AB7" w:rsidRDefault="00880FC7" w:rsidP="00180AB7">
            <w:pPr>
              <w:ind w:left="0" w:right="0"/>
              <w:rPr>
                <w:sz w:val="20"/>
                <w:szCs w:val="20"/>
              </w:rPr>
            </w:pPr>
            <w:r w:rsidRPr="00180AB7">
              <w:rPr>
                <w:sz w:val="20"/>
                <w:szCs w:val="20"/>
              </w:rPr>
              <w:t>37</w:t>
            </w:r>
          </w:p>
        </w:tc>
        <w:tc>
          <w:tcPr>
            <w:tcW w:w="993" w:type="dxa"/>
          </w:tcPr>
          <w:p w14:paraId="32FD0ECE" w14:textId="77777777" w:rsidR="00880FC7" w:rsidRPr="00180AB7" w:rsidRDefault="00880FC7" w:rsidP="00180AB7">
            <w:pPr>
              <w:ind w:left="0" w:right="0"/>
              <w:rPr>
                <w:sz w:val="20"/>
                <w:szCs w:val="20"/>
              </w:rPr>
            </w:pPr>
            <w:r w:rsidRPr="00180AB7">
              <w:rPr>
                <w:sz w:val="20"/>
                <w:szCs w:val="20"/>
              </w:rPr>
              <w:t>37</w:t>
            </w:r>
          </w:p>
        </w:tc>
        <w:tc>
          <w:tcPr>
            <w:tcW w:w="1277" w:type="dxa"/>
          </w:tcPr>
          <w:p w14:paraId="312DB61A" w14:textId="77777777" w:rsidR="00880FC7" w:rsidRPr="00180AB7" w:rsidRDefault="00880FC7" w:rsidP="00180AB7">
            <w:pPr>
              <w:ind w:left="0" w:right="0"/>
              <w:rPr>
                <w:sz w:val="20"/>
                <w:szCs w:val="20"/>
              </w:rPr>
            </w:pPr>
            <w:r w:rsidRPr="00180AB7">
              <w:rPr>
                <w:sz w:val="20"/>
                <w:szCs w:val="20"/>
              </w:rPr>
              <w:t>19.7 (5.26) days</w:t>
            </w:r>
          </w:p>
        </w:tc>
        <w:tc>
          <w:tcPr>
            <w:tcW w:w="1289" w:type="dxa"/>
          </w:tcPr>
          <w:p w14:paraId="41AFBEF0" w14:textId="77777777" w:rsidR="00880FC7" w:rsidRPr="00180AB7" w:rsidRDefault="00880FC7" w:rsidP="00180AB7">
            <w:pPr>
              <w:ind w:left="0" w:right="0"/>
              <w:rPr>
                <w:sz w:val="20"/>
                <w:szCs w:val="20"/>
              </w:rPr>
            </w:pPr>
            <w:r w:rsidRPr="00180AB7">
              <w:rPr>
                <w:sz w:val="20"/>
                <w:szCs w:val="20"/>
              </w:rPr>
              <w:t>Completed</w:t>
            </w:r>
          </w:p>
        </w:tc>
      </w:tr>
      <w:tr w:rsidR="00880FC7" w:rsidRPr="00180AB7" w14:paraId="4AED894A" w14:textId="77777777" w:rsidTr="00180AB7">
        <w:trPr>
          <w:trHeight w:val="489"/>
        </w:trPr>
        <w:tc>
          <w:tcPr>
            <w:tcW w:w="1548" w:type="dxa"/>
          </w:tcPr>
          <w:p w14:paraId="5059AA79" w14:textId="77777777" w:rsidR="00880FC7" w:rsidRPr="00180AB7" w:rsidRDefault="00880FC7" w:rsidP="00180AB7">
            <w:pPr>
              <w:ind w:left="0" w:right="0"/>
              <w:rPr>
                <w:i/>
                <w:sz w:val="20"/>
                <w:szCs w:val="20"/>
              </w:rPr>
            </w:pPr>
            <w:r w:rsidRPr="00180AB7">
              <w:rPr>
                <w:i/>
                <w:sz w:val="20"/>
                <w:szCs w:val="20"/>
              </w:rPr>
              <w:t>MDV3800-13 (C3441010)</w:t>
            </w:r>
          </w:p>
        </w:tc>
        <w:tc>
          <w:tcPr>
            <w:tcW w:w="2246" w:type="dxa"/>
          </w:tcPr>
          <w:p w14:paraId="1AEDB3E8" w14:textId="77777777" w:rsidR="00880FC7" w:rsidRPr="00180AB7" w:rsidRDefault="00880FC7" w:rsidP="00180AB7">
            <w:pPr>
              <w:ind w:left="0" w:right="0"/>
              <w:rPr>
                <w:sz w:val="20"/>
                <w:szCs w:val="20"/>
              </w:rPr>
            </w:pPr>
            <w:r w:rsidRPr="00180AB7">
              <w:rPr>
                <w:sz w:val="20"/>
                <w:szCs w:val="20"/>
              </w:rPr>
              <w:t>Single arm, open label extension study</w:t>
            </w:r>
          </w:p>
        </w:tc>
        <w:tc>
          <w:tcPr>
            <w:tcW w:w="1304" w:type="dxa"/>
          </w:tcPr>
          <w:p w14:paraId="2C1B9DDB" w14:textId="77777777" w:rsidR="00880FC7" w:rsidRPr="00180AB7" w:rsidRDefault="00880FC7" w:rsidP="00180AB7">
            <w:pPr>
              <w:ind w:left="0" w:right="0"/>
              <w:rPr>
                <w:sz w:val="20"/>
                <w:szCs w:val="20"/>
              </w:rPr>
            </w:pPr>
            <w:r w:rsidRPr="00180AB7">
              <w:rPr>
                <w:sz w:val="20"/>
                <w:szCs w:val="20"/>
              </w:rPr>
              <w:t>46*</w:t>
            </w:r>
          </w:p>
        </w:tc>
        <w:tc>
          <w:tcPr>
            <w:tcW w:w="993" w:type="dxa"/>
          </w:tcPr>
          <w:p w14:paraId="185A498A" w14:textId="570EE297" w:rsidR="00880FC7" w:rsidRPr="00180AB7" w:rsidRDefault="00880FC7" w:rsidP="00180AB7">
            <w:pPr>
              <w:ind w:left="0" w:right="0"/>
              <w:rPr>
                <w:sz w:val="20"/>
                <w:szCs w:val="20"/>
              </w:rPr>
            </w:pPr>
            <w:r w:rsidRPr="00180AB7">
              <w:rPr>
                <w:sz w:val="20"/>
                <w:szCs w:val="20"/>
              </w:rPr>
              <w:t>80 (37 at other doses)</w:t>
            </w:r>
          </w:p>
        </w:tc>
        <w:tc>
          <w:tcPr>
            <w:tcW w:w="1277" w:type="dxa"/>
          </w:tcPr>
          <w:p w14:paraId="5AC3FB36" w14:textId="77777777" w:rsidR="00880FC7" w:rsidRPr="00180AB7" w:rsidRDefault="00880FC7" w:rsidP="00180AB7">
            <w:pPr>
              <w:ind w:left="0" w:right="0"/>
              <w:rPr>
                <w:sz w:val="20"/>
                <w:szCs w:val="20"/>
              </w:rPr>
            </w:pPr>
            <w:r w:rsidRPr="00180AB7">
              <w:rPr>
                <w:sz w:val="20"/>
                <w:szCs w:val="20"/>
              </w:rPr>
              <w:t>NA</w:t>
            </w:r>
          </w:p>
        </w:tc>
        <w:tc>
          <w:tcPr>
            <w:tcW w:w="1289" w:type="dxa"/>
          </w:tcPr>
          <w:p w14:paraId="2B893CC8" w14:textId="77777777" w:rsidR="00880FC7" w:rsidRPr="00180AB7" w:rsidRDefault="00880FC7" w:rsidP="00180AB7">
            <w:pPr>
              <w:ind w:left="0" w:right="0"/>
              <w:rPr>
                <w:sz w:val="20"/>
                <w:szCs w:val="20"/>
              </w:rPr>
            </w:pPr>
            <w:r w:rsidRPr="00180AB7">
              <w:rPr>
                <w:sz w:val="20"/>
                <w:szCs w:val="20"/>
              </w:rPr>
              <w:t>Ongoing</w:t>
            </w:r>
          </w:p>
        </w:tc>
      </w:tr>
      <w:tr w:rsidR="00880FC7" w:rsidRPr="00180AB7" w14:paraId="1E4C6908" w14:textId="77777777" w:rsidTr="00180AB7">
        <w:trPr>
          <w:trHeight w:val="486"/>
        </w:trPr>
        <w:tc>
          <w:tcPr>
            <w:tcW w:w="1548" w:type="dxa"/>
          </w:tcPr>
          <w:p w14:paraId="15B8C469" w14:textId="77777777" w:rsidR="00880FC7" w:rsidRPr="00180AB7" w:rsidRDefault="00880FC7" w:rsidP="00180AB7">
            <w:pPr>
              <w:ind w:left="0" w:right="0"/>
              <w:rPr>
                <w:i/>
                <w:sz w:val="20"/>
                <w:szCs w:val="20"/>
              </w:rPr>
            </w:pPr>
            <w:r w:rsidRPr="00180AB7">
              <w:rPr>
                <w:i/>
                <w:sz w:val="20"/>
                <w:szCs w:val="20"/>
              </w:rPr>
              <w:t>MDV3800-01</w:t>
            </w:r>
          </w:p>
          <w:p w14:paraId="6C53B287" w14:textId="77777777" w:rsidR="00880FC7" w:rsidRPr="00180AB7" w:rsidRDefault="00880FC7" w:rsidP="00180AB7">
            <w:pPr>
              <w:ind w:left="0" w:right="0"/>
              <w:rPr>
                <w:i/>
                <w:sz w:val="20"/>
                <w:szCs w:val="20"/>
              </w:rPr>
            </w:pPr>
            <w:r w:rsidRPr="00180AB7">
              <w:rPr>
                <w:i/>
                <w:sz w:val="20"/>
                <w:szCs w:val="20"/>
              </w:rPr>
              <w:t>(C3441001)</w:t>
            </w:r>
          </w:p>
        </w:tc>
        <w:tc>
          <w:tcPr>
            <w:tcW w:w="2246" w:type="dxa"/>
          </w:tcPr>
          <w:p w14:paraId="61F4E2B2" w14:textId="32517B4F" w:rsidR="00880FC7" w:rsidRPr="00180AB7" w:rsidRDefault="00180AB7" w:rsidP="00180AB7">
            <w:pPr>
              <w:ind w:left="0" w:right="0"/>
              <w:rPr>
                <w:sz w:val="20"/>
                <w:szCs w:val="20"/>
              </w:rPr>
            </w:pPr>
            <w:r>
              <w:rPr>
                <w:sz w:val="20"/>
                <w:szCs w:val="20"/>
              </w:rPr>
              <w:t>Phase I, PK study in patients</w:t>
            </w:r>
            <w:r w:rsidR="00880FC7" w:rsidRPr="00180AB7">
              <w:rPr>
                <w:sz w:val="20"/>
                <w:szCs w:val="20"/>
              </w:rPr>
              <w:t xml:space="preserve"> with advanced solid tumours with renal impairment</w:t>
            </w:r>
          </w:p>
        </w:tc>
        <w:tc>
          <w:tcPr>
            <w:tcW w:w="1304" w:type="dxa"/>
          </w:tcPr>
          <w:p w14:paraId="0AA9B809" w14:textId="77777777" w:rsidR="00880FC7" w:rsidRPr="00180AB7" w:rsidRDefault="00880FC7" w:rsidP="00180AB7">
            <w:pPr>
              <w:ind w:left="0" w:right="0"/>
              <w:rPr>
                <w:sz w:val="20"/>
                <w:szCs w:val="20"/>
              </w:rPr>
            </w:pPr>
            <w:r w:rsidRPr="00180AB7">
              <w:rPr>
                <w:sz w:val="20"/>
                <w:szCs w:val="20"/>
              </w:rPr>
              <w:t>0</w:t>
            </w:r>
          </w:p>
        </w:tc>
        <w:tc>
          <w:tcPr>
            <w:tcW w:w="993" w:type="dxa"/>
          </w:tcPr>
          <w:p w14:paraId="2C05DDEE" w14:textId="77777777" w:rsidR="00880FC7" w:rsidRPr="00180AB7" w:rsidRDefault="00880FC7" w:rsidP="00180AB7">
            <w:pPr>
              <w:ind w:left="0" w:right="0"/>
              <w:rPr>
                <w:sz w:val="20"/>
                <w:szCs w:val="20"/>
              </w:rPr>
            </w:pPr>
            <w:r w:rsidRPr="00180AB7">
              <w:rPr>
                <w:sz w:val="20"/>
                <w:szCs w:val="20"/>
              </w:rPr>
              <w:t>NA</w:t>
            </w:r>
          </w:p>
        </w:tc>
        <w:tc>
          <w:tcPr>
            <w:tcW w:w="1277" w:type="dxa"/>
          </w:tcPr>
          <w:p w14:paraId="781FB0D3" w14:textId="77777777" w:rsidR="00880FC7" w:rsidRPr="00180AB7" w:rsidRDefault="00880FC7" w:rsidP="00180AB7">
            <w:pPr>
              <w:ind w:left="0" w:right="0"/>
              <w:rPr>
                <w:sz w:val="20"/>
                <w:szCs w:val="20"/>
              </w:rPr>
            </w:pPr>
          </w:p>
        </w:tc>
        <w:tc>
          <w:tcPr>
            <w:tcW w:w="1289" w:type="dxa"/>
          </w:tcPr>
          <w:p w14:paraId="72CF85C9" w14:textId="77777777" w:rsidR="00880FC7" w:rsidRPr="00180AB7" w:rsidRDefault="00880FC7" w:rsidP="00180AB7">
            <w:pPr>
              <w:ind w:left="0" w:right="0"/>
              <w:rPr>
                <w:sz w:val="20"/>
                <w:szCs w:val="20"/>
              </w:rPr>
            </w:pPr>
            <w:r w:rsidRPr="00180AB7">
              <w:rPr>
                <w:sz w:val="20"/>
                <w:szCs w:val="20"/>
              </w:rPr>
              <w:t>Ongoing</w:t>
            </w:r>
          </w:p>
        </w:tc>
      </w:tr>
      <w:tr w:rsidR="00880FC7" w:rsidRPr="00180AB7" w14:paraId="103F07A8" w14:textId="77777777" w:rsidTr="00180AB7">
        <w:trPr>
          <w:trHeight w:val="489"/>
        </w:trPr>
        <w:tc>
          <w:tcPr>
            <w:tcW w:w="1548" w:type="dxa"/>
          </w:tcPr>
          <w:p w14:paraId="746618DE" w14:textId="77777777" w:rsidR="00880FC7" w:rsidRPr="00180AB7" w:rsidRDefault="00880FC7" w:rsidP="00180AB7">
            <w:pPr>
              <w:ind w:left="0" w:right="0"/>
              <w:rPr>
                <w:i/>
                <w:sz w:val="20"/>
                <w:szCs w:val="20"/>
              </w:rPr>
            </w:pPr>
            <w:r w:rsidRPr="00180AB7">
              <w:rPr>
                <w:i/>
                <w:sz w:val="20"/>
                <w:szCs w:val="20"/>
              </w:rPr>
              <w:t>MDV3800-02 (C3441002)</w:t>
            </w:r>
          </w:p>
        </w:tc>
        <w:tc>
          <w:tcPr>
            <w:tcW w:w="2246" w:type="dxa"/>
          </w:tcPr>
          <w:p w14:paraId="0BD4E900" w14:textId="575C681B" w:rsidR="00880FC7" w:rsidRPr="00180AB7" w:rsidRDefault="00180AB7" w:rsidP="00180AB7">
            <w:pPr>
              <w:ind w:left="0" w:right="0"/>
              <w:rPr>
                <w:sz w:val="20"/>
                <w:szCs w:val="20"/>
              </w:rPr>
            </w:pPr>
            <w:r>
              <w:rPr>
                <w:sz w:val="20"/>
                <w:szCs w:val="20"/>
              </w:rPr>
              <w:t>Phase I, PK study in patients</w:t>
            </w:r>
            <w:r w:rsidR="00880FC7" w:rsidRPr="00180AB7">
              <w:rPr>
                <w:sz w:val="20"/>
                <w:szCs w:val="20"/>
              </w:rPr>
              <w:t xml:space="preserve"> with advanced solid tumours with hepatic impairment</w:t>
            </w:r>
          </w:p>
        </w:tc>
        <w:tc>
          <w:tcPr>
            <w:tcW w:w="1304" w:type="dxa"/>
          </w:tcPr>
          <w:p w14:paraId="01FB4B4B" w14:textId="77777777" w:rsidR="00880FC7" w:rsidRPr="00180AB7" w:rsidRDefault="00880FC7" w:rsidP="00180AB7">
            <w:pPr>
              <w:ind w:left="0" w:right="0"/>
              <w:rPr>
                <w:sz w:val="20"/>
                <w:szCs w:val="20"/>
              </w:rPr>
            </w:pPr>
            <w:r w:rsidRPr="00180AB7">
              <w:rPr>
                <w:sz w:val="20"/>
                <w:szCs w:val="20"/>
              </w:rPr>
              <w:t>0</w:t>
            </w:r>
          </w:p>
        </w:tc>
        <w:tc>
          <w:tcPr>
            <w:tcW w:w="993" w:type="dxa"/>
          </w:tcPr>
          <w:p w14:paraId="208428C1" w14:textId="77777777" w:rsidR="00880FC7" w:rsidRPr="00180AB7" w:rsidRDefault="00880FC7" w:rsidP="00180AB7">
            <w:pPr>
              <w:ind w:left="0" w:right="0"/>
              <w:rPr>
                <w:sz w:val="20"/>
                <w:szCs w:val="20"/>
              </w:rPr>
            </w:pPr>
            <w:r w:rsidRPr="00180AB7">
              <w:rPr>
                <w:sz w:val="20"/>
                <w:szCs w:val="20"/>
              </w:rPr>
              <w:t>NA</w:t>
            </w:r>
          </w:p>
        </w:tc>
        <w:tc>
          <w:tcPr>
            <w:tcW w:w="1277" w:type="dxa"/>
          </w:tcPr>
          <w:p w14:paraId="091C49EA" w14:textId="77777777" w:rsidR="00880FC7" w:rsidRPr="00180AB7" w:rsidRDefault="00880FC7" w:rsidP="00180AB7">
            <w:pPr>
              <w:ind w:left="0" w:right="0"/>
              <w:rPr>
                <w:sz w:val="20"/>
                <w:szCs w:val="20"/>
              </w:rPr>
            </w:pPr>
          </w:p>
        </w:tc>
        <w:tc>
          <w:tcPr>
            <w:tcW w:w="1289" w:type="dxa"/>
          </w:tcPr>
          <w:p w14:paraId="1D4C394D" w14:textId="77777777" w:rsidR="00880FC7" w:rsidRPr="00180AB7" w:rsidRDefault="00880FC7" w:rsidP="00180AB7">
            <w:pPr>
              <w:ind w:left="0" w:right="0"/>
              <w:rPr>
                <w:sz w:val="20"/>
                <w:szCs w:val="20"/>
              </w:rPr>
            </w:pPr>
            <w:r w:rsidRPr="00180AB7">
              <w:rPr>
                <w:sz w:val="20"/>
                <w:szCs w:val="20"/>
              </w:rPr>
              <w:t>Ongoing</w:t>
            </w:r>
          </w:p>
        </w:tc>
      </w:tr>
      <w:tr w:rsidR="00880FC7" w:rsidRPr="00180AB7" w14:paraId="3ABFB714" w14:textId="77777777" w:rsidTr="00180AB7">
        <w:trPr>
          <w:trHeight w:val="489"/>
        </w:trPr>
        <w:tc>
          <w:tcPr>
            <w:tcW w:w="1548" w:type="dxa"/>
          </w:tcPr>
          <w:p w14:paraId="5D1572D9" w14:textId="77777777" w:rsidR="00880FC7" w:rsidRPr="00180AB7" w:rsidRDefault="00880FC7" w:rsidP="00180AB7">
            <w:pPr>
              <w:ind w:left="0" w:right="0"/>
              <w:rPr>
                <w:i/>
                <w:sz w:val="20"/>
                <w:szCs w:val="20"/>
              </w:rPr>
            </w:pPr>
            <w:r w:rsidRPr="00180AB7">
              <w:rPr>
                <w:i/>
                <w:sz w:val="20"/>
                <w:szCs w:val="20"/>
              </w:rPr>
              <w:t>MDV3800-03 (C3441003)</w:t>
            </w:r>
          </w:p>
        </w:tc>
        <w:tc>
          <w:tcPr>
            <w:tcW w:w="2246" w:type="dxa"/>
          </w:tcPr>
          <w:p w14:paraId="1AE3DF3A" w14:textId="15661A97" w:rsidR="00880FC7" w:rsidRPr="00180AB7" w:rsidRDefault="00180AB7" w:rsidP="00180AB7">
            <w:pPr>
              <w:ind w:left="0" w:right="0"/>
              <w:rPr>
                <w:sz w:val="20"/>
                <w:szCs w:val="20"/>
              </w:rPr>
            </w:pPr>
            <w:r>
              <w:rPr>
                <w:sz w:val="20"/>
                <w:szCs w:val="20"/>
              </w:rPr>
              <w:t>Phase I</w:t>
            </w:r>
            <w:r w:rsidR="00880FC7" w:rsidRPr="00180AB7">
              <w:rPr>
                <w:sz w:val="20"/>
                <w:szCs w:val="20"/>
              </w:rPr>
              <w:t xml:space="preserve">, </w:t>
            </w:r>
            <w:r w:rsidR="00880FC7" w:rsidRPr="00180AB7">
              <w:rPr>
                <w:sz w:val="20"/>
                <w:szCs w:val="20"/>
                <w:vertAlign w:val="superscript"/>
              </w:rPr>
              <w:t>14</w:t>
            </w:r>
            <w:r w:rsidR="00880FC7" w:rsidRPr="00180AB7">
              <w:rPr>
                <w:sz w:val="20"/>
                <w:szCs w:val="20"/>
              </w:rPr>
              <w:t xml:space="preserve">C-labeled </w:t>
            </w:r>
            <w:proofErr w:type="spellStart"/>
            <w:r w:rsidR="00880FC7" w:rsidRPr="00180AB7">
              <w:rPr>
                <w:sz w:val="20"/>
                <w:szCs w:val="20"/>
              </w:rPr>
              <w:t>talazoparib</w:t>
            </w:r>
            <w:proofErr w:type="spellEnd"/>
            <w:r w:rsidR="00880FC7" w:rsidRPr="00180AB7">
              <w:rPr>
                <w:sz w:val="20"/>
                <w:szCs w:val="20"/>
              </w:rPr>
              <w:t xml:space="preserve"> in patients with advanced solid tumours</w:t>
            </w:r>
          </w:p>
        </w:tc>
        <w:tc>
          <w:tcPr>
            <w:tcW w:w="1304" w:type="dxa"/>
          </w:tcPr>
          <w:p w14:paraId="32F7793B" w14:textId="77777777" w:rsidR="00880FC7" w:rsidRPr="00180AB7" w:rsidRDefault="00880FC7" w:rsidP="00180AB7">
            <w:pPr>
              <w:ind w:left="0" w:right="0"/>
              <w:rPr>
                <w:sz w:val="20"/>
                <w:szCs w:val="20"/>
              </w:rPr>
            </w:pPr>
            <w:r w:rsidRPr="00180AB7">
              <w:rPr>
                <w:sz w:val="20"/>
                <w:szCs w:val="20"/>
              </w:rPr>
              <w:t>6</w:t>
            </w:r>
          </w:p>
        </w:tc>
        <w:tc>
          <w:tcPr>
            <w:tcW w:w="993" w:type="dxa"/>
          </w:tcPr>
          <w:p w14:paraId="5AF29902" w14:textId="77777777" w:rsidR="00880FC7" w:rsidRPr="00180AB7" w:rsidRDefault="00880FC7" w:rsidP="00180AB7">
            <w:pPr>
              <w:ind w:left="0" w:right="0"/>
              <w:rPr>
                <w:sz w:val="20"/>
                <w:szCs w:val="20"/>
              </w:rPr>
            </w:pPr>
            <w:r w:rsidRPr="00180AB7">
              <w:rPr>
                <w:sz w:val="20"/>
                <w:szCs w:val="20"/>
              </w:rPr>
              <w:t>6</w:t>
            </w:r>
          </w:p>
        </w:tc>
        <w:tc>
          <w:tcPr>
            <w:tcW w:w="1277" w:type="dxa"/>
          </w:tcPr>
          <w:p w14:paraId="27E4D3FE" w14:textId="77777777" w:rsidR="00880FC7" w:rsidRPr="00180AB7" w:rsidRDefault="00880FC7" w:rsidP="00180AB7">
            <w:pPr>
              <w:ind w:left="0" w:right="0"/>
              <w:rPr>
                <w:sz w:val="20"/>
                <w:szCs w:val="20"/>
              </w:rPr>
            </w:pPr>
          </w:p>
        </w:tc>
        <w:tc>
          <w:tcPr>
            <w:tcW w:w="1289" w:type="dxa"/>
          </w:tcPr>
          <w:p w14:paraId="10A59131" w14:textId="77777777" w:rsidR="00880FC7" w:rsidRPr="00180AB7" w:rsidRDefault="00880FC7" w:rsidP="00180AB7">
            <w:pPr>
              <w:ind w:left="0" w:right="0"/>
              <w:rPr>
                <w:sz w:val="20"/>
                <w:szCs w:val="20"/>
              </w:rPr>
            </w:pPr>
            <w:r w:rsidRPr="00180AB7">
              <w:rPr>
                <w:sz w:val="20"/>
                <w:szCs w:val="20"/>
              </w:rPr>
              <w:t>Completed</w:t>
            </w:r>
          </w:p>
        </w:tc>
      </w:tr>
      <w:tr w:rsidR="00880FC7" w:rsidRPr="00180AB7" w14:paraId="47FA3450" w14:textId="77777777" w:rsidTr="00180AB7">
        <w:trPr>
          <w:trHeight w:val="486"/>
        </w:trPr>
        <w:tc>
          <w:tcPr>
            <w:tcW w:w="1548" w:type="dxa"/>
          </w:tcPr>
          <w:p w14:paraId="67DF4F88" w14:textId="77777777" w:rsidR="00880FC7" w:rsidRPr="00180AB7" w:rsidRDefault="00880FC7" w:rsidP="00180AB7">
            <w:pPr>
              <w:ind w:left="0" w:right="0"/>
              <w:rPr>
                <w:i/>
                <w:sz w:val="20"/>
                <w:szCs w:val="20"/>
              </w:rPr>
            </w:pPr>
            <w:r w:rsidRPr="00180AB7">
              <w:rPr>
                <w:i/>
                <w:sz w:val="20"/>
                <w:szCs w:val="20"/>
              </w:rPr>
              <w:t>MDV3800-04</w:t>
            </w:r>
          </w:p>
          <w:p w14:paraId="7CFB095E" w14:textId="77777777" w:rsidR="00880FC7" w:rsidRPr="00180AB7" w:rsidRDefault="00880FC7" w:rsidP="00180AB7">
            <w:pPr>
              <w:ind w:left="0" w:right="0"/>
              <w:rPr>
                <w:i/>
                <w:sz w:val="20"/>
                <w:szCs w:val="20"/>
              </w:rPr>
            </w:pPr>
            <w:r w:rsidRPr="00180AB7">
              <w:rPr>
                <w:i/>
                <w:sz w:val="20"/>
                <w:szCs w:val="20"/>
              </w:rPr>
              <w:t>(C3441004)</w:t>
            </w:r>
          </w:p>
        </w:tc>
        <w:tc>
          <w:tcPr>
            <w:tcW w:w="2246" w:type="dxa"/>
          </w:tcPr>
          <w:p w14:paraId="45A349BE" w14:textId="0121466A" w:rsidR="00880FC7" w:rsidRPr="00180AB7" w:rsidRDefault="00180AB7" w:rsidP="00180AB7">
            <w:pPr>
              <w:ind w:left="0" w:right="0"/>
              <w:rPr>
                <w:sz w:val="20"/>
                <w:szCs w:val="20"/>
              </w:rPr>
            </w:pPr>
            <w:r>
              <w:rPr>
                <w:sz w:val="20"/>
                <w:szCs w:val="20"/>
              </w:rPr>
              <w:t>Phase I</w:t>
            </w:r>
            <w:r w:rsidR="00880FC7" w:rsidRPr="00180AB7">
              <w:rPr>
                <w:sz w:val="20"/>
                <w:szCs w:val="20"/>
              </w:rPr>
              <w:t xml:space="preserve">, PK study with </w:t>
            </w:r>
            <w:proofErr w:type="spellStart"/>
            <w:r w:rsidR="00880FC7" w:rsidRPr="00180AB7">
              <w:rPr>
                <w:sz w:val="20"/>
                <w:szCs w:val="20"/>
              </w:rPr>
              <w:t>rifampin</w:t>
            </w:r>
            <w:proofErr w:type="spellEnd"/>
            <w:r w:rsidR="00880FC7" w:rsidRPr="00180AB7">
              <w:rPr>
                <w:sz w:val="20"/>
                <w:szCs w:val="20"/>
              </w:rPr>
              <w:t xml:space="preserve"> and </w:t>
            </w:r>
            <w:proofErr w:type="spellStart"/>
            <w:r w:rsidR="00880FC7" w:rsidRPr="00180AB7">
              <w:rPr>
                <w:sz w:val="20"/>
                <w:szCs w:val="20"/>
              </w:rPr>
              <w:t>itraconazole</w:t>
            </w:r>
            <w:proofErr w:type="spellEnd"/>
            <w:r w:rsidR="00880FC7" w:rsidRPr="00180AB7">
              <w:rPr>
                <w:sz w:val="20"/>
                <w:szCs w:val="20"/>
              </w:rPr>
              <w:t xml:space="preserve"> in </w:t>
            </w:r>
            <w:r w:rsidR="00880FC7" w:rsidRPr="00180AB7">
              <w:rPr>
                <w:sz w:val="20"/>
                <w:szCs w:val="20"/>
              </w:rPr>
              <w:lastRenderedPageBreak/>
              <w:t>advanced solid tumours</w:t>
            </w:r>
          </w:p>
        </w:tc>
        <w:tc>
          <w:tcPr>
            <w:tcW w:w="1304" w:type="dxa"/>
          </w:tcPr>
          <w:p w14:paraId="2450DBC3" w14:textId="77777777" w:rsidR="00880FC7" w:rsidRPr="00180AB7" w:rsidRDefault="00880FC7" w:rsidP="00180AB7">
            <w:pPr>
              <w:ind w:left="0" w:right="0"/>
              <w:rPr>
                <w:sz w:val="20"/>
                <w:szCs w:val="20"/>
              </w:rPr>
            </w:pPr>
            <w:r w:rsidRPr="00180AB7">
              <w:rPr>
                <w:sz w:val="20"/>
                <w:szCs w:val="20"/>
              </w:rPr>
              <w:lastRenderedPageBreak/>
              <w:t>0</w:t>
            </w:r>
          </w:p>
        </w:tc>
        <w:tc>
          <w:tcPr>
            <w:tcW w:w="993" w:type="dxa"/>
          </w:tcPr>
          <w:p w14:paraId="4D0B843B" w14:textId="77777777" w:rsidR="00880FC7" w:rsidRPr="00180AB7" w:rsidRDefault="00880FC7" w:rsidP="00180AB7">
            <w:pPr>
              <w:ind w:left="0" w:right="0"/>
              <w:rPr>
                <w:sz w:val="20"/>
                <w:szCs w:val="20"/>
              </w:rPr>
            </w:pPr>
            <w:r w:rsidRPr="00180AB7">
              <w:rPr>
                <w:sz w:val="20"/>
                <w:szCs w:val="20"/>
              </w:rPr>
              <w:t>NA</w:t>
            </w:r>
          </w:p>
        </w:tc>
        <w:tc>
          <w:tcPr>
            <w:tcW w:w="1277" w:type="dxa"/>
          </w:tcPr>
          <w:p w14:paraId="4DDCB4B5" w14:textId="77777777" w:rsidR="00880FC7" w:rsidRPr="00180AB7" w:rsidRDefault="00880FC7" w:rsidP="00180AB7">
            <w:pPr>
              <w:ind w:left="0" w:right="0"/>
              <w:rPr>
                <w:sz w:val="20"/>
                <w:szCs w:val="20"/>
              </w:rPr>
            </w:pPr>
          </w:p>
        </w:tc>
        <w:tc>
          <w:tcPr>
            <w:tcW w:w="1289" w:type="dxa"/>
          </w:tcPr>
          <w:p w14:paraId="270D6576" w14:textId="77777777" w:rsidR="00880FC7" w:rsidRPr="00180AB7" w:rsidRDefault="00880FC7" w:rsidP="00180AB7">
            <w:pPr>
              <w:ind w:left="0" w:right="0"/>
              <w:rPr>
                <w:sz w:val="20"/>
                <w:szCs w:val="20"/>
              </w:rPr>
            </w:pPr>
            <w:r w:rsidRPr="00180AB7">
              <w:rPr>
                <w:sz w:val="20"/>
                <w:szCs w:val="20"/>
              </w:rPr>
              <w:t>Ongoing</w:t>
            </w:r>
          </w:p>
        </w:tc>
      </w:tr>
      <w:tr w:rsidR="00880FC7" w:rsidRPr="00180AB7" w14:paraId="2923B4DC" w14:textId="77777777" w:rsidTr="000D01AA">
        <w:trPr>
          <w:trHeight w:val="244"/>
        </w:trPr>
        <w:tc>
          <w:tcPr>
            <w:tcW w:w="8657" w:type="dxa"/>
            <w:gridSpan w:val="6"/>
            <w:shd w:val="clear" w:color="auto" w:fill="C6D4E9"/>
          </w:tcPr>
          <w:p w14:paraId="64B5AFBC" w14:textId="77777777" w:rsidR="00880FC7" w:rsidRPr="00180AB7" w:rsidRDefault="00880FC7" w:rsidP="00180AB7">
            <w:pPr>
              <w:ind w:left="0" w:right="0"/>
              <w:rPr>
                <w:b/>
                <w:i/>
                <w:sz w:val="20"/>
                <w:szCs w:val="20"/>
              </w:rPr>
            </w:pPr>
            <w:r w:rsidRPr="00180AB7">
              <w:rPr>
                <w:b/>
                <w:i/>
                <w:sz w:val="20"/>
                <w:szCs w:val="20"/>
              </w:rPr>
              <w:t>Studies in patients with haematological malignancies or healthy volunteers</w:t>
            </w:r>
          </w:p>
        </w:tc>
      </w:tr>
      <w:tr w:rsidR="00880FC7" w:rsidRPr="00180AB7" w14:paraId="5F4577D3" w14:textId="77777777" w:rsidTr="00180AB7">
        <w:trPr>
          <w:trHeight w:val="489"/>
        </w:trPr>
        <w:tc>
          <w:tcPr>
            <w:tcW w:w="1548" w:type="dxa"/>
          </w:tcPr>
          <w:p w14:paraId="59DE3589" w14:textId="056919E9" w:rsidR="00880FC7" w:rsidRPr="00180AB7" w:rsidRDefault="001A0280" w:rsidP="00180AB7">
            <w:pPr>
              <w:ind w:left="0" w:right="0"/>
              <w:rPr>
                <w:i/>
                <w:sz w:val="20"/>
                <w:szCs w:val="20"/>
              </w:rPr>
            </w:pPr>
            <w:r>
              <w:rPr>
                <w:i/>
                <w:sz w:val="20"/>
                <w:szCs w:val="20"/>
              </w:rPr>
              <w:t xml:space="preserve">Study </w:t>
            </w:r>
            <w:r w:rsidR="00880FC7" w:rsidRPr="00180AB7">
              <w:rPr>
                <w:i/>
                <w:sz w:val="20"/>
                <w:szCs w:val="20"/>
              </w:rPr>
              <w:t>673-103 (C3441023)</w:t>
            </w:r>
          </w:p>
        </w:tc>
        <w:tc>
          <w:tcPr>
            <w:tcW w:w="2246" w:type="dxa"/>
          </w:tcPr>
          <w:p w14:paraId="3CB8ABE6" w14:textId="77777777" w:rsidR="00880FC7" w:rsidRPr="00180AB7" w:rsidRDefault="00880FC7" w:rsidP="00180AB7">
            <w:pPr>
              <w:ind w:left="0" w:right="0"/>
              <w:rPr>
                <w:sz w:val="20"/>
                <w:szCs w:val="20"/>
              </w:rPr>
            </w:pPr>
            <w:r w:rsidRPr="00180AB7">
              <w:rPr>
                <w:sz w:val="20"/>
                <w:szCs w:val="20"/>
              </w:rPr>
              <w:t>Food effect study in healthy male volunteers</w:t>
            </w:r>
          </w:p>
        </w:tc>
        <w:tc>
          <w:tcPr>
            <w:tcW w:w="1304" w:type="dxa"/>
          </w:tcPr>
          <w:p w14:paraId="13A77C4F" w14:textId="77777777" w:rsidR="00880FC7" w:rsidRPr="00180AB7" w:rsidRDefault="00880FC7" w:rsidP="00180AB7">
            <w:pPr>
              <w:ind w:left="0" w:right="0"/>
              <w:rPr>
                <w:sz w:val="20"/>
                <w:szCs w:val="20"/>
              </w:rPr>
            </w:pPr>
            <w:r w:rsidRPr="00180AB7">
              <w:rPr>
                <w:sz w:val="20"/>
                <w:szCs w:val="20"/>
              </w:rPr>
              <w:t>0</w:t>
            </w:r>
          </w:p>
        </w:tc>
        <w:tc>
          <w:tcPr>
            <w:tcW w:w="993" w:type="dxa"/>
          </w:tcPr>
          <w:p w14:paraId="1B58AFCE" w14:textId="77777777" w:rsidR="00880FC7" w:rsidRPr="00180AB7" w:rsidRDefault="00880FC7" w:rsidP="00180AB7">
            <w:pPr>
              <w:ind w:left="0" w:right="0"/>
              <w:rPr>
                <w:sz w:val="20"/>
                <w:szCs w:val="20"/>
              </w:rPr>
            </w:pPr>
            <w:r w:rsidRPr="00180AB7">
              <w:rPr>
                <w:sz w:val="20"/>
                <w:szCs w:val="20"/>
              </w:rPr>
              <w:t>18</w:t>
            </w:r>
          </w:p>
        </w:tc>
        <w:tc>
          <w:tcPr>
            <w:tcW w:w="1277" w:type="dxa"/>
          </w:tcPr>
          <w:p w14:paraId="345D21CB" w14:textId="77777777" w:rsidR="00880FC7" w:rsidRPr="00180AB7" w:rsidRDefault="00880FC7" w:rsidP="00180AB7">
            <w:pPr>
              <w:ind w:left="0" w:right="0"/>
              <w:rPr>
                <w:sz w:val="20"/>
                <w:szCs w:val="20"/>
              </w:rPr>
            </w:pPr>
          </w:p>
        </w:tc>
        <w:tc>
          <w:tcPr>
            <w:tcW w:w="1289" w:type="dxa"/>
          </w:tcPr>
          <w:p w14:paraId="73E625CF" w14:textId="77777777" w:rsidR="00880FC7" w:rsidRPr="00180AB7" w:rsidRDefault="00880FC7" w:rsidP="00180AB7">
            <w:pPr>
              <w:ind w:left="0" w:right="0"/>
              <w:rPr>
                <w:sz w:val="20"/>
                <w:szCs w:val="20"/>
              </w:rPr>
            </w:pPr>
            <w:r w:rsidRPr="00180AB7">
              <w:rPr>
                <w:sz w:val="20"/>
                <w:szCs w:val="20"/>
              </w:rPr>
              <w:t>Completed</w:t>
            </w:r>
          </w:p>
        </w:tc>
      </w:tr>
      <w:tr w:rsidR="00880FC7" w:rsidRPr="00180AB7" w14:paraId="0661B2C8" w14:textId="77777777" w:rsidTr="00180AB7">
        <w:trPr>
          <w:trHeight w:val="486"/>
        </w:trPr>
        <w:tc>
          <w:tcPr>
            <w:tcW w:w="1548" w:type="dxa"/>
          </w:tcPr>
          <w:p w14:paraId="0712BCC9" w14:textId="2C13BE36" w:rsidR="00880FC7" w:rsidRPr="00180AB7" w:rsidRDefault="001A0280" w:rsidP="00180AB7">
            <w:pPr>
              <w:ind w:left="0" w:right="0"/>
              <w:rPr>
                <w:i/>
                <w:sz w:val="20"/>
                <w:szCs w:val="20"/>
              </w:rPr>
            </w:pPr>
            <w:r>
              <w:rPr>
                <w:i/>
                <w:sz w:val="20"/>
                <w:szCs w:val="20"/>
              </w:rPr>
              <w:t xml:space="preserve">Study </w:t>
            </w:r>
            <w:r w:rsidR="00880FC7" w:rsidRPr="00180AB7">
              <w:rPr>
                <w:i/>
                <w:sz w:val="20"/>
                <w:szCs w:val="20"/>
              </w:rPr>
              <w:t>PRP-002</w:t>
            </w:r>
          </w:p>
          <w:p w14:paraId="74E12A68" w14:textId="77777777" w:rsidR="00880FC7" w:rsidRPr="00180AB7" w:rsidRDefault="00880FC7" w:rsidP="00180AB7">
            <w:pPr>
              <w:ind w:left="0" w:right="0"/>
              <w:rPr>
                <w:i/>
                <w:sz w:val="20"/>
                <w:szCs w:val="20"/>
              </w:rPr>
            </w:pPr>
            <w:r w:rsidRPr="00180AB7">
              <w:rPr>
                <w:i/>
                <w:sz w:val="20"/>
                <w:szCs w:val="20"/>
              </w:rPr>
              <w:t>(C3441022)</w:t>
            </w:r>
          </w:p>
        </w:tc>
        <w:tc>
          <w:tcPr>
            <w:tcW w:w="2246" w:type="dxa"/>
          </w:tcPr>
          <w:p w14:paraId="7D24CB3E" w14:textId="45F13310" w:rsidR="00880FC7" w:rsidRPr="00180AB7" w:rsidRDefault="00180AB7" w:rsidP="00180AB7">
            <w:pPr>
              <w:ind w:left="0" w:right="0"/>
              <w:rPr>
                <w:sz w:val="20"/>
                <w:szCs w:val="20"/>
              </w:rPr>
            </w:pPr>
            <w:r>
              <w:rPr>
                <w:sz w:val="20"/>
                <w:szCs w:val="20"/>
              </w:rPr>
              <w:t>Phase I</w:t>
            </w:r>
            <w:r w:rsidR="00880FC7" w:rsidRPr="00180AB7">
              <w:rPr>
                <w:sz w:val="20"/>
                <w:szCs w:val="20"/>
              </w:rPr>
              <w:t>, patients with advanced haematological malignancies</w:t>
            </w:r>
          </w:p>
        </w:tc>
        <w:tc>
          <w:tcPr>
            <w:tcW w:w="1304" w:type="dxa"/>
          </w:tcPr>
          <w:p w14:paraId="07960648" w14:textId="77777777" w:rsidR="00880FC7" w:rsidRPr="00180AB7" w:rsidRDefault="00880FC7" w:rsidP="00180AB7">
            <w:pPr>
              <w:ind w:left="0" w:right="0"/>
              <w:rPr>
                <w:sz w:val="20"/>
                <w:szCs w:val="20"/>
              </w:rPr>
            </w:pPr>
            <w:r w:rsidRPr="00180AB7">
              <w:rPr>
                <w:sz w:val="20"/>
                <w:szCs w:val="20"/>
              </w:rPr>
              <w:t>0</w:t>
            </w:r>
          </w:p>
        </w:tc>
        <w:tc>
          <w:tcPr>
            <w:tcW w:w="993" w:type="dxa"/>
          </w:tcPr>
          <w:p w14:paraId="217BBC45" w14:textId="77777777" w:rsidR="00880FC7" w:rsidRPr="00180AB7" w:rsidRDefault="00880FC7" w:rsidP="00180AB7">
            <w:pPr>
              <w:ind w:left="0" w:right="0"/>
              <w:rPr>
                <w:sz w:val="20"/>
                <w:szCs w:val="20"/>
              </w:rPr>
            </w:pPr>
            <w:r w:rsidRPr="00180AB7">
              <w:rPr>
                <w:sz w:val="20"/>
                <w:szCs w:val="20"/>
              </w:rPr>
              <w:t>33</w:t>
            </w:r>
          </w:p>
        </w:tc>
        <w:tc>
          <w:tcPr>
            <w:tcW w:w="1277" w:type="dxa"/>
          </w:tcPr>
          <w:p w14:paraId="22F25AD1" w14:textId="77777777" w:rsidR="00880FC7" w:rsidRPr="00180AB7" w:rsidRDefault="00880FC7" w:rsidP="00180AB7">
            <w:pPr>
              <w:ind w:left="0" w:right="0"/>
              <w:rPr>
                <w:sz w:val="20"/>
                <w:szCs w:val="20"/>
              </w:rPr>
            </w:pPr>
          </w:p>
        </w:tc>
        <w:tc>
          <w:tcPr>
            <w:tcW w:w="1289" w:type="dxa"/>
          </w:tcPr>
          <w:p w14:paraId="4692BCCC" w14:textId="77777777" w:rsidR="00880FC7" w:rsidRPr="00180AB7" w:rsidRDefault="00880FC7" w:rsidP="00180AB7">
            <w:pPr>
              <w:ind w:left="0" w:right="0"/>
              <w:rPr>
                <w:sz w:val="20"/>
                <w:szCs w:val="20"/>
              </w:rPr>
            </w:pPr>
            <w:r w:rsidRPr="00180AB7">
              <w:rPr>
                <w:sz w:val="20"/>
                <w:szCs w:val="20"/>
              </w:rPr>
              <w:t>Completed</w:t>
            </w:r>
          </w:p>
        </w:tc>
      </w:tr>
    </w:tbl>
    <w:p w14:paraId="6B830D5A" w14:textId="7933B9B2" w:rsidR="00880FC7" w:rsidRDefault="00880FC7" w:rsidP="00180AB7">
      <w:pPr>
        <w:pStyle w:val="TableDescription"/>
      </w:pPr>
      <w:r>
        <w:t>PCT</w:t>
      </w:r>
      <w:r w:rsidR="00CA15AD">
        <w:t xml:space="preserve"> </w:t>
      </w:r>
      <w:r>
        <w:t>=</w:t>
      </w:r>
      <w:r w:rsidR="00CA15AD">
        <w:t xml:space="preserve"> </w:t>
      </w:r>
      <w:r>
        <w:t>physician’s choice therapy</w:t>
      </w:r>
      <w:proofErr w:type="gramStart"/>
      <w:r>
        <w:t>;</w:t>
      </w:r>
      <w:proofErr w:type="gramEnd"/>
      <w:r>
        <w:t xml:space="preserve"> NA</w:t>
      </w:r>
      <w:r w:rsidR="00CA15AD">
        <w:t xml:space="preserve"> </w:t>
      </w:r>
      <w:r>
        <w:t>=</w:t>
      </w:r>
      <w:r w:rsidR="00CA15AD">
        <w:t xml:space="preserve"> </w:t>
      </w:r>
      <w:r>
        <w:t>not avail</w:t>
      </w:r>
      <w:r w:rsidR="00180AB7">
        <w:t xml:space="preserve">able for these ongoing studies. </w:t>
      </w:r>
      <w:r>
        <w:t>*Six (6) patients who started Study PRP-0</w:t>
      </w:r>
      <w:r w:rsidR="00180AB7">
        <w:t>01 and 29 patients who started S</w:t>
      </w:r>
      <w:r>
        <w:t xml:space="preserve">tudy MDV3800-14 at </w:t>
      </w:r>
      <w:proofErr w:type="spellStart"/>
      <w:r>
        <w:t>talazoparib</w:t>
      </w:r>
      <w:proofErr w:type="spellEnd"/>
      <w:r>
        <w:t xml:space="preserve"> 1 mg/day and continued in the extension study (</w:t>
      </w:r>
      <w:r w:rsidR="00180AB7">
        <w:t xml:space="preserve">Study </w:t>
      </w:r>
      <w:r>
        <w:t>MDV38</w:t>
      </w:r>
      <w:r w:rsidR="00CB6831">
        <w:t>00-13) were counted only once.</w:t>
      </w:r>
    </w:p>
    <w:p w14:paraId="1DA434A0" w14:textId="7DBB769B" w:rsidR="00880FC7" w:rsidRPr="00B3497A" w:rsidRDefault="00880FC7" w:rsidP="00880FC7">
      <w:pPr>
        <w:pStyle w:val="Heading5"/>
      </w:pPr>
      <w:r w:rsidRPr="00B3497A">
        <w:t xml:space="preserve">EMBRACA </w:t>
      </w:r>
      <w:r w:rsidR="001A0280">
        <w:t xml:space="preserve">trial </w:t>
      </w:r>
      <w:r w:rsidRPr="00B3497A">
        <w:t>safety findings</w:t>
      </w:r>
    </w:p>
    <w:p w14:paraId="3F83AC93" w14:textId="77777777" w:rsidR="00880FC7" w:rsidRPr="00B3497A" w:rsidRDefault="00880FC7" w:rsidP="00880FC7">
      <w:pPr>
        <w:pStyle w:val="Heading6"/>
      </w:pPr>
      <w:r w:rsidRPr="00B3497A">
        <w:t>Overview</w:t>
      </w:r>
    </w:p>
    <w:p w14:paraId="39806410" w14:textId="3E963B15" w:rsidR="00880FC7" w:rsidRPr="00B3497A" w:rsidRDefault="00880FC7" w:rsidP="00CB6831">
      <w:r w:rsidRPr="00B3497A">
        <w:t xml:space="preserve">The safety population included all randomised patients who received at least one dose of treatment. One patient randomised to </w:t>
      </w:r>
      <w:proofErr w:type="spellStart"/>
      <w:r w:rsidRPr="00B3497A">
        <w:t>talazoparib</w:t>
      </w:r>
      <w:proofErr w:type="spellEnd"/>
      <w:r w:rsidRPr="00B3497A">
        <w:t xml:space="preserve"> and 18 patients randomised to PCT did not recei</w:t>
      </w:r>
      <w:r w:rsidR="00180AB7" w:rsidRPr="00B3497A">
        <w:t>ve any treatment. DCO</w:t>
      </w:r>
      <w:r w:rsidRPr="00B3497A">
        <w:t xml:space="preserve"> dates for the safety data summarised in this section refer to an original safety dataset submitted to FDA (15 Sep</w:t>
      </w:r>
      <w:r w:rsidR="00180AB7" w:rsidRPr="00B3497A">
        <w:t>tember</w:t>
      </w:r>
      <w:r w:rsidRPr="00B3497A">
        <w:t xml:space="preserve"> 2017) and a safety update (31 Jan</w:t>
      </w:r>
      <w:r w:rsidR="00180AB7" w:rsidRPr="00B3497A">
        <w:t>uary</w:t>
      </w:r>
      <w:r w:rsidRPr="00B3497A">
        <w:t xml:space="preserve"> 2018). Adverse event (AE) data </w:t>
      </w:r>
      <w:proofErr w:type="gramStart"/>
      <w:r w:rsidRPr="00B3497A">
        <w:t>were coded</w:t>
      </w:r>
      <w:proofErr w:type="gramEnd"/>
      <w:r w:rsidRPr="00B3497A">
        <w:t xml:space="preserve"> using </w:t>
      </w:r>
      <w:r w:rsidR="00180AB7" w:rsidRPr="00B3497A">
        <w:t>Medical Dictionary for Regulatory Activities (</w:t>
      </w:r>
      <w:proofErr w:type="spellStart"/>
      <w:r w:rsidRPr="00B3497A">
        <w:t>MedDRA</w:t>
      </w:r>
      <w:proofErr w:type="spellEnd"/>
      <w:r w:rsidR="00180AB7" w:rsidRPr="00B3497A">
        <w:t>)</w:t>
      </w:r>
      <w:r w:rsidRPr="00B3497A">
        <w:t xml:space="preserve"> version 20.0, and severity grading of AEs and laboratory parameters used the </w:t>
      </w:r>
      <w:r w:rsidR="00435627" w:rsidRPr="00B3497A">
        <w:t>Common Terminology Criteria for Adverse Events (</w:t>
      </w:r>
      <w:r w:rsidRPr="00B3497A">
        <w:t>CTCAE</w:t>
      </w:r>
      <w:r w:rsidR="00435627" w:rsidRPr="00B3497A">
        <w:t>)</w:t>
      </w:r>
      <w:r w:rsidRPr="00B3497A">
        <w:t xml:space="preserve"> ve</w:t>
      </w:r>
      <w:r w:rsidR="00435627" w:rsidRPr="00B3497A">
        <w:t>rsion 4.03.</w:t>
      </w:r>
    </w:p>
    <w:p w14:paraId="0D8B796E" w14:textId="39D7869E" w:rsidR="00880FC7" w:rsidRDefault="00880FC7" w:rsidP="00CB6831">
      <w:r w:rsidRPr="00B3497A">
        <w:t xml:space="preserve">Dose modification (reduction or interruption) occurred at a similar rate between study arms, and was associated with an AE in 66.4% of patients in the </w:t>
      </w:r>
      <w:proofErr w:type="spellStart"/>
      <w:r w:rsidRPr="00B3497A">
        <w:t>talazoparib</w:t>
      </w:r>
      <w:proofErr w:type="spellEnd"/>
      <w:r w:rsidRPr="00B3497A">
        <w:t xml:space="preserve"> arm. AEs of anaemia, </w:t>
      </w:r>
      <w:proofErr w:type="spellStart"/>
      <w:r w:rsidRPr="00B3497A">
        <w:t>neutrop</w:t>
      </w:r>
      <w:r w:rsidR="001A0280">
        <w:t>a</w:t>
      </w:r>
      <w:r w:rsidRPr="00B3497A">
        <w:t>enia</w:t>
      </w:r>
      <w:proofErr w:type="spellEnd"/>
      <w:r w:rsidRPr="00B3497A">
        <w:t xml:space="preserve">, and </w:t>
      </w:r>
      <w:proofErr w:type="spellStart"/>
      <w:r w:rsidRPr="00B3497A">
        <w:t>thrombocytop</w:t>
      </w:r>
      <w:r w:rsidR="001A0280">
        <w:t>a</w:t>
      </w:r>
      <w:r w:rsidRPr="00B3497A">
        <w:t>enia</w:t>
      </w:r>
      <w:proofErr w:type="spellEnd"/>
      <w:r w:rsidRPr="00B3497A">
        <w:t xml:space="preserve"> were associated with dose modification at a ≥</w:t>
      </w:r>
      <w:r w:rsidR="00435627" w:rsidRPr="00B3497A">
        <w:t> </w:t>
      </w:r>
      <w:r w:rsidRPr="00B3497A">
        <w:t xml:space="preserve">5% higher incidence in </w:t>
      </w:r>
      <w:proofErr w:type="spellStart"/>
      <w:r w:rsidRPr="00B3497A">
        <w:t>talazoparib</w:t>
      </w:r>
      <w:proofErr w:type="spellEnd"/>
      <w:r w:rsidRPr="00B3497A">
        <w:t xml:space="preserve">-treated patients, while decreased neutrophil count, nausea, diarrhoea, and palmar-plantar </w:t>
      </w:r>
      <w:proofErr w:type="spellStart"/>
      <w:r w:rsidRPr="00B3497A">
        <w:t>erythrodysaesthesia</w:t>
      </w:r>
      <w:proofErr w:type="spellEnd"/>
      <w:r w:rsidRPr="00B3497A">
        <w:t xml:space="preserve"> syndrome were reported at least 5% more commonly in patients in the PCT arm.</w:t>
      </w:r>
    </w:p>
    <w:p w14:paraId="3ABE2C9B" w14:textId="3D87D9D1" w:rsidR="00880FC7" w:rsidRDefault="00880FC7" w:rsidP="00CB6831">
      <w:pPr>
        <w:pStyle w:val="TableTitle"/>
      </w:pPr>
      <w:r>
        <w:t xml:space="preserve">Table </w:t>
      </w:r>
      <w:fldSimple w:instr=" SEQ Table \* ARABIC ">
        <w:r w:rsidR="00B3497A">
          <w:rPr>
            <w:noProof/>
          </w:rPr>
          <w:t>8</w:t>
        </w:r>
      </w:fldSimple>
      <w:r w:rsidR="00435627">
        <w:t>:</w:t>
      </w:r>
      <w:r>
        <w:t xml:space="preserve"> Exposure and overview of safety in EMBRACA</w:t>
      </w:r>
    </w:p>
    <w:tbl>
      <w:tblPr>
        <w:tblStyle w:val="TableTGAblue"/>
        <w:tblW w:w="0" w:type="auto"/>
        <w:tblCellMar>
          <w:left w:w="28" w:type="dxa"/>
          <w:right w:w="28" w:type="dxa"/>
        </w:tblCellMar>
        <w:tblLook w:val="04A0" w:firstRow="1" w:lastRow="0" w:firstColumn="1" w:lastColumn="0" w:noHBand="0" w:noVBand="1"/>
      </w:tblPr>
      <w:tblGrid>
        <w:gridCol w:w="4385"/>
        <w:gridCol w:w="2126"/>
        <w:gridCol w:w="1973"/>
      </w:tblGrid>
      <w:tr w:rsidR="00880FC7" w:rsidRPr="00435627" w14:paraId="7C056804" w14:textId="77777777" w:rsidTr="00880FC7">
        <w:trPr>
          <w:cnfStyle w:val="100000000000" w:firstRow="1" w:lastRow="0" w:firstColumn="0" w:lastColumn="0" w:oddVBand="0" w:evenVBand="0" w:oddHBand="0" w:evenHBand="0" w:firstRowFirstColumn="0" w:firstRowLastColumn="0" w:lastRowFirstColumn="0" w:lastRowLastColumn="0"/>
        </w:trPr>
        <w:tc>
          <w:tcPr>
            <w:tcW w:w="4385" w:type="dxa"/>
          </w:tcPr>
          <w:p w14:paraId="2CC20044" w14:textId="77777777" w:rsidR="00880FC7" w:rsidRPr="00435627" w:rsidRDefault="00880FC7" w:rsidP="00435627">
            <w:pPr>
              <w:rPr>
                <w:sz w:val="20"/>
                <w:szCs w:val="20"/>
              </w:rPr>
            </w:pPr>
          </w:p>
        </w:tc>
        <w:tc>
          <w:tcPr>
            <w:tcW w:w="2126" w:type="dxa"/>
          </w:tcPr>
          <w:p w14:paraId="2990EEE5" w14:textId="77777777" w:rsidR="00880FC7" w:rsidRPr="00435627" w:rsidRDefault="00880FC7" w:rsidP="00435627">
            <w:pPr>
              <w:rPr>
                <w:sz w:val="20"/>
                <w:szCs w:val="20"/>
              </w:rPr>
            </w:pPr>
            <w:proofErr w:type="spellStart"/>
            <w:r w:rsidRPr="00435627">
              <w:rPr>
                <w:sz w:val="20"/>
                <w:szCs w:val="20"/>
              </w:rPr>
              <w:t>Talazoparib</w:t>
            </w:r>
            <w:proofErr w:type="spellEnd"/>
          </w:p>
          <w:p w14:paraId="382997E4" w14:textId="2ABAC266" w:rsidR="00880FC7" w:rsidRPr="00435627" w:rsidRDefault="00880FC7" w:rsidP="00435627">
            <w:pPr>
              <w:rPr>
                <w:sz w:val="20"/>
                <w:szCs w:val="20"/>
              </w:rPr>
            </w:pPr>
            <w:r w:rsidRPr="00435627">
              <w:rPr>
                <w:sz w:val="20"/>
                <w:szCs w:val="20"/>
              </w:rPr>
              <w:t>N</w:t>
            </w:r>
            <w:r w:rsidR="00435627">
              <w:rPr>
                <w:sz w:val="20"/>
                <w:szCs w:val="20"/>
              </w:rPr>
              <w:t xml:space="preserve"> </w:t>
            </w:r>
            <w:r w:rsidRPr="00435627">
              <w:rPr>
                <w:sz w:val="20"/>
                <w:szCs w:val="20"/>
              </w:rPr>
              <w:t>=</w:t>
            </w:r>
            <w:r w:rsidR="00435627">
              <w:rPr>
                <w:sz w:val="20"/>
                <w:szCs w:val="20"/>
              </w:rPr>
              <w:t xml:space="preserve"> </w:t>
            </w:r>
            <w:r w:rsidRPr="00435627">
              <w:rPr>
                <w:sz w:val="20"/>
                <w:szCs w:val="20"/>
              </w:rPr>
              <w:t>286</w:t>
            </w:r>
          </w:p>
        </w:tc>
        <w:tc>
          <w:tcPr>
            <w:tcW w:w="1973" w:type="dxa"/>
          </w:tcPr>
          <w:p w14:paraId="2EB4D15B" w14:textId="77777777" w:rsidR="00880FC7" w:rsidRPr="00435627" w:rsidRDefault="00880FC7" w:rsidP="00435627">
            <w:pPr>
              <w:rPr>
                <w:sz w:val="20"/>
                <w:szCs w:val="20"/>
              </w:rPr>
            </w:pPr>
            <w:r w:rsidRPr="00435627">
              <w:rPr>
                <w:sz w:val="20"/>
                <w:szCs w:val="20"/>
              </w:rPr>
              <w:t>PCT</w:t>
            </w:r>
          </w:p>
          <w:p w14:paraId="69D06D7E" w14:textId="41ACCBBF" w:rsidR="00880FC7" w:rsidRPr="00435627" w:rsidRDefault="00880FC7" w:rsidP="00435627">
            <w:pPr>
              <w:rPr>
                <w:sz w:val="20"/>
                <w:szCs w:val="20"/>
              </w:rPr>
            </w:pPr>
            <w:r w:rsidRPr="00435627">
              <w:rPr>
                <w:sz w:val="20"/>
                <w:szCs w:val="20"/>
              </w:rPr>
              <w:t>N</w:t>
            </w:r>
            <w:r w:rsidR="00435627">
              <w:rPr>
                <w:sz w:val="20"/>
                <w:szCs w:val="20"/>
              </w:rPr>
              <w:t xml:space="preserve"> </w:t>
            </w:r>
            <w:r w:rsidRPr="00435627">
              <w:rPr>
                <w:sz w:val="20"/>
                <w:szCs w:val="20"/>
              </w:rPr>
              <w:t>=</w:t>
            </w:r>
            <w:r w:rsidR="00435627">
              <w:rPr>
                <w:sz w:val="20"/>
                <w:szCs w:val="20"/>
              </w:rPr>
              <w:t xml:space="preserve"> </w:t>
            </w:r>
            <w:r w:rsidRPr="00435627">
              <w:rPr>
                <w:sz w:val="20"/>
                <w:szCs w:val="20"/>
              </w:rPr>
              <w:t>126</w:t>
            </w:r>
          </w:p>
        </w:tc>
      </w:tr>
      <w:tr w:rsidR="00880FC7" w:rsidRPr="00435627" w14:paraId="42DCBC34" w14:textId="77777777" w:rsidTr="00880FC7">
        <w:tc>
          <w:tcPr>
            <w:tcW w:w="4385" w:type="dxa"/>
          </w:tcPr>
          <w:p w14:paraId="76745B35" w14:textId="77777777" w:rsidR="00880FC7" w:rsidRPr="00435627" w:rsidRDefault="00880FC7" w:rsidP="00435627">
            <w:pPr>
              <w:rPr>
                <w:color w:val="auto"/>
                <w:sz w:val="20"/>
                <w:szCs w:val="20"/>
              </w:rPr>
            </w:pPr>
            <w:r w:rsidRPr="00435627">
              <w:rPr>
                <w:color w:val="auto"/>
                <w:sz w:val="20"/>
                <w:szCs w:val="20"/>
              </w:rPr>
              <w:t>Mean (SD) duration of treatment (months)</w:t>
            </w:r>
          </w:p>
        </w:tc>
        <w:tc>
          <w:tcPr>
            <w:tcW w:w="2126" w:type="dxa"/>
          </w:tcPr>
          <w:p w14:paraId="68DC06E6" w14:textId="77777777" w:rsidR="00880FC7" w:rsidRPr="00435627" w:rsidRDefault="00880FC7" w:rsidP="00435627">
            <w:pPr>
              <w:rPr>
                <w:color w:val="auto"/>
                <w:sz w:val="20"/>
                <w:szCs w:val="20"/>
              </w:rPr>
            </w:pPr>
            <w:r w:rsidRPr="00435627">
              <w:rPr>
                <w:color w:val="auto"/>
                <w:sz w:val="20"/>
                <w:szCs w:val="20"/>
              </w:rPr>
              <w:t>8.4 (7.01)</w:t>
            </w:r>
          </w:p>
        </w:tc>
        <w:tc>
          <w:tcPr>
            <w:tcW w:w="1973" w:type="dxa"/>
          </w:tcPr>
          <w:p w14:paraId="5C018F21" w14:textId="77777777" w:rsidR="00880FC7" w:rsidRPr="00435627" w:rsidRDefault="00880FC7" w:rsidP="00435627">
            <w:pPr>
              <w:rPr>
                <w:color w:val="auto"/>
                <w:sz w:val="20"/>
                <w:szCs w:val="20"/>
              </w:rPr>
            </w:pPr>
            <w:r w:rsidRPr="00435627">
              <w:rPr>
                <w:color w:val="auto"/>
                <w:sz w:val="20"/>
                <w:szCs w:val="20"/>
              </w:rPr>
              <w:t>4.5 (3.54)</w:t>
            </w:r>
          </w:p>
        </w:tc>
      </w:tr>
      <w:tr w:rsidR="00880FC7" w:rsidRPr="00435627" w14:paraId="43D5F3DC" w14:textId="77777777" w:rsidTr="00880FC7">
        <w:tc>
          <w:tcPr>
            <w:tcW w:w="4385" w:type="dxa"/>
          </w:tcPr>
          <w:p w14:paraId="292D0137" w14:textId="77777777" w:rsidR="00880FC7" w:rsidRPr="00435627" w:rsidRDefault="00880FC7" w:rsidP="00435627">
            <w:pPr>
              <w:rPr>
                <w:sz w:val="20"/>
                <w:szCs w:val="20"/>
              </w:rPr>
            </w:pPr>
            <w:r w:rsidRPr="00435627">
              <w:rPr>
                <w:sz w:val="20"/>
                <w:szCs w:val="20"/>
              </w:rPr>
              <w:t>Mean (SD) relative dose intensity (%)</w:t>
            </w:r>
          </w:p>
        </w:tc>
        <w:tc>
          <w:tcPr>
            <w:tcW w:w="2126" w:type="dxa"/>
          </w:tcPr>
          <w:p w14:paraId="3E946B27" w14:textId="77777777" w:rsidR="00880FC7" w:rsidRPr="00435627" w:rsidRDefault="00880FC7" w:rsidP="00435627">
            <w:pPr>
              <w:rPr>
                <w:sz w:val="20"/>
                <w:szCs w:val="20"/>
              </w:rPr>
            </w:pPr>
            <w:r w:rsidRPr="00435627">
              <w:rPr>
                <w:sz w:val="20"/>
                <w:szCs w:val="20"/>
              </w:rPr>
              <w:t>91.7 (173.73)</w:t>
            </w:r>
          </w:p>
        </w:tc>
        <w:tc>
          <w:tcPr>
            <w:tcW w:w="1973" w:type="dxa"/>
          </w:tcPr>
          <w:p w14:paraId="5EDF9EA4" w14:textId="77777777" w:rsidR="00880FC7" w:rsidRPr="00435627" w:rsidRDefault="00880FC7" w:rsidP="00435627">
            <w:pPr>
              <w:rPr>
                <w:sz w:val="20"/>
                <w:szCs w:val="20"/>
              </w:rPr>
            </w:pPr>
          </w:p>
        </w:tc>
      </w:tr>
      <w:tr w:rsidR="00880FC7" w:rsidRPr="00435627" w14:paraId="6AE253D4" w14:textId="77777777" w:rsidTr="00435627">
        <w:tc>
          <w:tcPr>
            <w:tcW w:w="4385" w:type="dxa"/>
          </w:tcPr>
          <w:p w14:paraId="01F9298D" w14:textId="6ED71A73" w:rsidR="00880FC7" w:rsidRPr="00435627" w:rsidRDefault="00880FC7" w:rsidP="00520FF6">
            <w:pPr>
              <w:rPr>
                <w:i/>
                <w:sz w:val="20"/>
                <w:szCs w:val="20"/>
              </w:rPr>
            </w:pPr>
            <w:proofErr w:type="spellStart"/>
            <w:r w:rsidRPr="00435627">
              <w:rPr>
                <w:i/>
                <w:sz w:val="20"/>
                <w:szCs w:val="20"/>
              </w:rPr>
              <w:t>capecitabine</w:t>
            </w:r>
            <w:proofErr w:type="spellEnd"/>
            <w:r w:rsidRPr="00435627">
              <w:rPr>
                <w:i/>
                <w:sz w:val="20"/>
                <w:szCs w:val="20"/>
              </w:rPr>
              <w:t xml:space="preserve"> (n</w:t>
            </w:r>
            <w:r w:rsidR="00435627">
              <w:rPr>
                <w:i/>
                <w:sz w:val="20"/>
                <w:szCs w:val="20"/>
              </w:rPr>
              <w:t xml:space="preserve"> </w:t>
            </w:r>
            <w:r w:rsidRPr="00435627">
              <w:rPr>
                <w:i/>
                <w:sz w:val="20"/>
                <w:szCs w:val="20"/>
              </w:rPr>
              <w:t>=</w:t>
            </w:r>
            <w:r w:rsidR="00435627">
              <w:rPr>
                <w:i/>
                <w:sz w:val="20"/>
                <w:szCs w:val="20"/>
              </w:rPr>
              <w:t xml:space="preserve"> </w:t>
            </w:r>
            <w:r w:rsidRPr="00435627">
              <w:rPr>
                <w:i/>
                <w:sz w:val="20"/>
                <w:szCs w:val="20"/>
              </w:rPr>
              <w:t>55)</w:t>
            </w:r>
          </w:p>
        </w:tc>
        <w:tc>
          <w:tcPr>
            <w:tcW w:w="2126" w:type="dxa"/>
          </w:tcPr>
          <w:p w14:paraId="4EBBA58B" w14:textId="77777777" w:rsidR="00880FC7" w:rsidRPr="00435627" w:rsidRDefault="00880FC7" w:rsidP="00435627">
            <w:pPr>
              <w:rPr>
                <w:sz w:val="20"/>
                <w:szCs w:val="20"/>
              </w:rPr>
            </w:pPr>
          </w:p>
        </w:tc>
        <w:tc>
          <w:tcPr>
            <w:tcW w:w="1973" w:type="dxa"/>
          </w:tcPr>
          <w:p w14:paraId="0FCA9C7E" w14:textId="77777777" w:rsidR="00880FC7" w:rsidRPr="00435627" w:rsidRDefault="00880FC7" w:rsidP="00435627">
            <w:pPr>
              <w:rPr>
                <w:sz w:val="20"/>
                <w:szCs w:val="20"/>
              </w:rPr>
            </w:pPr>
            <w:r w:rsidRPr="00435627">
              <w:rPr>
                <w:sz w:val="20"/>
                <w:szCs w:val="20"/>
              </w:rPr>
              <w:t>83.3 (17.96)</w:t>
            </w:r>
          </w:p>
        </w:tc>
      </w:tr>
      <w:tr w:rsidR="00880FC7" w:rsidRPr="00435627" w14:paraId="7BA9CB3D" w14:textId="77777777" w:rsidTr="00435627">
        <w:tc>
          <w:tcPr>
            <w:tcW w:w="4385" w:type="dxa"/>
          </w:tcPr>
          <w:p w14:paraId="07B6E5DA" w14:textId="34D44FE3" w:rsidR="00880FC7" w:rsidRPr="00435627" w:rsidRDefault="00880FC7" w:rsidP="00520FF6">
            <w:pPr>
              <w:rPr>
                <w:i/>
                <w:sz w:val="20"/>
                <w:szCs w:val="20"/>
              </w:rPr>
            </w:pPr>
            <w:proofErr w:type="spellStart"/>
            <w:r w:rsidRPr="00435627">
              <w:rPr>
                <w:i/>
                <w:sz w:val="20"/>
                <w:szCs w:val="20"/>
              </w:rPr>
              <w:t>eribulin</w:t>
            </w:r>
            <w:proofErr w:type="spellEnd"/>
            <w:r w:rsidRPr="00435627">
              <w:rPr>
                <w:i/>
                <w:sz w:val="20"/>
                <w:szCs w:val="20"/>
              </w:rPr>
              <w:t xml:space="preserve"> (n</w:t>
            </w:r>
            <w:r w:rsidR="00435627">
              <w:rPr>
                <w:i/>
                <w:sz w:val="20"/>
                <w:szCs w:val="20"/>
              </w:rPr>
              <w:t xml:space="preserve"> </w:t>
            </w:r>
            <w:r w:rsidRPr="00435627">
              <w:rPr>
                <w:i/>
                <w:sz w:val="20"/>
                <w:szCs w:val="20"/>
              </w:rPr>
              <w:t>=</w:t>
            </w:r>
            <w:r w:rsidR="00435627">
              <w:rPr>
                <w:i/>
                <w:sz w:val="20"/>
                <w:szCs w:val="20"/>
              </w:rPr>
              <w:t xml:space="preserve"> </w:t>
            </w:r>
            <w:r w:rsidRPr="00435627">
              <w:rPr>
                <w:i/>
                <w:sz w:val="20"/>
                <w:szCs w:val="20"/>
              </w:rPr>
              <w:t>50</w:t>
            </w:r>
            <w:r w:rsidR="00435627">
              <w:rPr>
                <w:i/>
                <w:sz w:val="20"/>
                <w:szCs w:val="20"/>
              </w:rPr>
              <w:t>)</w:t>
            </w:r>
          </w:p>
        </w:tc>
        <w:tc>
          <w:tcPr>
            <w:tcW w:w="2126" w:type="dxa"/>
          </w:tcPr>
          <w:p w14:paraId="0E9C9D29" w14:textId="77777777" w:rsidR="00880FC7" w:rsidRPr="00435627" w:rsidRDefault="00880FC7" w:rsidP="00435627">
            <w:pPr>
              <w:rPr>
                <w:sz w:val="20"/>
                <w:szCs w:val="20"/>
              </w:rPr>
            </w:pPr>
          </w:p>
        </w:tc>
        <w:tc>
          <w:tcPr>
            <w:tcW w:w="1973" w:type="dxa"/>
          </w:tcPr>
          <w:p w14:paraId="2945F3E1" w14:textId="77777777" w:rsidR="00880FC7" w:rsidRPr="00435627" w:rsidRDefault="00880FC7" w:rsidP="00435627">
            <w:pPr>
              <w:rPr>
                <w:sz w:val="20"/>
                <w:szCs w:val="20"/>
              </w:rPr>
            </w:pPr>
            <w:r w:rsidRPr="00435627">
              <w:rPr>
                <w:sz w:val="20"/>
                <w:szCs w:val="20"/>
              </w:rPr>
              <w:t>90.5 (12.73)</w:t>
            </w:r>
          </w:p>
        </w:tc>
      </w:tr>
      <w:tr w:rsidR="00880FC7" w:rsidRPr="00435627" w14:paraId="0CCBEBD9" w14:textId="77777777" w:rsidTr="00435627">
        <w:tc>
          <w:tcPr>
            <w:tcW w:w="4385" w:type="dxa"/>
          </w:tcPr>
          <w:p w14:paraId="3BE6CE75" w14:textId="2116908F" w:rsidR="00880FC7" w:rsidRPr="00435627" w:rsidRDefault="00880FC7" w:rsidP="00520FF6">
            <w:pPr>
              <w:rPr>
                <w:i/>
                <w:sz w:val="20"/>
                <w:szCs w:val="20"/>
              </w:rPr>
            </w:pPr>
            <w:r w:rsidRPr="00435627">
              <w:rPr>
                <w:i/>
                <w:sz w:val="20"/>
                <w:szCs w:val="20"/>
              </w:rPr>
              <w:lastRenderedPageBreak/>
              <w:t>gemcitabine (n</w:t>
            </w:r>
            <w:r w:rsidR="00435627">
              <w:rPr>
                <w:i/>
                <w:sz w:val="20"/>
                <w:szCs w:val="20"/>
              </w:rPr>
              <w:t xml:space="preserve"> </w:t>
            </w:r>
            <w:r w:rsidRPr="00435627">
              <w:rPr>
                <w:i/>
                <w:sz w:val="20"/>
                <w:szCs w:val="20"/>
              </w:rPr>
              <w:t>=</w:t>
            </w:r>
            <w:r w:rsidR="00435627">
              <w:rPr>
                <w:i/>
                <w:sz w:val="20"/>
                <w:szCs w:val="20"/>
              </w:rPr>
              <w:t xml:space="preserve"> </w:t>
            </w:r>
            <w:r w:rsidRPr="00435627">
              <w:rPr>
                <w:i/>
                <w:sz w:val="20"/>
                <w:szCs w:val="20"/>
              </w:rPr>
              <w:t>12)</w:t>
            </w:r>
          </w:p>
        </w:tc>
        <w:tc>
          <w:tcPr>
            <w:tcW w:w="2126" w:type="dxa"/>
          </w:tcPr>
          <w:p w14:paraId="208B3C8B" w14:textId="77777777" w:rsidR="00880FC7" w:rsidRPr="00435627" w:rsidRDefault="00880FC7" w:rsidP="00435627">
            <w:pPr>
              <w:rPr>
                <w:sz w:val="20"/>
                <w:szCs w:val="20"/>
              </w:rPr>
            </w:pPr>
          </w:p>
        </w:tc>
        <w:tc>
          <w:tcPr>
            <w:tcW w:w="1973" w:type="dxa"/>
          </w:tcPr>
          <w:p w14:paraId="189E5267" w14:textId="77777777" w:rsidR="00880FC7" w:rsidRPr="00435627" w:rsidRDefault="00880FC7" w:rsidP="00435627">
            <w:pPr>
              <w:rPr>
                <w:sz w:val="20"/>
                <w:szCs w:val="20"/>
              </w:rPr>
            </w:pPr>
            <w:r w:rsidRPr="00435627">
              <w:rPr>
                <w:sz w:val="20"/>
                <w:szCs w:val="20"/>
              </w:rPr>
              <w:t>86.3 (11.70)</w:t>
            </w:r>
          </w:p>
        </w:tc>
      </w:tr>
      <w:tr w:rsidR="00880FC7" w:rsidRPr="00435627" w14:paraId="4975117D" w14:textId="77777777" w:rsidTr="00435627">
        <w:tc>
          <w:tcPr>
            <w:tcW w:w="4385" w:type="dxa"/>
          </w:tcPr>
          <w:p w14:paraId="0623A0AD" w14:textId="22FA9ECD" w:rsidR="00880FC7" w:rsidRPr="00435627" w:rsidRDefault="00880FC7" w:rsidP="00520FF6">
            <w:pPr>
              <w:rPr>
                <w:i/>
                <w:sz w:val="20"/>
                <w:szCs w:val="20"/>
              </w:rPr>
            </w:pPr>
            <w:proofErr w:type="spellStart"/>
            <w:r w:rsidRPr="00435627">
              <w:rPr>
                <w:i/>
                <w:sz w:val="20"/>
                <w:szCs w:val="20"/>
              </w:rPr>
              <w:t>vinorelbine</w:t>
            </w:r>
            <w:proofErr w:type="spellEnd"/>
            <w:r w:rsidRPr="00435627">
              <w:rPr>
                <w:i/>
                <w:sz w:val="20"/>
                <w:szCs w:val="20"/>
              </w:rPr>
              <w:t xml:space="preserve"> (n</w:t>
            </w:r>
            <w:r w:rsidR="00435627">
              <w:rPr>
                <w:i/>
                <w:sz w:val="20"/>
                <w:szCs w:val="20"/>
              </w:rPr>
              <w:t xml:space="preserve"> </w:t>
            </w:r>
            <w:r w:rsidRPr="00435627">
              <w:rPr>
                <w:i/>
                <w:sz w:val="20"/>
                <w:szCs w:val="20"/>
              </w:rPr>
              <w:t>=</w:t>
            </w:r>
            <w:r w:rsidR="00435627">
              <w:rPr>
                <w:i/>
                <w:sz w:val="20"/>
                <w:szCs w:val="20"/>
              </w:rPr>
              <w:t xml:space="preserve"> </w:t>
            </w:r>
            <w:r w:rsidRPr="00435627">
              <w:rPr>
                <w:i/>
                <w:sz w:val="20"/>
                <w:szCs w:val="20"/>
              </w:rPr>
              <w:t>9)</w:t>
            </w:r>
          </w:p>
        </w:tc>
        <w:tc>
          <w:tcPr>
            <w:tcW w:w="2126" w:type="dxa"/>
          </w:tcPr>
          <w:p w14:paraId="1FD7D335" w14:textId="77777777" w:rsidR="00880FC7" w:rsidRPr="00435627" w:rsidRDefault="00880FC7" w:rsidP="00435627">
            <w:pPr>
              <w:rPr>
                <w:sz w:val="20"/>
                <w:szCs w:val="20"/>
              </w:rPr>
            </w:pPr>
          </w:p>
        </w:tc>
        <w:tc>
          <w:tcPr>
            <w:tcW w:w="1973" w:type="dxa"/>
          </w:tcPr>
          <w:p w14:paraId="35CE613C" w14:textId="77777777" w:rsidR="00880FC7" w:rsidRPr="00435627" w:rsidRDefault="00880FC7" w:rsidP="00435627">
            <w:pPr>
              <w:rPr>
                <w:sz w:val="20"/>
                <w:szCs w:val="20"/>
              </w:rPr>
            </w:pPr>
            <w:r w:rsidRPr="00435627">
              <w:rPr>
                <w:sz w:val="20"/>
                <w:szCs w:val="20"/>
              </w:rPr>
              <w:t>68.5 (20.77)</w:t>
            </w:r>
          </w:p>
        </w:tc>
      </w:tr>
      <w:tr w:rsidR="00880FC7" w:rsidRPr="00435627" w14:paraId="4BB4676C" w14:textId="77777777" w:rsidTr="00880FC7">
        <w:tc>
          <w:tcPr>
            <w:tcW w:w="4385" w:type="dxa"/>
          </w:tcPr>
          <w:p w14:paraId="2B2CC852" w14:textId="4FC74A45" w:rsidR="00880FC7" w:rsidRPr="00435627" w:rsidRDefault="00435627" w:rsidP="00435627">
            <w:pPr>
              <w:rPr>
                <w:sz w:val="20"/>
                <w:szCs w:val="20"/>
              </w:rPr>
            </w:pPr>
            <w:r>
              <w:rPr>
                <w:sz w:val="20"/>
                <w:szCs w:val="20"/>
              </w:rPr>
              <w:t xml:space="preserve">Grade 1 to </w:t>
            </w:r>
            <w:r w:rsidR="00880FC7" w:rsidRPr="00435627">
              <w:rPr>
                <w:sz w:val="20"/>
                <w:szCs w:val="20"/>
              </w:rPr>
              <w:t>4 TEAEs, n (%)</w:t>
            </w:r>
          </w:p>
        </w:tc>
        <w:tc>
          <w:tcPr>
            <w:tcW w:w="2126" w:type="dxa"/>
          </w:tcPr>
          <w:p w14:paraId="700DB872" w14:textId="77777777" w:rsidR="00880FC7" w:rsidRPr="00435627" w:rsidRDefault="00880FC7" w:rsidP="00435627">
            <w:pPr>
              <w:rPr>
                <w:sz w:val="20"/>
                <w:szCs w:val="20"/>
              </w:rPr>
            </w:pPr>
            <w:r w:rsidRPr="00435627">
              <w:rPr>
                <w:sz w:val="20"/>
                <w:szCs w:val="20"/>
              </w:rPr>
              <w:t>282 (99)</w:t>
            </w:r>
          </w:p>
        </w:tc>
        <w:tc>
          <w:tcPr>
            <w:tcW w:w="1973" w:type="dxa"/>
          </w:tcPr>
          <w:p w14:paraId="5969D244" w14:textId="77777777" w:rsidR="00880FC7" w:rsidRPr="00435627" w:rsidRDefault="00880FC7" w:rsidP="00435627">
            <w:pPr>
              <w:rPr>
                <w:sz w:val="20"/>
                <w:szCs w:val="20"/>
              </w:rPr>
            </w:pPr>
            <w:r w:rsidRPr="00435627">
              <w:rPr>
                <w:sz w:val="20"/>
                <w:szCs w:val="20"/>
              </w:rPr>
              <w:t>123 (98)</w:t>
            </w:r>
          </w:p>
        </w:tc>
      </w:tr>
      <w:tr w:rsidR="00880FC7" w:rsidRPr="00435627" w14:paraId="61C5422A" w14:textId="77777777" w:rsidTr="00880FC7">
        <w:tc>
          <w:tcPr>
            <w:tcW w:w="4385" w:type="dxa"/>
          </w:tcPr>
          <w:p w14:paraId="62F08993" w14:textId="08AA8674" w:rsidR="00880FC7" w:rsidRPr="00435627" w:rsidRDefault="00435627" w:rsidP="00435627">
            <w:pPr>
              <w:rPr>
                <w:sz w:val="20"/>
                <w:szCs w:val="20"/>
              </w:rPr>
            </w:pPr>
            <w:r>
              <w:rPr>
                <w:sz w:val="20"/>
                <w:szCs w:val="20"/>
              </w:rPr>
              <w:t xml:space="preserve">Grade 3 to </w:t>
            </w:r>
            <w:r w:rsidR="00880FC7" w:rsidRPr="00435627">
              <w:rPr>
                <w:sz w:val="20"/>
                <w:szCs w:val="20"/>
              </w:rPr>
              <w:t>4 TEAEs, n (%)</w:t>
            </w:r>
          </w:p>
        </w:tc>
        <w:tc>
          <w:tcPr>
            <w:tcW w:w="2126" w:type="dxa"/>
          </w:tcPr>
          <w:p w14:paraId="40DAC975" w14:textId="77777777" w:rsidR="00880FC7" w:rsidRPr="00435627" w:rsidRDefault="00880FC7" w:rsidP="00435627">
            <w:pPr>
              <w:rPr>
                <w:sz w:val="20"/>
                <w:szCs w:val="20"/>
              </w:rPr>
            </w:pPr>
            <w:r w:rsidRPr="00435627">
              <w:rPr>
                <w:sz w:val="20"/>
                <w:szCs w:val="20"/>
              </w:rPr>
              <w:t>193 (68)</w:t>
            </w:r>
          </w:p>
        </w:tc>
        <w:tc>
          <w:tcPr>
            <w:tcW w:w="1973" w:type="dxa"/>
          </w:tcPr>
          <w:p w14:paraId="246F6D6A" w14:textId="77777777" w:rsidR="00880FC7" w:rsidRPr="00435627" w:rsidRDefault="00880FC7" w:rsidP="00435627">
            <w:pPr>
              <w:rPr>
                <w:sz w:val="20"/>
                <w:szCs w:val="20"/>
              </w:rPr>
            </w:pPr>
            <w:r w:rsidRPr="00435627">
              <w:rPr>
                <w:sz w:val="20"/>
                <w:szCs w:val="20"/>
              </w:rPr>
              <w:t>80 (64)</w:t>
            </w:r>
          </w:p>
        </w:tc>
      </w:tr>
      <w:tr w:rsidR="00880FC7" w:rsidRPr="00435627" w14:paraId="668E6CE5" w14:textId="77777777" w:rsidTr="00880FC7">
        <w:tc>
          <w:tcPr>
            <w:tcW w:w="4385" w:type="dxa"/>
          </w:tcPr>
          <w:p w14:paraId="67882A1C" w14:textId="77777777" w:rsidR="00880FC7" w:rsidRPr="00435627" w:rsidRDefault="00880FC7" w:rsidP="00435627">
            <w:pPr>
              <w:rPr>
                <w:sz w:val="20"/>
                <w:szCs w:val="20"/>
              </w:rPr>
            </w:pPr>
            <w:r w:rsidRPr="00435627">
              <w:rPr>
                <w:sz w:val="20"/>
                <w:szCs w:val="20"/>
              </w:rPr>
              <w:t>Serious TEAEs (SAEs), n (%)</w:t>
            </w:r>
          </w:p>
        </w:tc>
        <w:tc>
          <w:tcPr>
            <w:tcW w:w="2126" w:type="dxa"/>
          </w:tcPr>
          <w:p w14:paraId="6DC460BE" w14:textId="77777777" w:rsidR="00880FC7" w:rsidRPr="00435627" w:rsidRDefault="00880FC7" w:rsidP="00435627">
            <w:pPr>
              <w:rPr>
                <w:sz w:val="20"/>
                <w:szCs w:val="20"/>
              </w:rPr>
            </w:pPr>
            <w:r w:rsidRPr="00435627">
              <w:rPr>
                <w:sz w:val="20"/>
                <w:szCs w:val="20"/>
              </w:rPr>
              <w:t>91 (32)</w:t>
            </w:r>
          </w:p>
        </w:tc>
        <w:tc>
          <w:tcPr>
            <w:tcW w:w="1973" w:type="dxa"/>
          </w:tcPr>
          <w:p w14:paraId="21C03A6F" w14:textId="77777777" w:rsidR="00880FC7" w:rsidRPr="00435627" w:rsidRDefault="00880FC7" w:rsidP="00435627">
            <w:pPr>
              <w:rPr>
                <w:sz w:val="20"/>
                <w:szCs w:val="20"/>
              </w:rPr>
            </w:pPr>
            <w:r w:rsidRPr="00435627">
              <w:rPr>
                <w:sz w:val="20"/>
                <w:szCs w:val="20"/>
              </w:rPr>
              <w:t>37 (29)</w:t>
            </w:r>
          </w:p>
        </w:tc>
      </w:tr>
      <w:tr w:rsidR="00880FC7" w:rsidRPr="00435627" w14:paraId="0133C89F" w14:textId="77777777" w:rsidTr="00880FC7">
        <w:tc>
          <w:tcPr>
            <w:tcW w:w="4385" w:type="dxa"/>
          </w:tcPr>
          <w:p w14:paraId="00F46C5B" w14:textId="77777777" w:rsidR="00880FC7" w:rsidRPr="00435627" w:rsidRDefault="00880FC7" w:rsidP="00435627">
            <w:pPr>
              <w:rPr>
                <w:sz w:val="20"/>
                <w:szCs w:val="20"/>
              </w:rPr>
            </w:pPr>
            <w:r w:rsidRPr="00435627">
              <w:rPr>
                <w:sz w:val="20"/>
                <w:szCs w:val="20"/>
              </w:rPr>
              <w:t>Deaths due to TEAEs within 30 days, n (%)</w:t>
            </w:r>
          </w:p>
        </w:tc>
        <w:tc>
          <w:tcPr>
            <w:tcW w:w="2126" w:type="dxa"/>
          </w:tcPr>
          <w:p w14:paraId="3BED8666" w14:textId="77777777" w:rsidR="00880FC7" w:rsidRPr="00435627" w:rsidRDefault="00880FC7" w:rsidP="00435627">
            <w:pPr>
              <w:rPr>
                <w:sz w:val="20"/>
                <w:szCs w:val="20"/>
              </w:rPr>
            </w:pPr>
            <w:r w:rsidRPr="00435627">
              <w:rPr>
                <w:sz w:val="20"/>
                <w:szCs w:val="20"/>
              </w:rPr>
              <w:t>6 (2)</w:t>
            </w:r>
          </w:p>
        </w:tc>
        <w:tc>
          <w:tcPr>
            <w:tcW w:w="1973" w:type="dxa"/>
          </w:tcPr>
          <w:p w14:paraId="2249B865" w14:textId="77777777" w:rsidR="00880FC7" w:rsidRPr="00435627" w:rsidRDefault="00880FC7" w:rsidP="00435627">
            <w:pPr>
              <w:rPr>
                <w:sz w:val="20"/>
                <w:szCs w:val="20"/>
              </w:rPr>
            </w:pPr>
            <w:r w:rsidRPr="00435627">
              <w:rPr>
                <w:sz w:val="20"/>
                <w:szCs w:val="20"/>
              </w:rPr>
              <w:t>4 (3)</w:t>
            </w:r>
          </w:p>
        </w:tc>
      </w:tr>
      <w:tr w:rsidR="00880FC7" w:rsidRPr="00435627" w14:paraId="6EF99245" w14:textId="77777777" w:rsidTr="00880FC7">
        <w:tc>
          <w:tcPr>
            <w:tcW w:w="4385" w:type="dxa"/>
          </w:tcPr>
          <w:p w14:paraId="3AA42BA4" w14:textId="77777777" w:rsidR="00880FC7" w:rsidRPr="00435627" w:rsidRDefault="00880FC7" w:rsidP="00435627">
            <w:pPr>
              <w:rPr>
                <w:sz w:val="20"/>
                <w:szCs w:val="20"/>
              </w:rPr>
            </w:pPr>
            <w:r w:rsidRPr="00435627">
              <w:rPr>
                <w:sz w:val="20"/>
                <w:szCs w:val="20"/>
              </w:rPr>
              <w:t>Treatment discontinuation due to TEAEs, n (%)</w:t>
            </w:r>
          </w:p>
        </w:tc>
        <w:tc>
          <w:tcPr>
            <w:tcW w:w="2126" w:type="dxa"/>
          </w:tcPr>
          <w:p w14:paraId="472B0F0A" w14:textId="77777777" w:rsidR="00880FC7" w:rsidRPr="00435627" w:rsidRDefault="00880FC7" w:rsidP="00435627">
            <w:pPr>
              <w:rPr>
                <w:sz w:val="20"/>
                <w:szCs w:val="20"/>
              </w:rPr>
            </w:pPr>
            <w:r w:rsidRPr="00435627">
              <w:rPr>
                <w:sz w:val="20"/>
                <w:szCs w:val="20"/>
              </w:rPr>
              <w:t>13 (5)</w:t>
            </w:r>
          </w:p>
        </w:tc>
        <w:tc>
          <w:tcPr>
            <w:tcW w:w="1973" w:type="dxa"/>
          </w:tcPr>
          <w:p w14:paraId="59ECDD7B" w14:textId="77777777" w:rsidR="00880FC7" w:rsidRPr="00435627" w:rsidRDefault="00880FC7" w:rsidP="00435627">
            <w:pPr>
              <w:rPr>
                <w:sz w:val="20"/>
                <w:szCs w:val="20"/>
              </w:rPr>
            </w:pPr>
            <w:r w:rsidRPr="00435627">
              <w:rPr>
                <w:sz w:val="20"/>
                <w:szCs w:val="20"/>
              </w:rPr>
              <w:t>7 (6)</w:t>
            </w:r>
          </w:p>
        </w:tc>
      </w:tr>
      <w:tr w:rsidR="00880FC7" w:rsidRPr="00435627" w14:paraId="69AC50A8" w14:textId="77777777" w:rsidTr="00880FC7">
        <w:tc>
          <w:tcPr>
            <w:tcW w:w="4385" w:type="dxa"/>
          </w:tcPr>
          <w:p w14:paraId="776D520E" w14:textId="77777777" w:rsidR="00880FC7" w:rsidRPr="00435627" w:rsidRDefault="00880FC7" w:rsidP="00435627">
            <w:pPr>
              <w:rPr>
                <w:sz w:val="20"/>
                <w:szCs w:val="20"/>
              </w:rPr>
            </w:pPr>
            <w:r w:rsidRPr="00435627">
              <w:rPr>
                <w:sz w:val="20"/>
                <w:szCs w:val="20"/>
              </w:rPr>
              <w:t xml:space="preserve">Dose reduction due to TEAEs, n (%) </w:t>
            </w:r>
          </w:p>
        </w:tc>
        <w:tc>
          <w:tcPr>
            <w:tcW w:w="2126" w:type="dxa"/>
          </w:tcPr>
          <w:p w14:paraId="37F1DFFE" w14:textId="77777777" w:rsidR="00880FC7" w:rsidRPr="00435627" w:rsidRDefault="00880FC7" w:rsidP="00435627">
            <w:pPr>
              <w:rPr>
                <w:sz w:val="20"/>
                <w:szCs w:val="20"/>
              </w:rPr>
            </w:pPr>
            <w:r w:rsidRPr="00435627">
              <w:rPr>
                <w:sz w:val="20"/>
                <w:szCs w:val="20"/>
              </w:rPr>
              <w:t>51 (18)</w:t>
            </w:r>
          </w:p>
        </w:tc>
        <w:tc>
          <w:tcPr>
            <w:tcW w:w="1973" w:type="dxa"/>
          </w:tcPr>
          <w:p w14:paraId="552AE552" w14:textId="77777777" w:rsidR="00880FC7" w:rsidRPr="00435627" w:rsidRDefault="00880FC7" w:rsidP="00435627">
            <w:pPr>
              <w:rPr>
                <w:sz w:val="20"/>
                <w:szCs w:val="20"/>
              </w:rPr>
            </w:pPr>
            <w:r w:rsidRPr="00435627">
              <w:rPr>
                <w:sz w:val="20"/>
                <w:szCs w:val="20"/>
              </w:rPr>
              <w:t>29 (23)</w:t>
            </w:r>
          </w:p>
        </w:tc>
      </w:tr>
      <w:tr w:rsidR="00880FC7" w:rsidRPr="00435627" w14:paraId="29518FE3" w14:textId="77777777" w:rsidTr="00880FC7">
        <w:tc>
          <w:tcPr>
            <w:tcW w:w="4385" w:type="dxa"/>
          </w:tcPr>
          <w:p w14:paraId="7D28F013" w14:textId="51A266C8" w:rsidR="00880FC7" w:rsidRPr="00435627" w:rsidRDefault="00880FC7" w:rsidP="00435627">
            <w:pPr>
              <w:rPr>
                <w:sz w:val="20"/>
                <w:szCs w:val="20"/>
              </w:rPr>
            </w:pPr>
            <w:r w:rsidRPr="00435627">
              <w:rPr>
                <w:sz w:val="20"/>
                <w:szCs w:val="20"/>
              </w:rPr>
              <w:t xml:space="preserve">Dose </w:t>
            </w:r>
            <w:r w:rsidR="00435627">
              <w:rPr>
                <w:sz w:val="20"/>
                <w:szCs w:val="20"/>
              </w:rPr>
              <w:t xml:space="preserve">modification* (reduction and/or </w:t>
            </w:r>
            <w:r w:rsidRPr="00435627">
              <w:rPr>
                <w:sz w:val="20"/>
                <w:szCs w:val="20"/>
              </w:rPr>
              <w:t>interruption) due to TEAEs</w:t>
            </w:r>
          </w:p>
        </w:tc>
        <w:tc>
          <w:tcPr>
            <w:tcW w:w="2126" w:type="dxa"/>
          </w:tcPr>
          <w:p w14:paraId="268F1000" w14:textId="77777777" w:rsidR="00880FC7" w:rsidRPr="00435627" w:rsidRDefault="00880FC7" w:rsidP="00435627">
            <w:pPr>
              <w:rPr>
                <w:sz w:val="20"/>
                <w:szCs w:val="20"/>
              </w:rPr>
            </w:pPr>
            <w:r w:rsidRPr="00435627">
              <w:rPr>
                <w:sz w:val="20"/>
                <w:szCs w:val="20"/>
              </w:rPr>
              <w:t>190 (66)</w:t>
            </w:r>
          </w:p>
        </w:tc>
        <w:tc>
          <w:tcPr>
            <w:tcW w:w="1973" w:type="dxa"/>
          </w:tcPr>
          <w:p w14:paraId="596596A8" w14:textId="77777777" w:rsidR="00880FC7" w:rsidRPr="00435627" w:rsidRDefault="00880FC7" w:rsidP="00435627">
            <w:pPr>
              <w:rPr>
                <w:sz w:val="20"/>
                <w:szCs w:val="20"/>
              </w:rPr>
            </w:pPr>
            <w:r w:rsidRPr="00435627">
              <w:rPr>
                <w:sz w:val="20"/>
                <w:szCs w:val="20"/>
              </w:rPr>
              <w:t>75 (60)</w:t>
            </w:r>
          </w:p>
        </w:tc>
      </w:tr>
    </w:tbl>
    <w:p w14:paraId="3909BDAC" w14:textId="065D5AB1" w:rsidR="00880FC7" w:rsidRDefault="0044358C" w:rsidP="00B3497A">
      <w:pPr>
        <w:pStyle w:val="TableDescription"/>
      </w:pPr>
      <w:r>
        <w:t>Source: FDA safety analysis</w:t>
      </w:r>
      <w:r w:rsidRPr="0067037A">
        <w:t xml:space="preserve"> </w:t>
      </w:r>
      <w:r>
        <w:t xml:space="preserve">based on EMBRACA </w:t>
      </w:r>
      <w:proofErr w:type="spellStart"/>
      <w:r>
        <w:t>adae.xpt</w:t>
      </w:r>
      <w:proofErr w:type="spellEnd"/>
      <w:r>
        <w:t xml:space="preserve"> and </w:t>
      </w:r>
      <w:proofErr w:type="spellStart"/>
      <w:r>
        <w:t>adsl.xpt</w:t>
      </w:r>
      <w:proofErr w:type="spellEnd"/>
      <w:r>
        <w:t xml:space="preserve"> datasets, and CSR for EMBRACA submitted to TGA, dated 15 March 2018. </w:t>
      </w:r>
      <w:r w:rsidR="00880FC7">
        <w:t xml:space="preserve">* Dose modifications </w:t>
      </w:r>
      <w:proofErr w:type="gramStart"/>
      <w:r w:rsidR="00880FC7">
        <w:t>are defined</w:t>
      </w:r>
      <w:proofErr w:type="gramEnd"/>
      <w:r w:rsidR="00880FC7">
        <w:t xml:space="preserve"> as a dose reduction or dosing interruption. Dose reductions </w:t>
      </w:r>
      <w:proofErr w:type="gramStart"/>
      <w:r w:rsidR="00880FC7">
        <w:t>are defined</w:t>
      </w:r>
      <w:proofErr w:type="gramEnd"/>
      <w:r w:rsidR="00880FC7">
        <w:t xml:space="preserve"> as any reduction of planned dosage. Dosing interruptions for </w:t>
      </w:r>
      <w:proofErr w:type="spellStart"/>
      <w:r w:rsidR="00880FC7">
        <w:t>talazoparib</w:t>
      </w:r>
      <w:proofErr w:type="spellEnd"/>
      <w:r w:rsidR="00880FC7">
        <w:t xml:space="preserve"> </w:t>
      </w:r>
      <w:proofErr w:type="gramStart"/>
      <w:r w:rsidR="00880FC7">
        <w:t>are defined as doses skipped due to AE but resumed per investigator judgement</w:t>
      </w:r>
      <w:proofErr w:type="gramEnd"/>
      <w:r w:rsidR="00B3497A">
        <w:t>. SAE = serious adverse event. TEAE = treatment emergent adverse event.</w:t>
      </w:r>
    </w:p>
    <w:p w14:paraId="54344956" w14:textId="7EA8AA46" w:rsidR="00B3497A" w:rsidRDefault="00880FC7" w:rsidP="00B3497A">
      <w:pPr>
        <w:pStyle w:val="Heading6"/>
      </w:pPr>
      <w:r>
        <w:t>Death</w:t>
      </w:r>
      <w:r w:rsidR="00B3497A">
        <w:t>s</w:t>
      </w:r>
    </w:p>
    <w:p w14:paraId="27993691" w14:textId="41DA380B" w:rsidR="00B3497A" w:rsidRPr="00B3497A" w:rsidRDefault="00B3497A" w:rsidP="00B3497A">
      <w:r>
        <w:t>Death</w:t>
      </w:r>
      <w:r w:rsidR="0044358C">
        <w:t>s</w:t>
      </w:r>
      <w:r>
        <w:t xml:space="preserve"> in the EMBRACA trial </w:t>
      </w:r>
      <w:proofErr w:type="gramStart"/>
      <w:r>
        <w:t>are shown</w:t>
      </w:r>
      <w:proofErr w:type="gramEnd"/>
      <w:r>
        <w:t xml:space="preserve"> in </w:t>
      </w:r>
      <w:r>
        <w:fldChar w:fldCharType="begin"/>
      </w:r>
      <w:r>
        <w:instrText xml:space="preserve"> REF _Ref31200906 \h </w:instrText>
      </w:r>
      <w:r>
        <w:fldChar w:fldCharType="separate"/>
      </w:r>
      <w:r>
        <w:t xml:space="preserve">Table </w:t>
      </w:r>
      <w:r>
        <w:rPr>
          <w:noProof/>
        </w:rPr>
        <w:t>9</w:t>
      </w:r>
      <w:r>
        <w:fldChar w:fldCharType="end"/>
      </w:r>
      <w:r>
        <w:t>.</w:t>
      </w:r>
    </w:p>
    <w:p w14:paraId="313219C3" w14:textId="6662CD21" w:rsidR="00880FC7" w:rsidRDefault="00880FC7" w:rsidP="00CB6831">
      <w:pPr>
        <w:pStyle w:val="TableTitle"/>
      </w:pPr>
      <w:bookmarkStart w:id="48" w:name="_Ref31200906"/>
      <w:r>
        <w:t xml:space="preserve">Table </w:t>
      </w:r>
      <w:fldSimple w:instr=" SEQ Table \* ARABIC ">
        <w:r w:rsidR="00B3497A">
          <w:rPr>
            <w:noProof/>
          </w:rPr>
          <w:t>9</w:t>
        </w:r>
      </w:fldSimple>
      <w:bookmarkEnd w:id="48"/>
      <w:r w:rsidR="00B3497A">
        <w:t>:</w:t>
      </w:r>
      <w:r>
        <w:t xml:space="preserve"> Deaths in </w:t>
      </w:r>
      <w:r w:rsidR="001A0280">
        <w:t xml:space="preserve">the </w:t>
      </w:r>
      <w:r>
        <w:t>EMBRACA</w:t>
      </w:r>
      <w:r w:rsidR="001A0280">
        <w:t xml:space="preserve"> trial</w:t>
      </w:r>
      <w:r w:rsidRPr="007D1587">
        <w:t xml:space="preserve"> (</w:t>
      </w:r>
      <w:r w:rsidR="00435627">
        <w:t>data cut-off</w:t>
      </w:r>
      <w:r>
        <w:t xml:space="preserve"> 31 Jan</w:t>
      </w:r>
      <w:r w:rsidR="00435627">
        <w:t>uary</w:t>
      </w:r>
      <w:r>
        <w:t xml:space="preserve"> 2018</w:t>
      </w:r>
      <w:r w:rsidRPr="007D1587">
        <w:t>)</w:t>
      </w:r>
    </w:p>
    <w:tbl>
      <w:tblPr>
        <w:tblStyle w:val="TableTGAblue"/>
        <w:tblW w:w="0" w:type="auto"/>
        <w:tblCellMar>
          <w:left w:w="28" w:type="dxa"/>
          <w:right w:w="28" w:type="dxa"/>
        </w:tblCellMar>
        <w:tblLook w:val="04A0" w:firstRow="1" w:lastRow="0" w:firstColumn="1" w:lastColumn="0" w:noHBand="0" w:noVBand="1"/>
      </w:tblPr>
      <w:tblGrid>
        <w:gridCol w:w="4423"/>
        <w:gridCol w:w="2409"/>
        <w:gridCol w:w="1652"/>
      </w:tblGrid>
      <w:tr w:rsidR="00880FC7" w:rsidRPr="0044358C" w14:paraId="5CDC0772" w14:textId="77777777" w:rsidTr="000D01AA">
        <w:trPr>
          <w:cnfStyle w:val="100000000000" w:firstRow="1" w:lastRow="0" w:firstColumn="0" w:lastColumn="0" w:oddVBand="0" w:evenVBand="0" w:oddHBand="0" w:evenHBand="0" w:firstRowFirstColumn="0" w:firstRowLastColumn="0" w:lastRowFirstColumn="0" w:lastRowLastColumn="0"/>
        </w:trPr>
        <w:tc>
          <w:tcPr>
            <w:tcW w:w="4423" w:type="dxa"/>
          </w:tcPr>
          <w:p w14:paraId="6A132CFF" w14:textId="77777777" w:rsidR="00880FC7" w:rsidRPr="000D01AA" w:rsidRDefault="00880FC7" w:rsidP="000D01AA">
            <w:pPr>
              <w:rPr>
                <w:sz w:val="20"/>
                <w:szCs w:val="20"/>
              </w:rPr>
            </w:pPr>
          </w:p>
        </w:tc>
        <w:tc>
          <w:tcPr>
            <w:tcW w:w="2409" w:type="dxa"/>
          </w:tcPr>
          <w:p w14:paraId="7CB226B2" w14:textId="3012D579" w:rsidR="00880FC7" w:rsidRPr="000D01AA" w:rsidRDefault="00880FC7" w:rsidP="000D01AA">
            <w:pPr>
              <w:rPr>
                <w:sz w:val="20"/>
                <w:szCs w:val="20"/>
              </w:rPr>
            </w:pPr>
            <w:proofErr w:type="spellStart"/>
            <w:r w:rsidRPr="000D01AA">
              <w:rPr>
                <w:sz w:val="20"/>
                <w:szCs w:val="20"/>
              </w:rPr>
              <w:t>Talazoparib</w:t>
            </w:r>
            <w:proofErr w:type="spellEnd"/>
            <w:r w:rsidRPr="000D01AA">
              <w:rPr>
                <w:sz w:val="20"/>
                <w:szCs w:val="20"/>
              </w:rPr>
              <w:t xml:space="preserve"> (n</w:t>
            </w:r>
            <w:r w:rsidR="00B3497A" w:rsidRPr="000D01AA">
              <w:rPr>
                <w:sz w:val="20"/>
                <w:szCs w:val="20"/>
              </w:rPr>
              <w:t xml:space="preserve"> </w:t>
            </w:r>
            <w:r w:rsidRPr="000D01AA">
              <w:rPr>
                <w:sz w:val="20"/>
                <w:szCs w:val="20"/>
              </w:rPr>
              <w:t>=</w:t>
            </w:r>
            <w:r w:rsidR="00B3497A" w:rsidRPr="000D01AA">
              <w:rPr>
                <w:sz w:val="20"/>
                <w:szCs w:val="20"/>
              </w:rPr>
              <w:t xml:space="preserve"> </w:t>
            </w:r>
            <w:r w:rsidRPr="000D01AA">
              <w:rPr>
                <w:sz w:val="20"/>
                <w:szCs w:val="20"/>
              </w:rPr>
              <w:t>286)</w:t>
            </w:r>
          </w:p>
          <w:p w14:paraId="598388BA" w14:textId="77777777" w:rsidR="00880FC7" w:rsidRPr="000D01AA" w:rsidRDefault="00880FC7" w:rsidP="000D01AA">
            <w:pPr>
              <w:rPr>
                <w:sz w:val="20"/>
                <w:szCs w:val="20"/>
              </w:rPr>
            </w:pPr>
            <w:proofErr w:type="gramStart"/>
            <w:r w:rsidRPr="000D01AA">
              <w:rPr>
                <w:sz w:val="20"/>
                <w:szCs w:val="20"/>
              </w:rPr>
              <w:t>n</w:t>
            </w:r>
            <w:proofErr w:type="gramEnd"/>
            <w:r w:rsidRPr="000D01AA">
              <w:rPr>
                <w:sz w:val="20"/>
                <w:szCs w:val="20"/>
              </w:rPr>
              <w:t xml:space="preserve"> (%)</w:t>
            </w:r>
          </w:p>
        </w:tc>
        <w:tc>
          <w:tcPr>
            <w:tcW w:w="1652" w:type="dxa"/>
          </w:tcPr>
          <w:p w14:paraId="26213066" w14:textId="53DA1FDA" w:rsidR="00880FC7" w:rsidRPr="000D01AA" w:rsidRDefault="00880FC7" w:rsidP="000D01AA">
            <w:pPr>
              <w:rPr>
                <w:sz w:val="20"/>
                <w:szCs w:val="20"/>
              </w:rPr>
            </w:pPr>
            <w:r w:rsidRPr="000D01AA">
              <w:rPr>
                <w:sz w:val="20"/>
                <w:szCs w:val="20"/>
              </w:rPr>
              <w:t>PCT (n</w:t>
            </w:r>
            <w:r w:rsidR="00B3497A" w:rsidRPr="000D01AA">
              <w:rPr>
                <w:sz w:val="20"/>
                <w:szCs w:val="20"/>
              </w:rPr>
              <w:t xml:space="preserve"> </w:t>
            </w:r>
            <w:r w:rsidRPr="000D01AA">
              <w:rPr>
                <w:sz w:val="20"/>
                <w:szCs w:val="20"/>
              </w:rPr>
              <w:t>=</w:t>
            </w:r>
            <w:r w:rsidR="00B3497A" w:rsidRPr="000D01AA">
              <w:rPr>
                <w:sz w:val="20"/>
                <w:szCs w:val="20"/>
              </w:rPr>
              <w:t xml:space="preserve"> </w:t>
            </w:r>
            <w:r w:rsidRPr="000D01AA">
              <w:rPr>
                <w:sz w:val="20"/>
                <w:szCs w:val="20"/>
              </w:rPr>
              <w:t>126)</w:t>
            </w:r>
          </w:p>
          <w:p w14:paraId="624A70F3" w14:textId="77777777" w:rsidR="00880FC7" w:rsidRPr="000D01AA" w:rsidRDefault="00880FC7" w:rsidP="000D01AA">
            <w:pPr>
              <w:rPr>
                <w:sz w:val="20"/>
                <w:szCs w:val="20"/>
              </w:rPr>
            </w:pPr>
            <w:proofErr w:type="gramStart"/>
            <w:r w:rsidRPr="000D01AA">
              <w:rPr>
                <w:sz w:val="20"/>
                <w:szCs w:val="20"/>
              </w:rPr>
              <w:t>n</w:t>
            </w:r>
            <w:proofErr w:type="gramEnd"/>
            <w:r w:rsidRPr="000D01AA">
              <w:rPr>
                <w:sz w:val="20"/>
                <w:szCs w:val="20"/>
              </w:rPr>
              <w:t xml:space="preserve"> (%)</w:t>
            </w:r>
          </w:p>
        </w:tc>
      </w:tr>
      <w:tr w:rsidR="00880FC7" w:rsidRPr="0044358C" w14:paraId="7FF7C82D" w14:textId="77777777" w:rsidTr="000D01AA">
        <w:tc>
          <w:tcPr>
            <w:tcW w:w="4423" w:type="dxa"/>
          </w:tcPr>
          <w:p w14:paraId="00169335" w14:textId="535792E9" w:rsidR="00880FC7" w:rsidRPr="000D01AA" w:rsidRDefault="00880FC7" w:rsidP="000D01AA">
            <w:pPr>
              <w:rPr>
                <w:sz w:val="20"/>
                <w:szCs w:val="20"/>
              </w:rPr>
            </w:pPr>
            <w:r w:rsidRPr="000D01AA">
              <w:rPr>
                <w:sz w:val="20"/>
                <w:szCs w:val="20"/>
                <w:lang w:val="en-US"/>
              </w:rPr>
              <w:t>Total deaths, n</w:t>
            </w:r>
            <w:r w:rsidR="00B3497A" w:rsidRPr="000D01AA">
              <w:rPr>
                <w:sz w:val="20"/>
                <w:szCs w:val="20"/>
                <w:lang w:val="en-US"/>
              </w:rPr>
              <w:t xml:space="preserve"> </w:t>
            </w:r>
            <w:r w:rsidRPr="000D01AA">
              <w:rPr>
                <w:sz w:val="20"/>
                <w:szCs w:val="20"/>
                <w:lang w:val="en-US"/>
              </w:rPr>
              <w:t>(%)</w:t>
            </w:r>
          </w:p>
        </w:tc>
        <w:tc>
          <w:tcPr>
            <w:tcW w:w="2409" w:type="dxa"/>
          </w:tcPr>
          <w:p w14:paraId="7D1A1637" w14:textId="77777777" w:rsidR="00880FC7" w:rsidRPr="000D01AA" w:rsidRDefault="00880FC7" w:rsidP="000D01AA">
            <w:pPr>
              <w:rPr>
                <w:sz w:val="20"/>
                <w:szCs w:val="20"/>
              </w:rPr>
            </w:pPr>
            <w:r w:rsidRPr="000D01AA">
              <w:rPr>
                <w:sz w:val="20"/>
                <w:szCs w:val="20"/>
                <w:lang w:val="en-US"/>
              </w:rPr>
              <w:t>143 (50)</w:t>
            </w:r>
          </w:p>
        </w:tc>
        <w:tc>
          <w:tcPr>
            <w:tcW w:w="1652" w:type="dxa"/>
          </w:tcPr>
          <w:p w14:paraId="6CD34480" w14:textId="77777777" w:rsidR="00880FC7" w:rsidRPr="000D01AA" w:rsidRDefault="00880FC7" w:rsidP="000D01AA">
            <w:pPr>
              <w:rPr>
                <w:sz w:val="20"/>
                <w:szCs w:val="20"/>
              </w:rPr>
            </w:pPr>
            <w:r w:rsidRPr="000D01AA">
              <w:rPr>
                <w:sz w:val="20"/>
                <w:szCs w:val="20"/>
                <w:lang w:val="en-US"/>
              </w:rPr>
              <w:t>61 (48)</w:t>
            </w:r>
          </w:p>
        </w:tc>
      </w:tr>
      <w:tr w:rsidR="00880FC7" w:rsidRPr="0044358C" w14:paraId="2D93B91F" w14:textId="77777777" w:rsidTr="000D01AA">
        <w:tc>
          <w:tcPr>
            <w:tcW w:w="4423" w:type="dxa"/>
          </w:tcPr>
          <w:p w14:paraId="5FC752EB" w14:textId="1009B860" w:rsidR="00880FC7" w:rsidRPr="000D01AA" w:rsidRDefault="00880FC7" w:rsidP="000D01AA">
            <w:pPr>
              <w:rPr>
                <w:sz w:val="20"/>
                <w:szCs w:val="20"/>
              </w:rPr>
            </w:pPr>
            <w:r w:rsidRPr="000D01AA">
              <w:rPr>
                <w:sz w:val="20"/>
                <w:szCs w:val="20"/>
                <w:lang w:val="en-US"/>
              </w:rPr>
              <w:t>Deaths &lt;</w:t>
            </w:r>
            <w:r w:rsidR="00B3497A" w:rsidRPr="000D01AA">
              <w:rPr>
                <w:sz w:val="20"/>
                <w:szCs w:val="20"/>
                <w:lang w:val="en-US"/>
              </w:rPr>
              <w:t xml:space="preserve"> </w:t>
            </w:r>
            <w:r w:rsidRPr="000D01AA">
              <w:rPr>
                <w:sz w:val="20"/>
                <w:szCs w:val="20"/>
                <w:lang w:val="en-US"/>
              </w:rPr>
              <w:t>30 days after last treatment dose, n</w:t>
            </w:r>
            <w:r w:rsidR="00B3497A" w:rsidRPr="000D01AA">
              <w:rPr>
                <w:sz w:val="20"/>
                <w:szCs w:val="20"/>
                <w:lang w:val="en-US"/>
              </w:rPr>
              <w:t xml:space="preserve"> </w:t>
            </w:r>
            <w:r w:rsidRPr="000D01AA">
              <w:rPr>
                <w:sz w:val="20"/>
                <w:szCs w:val="20"/>
                <w:lang w:val="en-US"/>
              </w:rPr>
              <w:t>(%)</w:t>
            </w:r>
          </w:p>
        </w:tc>
        <w:tc>
          <w:tcPr>
            <w:tcW w:w="2409" w:type="dxa"/>
          </w:tcPr>
          <w:p w14:paraId="7CC4E2D9" w14:textId="77777777" w:rsidR="00880FC7" w:rsidRPr="000D01AA" w:rsidRDefault="00880FC7" w:rsidP="000D01AA">
            <w:pPr>
              <w:rPr>
                <w:sz w:val="20"/>
                <w:szCs w:val="20"/>
              </w:rPr>
            </w:pPr>
            <w:r w:rsidRPr="000D01AA">
              <w:rPr>
                <w:sz w:val="20"/>
                <w:szCs w:val="20"/>
                <w:lang w:val="en-US"/>
              </w:rPr>
              <w:t>10 (4)</w:t>
            </w:r>
          </w:p>
        </w:tc>
        <w:tc>
          <w:tcPr>
            <w:tcW w:w="1652" w:type="dxa"/>
          </w:tcPr>
          <w:p w14:paraId="283FAB19" w14:textId="77777777" w:rsidR="00880FC7" w:rsidRPr="000D01AA" w:rsidRDefault="00880FC7" w:rsidP="000D01AA">
            <w:pPr>
              <w:rPr>
                <w:sz w:val="20"/>
                <w:szCs w:val="20"/>
              </w:rPr>
            </w:pPr>
            <w:r w:rsidRPr="000D01AA">
              <w:rPr>
                <w:sz w:val="20"/>
                <w:szCs w:val="20"/>
                <w:lang w:val="en-US"/>
              </w:rPr>
              <w:t>5 (4)</w:t>
            </w:r>
          </w:p>
        </w:tc>
      </w:tr>
      <w:tr w:rsidR="00880FC7" w:rsidRPr="0044358C" w14:paraId="427AE046" w14:textId="77777777" w:rsidTr="000D01AA">
        <w:tc>
          <w:tcPr>
            <w:tcW w:w="4423" w:type="dxa"/>
          </w:tcPr>
          <w:p w14:paraId="1731A857" w14:textId="0230F2D6" w:rsidR="00880FC7" w:rsidRPr="000D01AA" w:rsidRDefault="00880FC7" w:rsidP="000D01AA">
            <w:pPr>
              <w:rPr>
                <w:i/>
                <w:sz w:val="20"/>
                <w:szCs w:val="20"/>
              </w:rPr>
            </w:pPr>
            <w:r w:rsidRPr="000D01AA">
              <w:rPr>
                <w:i/>
                <w:sz w:val="20"/>
                <w:szCs w:val="20"/>
                <w:lang w:val="en-US"/>
              </w:rPr>
              <w:t>Disease progression, n</w:t>
            </w:r>
            <w:r w:rsidR="00B3497A" w:rsidRPr="000D01AA">
              <w:rPr>
                <w:i/>
                <w:sz w:val="20"/>
                <w:szCs w:val="20"/>
                <w:lang w:val="en-US"/>
              </w:rPr>
              <w:t xml:space="preserve"> </w:t>
            </w:r>
            <w:r w:rsidRPr="000D01AA">
              <w:rPr>
                <w:i/>
                <w:sz w:val="20"/>
                <w:szCs w:val="20"/>
                <w:lang w:val="en-US"/>
              </w:rPr>
              <w:t>(%)</w:t>
            </w:r>
          </w:p>
        </w:tc>
        <w:tc>
          <w:tcPr>
            <w:tcW w:w="2409" w:type="dxa"/>
          </w:tcPr>
          <w:p w14:paraId="6713CF6B" w14:textId="77777777" w:rsidR="00880FC7" w:rsidRPr="000D01AA" w:rsidRDefault="00880FC7" w:rsidP="000D01AA">
            <w:pPr>
              <w:rPr>
                <w:sz w:val="20"/>
                <w:szCs w:val="20"/>
              </w:rPr>
            </w:pPr>
            <w:r w:rsidRPr="000D01AA">
              <w:rPr>
                <w:sz w:val="20"/>
                <w:szCs w:val="20"/>
                <w:lang w:val="en-US"/>
              </w:rPr>
              <w:t>7 (2)</w:t>
            </w:r>
          </w:p>
        </w:tc>
        <w:tc>
          <w:tcPr>
            <w:tcW w:w="1652" w:type="dxa"/>
          </w:tcPr>
          <w:p w14:paraId="7E093673" w14:textId="77777777" w:rsidR="00880FC7" w:rsidRPr="000D01AA" w:rsidRDefault="00880FC7" w:rsidP="000D01AA">
            <w:pPr>
              <w:rPr>
                <w:sz w:val="20"/>
                <w:szCs w:val="20"/>
              </w:rPr>
            </w:pPr>
            <w:r w:rsidRPr="000D01AA">
              <w:rPr>
                <w:sz w:val="20"/>
                <w:szCs w:val="20"/>
                <w:lang w:val="en-US"/>
              </w:rPr>
              <w:t>4 (3)</w:t>
            </w:r>
          </w:p>
        </w:tc>
      </w:tr>
      <w:tr w:rsidR="00880FC7" w:rsidRPr="0044358C" w14:paraId="494CFCA1" w14:textId="77777777" w:rsidTr="000D01AA">
        <w:tc>
          <w:tcPr>
            <w:tcW w:w="4423" w:type="dxa"/>
          </w:tcPr>
          <w:p w14:paraId="7EFAB910" w14:textId="576053AF" w:rsidR="00880FC7" w:rsidRPr="000D01AA" w:rsidRDefault="00880FC7" w:rsidP="000D01AA">
            <w:pPr>
              <w:rPr>
                <w:i/>
                <w:sz w:val="20"/>
                <w:szCs w:val="20"/>
              </w:rPr>
            </w:pPr>
            <w:r w:rsidRPr="000D01AA">
              <w:rPr>
                <w:i/>
                <w:sz w:val="20"/>
                <w:szCs w:val="20"/>
                <w:lang w:val="en-US"/>
              </w:rPr>
              <w:t xml:space="preserve">Cerebral </w:t>
            </w:r>
            <w:proofErr w:type="spellStart"/>
            <w:proofErr w:type="gramStart"/>
            <w:r w:rsidRPr="000D01AA">
              <w:rPr>
                <w:i/>
                <w:sz w:val="20"/>
                <w:szCs w:val="20"/>
                <w:lang w:val="en-US"/>
              </w:rPr>
              <w:t>haemorrhage</w:t>
            </w:r>
            <w:proofErr w:type="spellEnd"/>
            <w:r w:rsidRPr="000D01AA">
              <w:rPr>
                <w:i/>
                <w:sz w:val="20"/>
                <w:szCs w:val="20"/>
                <w:lang w:val="en-US"/>
              </w:rPr>
              <w:t xml:space="preserve"> ,</w:t>
            </w:r>
            <w:proofErr w:type="gramEnd"/>
            <w:r w:rsidRPr="000D01AA">
              <w:rPr>
                <w:i/>
                <w:sz w:val="20"/>
                <w:szCs w:val="20"/>
                <w:lang w:val="en-US"/>
              </w:rPr>
              <w:t xml:space="preserve"> n</w:t>
            </w:r>
            <w:r w:rsidR="00B3497A" w:rsidRPr="000D01AA">
              <w:rPr>
                <w:i/>
                <w:sz w:val="20"/>
                <w:szCs w:val="20"/>
                <w:lang w:val="en-US"/>
              </w:rPr>
              <w:t xml:space="preserve"> </w:t>
            </w:r>
            <w:r w:rsidRPr="000D01AA">
              <w:rPr>
                <w:i/>
                <w:sz w:val="20"/>
                <w:szCs w:val="20"/>
                <w:lang w:val="en-US"/>
              </w:rPr>
              <w:t>(%)</w:t>
            </w:r>
          </w:p>
        </w:tc>
        <w:tc>
          <w:tcPr>
            <w:tcW w:w="2409" w:type="dxa"/>
          </w:tcPr>
          <w:p w14:paraId="739AA0A2" w14:textId="45B4D1C3" w:rsidR="00880FC7" w:rsidRPr="000D01AA" w:rsidRDefault="00880FC7" w:rsidP="000D01AA">
            <w:pPr>
              <w:rPr>
                <w:sz w:val="20"/>
                <w:szCs w:val="20"/>
              </w:rPr>
            </w:pPr>
            <w:r w:rsidRPr="000D01AA">
              <w:rPr>
                <w:sz w:val="20"/>
                <w:szCs w:val="20"/>
                <w:lang w:val="en-US"/>
              </w:rPr>
              <w:t>1 (&lt;</w:t>
            </w:r>
            <w:r w:rsidR="0044358C" w:rsidRPr="000D01AA">
              <w:rPr>
                <w:sz w:val="20"/>
                <w:szCs w:val="20"/>
                <w:lang w:val="en-US"/>
              </w:rPr>
              <w:t xml:space="preserve"> </w:t>
            </w:r>
            <w:r w:rsidRPr="000D01AA">
              <w:rPr>
                <w:sz w:val="20"/>
                <w:szCs w:val="20"/>
                <w:lang w:val="en-US"/>
              </w:rPr>
              <w:t>1)</w:t>
            </w:r>
          </w:p>
        </w:tc>
        <w:tc>
          <w:tcPr>
            <w:tcW w:w="1652" w:type="dxa"/>
          </w:tcPr>
          <w:p w14:paraId="0E115094" w14:textId="77777777" w:rsidR="00880FC7" w:rsidRPr="000D01AA" w:rsidRDefault="00880FC7" w:rsidP="000D01AA">
            <w:pPr>
              <w:rPr>
                <w:sz w:val="20"/>
                <w:szCs w:val="20"/>
              </w:rPr>
            </w:pPr>
            <w:r w:rsidRPr="000D01AA">
              <w:rPr>
                <w:sz w:val="20"/>
                <w:szCs w:val="20"/>
                <w:lang w:val="en-US"/>
              </w:rPr>
              <w:t>0</w:t>
            </w:r>
          </w:p>
        </w:tc>
      </w:tr>
      <w:tr w:rsidR="00880FC7" w:rsidRPr="0044358C" w14:paraId="73751466" w14:textId="77777777" w:rsidTr="000D01AA">
        <w:tc>
          <w:tcPr>
            <w:tcW w:w="4423" w:type="dxa"/>
          </w:tcPr>
          <w:p w14:paraId="2984958A" w14:textId="44090329" w:rsidR="00880FC7" w:rsidRPr="000D01AA" w:rsidRDefault="00880FC7" w:rsidP="000D01AA">
            <w:pPr>
              <w:rPr>
                <w:i/>
                <w:sz w:val="20"/>
                <w:szCs w:val="20"/>
              </w:rPr>
            </w:pPr>
            <w:proofErr w:type="spellStart"/>
            <w:r w:rsidRPr="000D01AA">
              <w:rPr>
                <w:i/>
                <w:sz w:val="20"/>
                <w:szCs w:val="20"/>
                <w:lang w:val="en-US"/>
              </w:rPr>
              <w:t>Veno</w:t>
            </w:r>
            <w:proofErr w:type="spellEnd"/>
            <w:r w:rsidRPr="000D01AA">
              <w:rPr>
                <w:i/>
                <w:sz w:val="20"/>
                <w:szCs w:val="20"/>
                <w:lang w:val="en-US"/>
              </w:rPr>
              <w:t>-occlusive liver disease (VOD), n</w:t>
            </w:r>
            <w:r w:rsidR="00B3497A" w:rsidRPr="000D01AA">
              <w:rPr>
                <w:i/>
                <w:sz w:val="20"/>
                <w:szCs w:val="20"/>
                <w:lang w:val="en-US"/>
              </w:rPr>
              <w:t xml:space="preserve"> </w:t>
            </w:r>
            <w:r w:rsidRPr="000D01AA">
              <w:rPr>
                <w:i/>
                <w:sz w:val="20"/>
                <w:szCs w:val="20"/>
                <w:lang w:val="en-US"/>
              </w:rPr>
              <w:t>(%)</w:t>
            </w:r>
          </w:p>
        </w:tc>
        <w:tc>
          <w:tcPr>
            <w:tcW w:w="2409" w:type="dxa"/>
          </w:tcPr>
          <w:p w14:paraId="5E699BEF" w14:textId="446DBD20" w:rsidR="00880FC7" w:rsidRPr="000D01AA" w:rsidRDefault="00880FC7" w:rsidP="000D01AA">
            <w:pPr>
              <w:rPr>
                <w:sz w:val="20"/>
                <w:szCs w:val="20"/>
              </w:rPr>
            </w:pPr>
            <w:r w:rsidRPr="000D01AA">
              <w:rPr>
                <w:sz w:val="20"/>
                <w:szCs w:val="20"/>
                <w:lang w:val="en-US"/>
              </w:rPr>
              <w:t>1 (&lt;</w:t>
            </w:r>
            <w:r w:rsidR="00B3497A" w:rsidRPr="000D01AA">
              <w:rPr>
                <w:sz w:val="20"/>
                <w:szCs w:val="20"/>
                <w:lang w:val="en-US"/>
              </w:rPr>
              <w:t xml:space="preserve"> </w:t>
            </w:r>
            <w:r w:rsidRPr="000D01AA">
              <w:rPr>
                <w:sz w:val="20"/>
                <w:szCs w:val="20"/>
                <w:lang w:val="en-US"/>
              </w:rPr>
              <w:t>1)*</w:t>
            </w:r>
          </w:p>
        </w:tc>
        <w:tc>
          <w:tcPr>
            <w:tcW w:w="1652" w:type="dxa"/>
          </w:tcPr>
          <w:p w14:paraId="149000A2" w14:textId="77777777" w:rsidR="00880FC7" w:rsidRPr="000D01AA" w:rsidRDefault="00880FC7" w:rsidP="000D01AA">
            <w:pPr>
              <w:rPr>
                <w:sz w:val="20"/>
                <w:szCs w:val="20"/>
              </w:rPr>
            </w:pPr>
            <w:r w:rsidRPr="000D01AA">
              <w:rPr>
                <w:sz w:val="20"/>
                <w:szCs w:val="20"/>
                <w:lang w:val="en-US"/>
              </w:rPr>
              <w:t>0</w:t>
            </w:r>
          </w:p>
        </w:tc>
      </w:tr>
      <w:tr w:rsidR="00880FC7" w:rsidRPr="0044358C" w14:paraId="2740F157" w14:textId="77777777" w:rsidTr="000D01AA">
        <w:tc>
          <w:tcPr>
            <w:tcW w:w="4423" w:type="dxa"/>
          </w:tcPr>
          <w:p w14:paraId="6D9C8D2E" w14:textId="079B6DD5" w:rsidR="00880FC7" w:rsidRPr="000D01AA" w:rsidRDefault="00880FC7" w:rsidP="000D01AA">
            <w:pPr>
              <w:rPr>
                <w:i/>
                <w:sz w:val="20"/>
                <w:szCs w:val="20"/>
              </w:rPr>
            </w:pPr>
            <w:r w:rsidRPr="000D01AA">
              <w:rPr>
                <w:i/>
                <w:sz w:val="20"/>
                <w:szCs w:val="20"/>
                <w:lang w:val="en-US"/>
              </w:rPr>
              <w:t>Worsening neurological symptoms, n</w:t>
            </w:r>
            <w:r w:rsidR="00B3497A" w:rsidRPr="000D01AA">
              <w:rPr>
                <w:i/>
                <w:sz w:val="20"/>
                <w:szCs w:val="20"/>
                <w:lang w:val="en-US"/>
              </w:rPr>
              <w:t xml:space="preserve"> </w:t>
            </w:r>
            <w:r w:rsidRPr="000D01AA">
              <w:rPr>
                <w:i/>
                <w:sz w:val="20"/>
                <w:szCs w:val="20"/>
                <w:lang w:val="en-US"/>
              </w:rPr>
              <w:t>(%)</w:t>
            </w:r>
          </w:p>
        </w:tc>
        <w:tc>
          <w:tcPr>
            <w:tcW w:w="2409" w:type="dxa"/>
          </w:tcPr>
          <w:p w14:paraId="29E10EEE" w14:textId="6C920614" w:rsidR="00880FC7" w:rsidRPr="000D01AA" w:rsidRDefault="00880FC7" w:rsidP="000D01AA">
            <w:pPr>
              <w:rPr>
                <w:sz w:val="20"/>
                <w:szCs w:val="20"/>
              </w:rPr>
            </w:pPr>
            <w:r w:rsidRPr="000D01AA">
              <w:rPr>
                <w:sz w:val="20"/>
                <w:szCs w:val="20"/>
                <w:lang w:val="en-US"/>
              </w:rPr>
              <w:t>1 (&lt;</w:t>
            </w:r>
            <w:r w:rsidR="00B3497A" w:rsidRPr="000D01AA">
              <w:rPr>
                <w:sz w:val="20"/>
                <w:szCs w:val="20"/>
                <w:lang w:val="en-US"/>
              </w:rPr>
              <w:t xml:space="preserve"> </w:t>
            </w:r>
            <w:r w:rsidRPr="000D01AA">
              <w:rPr>
                <w:sz w:val="20"/>
                <w:szCs w:val="20"/>
                <w:lang w:val="en-US"/>
              </w:rPr>
              <w:t>1)</w:t>
            </w:r>
          </w:p>
        </w:tc>
        <w:tc>
          <w:tcPr>
            <w:tcW w:w="1652" w:type="dxa"/>
          </w:tcPr>
          <w:p w14:paraId="3A06859F" w14:textId="77777777" w:rsidR="00880FC7" w:rsidRPr="000D01AA" w:rsidRDefault="00880FC7" w:rsidP="000D01AA">
            <w:pPr>
              <w:rPr>
                <w:sz w:val="20"/>
                <w:szCs w:val="20"/>
              </w:rPr>
            </w:pPr>
            <w:r w:rsidRPr="000D01AA">
              <w:rPr>
                <w:sz w:val="20"/>
                <w:szCs w:val="20"/>
                <w:lang w:val="en-US"/>
              </w:rPr>
              <w:t>0</w:t>
            </w:r>
          </w:p>
        </w:tc>
      </w:tr>
      <w:tr w:rsidR="00880FC7" w:rsidRPr="0044358C" w14:paraId="4DDF4393" w14:textId="77777777" w:rsidTr="000D01AA">
        <w:tc>
          <w:tcPr>
            <w:tcW w:w="4423" w:type="dxa"/>
          </w:tcPr>
          <w:p w14:paraId="01776283" w14:textId="5019185A" w:rsidR="00880FC7" w:rsidRPr="000D01AA" w:rsidRDefault="00880FC7" w:rsidP="000D01AA">
            <w:pPr>
              <w:rPr>
                <w:i/>
                <w:sz w:val="20"/>
                <w:szCs w:val="20"/>
              </w:rPr>
            </w:pPr>
            <w:r w:rsidRPr="000D01AA">
              <w:rPr>
                <w:i/>
                <w:sz w:val="20"/>
                <w:szCs w:val="20"/>
                <w:lang w:val="en-US"/>
              </w:rPr>
              <w:t>Sepsis, n</w:t>
            </w:r>
            <w:r w:rsidR="00B3497A" w:rsidRPr="000D01AA">
              <w:rPr>
                <w:i/>
                <w:sz w:val="20"/>
                <w:szCs w:val="20"/>
                <w:lang w:val="en-US"/>
              </w:rPr>
              <w:t xml:space="preserve"> </w:t>
            </w:r>
            <w:r w:rsidRPr="000D01AA">
              <w:rPr>
                <w:i/>
                <w:sz w:val="20"/>
                <w:szCs w:val="20"/>
                <w:lang w:val="en-US"/>
              </w:rPr>
              <w:t>(%)</w:t>
            </w:r>
          </w:p>
        </w:tc>
        <w:tc>
          <w:tcPr>
            <w:tcW w:w="2409" w:type="dxa"/>
          </w:tcPr>
          <w:p w14:paraId="5C0AEF24" w14:textId="77777777" w:rsidR="00880FC7" w:rsidRPr="000D01AA" w:rsidRDefault="00880FC7" w:rsidP="000D01AA">
            <w:pPr>
              <w:rPr>
                <w:sz w:val="20"/>
                <w:szCs w:val="20"/>
              </w:rPr>
            </w:pPr>
            <w:r w:rsidRPr="000D01AA">
              <w:rPr>
                <w:sz w:val="20"/>
                <w:szCs w:val="20"/>
                <w:lang w:val="en-US"/>
              </w:rPr>
              <w:t>0</w:t>
            </w:r>
          </w:p>
        </w:tc>
        <w:tc>
          <w:tcPr>
            <w:tcW w:w="1652" w:type="dxa"/>
          </w:tcPr>
          <w:p w14:paraId="2A8510B9" w14:textId="77777777" w:rsidR="00880FC7" w:rsidRPr="000D01AA" w:rsidRDefault="00880FC7" w:rsidP="000D01AA">
            <w:pPr>
              <w:rPr>
                <w:sz w:val="20"/>
                <w:szCs w:val="20"/>
              </w:rPr>
            </w:pPr>
            <w:r w:rsidRPr="000D01AA">
              <w:rPr>
                <w:sz w:val="20"/>
                <w:szCs w:val="20"/>
                <w:lang w:val="en-US"/>
              </w:rPr>
              <w:t>1 (1)**</w:t>
            </w:r>
          </w:p>
        </w:tc>
      </w:tr>
      <w:tr w:rsidR="00880FC7" w:rsidRPr="0044358C" w14:paraId="3C2CA884" w14:textId="77777777" w:rsidTr="000D01AA">
        <w:tc>
          <w:tcPr>
            <w:tcW w:w="4423" w:type="dxa"/>
          </w:tcPr>
          <w:p w14:paraId="09304B5A" w14:textId="5998B8B9" w:rsidR="00880FC7" w:rsidRPr="000D01AA" w:rsidRDefault="00880FC7" w:rsidP="000D01AA">
            <w:pPr>
              <w:rPr>
                <w:sz w:val="20"/>
                <w:szCs w:val="20"/>
                <w:lang w:val="en-US"/>
              </w:rPr>
            </w:pPr>
            <w:r w:rsidRPr="000D01AA">
              <w:rPr>
                <w:sz w:val="20"/>
                <w:szCs w:val="20"/>
                <w:lang w:val="en-US"/>
              </w:rPr>
              <w:t>Deaths (&gt;</w:t>
            </w:r>
            <w:r w:rsidR="00B3497A" w:rsidRPr="000D01AA">
              <w:rPr>
                <w:sz w:val="20"/>
                <w:szCs w:val="20"/>
                <w:lang w:val="en-US"/>
              </w:rPr>
              <w:t xml:space="preserve"> </w:t>
            </w:r>
            <w:r w:rsidRPr="000D01AA">
              <w:rPr>
                <w:sz w:val="20"/>
                <w:szCs w:val="20"/>
                <w:lang w:val="en-US"/>
              </w:rPr>
              <w:t>30 days after last treatment dose)</w:t>
            </w:r>
          </w:p>
        </w:tc>
        <w:tc>
          <w:tcPr>
            <w:tcW w:w="2409" w:type="dxa"/>
          </w:tcPr>
          <w:p w14:paraId="1CC77338" w14:textId="77777777" w:rsidR="00880FC7" w:rsidRPr="000D01AA" w:rsidRDefault="00880FC7" w:rsidP="000D01AA">
            <w:pPr>
              <w:rPr>
                <w:sz w:val="20"/>
                <w:szCs w:val="20"/>
                <w:lang w:val="en-US"/>
              </w:rPr>
            </w:pPr>
            <w:r w:rsidRPr="000D01AA">
              <w:rPr>
                <w:sz w:val="20"/>
                <w:szCs w:val="20"/>
                <w:lang w:val="en-US"/>
              </w:rPr>
              <w:t>133 (47)</w:t>
            </w:r>
          </w:p>
        </w:tc>
        <w:tc>
          <w:tcPr>
            <w:tcW w:w="1652" w:type="dxa"/>
          </w:tcPr>
          <w:p w14:paraId="2A9BF5AD" w14:textId="77777777" w:rsidR="00880FC7" w:rsidRPr="000D01AA" w:rsidRDefault="00880FC7" w:rsidP="000D01AA">
            <w:pPr>
              <w:rPr>
                <w:sz w:val="20"/>
                <w:szCs w:val="20"/>
                <w:lang w:val="en-US"/>
              </w:rPr>
            </w:pPr>
            <w:r w:rsidRPr="000D01AA">
              <w:rPr>
                <w:sz w:val="20"/>
                <w:szCs w:val="20"/>
                <w:lang w:val="en-US"/>
              </w:rPr>
              <w:t>56 (44)</w:t>
            </w:r>
          </w:p>
        </w:tc>
      </w:tr>
    </w:tbl>
    <w:p w14:paraId="1849B269" w14:textId="1025A8C6" w:rsidR="00880FC7" w:rsidRDefault="0044358C" w:rsidP="00B3497A">
      <w:pPr>
        <w:pStyle w:val="TableDescription"/>
      </w:pPr>
      <w:r>
        <w:lastRenderedPageBreak/>
        <w:t>Source: FDA safety analysis</w:t>
      </w:r>
      <w:r w:rsidRPr="0067037A">
        <w:t xml:space="preserve"> </w:t>
      </w:r>
      <w:r>
        <w:t xml:space="preserve">based on EMBRACA </w:t>
      </w:r>
      <w:proofErr w:type="spellStart"/>
      <w:r>
        <w:t>adae.xpt</w:t>
      </w:r>
      <w:proofErr w:type="spellEnd"/>
      <w:r>
        <w:t xml:space="preserve"> and </w:t>
      </w:r>
      <w:proofErr w:type="spellStart"/>
      <w:r>
        <w:t>adsl.xpt</w:t>
      </w:r>
      <w:proofErr w:type="spellEnd"/>
      <w:r>
        <w:t xml:space="preserve"> datasets. </w:t>
      </w:r>
      <w:proofErr w:type="gramStart"/>
      <w:r w:rsidR="00880FC7">
        <w:t>*This case was considered more likely to be due to disease progression th</w:t>
      </w:r>
      <w:r w:rsidR="00B3497A">
        <w:t>an VOD by the clinical reviewer</w:t>
      </w:r>
      <w:proofErr w:type="gramEnd"/>
      <w:r w:rsidR="00B3497A">
        <w:t xml:space="preserve">. </w:t>
      </w:r>
      <w:r w:rsidR="00880FC7">
        <w:t>**Considered likely treatment-related by the clinical reviewer</w:t>
      </w:r>
    </w:p>
    <w:p w14:paraId="5E4E338B" w14:textId="1312F9D2" w:rsidR="00880FC7" w:rsidRDefault="00CB6831" w:rsidP="00880FC7">
      <w:pPr>
        <w:pStyle w:val="Heading6"/>
      </w:pPr>
      <w:r>
        <w:t>Serious adverse events</w:t>
      </w:r>
    </w:p>
    <w:p w14:paraId="791C4DAF" w14:textId="6FC3A62F" w:rsidR="00880FC7" w:rsidRPr="0029571D" w:rsidRDefault="00880FC7" w:rsidP="00CB6831">
      <w:r>
        <w:t>Rates of SAEs were similar between arms</w:t>
      </w:r>
      <w:r w:rsidR="00B3497A">
        <w:t xml:space="preserve"> (</w:t>
      </w:r>
      <w:r w:rsidR="00B3497A">
        <w:fldChar w:fldCharType="begin"/>
      </w:r>
      <w:r w:rsidR="00B3497A">
        <w:instrText xml:space="preserve"> REF _Ref31200970 \h </w:instrText>
      </w:r>
      <w:r w:rsidR="00B3497A">
        <w:fldChar w:fldCharType="separate"/>
      </w:r>
      <w:r w:rsidR="00B3497A">
        <w:t xml:space="preserve">Table </w:t>
      </w:r>
      <w:r w:rsidR="00B3497A">
        <w:rPr>
          <w:noProof/>
        </w:rPr>
        <w:t>10</w:t>
      </w:r>
      <w:r w:rsidR="00B3497A">
        <w:fldChar w:fldCharType="end"/>
      </w:r>
      <w:r w:rsidR="00B3497A">
        <w:t>)</w:t>
      </w:r>
      <w:r>
        <w:t xml:space="preserve">, and the types of SAEs in the </w:t>
      </w:r>
      <w:proofErr w:type="spellStart"/>
      <w:r>
        <w:t>talazoparib</w:t>
      </w:r>
      <w:proofErr w:type="spellEnd"/>
      <w:r>
        <w:t xml:space="preserve"> arm were consistent with events that </w:t>
      </w:r>
      <w:proofErr w:type="gramStart"/>
      <w:r>
        <w:t>might be expected</w:t>
      </w:r>
      <w:proofErr w:type="gramEnd"/>
      <w:r>
        <w:t xml:space="preserve"> given the known safety profile of other PARP inhibitors and the studied indication.</w:t>
      </w:r>
    </w:p>
    <w:p w14:paraId="4DDD2BE2" w14:textId="620C6CFF" w:rsidR="00880FC7" w:rsidRDefault="00880FC7" w:rsidP="00CB6831">
      <w:pPr>
        <w:pStyle w:val="TableTitle"/>
      </w:pPr>
      <w:bookmarkStart w:id="49" w:name="_Ref31200970"/>
      <w:r>
        <w:t xml:space="preserve">Table </w:t>
      </w:r>
      <w:fldSimple w:instr=" SEQ Table \* ARABIC ">
        <w:r w:rsidR="00B3497A">
          <w:rPr>
            <w:noProof/>
          </w:rPr>
          <w:t>10</w:t>
        </w:r>
      </w:fldSimple>
      <w:bookmarkEnd w:id="49"/>
      <w:r w:rsidR="00B3497A">
        <w:t>: Serious adverse events</w:t>
      </w:r>
      <w:r>
        <w:t xml:space="preserve"> that occurred in at least </w:t>
      </w:r>
      <w:proofErr w:type="gramStart"/>
      <w:r>
        <w:t>2</w:t>
      </w:r>
      <w:proofErr w:type="gramEnd"/>
      <w:r>
        <w:t xml:space="preserve"> patien</w:t>
      </w:r>
      <w:r w:rsidR="00B3497A">
        <w:t xml:space="preserve">ts in either arm in </w:t>
      </w:r>
      <w:r w:rsidR="001A0280">
        <w:t xml:space="preserve">the </w:t>
      </w:r>
      <w:r w:rsidR="00B3497A">
        <w:t xml:space="preserve">EMBRACA </w:t>
      </w:r>
      <w:r w:rsidR="001A0280">
        <w:t xml:space="preserve">trial </w:t>
      </w:r>
      <w:r w:rsidR="00B3497A">
        <w:t>(data cut-off</w:t>
      </w:r>
      <w:r>
        <w:t xml:space="preserve"> 15 Sep</w:t>
      </w:r>
      <w:r w:rsidR="00B3497A">
        <w:t>tember</w:t>
      </w:r>
      <w:r>
        <w:t xml:space="preserve"> 2017)</w:t>
      </w:r>
    </w:p>
    <w:tbl>
      <w:tblPr>
        <w:tblStyle w:val="TableTGAblue"/>
        <w:tblW w:w="8495" w:type="dxa"/>
        <w:tblCellMar>
          <w:left w:w="28" w:type="dxa"/>
          <w:right w:w="28" w:type="dxa"/>
        </w:tblCellMar>
        <w:tblLook w:val="04A0" w:firstRow="1" w:lastRow="0" w:firstColumn="1" w:lastColumn="0" w:noHBand="0" w:noVBand="1"/>
      </w:tblPr>
      <w:tblGrid>
        <w:gridCol w:w="3676"/>
        <w:gridCol w:w="2731"/>
        <w:gridCol w:w="2088"/>
      </w:tblGrid>
      <w:tr w:rsidR="00880FC7" w:rsidRPr="00B3497A" w14:paraId="70494C43" w14:textId="77777777" w:rsidTr="00735C26">
        <w:trPr>
          <w:cnfStyle w:val="100000000000" w:firstRow="1" w:lastRow="0" w:firstColumn="0" w:lastColumn="0" w:oddVBand="0" w:evenVBand="0" w:oddHBand="0" w:evenHBand="0" w:firstRowFirstColumn="0" w:firstRowLastColumn="0" w:lastRowFirstColumn="0" w:lastRowLastColumn="0"/>
        </w:trPr>
        <w:tc>
          <w:tcPr>
            <w:tcW w:w="3676" w:type="dxa"/>
          </w:tcPr>
          <w:p w14:paraId="38E959F0" w14:textId="77777777" w:rsidR="00880FC7" w:rsidRPr="00735C26" w:rsidRDefault="00880FC7" w:rsidP="00735C26">
            <w:pPr>
              <w:rPr>
                <w:sz w:val="20"/>
                <w:szCs w:val="20"/>
              </w:rPr>
            </w:pPr>
          </w:p>
        </w:tc>
        <w:tc>
          <w:tcPr>
            <w:tcW w:w="2731" w:type="dxa"/>
          </w:tcPr>
          <w:p w14:paraId="6B2C280C" w14:textId="74E556E3" w:rsidR="00880FC7" w:rsidRPr="00735C26" w:rsidRDefault="00880FC7" w:rsidP="00735C26">
            <w:pPr>
              <w:rPr>
                <w:sz w:val="20"/>
                <w:szCs w:val="20"/>
              </w:rPr>
            </w:pPr>
            <w:proofErr w:type="spellStart"/>
            <w:r w:rsidRPr="00735C26">
              <w:rPr>
                <w:sz w:val="20"/>
                <w:szCs w:val="20"/>
              </w:rPr>
              <w:t>Talazoparib</w:t>
            </w:r>
            <w:proofErr w:type="spellEnd"/>
            <w:r w:rsidRPr="00735C26">
              <w:rPr>
                <w:sz w:val="20"/>
                <w:szCs w:val="20"/>
              </w:rPr>
              <w:t xml:space="preserve"> (n</w:t>
            </w:r>
            <w:r w:rsidR="00B3497A" w:rsidRPr="00735C26">
              <w:rPr>
                <w:sz w:val="20"/>
                <w:szCs w:val="20"/>
              </w:rPr>
              <w:t xml:space="preserve"> </w:t>
            </w:r>
            <w:r w:rsidRPr="00735C26">
              <w:rPr>
                <w:sz w:val="20"/>
                <w:szCs w:val="20"/>
              </w:rPr>
              <w:t>=</w:t>
            </w:r>
            <w:r w:rsidR="00B3497A" w:rsidRPr="00735C26">
              <w:rPr>
                <w:sz w:val="20"/>
                <w:szCs w:val="20"/>
              </w:rPr>
              <w:t xml:space="preserve"> </w:t>
            </w:r>
            <w:r w:rsidRPr="00735C26">
              <w:rPr>
                <w:sz w:val="20"/>
                <w:szCs w:val="20"/>
              </w:rPr>
              <w:t>286)</w:t>
            </w:r>
          </w:p>
          <w:p w14:paraId="180948BA" w14:textId="77777777" w:rsidR="00880FC7" w:rsidRPr="00735C26" w:rsidRDefault="00880FC7" w:rsidP="00735C26">
            <w:pPr>
              <w:rPr>
                <w:sz w:val="20"/>
                <w:szCs w:val="20"/>
              </w:rPr>
            </w:pPr>
            <w:proofErr w:type="gramStart"/>
            <w:r w:rsidRPr="00735C26">
              <w:rPr>
                <w:sz w:val="20"/>
                <w:szCs w:val="20"/>
              </w:rPr>
              <w:t>n</w:t>
            </w:r>
            <w:proofErr w:type="gramEnd"/>
            <w:r w:rsidRPr="00735C26">
              <w:rPr>
                <w:sz w:val="20"/>
                <w:szCs w:val="20"/>
              </w:rPr>
              <w:t xml:space="preserve"> (%)</w:t>
            </w:r>
          </w:p>
        </w:tc>
        <w:tc>
          <w:tcPr>
            <w:tcW w:w="2088" w:type="dxa"/>
          </w:tcPr>
          <w:p w14:paraId="3737BE7E" w14:textId="667EB56B" w:rsidR="00880FC7" w:rsidRPr="00735C26" w:rsidRDefault="00880FC7" w:rsidP="00735C26">
            <w:pPr>
              <w:rPr>
                <w:sz w:val="20"/>
                <w:szCs w:val="20"/>
              </w:rPr>
            </w:pPr>
            <w:r w:rsidRPr="00735C26">
              <w:rPr>
                <w:sz w:val="20"/>
                <w:szCs w:val="20"/>
              </w:rPr>
              <w:t>PCT (n</w:t>
            </w:r>
            <w:r w:rsidR="00B3497A" w:rsidRPr="00735C26">
              <w:rPr>
                <w:sz w:val="20"/>
                <w:szCs w:val="20"/>
              </w:rPr>
              <w:t xml:space="preserve"> </w:t>
            </w:r>
            <w:r w:rsidRPr="00735C26">
              <w:rPr>
                <w:sz w:val="20"/>
                <w:szCs w:val="20"/>
              </w:rPr>
              <w:t>=</w:t>
            </w:r>
            <w:r w:rsidR="00B3497A" w:rsidRPr="00735C26">
              <w:rPr>
                <w:sz w:val="20"/>
                <w:szCs w:val="20"/>
              </w:rPr>
              <w:t xml:space="preserve"> </w:t>
            </w:r>
            <w:r w:rsidRPr="00735C26">
              <w:rPr>
                <w:sz w:val="20"/>
                <w:szCs w:val="20"/>
              </w:rPr>
              <w:t>126)</w:t>
            </w:r>
          </w:p>
          <w:p w14:paraId="7093C714" w14:textId="77777777" w:rsidR="00880FC7" w:rsidRPr="00735C26" w:rsidRDefault="00880FC7" w:rsidP="00735C26">
            <w:pPr>
              <w:rPr>
                <w:sz w:val="20"/>
                <w:szCs w:val="20"/>
              </w:rPr>
            </w:pPr>
            <w:proofErr w:type="gramStart"/>
            <w:r w:rsidRPr="00735C26">
              <w:rPr>
                <w:sz w:val="20"/>
                <w:szCs w:val="20"/>
              </w:rPr>
              <w:t>n</w:t>
            </w:r>
            <w:proofErr w:type="gramEnd"/>
            <w:r w:rsidRPr="00735C26">
              <w:rPr>
                <w:sz w:val="20"/>
                <w:szCs w:val="20"/>
              </w:rPr>
              <w:t xml:space="preserve"> (%)</w:t>
            </w:r>
          </w:p>
        </w:tc>
      </w:tr>
      <w:tr w:rsidR="00880FC7" w:rsidRPr="00B3497A" w14:paraId="24C74D9E" w14:textId="77777777" w:rsidTr="00735C26">
        <w:tc>
          <w:tcPr>
            <w:tcW w:w="3676" w:type="dxa"/>
            <w:shd w:val="clear" w:color="auto" w:fill="F2F2F2" w:themeFill="background1" w:themeFillShade="F2"/>
          </w:tcPr>
          <w:p w14:paraId="46FFAC3D" w14:textId="77777777" w:rsidR="00880FC7" w:rsidRPr="00735C26" w:rsidRDefault="00880FC7" w:rsidP="00735C26">
            <w:pPr>
              <w:rPr>
                <w:sz w:val="20"/>
                <w:szCs w:val="20"/>
              </w:rPr>
            </w:pPr>
            <w:r w:rsidRPr="00735C26">
              <w:rPr>
                <w:sz w:val="20"/>
                <w:szCs w:val="20"/>
              </w:rPr>
              <w:t>Total patients with at least one SAE</w:t>
            </w:r>
          </w:p>
        </w:tc>
        <w:tc>
          <w:tcPr>
            <w:tcW w:w="2731" w:type="dxa"/>
            <w:shd w:val="clear" w:color="auto" w:fill="F2F2F2" w:themeFill="background1" w:themeFillShade="F2"/>
          </w:tcPr>
          <w:p w14:paraId="597F6A6A" w14:textId="77777777" w:rsidR="00880FC7" w:rsidRPr="00735C26" w:rsidRDefault="00880FC7" w:rsidP="00735C26">
            <w:pPr>
              <w:rPr>
                <w:sz w:val="20"/>
                <w:szCs w:val="20"/>
              </w:rPr>
            </w:pPr>
            <w:r w:rsidRPr="00735C26">
              <w:rPr>
                <w:sz w:val="20"/>
                <w:szCs w:val="20"/>
              </w:rPr>
              <w:t>91 (32)</w:t>
            </w:r>
          </w:p>
        </w:tc>
        <w:tc>
          <w:tcPr>
            <w:tcW w:w="2088" w:type="dxa"/>
            <w:shd w:val="clear" w:color="auto" w:fill="F2F2F2" w:themeFill="background1" w:themeFillShade="F2"/>
          </w:tcPr>
          <w:p w14:paraId="08223E93" w14:textId="77777777" w:rsidR="00880FC7" w:rsidRPr="00735C26" w:rsidRDefault="00880FC7" w:rsidP="00735C26">
            <w:pPr>
              <w:rPr>
                <w:sz w:val="20"/>
                <w:szCs w:val="20"/>
              </w:rPr>
            </w:pPr>
            <w:r w:rsidRPr="00735C26">
              <w:rPr>
                <w:sz w:val="20"/>
                <w:szCs w:val="20"/>
              </w:rPr>
              <w:t>37 (29)</w:t>
            </w:r>
          </w:p>
        </w:tc>
      </w:tr>
      <w:tr w:rsidR="00880FC7" w:rsidRPr="00B3497A" w14:paraId="5D89D21E" w14:textId="77777777" w:rsidTr="00735C26">
        <w:tc>
          <w:tcPr>
            <w:tcW w:w="3676" w:type="dxa"/>
          </w:tcPr>
          <w:p w14:paraId="0CF9736E" w14:textId="77777777" w:rsidR="00880FC7" w:rsidRPr="00735C26" w:rsidRDefault="00880FC7" w:rsidP="00735C26">
            <w:pPr>
              <w:rPr>
                <w:sz w:val="20"/>
                <w:szCs w:val="20"/>
              </w:rPr>
            </w:pPr>
            <w:r w:rsidRPr="00735C26">
              <w:rPr>
                <w:sz w:val="20"/>
                <w:szCs w:val="20"/>
              </w:rPr>
              <w:t>Anaemia</w:t>
            </w:r>
          </w:p>
        </w:tc>
        <w:tc>
          <w:tcPr>
            <w:tcW w:w="2731" w:type="dxa"/>
          </w:tcPr>
          <w:p w14:paraId="58CDEBF2" w14:textId="77777777" w:rsidR="00880FC7" w:rsidRPr="00735C26" w:rsidRDefault="00880FC7" w:rsidP="00735C26">
            <w:pPr>
              <w:rPr>
                <w:sz w:val="20"/>
                <w:szCs w:val="20"/>
              </w:rPr>
            </w:pPr>
            <w:r w:rsidRPr="00735C26">
              <w:rPr>
                <w:sz w:val="20"/>
                <w:szCs w:val="20"/>
              </w:rPr>
              <w:t>17 (6)</w:t>
            </w:r>
          </w:p>
        </w:tc>
        <w:tc>
          <w:tcPr>
            <w:tcW w:w="2088" w:type="dxa"/>
          </w:tcPr>
          <w:p w14:paraId="6EE18A76" w14:textId="77777777" w:rsidR="00880FC7" w:rsidRPr="00735C26" w:rsidRDefault="00880FC7" w:rsidP="00735C26">
            <w:pPr>
              <w:rPr>
                <w:sz w:val="20"/>
                <w:szCs w:val="20"/>
              </w:rPr>
            </w:pPr>
            <w:r w:rsidRPr="00735C26">
              <w:rPr>
                <w:sz w:val="20"/>
                <w:szCs w:val="20"/>
              </w:rPr>
              <w:t>0</w:t>
            </w:r>
          </w:p>
        </w:tc>
      </w:tr>
      <w:tr w:rsidR="00880FC7" w:rsidRPr="00B3497A" w14:paraId="2C4E53C3" w14:textId="77777777" w:rsidTr="00735C26">
        <w:tc>
          <w:tcPr>
            <w:tcW w:w="3676" w:type="dxa"/>
          </w:tcPr>
          <w:p w14:paraId="0B4EAF7B" w14:textId="77777777" w:rsidR="00880FC7" w:rsidRPr="00735C26" w:rsidRDefault="00880FC7" w:rsidP="00735C26">
            <w:pPr>
              <w:rPr>
                <w:sz w:val="20"/>
                <w:szCs w:val="20"/>
              </w:rPr>
            </w:pPr>
            <w:r w:rsidRPr="00735C26">
              <w:rPr>
                <w:sz w:val="20"/>
                <w:szCs w:val="20"/>
              </w:rPr>
              <w:t>Pyrexia</w:t>
            </w:r>
          </w:p>
        </w:tc>
        <w:tc>
          <w:tcPr>
            <w:tcW w:w="2731" w:type="dxa"/>
          </w:tcPr>
          <w:p w14:paraId="64AEA858" w14:textId="77777777" w:rsidR="00880FC7" w:rsidRPr="00735C26" w:rsidRDefault="00880FC7" w:rsidP="00735C26">
            <w:pPr>
              <w:rPr>
                <w:sz w:val="20"/>
                <w:szCs w:val="20"/>
              </w:rPr>
            </w:pPr>
            <w:r w:rsidRPr="00735C26">
              <w:rPr>
                <w:sz w:val="20"/>
                <w:szCs w:val="20"/>
              </w:rPr>
              <w:t>7 (2)</w:t>
            </w:r>
          </w:p>
        </w:tc>
        <w:tc>
          <w:tcPr>
            <w:tcW w:w="2088" w:type="dxa"/>
          </w:tcPr>
          <w:p w14:paraId="1B7D2DAF" w14:textId="77777777" w:rsidR="00880FC7" w:rsidRPr="00735C26" w:rsidRDefault="00880FC7" w:rsidP="00735C26">
            <w:pPr>
              <w:rPr>
                <w:sz w:val="20"/>
                <w:szCs w:val="20"/>
              </w:rPr>
            </w:pPr>
            <w:r w:rsidRPr="00735C26">
              <w:rPr>
                <w:sz w:val="20"/>
                <w:szCs w:val="20"/>
              </w:rPr>
              <w:t>2 (2)</w:t>
            </w:r>
          </w:p>
        </w:tc>
      </w:tr>
      <w:tr w:rsidR="00880FC7" w:rsidRPr="00B3497A" w14:paraId="0784AED7" w14:textId="77777777" w:rsidTr="00735C26">
        <w:tc>
          <w:tcPr>
            <w:tcW w:w="3676" w:type="dxa"/>
          </w:tcPr>
          <w:p w14:paraId="53F03ABA" w14:textId="77777777" w:rsidR="00880FC7" w:rsidRPr="00735C26" w:rsidRDefault="00880FC7" w:rsidP="00735C26">
            <w:pPr>
              <w:rPr>
                <w:sz w:val="20"/>
                <w:szCs w:val="20"/>
              </w:rPr>
            </w:pPr>
            <w:r w:rsidRPr="00735C26">
              <w:rPr>
                <w:sz w:val="20"/>
                <w:szCs w:val="20"/>
              </w:rPr>
              <w:t>Vomiting</w:t>
            </w:r>
          </w:p>
        </w:tc>
        <w:tc>
          <w:tcPr>
            <w:tcW w:w="2731" w:type="dxa"/>
          </w:tcPr>
          <w:p w14:paraId="4209D813" w14:textId="77777777" w:rsidR="00880FC7" w:rsidRPr="00735C26" w:rsidRDefault="00880FC7" w:rsidP="00735C26">
            <w:pPr>
              <w:rPr>
                <w:sz w:val="20"/>
                <w:szCs w:val="20"/>
              </w:rPr>
            </w:pPr>
            <w:r w:rsidRPr="00735C26">
              <w:rPr>
                <w:sz w:val="20"/>
                <w:szCs w:val="20"/>
              </w:rPr>
              <w:t>5 (2)</w:t>
            </w:r>
          </w:p>
        </w:tc>
        <w:tc>
          <w:tcPr>
            <w:tcW w:w="2088" w:type="dxa"/>
          </w:tcPr>
          <w:p w14:paraId="0EB316F7" w14:textId="77777777" w:rsidR="00880FC7" w:rsidRPr="00735C26" w:rsidRDefault="00880FC7" w:rsidP="00735C26">
            <w:pPr>
              <w:rPr>
                <w:sz w:val="20"/>
                <w:szCs w:val="20"/>
              </w:rPr>
            </w:pPr>
            <w:r w:rsidRPr="00735C26">
              <w:rPr>
                <w:sz w:val="20"/>
                <w:szCs w:val="20"/>
              </w:rPr>
              <w:t>2 (2)</w:t>
            </w:r>
          </w:p>
        </w:tc>
      </w:tr>
      <w:tr w:rsidR="00880FC7" w:rsidRPr="00B3497A" w14:paraId="2E4D0F9B" w14:textId="77777777" w:rsidTr="00735C26">
        <w:tc>
          <w:tcPr>
            <w:tcW w:w="3676" w:type="dxa"/>
          </w:tcPr>
          <w:p w14:paraId="08342EEC" w14:textId="77777777" w:rsidR="00880FC7" w:rsidRPr="00735C26" w:rsidRDefault="00880FC7" w:rsidP="00735C26">
            <w:pPr>
              <w:rPr>
                <w:sz w:val="20"/>
                <w:szCs w:val="20"/>
              </w:rPr>
            </w:pPr>
            <w:r w:rsidRPr="00735C26">
              <w:rPr>
                <w:sz w:val="20"/>
                <w:szCs w:val="20"/>
              </w:rPr>
              <w:t>Back pain</w:t>
            </w:r>
          </w:p>
        </w:tc>
        <w:tc>
          <w:tcPr>
            <w:tcW w:w="2731" w:type="dxa"/>
          </w:tcPr>
          <w:p w14:paraId="54F8CBC8" w14:textId="77777777" w:rsidR="00880FC7" w:rsidRPr="00735C26" w:rsidRDefault="00880FC7" w:rsidP="00735C26">
            <w:pPr>
              <w:rPr>
                <w:sz w:val="20"/>
                <w:szCs w:val="20"/>
              </w:rPr>
            </w:pPr>
            <w:r w:rsidRPr="00735C26">
              <w:rPr>
                <w:sz w:val="20"/>
                <w:szCs w:val="20"/>
              </w:rPr>
              <w:t>5 (2)</w:t>
            </w:r>
          </w:p>
        </w:tc>
        <w:tc>
          <w:tcPr>
            <w:tcW w:w="2088" w:type="dxa"/>
          </w:tcPr>
          <w:p w14:paraId="67AE8C66" w14:textId="77777777" w:rsidR="00880FC7" w:rsidRPr="00735C26" w:rsidRDefault="00880FC7" w:rsidP="00735C26">
            <w:pPr>
              <w:rPr>
                <w:sz w:val="20"/>
                <w:szCs w:val="20"/>
              </w:rPr>
            </w:pPr>
            <w:r w:rsidRPr="00735C26">
              <w:rPr>
                <w:sz w:val="20"/>
                <w:szCs w:val="20"/>
              </w:rPr>
              <w:t>1 (1)</w:t>
            </w:r>
          </w:p>
        </w:tc>
      </w:tr>
      <w:tr w:rsidR="00880FC7" w:rsidRPr="00B3497A" w14:paraId="74FA25F0" w14:textId="77777777" w:rsidTr="00735C26">
        <w:tc>
          <w:tcPr>
            <w:tcW w:w="3676" w:type="dxa"/>
          </w:tcPr>
          <w:p w14:paraId="5D5C6C06" w14:textId="77777777" w:rsidR="00880FC7" w:rsidRPr="00735C26" w:rsidRDefault="00880FC7" w:rsidP="00735C26">
            <w:pPr>
              <w:rPr>
                <w:sz w:val="20"/>
                <w:szCs w:val="20"/>
              </w:rPr>
            </w:pPr>
            <w:r w:rsidRPr="00735C26">
              <w:rPr>
                <w:sz w:val="20"/>
                <w:szCs w:val="20"/>
              </w:rPr>
              <w:t>Pleural effusion</w:t>
            </w:r>
          </w:p>
        </w:tc>
        <w:tc>
          <w:tcPr>
            <w:tcW w:w="2731" w:type="dxa"/>
          </w:tcPr>
          <w:p w14:paraId="3DA8FD4B" w14:textId="77777777" w:rsidR="00880FC7" w:rsidRPr="00735C26" w:rsidRDefault="00880FC7" w:rsidP="00735C26">
            <w:pPr>
              <w:rPr>
                <w:sz w:val="20"/>
                <w:szCs w:val="20"/>
              </w:rPr>
            </w:pPr>
            <w:r w:rsidRPr="00735C26">
              <w:rPr>
                <w:sz w:val="20"/>
                <w:szCs w:val="20"/>
              </w:rPr>
              <w:t>4 (1)</w:t>
            </w:r>
          </w:p>
        </w:tc>
        <w:tc>
          <w:tcPr>
            <w:tcW w:w="2088" w:type="dxa"/>
          </w:tcPr>
          <w:p w14:paraId="1709FB4B" w14:textId="77777777" w:rsidR="00880FC7" w:rsidRPr="00735C26" w:rsidRDefault="00880FC7" w:rsidP="00735C26">
            <w:pPr>
              <w:rPr>
                <w:sz w:val="20"/>
                <w:szCs w:val="20"/>
              </w:rPr>
            </w:pPr>
            <w:r w:rsidRPr="00735C26">
              <w:rPr>
                <w:sz w:val="20"/>
                <w:szCs w:val="20"/>
              </w:rPr>
              <w:t>7 (6)</w:t>
            </w:r>
          </w:p>
        </w:tc>
      </w:tr>
      <w:tr w:rsidR="00880FC7" w:rsidRPr="00B3497A" w14:paraId="0357E141" w14:textId="77777777" w:rsidTr="00735C26">
        <w:tc>
          <w:tcPr>
            <w:tcW w:w="3676" w:type="dxa"/>
          </w:tcPr>
          <w:p w14:paraId="3B8E6325" w14:textId="77777777" w:rsidR="00880FC7" w:rsidRPr="00735C26" w:rsidRDefault="00880FC7" w:rsidP="00735C26">
            <w:pPr>
              <w:rPr>
                <w:sz w:val="20"/>
                <w:szCs w:val="20"/>
              </w:rPr>
            </w:pPr>
            <w:r w:rsidRPr="00735C26">
              <w:rPr>
                <w:sz w:val="20"/>
                <w:szCs w:val="20"/>
              </w:rPr>
              <w:t>Dyspnoea</w:t>
            </w:r>
          </w:p>
        </w:tc>
        <w:tc>
          <w:tcPr>
            <w:tcW w:w="2731" w:type="dxa"/>
          </w:tcPr>
          <w:p w14:paraId="607E5F20" w14:textId="77777777" w:rsidR="00880FC7" w:rsidRPr="00735C26" w:rsidRDefault="00880FC7" w:rsidP="00735C26">
            <w:pPr>
              <w:rPr>
                <w:sz w:val="20"/>
                <w:szCs w:val="20"/>
              </w:rPr>
            </w:pPr>
            <w:r w:rsidRPr="00735C26">
              <w:rPr>
                <w:sz w:val="20"/>
                <w:szCs w:val="20"/>
              </w:rPr>
              <w:t>4 (1)</w:t>
            </w:r>
          </w:p>
        </w:tc>
        <w:tc>
          <w:tcPr>
            <w:tcW w:w="2088" w:type="dxa"/>
          </w:tcPr>
          <w:p w14:paraId="6B1442E9" w14:textId="77777777" w:rsidR="00880FC7" w:rsidRPr="00735C26" w:rsidRDefault="00880FC7" w:rsidP="00735C26">
            <w:pPr>
              <w:rPr>
                <w:sz w:val="20"/>
                <w:szCs w:val="20"/>
              </w:rPr>
            </w:pPr>
            <w:r w:rsidRPr="00735C26">
              <w:rPr>
                <w:sz w:val="20"/>
                <w:szCs w:val="20"/>
              </w:rPr>
              <w:t>0</w:t>
            </w:r>
          </w:p>
        </w:tc>
      </w:tr>
      <w:tr w:rsidR="00880FC7" w:rsidRPr="00B3497A" w14:paraId="5CED6159" w14:textId="77777777" w:rsidTr="00735C26">
        <w:tc>
          <w:tcPr>
            <w:tcW w:w="3676" w:type="dxa"/>
          </w:tcPr>
          <w:p w14:paraId="5D6930C9" w14:textId="77777777" w:rsidR="00880FC7" w:rsidRPr="00735C26" w:rsidRDefault="00880FC7" w:rsidP="00735C26">
            <w:pPr>
              <w:rPr>
                <w:sz w:val="20"/>
                <w:szCs w:val="20"/>
              </w:rPr>
            </w:pPr>
            <w:r w:rsidRPr="00735C26">
              <w:rPr>
                <w:sz w:val="20"/>
                <w:szCs w:val="20"/>
              </w:rPr>
              <w:t>Headache</w:t>
            </w:r>
          </w:p>
        </w:tc>
        <w:tc>
          <w:tcPr>
            <w:tcW w:w="2731" w:type="dxa"/>
          </w:tcPr>
          <w:p w14:paraId="27817560" w14:textId="77777777" w:rsidR="00880FC7" w:rsidRPr="00735C26" w:rsidRDefault="00880FC7" w:rsidP="00735C26">
            <w:pPr>
              <w:rPr>
                <w:sz w:val="20"/>
                <w:szCs w:val="20"/>
              </w:rPr>
            </w:pPr>
            <w:r w:rsidRPr="00735C26">
              <w:rPr>
                <w:sz w:val="20"/>
                <w:szCs w:val="20"/>
              </w:rPr>
              <w:t>4 (1)</w:t>
            </w:r>
          </w:p>
        </w:tc>
        <w:tc>
          <w:tcPr>
            <w:tcW w:w="2088" w:type="dxa"/>
          </w:tcPr>
          <w:p w14:paraId="2C809BFF" w14:textId="77777777" w:rsidR="00880FC7" w:rsidRPr="00735C26" w:rsidRDefault="00880FC7" w:rsidP="00735C26">
            <w:pPr>
              <w:rPr>
                <w:sz w:val="20"/>
                <w:szCs w:val="20"/>
              </w:rPr>
            </w:pPr>
            <w:r w:rsidRPr="00735C26">
              <w:rPr>
                <w:sz w:val="20"/>
                <w:szCs w:val="20"/>
              </w:rPr>
              <w:t>0</w:t>
            </w:r>
          </w:p>
        </w:tc>
      </w:tr>
      <w:tr w:rsidR="00880FC7" w:rsidRPr="00B3497A" w14:paraId="417E5F99" w14:textId="77777777" w:rsidTr="00735C26">
        <w:tc>
          <w:tcPr>
            <w:tcW w:w="3676" w:type="dxa"/>
          </w:tcPr>
          <w:p w14:paraId="19BC79C3" w14:textId="77777777" w:rsidR="00880FC7" w:rsidRPr="00735C26" w:rsidRDefault="00880FC7" w:rsidP="00735C26">
            <w:pPr>
              <w:rPr>
                <w:sz w:val="20"/>
                <w:szCs w:val="20"/>
              </w:rPr>
            </w:pPr>
            <w:r w:rsidRPr="00735C26">
              <w:rPr>
                <w:sz w:val="20"/>
                <w:szCs w:val="20"/>
              </w:rPr>
              <w:t>Platelet count decreased</w:t>
            </w:r>
          </w:p>
        </w:tc>
        <w:tc>
          <w:tcPr>
            <w:tcW w:w="2731" w:type="dxa"/>
          </w:tcPr>
          <w:p w14:paraId="6E97ECED" w14:textId="77777777" w:rsidR="00880FC7" w:rsidRPr="00735C26" w:rsidRDefault="00880FC7" w:rsidP="00735C26">
            <w:pPr>
              <w:rPr>
                <w:sz w:val="20"/>
                <w:szCs w:val="20"/>
              </w:rPr>
            </w:pPr>
            <w:r w:rsidRPr="00735C26">
              <w:rPr>
                <w:sz w:val="20"/>
                <w:szCs w:val="20"/>
              </w:rPr>
              <w:t>4 (1)</w:t>
            </w:r>
          </w:p>
        </w:tc>
        <w:tc>
          <w:tcPr>
            <w:tcW w:w="2088" w:type="dxa"/>
          </w:tcPr>
          <w:p w14:paraId="55693E0D" w14:textId="77777777" w:rsidR="00880FC7" w:rsidRPr="00735C26" w:rsidRDefault="00880FC7" w:rsidP="00735C26">
            <w:pPr>
              <w:rPr>
                <w:sz w:val="20"/>
                <w:szCs w:val="20"/>
              </w:rPr>
            </w:pPr>
            <w:r w:rsidRPr="00735C26">
              <w:rPr>
                <w:sz w:val="20"/>
                <w:szCs w:val="20"/>
              </w:rPr>
              <w:t>0</w:t>
            </w:r>
          </w:p>
        </w:tc>
      </w:tr>
      <w:tr w:rsidR="00880FC7" w:rsidRPr="00B3497A" w14:paraId="07000878" w14:textId="77777777" w:rsidTr="00735C26">
        <w:tc>
          <w:tcPr>
            <w:tcW w:w="3676" w:type="dxa"/>
          </w:tcPr>
          <w:p w14:paraId="2826597C" w14:textId="26376C71" w:rsidR="00880FC7" w:rsidRPr="00735C26" w:rsidRDefault="00880FC7" w:rsidP="00735C26">
            <w:pPr>
              <w:rPr>
                <w:sz w:val="20"/>
                <w:szCs w:val="20"/>
              </w:rPr>
            </w:pPr>
            <w:proofErr w:type="spellStart"/>
            <w:r w:rsidRPr="00735C26">
              <w:rPr>
                <w:sz w:val="20"/>
                <w:szCs w:val="20"/>
              </w:rPr>
              <w:t>Neutrop</w:t>
            </w:r>
            <w:r w:rsidR="001D5D9D" w:rsidRPr="00735C26">
              <w:rPr>
                <w:sz w:val="20"/>
                <w:szCs w:val="20"/>
              </w:rPr>
              <w:t>a</w:t>
            </w:r>
            <w:r w:rsidRPr="00735C26">
              <w:rPr>
                <w:sz w:val="20"/>
                <w:szCs w:val="20"/>
              </w:rPr>
              <w:t>enia</w:t>
            </w:r>
            <w:proofErr w:type="spellEnd"/>
          </w:p>
        </w:tc>
        <w:tc>
          <w:tcPr>
            <w:tcW w:w="2731" w:type="dxa"/>
          </w:tcPr>
          <w:p w14:paraId="6243A8E9" w14:textId="77777777" w:rsidR="00880FC7" w:rsidRPr="00735C26" w:rsidRDefault="00880FC7" w:rsidP="00735C26">
            <w:pPr>
              <w:rPr>
                <w:sz w:val="20"/>
                <w:szCs w:val="20"/>
              </w:rPr>
            </w:pPr>
            <w:r w:rsidRPr="00735C26">
              <w:rPr>
                <w:sz w:val="20"/>
                <w:szCs w:val="20"/>
              </w:rPr>
              <w:t>3 (1)</w:t>
            </w:r>
          </w:p>
        </w:tc>
        <w:tc>
          <w:tcPr>
            <w:tcW w:w="2088" w:type="dxa"/>
          </w:tcPr>
          <w:p w14:paraId="58B3DBB1" w14:textId="77777777" w:rsidR="00880FC7" w:rsidRPr="00735C26" w:rsidRDefault="00880FC7" w:rsidP="00735C26">
            <w:pPr>
              <w:rPr>
                <w:sz w:val="20"/>
                <w:szCs w:val="20"/>
              </w:rPr>
            </w:pPr>
            <w:r w:rsidRPr="00735C26">
              <w:rPr>
                <w:sz w:val="20"/>
                <w:szCs w:val="20"/>
              </w:rPr>
              <w:t>4 (3)</w:t>
            </w:r>
          </w:p>
        </w:tc>
      </w:tr>
      <w:tr w:rsidR="00880FC7" w:rsidRPr="00B3497A" w14:paraId="675A61CF" w14:textId="77777777" w:rsidTr="00735C26">
        <w:tc>
          <w:tcPr>
            <w:tcW w:w="3676" w:type="dxa"/>
          </w:tcPr>
          <w:p w14:paraId="27519E0A" w14:textId="77777777" w:rsidR="00880FC7" w:rsidRPr="00735C26" w:rsidRDefault="00880FC7" w:rsidP="00735C26">
            <w:pPr>
              <w:rPr>
                <w:sz w:val="20"/>
                <w:szCs w:val="20"/>
              </w:rPr>
            </w:pPr>
            <w:r w:rsidRPr="00735C26">
              <w:rPr>
                <w:sz w:val="20"/>
                <w:szCs w:val="20"/>
              </w:rPr>
              <w:t>Abdominal pain</w:t>
            </w:r>
          </w:p>
        </w:tc>
        <w:tc>
          <w:tcPr>
            <w:tcW w:w="2731" w:type="dxa"/>
          </w:tcPr>
          <w:p w14:paraId="0128B330" w14:textId="77777777" w:rsidR="00880FC7" w:rsidRPr="00735C26" w:rsidRDefault="00880FC7" w:rsidP="00735C26">
            <w:pPr>
              <w:rPr>
                <w:sz w:val="20"/>
                <w:szCs w:val="20"/>
              </w:rPr>
            </w:pPr>
            <w:r w:rsidRPr="00735C26">
              <w:rPr>
                <w:sz w:val="20"/>
                <w:szCs w:val="20"/>
              </w:rPr>
              <w:t>3 (1)</w:t>
            </w:r>
          </w:p>
        </w:tc>
        <w:tc>
          <w:tcPr>
            <w:tcW w:w="2088" w:type="dxa"/>
          </w:tcPr>
          <w:p w14:paraId="116EEBD7" w14:textId="77777777" w:rsidR="00880FC7" w:rsidRPr="00735C26" w:rsidRDefault="00880FC7" w:rsidP="00735C26">
            <w:pPr>
              <w:rPr>
                <w:sz w:val="20"/>
                <w:szCs w:val="20"/>
              </w:rPr>
            </w:pPr>
            <w:r w:rsidRPr="00735C26">
              <w:rPr>
                <w:sz w:val="20"/>
                <w:szCs w:val="20"/>
              </w:rPr>
              <w:t>2 (2)</w:t>
            </w:r>
          </w:p>
        </w:tc>
      </w:tr>
      <w:tr w:rsidR="00880FC7" w:rsidRPr="00B3497A" w14:paraId="7410D3E8" w14:textId="77777777" w:rsidTr="00735C26">
        <w:tc>
          <w:tcPr>
            <w:tcW w:w="3676" w:type="dxa"/>
          </w:tcPr>
          <w:p w14:paraId="11672B37" w14:textId="77777777" w:rsidR="00880FC7" w:rsidRPr="00735C26" w:rsidRDefault="00880FC7" w:rsidP="00735C26">
            <w:pPr>
              <w:rPr>
                <w:sz w:val="20"/>
                <w:szCs w:val="20"/>
              </w:rPr>
            </w:pPr>
            <w:r w:rsidRPr="00735C26">
              <w:rPr>
                <w:sz w:val="20"/>
                <w:szCs w:val="20"/>
              </w:rPr>
              <w:t>Pneumonia</w:t>
            </w:r>
          </w:p>
        </w:tc>
        <w:tc>
          <w:tcPr>
            <w:tcW w:w="2731" w:type="dxa"/>
          </w:tcPr>
          <w:p w14:paraId="3DF19314" w14:textId="77777777" w:rsidR="00880FC7" w:rsidRPr="00735C26" w:rsidRDefault="00880FC7" w:rsidP="00735C26">
            <w:pPr>
              <w:rPr>
                <w:sz w:val="20"/>
                <w:szCs w:val="20"/>
              </w:rPr>
            </w:pPr>
            <w:r w:rsidRPr="00735C26">
              <w:rPr>
                <w:sz w:val="20"/>
                <w:szCs w:val="20"/>
              </w:rPr>
              <w:t>3 (1)</w:t>
            </w:r>
          </w:p>
        </w:tc>
        <w:tc>
          <w:tcPr>
            <w:tcW w:w="2088" w:type="dxa"/>
          </w:tcPr>
          <w:p w14:paraId="77A445A5" w14:textId="77777777" w:rsidR="00880FC7" w:rsidRPr="00735C26" w:rsidRDefault="00880FC7" w:rsidP="00735C26">
            <w:pPr>
              <w:rPr>
                <w:sz w:val="20"/>
                <w:szCs w:val="20"/>
              </w:rPr>
            </w:pPr>
            <w:r w:rsidRPr="00735C26">
              <w:rPr>
                <w:sz w:val="20"/>
                <w:szCs w:val="20"/>
              </w:rPr>
              <w:t>2 (2)</w:t>
            </w:r>
          </w:p>
        </w:tc>
      </w:tr>
      <w:tr w:rsidR="00880FC7" w:rsidRPr="00B3497A" w14:paraId="08AEE2F9" w14:textId="77777777" w:rsidTr="00735C26">
        <w:tc>
          <w:tcPr>
            <w:tcW w:w="3676" w:type="dxa"/>
          </w:tcPr>
          <w:p w14:paraId="449E6CFB" w14:textId="77777777" w:rsidR="00880FC7" w:rsidRPr="00735C26" w:rsidRDefault="00880FC7" w:rsidP="00735C26">
            <w:pPr>
              <w:rPr>
                <w:sz w:val="20"/>
                <w:szCs w:val="20"/>
              </w:rPr>
            </w:pPr>
            <w:r w:rsidRPr="00735C26">
              <w:rPr>
                <w:sz w:val="20"/>
                <w:szCs w:val="20"/>
              </w:rPr>
              <w:t>Metastases to central nervous system</w:t>
            </w:r>
          </w:p>
        </w:tc>
        <w:tc>
          <w:tcPr>
            <w:tcW w:w="2731" w:type="dxa"/>
          </w:tcPr>
          <w:p w14:paraId="0CC7C336" w14:textId="77777777" w:rsidR="00880FC7" w:rsidRPr="00735C26" w:rsidRDefault="00880FC7" w:rsidP="00735C26">
            <w:pPr>
              <w:rPr>
                <w:sz w:val="20"/>
                <w:szCs w:val="20"/>
              </w:rPr>
            </w:pPr>
            <w:r w:rsidRPr="00735C26">
              <w:rPr>
                <w:sz w:val="20"/>
                <w:szCs w:val="20"/>
              </w:rPr>
              <w:t>3 (1)</w:t>
            </w:r>
          </w:p>
        </w:tc>
        <w:tc>
          <w:tcPr>
            <w:tcW w:w="2088" w:type="dxa"/>
          </w:tcPr>
          <w:p w14:paraId="6698A2EA" w14:textId="77777777" w:rsidR="00880FC7" w:rsidRPr="00735C26" w:rsidRDefault="00880FC7" w:rsidP="00735C26">
            <w:pPr>
              <w:rPr>
                <w:sz w:val="20"/>
                <w:szCs w:val="20"/>
              </w:rPr>
            </w:pPr>
            <w:r w:rsidRPr="00735C26">
              <w:rPr>
                <w:sz w:val="20"/>
                <w:szCs w:val="20"/>
              </w:rPr>
              <w:t>0</w:t>
            </w:r>
          </w:p>
        </w:tc>
      </w:tr>
      <w:tr w:rsidR="00880FC7" w:rsidRPr="00B3497A" w14:paraId="50688558" w14:textId="77777777" w:rsidTr="00735C26">
        <w:tc>
          <w:tcPr>
            <w:tcW w:w="3676" w:type="dxa"/>
          </w:tcPr>
          <w:p w14:paraId="38461684" w14:textId="77777777" w:rsidR="00880FC7" w:rsidRPr="00735C26" w:rsidRDefault="00880FC7" w:rsidP="00735C26">
            <w:pPr>
              <w:rPr>
                <w:sz w:val="20"/>
                <w:szCs w:val="20"/>
              </w:rPr>
            </w:pPr>
            <w:r w:rsidRPr="00735C26">
              <w:rPr>
                <w:sz w:val="20"/>
                <w:szCs w:val="20"/>
              </w:rPr>
              <w:t>Pulmonary embolism</w:t>
            </w:r>
          </w:p>
        </w:tc>
        <w:tc>
          <w:tcPr>
            <w:tcW w:w="2731" w:type="dxa"/>
          </w:tcPr>
          <w:p w14:paraId="73DA984C" w14:textId="77777777" w:rsidR="00880FC7" w:rsidRPr="00735C26" w:rsidRDefault="00880FC7" w:rsidP="00735C26">
            <w:pPr>
              <w:rPr>
                <w:sz w:val="20"/>
                <w:szCs w:val="20"/>
              </w:rPr>
            </w:pPr>
            <w:r w:rsidRPr="00735C26">
              <w:rPr>
                <w:sz w:val="20"/>
                <w:szCs w:val="20"/>
              </w:rPr>
              <w:t>3 (1)</w:t>
            </w:r>
          </w:p>
        </w:tc>
        <w:tc>
          <w:tcPr>
            <w:tcW w:w="2088" w:type="dxa"/>
          </w:tcPr>
          <w:p w14:paraId="24118D5A" w14:textId="77777777" w:rsidR="00880FC7" w:rsidRPr="00735C26" w:rsidRDefault="00880FC7" w:rsidP="00735C26">
            <w:pPr>
              <w:rPr>
                <w:sz w:val="20"/>
                <w:szCs w:val="20"/>
              </w:rPr>
            </w:pPr>
            <w:r w:rsidRPr="00735C26">
              <w:rPr>
                <w:sz w:val="20"/>
                <w:szCs w:val="20"/>
              </w:rPr>
              <w:t>0</w:t>
            </w:r>
          </w:p>
        </w:tc>
      </w:tr>
      <w:tr w:rsidR="00880FC7" w:rsidRPr="00B3497A" w14:paraId="5F9F325C" w14:textId="77777777" w:rsidTr="00735C26">
        <w:tc>
          <w:tcPr>
            <w:tcW w:w="3676" w:type="dxa"/>
          </w:tcPr>
          <w:p w14:paraId="54D05E07" w14:textId="77777777" w:rsidR="00880FC7" w:rsidRPr="00735C26" w:rsidRDefault="00880FC7" w:rsidP="00735C26">
            <w:pPr>
              <w:rPr>
                <w:sz w:val="20"/>
                <w:szCs w:val="20"/>
              </w:rPr>
            </w:pPr>
            <w:r w:rsidRPr="00735C26">
              <w:rPr>
                <w:sz w:val="20"/>
                <w:szCs w:val="20"/>
              </w:rPr>
              <w:t>General physical health deterioration</w:t>
            </w:r>
          </w:p>
        </w:tc>
        <w:tc>
          <w:tcPr>
            <w:tcW w:w="2731" w:type="dxa"/>
          </w:tcPr>
          <w:p w14:paraId="58B4234F" w14:textId="77777777" w:rsidR="00880FC7" w:rsidRPr="00735C26" w:rsidRDefault="00880FC7" w:rsidP="00735C26">
            <w:pPr>
              <w:rPr>
                <w:sz w:val="20"/>
                <w:szCs w:val="20"/>
              </w:rPr>
            </w:pPr>
            <w:r w:rsidRPr="00735C26">
              <w:rPr>
                <w:sz w:val="20"/>
                <w:szCs w:val="20"/>
              </w:rPr>
              <w:t>2 (1)</w:t>
            </w:r>
          </w:p>
        </w:tc>
        <w:tc>
          <w:tcPr>
            <w:tcW w:w="2088" w:type="dxa"/>
          </w:tcPr>
          <w:p w14:paraId="11BB75B4" w14:textId="77777777" w:rsidR="00880FC7" w:rsidRPr="00735C26" w:rsidRDefault="00880FC7" w:rsidP="00735C26">
            <w:pPr>
              <w:rPr>
                <w:sz w:val="20"/>
                <w:szCs w:val="20"/>
              </w:rPr>
            </w:pPr>
            <w:r w:rsidRPr="00735C26">
              <w:rPr>
                <w:sz w:val="20"/>
                <w:szCs w:val="20"/>
              </w:rPr>
              <w:t>2 (2)</w:t>
            </w:r>
          </w:p>
        </w:tc>
      </w:tr>
      <w:tr w:rsidR="00880FC7" w:rsidRPr="00B3497A" w14:paraId="45326CF3" w14:textId="77777777" w:rsidTr="00735C26">
        <w:tc>
          <w:tcPr>
            <w:tcW w:w="3676" w:type="dxa"/>
          </w:tcPr>
          <w:p w14:paraId="795BE78F" w14:textId="77777777" w:rsidR="00880FC7" w:rsidRPr="00735C26" w:rsidRDefault="00880FC7" w:rsidP="00735C26">
            <w:pPr>
              <w:rPr>
                <w:sz w:val="20"/>
                <w:szCs w:val="20"/>
              </w:rPr>
            </w:pPr>
            <w:r w:rsidRPr="00735C26">
              <w:rPr>
                <w:sz w:val="20"/>
                <w:szCs w:val="20"/>
              </w:rPr>
              <w:t>Nausea</w:t>
            </w:r>
          </w:p>
        </w:tc>
        <w:tc>
          <w:tcPr>
            <w:tcW w:w="2731" w:type="dxa"/>
          </w:tcPr>
          <w:p w14:paraId="55CF479E" w14:textId="77777777" w:rsidR="00880FC7" w:rsidRPr="00735C26" w:rsidRDefault="00880FC7" w:rsidP="00735C26">
            <w:pPr>
              <w:rPr>
                <w:sz w:val="20"/>
                <w:szCs w:val="20"/>
              </w:rPr>
            </w:pPr>
            <w:r w:rsidRPr="00735C26">
              <w:rPr>
                <w:sz w:val="20"/>
                <w:szCs w:val="20"/>
              </w:rPr>
              <w:t>2 (1)</w:t>
            </w:r>
          </w:p>
        </w:tc>
        <w:tc>
          <w:tcPr>
            <w:tcW w:w="2088" w:type="dxa"/>
          </w:tcPr>
          <w:p w14:paraId="0BFB5D2E" w14:textId="77777777" w:rsidR="00880FC7" w:rsidRPr="00735C26" w:rsidRDefault="00880FC7" w:rsidP="00735C26">
            <w:pPr>
              <w:rPr>
                <w:sz w:val="20"/>
                <w:szCs w:val="20"/>
              </w:rPr>
            </w:pPr>
            <w:r w:rsidRPr="00735C26">
              <w:rPr>
                <w:sz w:val="20"/>
                <w:szCs w:val="20"/>
              </w:rPr>
              <w:t>1 (1)</w:t>
            </w:r>
          </w:p>
        </w:tc>
      </w:tr>
      <w:tr w:rsidR="00880FC7" w:rsidRPr="00B3497A" w14:paraId="32340BE5" w14:textId="77777777" w:rsidTr="00735C26">
        <w:tc>
          <w:tcPr>
            <w:tcW w:w="3676" w:type="dxa"/>
          </w:tcPr>
          <w:p w14:paraId="3A8A8BCE" w14:textId="77777777" w:rsidR="00880FC7" w:rsidRPr="00735C26" w:rsidRDefault="00880FC7" w:rsidP="00735C26">
            <w:pPr>
              <w:rPr>
                <w:sz w:val="20"/>
                <w:szCs w:val="20"/>
              </w:rPr>
            </w:pPr>
            <w:r w:rsidRPr="00735C26">
              <w:rPr>
                <w:sz w:val="20"/>
                <w:szCs w:val="20"/>
              </w:rPr>
              <w:t>Bone pain</w:t>
            </w:r>
          </w:p>
        </w:tc>
        <w:tc>
          <w:tcPr>
            <w:tcW w:w="2731" w:type="dxa"/>
          </w:tcPr>
          <w:p w14:paraId="70223C65" w14:textId="77777777" w:rsidR="00880FC7" w:rsidRPr="00735C26" w:rsidRDefault="00880FC7" w:rsidP="00735C26">
            <w:pPr>
              <w:rPr>
                <w:sz w:val="20"/>
                <w:szCs w:val="20"/>
              </w:rPr>
            </w:pPr>
            <w:r w:rsidRPr="00735C26">
              <w:rPr>
                <w:sz w:val="20"/>
                <w:szCs w:val="20"/>
              </w:rPr>
              <w:t>2 (1)</w:t>
            </w:r>
          </w:p>
        </w:tc>
        <w:tc>
          <w:tcPr>
            <w:tcW w:w="2088" w:type="dxa"/>
          </w:tcPr>
          <w:p w14:paraId="6C73D15F" w14:textId="77777777" w:rsidR="00880FC7" w:rsidRPr="00735C26" w:rsidRDefault="00880FC7" w:rsidP="00735C26">
            <w:pPr>
              <w:rPr>
                <w:sz w:val="20"/>
                <w:szCs w:val="20"/>
              </w:rPr>
            </w:pPr>
            <w:r w:rsidRPr="00735C26">
              <w:rPr>
                <w:sz w:val="20"/>
                <w:szCs w:val="20"/>
              </w:rPr>
              <w:t>0</w:t>
            </w:r>
          </w:p>
        </w:tc>
      </w:tr>
      <w:tr w:rsidR="00880FC7" w:rsidRPr="00B3497A" w14:paraId="09507972" w14:textId="77777777" w:rsidTr="00735C26">
        <w:tc>
          <w:tcPr>
            <w:tcW w:w="3676" w:type="dxa"/>
          </w:tcPr>
          <w:p w14:paraId="11B916B4" w14:textId="77777777" w:rsidR="00880FC7" w:rsidRPr="00735C26" w:rsidRDefault="00880FC7" w:rsidP="00735C26">
            <w:pPr>
              <w:rPr>
                <w:sz w:val="20"/>
                <w:szCs w:val="20"/>
              </w:rPr>
            </w:pPr>
            <w:r w:rsidRPr="00735C26">
              <w:rPr>
                <w:sz w:val="20"/>
                <w:szCs w:val="20"/>
              </w:rPr>
              <w:t>Cytomegalovirus infection</w:t>
            </w:r>
          </w:p>
        </w:tc>
        <w:tc>
          <w:tcPr>
            <w:tcW w:w="2731" w:type="dxa"/>
          </w:tcPr>
          <w:p w14:paraId="04A8A7F3" w14:textId="77777777" w:rsidR="00880FC7" w:rsidRPr="00735C26" w:rsidRDefault="00880FC7" w:rsidP="00735C26">
            <w:pPr>
              <w:rPr>
                <w:sz w:val="20"/>
                <w:szCs w:val="20"/>
              </w:rPr>
            </w:pPr>
            <w:r w:rsidRPr="00735C26">
              <w:rPr>
                <w:sz w:val="20"/>
                <w:szCs w:val="20"/>
              </w:rPr>
              <w:t>2 (1)</w:t>
            </w:r>
          </w:p>
        </w:tc>
        <w:tc>
          <w:tcPr>
            <w:tcW w:w="2088" w:type="dxa"/>
          </w:tcPr>
          <w:p w14:paraId="553FBD5D" w14:textId="77777777" w:rsidR="00880FC7" w:rsidRPr="00735C26" w:rsidRDefault="00880FC7" w:rsidP="00735C26">
            <w:pPr>
              <w:rPr>
                <w:sz w:val="20"/>
                <w:szCs w:val="20"/>
              </w:rPr>
            </w:pPr>
            <w:r w:rsidRPr="00735C26">
              <w:rPr>
                <w:sz w:val="20"/>
                <w:szCs w:val="20"/>
              </w:rPr>
              <w:t>0</w:t>
            </w:r>
          </w:p>
        </w:tc>
      </w:tr>
      <w:tr w:rsidR="00880FC7" w:rsidRPr="00B3497A" w14:paraId="184CD1E7" w14:textId="77777777" w:rsidTr="00735C26">
        <w:tc>
          <w:tcPr>
            <w:tcW w:w="3676" w:type="dxa"/>
          </w:tcPr>
          <w:p w14:paraId="6F4FCA07" w14:textId="77777777" w:rsidR="00880FC7" w:rsidRPr="00735C26" w:rsidRDefault="00880FC7" w:rsidP="00735C26">
            <w:pPr>
              <w:rPr>
                <w:sz w:val="20"/>
                <w:szCs w:val="20"/>
              </w:rPr>
            </w:pPr>
            <w:r w:rsidRPr="00735C26">
              <w:rPr>
                <w:sz w:val="20"/>
                <w:szCs w:val="20"/>
              </w:rPr>
              <w:t>Diplopia</w:t>
            </w:r>
          </w:p>
        </w:tc>
        <w:tc>
          <w:tcPr>
            <w:tcW w:w="2731" w:type="dxa"/>
          </w:tcPr>
          <w:p w14:paraId="6306508C" w14:textId="77777777" w:rsidR="00880FC7" w:rsidRPr="00735C26" w:rsidRDefault="00880FC7" w:rsidP="00735C26">
            <w:pPr>
              <w:rPr>
                <w:sz w:val="20"/>
                <w:szCs w:val="20"/>
              </w:rPr>
            </w:pPr>
            <w:r w:rsidRPr="00735C26">
              <w:rPr>
                <w:sz w:val="20"/>
                <w:szCs w:val="20"/>
              </w:rPr>
              <w:t>2 (1)</w:t>
            </w:r>
          </w:p>
        </w:tc>
        <w:tc>
          <w:tcPr>
            <w:tcW w:w="2088" w:type="dxa"/>
          </w:tcPr>
          <w:p w14:paraId="044CFB2E" w14:textId="77777777" w:rsidR="00880FC7" w:rsidRPr="00735C26" w:rsidRDefault="00880FC7" w:rsidP="00735C26">
            <w:pPr>
              <w:rPr>
                <w:sz w:val="20"/>
                <w:szCs w:val="20"/>
              </w:rPr>
            </w:pPr>
            <w:r w:rsidRPr="00735C26">
              <w:rPr>
                <w:sz w:val="20"/>
                <w:szCs w:val="20"/>
              </w:rPr>
              <w:t>0</w:t>
            </w:r>
          </w:p>
        </w:tc>
      </w:tr>
      <w:tr w:rsidR="00880FC7" w:rsidRPr="00B3497A" w14:paraId="0CFF8AA8" w14:textId="77777777" w:rsidTr="00735C26">
        <w:tc>
          <w:tcPr>
            <w:tcW w:w="3676" w:type="dxa"/>
          </w:tcPr>
          <w:p w14:paraId="561D5B9D" w14:textId="77777777" w:rsidR="00880FC7" w:rsidRPr="00735C26" w:rsidRDefault="00880FC7" w:rsidP="00735C26">
            <w:pPr>
              <w:rPr>
                <w:sz w:val="20"/>
                <w:szCs w:val="20"/>
              </w:rPr>
            </w:pPr>
            <w:r w:rsidRPr="00735C26">
              <w:rPr>
                <w:sz w:val="20"/>
                <w:szCs w:val="20"/>
              </w:rPr>
              <w:t>Non-cardiac chest pain</w:t>
            </w:r>
          </w:p>
        </w:tc>
        <w:tc>
          <w:tcPr>
            <w:tcW w:w="2731" w:type="dxa"/>
          </w:tcPr>
          <w:p w14:paraId="3F5087ED" w14:textId="77777777" w:rsidR="00880FC7" w:rsidRPr="00735C26" w:rsidRDefault="00880FC7" w:rsidP="00735C26">
            <w:pPr>
              <w:rPr>
                <w:sz w:val="20"/>
                <w:szCs w:val="20"/>
              </w:rPr>
            </w:pPr>
            <w:r w:rsidRPr="00735C26">
              <w:rPr>
                <w:sz w:val="20"/>
                <w:szCs w:val="20"/>
              </w:rPr>
              <w:t>2 (1)</w:t>
            </w:r>
          </w:p>
        </w:tc>
        <w:tc>
          <w:tcPr>
            <w:tcW w:w="2088" w:type="dxa"/>
          </w:tcPr>
          <w:p w14:paraId="0F7B6C89" w14:textId="77777777" w:rsidR="00880FC7" w:rsidRPr="00735C26" w:rsidRDefault="00880FC7" w:rsidP="00735C26">
            <w:pPr>
              <w:rPr>
                <w:sz w:val="20"/>
                <w:szCs w:val="20"/>
              </w:rPr>
            </w:pPr>
            <w:r w:rsidRPr="00735C26">
              <w:rPr>
                <w:sz w:val="20"/>
                <w:szCs w:val="20"/>
              </w:rPr>
              <w:t>0</w:t>
            </w:r>
          </w:p>
        </w:tc>
      </w:tr>
      <w:tr w:rsidR="00880FC7" w:rsidRPr="00B3497A" w14:paraId="29F8E6B4" w14:textId="77777777" w:rsidTr="00735C26">
        <w:tc>
          <w:tcPr>
            <w:tcW w:w="3676" w:type="dxa"/>
          </w:tcPr>
          <w:p w14:paraId="4276FC10" w14:textId="77777777" w:rsidR="00880FC7" w:rsidRPr="00735C26" w:rsidRDefault="00880FC7" w:rsidP="00735C26">
            <w:pPr>
              <w:rPr>
                <w:sz w:val="20"/>
                <w:szCs w:val="20"/>
              </w:rPr>
            </w:pPr>
            <w:r w:rsidRPr="00735C26">
              <w:rPr>
                <w:sz w:val="20"/>
                <w:szCs w:val="20"/>
              </w:rPr>
              <w:t>Pain in extremity</w:t>
            </w:r>
          </w:p>
        </w:tc>
        <w:tc>
          <w:tcPr>
            <w:tcW w:w="2731" w:type="dxa"/>
          </w:tcPr>
          <w:p w14:paraId="69B0D205" w14:textId="77777777" w:rsidR="00880FC7" w:rsidRPr="00735C26" w:rsidRDefault="00880FC7" w:rsidP="00735C26">
            <w:pPr>
              <w:rPr>
                <w:sz w:val="20"/>
                <w:szCs w:val="20"/>
              </w:rPr>
            </w:pPr>
            <w:r w:rsidRPr="00735C26">
              <w:rPr>
                <w:sz w:val="20"/>
                <w:szCs w:val="20"/>
              </w:rPr>
              <w:t>2 (1)</w:t>
            </w:r>
          </w:p>
        </w:tc>
        <w:tc>
          <w:tcPr>
            <w:tcW w:w="2088" w:type="dxa"/>
          </w:tcPr>
          <w:p w14:paraId="3F75EC59" w14:textId="77777777" w:rsidR="00880FC7" w:rsidRPr="00735C26" w:rsidRDefault="00880FC7" w:rsidP="00735C26">
            <w:pPr>
              <w:rPr>
                <w:sz w:val="20"/>
                <w:szCs w:val="20"/>
              </w:rPr>
            </w:pPr>
            <w:r w:rsidRPr="00735C26">
              <w:rPr>
                <w:sz w:val="20"/>
                <w:szCs w:val="20"/>
              </w:rPr>
              <w:t>0</w:t>
            </w:r>
          </w:p>
        </w:tc>
      </w:tr>
      <w:tr w:rsidR="00880FC7" w:rsidRPr="00B3497A" w14:paraId="633568AE" w14:textId="77777777" w:rsidTr="00735C26">
        <w:tc>
          <w:tcPr>
            <w:tcW w:w="3676" w:type="dxa"/>
          </w:tcPr>
          <w:p w14:paraId="4CB74F19" w14:textId="77777777" w:rsidR="00880FC7" w:rsidRPr="00735C26" w:rsidRDefault="00880FC7" w:rsidP="00735C26">
            <w:pPr>
              <w:rPr>
                <w:sz w:val="20"/>
                <w:szCs w:val="20"/>
              </w:rPr>
            </w:pPr>
            <w:r w:rsidRPr="00735C26">
              <w:rPr>
                <w:sz w:val="20"/>
                <w:szCs w:val="20"/>
              </w:rPr>
              <w:lastRenderedPageBreak/>
              <w:t>Pericardial effusion</w:t>
            </w:r>
          </w:p>
        </w:tc>
        <w:tc>
          <w:tcPr>
            <w:tcW w:w="2731" w:type="dxa"/>
          </w:tcPr>
          <w:p w14:paraId="2F624567" w14:textId="77777777" w:rsidR="00880FC7" w:rsidRPr="00735C26" w:rsidRDefault="00880FC7" w:rsidP="00735C26">
            <w:pPr>
              <w:rPr>
                <w:sz w:val="20"/>
                <w:szCs w:val="20"/>
              </w:rPr>
            </w:pPr>
            <w:r w:rsidRPr="00735C26">
              <w:rPr>
                <w:sz w:val="20"/>
                <w:szCs w:val="20"/>
              </w:rPr>
              <w:t>2 (1)</w:t>
            </w:r>
          </w:p>
        </w:tc>
        <w:tc>
          <w:tcPr>
            <w:tcW w:w="2088" w:type="dxa"/>
          </w:tcPr>
          <w:p w14:paraId="680D59A8" w14:textId="77777777" w:rsidR="00880FC7" w:rsidRPr="00735C26" w:rsidRDefault="00880FC7" w:rsidP="00735C26">
            <w:pPr>
              <w:rPr>
                <w:sz w:val="20"/>
                <w:szCs w:val="20"/>
              </w:rPr>
            </w:pPr>
            <w:r w:rsidRPr="00735C26">
              <w:rPr>
                <w:sz w:val="20"/>
                <w:szCs w:val="20"/>
              </w:rPr>
              <w:t>0</w:t>
            </w:r>
          </w:p>
        </w:tc>
      </w:tr>
      <w:tr w:rsidR="00880FC7" w:rsidRPr="00B3497A" w14:paraId="57AAE4DB" w14:textId="77777777" w:rsidTr="00735C26">
        <w:tc>
          <w:tcPr>
            <w:tcW w:w="3676" w:type="dxa"/>
          </w:tcPr>
          <w:p w14:paraId="12FDD592" w14:textId="77777777" w:rsidR="00880FC7" w:rsidRPr="00735C26" w:rsidRDefault="00880FC7" w:rsidP="00735C26">
            <w:pPr>
              <w:rPr>
                <w:sz w:val="20"/>
                <w:szCs w:val="20"/>
              </w:rPr>
            </w:pPr>
            <w:r w:rsidRPr="00735C26">
              <w:rPr>
                <w:sz w:val="20"/>
                <w:szCs w:val="20"/>
              </w:rPr>
              <w:t>Respiratory tract infection</w:t>
            </w:r>
          </w:p>
        </w:tc>
        <w:tc>
          <w:tcPr>
            <w:tcW w:w="2731" w:type="dxa"/>
          </w:tcPr>
          <w:p w14:paraId="2EF70D45" w14:textId="77777777" w:rsidR="00880FC7" w:rsidRPr="00735C26" w:rsidRDefault="00880FC7" w:rsidP="00735C26">
            <w:pPr>
              <w:rPr>
                <w:sz w:val="20"/>
                <w:szCs w:val="20"/>
              </w:rPr>
            </w:pPr>
            <w:r w:rsidRPr="00735C26">
              <w:rPr>
                <w:sz w:val="20"/>
                <w:szCs w:val="20"/>
              </w:rPr>
              <w:t>2 (1)</w:t>
            </w:r>
          </w:p>
        </w:tc>
        <w:tc>
          <w:tcPr>
            <w:tcW w:w="2088" w:type="dxa"/>
          </w:tcPr>
          <w:p w14:paraId="56C4D1A1" w14:textId="77777777" w:rsidR="00880FC7" w:rsidRPr="00735C26" w:rsidRDefault="00880FC7" w:rsidP="00735C26">
            <w:pPr>
              <w:rPr>
                <w:sz w:val="20"/>
                <w:szCs w:val="20"/>
              </w:rPr>
            </w:pPr>
            <w:r w:rsidRPr="00735C26">
              <w:rPr>
                <w:sz w:val="20"/>
                <w:szCs w:val="20"/>
              </w:rPr>
              <w:t>0</w:t>
            </w:r>
          </w:p>
        </w:tc>
      </w:tr>
      <w:tr w:rsidR="00880FC7" w:rsidRPr="00B3497A" w14:paraId="0FB2331A" w14:textId="77777777" w:rsidTr="00735C26">
        <w:tc>
          <w:tcPr>
            <w:tcW w:w="3676" w:type="dxa"/>
          </w:tcPr>
          <w:p w14:paraId="521A7774" w14:textId="77777777" w:rsidR="00880FC7" w:rsidRPr="00735C26" w:rsidRDefault="00880FC7" w:rsidP="00735C26">
            <w:pPr>
              <w:rPr>
                <w:sz w:val="20"/>
                <w:szCs w:val="20"/>
              </w:rPr>
            </w:pPr>
            <w:r w:rsidRPr="00735C26">
              <w:rPr>
                <w:sz w:val="20"/>
                <w:szCs w:val="20"/>
              </w:rPr>
              <w:t>Seizure</w:t>
            </w:r>
          </w:p>
        </w:tc>
        <w:tc>
          <w:tcPr>
            <w:tcW w:w="2731" w:type="dxa"/>
          </w:tcPr>
          <w:p w14:paraId="5C658B6F" w14:textId="77777777" w:rsidR="00880FC7" w:rsidRPr="00735C26" w:rsidRDefault="00880FC7" w:rsidP="00735C26">
            <w:pPr>
              <w:rPr>
                <w:sz w:val="20"/>
                <w:szCs w:val="20"/>
              </w:rPr>
            </w:pPr>
            <w:r w:rsidRPr="00735C26">
              <w:rPr>
                <w:sz w:val="20"/>
                <w:szCs w:val="20"/>
              </w:rPr>
              <w:t>2 (1)</w:t>
            </w:r>
          </w:p>
        </w:tc>
        <w:tc>
          <w:tcPr>
            <w:tcW w:w="2088" w:type="dxa"/>
          </w:tcPr>
          <w:p w14:paraId="3EA3098D" w14:textId="77777777" w:rsidR="00880FC7" w:rsidRPr="00735C26" w:rsidRDefault="00880FC7" w:rsidP="00735C26">
            <w:pPr>
              <w:rPr>
                <w:sz w:val="20"/>
                <w:szCs w:val="20"/>
              </w:rPr>
            </w:pPr>
            <w:r w:rsidRPr="00735C26">
              <w:rPr>
                <w:sz w:val="20"/>
                <w:szCs w:val="20"/>
              </w:rPr>
              <w:t>0</w:t>
            </w:r>
          </w:p>
        </w:tc>
      </w:tr>
      <w:tr w:rsidR="00880FC7" w:rsidRPr="00B3497A" w14:paraId="37EF80ED" w14:textId="77777777" w:rsidTr="00735C26">
        <w:tc>
          <w:tcPr>
            <w:tcW w:w="3676" w:type="dxa"/>
          </w:tcPr>
          <w:p w14:paraId="425F2DDC" w14:textId="3747FD9F" w:rsidR="00880FC7" w:rsidRPr="00735C26" w:rsidRDefault="00880FC7" w:rsidP="00735C26">
            <w:pPr>
              <w:rPr>
                <w:sz w:val="20"/>
                <w:szCs w:val="20"/>
              </w:rPr>
            </w:pPr>
            <w:proofErr w:type="spellStart"/>
            <w:r w:rsidRPr="00735C26">
              <w:rPr>
                <w:sz w:val="20"/>
                <w:szCs w:val="20"/>
              </w:rPr>
              <w:t>Thrombocytop</w:t>
            </w:r>
            <w:r w:rsidR="001D5D9D" w:rsidRPr="00735C26">
              <w:rPr>
                <w:sz w:val="20"/>
                <w:szCs w:val="20"/>
              </w:rPr>
              <w:t>a</w:t>
            </w:r>
            <w:r w:rsidRPr="00735C26">
              <w:rPr>
                <w:sz w:val="20"/>
                <w:szCs w:val="20"/>
              </w:rPr>
              <w:t>enia</w:t>
            </w:r>
            <w:proofErr w:type="spellEnd"/>
          </w:p>
        </w:tc>
        <w:tc>
          <w:tcPr>
            <w:tcW w:w="2731" w:type="dxa"/>
          </w:tcPr>
          <w:p w14:paraId="586F1A5A" w14:textId="77777777" w:rsidR="00880FC7" w:rsidRPr="00735C26" w:rsidRDefault="00880FC7" w:rsidP="00735C26">
            <w:pPr>
              <w:rPr>
                <w:sz w:val="20"/>
                <w:szCs w:val="20"/>
              </w:rPr>
            </w:pPr>
            <w:r w:rsidRPr="00735C26">
              <w:rPr>
                <w:sz w:val="20"/>
                <w:szCs w:val="20"/>
              </w:rPr>
              <w:t>2 (1)</w:t>
            </w:r>
          </w:p>
        </w:tc>
        <w:tc>
          <w:tcPr>
            <w:tcW w:w="2088" w:type="dxa"/>
          </w:tcPr>
          <w:p w14:paraId="3952C8D6" w14:textId="77777777" w:rsidR="00880FC7" w:rsidRPr="00735C26" w:rsidRDefault="00880FC7" w:rsidP="00735C26">
            <w:pPr>
              <w:rPr>
                <w:sz w:val="20"/>
                <w:szCs w:val="20"/>
              </w:rPr>
            </w:pPr>
            <w:r w:rsidRPr="00735C26">
              <w:rPr>
                <w:sz w:val="20"/>
                <w:szCs w:val="20"/>
              </w:rPr>
              <w:t>0</w:t>
            </w:r>
          </w:p>
        </w:tc>
      </w:tr>
      <w:tr w:rsidR="00880FC7" w:rsidRPr="00B3497A" w14:paraId="71FB4376" w14:textId="77777777" w:rsidTr="00735C26">
        <w:tc>
          <w:tcPr>
            <w:tcW w:w="3676" w:type="dxa"/>
          </w:tcPr>
          <w:p w14:paraId="7A31CD00" w14:textId="77777777" w:rsidR="00880FC7" w:rsidRPr="00735C26" w:rsidRDefault="00880FC7" w:rsidP="00735C26">
            <w:pPr>
              <w:rPr>
                <w:sz w:val="20"/>
                <w:szCs w:val="20"/>
              </w:rPr>
            </w:pPr>
            <w:r w:rsidRPr="00735C26">
              <w:rPr>
                <w:sz w:val="20"/>
                <w:szCs w:val="20"/>
              </w:rPr>
              <w:t>Deep vein thrombosis</w:t>
            </w:r>
          </w:p>
        </w:tc>
        <w:tc>
          <w:tcPr>
            <w:tcW w:w="2731" w:type="dxa"/>
          </w:tcPr>
          <w:p w14:paraId="63926F16" w14:textId="2F6159EB" w:rsidR="00880FC7" w:rsidRPr="00735C26" w:rsidRDefault="00880FC7" w:rsidP="00735C26">
            <w:pPr>
              <w:rPr>
                <w:sz w:val="20"/>
                <w:szCs w:val="20"/>
              </w:rPr>
            </w:pPr>
            <w:r w:rsidRPr="00735C26">
              <w:rPr>
                <w:sz w:val="20"/>
                <w:szCs w:val="20"/>
              </w:rPr>
              <w:t>1 (&lt;</w:t>
            </w:r>
            <w:r w:rsidR="00B3497A" w:rsidRPr="00735C26">
              <w:rPr>
                <w:sz w:val="20"/>
                <w:szCs w:val="20"/>
              </w:rPr>
              <w:t xml:space="preserve"> </w:t>
            </w:r>
            <w:r w:rsidRPr="00735C26">
              <w:rPr>
                <w:sz w:val="20"/>
                <w:szCs w:val="20"/>
              </w:rPr>
              <w:t>1)</w:t>
            </w:r>
          </w:p>
        </w:tc>
        <w:tc>
          <w:tcPr>
            <w:tcW w:w="2088" w:type="dxa"/>
          </w:tcPr>
          <w:p w14:paraId="03BC8307" w14:textId="77777777" w:rsidR="00880FC7" w:rsidRPr="00735C26" w:rsidRDefault="00880FC7" w:rsidP="00735C26">
            <w:pPr>
              <w:rPr>
                <w:sz w:val="20"/>
                <w:szCs w:val="20"/>
              </w:rPr>
            </w:pPr>
            <w:r w:rsidRPr="00735C26">
              <w:rPr>
                <w:sz w:val="20"/>
                <w:szCs w:val="20"/>
              </w:rPr>
              <w:t>2 (2)</w:t>
            </w:r>
          </w:p>
        </w:tc>
      </w:tr>
      <w:tr w:rsidR="00880FC7" w:rsidRPr="00B3497A" w14:paraId="55F4335D" w14:textId="77777777" w:rsidTr="00735C26">
        <w:tc>
          <w:tcPr>
            <w:tcW w:w="3676" w:type="dxa"/>
          </w:tcPr>
          <w:p w14:paraId="4F57EE3E" w14:textId="77777777" w:rsidR="00880FC7" w:rsidRPr="00735C26" w:rsidRDefault="00880FC7" w:rsidP="00735C26">
            <w:pPr>
              <w:rPr>
                <w:sz w:val="20"/>
                <w:szCs w:val="20"/>
              </w:rPr>
            </w:pPr>
            <w:r w:rsidRPr="00735C26">
              <w:rPr>
                <w:sz w:val="20"/>
                <w:szCs w:val="20"/>
              </w:rPr>
              <w:t>Neutrophil count decreased</w:t>
            </w:r>
          </w:p>
        </w:tc>
        <w:tc>
          <w:tcPr>
            <w:tcW w:w="2731" w:type="dxa"/>
          </w:tcPr>
          <w:p w14:paraId="7B5B9B68" w14:textId="2A642B14" w:rsidR="00880FC7" w:rsidRPr="00735C26" w:rsidRDefault="00880FC7" w:rsidP="00735C26">
            <w:pPr>
              <w:rPr>
                <w:sz w:val="20"/>
                <w:szCs w:val="20"/>
              </w:rPr>
            </w:pPr>
            <w:r w:rsidRPr="00735C26">
              <w:rPr>
                <w:sz w:val="20"/>
                <w:szCs w:val="20"/>
              </w:rPr>
              <w:t>1 (&lt;</w:t>
            </w:r>
            <w:r w:rsidR="00B3497A" w:rsidRPr="00735C26">
              <w:rPr>
                <w:sz w:val="20"/>
                <w:szCs w:val="20"/>
              </w:rPr>
              <w:t xml:space="preserve"> </w:t>
            </w:r>
            <w:r w:rsidRPr="00735C26">
              <w:rPr>
                <w:sz w:val="20"/>
                <w:szCs w:val="20"/>
              </w:rPr>
              <w:t>1)</w:t>
            </w:r>
          </w:p>
        </w:tc>
        <w:tc>
          <w:tcPr>
            <w:tcW w:w="2088" w:type="dxa"/>
          </w:tcPr>
          <w:p w14:paraId="0465F1A7" w14:textId="77777777" w:rsidR="00880FC7" w:rsidRPr="00735C26" w:rsidRDefault="00880FC7" w:rsidP="00735C26">
            <w:pPr>
              <w:rPr>
                <w:sz w:val="20"/>
                <w:szCs w:val="20"/>
              </w:rPr>
            </w:pPr>
            <w:r w:rsidRPr="00735C26">
              <w:rPr>
                <w:sz w:val="20"/>
                <w:szCs w:val="20"/>
              </w:rPr>
              <w:t>2 (2)</w:t>
            </w:r>
          </w:p>
        </w:tc>
      </w:tr>
      <w:tr w:rsidR="00880FC7" w:rsidRPr="00B3497A" w14:paraId="2EA42D7E" w14:textId="77777777" w:rsidTr="00735C26">
        <w:tc>
          <w:tcPr>
            <w:tcW w:w="3676" w:type="dxa"/>
          </w:tcPr>
          <w:p w14:paraId="14634A42" w14:textId="77777777" w:rsidR="00880FC7" w:rsidRPr="00735C26" w:rsidRDefault="00880FC7" w:rsidP="00735C26">
            <w:pPr>
              <w:rPr>
                <w:sz w:val="20"/>
                <w:szCs w:val="20"/>
              </w:rPr>
            </w:pPr>
            <w:r w:rsidRPr="00735C26">
              <w:rPr>
                <w:sz w:val="20"/>
                <w:szCs w:val="20"/>
              </w:rPr>
              <w:t>Diarrhoea</w:t>
            </w:r>
          </w:p>
        </w:tc>
        <w:tc>
          <w:tcPr>
            <w:tcW w:w="2731" w:type="dxa"/>
          </w:tcPr>
          <w:p w14:paraId="402486CA" w14:textId="77777777" w:rsidR="00880FC7" w:rsidRPr="00735C26" w:rsidRDefault="00880FC7" w:rsidP="00735C26">
            <w:pPr>
              <w:rPr>
                <w:sz w:val="20"/>
                <w:szCs w:val="20"/>
              </w:rPr>
            </w:pPr>
            <w:r w:rsidRPr="00735C26">
              <w:rPr>
                <w:sz w:val="20"/>
                <w:szCs w:val="20"/>
              </w:rPr>
              <w:t>0</w:t>
            </w:r>
          </w:p>
        </w:tc>
        <w:tc>
          <w:tcPr>
            <w:tcW w:w="2088" w:type="dxa"/>
          </w:tcPr>
          <w:p w14:paraId="5453D1CB" w14:textId="77777777" w:rsidR="00880FC7" w:rsidRPr="00735C26" w:rsidRDefault="00880FC7" w:rsidP="00735C26">
            <w:pPr>
              <w:rPr>
                <w:sz w:val="20"/>
                <w:szCs w:val="20"/>
              </w:rPr>
            </w:pPr>
            <w:r w:rsidRPr="00735C26">
              <w:rPr>
                <w:sz w:val="20"/>
                <w:szCs w:val="20"/>
              </w:rPr>
              <w:t>3 (2)</w:t>
            </w:r>
          </w:p>
        </w:tc>
      </w:tr>
      <w:tr w:rsidR="00880FC7" w:rsidRPr="00B3497A" w14:paraId="2FC59FF0" w14:textId="77777777" w:rsidTr="00735C26">
        <w:tc>
          <w:tcPr>
            <w:tcW w:w="3676" w:type="dxa"/>
          </w:tcPr>
          <w:p w14:paraId="6B71FEF5" w14:textId="77777777" w:rsidR="00880FC7" w:rsidRPr="00735C26" w:rsidRDefault="00880FC7" w:rsidP="00735C26">
            <w:pPr>
              <w:rPr>
                <w:sz w:val="20"/>
                <w:szCs w:val="20"/>
              </w:rPr>
            </w:pPr>
            <w:r w:rsidRPr="00735C26">
              <w:rPr>
                <w:sz w:val="20"/>
                <w:szCs w:val="20"/>
              </w:rPr>
              <w:t>Abdominal pain upper</w:t>
            </w:r>
          </w:p>
        </w:tc>
        <w:tc>
          <w:tcPr>
            <w:tcW w:w="2731" w:type="dxa"/>
          </w:tcPr>
          <w:p w14:paraId="0F4EE216" w14:textId="77777777" w:rsidR="00880FC7" w:rsidRPr="00735C26" w:rsidRDefault="00880FC7" w:rsidP="00735C26">
            <w:pPr>
              <w:rPr>
                <w:sz w:val="20"/>
                <w:szCs w:val="20"/>
              </w:rPr>
            </w:pPr>
            <w:r w:rsidRPr="00735C26">
              <w:rPr>
                <w:sz w:val="20"/>
                <w:szCs w:val="20"/>
              </w:rPr>
              <w:t>0</w:t>
            </w:r>
          </w:p>
        </w:tc>
        <w:tc>
          <w:tcPr>
            <w:tcW w:w="2088" w:type="dxa"/>
          </w:tcPr>
          <w:p w14:paraId="60441AD1" w14:textId="77777777" w:rsidR="00880FC7" w:rsidRPr="00735C26" w:rsidRDefault="00880FC7" w:rsidP="00735C26">
            <w:pPr>
              <w:rPr>
                <w:sz w:val="20"/>
                <w:szCs w:val="20"/>
              </w:rPr>
            </w:pPr>
            <w:r w:rsidRPr="00735C26">
              <w:rPr>
                <w:sz w:val="20"/>
                <w:szCs w:val="20"/>
              </w:rPr>
              <w:t>2 (2)</w:t>
            </w:r>
          </w:p>
        </w:tc>
      </w:tr>
      <w:tr w:rsidR="00880FC7" w:rsidRPr="00B3497A" w14:paraId="5DDC5D6A" w14:textId="77777777" w:rsidTr="00735C26">
        <w:tc>
          <w:tcPr>
            <w:tcW w:w="3676" w:type="dxa"/>
          </w:tcPr>
          <w:p w14:paraId="4B959620" w14:textId="77777777" w:rsidR="00880FC7" w:rsidRPr="00735C26" w:rsidRDefault="00880FC7" w:rsidP="00735C26">
            <w:pPr>
              <w:rPr>
                <w:sz w:val="20"/>
                <w:szCs w:val="20"/>
              </w:rPr>
            </w:pPr>
            <w:r w:rsidRPr="00735C26">
              <w:rPr>
                <w:sz w:val="20"/>
                <w:szCs w:val="20"/>
              </w:rPr>
              <w:t>Dehydration</w:t>
            </w:r>
          </w:p>
        </w:tc>
        <w:tc>
          <w:tcPr>
            <w:tcW w:w="2731" w:type="dxa"/>
          </w:tcPr>
          <w:p w14:paraId="44AD1E98" w14:textId="77777777" w:rsidR="00880FC7" w:rsidRPr="00735C26" w:rsidRDefault="00880FC7" w:rsidP="00735C26">
            <w:pPr>
              <w:rPr>
                <w:sz w:val="20"/>
                <w:szCs w:val="20"/>
              </w:rPr>
            </w:pPr>
            <w:r w:rsidRPr="00735C26">
              <w:rPr>
                <w:sz w:val="20"/>
                <w:szCs w:val="20"/>
              </w:rPr>
              <w:t>0</w:t>
            </w:r>
          </w:p>
        </w:tc>
        <w:tc>
          <w:tcPr>
            <w:tcW w:w="2088" w:type="dxa"/>
          </w:tcPr>
          <w:p w14:paraId="407B864F" w14:textId="77777777" w:rsidR="00880FC7" w:rsidRPr="00735C26" w:rsidRDefault="00880FC7" w:rsidP="00735C26">
            <w:pPr>
              <w:rPr>
                <w:sz w:val="20"/>
                <w:szCs w:val="20"/>
              </w:rPr>
            </w:pPr>
            <w:r w:rsidRPr="00735C26">
              <w:rPr>
                <w:sz w:val="20"/>
                <w:szCs w:val="20"/>
              </w:rPr>
              <w:t>2 (2)</w:t>
            </w:r>
          </w:p>
        </w:tc>
      </w:tr>
    </w:tbl>
    <w:p w14:paraId="7E7C74DD" w14:textId="77777777" w:rsidR="00880FC7" w:rsidRDefault="00880FC7" w:rsidP="00880FC7">
      <w:pPr>
        <w:pStyle w:val="Heading6"/>
      </w:pPr>
      <w:r>
        <w:t>Common adverse events and laboratory abnormalities</w:t>
      </w:r>
    </w:p>
    <w:p w14:paraId="7ADB7EC3" w14:textId="4B5FC529" w:rsidR="00180C48" w:rsidRPr="00CA3EC9" w:rsidRDefault="00880FC7" w:rsidP="00520FF6">
      <w:r w:rsidRPr="00CA3EC9">
        <w:t>Adverse events that were reported more frequently (&gt;</w:t>
      </w:r>
      <w:r w:rsidR="00CB6831" w:rsidRPr="00CA3EC9">
        <w:t xml:space="preserve"> </w:t>
      </w:r>
      <w:proofErr w:type="gramStart"/>
      <w:r w:rsidRPr="00CA3EC9">
        <w:t>5%</w:t>
      </w:r>
      <w:proofErr w:type="gramEnd"/>
      <w:r w:rsidRPr="00CA3EC9">
        <w:t xml:space="preserve"> difference) in the </w:t>
      </w:r>
      <w:proofErr w:type="spellStart"/>
      <w:r w:rsidRPr="00CA3EC9">
        <w:t>talazoparib</w:t>
      </w:r>
      <w:proofErr w:type="spellEnd"/>
      <w:r w:rsidRPr="00CA3EC9">
        <w:t xml:space="preserve"> arm were anaemia, thrombocytopenia, fatigue, dizziness, headache</w:t>
      </w:r>
      <w:r w:rsidR="009F5C45" w:rsidRPr="0014675B">
        <w:t>,</w:t>
      </w:r>
      <w:r w:rsidR="009F5C45" w:rsidRPr="00520FF6">
        <w:t xml:space="preserve"> arthralgia, asthenia and back pain</w:t>
      </w:r>
      <w:r w:rsidRPr="00CA3EC9">
        <w:t xml:space="preserve">. </w:t>
      </w:r>
      <w:r w:rsidR="00652959" w:rsidRPr="00CA3EC9">
        <w:t>P</w:t>
      </w:r>
      <w:r w:rsidRPr="00CA3EC9">
        <w:t>yrexia</w:t>
      </w:r>
      <w:r w:rsidR="009F5C45" w:rsidRPr="00CA3EC9">
        <w:t xml:space="preserve">, </w:t>
      </w:r>
      <w:r w:rsidR="009F5C45" w:rsidRPr="00520FF6">
        <w:t xml:space="preserve">palmar-plantar </w:t>
      </w:r>
      <w:proofErr w:type="spellStart"/>
      <w:r w:rsidR="009F5C45" w:rsidRPr="00520FF6">
        <w:t>erythrodysaesthesia</w:t>
      </w:r>
      <w:proofErr w:type="spellEnd"/>
      <w:r w:rsidR="009F5C45" w:rsidRPr="00520FF6">
        <w:t xml:space="preserve"> syndrome, paraesthesia, increased </w:t>
      </w:r>
      <w:r w:rsidR="00CA3EC9" w:rsidRPr="00520FF6">
        <w:t>aspartate aminotransferase (</w:t>
      </w:r>
      <w:r w:rsidR="009F5C45" w:rsidRPr="00520FF6">
        <w:t>AST</w:t>
      </w:r>
      <w:r w:rsidR="00CA3EC9" w:rsidRPr="00520FF6">
        <w:t>)</w:t>
      </w:r>
      <w:r w:rsidR="009F5C45" w:rsidRPr="00520FF6">
        <w:t xml:space="preserve"> and increased </w:t>
      </w:r>
      <w:r w:rsidR="00CA3EC9" w:rsidRPr="00520FF6">
        <w:t>alanine aminotransferase (</w:t>
      </w:r>
      <w:r w:rsidR="009F5C45" w:rsidRPr="00520FF6">
        <w:t>ALT</w:t>
      </w:r>
      <w:r w:rsidR="00CA3EC9" w:rsidRPr="00520FF6">
        <w:t>)</w:t>
      </w:r>
      <w:r w:rsidRPr="00CA3EC9">
        <w:t xml:space="preserve"> were reported more with PCT. Laboratory abnormalities that were reported more frequently (&gt;</w:t>
      </w:r>
      <w:r w:rsidR="00CB6831" w:rsidRPr="00CA3EC9">
        <w:t xml:space="preserve"> </w:t>
      </w:r>
      <w:r w:rsidRPr="00CA3EC9">
        <w:t xml:space="preserve">5% difference) in the </w:t>
      </w:r>
      <w:proofErr w:type="spellStart"/>
      <w:r w:rsidRPr="00CA3EC9">
        <w:t>talazoparib</w:t>
      </w:r>
      <w:proofErr w:type="spellEnd"/>
      <w:r w:rsidRPr="00CA3EC9">
        <w:t xml:space="preserve"> arm were </w:t>
      </w:r>
      <w:r w:rsidRPr="0014675B">
        <w:t>decrease in haemoglobin, decrease in platelets, decrease in lymphocytes, decrease in leukocytes, and decrease in calcium.</w:t>
      </w:r>
      <w:r w:rsidR="003224B3" w:rsidRPr="0014675B">
        <w:t xml:space="preserve"> </w:t>
      </w:r>
      <w:r w:rsidR="003224B3" w:rsidRPr="00520FF6">
        <w:t>A laboratory abnormality reported more frequently (&gt;</w:t>
      </w:r>
      <w:r w:rsidR="00CA3EC9" w:rsidRPr="00520FF6">
        <w:t xml:space="preserve"> </w:t>
      </w:r>
      <w:proofErr w:type="gramStart"/>
      <w:r w:rsidR="003224B3" w:rsidRPr="00520FF6">
        <w:t>5%</w:t>
      </w:r>
      <w:proofErr w:type="gramEnd"/>
      <w:r w:rsidR="003224B3" w:rsidRPr="00520FF6">
        <w:t xml:space="preserve"> difference) in the PCT arm was increased AST.</w:t>
      </w:r>
    </w:p>
    <w:p w14:paraId="0E1A64E8" w14:textId="04256E07" w:rsidR="00880FC7" w:rsidRDefault="00B3497A" w:rsidP="00CB6831">
      <w:r>
        <w:t>R</w:t>
      </w:r>
      <w:r w:rsidR="00880FC7">
        <w:t>eview did not identify significant differences in adverse event profiles between groups based on age, but noted that data was limited (n</w:t>
      </w:r>
      <w:r>
        <w:t xml:space="preserve"> </w:t>
      </w:r>
      <w:r w:rsidR="00880FC7">
        <w:t>=</w:t>
      </w:r>
      <w:r>
        <w:t xml:space="preserve"> </w:t>
      </w:r>
      <w:r w:rsidR="00880FC7">
        <w:t>29) for patients over 64 years of age.</w:t>
      </w:r>
    </w:p>
    <w:p w14:paraId="259DC70A" w14:textId="26691063" w:rsidR="00880FC7" w:rsidRDefault="00880FC7" w:rsidP="00CB6831">
      <w:pPr>
        <w:pStyle w:val="TableTitle"/>
      </w:pPr>
      <w:r>
        <w:lastRenderedPageBreak/>
        <w:t xml:space="preserve">Table </w:t>
      </w:r>
      <w:fldSimple w:instr=" SEQ Table \* ARABIC ">
        <w:r w:rsidR="0044358C">
          <w:rPr>
            <w:noProof/>
          </w:rPr>
          <w:t>11</w:t>
        </w:r>
      </w:fldSimple>
      <w:r w:rsidR="0044358C">
        <w:t>:</w:t>
      </w:r>
      <w:r>
        <w:t xml:space="preserve"> Tr</w:t>
      </w:r>
      <w:r w:rsidR="0044358C">
        <w:t>eatment-emergent adverse events</w:t>
      </w:r>
      <w:r>
        <w:t xml:space="preserve"> that occurred in at least 10% in either arm of</w:t>
      </w:r>
      <w:r w:rsidR="001D5D9D">
        <w:t xml:space="preserve"> the</w:t>
      </w:r>
      <w:r>
        <w:t xml:space="preserve"> EMBRACA</w:t>
      </w:r>
      <w:r w:rsidR="001D5D9D">
        <w:t xml:space="preserve"> trial</w:t>
      </w:r>
    </w:p>
    <w:p w14:paraId="0FE44937" w14:textId="5FDBB690" w:rsidR="0014675B" w:rsidRDefault="00ED1628" w:rsidP="00880FC7">
      <w:pPr>
        <w:pStyle w:val="TableCaption"/>
        <w:spacing w:before="0" w:line="240" w:lineRule="auto"/>
      </w:pPr>
      <w:r>
        <w:rPr>
          <w:noProof/>
          <w:lang w:eastAsia="en-AU"/>
        </w:rPr>
        <w:drawing>
          <wp:inline distT="0" distB="0" distL="0" distR="0" wp14:anchorId="0AF7900D" wp14:editId="6727483D">
            <wp:extent cx="5400040" cy="6304915"/>
            <wp:effectExtent l="0" t="0" r="0" b="635"/>
            <wp:docPr id="23" name="Picture 23" descr="Treatment-emergent adverse events that occurred in at least 10% in either arm of the EMBRACA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6304915"/>
                    </a:xfrm>
                    <a:prstGeom prst="rect">
                      <a:avLst/>
                    </a:prstGeom>
                  </pic:spPr>
                </pic:pic>
              </a:graphicData>
            </a:graphic>
          </wp:inline>
        </w:drawing>
      </w:r>
    </w:p>
    <w:p w14:paraId="069FE0DD" w14:textId="074B84C1" w:rsidR="00880FC7" w:rsidRPr="006D0F41" w:rsidRDefault="00880FC7" w:rsidP="0044358C">
      <w:pPr>
        <w:pStyle w:val="TableDescription"/>
      </w:pPr>
      <w:r w:rsidRPr="006D0F41">
        <w:t xml:space="preserve">Source: FDA safety analysis based on EMBRACA </w:t>
      </w:r>
      <w:proofErr w:type="spellStart"/>
      <w:r w:rsidRPr="006D0F41">
        <w:t>adae.xpt</w:t>
      </w:r>
      <w:proofErr w:type="spellEnd"/>
      <w:r w:rsidRPr="006D0F41">
        <w:t xml:space="preserve"> dataset</w:t>
      </w:r>
    </w:p>
    <w:p w14:paraId="25513C46" w14:textId="0B5B13C7" w:rsidR="00880FC7" w:rsidRDefault="00880FC7" w:rsidP="00CB6831">
      <w:pPr>
        <w:pStyle w:val="TableTitle"/>
      </w:pPr>
      <w:r>
        <w:lastRenderedPageBreak/>
        <w:t xml:space="preserve">Table </w:t>
      </w:r>
      <w:r w:rsidR="007D52C5">
        <w:rPr>
          <w:noProof/>
        </w:rPr>
        <w:t>12</w:t>
      </w:r>
      <w:r w:rsidR="0044358C">
        <w:t>:</w:t>
      </w:r>
      <w:r>
        <w:t xml:space="preserve"> Laboratory abnormalities that occurred in at least 25% of evaluable patients for each parameter in either arm of </w:t>
      </w:r>
      <w:r w:rsidR="001D5D9D">
        <w:t xml:space="preserve">the </w:t>
      </w:r>
      <w:r>
        <w:t>EMBRACA</w:t>
      </w:r>
      <w:r w:rsidR="001D5D9D">
        <w:t xml:space="preserve"> trial</w:t>
      </w:r>
    </w:p>
    <w:p w14:paraId="3D2CDFD1" w14:textId="4B2945A3" w:rsidR="0044358C" w:rsidRDefault="0044358C" w:rsidP="00880FC7">
      <w:pPr>
        <w:pStyle w:val="TableCaption"/>
        <w:spacing w:before="0" w:line="240" w:lineRule="auto"/>
      </w:pPr>
      <w:r>
        <w:rPr>
          <w:noProof/>
          <w:lang w:eastAsia="en-AU"/>
        </w:rPr>
        <w:drawing>
          <wp:inline distT="0" distB="0" distL="0" distR="0" wp14:anchorId="096154D6" wp14:editId="005D73F7">
            <wp:extent cx="5400040" cy="1732915"/>
            <wp:effectExtent l="0" t="0" r="0" b="635"/>
            <wp:docPr id="4" name="Picture 4" descr="Laboratory abnormalities that occurred in at least 25% of evaluable patients for each parameter in either arm of EMBR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1732915"/>
                    </a:xfrm>
                    <a:prstGeom prst="rect">
                      <a:avLst/>
                    </a:prstGeom>
                  </pic:spPr>
                </pic:pic>
              </a:graphicData>
            </a:graphic>
          </wp:inline>
        </w:drawing>
      </w:r>
    </w:p>
    <w:p w14:paraId="69DFE108" w14:textId="5605F24A" w:rsidR="00880FC7" w:rsidRPr="0044358C" w:rsidRDefault="00880FC7" w:rsidP="0044358C">
      <w:pPr>
        <w:pStyle w:val="TableDescription"/>
      </w:pPr>
      <w:r w:rsidRPr="0044358C">
        <w:t xml:space="preserve">Source: FDA safety analysis based on EMBRACA </w:t>
      </w:r>
      <w:proofErr w:type="spellStart"/>
      <w:r w:rsidRPr="0044358C">
        <w:t>adlb.xpt</w:t>
      </w:r>
      <w:proofErr w:type="spellEnd"/>
      <w:r w:rsidRPr="0044358C">
        <w:t xml:space="preserve"> dataset</w:t>
      </w:r>
    </w:p>
    <w:p w14:paraId="4CC8F1AF" w14:textId="35D76669" w:rsidR="00880FC7" w:rsidRDefault="00880FC7" w:rsidP="00880FC7">
      <w:pPr>
        <w:pStyle w:val="Heading5"/>
      </w:pPr>
      <w:r>
        <w:t xml:space="preserve">Adverse events of special </w:t>
      </w:r>
      <w:r w:rsidRPr="00AF5F75">
        <w:t>interest</w:t>
      </w:r>
    </w:p>
    <w:p w14:paraId="53EC9C97" w14:textId="229012A2" w:rsidR="00880FC7" w:rsidRPr="00716DDE" w:rsidRDefault="0044358C" w:rsidP="00880FC7">
      <w:r>
        <w:t>The s</w:t>
      </w:r>
      <w:r w:rsidR="00880FC7">
        <w:t xml:space="preserve">ponsor identified hepatic disorders and myelodysplastic syndrome (MDS)/acute myeloid leukaemia (AML) as </w:t>
      </w:r>
      <w:r>
        <w:t>adverse events of special interest (</w:t>
      </w:r>
      <w:r w:rsidR="00880FC7">
        <w:t>AESI</w:t>
      </w:r>
      <w:r>
        <w:t>)</w:t>
      </w:r>
      <w:r w:rsidR="00880FC7">
        <w:t>. The FDA review identified new secondary malignancies and pneumonitis as other AESI based on the known safety profile of other PARP inhibitors.</w:t>
      </w:r>
    </w:p>
    <w:p w14:paraId="37403AC7" w14:textId="77777777" w:rsidR="00880FC7" w:rsidRDefault="00880FC7" w:rsidP="00880FC7">
      <w:pPr>
        <w:pStyle w:val="Heading6"/>
      </w:pPr>
      <w:r>
        <w:t>Hepatotoxicity</w:t>
      </w:r>
    </w:p>
    <w:p w14:paraId="361BA9AD" w14:textId="34524784" w:rsidR="00880FC7" w:rsidRDefault="00880FC7" w:rsidP="00880FC7">
      <w:r>
        <w:t xml:space="preserve">Across all patients treated with 1 mg daily </w:t>
      </w:r>
      <w:proofErr w:type="spellStart"/>
      <w:r>
        <w:t>talazoparib</w:t>
      </w:r>
      <w:proofErr w:type="spellEnd"/>
      <w:r>
        <w:t>, no cases consistent wi</w:t>
      </w:r>
      <w:r w:rsidR="00714C8C">
        <w:t xml:space="preserve">th </w:t>
      </w:r>
      <w:proofErr w:type="spellStart"/>
      <w:r w:rsidR="00714C8C">
        <w:t>Hy’s</w:t>
      </w:r>
      <w:proofErr w:type="spellEnd"/>
      <w:r w:rsidR="00714C8C">
        <w:t xml:space="preserve"> Law</w:t>
      </w:r>
      <w:proofErr w:type="gramStart"/>
      <w:r w:rsidR="0044358C">
        <w:t>;</w:t>
      </w:r>
      <w:proofErr w:type="gramEnd"/>
      <w:r w:rsidR="0044358C">
        <w:rPr>
          <w:rStyle w:val="FootnoteReference"/>
        </w:rPr>
        <w:footnoteReference w:id="11"/>
      </w:r>
      <w:r w:rsidR="00714C8C">
        <w:t xml:space="preserve"> have been reported.</w:t>
      </w:r>
    </w:p>
    <w:p w14:paraId="5E493354" w14:textId="216A6A92" w:rsidR="00880FC7" w:rsidRDefault="00880FC7" w:rsidP="00880FC7">
      <w:r>
        <w:t xml:space="preserve">Rates of hepatotoxicity-related AEs were higher in the PCT arm than the </w:t>
      </w:r>
      <w:proofErr w:type="spellStart"/>
      <w:r>
        <w:t>talazoparib</w:t>
      </w:r>
      <w:proofErr w:type="spellEnd"/>
      <w:r>
        <w:t xml:space="preserve"> arm of </w:t>
      </w:r>
      <w:r w:rsidR="001D5D9D">
        <w:t xml:space="preserve">the </w:t>
      </w:r>
      <w:r>
        <w:t>EMBRACA</w:t>
      </w:r>
      <w:r w:rsidR="001D5D9D">
        <w:t xml:space="preserve"> trial</w:t>
      </w:r>
      <w:r>
        <w:t xml:space="preserve"> (19.8% versus 9.1%, respectively). Hepatotoxicity-related AEs occurred in 12.7% of patients taking </w:t>
      </w:r>
      <w:proofErr w:type="spellStart"/>
      <w:r>
        <w:t>capecitabine</w:t>
      </w:r>
      <w:proofErr w:type="spellEnd"/>
      <w:r>
        <w:t xml:space="preserve">, 20.0% of patients taking </w:t>
      </w:r>
      <w:proofErr w:type="spellStart"/>
      <w:r>
        <w:t>eribulin</w:t>
      </w:r>
      <w:proofErr w:type="spellEnd"/>
      <w:r>
        <w:t xml:space="preserve">, 41.7% of patients taking gemcitabine, and 33.3% of patients taking </w:t>
      </w:r>
      <w:proofErr w:type="spellStart"/>
      <w:r>
        <w:t>vinorelbine</w:t>
      </w:r>
      <w:proofErr w:type="spellEnd"/>
      <w:r>
        <w:t>.</w:t>
      </w:r>
    </w:p>
    <w:p w14:paraId="3943036B" w14:textId="7E8BE30F" w:rsidR="00880FC7" w:rsidRDefault="009046A3" w:rsidP="00880FC7">
      <w:pPr>
        <w:pStyle w:val="Heading6"/>
      </w:pPr>
      <w:r>
        <w:t>Myelodysplastic syndrome</w:t>
      </w:r>
      <w:r w:rsidR="00880FC7">
        <w:t>/</w:t>
      </w:r>
      <w:r>
        <w:t>acute myeloid leukaemia</w:t>
      </w:r>
    </w:p>
    <w:p w14:paraId="5AE6FAE8" w14:textId="0CA90D84" w:rsidR="00880FC7" w:rsidRDefault="00880FC7" w:rsidP="00880FC7">
      <w:r>
        <w:t xml:space="preserve">Across all patients treated with 1 mg daily </w:t>
      </w:r>
      <w:proofErr w:type="spellStart"/>
      <w:r>
        <w:t>talazoparib</w:t>
      </w:r>
      <w:proofErr w:type="spellEnd"/>
      <w:r>
        <w:t xml:space="preserve">, two cases of pancytopenia occurred. Neither case of pancytopenia </w:t>
      </w:r>
      <w:proofErr w:type="gramStart"/>
      <w:r>
        <w:t>was considered</w:t>
      </w:r>
      <w:proofErr w:type="gramEnd"/>
      <w:r>
        <w:t xml:space="preserve"> consistent with MD</w:t>
      </w:r>
      <w:r w:rsidR="009046A3">
        <w:t>S.</w:t>
      </w:r>
    </w:p>
    <w:p w14:paraId="6A348AB8" w14:textId="77777777" w:rsidR="00880FC7" w:rsidRDefault="00880FC7" w:rsidP="00880FC7">
      <w:r>
        <w:t xml:space="preserve">Across the </w:t>
      </w:r>
      <w:proofErr w:type="spellStart"/>
      <w:r>
        <w:t>talazoparib</w:t>
      </w:r>
      <w:proofErr w:type="spellEnd"/>
      <w:r>
        <w:t xml:space="preserve"> development program, at the time of the FDA approval, two cases of AML </w:t>
      </w:r>
      <w:proofErr w:type="gramStart"/>
      <w:r>
        <w:t>had been reported</w:t>
      </w:r>
      <w:proofErr w:type="gramEnd"/>
      <w:r>
        <w:t xml:space="preserve"> in patients exposed to </w:t>
      </w:r>
      <w:proofErr w:type="spellStart"/>
      <w:r>
        <w:t>talazoparib</w:t>
      </w:r>
      <w:proofErr w:type="spellEnd"/>
      <w:r>
        <w:t>, both confounded by prior chemotherapy known to be associated with second primary malignancies including AML.</w:t>
      </w:r>
    </w:p>
    <w:p w14:paraId="7CBA9905" w14:textId="77777777" w:rsidR="00880FC7" w:rsidRDefault="00880FC7" w:rsidP="00880FC7">
      <w:r>
        <w:t xml:space="preserve">One case of AML occurred in a patient with salivary gland cancer in </w:t>
      </w:r>
      <w:r w:rsidRPr="00AF5F75">
        <w:t xml:space="preserve">Study </w:t>
      </w:r>
      <w:r w:rsidRPr="00D17197">
        <w:t>C3441010</w:t>
      </w:r>
      <w:r>
        <w:t>. The</w:t>
      </w:r>
      <w:r w:rsidRPr="00D17197">
        <w:t xml:space="preserve"> </w:t>
      </w:r>
      <w:r>
        <w:t xml:space="preserve">total duration of </w:t>
      </w:r>
      <w:proofErr w:type="spellStart"/>
      <w:r>
        <w:t>talazoparib</w:t>
      </w:r>
      <w:proofErr w:type="spellEnd"/>
      <w:r>
        <w:t xml:space="preserve"> treatment was 4 months, initially at 0.5 mg daily then escalated to 0.75 mg daily. A diagnosis of </w:t>
      </w:r>
      <w:r w:rsidRPr="00D17197">
        <w:t xml:space="preserve">AML originating from MDS </w:t>
      </w:r>
      <w:proofErr w:type="gramStart"/>
      <w:r w:rsidRPr="00D17197">
        <w:t>was established</w:t>
      </w:r>
      <w:proofErr w:type="gramEnd"/>
      <w:r>
        <w:t xml:space="preserve"> based on bone marrow biopsy. The patient </w:t>
      </w:r>
      <w:proofErr w:type="gramStart"/>
      <w:r>
        <w:t xml:space="preserve">had </w:t>
      </w:r>
      <w:r w:rsidRPr="00D17197">
        <w:t>previous</w:t>
      </w:r>
      <w:r>
        <w:t>ly been treated</w:t>
      </w:r>
      <w:proofErr w:type="gramEnd"/>
      <w:r>
        <w:t xml:space="preserve"> with</w:t>
      </w:r>
      <w:r w:rsidRPr="00D17197">
        <w:t xml:space="preserve"> </w:t>
      </w:r>
      <w:r>
        <w:t>chemotherapy including</w:t>
      </w:r>
      <w:r w:rsidRPr="00D17197">
        <w:t xml:space="preserve"> cyclophosphamide</w:t>
      </w:r>
      <w:r>
        <w:t>.</w:t>
      </w:r>
    </w:p>
    <w:p w14:paraId="512BDC30" w14:textId="465885DE" w:rsidR="00880FC7" w:rsidRDefault="00880FC7" w:rsidP="00880FC7">
      <w:r>
        <w:t xml:space="preserve">The other case of AML </w:t>
      </w:r>
      <w:proofErr w:type="gramStart"/>
      <w:r>
        <w:t>was reported</w:t>
      </w:r>
      <w:proofErr w:type="gramEnd"/>
      <w:r>
        <w:t xml:space="preserve"> in a patient treated with </w:t>
      </w:r>
      <w:proofErr w:type="spellStart"/>
      <w:r>
        <w:t>talazoparib</w:t>
      </w:r>
      <w:proofErr w:type="spellEnd"/>
      <w:r>
        <w:t xml:space="preserve"> in </w:t>
      </w:r>
      <w:r w:rsidR="001D5D9D">
        <w:t xml:space="preserve">the </w:t>
      </w:r>
      <w:r>
        <w:t>EMBRACA</w:t>
      </w:r>
      <w:r w:rsidR="001D5D9D">
        <w:t xml:space="preserve"> trial</w:t>
      </w:r>
      <w:r>
        <w:t xml:space="preserve">, approximately 24 months after starting study drug. The patient </w:t>
      </w:r>
      <w:proofErr w:type="gramStart"/>
      <w:r>
        <w:t>had previously been treated</w:t>
      </w:r>
      <w:proofErr w:type="gramEnd"/>
      <w:r>
        <w:t xml:space="preserve"> with </w:t>
      </w:r>
      <w:proofErr w:type="spellStart"/>
      <w:r w:rsidRPr="00D17197">
        <w:t>neoadjuvant</w:t>
      </w:r>
      <w:proofErr w:type="spellEnd"/>
      <w:r w:rsidRPr="00D17197">
        <w:t xml:space="preserve"> doxorubicin/docetaxel/cyclophosphamide, bilateral mastectomy, paclitaxel albumin/carboplatin, and surgery and radiotherapy for lung and brain metastases.</w:t>
      </w:r>
      <w:r w:rsidRPr="00D025F2">
        <w:t xml:space="preserve"> </w:t>
      </w:r>
      <w:r w:rsidRPr="00D17197">
        <w:t xml:space="preserve">There was one event of acute </w:t>
      </w:r>
      <w:proofErr w:type="spellStart"/>
      <w:r w:rsidRPr="00D17197">
        <w:t>promyelocytic</w:t>
      </w:r>
      <w:proofErr w:type="spellEnd"/>
      <w:r w:rsidRPr="00D17197">
        <w:t xml:space="preserve"> leuk</w:t>
      </w:r>
      <w:r w:rsidR="001D5D9D">
        <w:t>a</w:t>
      </w:r>
      <w:r w:rsidRPr="00D17197">
        <w:t xml:space="preserve">emia in the PCT arm of the EMBRACA </w:t>
      </w:r>
      <w:r w:rsidR="001D5D9D">
        <w:t>trial</w:t>
      </w:r>
      <w:r w:rsidRPr="00D17197">
        <w:t>.</w:t>
      </w:r>
    </w:p>
    <w:p w14:paraId="35AD0896" w14:textId="406B3821" w:rsidR="00880FC7" w:rsidRDefault="00880FC7" w:rsidP="00880FC7">
      <w:pPr>
        <w:pStyle w:val="Heading6"/>
      </w:pPr>
      <w:r>
        <w:lastRenderedPageBreak/>
        <w:t>Other new primary malignancies</w:t>
      </w:r>
    </w:p>
    <w:p w14:paraId="4A2F21CE" w14:textId="77777777" w:rsidR="00880FC7" w:rsidRDefault="00880FC7" w:rsidP="00880FC7">
      <w:r>
        <w:t xml:space="preserve">Across all patients treated with </w:t>
      </w:r>
      <w:proofErr w:type="spellStart"/>
      <w:r>
        <w:t>talazoparib</w:t>
      </w:r>
      <w:proofErr w:type="spellEnd"/>
      <w:r>
        <w:t xml:space="preserve"> at the proposed dose of 1 mg daily there have been seven reports of a second primary malignancy</w:t>
      </w:r>
      <w:r w:rsidRPr="00A76B16">
        <w:t xml:space="preserve"> </w:t>
      </w:r>
      <w:r>
        <w:t xml:space="preserve">for </w:t>
      </w:r>
      <w:proofErr w:type="gramStart"/>
      <w:r>
        <w:t>6</w:t>
      </w:r>
      <w:proofErr w:type="gramEnd"/>
      <w:r>
        <w:t xml:space="preserve"> patients:</w:t>
      </w:r>
    </w:p>
    <w:p w14:paraId="0D30C856" w14:textId="355718D3" w:rsidR="00880FC7" w:rsidRDefault="00880FC7" w:rsidP="009046A3">
      <w:pPr>
        <w:pStyle w:val="ListBullet"/>
      </w:pPr>
      <w:r w:rsidRPr="003B7C30">
        <w:t xml:space="preserve">squamous cell carcinoma of skin </w:t>
      </w:r>
      <w:r>
        <w:t>and basal cell carcinoma</w:t>
      </w:r>
      <w:r w:rsidR="009046A3">
        <w:t>;</w:t>
      </w:r>
    </w:p>
    <w:p w14:paraId="23823F52" w14:textId="4B8B1E65" w:rsidR="00880FC7" w:rsidRDefault="009046A3" w:rsidP="009046A3">
      <w:pPr>
        <w:pStyle w:val="ListBullet"/>
      </w:pPr>
      <w:r>
        <w:t>squamous cell carcinoma of skin;</w:t>
      </w:r>
    </w:p>
    <w:p w14:paraId="56C3E97B" w14:textId="4BD7A65B" w:rsidR="00880FC7" w:rsidRDefault="00880FC7" w:rsidP="009046A3">
      <w:pPr>
        <w:pStyle w:val="ListBullet"/>
      </w:pPr>
      <w:r>
        <w:t xml:space="preserve">glioblastoma </w:t>
      </w:r>
      <w:proofErr w:type="spellStart"/>
      <w:r>
        <w:t>multiforme</w:t>
      </w:r>
      <w:proofErr w:type="spellEnd"/>
      <w:r w:rsidR="009046A3">
        <w:t>;</w:t>
      </w:r>
    </w:p>
    <w:p w14:paraId="34E0F278" w14:textId="0CBEDB88" w:rsidR="00880FC7" w:rsidRDefault="00880FC7" w:rsidP="009046A3">
      <w:pPr>
        <w:pStyle w:val="ListBullet"/>
      </w:pPr>
      <w:proofErr w:type="spellStart"/>
      <w:r>
        <w:t>i</w:t>
      </w:r>
      <w:r w:rsidRPr="00A76B16">
        <w:t>ntraduct</w:t>
      </w:r>
      <w:r>
        <w:t>al</w:t>
      </w:r>
      <w:proofErr w:type="spellEnd"/>
      <w:r>
        <w:t xml:space="preserve"> proliferative breast lesion</w:t>
      </w:r>
      <w:r w:rsidR="009046A3">
        <w:t>;</w:t>
      </w:r>
    </w:p>
    <w:p w14:paraId="34C2B6D1" w14:textId="61FBA811" w:rsidR="00880FC7" w:rsidRDefault="00880FC7" w:rsidP="009046A3">
      <w:pPr>
        <w:pStyle w:val="ListBullet"/>
      </w:pPr>
      <w:r>
        <w:t>neoplasm skin</w:t>
      </w:r>
      <w:r w:rsidR="009046A3">
        <w:t>;</w:t>
      </w:r>
    </w:p>
    <w:p w14:paraId="2CEC45DF" w14:textId="6F52D6B6" w:rsidR="00880FC7" w:rsidRDefault="009046A3" w:rsidP="009046A3">
      <w:pPr>
        <w:pStyle w:val="ListBullet"/>
      </w:pPr>
      <w:proofErr w:type="gramStart"/>
      <w:r>
        <w:t>ovarian</w:t>
      </w:r>
      <w:proofErr w:type="gramEnd"/>
      <w:r>
        <w:t xml:space="preserve"> neoplasm.</w:t>
      </w:r>
    </w:p>
    <w:p w14:paraId="7F413C99" w14:textId="6DD8E2F3" w:rsidR="00880FC7" w:rsidRPr="005E5A03" w:rsidRDefault="00880FC7" w:rsidP="00880FC7">
      <w:r>
        <w:t xml:space="preserve">Three of these patients were in the </w:t>
      </w:r>
      <w:proofErr w:type="spellStart"/>
      <w:r>
        <w:t>talazoparib</w:t>
      </w:r>
      <w:proofErr w:type="spellEnd"/>
      <w:r>
        <w:t xml:space="preserve"> arm of </w:t>
      </w:r>
      <w:r w:rsidR="001D5D9D">
        <w:t xml:space="preserve">the </w:t>
      </w:r>
      <w:r>
        <w:t>EMBRACA</w:t>
      </w:r>
      <w:r w:rsidR="001D5D9D">
        <w:t xml:space="preserve"> trial</w:t>
      </w:r>
      <w:r>
        <w:t xml:space="preserve">. By comparison, one patient in the PCT arm of </w:t>
      </w:r>
      <w:r w:rsidR="001D5D9D">
        <w:t xml:space="preserve">the </w:t>
      </w:r>
      <w:r>
        <w:t xml:space="preserve">EMBRACA </w:t>
      </w:r>
      <w:r w:rsidR="001D5D9D">
        <w:t xml:space="preserve">trial </w:t>
      </w:r>
      <w:r>
        <w:t>had second primary malignancy reported (‘</w:t>
      </w:r>
      <w:r w:rsidRPr="00A76B16">
        <w:t>malignant melanoma</w:t>
      </w:r>
      <w:r>
        <w:t>’</w:t>
      </w:r>
      <w:r w:rsidRPr="00A76B16">
        <w:t xml:space="preserve"> and </w:t>
      </w:r>
      <w:r>
        <w:t>‘</w:t>
      </w:r>
      <w:r w:rsidRPr="00A76B16">
        <w:t>second primary malignancy</w:t>
      </w:r>
      <w:r>
        <w:t>’ both reported as SAEs).</w:t>
      </w:r>
    </w:p>
    <w:p w14:paraId="04BEA974" w14:textId="77777777" w:rsidR="00880FC7" w:rsidRDefault="00880FC7" w:rsidP="00880FC7">
      <w:pPr>
        <w:pStyle w:val="Heading6"/>
      </w:pPr>
      <w:r>
        <w:t>Pneumonitis</w:t>
      </w:r>
    </w:p>
    <w:p w14:paraId="217781F6" w14:textId="356DD4F3" w:rsidR="00880FC7" w:rsidRDefault="00880FC7" w:rsidP="00880FC7">
      <w:r>
        <w:t xml:space="preserve">Across the clinical development program for </w:t>
      </w:r>
      <w:proofErr w:type="spellStart"/>
      <w:r>
        <w:t>talazoparib</w:t>
      </w:r>
      <w:proofErr w:type="spellEnd"/>
      <w:r>
        <w:t xml:space="preserve">, one case of pneumonitis </w:t>
      </w:r>
      <w:proofErr w:type="gramStart"/>
      <w:r>
        <w:t>has been reported</w:t>
      </w:r>
      <w:proofErr w:type="gramEnd"/>
      <w:r>
        <w:t xml:space="preserve">. This case occurred in a patient treated with </w:t>
      </w:r>
      <w:proofErr w:type="spellStart"/>
      <w:r>
        <w:t>talazoparib</w:t>
      </w:r>
      <w:proofErr w:type="spellEnd"/>
      <w:r>
        <w:t xml:space="preserve"> at the proposed dose (1 mg daily P</w:t>
      </w:r>
      <w:r w:rsidR="009046A3">
        <w:t xml:space="preserve">O) in the ABRAZO </w:t>
      </w:r>
      <w:r w:rsidR="001D5D9D">
        <w:t>trial</w:t>
      </w:r>
      <w:r w:rsidR="009046A3">
        <w:t>, was of G</w:t>
      </w:r>
      <w:r>
        <w:t>rade 1 seve</w:t>
      </w:r>
      <w:r w:rsidR="009046A3">
        <w:t>rity and was associated with a G</w:t>
      </w:r>
      <w:r>
        <w:t xml:space="preserve">rade 3 event of pneumonia for which </w:t>
      </w:r>
      <w:proofErr w:type="spellStart"/>
      <w:r>
        <w:t>talazoparib</w:t>
      </w:r>
      <w:proofErr w:type="spellEnd"/>
      <w:r>
        <w:t xml:space="preserve"> treatment </w:t>
      </w:r>
      <w:proofErr w:type="gramStart"/>
      <w:r>
        <w:t>was interrupted</w:t>
      </w:r>
      <w:proofErr w:type="gramEnd"/>
      <w:r>
        <w:t xml:space="preserve">. </w:t>
      </w:r>
      <w:proofErr w:type="spellStart"/>
      <w:r>
        <w:t>Talazoparib</w:t>
      </w:r>
      <w:proofErr w:type="spellEnd"/>
      <w:r>
        <w:t xml:space="preserve"> was recommenced after resolution of pneumonia, and continued for a further 9 months without recurrence of pneumonitis.</w:t>
      </w:r>
    </w:p>
    <w:p w14:paraId="00C18467" w14:textId="77777777" w:rsidR="00880FC7" w:rsidRDefault="00880FC7" w:rsidP="00880FC7">
      <w:pPr>
        <w:pStyle w:val="Heading5"/>
        <w:rPr>
          <w:lang w:eastAsia="ja-JP"/>
        </w:rPr>
      </w:pPr>
      <w:r>
        <w:rPr>
          <w:lang w:eastAsia="ja-JP"/>
        </w:rPr>
        <w:t xml:space="preserve">Study </w:t>
      </w:r>
      <w:r w:rsidRPr="00454F4A">
        <w:rPr>
          <w:lang w:eastAsia="ja-JP"/>
        </w:rPr>
        <w:t>C3441005</w:t>
      </w:r>
      <w:r>
        <w:rPr>
          <w:lang w:eastAsia="ja-JP"/>
        </w:rPr>
        <w:t>/MDV3800-14</w:t>
      </w:r>
    </w:p>
    <w:p w14:paraId="1B010237" w14:textId="6DDA031B" w:rsidR="00880FC7" w:rsidRPr="00716DDE" w:rsidRDefault="009046A3" w:rsidP="00897FE8">
      <w:pPr>
        <w:rPr>
          <w:lang w:eastAsia="ja-JP"/>
        </w:rPr>
      </w:pPr>
      <w:r>
        <w:rPr>
          <w:lang w:eastAsia="ja-JP"/>
        </w:rPr>
        <w:t>In this dedicated Phase I</w:t>
      </w:r>
      <w:r w:rsidR="00880FC7">
        <w:rPr>
          <w:lang w:eastAsia="ja-JP"/>
        </w:rPr>
        <w:t xml:space="preserve"> cardiac repolarisation study conducted in the USA, 37 patients with solid tumours </w:t>
      </w:r>
      <w:proofErr w:type="gramStart"/>
      <w:r w:rsidR="00880FC7">
        <w:rPr>
          <w:lang w:eastAsia="ja-JP"/>
        </w:rPr>
        <w:t>were exposed</w:t>
      </w:r>
      <w:proofErr w:type="gramEnd"/>
      <w:r w:rsidR="00880FC7">
        <w:rPr>
          <w:lang w:eastAsia="ja-JP"/>
        </w:rPr>
        <w:t xml:space="preserve"> for a median of 22 days to </w:t>
      </w:r>
      <w:proofErr w:type="spellStart"/>
      <w:r w:rsidR="00880FC7">
        <w:rPr>
          <w:lang w:eastAsia="ja-JP"/>
        </w:rPr>
        <w:t>talazoparib</w:t>
      </w:r>
      <w:proofErr w:type="spellEnd"/>
      <w:r w:rsidR="00880FC7">
        <w:rPr>
          <w:lang w:eastAsia="ja-JP"/>
        </w:rPr>
        <w:t xml:space="preserve"> at the proposed dose of 1 mg daily PO. There were no patients with absolute post baseline mean </w:t>
      </w:r>
      <w:r w:rsidR="001D5D9D">
        <w:rPr>
          <w:lang w:eastAsia="ja-JP"/>
        </w:rPr>
        <w:t>QT interval;</w:t>
      </w:r>
      <w:r w:rsidR="001D5D9D">
        <w:rPr>
          <w:rStyle w:val="FootnoteReference"/>
          <w:lang w:eastAsia="ja-JP"/>
        </w:rPr>
        <w:footnoteReference w:id="12"/>
      </w:r>
      <w:r w:rsidR="001D5D9D">
        <w:rPr>
          <w:lang w:eastAsia="ja-JP"/>
        </w:rPr>
        <w:t xml:space="preserve"> corrected for heart rate (</w:t>
      </w:r>
      <w:proofErr w:type="spellStart"/>
      <w:r w:rsidR="00880FC7">
        <w:rPr>
          <w:lang w:eastAsia="ja-JP"/>
        </w:rPr>
        <w:t>QTc</w:t>
      </w:r>
      <w:proofErr w:type="spellEnd"/>
      <w:r w:rsidR="001D5D9D">
        <w:rPr>
          <w:lang w:eastAsia="ja-JP"/>
        </w:rPr>
        <w:t>)</w:t>
      </w:r>
      <w:r w:rsidR="00880FC7">
        <w:rPr>
          <w:lang w:eastAsia="ja-JP"/>
        </w:rPr>
        <w:t xml:space="preserve"> &gt;</w:t>
      </w:r>
      <w:r>
        <w:rPr>
          <w:lang w:eastAsia="ja-JP"/>
        </w:rPr>
        <w:t xml:space="preserve"> 500 </w:t>
      </w:r>
      <w:proofErr w:type="spellStart"/>
      <w:r w:rsidR="00880FC7">
        <w:rPr>
          <w:lang w:eastAsia="ja-JP"/>
        </w:rPr>
        <w:t>msec</w:t>
      </w:r>
      <w:proofErr w:type="spellEnd"/>
      <w:r w:rsidR="00880FC7">
        <w:rPr>
          <w:lang w:eastAsia="ja-JP"/>
        </w:rPr>
        <w:t xml:space="preserve"> or an increase from time-matched </w:t>
      </w:r>
      <w:r w:rsidR="001D5D9D">
        <w:rPr>
          <w:lang w:eastAsia="ja-JP"/>
        </w:rPr>
        <w:t xml:space="preserve">Baseline </w:t>
      </w:r>
      <w:r w:rsidR="00880FC7">
        <w:rPr>
          <w:lang w:eastAsia="ja-JP"/>
        </w:rPr>
        <w:t>of &gt;</w:t>
      </w:r>
      <w:r>
        <w:rPr>
          <w:lang w:eastAsia="ja-JP"/>
        </w:rPr>
        <w:t xml:space="preserve"> </w:t>
      </w:r>
      <w:r w:rsidR="00880FC7">
        <w:rPr>
          <w:lang w:eastAsia="ja-JP"/>
        </w:rPr>
        <w:t xml:space="preserve">60 </w:t>
      </w:r>
      <w:proofErr w:type="spellStart"/>
      <w:r w:rsidR="00880FC7">
        <w:rPr>
          <w:lang w:eastAsia="ja-JP"/>
        </w:rPr>
        <w:t>msec</w:t>
      </w:r>
      <w:proofErr w:type="spellEnd"/>
      <w:r w:rsidR="00880FC7">
        <w:rPr>
          <w:lang w:eastAsia="ja-JP"/>
        </w:rPr>
        <w:t xml:space="preserve">, either </w:t>
      </w:r>
      <w:r w:rsidR="001D5D9D">
        <w:rPr>
          <w:lang w:eastAsia="ja-JP"/>
        </w:rPr>
        <w:t xml:space="preserve">corrected </w:t>
      </w:r>
      <w:r w:rsidR="00880FC7">
        <w:rPr>
          <w:lang w:eastAsia="ja-JP"/>
        </w:rPr>
        <w:t>by</w:t>
      </w:r>
      <w:r w:rsidR="001D5D9D">
        <w:rPr>
          <w:lang w:eastAsia="ja-JP"/>
        </w:rPr>
        <w:t xml:space="preserve"> </w:t>
      </w:r>
      <w:proofErr w:type="spellStart"/>
      <w:r w:rsidR="001D5D9D">
        <w:rPr>
          <w:lang w:eastAsia="ja-JP"/>
        </w:rPr>
        <w:t>Fridericia’s</w:t>
      </w:r>
      <w:proofErr w:type="spellEnd"/>
      <w:r w:rsidR="001D5D9D">
        <w:rPr>
          <w:lang w:eastAsia="ja-JP"/>
        </w:rPr>
        <w:t xml:space="preserve"> formula</w:t>
      </w:r>
      <w:r w:rsidR="00880FC7">
        <w:rPr>
          <w:lang w:eastAsia="ja-JP"/>
        </w:rPr>
        <w:t xml:space="preserve"> </w:t>
      </w:r>
      <w:r w:rsidR="001D5D9D">
        <w:rPr>
          <w:lang w:eastAsia="ja-JP"/>
        </w:rPr>
        <w:t>(</w:t>
      </w:r>
      <w:proofErr w:type="spellStart"/>
      <w:r w:rsidR="00880FC7">
        <w:rPr>
          <w:lang w:eastAsia="ja-JP"/>
        </w:rPr>
        <w:t>QTcF</w:t>
      </w:r>
      <w:proofErr w:type="spellEnd"/>
      <w:r w:rsidR="001D5D9D">
        <w:rPr>
          <w:lang w:eastAsia="ja-JP"/>
        </w:rPr>
        <w:t>)</w:t>
      </w:r>
      <w:r w:rsidR="00880FC7">
        <w:rPr>
          <w:lang w:eastAsia="ja-JP"/>
        </w:rPr>
        <w:t xml:space="preserve"> or</w:t>
      </w:r>
      <w:r w:rsidR="001D5D9D">
        <w:rPr>
          <w:lang w:eastAsia="ja-JP"/>
        </w:rPr>
        <w:t xml:space="preserve"> </w:t>
      </w:r>
      <w:proofErr w:type="spellStart"/>
      <w:r w:rsidR="001D5D9D">
        <w:rPr>
          <w:lang w:eastAsia="ja-JP"/>
        </w:rPr>
        <w:t>Bazett’s</w:t>
      </w:r>
      <w:proofErr w:type="spellEnd"/>
      <w:r w:rsidR="001D5D9D">
        <w:rPr>
          <w:lang w:eastAsia="ja-JP"/>
        </w:rPr>
        <w:t xml:space="preserve"> formula</w:t>
      </w:r>
      <w:r w:rsidR="00880FC7">
        <w:rPr>
          <w:lang w:eastAsia="ja-JP"/>
        </w:rPr>
        <w:t xml:space="preserve"> </w:t>
      </w:r>
      <w:r w:rsidR="001D5D9D">
        <w:rPr>
          <w:lang w:eastAsia="ja-JP"/>
        </w:rPr>
        <w:t>(</w:t>
      </w:r>
      <w:r w:rsidR="00880FC7">
        <w:rPr>
          <w:lang w:eastAsia="ja-JP"/>
        </w:rPr>
        <w:t>QTcB</w:t>
      </w:r>
      <w:r w:rsidR="001D5D9D">
        <w:rPr>
          <w:lang w:eastAsia="ja-JP"/>
        </w:rPr>
        <w:t>)</w:t>
      </w:r>
      <w:r w:rsidR="00880FC7">
        <w:rPr>
          <w:lang w:eastAsia="ja-JP"/>
        </w:rPr>
        <w:t xml:space="preserve">. </w:t>
      </w:r>
      <w:r w:rsidR="00880FC7" w:rsidRPr="00131458">
        <w:rPr>
          <w:lang w:eastAsia="ja-JP"/>
        </w:rPr>
        <w:t xml:space="preserve">Exposure response analyses </w:t>
      </w:r>
      <w:r w:rsidR="00880FC7">
        <w:rPr>
          <w:lang w:eastAsia="ja-JP"/>
        </w:rPr>
        <w:t xml:space="preserve">were conducted </w:t>
      </w:r>
      <w:r w:rsidR="00880FC7" w:rsidRPr="00131458">
        <w:rPr>
          <w:lang w:eastAsia="ja-JP"/>
        </w:rPr>
        <w:t>using matched PK-</w:t>
      </w:r>
      <w:r w:rsidRPr="009046A3">
        <w:t xml:space="preserve"> </w:t>
      </w:r>
      <w:r>
        <w:rPr>
          <w:lang w:eastAsia="ja-JP"/>
        </w:rPr>
        <w:t>electrocardiogram</w:t>
      </w:r>
      <w:r w:rsidRPr="009046A3">
        <w:rPr>
          <w:lang w:eastAsia="ja-JP"/>
        </w:rPr>
        <w:t xml:space="preserve"> </w:t>
      </w:r>
      <w:r>
        <w:rPr>
          <w:lang w:eastAsia="ja-JP"/>
        </w:rPr>
        <w:t>(</w:t>
      </w:r>
      <w:r w:rsidR="00880FC7" w:rsidRPr="00131458">
        <w:rPr>
          <w:lang w:eastAsia="ja-JP"/>
        </w:rPr>
        <w:t>ECG</w:t>
      </w:r>
      <w:r>
        <w:rPr>
          <w:lang w:eastAsia="ja-JP"/>
        </w:rPr>
        <w:t>)</w:t>
      </w:r>
      <w:r w:rsidR="00880FC7" w:rsidRPr="00131458">
        <w:rPr>
          <w:lang w:eastAsia="ja-JP"/>
        </w:rPr>
        <w:t xml:space="preserve"> data</w:t>
      </w:r>
      <w:r w:rsidR="00880FC7">
        <w:rPr>
          <w:lang w:eastAsia="ja-JP"/>
        </w:rPr>
        <w:t>, and did not indicate any dose-dependent</w:t>
      </w:r>
      <w:r w:rsidR="00880FC7" w:rsidRPr="00131458">
        <w:rPr>
          <w:lang w:eastAsia="ja-JP"/>
        </w:rPr>
        <w:t xml:space="preserve"> effect on heart rate, </w:t>
      </w:r>
      <w:proofErr w:type="spellStart"/>
      <w:r w:rsidR="00880FC7" w:rsidRPr="00131458">
        <w:rPr>
          <w:lang w:eastAsia="ja-JP"/>
        </w:rPr>
        <w:t>QTcF</w:t>
      </w:r>
      <w:proofErr w:type="spellEnd"/>
      <w:r w:rsidR="00880FC7" w:rsidRPr="00131458">
        <w:rPr>
          <w:lang w:eastAsia="ja-JP"/>
        </w:rPr>
        <w:t xml:space="preserve">, or QTcB at the </w:t>
      </w:r>
      <w:r w:rsidR="00880FC7">
        <w:rPr>
          <w:lang w:eastAsia="ja-JP"/>
        </w:rPr>
        <w:t>proposed dose.</w:t>
      </w:r>
    </w:p>
    <w:p w14:paraId="10BEC490" w14:textId="7873F1D3" w:rsidR="00880FC7" w:rsidRDefault="00880FC7" w:rsidP="00735C26">
      <w:pPr>
        <w:pStyle w:val="Heading5"/>
      </w:pPr>
      <w:r>
        <w:t>Post</w:t>
      </w:r>
      <w:r w:rsidR="00897FE8">
        <w:t xml:space="preserve"> </w:t>
      </w:r>
      <w:r>
        <w:t>market data</w:t>
      </w:r>
    </w:p>
    <w:p w14:paraId="0187795B" w14:textId="3C20A2B4" w:rsidR="00880FC7" w:rsidRDefault="00880FC7" w:rsidP="00897FE8">
      <w:proofErr w:type="gramStart"/>
      <w:r>
        <w:t xml:space="preserve">Two reports incorporating </w:t>
      </w:r>
      <w:proofErr w:type="spellStart"/>
      <w:r>
        <w:t>postmarket</w:t>
      </w:r>
      <w:proofErr w:type="spellEnd"/>
      <w:r>
        <w:t xml:space="preserve"> data and clinical trial data (PADER) since approval in the</w:t>
      </w:r>
      <w:r w:rsidR="009046A3">
        <w:t xml:space="preserve"> USA have been provided by the s</w:t>
      </w:r>
      <w:r>
        <w:t>ponsor in the submission</w:t>
      </w:r>
      <w:proofErr w:type="gramEnd"/>
      <w:r>
        <w:t>:</w:t>
      </w:r>
    </w:p>
    <w:p w14:paraId="45475A42" w14:textId="6F0CAD13" w:rsidR="00880FC7" w:rsidRDefault="009046A3" w:rsidP="00735C26">
      <w:pPr>
        <w:pStyle w:val="ListBullet"/>
      </w:pPr>
      <w:r>
        <w:t xml:space="preserve">PADER dated 7 February </w:t>
      </w:r>
      <w:r w:rsidR="00880FC7">
        <w:t>2019 (</w:t>
      </w:r>
      <w:r>
        <w:t>reporting period: 16 October 2018 to 15</w:t>
      </w:r>
      <w:r w:rsidR="001D5D9D">
        <w:t> </w:t>
      </w:r>
      <w:r>
        <w:t>January</w:t>
      </w:r>
      <w:r w:rsidR="001D5D9D">
        <w:t> </w:t>
      </w:r>
      <w:r w:rsidR="00880FC7">
        <w:t>2019)</w:t>
      </w:r>
      <w:r>
        <w:t>;</w:t>
      </w:r>
    </w:p>
    <w:p w14:paraId="5D5E6F07" w14:textId="44723423" w:rsidR="00880FC7" w:rsidRDefault="009046A3" w:rsidP="00897FE8">
      <w:pPr>
        <w:pStyle w:val="ListBullet"/>
      </w:pPr>
      <w:r>
        <w:t xml:space="preserve">PADER dated 7 May </w:t>
      </w:r>
      <w:r w:rsidR="00880FC7">
        <w:t>2019 (</w:t>
      </w:r>
      <w:r>
        <w:t xml:space="preserve">reporting period: 16 January 2019 to 15 April </w:t>
      </w:r>
      <w:r w:rsidR="00880FC7">
        <w:t>2019)</w:t>
      </w:r>
      <w:r>
        <w:t>.</w:t>
      </w:r>
    </w:p>
    <w:p w14:paraId="0AD65376" w14:textId="711D1F33" w:rsidR="00880FC7" w:rsidRDefault="00880FC7" w:rsidP="00897FE8">
      <w:r>
        <w:t xml:space="preserve">In providing these reports, the </w:t>
      </w:r>
      <w:r w:rsidR="001D5D9D">
        <w:t>s</w:t>
      </w:r>
      <w:r>
        <w:t>ponsor stated:</w:t>
      </w:r>
    </w:p>
    <w:p w14:paraId="5B4C8944" w14:textId="11E9EA6F" w:rsidR="00880FC7" w:rsidRDefault="00897FE8" w:rsidP="00897FE8">
      <w:pPr>
        <w:ind w:left="720"/>
      </w:pPr>
      <w:r>
        <w:t>‘</w:t>
      </w:r>
      <w:r w:rsidR="00880FC7">
        <w:t xml:space="preserve">Both PADERs concluded that the type and occurrence of adverse drug experiences contained in these documents are consistent with the known safety profile of the product. No new safety information </w:t>
      </w:r>
      <w:proofErr w:type="gramStart"/>
      <w:r w:rsidR="00880FC7">
        <w:t>was identified</w:t>
      </w:r>
      <w:proofErr w:type="gramEnd"/>
      <w:r w:rsidR="00880FC7">
        <w:t xml:space="preserve"> that altered the benefit-risk profile of </w:t>
      </w:r>
      <w:proofErr w:type="spellStart"/>
      <w:r w:rsidR="00880FC7">
        <w:t>Talzenna</w:t>
      </w:r>
      <w:proofErr w:type="spellEnd"/>
      <w:r w:rsidR="00880FC7">
        <w:t xml:space="preserve"> (</w:t>
      </w:r>
      <w:proofErr w:type="spellStart"/>
      <w:r w:rsidR="00880FC7">
        <w:t>talazoparib</w:t>
      </w:r>
      <w:proofErr w:type="spellEnd"/>
      <w:r w:rsidR="00880FC7">
        <w:t>). The data do not reflect a change in adverse experience occurrence and no change to the product’s current FDA-approved label</w:t>
      </w:r>
      <w:r>
        <w:t>ling is warranted at this time.’</w:t>
      </w:r>
    </w:p>
    <w:p w14:paraId="223AE6C6" w14:textId="40DE0608" w:rsidR="00880FC7" w:rsidRPr="0014675B" w:rsidRDefault="00880FC7" w:rsidP="00557F77">
      <w:pPr>
        <w:rPr>
          <w:lang w:eastAsia="zh-TW"/>
        </w:rPr>
      </w:pPr>
      <w:r w:rsidRPr="0014675B">
        <w:rPr>
          <w:lang w:eastAsia="zh-TW"/>
        </w:rPr>
        <w:lastRenderedPageBreak/>
        <w:t xml:space="preserve">An event of leukaemia </w:t>
      </w:r>
      <w:proofErr w:type="gramStart"/>
      <w:r w:rsidRPr="0014675B">
        <w:rPr>
          <w:lang w:eastAsia="zh-TW"/>
        </w:rPr>
        <w:t>was noted</w:t>
      </w:r>
      <w:proofErr w:type="gramEnd"/>
      <w:r w:rsidRPr="0014675B">
        <w:rPr>
          <w:lang w:eastAsia="zh-TW"/>
        </w:rPr>
        <w:t xml:space="preserve"> in the second of these documents </w:t>
      </w:r>
      <w:r w:rsidR="00897FE8" w:rsidRPr="0014675B">
        <w:rPr>
          <w:lang w:eastAsia="zh-TW"/>
        </w:rPr>
        <w:t>(included above under MDS/AML)</w:t>
      </w:r>
      <w:r w:rsidR="00FA57C4" w:rsidRPr="0014675B">
        <w:rPr>
          <w:lang w:eastAsia="zh-TW"/>
        </w:rPr>
        <w:t xml:space="preserve"> </w:t>
      </w:r>
      <w:r w:rsidR="00FA57C4" w:rsidRPr="00557F77">
        <w:t>and was a follow up of the case of AML in the patient with salivary gland cancer in Study C3441010</w:t>
      </w:r>
      <w:r w:rsidR="00897FE8" w:rsidRPr="0014675B">
        <w:rPr>
          <w:lang w:eastAsia="zh-TW"/>
        </w:rPr>
        <w:t>.</w:t>
      </w:r>
    </w:p>
    <w:p w14:paraId="48B3F114" w14:textId="77777777" w:rsidR="00880FC7" w:rsidRPr="00716DDE" w:rsidRDefault="00880FC7" w:rsidP="00735C26">
      <w:pPr>
        <w:pStyle w:val="Heading5"/>
      </w:pPr>
      <w:r w:rsidRPr="00716DDE">
        <w:t>Safety-related conclusions</w:t>
      </w:r>
    </w:p>
    <w:p w14:paraId="3A345A1E" w14:textId="217799B0" w:rsidR="00880FC7" w:rsidRDefault="00880FC7" w:rsidP="00897FE8">
      <w:r w:rsidRPr="00716DDE">
        <w:t xml:space="preserve">The safety profile </w:t>
      </w:r>
      <w:r>
        <w:t xml:space="preserve">of </w:t>
      </w:r>
      <w:proofErr w:type="spellStart"/>
      <w:r>
        <w:t>talazoparib</w:t>
      </w:r>
      <w:proofErr w:type="spellEnd"/>
      <w:r>
        <w:t xml:space="preserve"> appeared</w:t>
      </w:r>
      <w:r w:rsidRPr="00716DDE">
        <w:t xml:space="preserve"> consistent between </w:t>
      </w:r>
      <w:r w:rsidR="001D5D9D">
        <w:t xml:space="preserve">the </w:t>
      </w:r>
      <w:r w:rsidRPr="00716DDE">
        <w:t xml:space="preserve">EMBRACA </w:t>
      </w:r>
      <w:r w:rsidR="001D5D9D">
        <w:t xml:space="preserve">trial </w:t>
      </w:r>
      <w:r w:rsidRPr="00716DDE">
        <w:t>and the supporting safety data</w:t>
      </w:r>
      <w:r>
        <w:t xml:space="preserve"> from patients with solid tumours treated with </w:t>
      </w:r>
      <w:proofErr w:type="spellStart"/>
      <w:r>
        <w:t>talazoparib</w:t>
      </w:r>
      <w:proofErr w:type="spellEnd"/>
      <w:r>
        <w:t xml:space="preserve"> at the proposed dosage of 1 mg daily across the clinical development program.</w:t>
      </w:r>
    </w:p>
    <w:p w14:paraId="0572002D" w14:textId="34E1E2D4" w:rsidR="00880FC7" w:rsidRDefault="009046A3" w:rsidP="00897FE8">
      <w:r>
        <w:t>AEs</w:t>
      </w:r>
      <w:r w:rsidR="00880FC7" w:rsidRPr="00F118CC">
        <w:t xml:space="preserve"> seen with </w:t>
      </w:r>
      <w:proofErr w:type="spellStart"/>
      <w:r w:rsidR="00880FC7" w:rsidRPr="00F118CC">
        <w:t>talazoparib</w:t>
      </w:r>
      <w:proofErr w:type="spellEnd"/>
      <w:r w:rsidR="00880FC7" w:rsidRPr="00F118CC">
        <w:t xml:space="preserve"> were in keeping with the safety profile that </w:t>
      </w:r>
      <w:proofErr w:type="gramStart"/>
      <w:r w:rsidR="00880FC7" w:rsidRPr="00F118CC">
        <w:t>might be predicted</w:t>
      </w:r>
      <w:proofErr w:type="gramEnd"/>
      <w:r w:rsidR="00880FC7" w:rsidRPr="00F118CC">
        <w:t xml:space="preserve"> based on the known toxicities of other PARP inhibitors, featuring </w:t>
      </w:r>
      <w:proofErr w:type="spellStart"/>
      <w:r w:rsidR="00880FC7">
        <w:t>myelosuppression</w:t>
      </w:r>
      <w:proofErr w:type="spellEnd"/>
      <w:r w:rsidR="00880FC7">
        <w:t xml:space="preserve"> and sequelae</w:t>
      </w:r>
      <w:r w:rsidR="00880FC7" w:rsidRPr="00F118CC">
        <w:t xml:space="preserve"> most prominently.</w:t>
      </w:r>
      <w:r w:rsidR="00880FC7">
        <w:t xml:space="preserve"> Adverse events and dose modifications occurred at similar rates in the </w:t>
      </w:r>
      <w:proofErr w:type="spellStart"/>
      <w:r w:rsidR="00880FC7">
        <w:t>talazoparib</w:t>
      </w:r>
      <w:proofErr w:type="spellEnd"/>
      <w:r w:rsidR="00880FC7">
        <w:t xml:space="preserve"> and PCT arms, although the duration of exposure was longer for </w:t>
      </w:r>
      <w:proofErr w:type="spellStart"/>
      <w:r w:rsidR="00880FC7">
        <w:t>talazoparib</w:t>
      </w:r>
      <w:proofErr w:type="spellEnd"/>
      <w:r w:rsidR="00880FC7">
        <w:t>-treated patients.</w:t>
      </w:r>
      <w:r w:rsidR="00880FC7" w:rsidRPr="00C8759B">
        <w:t xml:space="preserve"> </w:t>
      </w:r>
      <w:r w:rsidR="00880FC7">
        <w:t>Long-term safety data is not yet available.</w:t>
      </w:r>
    </w:p>
    <w:p w14:paraId="017D7892" w14:textId="714BB07D" w:rsidR="00880FC7" w:rsidRDefault="00880FC7" w:rsidP="00897FE8">
      <w:r>
        <w:t xml:space="preserve">A number of cases of second primary malignancy, including AML, have occurred, and although these are often confounded (for example by previous chemotherapy exposure), pre-clinical data points to a causal role for </w:t>
      </w:r>
      <w:proofErr w:type="spellStart"/>
      <w:r>
        <w:t>talazoparib</w:t>
      </w:r>
      <w:proofErr w:type="spellEnd"/>
      <w:r>
        <w:t>. Along with haematological toxicity, AML and reproductive/</w:t>
      </w:r>
      <w:proofErr w:type="spellStart"/>
      <w:r>
        <w:t>fetal</w:t>
      </w:r>
      <w:proofErr w:type="spellEnd"/>
      <w:r>
        <w:t xml:space="preserve"> toxicity require precautionary labelling.</w:t>
      </w:r>
    </w:p>
    <w:p w14:paraId="458731AF" w14:textId="77777777" w:rsidR="00456765" w:rsidRPr="00456765" w:rsidRDefault="00880FC7" w:rsidP="00897FE8">
      <w:pPr>
        <w:rPr>
          <w:lang w:eastAsia="zh-TW"/>
        </w:rPr>
      </w:pPr>
      <w:r>
        <w:rPr>
          <w:lang w:eastAsia="zh-TW"/>
        </w:rPr>
        <w:t xml:space="preserve">Hepatotoxicity, </w:t>
      </w:r>
      <w:proofErr w:type="spellStart"/>
      <w:r>
        <w:rPr>
          <w:lang w:eastAsia="zh-TW"/>
        </w:rPr>
        <w:t>phototoxicity</w:t>
      </w:r>
      <w:proofErr w:type="spellEnd"/>
      <w:r>
        <w:rPr>
          <w:lang w:eastAsia="zh-TW"/>
        </w:rPr>
        <w:t xml:space="preserve"> and pneumonitis do not appear to be of concern based on the data available to date.</w:t>
      </w:r>
    </w:p>
    <w:p w14:paraId="6E89ECB3" w14:textId="77777777" w:rsidR="008E7846" w:rsidRDefault="00386150" w:rsidP="00735C26">
      <w:pPr>
        <w:pStyle w:val="Heading3"/>
        <w:rPr>
          <w:lang w:eastAsia="en-AU"/>
        </w:rPr>
      </w:pPr>
      <w:bookmarkStart w:id="50" w:name="_Toc34746002"/>
      <w:r>
        <w:rPr>
          <w:lang w:eastAsia="en-AU"/>
        </w:rPr>
        <w:t>Risk m</w:t>
      </w:r>
      <w:r w:rsidR="008E7846">
        <w:rPr>
          <w:lang w:eastAsia="en-AU"/>
        </w:rPr>
        <w:t xml:space="preserve">anagement </w:t>
      </w:r>
      <w:r>
        <w:rPr>
          <w:lang w:eastAsia="en-AU"/>
        </w:rPr>
        <w:t>p</w:t>
      </w:r>
      <w:r w:rsidR="008E7846">
        <w:rPr>
          <w:lang w:eastAsia="en-AU"/>
        </w:rPr>
        <w:t>lan</w:t>
      </w:r>
      <w:bookmarkEnd w:id="42"/>
      <w:bookmarkEnd w:id="50"/>
    </w:p>
    <w:p w14:paraId="12ADA476" w14:textId="3BAE5503" w:rsidR="00880FC7" w:rsidRPr="005A1342" w:rsidRDefault="005A1342" w:rsidP="005A1342">
      <w:r>
        <w:t>The sponsor</w:t>
      </w:r>
      <w:r w:rsidRPr="005A1342">
        <w:t xml:space="preserve"> has submitted </w:t>
      </w:r>
      <w:r w:rsidR="009046A3">
        <w:t>European Union-Risk Management Plan (</w:t>
      </w:r>
      <w:r w:rsidRPr="005A1342">
        <w:t>EU-RMP</w:t>
      </w:r>
      <w:r w:rsidR="009046A3">
        <w:t>)</w:t>
      </w:r>
      <w:r w:rsidRPr="005A1342">
        <w:t xml:space="preserve"> version 0.1 (date 10 April 2018; </w:t>
      </w:r>
      <w:r w:rsidR="00B16F8C">
        <w:t>data lock point (</w:t>
      </w:r>
      <w:r w:rsidRPr="005A1342">
        <w:t>DLP</w:t>
      </w:r>
      <w:r w:rsidR="00B16F8C">
        <w:t>)</w:t>
      </w:r>
      <w:r w:rsidRPr="005A1342">
        <w:t xml:space="preserve"> 15 September 2017) and </w:t>
      </w:r>
      <w:r w:rsidR="00B16F8C">
        <w:t xml:space="preserve">Australian </w:t>
      </w:r>
      <w:r w:rsidR="00BF2443">
        <w:t xml:space="preserve">specific </w:t>
      </w:r>
      <w:r w:rsidR="00B16F8C">
        <w:t>Annex (</w:t>
      </w:r>
      <w:r w:rsidRPr="005A1342">
        <w:t>ASA</w:t>
      </w:r>
      <w:r w:rsidR="00B16F8C">
        <w:t>)</w:t>
      </w:r>
      <w:r w:rsidRPr="005A1342">
        <w:t xml:space="preserve"> version 1.0 (date 18 October 2018) i</w:t>
      </w:r>
      <w:r w:rsidR="00B16F8C">
        <w:t xml:space="preserve">n support of this application. </w:t>
      </w:r>
      <w:r w:rsidRPr="005A1342">
        <w:t xml:space="preserve">With the </w:t>
      </w:r>
      <w:r w:rsidR="00B16F8C">
        <w:t>response to TGA questions</w:t>
      </w:r>
      <w:r w:rsidRPr="005A1342">
        <w:t>, the</w:t>
      </w:r>
      <w:r w:rsidR="00B16F8C">
        <w:t xml:space="preserve"> sponsor provided an updated EU-</w:t>
      </w:r>
      <w:r w:rsidRPr="005A1342">
        <w:t>RMP version 0.2 (date 27 November 2017; DLP 15 September 2017) and an ASA version 1.1 (27 June 2019).</w:t>
      </w:r>
    </w:p>
    <w:p w14:paraId="79ACD333" w14:textId="5A322752" w:rsidR="005A1342" w:rsidRPr="005A1342" w:rsidRDefault="005A1342" w:rsidP="005A1342">
      <w:r w:rsidRPr="00247111">
        <w:t xml:space="preserve">The proposed </w:t>
      </w:r>
      <w:r w:rsidR="00B16F8C" w:rsidRPr="00247111">
        <w:t xml:space="preserve">summary of safety concerns </w:t>
      </w:r>
      <w:r w:rsidRPr="00247111">
        <w:t xml:space="preserve">and their associated risk monitoring and mitigation </w:t>
      </w:r>
      <w:r>
        <w:t xml:space="preserve">strategies </w:t>
      </w:r>
      <w:proofErr w:type="gramStart"/>
      <w:r>
        <w:t>are summarised</w:t>
      </w:r>
      <w:proofErr w:type="gramEnd"/>
      <w:r>
        <w:t xml:space="preserve"> below in </w:t>
      </w:r>
      <w:r>
        <w:fldChar w:fldCharType="begin"/>
      </w:r>
      <w:r>
        <w:instrText xml:space="preserve"> REF _Ref21444264 \h </w:instrText>
      </w:r>
      <w:r>
        <w:fldChar w:fldCharType="separate"/>
      </w:r>
      <w:r w:rsidR="00B16F8C">
        <w:t xml:space="preserve">Table </w:t>
      </w:r>
      <w:r w:rsidR="00B16F8C">
        <w:rPr>
          <w:noProof/>
        </w:rPr>
        <w:t>13</w:t>
      </w:r>
      <w:r>
        <w:fldChar w:fldCharType="end"/>
      </w:r>
      <w:r>
        <w:t>.</w:t>
      </w:r>
      <w:r>
        <w:rPr>
          <w:rStyle w:val="FootnoteReference"/>
          <w:lang w:eastAsia="en-AU"/>
        </w:rPr>
        <w:footnoteReference w:id="13"/>
      </w:r>
    </w:p>
    <w:p w14:paraId="2A8AF811" w14:textId="409AB9AC" w:rsidR="00880FC7" w:rsidRDefault="00880FC7" w:rsidP="005A1342">
      <w:pPr>
        <w:pStyle w:val="TableTitle"/>
      </w:pPr>
      <w:bookmarkStart w:id="51" w:name="_Ref21444264"/>
      <w:r>
        <w:t xml:space="preserve">Table </w:t>
      </w:r>
      <w:fldSimple w:instr=" SEQ Table \* ARABIC ">
        <w:r w:rsidR="00B16F8C">
          <w:rPr>
            <w:noProof/>
          </w:rPr>
          <w:t>13</w:t>
        </w:r>
      </w:fldSimple>
      <w:bookmarkEnd w:id="51"/>
      <w:r w:rsidR="005A1342">
        <w:t>:</w:t>
      </w:r>
      <w:r>
        <w:t xml:space="preserve"> </w:t>
      </w:r>
      <w:r w:rsidR="005A1342">
        <w:t>S</w:t>
      </w:r>
      <w:r w:rsidRPr="00D62A28">
        <w:t>ummary of s</w:t>
      </w:r>
      <w:r w:rsidR="005A1342">
        <w:t xml:space="preserve">afety concerns for </w:t>
      </w:r>
      <w:proofErr w:type="spellStart"/>
      <w:r w:rsidR="005A1342">
        <w:t>talazoparib</w:t>
      </w:r>
      <w:proofErr w:type="spellEnd"/>
    </w:p>
    <w:tbl>
      <w:tblPr>
        <w:tblStyle w:val="TableTGAblue"/>
        <w:tblW w:w="8613" w:type="dxa"/>
        <w:tblLayout w:type="fixed"/>
        <w:tblLook w:val="04A0" w:firstRow="1" w:lastRow="0" w:firstColumn="1" w:lastColumn="0" w:noHBand="0" w:noVBand="1"/>
      </w:tblPr>
      <w:tblGrid>
        <w:gridCol w:w="1327"/>
        <w:gridCol w:w="3176"/>
        <w:gridCol w:w="874"/>
        <w:gridCol w:w="1110"/>
        <w:gridCol w:w="992"/>
        <w:gridCol w:w="1134"/>
      </w:tblGrid>
      <w:tr w:rsidR="00880FC7" w:rsidRPr="00B16F8C" w14:paraId="14582E08" w14:textId="77777777" w:rsidTr="00735C26">
        <w:trPr>
          <w:cnfStyle w:val="100000000000" w:firstRow="1" w:lastRow="0" w:firstColumn="0" w:lastColumn="0" w:oddVBand="0" w:evenVBand="0" w:oddHBand="0" w:evenHBand="0" w:firstRowFirstColumn="0" w:firstRowLastColumn="0" w:lastRowFirstColumn="0" w:lastRowLastColumn="0"/>
          <w:trHeight w:val="131"/>
        </w:trPr>
        <w:tc>
          <w:tcPr>
            <w:tcW w:w="4503" w:type="dxa"/>
            <w:gridSpan w:val="2"/>
            <w:vMerge w:val="restart"/>
          </w:tcPr>
          <w:p w14:paraId="305B7CAB" w14:textId="77777777" w:rsidR="00880FC7" w:rsidRPr="00735C26" w:rsidRDefault="00880FC7" w:rsidP="00B16F8C">
            <w:pPr>
              <w:pStyle w:val="Tabletext"/>
              <w:ind w:left="0" w:right="0"/>
              <w:rPr>
                <w:b w:val="0"/>
                <w:sz w:val="20"/>
                <w:szCs w:val="20"/>
              </w:rPr>
            </w:pPr>
            <w:r w:rsidRPr="00735C26">
              <w:rPr>
                <w:b w:val="0"/>
                <w:sz w:val="20"/>
                <w:szCs w:val="20"/>
              </w:rPr>
              <w:t>Summary of safety concerns</w:t>
            </w:r>
          </w:p>
        </w:tc>
        <w:tc>
          <w:tcPr>
            <w:tcW w:w="1984" w:type="dxa"/>
            <w:gridSpan w:val="2"/>
            <w:tcBorders>
              <w:bottom w:val="nil"/>
            </w:tcBorders>
          </w:tcPr>
          <w:p w14:paraId="40CA7374" w14:textId="77777777" w:rsidR="00880FC7" w:rsidRPr="00735C26" w:rsidRDefault="00880FC7" w:rsidP="00B16F8C">
            <w:pPr>
              <w:pStyle w:val="Tabletext"/>
              <w:ind w:left="0" w:right="0"/>
              <w:rPr>
                <w:b w:val="0"/>
                <w:sz w:val="20"/>
                <w:szCs w:val="20"/>
              </w:rPr>
            </w:pPr>
            <w:r w:rsidRPr="00735C26">
              <w:rPr>
                <w:b w:val="0"/>
                <w:sz w:val="20"/>
                <w:szCs w:val="20"/>
              </w:rPr>
              <w:t>Pharmacovigilance</w:t>
            </w:r>
          </w:p>
        </w:tc>
        <w:tc>
          <w:tcPr>
            <w:tcW w:w="2126" w:type="dxa"/>
            <w:gridSpan w:val="2"/>
            <w:tcBorders>
              <w:bottom w:val="nil"/>
            </w:tcBorders>
          </w:tcPr>
          <w:p w14:paraId="31BBFFFC" w14:textId="77777777" w:rsidR="00880FC7" w:rsidRPr="00735C26" w:rsidRDefault="00880FC7" w:rsidP="00B16F8C">
            <w:pPr>
              <w:pStyle w:val="Tabletext"/>
              <w:ind w:left="0" w:right="0"/>
              <w:rPr>
                <w:b w:val="0"/>
                <w:sz w:val="20"/>
                <w:szCs w:val="20"/>
              </w:rPr>
            </w:pPr>
            <w:r w:rsidRPr="00735C26">
              <w:rPr>
                <w:b w:val="0"/>
                <w:sz w:val="20"/>
                <w:szCs w:val="20"/>
              </w:rPr>
              <w:t>Risk Minimisation</w:t>
            </w:r>
          </w:p>
        </w:tc>
      </w:tr>
      <w:tr w:rsidR="00B16F8C" w:rsidRPr="00B16F8C" w14:paraId="6954DC25" w14:textId="77777777" w:rsidTr="00735C26">
        <w:trPr>
          <w:trHeight w:val="150"/>
        </w:trPr>
        <w:tc>
          <w:tcPr>
            <w:tcW w:w="4503" w:type="dxa"/>
            <w:gridSpan w:val="2"/>
            <w:vMerge/>
            <w:tcBorders>
              <w:right w:val="nil"/>
            </w:tcBorders>
            <w:shd w:val="clear" w:color="auto" w:fill="006DA7"/>
          </w:tcPr>
          <w:p w14:paraId="15EAA753" w14:textId="77777777" w:rsidR="00B16F8C" w:rsidRPr="00735C26" w:rsidRDefault="00B16F8C" w:rsidP="00B16F8C">
            <w:pPr>
              <w:pStyle w:val="Tabletext"/>
              <w:ind w:left="0" w:right="0"/>
              <w:rPr>
                <w:b/>
                <w:color w:val="FFFFFF" w:themeColor="background1"/>
                <w:sz w:val="20"/>
                <w:szCs w:val="20"/>
              </w:rPr>
            </w:pPr>
          </w:p>
        </w:tc>
        <w:tc>
          <w:tcPr>
            <w:tcW w:w="874" w:type="dxa"/>
            <w:tcBorders>
              <w:top w:val="nil"/>
              <w:left w:val="nil"/>
              <w:bottom w:val="single" w:sz="4" w:space="0" w:color="auto"/>
              <w:right w:val="nil"/>
            </w:tcBorders>
            <w:shd w:val="clear" w:color="auto" w:fill="006DA7"/>
          </w:tcPr>
          <w:p w14:paraId="6621DA64" w14:textId="2F774957" w:rsidR="00B16F8C" w:rsidRPr="00735C26" w:rsidRDefault="00B16F8C" w:rsidP="00B16F8C">
            <w:pPr>
              <w:pStyle w:val="Tabletext"/>
              <w:ind w:left="0" w:right="0"/>
              <w:rPr>
                <w:color w:val="FFFFFF" w:themeColor="background1"/>
                <w:sz w:val="20"/>
                <w:szCs w:val="20"/>
              </w:rPr>
            </w:pPr>
            <w:r w:rsidRPr="00735C26">
              <w:rPr>
                <w:color w:val="FFFFFF" w:themeColor="background1"/>
              </w:rPr>
              <w:t>Routine</w:t>
            </w:r>
          </w:p>
        </w:tc>
        <w:tc>
          <w:tcPr>
            <w:tcW w:w="1110" w:type="dxa"/>
            <w:tcBorders>
              <w:top w:val="nil"/>
              <w:left w:val="nil"/>
              <w:bottom w:val="single" w:sz="4" w:space="0" w:color="auto"/>
              <w:right w:val="nil"/>
            </w:tcBorders>
            <w:shd w:val="clear" w:color="auto" w:fill="006DA7"/>
          </w:tcPr>
          <w:p w14:paraId="3BC413DB" w14:textId="15A84767" w:rsidR="00B16F8C" w:rsidRPr="00735C26" w:rsidRDefault="00B16F8C" w:rsidP="00B16F8C">
            <w:pPr>
              <w:pStyle w:val="Tabletext"/>
              <w:ind w:left="0" w:right="0"/>
              <w:rPr>
                <w:color w:val="FFFFFF" w:themeColor="background1"/>
                <w:sz w:val="20"/>
                <w:szCs w:val="20"/>
              </w:rPr>
            </w:pPr>
            <w:r w:rsidRPr="00735C26">
              <w:rPr>
                <w:color w:val="FFFFFF" w:themeColor="background1"/>
              </w:rPr>
              <w:t>Additional</w:t>
            </w:r>
          </w:p>
        </w:tc>
        <w:tc>
          <w:tcPr>
            <w:tcW w:w="992" w:type="dxa"/>
            <w:tcBorders>
              <w:top w:val="nil"/>
              <w:left w:val="nil"/>
              <w:bottom w:val="single" w:sz="4" w:space="0" w:color="auto"/>
              <w:right w:val="nil"/>
            </w:tcBorders>
            <w:shd w:val="clear" w:color="auto" w:fill="006DA7"/>
          </w:tcPr>
          <w:p w14:paraId="6C3A971E" w14:textId="590C6FB5" w:rsidR="00B16F8C" w:rsidRPr="00735C26" w:rsidRDefault="00B16F8C" w:rsidP="00B16F8C">
            <w:pPr>
              <w:pStyle w:val="Tabletext"/>
              <w:ind w:left="0" w:right="0"/>
              <w:rPr>
                <w:color w:val="FFFFFF" w:themeColor="background1"/>
                <w:sz w:val="20"/>
                <w:szCs w:val="20"/>
              </w:rPr>
            </w:pPr>
            <w:r w:rsidRPr="00735C26">
              <w:rPr>
                <w:color w:val="FFFFFF" w:themeColor="background1"/>
              </w:rPr>
              <w:t>Routine</w:t>
            </w:r>
          </w:p>
        </w:tc>
        <w:tc>
          <w:tcPr>
            <w:tcW w:w="1134" w:type="dxa"/>
            <w:tcBorders>
              <w:top w:val="nil"/>
              <w:left w:val="nil"/>
              <w:bottom w:val="single" w:sz="4" w:space="0" w:color="auto"/>
              <w:right w:val="single" w:sz="4" w:space="0" w:color="auto"/>
            </w:tcBorders>
            <w:shd w:val="clear" w:color="auto" w:fill="006DA7"/>
          </w:tcPr>
          <w:p w14:paraId="1EC43C95" w14:textId="50B43C22" w:rsidR="00B16F8C" w:rsidRPr="00735C26" w:rsidRDefault="00B16F8C" w:rsidP="00B16F8C">
            <w:pPr>
              <w:pStyle w:val="Tabletext"/>
              <w:ind w:left="0" w:right="0"/>
              <w:rPr>
                <w:color w:val="FFFFFF" w:themeColor="background1"/>
                <w:sz w:val="20"/>
                <w:szCs w:val="20"/>
              </w:rPr>
            </w:pPr>
            <w:r w:rsidRPr="00735C26">
              <w:rPr>
                <w:color w:val="FFFFFF" w:themeColor="background1"/>
              </w:rPr>
              <w:t>Additional</w:t>
            </w:r>
          </w:p>
        </w:tc>
      </w:tr>
      <w:tr w:rsidR="00880FC7" w:rsidRPr="00B16F8C" w14:paraId="3F511698" w14:textId="77777777" w:rsidTr="00735C26">
        <w:trPr>
          <w:trHeight w:val="137"/>
        </w:trPr>
        <w:tc>
          <w:tcPr>
            <w:tcW w:w="1327" w:type="dxa"/>
          </w:tcPr>
          <w:p w14:paraId="778E643C" w14:textId="77777777" w:rsidR="00880FC7" w:rsidRPr="00B16F8C" w:rsidRDefault="00880FC7" w:rsidP="00B16F8C">
            <w:pPr>
              <w:pStyle w:val="Tabletext"/>
              <w:ind w:left="0" w:right="0"/>
              <w:rPr>
                <w:b/>
                <w:sz w:val="20"/>
                <w:szCs w:val="20"/>
              </w:rPr>
            </w:pPr>
            <w:r w:rsidRPr="00B16F8C">
              <w:rPr>
                <w:b/>
                <w:sz w:val="20"/>
                <w:szCs w:val="20"/>
              </w:rPr>
              <w:t>Important identified risks</w:t>
            </w:r>
          </w:p>
        </w:tc>
        <w:tc>
          <w:tcPr>
            <w:tcW w:w="3176" w:type="dxa"/>
          </w:tcPr>
          <w:p w14:paraId="2CA8481C" w14:textId="77777777" w:rsidR="00880FC7" w:rsidRPr="00B16F8C" w:rsidRDefault="00880FC7" w:rsidP="00B16F8C">
            <w:pPr>
              <w:pStyle w:val="Summaryofsafetyconcerns"/>
              <w:keepNext/>
              <w:keepLines/>
              <w:ind w:left="0" w:right="0"/>
              <w:rPr>
                <w:b w:val="0"/>
                <w:szCs w:val="20"/>
              </w:rPr>
            </w:pPr>
            <w:r w:rsidRPr="00B16F8C">
              <w:rPr>
                <w:b w:val="0"/>
                <w:szCs w:val="20"/>
              </w:rPr>
              <w:t>None</w:t>
            </w:r>
          </w:p>
        </w:tc>
        <w:tc>
          <w:tcPr>
            <w:tcW w:w="874" w:type="dxa"/>
            <w:tcBorders>
              <w:top w:val="single" w:sz="4" w:space="0" w:color="auto"/>
            </w:tcBorders>
          </w:tcPr>
          <w:p w14:paraId="4EE32CD1" w14:textId="77777777" w:rsidR="00880FC7" w:rsidRPr="00B16F8C" w:rsidRDefault="00880FC7" w:rsidP="00B16F8C">
            <w:pPr>
              <w:pStyle w:val="Tabletext"/>
              <w:ind w:left="0" w:right="0"/>
              <w:jc w:val="center"/>
              <w:rPr>
                <w:sz w:val="20"/>
                <w:szCs w:val="20"/>
              </w:rPr>
            </w:pPr>
          </w:p>
        </w:tc>
        <w:tc>
          <w:tcPr>
            <w:tcW w:w="1110" w:type="dxa"/>
            <w:tcBorders>
              <w:top w:val="single" w:sz="4" w:space="0" w:color="auto"/>
            </w:tcBorders>
          </w:tcPr>
          <w:p w14:paraId="7C3B352C" w14:textId="77777777" w:rsidR="00880FC7" w:rsidRPr="00B16F8C" w:rsidRDefault="00880FC7" w:rsidP="00B16F8C">
            <w:pPr>
              <w:pStyle w:val="Tabletext"/>
              <w:ind w:left="0" w:right="0"/>
              <w:jc w:val="center"/>
              <w:rPr>
                <w:sz w:val="20"/>
                <w:szCs w:val="20"/>
              </w:rPr>
            </w:pPr>
          </w:p>
        </w:tc>
        <w:tc>
          <w:tcPr>
            <w:tcW w:w="992" w:type="dxa"/>
            <w:tcBorders>
              <w:top w:val="single" w:sz="4" w:space="0" w:color="auto"/>
            </w:tcBorders>
          </w:tcPr>
          <w:p w14:paraId="0673E4BB" w14:textId="77777777" w:rsidR="00880FC7" w:rsidRPr="00B16F8C" w:rsidRDefault="00880FC7" w:rsidP="00B16F8C">
            <w:pPr>
              <w:pStyle w:val="Tabletext"/>
              <w:ind w:left="0" w:right="0"/>
              <w:jc w:val="center"/>
              <w:rPr>
                <w:sz w:val="20"/>
                <w:szCs w:val="20"/>
              </w:rPr>
            </w:pPr>
          </w:p>
        </w:tc>
        <w:tc>
          <w:tcPr>
            <w:tcW w:w="1134" w:type="dxa"/>
            <w:tcBorders>
              <w:top w:val="single" w:sz="4" w:space="0" w:color="auto"/>
            </w:tcBorders>
          </w:tcPr>
          <w:p w14:paraId="271A8445" w14:textId="77777777" w:rsidR="00880FC7" w:rsidRPr="00B16F8C" w:rsidRDefault="00880FC7" w:rsidP="00B16F8C">
            <w:pPr>
              <w:pStyle w:val="Tabletext"/>
              <w:ind w:left="0" w:right="0"/>
              <w:jc w:val="center"/>
              <w:rPr>
                <w:sz w:val="20"/>
                <w:szCs w:val="20"/>
              </w:rPr>
            </w:pPr>
          </w:p>
        </w:tc>
      </w:tr>
      <w:tr w:rsidR="00880FC7" w:rsidRPr="00B16F8C" w14:paraId="3149C820" w14:textId="77777777" w:rsidTr="00B16F8C">
        <w:trPr>
          <w:trHeight w:val="159"/>
        </w:trPr>
        <w:tc>
          <w:tcPr>
            <w:tcW w:w="1327" w:type="dxa"/>
            <w:vMerge w:val="restart"/>
          </w:tcPr>
          <w:p w14:paraId="24DCA2A8" w14:textId="77777777" w:rsidR="00880FC7" w:rsidRPr="00B16F8C" w:rsidRDefault="00880FC7" w:rsidP="00B16F8C">
            <w:pPr>
              <w:pStyle w:val="Tabletext"/>
              <w:ind w:left="0" w:right="0"/>
              <w:rPr>
                <w:b/>
                <w:sz w:val="20"/>
                <w:szCs w:val="20"/>
              </w:rPr>
            </w:pPr>
            <w:r w:rsidRPr="00B16F8C">
              <w:rPr>
                <w:b/>
                <w:sz w:val="20"/>
                <w:szCs w:val="20"/>
              </w:rPr>
              <w:t>Important potential risks</w:t>
            </w:r>
          </w:p>
        </w:tc>
        <w:tc>
          <w:tcPr>
            <w:tcW w:w="3176" w:type="dxa"/>
          </w:tcPr>
          <w:p w14:paraId="3F58CDEA" w14:textId="77777777" w:rsidR="00880FC7" w:rsidRPr="00B16F8C" w:rsidRDefault="00880FC7" w:rsidP="00B16F8C">
            <w:pPr>
              <w:pStyle w:val="Summaryofsafetyconcerns"/>
              <w:keepNext/>
              <w:keepLines/>
              <w:ind w:left="0" w:right="0"/>
              <w:rPr>
                <w:b w:val="0"/>
                <w:szCs w:val="20"/>
              </w:rPr>
            </w:pPr>
            <w:r w:rsidRPr="00B16F8C">
              <w:rPr>
                <w:b w:val="0"/>
                <w:szCs w:val="20"/>
              </w:rPr>
              <w:t>Myelodysplastic syndrome/Acute myeloid leukaemia</w:t>
            </w:r>
          </w:p>
        </w:tc>
        <w:tc>
          <w:tcPr>
            <w:tcW w:w="874" w:type="dxa"/>
          </w:tcPr>
          <w:p w14:paraId="4CE05D67"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10" w:type="dxa"/>
          </w:tcPr>
          <w:p w14:paraId="566C18A0" w14:textId="77777777" w:rsidR="00880FC7" w:rsidRPr="00B16F8C" w:rsidRDefault="00880FC7" w:rsidP="00B16F8C">
            <w:pPr>
              <w:pStyle w:val="Tabletext"/>
              <w:ind w:left="0" w:right="0"/>
              <w:jc w:val="center"/>
              <w:rPr>
                <w:sz w:val="20"/>
                <w:szCs w:val="20"/>
              </w:rPr>
            </w:pPr>
            <w:r w:rsidRPr="00B16F8C">
              <w:rPr>
                <w:sz w:val="20"/>
                <w:szCs w:val="20"/>
              </w:rPr>
              <w:t>–</w:t>
            </w:r>
          </w:p>
        </w:tc>
        <w:tc>
          <w:tcPr>
            <w:tcW w:w="992" w:type="dxa"/>
          </w:tcPr>
          <w:p w14:paraId="0BF994A9"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34" w:type="dxa"/>
          </w:tcPr>
          <w:p w14:paraId="00C8C568" w14:textId="77777777" w:rsidR="00880FC7" w:rsidRPr="00B16F8C" w:rsidRDefault="00880FC7" w:rsidP="00B16F8C">
            <w:pPr>
              <w:pStyle w:val="Tabletext"/>
              <w:ind w:left="0" w:right="0"/>
              <w:jc w:val="center"/>
              <w:rPr>
                <w:sz w:val="20"/>
                <w:szCs w:val="20"/>
              </w:rPr>
            </w:pPr>
            <w:r w:rsidRPr="00B16F8C">
              <w:rPr>
                <w:sz w:val="20"/>
                <w:szCs w:val="20"/>
              </w:rPr>
              <w:t>–</w:t>
            </w:r>
          </w:p>
        </w:tc>
      </w:tr>
      <w:tr w:rsidR="00880FC7" w:rsidRPr="00B16F8C" w14:paraId="6416ACD2" w14:textId="77777777" w:rsidTr="00B16F8C">
        <w:trPr>
          <w:trHeight w:val="112"/>
        </w:trPr>
        <w:tc>
          <w:tcPr>
            <w:tcW w:w="1327" w:type="dxa"/>
            <w:vMerge/>
          </w:tcPr>
          <w:p w14:paraId="768F46F2" w14:textId="77777777" w:rsidR="00880FC7" w:rsidRPr="00B16F8C" w:rsidRDefault="00880FC7" w:rsidP="00B16F8C">
            <w:pPr>
              <w:pStyle w:val="Tabletext"/>
              <w:ind w:left="0" w:right="0"/>
              <w:rPr>
                <w:b/>
                <w:sz w:val="20"/>
                <w:szCs w:val="20"/>
              </w:rPr>
            </w:pPr>
          </w:p>
        </w:tc>
        <w:tc>
          <w:tcPr>
            <w:tcW w:w="3176" w:type="dxa"/>
          </w:tcPr>
          <w:p w14:paraId="71A196A7" w14:textId="77777777" w:rsidR="00880FC7" w:rsidRPr="00B16F8C" w:rsidRDefault="00880FC7" w:rsidP="00B16F8C">
            <w:pPr>
              <w:pStyle w:val="Summaryofsafetyconcerns"/>
              <w:keepNext/>
              <w:keepLines/>
              <w:ind w:left="0" w:right="0"/>
              <w:rPr>
                <w:b w:val="0"/>
                <w:szCs w:val="20"/>
              </w:rPr>
            </w:pPr>
            <w:r w:rsidRPr="00B16F8C">
              <w:rPr>
                <w:b w:val="0"/>
                <w:szCs w:val="20"/>
              </w:rPr>
              <w:t xml:space="preserve">Second primary malignancies </w:t>
            </w:r>
            <w:r w:rsidRPr="00B16F8C">
              <w:rPr>
                <w:b w:val="0"/>
                <w:szCs w:val="20"/>
              </w:rPr>
              <w:lastRenderedPageBreak/>
              <w:t>(other than MDS/AML)</w:t>
            </w:r>
          </w:p>
        </w:tc>
        <w:tc>
          <w:tcPr>
            <w:tcW w:w="874" w:type="dxa"/>
          </w:tcPr>
          <w:p w14:paraId="5F1D7A14" w14:textId="77777777" w:rsidR="00880FC7" w:rsidRPr="00B16F8C" w:rsidRDefault="00880FC7" w:rsidP="00B16F8C">
            <w:pPr>
              <w:pStyle w:val="Tabletext"/>
              <w:ind w:left="0" w:right="0"/>
              <w:jc w:val="center"/>
              <w:rPr>
                <w:sz w:val="20"/>
                <w:szCs w:val="20"/>
              </w:rPr>
            </w:pPr>
            <w:r w:rsidRPr="00B16F8C">
              <w:rPr>
                <w:sz w:val="20"/>
                <w:szCs w:val="20"/>
              </w:rPr>
              <w:lastRenderedPageBreak/>
              <w:sym w:font="Wingdings" w:char="F0FC"/>
            </w:r>
          </w:p>
        </w:tc>
        <w:tc>
          <w:tcPr>
            <w:tcW w:w="1110" w:type="dxa"/>
          </w:tcPr>
          <w:p w14:paraId="08E14363" w14:textId="77777777" w:rsidR="00880FC7" w:rsidRPr="00B16F8C" w:rsidRDefault="00880FC7" w:rsidP="00B16F8C">
            <w:pPr>
              <w:pStyle w:val="Tabletext"/>
              <w:ind w:left="0" w:right="0"/>
              <w:jc w:val="center"/>
              <w:rPr>
                <w:sz w:val="20"/>
                <w:szCs w:val="20"/>
              </w:rPr>
            </w:pPr>
            <w:r w:rsidRPr="00B16F8C">
              <w:rPr>
                <w:sz w:val="20"/>
                <w:szCs w:val="20"/>
              </w:rPr>
              <w:t>–</w:t>
            </w:r>
          </w:p>
        </w:tc>
        <w:tc>
          <w:tcPr>
            <w:tcW w:w="992" w:type="dxa"/>
          </w:tcPr>
          <w:p w14:paraId="44E2D294"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34" w:type="dxa"/>
          </w:tcPr>
          <w:p w14:paraId="4CB558A6" w14:textId="77777777" w:rsidR="00880FC7" w:rsidRPr="00B16F8C" w:rsidRDefault="00880FC7" w:rsidP="00B16F8C">
            <w:pPr>
              <w:pStyle w:val="Tabletext"/>
              <w:ind w:left="0" w:right="0"/>
              <w:jc w:val="center"/>
              <w:rPr>
                <w:sz w:val="20"/>
                <w:szCs w:val="20"/>
              </w:rPr>
            </w:pPr>
            <w:r w:rsidRPr="00B16F8C">
              <w:rPr>
                <w:sz w:val="20"/>
                <w:szCs w:val="20"/>
              </w:rPr>
              <w:t>–</w:t>
            </w:r>
          </w:p>
        </w:tc>
      </w:tr>
      <w:tr w:rsidR="00880FC7" w:rsidRPr="00B16F8C" w14:paraId="3EF01FC6" w14:textId="77777777" w:rsidTr="00B16F8C">
        <w:trPr>
          <w:trHeight w:val="112"/>
        </w:trPr>
        <w:tc>
          <w:tcPr>
            <w:tcW w:w="1327" w:type="dxa"/>
            <w:vMerge/>
          </w:tcPr>
          <w:p w14:paraId="54F0F04B" w14:textId="77777777" w:rsidR="00880FC7" w:rsidRPr="00B16F8C" w:rsidRDefault="00880FC7" w:rsidP="00B16F8C">
            <w:pPr>
              <w:pStyle w:val="Tabletext"/>
              <w:ind w:left="0" w:right="0"/>
              <w:rPr>
                <w:b/>
                <w:sz w:val="20"/>
                <w:szCs w:val="20"/>
              </w:rPr>
            </w:pPr>
          </w:p>
        </w:tc>
        <w:tc>
          <w:tcPr>
            <w:tcW w:w="3176" w:type="dxa"/>
          </w:tcPr>
          <w:p w14:paraId="3A3F5EB0" w14:textId="77777777" w:rsidR="00880FC7" w:rsidRPr="00B16F8C" w:rsidRDefault="00880FC7" w:rsidP="00B16F8C">
            <w:pPr>
              <w:pStyle w:val="Summaryofsafetyconcerns"/>
              <w:keepNext/>
              <w:keepLines/>
              <w:ind w:left="0" w:right="0"/>
              <w:rPr>
                <w:b w:val="0"/>
                <w:szCs w:val="20"/>
              </w:rPr>
            </w:pPr>
            <w:r w:rsidRPr="00B16F8C">
              <w:rPr>
                <w:b w:val="0"/>
                <w:szCs w:val="20"/>
              </w:rPr>
              <w:t>Reproductive and developmental toxicity</w:t>
            </w:r>
          </w:p>
        </w:tc>
        <w:tc>
          <w:tcPr>
            <w:tcW w:w="874" w:type="dxa"/>
          </w:tcPr>
          <w:p w14:paraId="2C205FEE" w14:textId="77777777" w:rsidR="00880FC7" w:rsidRPr="00B16F8C" w:rsidRDefault="00880FC7" w:rsidP="00B16F8C">
            <w:pPr>
              <w:pStyle w:val="Tabletext"/>
              <w:ind w:left="0" w:right="0"/>
              <w:jc w:val="center"/>
              <w:rPr>
                <w:sz w:val="20"/>
                <w:szCs w:val="20"/>
              </w:rPr>
            </w:pPr>
            <w:r w:rsidRPr="00B16F8C">
              <w:rPr>
                <w:sz w:val="20"/>
                <w:szCs w:val="20"/>
              </w:rPr>
              <w:sym w:font="Wingdings" w:char="F0FC"/>
            </w:r>
            <w:r w:rsidRPr="00B16F8C">
              <w:rPr>
                <w:sz w:val="20"/>
                <w:szCs w:val="20"/>
                <w:vertAlign w:val="superscript"/>
              </w:rPr>
              <w:t>#</w:t>
            </w:r>
          </w:p>
        </w:tc>
        <w:tc>
          <w:tcPr>
            <w:tcW w:w="1110" w:type="dxa"/>
          </w:tcPr>
          <w:p w14:paraId="710CE6B4" w14:textId="77777777" w:rsidR="00880FC7" w:rsidRPr="00B16F8C" w:rsidRDefault="00880FC7" w:rsidP="00B16F8C">
            <w:pPr>
              <w:pStyle w:val="Tabletext"/>
              <w:ind w:left="0" w:right="0"/>
              <w:jc w:val="center"/>
              <w:rPr>
                <w:sz w:val="20"/>
                <w:szCs w:val="20"/>
              </w:rPr>
            </w:pPr>
            <w:r w:rsidRPr="00B16F8C">
              <w:rPr>
                <w:sz w:val="20"/>
                <w:szCs w:val="20"/>
              </w:rPr>
              <w:t>–</w:t>
            </w:r>
          </w:p>
        </w:tc>
        <w:tc>
          <w:tcPr>
            <w:tcW w:w="992" w:type="dxa"/>
          </w:tcPr>
          <w:p w14:paraId="16FB7EE7"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34" w:type="dxa"/>
          </w:tcPr>
          <w:p w14:paraId="494032F8" w14:textId="77777777" w:rsidR="00880FC7" w:rsidRPr="00B16F8C" w:rsidRDefault="00880FC7" w:rsidP="00B16F8C">
            <w:pPr>
              <w:pStyle w:val="Tabletext"/>
              <w:ind w:left="0" w:right="0"/>
              <w:jc w:val="center"/>
              <w:rPr>
                <w:sz w:val="20"/>
                <w:szCs w:val="20"/>
              </w:rPr>
            </w:pPr>
            <w:r w:rsidRPr="00B16F8C">
              <w:rPr>
                <w:sz w:val="20"/>
                <w:szCs w:val="20"/>
              </w:rPr>
              <w:t>–</w:t>
            </w:r>
          </w:p>
        </w:tc>
      </w:tr>
      <w:tr w:rsidR="00880FC7" w:rsidRPr="00B16F8C" w14:paraId="75BE088B" w14:textId="77777777" w:rsidTr="00B16F8C">
        <w:trPr>
          <w:trHeight w:val="178"/>
        </w:trPr>
        <w:tc>
          <w:tcPr>
            <w:tcW w:w="1327" w:type="dxa"/>
          </w:tcPr>
          <w:p w14:paraId="1CFFB3F1" w14:textId="77777777" w:rsidR="00880FC7" w:rsidRPr="00B16F8C" w:rsidRDefault="00880FC7" w:rsidP="00B16F8C">
            <w:pPr>
              <w:pStyle w:val="Tabletext"/>
              <w:ind w:left="0" w:right="0"/>
              <w:rPr>
                <w:b/>
                <w:sz w:val="20"/>
                <w:szCs w:val="20"/>
              </w:rPr>
            </w:pPr>
            <w:r w:rsidRPr="00B16F8C">
              <w:rPr>
                <w:b/>
                <w:sz w:val="20"/>
                <w:szCs w:val="20"/>
              </w:rPr>
              <w:t>Missing information</w:t>
            </w:r>
          </w:p>
        </w:tc>
        <w:tc>
          <w:tcPr>
            <w:tcW w:w="3176" w:type="dxa"/>
          </w:tcPr>
          <w:p w14:paraId="18A6E332" w14:textId="77777777" w:rsidR="00880FC7" w:rsidRPr="00B16F8C" w:rsidRDefault="00880FC7" w:rsidP="00B16F8C">
            <w:pPr>
              <w:ind w:left="0" w:right="0"/>
              <w:rPr>
                <w:sz w:val="20"/>
                <w:szCs w:val="20"/>
              </w:rPr>
            </w:pPr>
            <w:r w:rsidRPr="00B16F8C">
              <w:rPr>
                <w:sz w:val="20"/>
                <w:szCs w:val="20"/>
              </w:rPr>
              <w:t>Use in Severe Renal Impairment</w:t>
            </w:r>
          </w:p>
        </w:tc>
        <w:tc>
          <w:tcPr>
            <w:tcW w:w="874" w:type="dxa"/>
          </w:tcPr>
          <w:p w14:paraId="5566A2F2"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10" w:type="dxa"/>
          </w:tcPr>
          <w:p w14:paraId="5D85F714" w14:textId="77777777" w:rsidR="00880FC7" w:rsidRPr="00B16F8C" w:rsidRDefault="00880FC7" w:rsidP="00B16F8C">
            <w:pPr>
              <w:pStyle w:val="Tabletext"/>
              <w:ind w:left="0" w:right="0"/>
              <w:jc w:val="center"/>
              <w:rPr>
                <w:sz w:val="20"/>
                <w:szCs w:val="20"/>
              </w:rPr>
            </w:pPr>
            <w:r w:rsidRPr="00B16F8C">
              <w:rPr>
                <w:sz w:val="20"/>
                <w:szCs w:val="20"/>
              </w:rPr>
              <w:sym w:font="Wingdings" w:char="F0FC"/>
            </w:r>
            <w:r w:rsidRPr="00B16F8C">
              <w:rPr>
                <w:sz w:val="20"/>
                <w:szCs w:val="20"/>
              </w:rPr>
              <w:t>*</w:t>
            </w:r>
          </w:p>
        </w:tc>
        <w:tc>
          <w:tcPr>
            <w:tcW w:w="992" w:type="dxa"/>
          </w:tcPr>
          <w:p w14:paraId="776499F2" w14:textId="77777777" w:rsidR="00880FC7" w:rsidRPr="00B16F8C" w:rsidRDefault="00880FC7" w:rsidP="00B16F8C">
            <w:pPr>
              <w:pStyle w:val="Tabletext"/>
              <w:ind w:left="0" w:right="0"/>
              <w:jc w:val="center"/>
              <w:rPr>
                <w:sz w:val="20"/>
                <w:szCs w:val="20"/>
              </w:rPr>
            </w:pPr>
            <w:r w:rsidRPr="00B16F8C">
              <w:rPr>
                <w:sz w:val="20"/>
                <w:szCs w:val="20"/>
              </w:rPr>
              <w:sym w:font="Wingdings" w:char="F0FC"/>
            </w:r>
          </w:p>
        </w:tc>
        <w:tc>
          <w:tcPr>
            <w:tcW w:w="1134" w:type="dxa"/>
          </w:tcPr>
          <w:p w14:paraId="6972D764" w14:textId="77777777" w:rsidR="00880FC7" w:rsidRPr="00B16F8C" w:rsidRDefault="00880FC7" w:rsidP="00B16F8C">
            <w:pPr>
              <w:pStyle w:val="Tabletext"/>
              <w:ind w:left="0" w:right="0"/>
              <w:jc w:val="center"/>
              <w:rPr>
                <w:sz w:val="20"/>
                <w:szCs w:val="20"/>
              </w:rPr>
            </w:pPr>
            <w:r w:rsidRPr="00B16F8C">
              <w:rPr>
                <w:sz w:val="20"/>
                <w:szCs w:val="20"/>
              </w:rPr>
              <w:t>–</w:t>
            </w:r>
          </w:p>
        </w:tc>
      </w:tr>
    </w:tbl>
    <w:p w14:paraId="165AA7F2" w14:textId="46DE56F6" w:rsidR="008E7846" w:rsidRDefault="00B16F8C" w:rsidP="00B05345">
      <w:pPr>
        <w:pStyle w:val="TableCaption"/>
        <w:spacing w:before="0" w:after="0" w:line="240" w:lineRule="auto"/>
      </w:pPr>
      <w:r>
        <w:t xml:space="preserve">*Clinical trial. </w:t>
      </w:r>
      <w:r w:rsidR="00880FC7" w:rsidRPr="00D62A28">
        <w:t>#Pr</w:t>
      </w:r>
      <w:r w:rsidR="00B05345">
        <w:t>egnancy follow-up questionnaire.</w:t>
      </w:r>
    </w:p>
    <w:p w14:paraId="3F5A3530" w14:textId="77777777" w:rsidR="005A1342" w:rsidRDefault="005A1342" w:rsidP="005A1342">
      <w:r>
        <w:t>The RMP evaluator found the proposed pharmacovigilance plan acceptable.</w:t>
      </w:r>
    </w:p>
    <w:p w14:paraId="0808B1D9" w14:textId="31449215" w:rsidR="005A1342" w:rsidRDefault="005A1342" w:rsidP="005A1342">
      <w:proofErr w:type="spellStart"/>
      <w:r>
        <w:t>Talazoparib</w:t>
      </w:r>
      <w:proofErr w:type="spellEnd"/>
      <w:r>
        <w:t xml:space="preserve"> will be included in the Black Triangle scheme, as it is a new chemical entity.</w:t>
      </w:r>
    </w:p>
    <w:p w14:paraId="2EE9B4AC" w14:textId="77777777" w:rsidR="008E7846" w:rsidRDefault="00AA0ED0" w:rsidP="008E7846">
      <w:pPr>
        <w:pStyle w:val="Heading3"/>
      </w:pPr>
      <w:bookmarkStart w:id="52" w:name="_Toc247691531"/>
      <w:bookmarkStart w:id="53" w:name="_Toc314842515"/>
      <w:bookmarkStart w:id="54" w:name="_Toc196046505"/>
      <w:bookmarkStart w:id="55" w:name="_Toc196046949"/>
      <w:bookmarkStart w:id="56" w:name="_Toc34746003"/>
      <w:r>
        <w:t>Risk-benefit a</w:t>
      </w:r>
      <w:r w:rsidR="008E7846">
        <w:t>nalysis</w:t>
      </w:r>
      <w:bookmarkEnd w:id="52"/>
      <w:bookmarkEnd w:id="53"/>
      <w:bookmarkEnd w:id="56"/>
    </w:p>
    <w:p w14:paraId="56C50872" w14:textId="77777777" w:rsidR="00D23139" w:rsidRDefault="00B05345" w:rsidP="00D23139">
      <w:pPr>
        <w:pStyle w:val="Heading4"/>
      </w:pPr>
      <w:r>
        <w:t>Delegate’s considerations</w:t>
      </w:r>
    </w:p>
    <w:p w14:paraId="5FE1CEB6" w14:textId="77777777" w:rsidR="00B05345" w:rsidRPr="00CA443F" w:rsidRDefault="00B05345" w:rsidP="00B05345">
      <w:pPr>
        <w:pStyle w:val="Heading5"/>
      </w:pPr>
      <w:r w:rsidRPr="00CA443F">
        <w:t>Benefits and uncertainties</w:t>
      </w:r>
    </w:p>
    <w:p w14:paraId="74C3F906" w14:textId="50BEE952" w:rsidR="00B05345" w:rsidRPr="00B16F8C" w:rsidRDefault="00B05345" w:rsidP="00B16F8C">
      <w:r w:rsidRPr="00B16F8C">
        <w:t xml:space="preserve">The primary endpoint </w:t>
      </w:r>
      <w:proofErr w:type="gramStart"/>
      <w:r w:rsidRPr="00B16F8C">
        <w:t>was met</w:t>
      </w:r>
      <w:proofErr w:type="gramEnd"/>
      <w:r w:rsidRPr="00B16F8C">
        <w:t xml:space="preserve">. Patients in the </w:t>
      </w:r>
      <w:proofErr w:type="spellStart"/>
      <w:r w:rsidRPr="00B16F8C">
        <w:t>talazoparib</w:t>
      </w:r>
      <w:proofErr w:type="spellEnd"/>
      <w:r w:rsidRPr="00B16F8C">
        <w:t xml:space="preserve"> arm </w:t>
      </w:r>
      <w:r w:rsidR="00B16F8C" w:rsidRPr="00B16F8C">
        <w:t>had a median PFS 3 </w:t>
      </w:r>
      <w:r w:rsidRPr="00B16F8C">
        <w:t>months longer than patients in the PCT arm (hazard ratio 0.54 (95% CI 0.41, 0.71, p</w:t>
      </w:r>
      <w:r w:rsidR="006D0F41">
        <w:t> </w:t>
      </w:r>
      <w:r w:rsidRPr="00B16F8C">
        <w:t>&lt;</w:t>
      </w:r>
      <w:r w:rsidR="006D0F41">
        <w:t> </w:t>
      </w:r>
      <w:r w:rsidRPr="00B16F8C">
        <w:t xml:space="preserve">0.0001). The median PFS (95% CI) was 8.6 months (7.2, 9.3) in the </w:t>
      </w:r>
      <w:proofErr w:type="spellStart"/>
      <w:r w:rsidRPr="00B16F8C">
        <w:t>talazoparib</w:t>
      </w:r>
      <w:proofErr w:type="spellEnd"/>
      <w:r w:rsidRPr="00B16F8C">
        <w:t xml:space="preserve"> arm and 5.6 months (4.2, 6.7) in the PCT arm. Subgroup analyses and sensitivity analyses were supportive of the primary end</w:t>
      </w:r>
      <w:r w:rsidR="006D0F41">
        <w:t>point.</w:t>
      </w:r>
    </w:p>
    <w:p w14:paraId="1D356460" w14:textId="156E1194" w:rsidR="00B05345" w:rsidRPr="00B16F8C" w:rsidRDefault="00B05345" w:rsidP="00B16F8C">
      <w:r w:rsidRPr="00B16F8C">
        <w:t xml:space="preserve">OS was not mature at the time of analysis, with </w:t>
      </w:r>
      <w:r w:rsidR="00B16F8C" w:rsidRPr="00B16F8C">
        <w:t>hazard ratio</w:t>
      </w:r>
      <w:r w:rsidRPr="00B16F8C">
        <w:t xml:space="preserve"> (95% CI) 0.761 (95% CI: 0.547, 1.060) (data cut off 15 </w:t>
      </w:r>
      <w:r w:rsidR="006D0F41" w:rsidRPr="00B16F8C">
        <w:t>Sep</w:t>
      </w:r>
      <w:r w:rsidR="006D0F41">
        <w:t>tember</w:t>
      </w:r>
      <w:r w:rsidRPr="00B16F8C">
        <w:t xml:space="preserve"> 2017). F</w:t>
      </w:r>
      <w:r w:rsidR="00B16F8C">
        <w:t xml:space="preserve">inal OS analysis </w:t>
      </w:r>
      <w:proofErr w:type="gramStart"/>
      <w:r w:rsidR="00B16F8C">
        <w:t>is planned</w:t>
      </w:r>
      <w:proofErr w:type="gramEnd"/>
      <w:r w:rsidR="00B16F8C">
        <w:t xml:space="preserve"> at approximately </w:t>
      </w:r>
      <w:r w:rsidRPr="00B16F8C">
        <w:t>321 events, noting potential confounding by subsequent therapies (which include a PARP inhibitor for 18% of the PCT arm to the data cut-off date).</w:t>
      </w:r>
    </w:p>
    <w:p w14:paraId="245880D5" w14:textId="38650C52" w:rsidR="00B05345" w:rsidRPr="00B16F8C" w:rsidRDefault="00B05345" w:rsidP="00B16F8C">
      <w:r w:rsidRPr="00B16F8C">
        <w:t xml:space="preserve">The ORR (95% CI) was 50% (43, 57) with </w:t>
      </w:r>
      <w:proofErr w:type="spellStart"/>
      <w:r w:rsidRPr="00B16F8C">
        <w:t>talazoparib</w:t>
      </w:r>
      <w:proofErr w:type="spellEnd"/>
      <w:r w:rsidRPr="00B16F8C">
        <w:t xml:space="preserve"> treatment versus 18% (12, 27) with PCT. Due to lack of adjustment for multiplicity, results for ORR (secondary endpoint per protoc</w:t>
      </w:r>
      <w:r w:rsidR="00B16F8C">
        <w:t xml:space="preserve">ol) </w:t>
      </w:r>
      <w:proofErr w:type="gramStart"/>
      <w:r w:rsidR="00B16F8C">
        <w:t>are considered</w:t>
      </w:r>
      <w:proofErr w:type="gramEnd"/>
      <w:r w:rsidR="00B16F8C">
        <w:t xml:space="preserve"> exploratory.</w:t>
      </w:r>
    </w:p>
    <w:p w14:paraId="72532991" w14:textId="2BAEFBE5" w:rsidR="00B05345" w:rsidRPr="00B16F8C" w:rsidRDefault="00B05345" w:rsidP="00B16F8C">
      <w:r w:rsidRPr="00B16F8C">
        <w:t>Response data from</w:t>
      </w:r>
      <w:r w:rsidR="00B16F8C">
        <w:t xml:space="preserve"> earlier phase trials (ABRAZO</w:t>
      </w:r>
      <w:r w:rsidR="00BF2443">
        <w:t xml:space="preserve"> trial</w:t>
      </w:r>
      <w:r w:rsidR="00B16F8C">
        <w:t xml:space="preserve">, </w:t>
      </w:r>
      <w:r w:rsidR="00BF2443">
        <w:t xml:space="preserve">a </w:t>
      </w:r>
      <w:r w:rsidR="00B16F8C">
        <w:t>Phase II</w:t>
      </w:r>
      <w:r w:rsidR="00BF2443">
        <w:t xml:space="preserve"> study</w:t>
      </w:r>
      <w:r w:rsidR="00B16F8C">
        <w:t xml:space="preserve">, and </w:t>
      </w:r>
      <w:r w:rsidR="00BF2443">
        <w:t>Study </w:t>
      </w:r>
      <w:r w:rsidR="00B16F8C">
        <w:t>PRP</w:t>
      </w:r>
      <w:r w:rsidR="00BF2443">
        <w:noBreakHyphen/>
      </w:r>
      <w:r w:rsidR="00B16F8C">
        <w:t>001, Phase I</w:t>
      </w:r>
      <w:r w:rsidRPr="00B16F8C">
        <w:t xml:space="preserve">) are supportive that </w:t>
      </w:r>
      <w:proofErr w:type="spellStart"/>
      <w:r w:rsidRPr="00B16F8C">
        <w:t>talazoparib</w:t>
      </w:r>
      <w:proofErr w:type="spellEnd"/>
      <w:r w:rsidRPr="00B16F8C">
        <w:t xml:space="preserve"> has activity in BRCA-positive, HER2-negative breast cancer.</w:t>
      </w:r>
    </w:p>
    <w:p w14:paraId="7B6E96BC" w14:textId="21746841" w:rsidR="00B05345" w:rsidRPr="00B16F8C" w:rsidRDefault="00B05345" w:rsidP="00B16F8C">
      <w:r w:rsidRPr="00B16F8C">
        <w:t xml:space="preserve">Whether </w:t>
      </w:r>
      <w:proofErr w:type="spellStart"/>
      <w:r w:rsidRPr="00B16F8C">
        <w:t>talazoparib</w:t>
      </w:r>
      <w:proofErr w:type="spellEnd"/>
      <w:r w:rsidRPr="00B16F8C">
        <w:t xml:space="preserve"> efficacy would be similar for patients with tumours carrying somatic BRCA mutation, and the optimal place in therapy sequence for </w:t>
      </w:r>
      <w:proofErr w:type="spellStart"/>
      <w:r w:rsidRPr="00B16F8C">
        <w:t>talazoparib</w:t>
      </w:r>
      <w:proofErr w:type="spellEnd"/>
      <w:r w:rsidRPr="00B16F8C">
        <w:t xml:space="preserve"> relative to platinum </w:t>
      </w:r>
      <w:proofErr w:type="gramStart"/>
      <w:r w:rsidRPr="00B16F8C">
        <w:t>therapy,</w:t>
      </w:r>
      <w:proofErr w:type="gramEnd"/>
      <w:r w:rsidRPr="00B16F8C">
        <w:t xml:space="preserve"> remain</w:t>
      </w:r>
      <w:r w:rsidR="00B16F8C">
        <w:t>s</w:t>
      </w:r>
      <w:r w:rsidRPr="00B16F8C">
        <w:t xml:space="preserve"> unclear.</w:t>
      </w:r>
    </w:p>
    <w:p w14:paraId="5C999C43" w14:textId="77777777" w:rsidR="00B05345" w:rsidRPr="009A19FC" w:rsidRDefault="00B05345" w:rsidP="00B05345">
      <w:pPr>
        <w:pStyle w:val="Heading5"/>
        <w:rPr>
          <w:color w:val="auto"/>
        </w:rPr>
      </w:pPr>
      <w:r w:rsidRPr="009A19FC">
        <w:rPr>
          <w:color w:val="auto"/>
        </w:rPr>
        <w:t>Harms and uncertainties</w:t>
      </w:r>
    </w:p>
    <w:p w14:paraId="0C0C9AD2" w14:textId="6AAF5973" w:rsidR="00B05345" w:rsidRDefault="00B05345" w:rsidP="00B05345">
      <w:r>
        <w:t xml:space="preserve">The overall safety profile of </w:t>
      </w:r>
      <w:proofErr w:type="spellStart"/>
      <w:r>
        <w:t>talazoparib</w:t>
      </w:r>
      <w:proofErr w:type="spellEnd"/>
      <w:r>
        <w:t xml:space="preserve"> appears to be consistent with that described for other</w:t>
      </w:r>
      <w:r w:rsidR="005A1342">
        <w:t xml:space="preserve"> PARP inhibitors.</w:t>
      </w:r>
    </w:p>
    <w:p w14:paraId="5A9C3404" w14:textId="3557BC78" w:rsidR="00B05345" w:rsidRDefault="00B05345" w:rsidP="00EF1ECC">
      <w:r>
        <w:t xml:space="preserve">The types of adverse events in the </w:t>
      </w:r>
      <w:proofErr w:type="spellStart"/>
      <w:r>
        <w:t>talazoparib</w:t>
      </w:r>
      <w:proofErr w:type="spellEnd"/>
      <w:r>
        <w:t xml:space="preserve"> arm of</w:t>
      </w:r>
      <w:r w:rsidR="00BF2443">
        <w:t xml:space="preserve"> the</w:t>
      </w:r>
      <w:r>
        <w:t xml:space="preserve"> EMBRACA </w:t>
      </w:r>
      <w:r w:rsidR="00BF2443">
        <w:t xml:space="preserve">trial </w:t>
      </w:r>
      <w:r>
        <w:t xml:space="preserve">were principally consistent with </w:t>
      </w:r>
      <w:proofErr w:type="spellStart"/>
      <w:r>
        <w:t>myelosuppression</w:t>
      </w:r>
      <w:proofErr w:type="spellEnd"/>
      <w:r>
        <w:t>: the most common events (incidence &gt;</w:t>
      </w:r>
      <w:r w:rsidR="00B16F8C">
        <w:t xml:space="preserve"> </w:t>
      </w:r>
      <w:proofErr w:type="gramStart"/>
      <w:r>
        <w:t>20%</w:t>
      </w:r>
      <w:proofErr w:type="gramEnd"/>
      <w:r>
        <w:t xml:space="preserve">) were anaemia, fatigue, nausea, </w:t>
      </w:r>
      <w:proofErr w:type="spellStart"/>
      <w:r>
        <w:t>neutrop</w:t>
      </w:r>
      <w:r w:rsidR="00BF2443">
        <w:t>a</w:t>
      </w:r>
      <w:r>
        <w:t>enia</w:t>
      </w:r>
      <w:proofErr w:type="spellEnd"/>
      <w:r>
        <w:t xml:space="preserve">, headache, </w:t>
      </w:r>
      <w:proofErr w:type="spellStart"/>
      <w:r>
        <w:t>thrombocytop</w:t>
      </w:r>
      <w:r w:rsidR="00BF2443">
        <w:t>a</w:t>
      </w:r>
      <w:r>
        <w:t>enia</w:t>
      </w:r>
      <w:proofErr w:type="spellEnd"/>
      <w:r>
        <w:t>, vomiting, alopecia, diarrhoea and decreased appetite. Of</w:t>
      </w:r>
      <w:r w:rsidR="00B16F8C">
        <w:t xml:space="preserve"> </w:t>
      </w:r>
      <w:proofErr w:type="spellStart"/>
      <w:r w:rsidR="00B16F8C">
        <w:t>talazoparib</w:t>
      </w:r>
      <w:proofErr w:type="spellEnd"/>
      <w:r w:rsidR="00B16F8C">
        <w:t>-treated patients, G</w:t>
      </w:r>
      <w:r>
        <w:t>rade 3 anaemia occu</w:t>
      </w:r>
      <w:r w:rsidR="00B16F8C">
        <w:t>rred in 38%, life threatening (G</w:t>
      </w:r>
      <w:r>
        <w:t xml:space="preserve">rade 4) anaemia occurred in </w:t>
      </w:r>
      <w:proofErr w:type="gramStart"/>
      <w:r>
        <w:t>2</w:t>
      </w:r>
      <w:proofErr w:type="gramEnd"/>
      <w:r>
        <w:t xml:space="preserve"> (1%) and serious events </w:t>
      </w:r>
      <w:r w:rsidR="005A1342">
        <w:t>of anaemia were reported in 6%.</w:t>
      </w:r>
    </w:p>
    <w:p w14:paraId="35847377" w14:textId="71D770F0" w:rsidR="00B05345" w:rsidRDefault="00B05345" w:rsidP="00B05345">
      <w:r>
        <w:t xml:space="preserve">The duration of exposure to </w:t>
      </w:r>
      <w:proofErr w:type="spellStart"/>
      <w:r>
        <w:t>talazoparib</w:t>
      </w:r>
      <w:proofErr w:type="spellEnd"/>
      <w:r>
        <w:t xml:space="preserve"> was almost double that of the PCT </w:t>
      </w:r>
      <w:proofErr w:type="gramStart"/>
      <w:r>
        <w:t>arm,</w:t>
      </w:r>
      <w:proofErr w:type="gramEnd"/>
      <w:r>
        <w:t xml:space="preserve"> however unadjusted rates of </w:t>
      </w:r>
      <w:r w:rsidR="00B16F8C">
        <w:t>TEAEs</w:t>
      </w:r>
      <w:r>
        <w:t xml:space="preserve">, including higher grade and serious events, as well as discontinuations and dose modifications were similar between arms. Dose modification was </w:t>
      </w:r>
      <w:r w:rsidRPr="00B94A68">
        <w:t xml:space="preserve">associated with an AE in 66.4% of patients in the </w:t>
      </w:r>
      <w:proofErr w:type="spellStart"/>
      <w:r w:rsidRPr="00B94A68">
        <w:t>talazoparib</w:t>
      </w:r>
      <w:proofErr w:type="spellEnd"/>
      <w:r w:rsidRPr="00B94A68">
        <w:t xml:space="preserve"> arm.</w:t>
      </w:r>
      <w:r>
        <w:t xml:space="preserve"> Dose modification </w:t>
      </w:r>
      <w:r>
        <w:lastRenderedPageBreak/>
        <w:t>for</w:t>
      </w:r>
      <w:r w:rsidRPr="00B94A68">
        <w:t xml:space="preserve"> anaemia, </w:t>
      </w:r>
      <w:proofErr w:type="spellStart"/>
      <w:r w:rsidRPr="00B94A68">
        <w:t>neutrop</w:t>
      </w:r>
      <w:r w:rsidR="00BF2443">
        <w:t>a</w:t>
      </w:r>
      <w:r w:rsidRPr="00B94A68">
        <w:t>enia</w:t>
      </w:r>
      <w:proofErr w:type="spellEnd"/>
      <w:r w:rsidRPr="00B94A68">
        <w:t xml:space="preserve">, and </w:t>
      </w:r>
      <w:proofErr w:type="spellStart"/>
      <w:r w:rsidRPr="00B94A68">
        <w:t>thrombocytop</w:t>
      </w:r>
      <w:r w:rsidR="00BF2443">
        <w:t>a</w:t>
      </w:r>
      <w:r w:rsidRPr="00B94A68">
        <w:t>enia</w:t>
      </w:r>
      <w:proofErr w:type="spellEnd"/>
      <w:r w:rsidRPr="00B94A68">
        <w:t xml:space="preserve"> </w:t>
      </w:r>
      <w:r>
        <w:t xml:space="preserve">occurred at least </w:t>
      </w:r>
      <w:r w:rsidRPr="00B94A68">
        <w:t xml:space="preserve">5% </w:t>
      </w:r>
      <w:r>
        <w:t xml:space="preserve">more frequently with </w:t>
      </w:r>
      <w:proofErr w:type="spellStart"/>
      <w:r>
        <w:t>talazoparib</w:t>
      </w:r>
      <w:proofErr w:type="spellEnd"/>
      <w:r>
        <w:t xml:space="preserve"> than PCT</w:t>
      </w:r>
      <w:r w:rsidRPr="00B94A68">
        <w:t xml:space="preserve">, while </w:t>
      </w:r>
      <w:r>
        <w:t>dose modification for</w:t>
      </w:r>
      <w:r w:rsidRPr="00B94A68">
        <w:t xml:space="preserve"> decreased neutrophil count, nausea, diarrhoea, and palmar-plantar </w:t>
      </w:r>
      <w:proofErr w:type="spellStart"/>
      <w:r w:rsidRPr="00B94A68">
        <w:t>erythrodysaesthesia</w:t>
      </w:r>
      <w:proofErr w:type="spellEnd"/>
      <w:r w:rsidRPr="00B94A68">
        <w:t xml:space="preserve"> syndrome </w:t>
      </w:r>
      <w:r>
        <w:t>occurred at least</w:t>
      </w:r>
      <w:r w:rsidRPr="00B94A68">
        <w:t xml:space="preserve"> 5% more commonly in patients in the PCT arm.</w:t>
      </w:r>
    </w:p>
    <w:p w14:paraId="354E794B" w14:textId="2124D7E6" w:rsidR="00B05345" w:rsidRDefault="00B05345" w:rsidP="00B05345">
      <w:r>
        <w:t xml:space="preserve">Two patients treated at the proposed dose across the clinical development program developed </w:t>
      </w:r>
      <w:r w:rsidR="00B16F8C">
        <w:t>MDS</w:t>
      </w:r>
      <w:r>
        <w:t>/</w:t>
      </w:r>
      <w:r w:rsidR="00B16F8C">
        <w:t>AML</w:t>
      </w:r>
      <w:r>
        <w:t xml:space="preserve">: one with 4 months and one with 24 months duration of exposure. Both patients also had prior exposure to chemotherapies known to be associated with second primary malignancy. One case occurred in </w:t>
      </w:r>
      <w:r w:rsidR="00BF2443">
        <w:t xml:space="preserve">the </w:t>
      </w:r>
      <w:r>
        <w:t>EMBRACA</w:t>
      </w:r>
      <w:r w:rsidR="00BF2443">
        <w:t xml:space="preserve"> trial</w:t>
      </w:r>
      <w:r>
        <w:t xml:space="preserve">, compared to </w:t>
      </w:r>
      <w:r w:rsidRPr="00D17197">
        <w:t xml:space="preserve">one event of acute </w:t>
      </w:r>
      <w:proofErr w:type="spellStart"/>
      <w:r w:rsidRPr="00D17197">
        <w:t>promyelocytic</w:t>
      </w:r>
      <w:proofErr w:type="spellEnd"/>
      <w:r w:rsidRPr="00D17197">
        <w:t xml:space="preserve"> leuk</w:t>
      </w:r>
      <w:r w:rsidR="00BF2443">
        <w:t>a</w:t>
      </w:r>
      <w:r w:rsidRPr="00D17197">
        <w:t xml:space="preserve">emia in the PCT arm of the EMBRACA </w:t>
      </w:r>
      <w:r w:rsidR="00BF2443">
        <w:t>trial</w:t>
      </w:r>
      <w:r w:rsidRPr="00D17197">
        <w:t>.</w:t>
      </w:r>
      <w:r>
        <w:t xml:space="preserve"> A third case of second primary malignancy (leukaemia) with limited detail </w:t>
      </w:r>
      <w:proofErr w:type="gramStart"/>
      <w:r>
        <w:t>was reported</w:t>
      </w:r>
      <w:proofErr w:type="gramEnd"/>
      <w:r>
        <w:t xml:space="preserve"> in a recent </w:t>
      </w:r>
      <w:r w:rsidR="00B16F8C">
        <w:t>PADER</w:t>
      </w:r>
      <w:r>
        <w:t>. Based on biological plausibility, pre-clinical data and the observed cases (despite confounding) this event should be included as a Warning/Precaution in the PI.</w:t>
      </w:r>
    </w:p>
    <w:p w14:paraId="1E8FFCA7" w14:textId="34003082" w:rsidR="00B05345" w:rsidRDefault="00B05345" w:rsidP="00B05345">
      <w:proofErr w:type="spellStart"/>
      <w:r>
        <w:t>Talazoparib</w:t>
      </w:r>
      <w:proofErr w:type="spellEnd"/>
      <w:r>
        <w:t xml:space="preserve"> exposure </w:t>
      </w:r>
      <w:proofErr w:type="gramStart"/>
      <w:r>
        <w:t>is increased</w:t>
      </w:r>
      <w:proofErr w:type="gramEnd"/>
      <w:r>
        <w:t xml:space="preserve"> if co-administered with certain P-</w:t>
      </w:r>
      <w:proofErr w:type="spellStart"/>
      <w:r>
        <w:t>gp</w:t>
      </w:r>
      <w:proofErr w:type="spellEnd"/>
      <w:r>
        <w:t xml:space="preserve"> inhibitors, and in moderate renal impairment, and dose reduction </w:t>
      </w:r>
      <w:r w:rsidR="00B16F8C">
        <w:t xml:space="preserve">is required in these settings. </w:t>
      </w:r>
      <w:r>
        <w:t xml:space="preserve">Based on toxicology data, </w:t>
      </w:r>
      <w:proofErr w:type="spellStart"/>
      <w:r>
        <w:t>embryofoetal</w:t>
      </w:r>
      <w:proofErr w:type="spellEnd"/>
      <w:r>
        <w:t xml:space="preserve"> toxicity or lethality and effects on fertility (particularly male) </w:t>
      </w:r>
      <w:proofErr w:type="gramStart"/>
      <w:r>
        <w:t>are predicted</w:t>
      </w:r>
      <w:proofErr w:type="gramEnd"/>
      <w:r>
        <w:t>.</w:t>
      </w:r>
    </w:p>
    <w:p w14:paraId="14DC544F" w14:textId="57DF9EF6" w:rsidR="00B05345" w:rsidRDefault="00B05345" w:rsidP="00B05345">
      <w:proofErr w:type="spellStart"/>
      <w:r>
        <w:t>Talazoparib</w:t>
      </w:r>
      <w:proofErr w:type="spellEnd"/>
      <w:r>
        <w:t xml:space="preserve"> will be included in </w:t>
      </w:r>
      <w:r w:rsidR="00BF2443">
        <w:t xml:space="preserve">the </w:t>
      </w:r>
      <w:r>
        <w:t xml:space="preserve">TGA’s black triangle scheme automatically, as a new chemical entity. The </w:t>
      </w:r>
      <w:r w:rsidR="00B16F8C">
        <w:t xml:space="preserve">RMP </w:t>
      </w:r>
      <w:r>
        <w:t xml:space="preserve">for Australia also lists AML and other second primary malignancies as important potential risks for monitoring, alongside reproductive and developmental toxicity. </w:t>
      </w:r>
      <w:r w:rsidRPr="00CF3F32">
        <w:t xml:space="preserve">Within the Australian health system, it is highly unlikely that </w:t>
      </w:r>
      <w:proofErr w:type="spellStart"/>
      <w:r w:rsidRPr="00CF3F32">
        <w:t>talazoparib</w:t>
      </w:r>
      <w:proofErr w:type="spellEnd"/>
      <w:r w:rsidRPr="00CF3F32">
        <w:t xml:space="preserve"> </w:t>
      </w:r>
      <w:proofErr w:type="gramStart"/>
      <w:r w:rsidRPr="00CF3F32">
        <w:t>will be prescribed</w:t>
      </w:r>
      <w:proofErr w:type="gramEnd"/>
      <w:r w:rsidRPr="00CF3F32">
        <w:t xml:space="preserve"> by anyone other than medical oncologists.</w:t>
      </w:r>
    </w:p>
    <w:p w14:paraId="639B12AB" w14:textId="5B2D8AD6" w:rsidR="00B05345" w:rsidRDefault="00B05345" w:rsidP="00B05345">
      <w:r>
        <w:t>Missing information includes use in severe renal impairment, and inves</w:t>
      </w:r>
      <w:r w:rsidR="00B16F8C">
        <w:t>tigation is ongoing as part of S</w:t>
      </w:r>
      <w:r>
        <w:t xml:space="preserve">tudy </w:t>
      </w:r>
      <w:r w:rsidRPr="001D7362">
        <w:t>C3441001</w:t>
      </w:r>
      <w:r>
        <w:t>. Data for use in moderate or severe hepatic impa</w:t>
      </w:r>
      <w:r w:rsidR="00B16F8C">
        <w:t>irment is pending (S</w:t>
      </w:r>
      <w:r>
        <w:t xml:space="preserve">tudy C3441002), but based on the minimal hepatic metabolism of </w:t>
      </w:r>
      <w:proofErr w:type="spellStart"/>
      <w:r>
        <w:t>talazoparib</w:t>
      </w:r>
      <w:proofErr w:type="spellEnd"/>
      <w:r>
        <w:t>, the</w:t>
      </w:r>
      <w:r w:rsidRPr="00011CA5">
        <w:t xml:space="preserve"> </w:t>
      </w:r>
      <w:r w:rsidR="00B16F8C">
        <w:t>European Medicines Agency</w:t>
      </w:r>
      <w:r w:rsidR="00BF2443">
        <w:t>’s</w:t>
      </w:r>
      <w:r w:rsidR="00B16F8C">
        <w:t xml:space="preserve"> (</w:t>
      </w:r>
      <w:r>
        <w:t>EMA</w:t>
      </w:r>
      <w:r w:rsidR="00B16F8C">
        <w:t>)</w:t>
      </w:r>
      <w:r>
        <w:t xml:space="preserve"> </w:t>
      </w:r>
      <w:r w:rsidR="00B16F8C" w:rsidRPr="00B16F8C">
        <w:t xml:space="preserve">Committee for Medicinal Products for Human Use </w:t>
      </w:r>
      <w:r w:rsidR="00B16F8C">
        <w:t xml:space="preserve">(CHMP) </w:t>
      </w:r>
      <w:r w:rsidRPr="00011CA5">
        <w:t xml:space="preserve">has requested to remove this from the </w:t>
      </w:r>
      <w:r>
        <w:t>‘missing information’ section of the RMP summary of safety concerns.</w:t>
      </w:r>
    </w:p>
    <w:p w14:paraId="4F281E42" w14:textId="77777777" w:rsidR="00B05345" w:rsidRPr="009A19FC" w:rsidRDefault="00B05345" w:rsidP="00EF1ECC">
      <w:pPr>
        <w:pStyle w:val="Heading5"/>
      </w:pPr>
      <w:r w:rsidRPr="009A19FC">
        <w:t>Benefit-risk balance</w:t>
      </w:r>
    </w:p>
    <w:p w14:paraId="511DB8A5" w14:textId="7D341D03" w:rsidR="00B05345" w:rsidRDefault="00B05345" w:rsidP="00B05345">
      <w:proofErr w:type="gramStart"/>
      <w:r>
        <w:t xml:space="preserve">The benefit of treatment with </w:t>
      </w:r>
      <w:proofErr w:type="spellStart"/>
      <w:r>
        <w:t>talazoparib</w:t>
      </w:r>
      <w:proofErr w:type="spellEnd"/>
      <w:r>
        <w:t xml:space="preserve"> has been demonstrated in a single, high-quality randomised controlled trial (EMBRACA</w:t>
      </w:r>
      <w:r w:rsidR="00BF2443">
        <w:t xml:space="preserve"> trial</w:t>
      </w:r>
      <w:r>
        <w:t>), which showed a statistically significant progression-free survival advantage of approximately 3 months over physician’s choice of single-agent chemotherapeutic agents in common use (at the time of trial design), in the treatment of patients with germline BRCA mutation who have advanced HER2-negative breast cancer.</w:t>
      </w:r>
      <w:proofErr w:type="gramEnd"/>
      <w:r>
        <w:t xml:space="preserve"> The hazard ratio for this comparison is 0.54 (95% CI 0.41, 0.71, p</w:t>
      </w:r>
      <w:r w:rsidR="00B16F8C">
        <w:t xml:space="preserve"> </w:t>
      </w:r>
      <w:r>
        <w:t>&lt;</w:t>
      </w:r>
      <w:r w:rsidR="00B16F8C">
        <w:t xml:space="preserve"> </w:t>
      </w:r>
      <w:r>
        <w:t>0.0001).</w:t>
      </w:r>
      <w:r w:rsidRPr="00771122">
        <w:t xml:space="preserve"> </w:t>
      </w:r>
      <w:r>
        <w:t>Overall survival data was not mature at the time of data cut off. The point estimate for the hazard ratio for overall survival was not suggestive of a survival detriment, however, at 0.76.</w:t>
      </w:r>
    </w:p>
    <w:p w14:paraId="7C4176A4" w14:textId="702EE650" w:rsidR="00B05345" w:rsidRPr="00132312" w:rsidRDefault="00B05345" w:rsidP="00B05345">
      <w:r>
        <w:t>The safety database is suf</w:t>
      </w:r>
      <w:r w:rsidR="00B16F8C">
        <w:t>ficient to support registration;</w:t>
      </w:r>
      <w:r>
        <w:t xml:space="preserve"> however, further data </w:t>
      </w:r>
      <w:proofErr w:type="gramStart"/>
      <w:r>
        <w:t>is expected</w:t>
      </w:r>
      <w:proofErr w:type="gramEnd"/>
      <w:r>
        <w:t xml:space="preserve"> from ongoing extension trials and post-market activities. This should consolidate the safety profile in terms of population size and duration of exposure/follow up, and the likelihood of detection of rare </w:t>
      </w:r>
      <w:r w:rsidR="00B16F8C">
        <w:t>AEs</w:t>
      </w:r>
      <w:r>
        <w:t xml:space="preserve">. Toxicities of </w:t>
      </w:r>
      <w:proofErr w:type="spellStart"/>
      <w:r>
        <w:t>talazoparib</w:t>
      </w:r>
      <w:proofErr w:type="spellEnd"/>
      <w:r>
        <w:t xml:space="preserve"> treatment </w:t>
      </w:r>
      <w:proofErr w:type="gramStart"/>
      <w:r>
        <w:t>were principally related</w:t>
      </w:r>
      <w:proofErr w:type="gramEnd"/>
      <w:r>
        <w:t xml:space="preserve"> to </w:t>
      </w:r>
      <w:proofErr w:type="spellStart"/>
      <w:r>
        <w:t>myelosuppression</w:t>
      </w:r>
      <w:proofErr w:type="spellEnd"/>
      <w:r>
        <w:t xml:space="preserve"> or gastrointestinal toxicity, and adverse reactions were generally manageable with dose modifications and supportive care. The safety profile is acceptable in the setting of </w:t>
      </w:r>
      <w:r w:rsidRPr="00132312">
        <w:t>this serious, life-threatening disease</w:t>
      </w:r>
      <w:r>
        <w:t>.</w:t>
      </w:r>
    </w:p>
    <w:p w14:paraId="76717693" w14:textId="7BF8F734" w:rsidR="00B05345" w:rsidRPr="005E7D80" w:rsidRDefault="00B16F8C" w:rsidP="00B05345">
      <w:r>
        <w:t>The D</w:t>
      </w:r>
      <w:r w:rsidR="00B05345" w:rsidRPr="005E7D80">
        <w:t>elegate is seeking impartial advice from independent Australian clinical experts in the treatment of breast cancer regarding specification of prior therapies in the wording of the indication, and will consider any additional matters raised by the clinical experts.</w:t>
      </w:r>
    </w:p>
    <w:p w14:paraId="79DECF1F" w14:textId="77777777" w:rsidR="00D23139" w:rsidRDefault="00D23139" w:rsidP="00D23139">
      <w:pPr>
        <w:pStyle w:val="Heading4"/>
      </w:pPr>
      <w:r w:rsidRPr="00D23139">
        <w:lastRenderedPageBreak/>
        <w:t>Proposed action</w:t>
      </w:r>
    </w:p>
    <w:p w14:paraId="73BCE3DA" w14:textId="34675FB2" w:rsidR="00456765" w:rsidRPr="00456765" w:rsidRDefault="00B05345" w:rsidP="00456765">
      <w:r w:rsidRPr="00132312">
        <w:t xml:space="preserve">The benefit-risk balance of registration of </w:t>
      </w:r>
      <w:proofErr w:type="spellStart"/>
      <w:r w:rsidRPr="00132312">
        <w:t>talazoparib</w:t>
      </w:r>
      <w:proofErr w:type="spellEnd"/>
      <w:r w:rsidRPr="00132312">
        <w:t xml:space="preserve"> </w:t>
      </w:r>
      <w:r w:rsidRPr="009A19FC">
        <w:t xml:space="preserve">for the proposed usage </w:t>
      </w:r>
      <w:proofErr w:type="gramStart"/>
      <w:r w:rsidRPr="009A19FC">
        <w:t>is considered</w:t>
      </w:r>
      <w:proofErr w:type="gramEnd"/>
      <w:r w:rsidRPr="009A19FC">
        <w:t xml:space="preserve"> </w:t>
      </w:r>
      <w:r>
        <w:t xml:space="preserve">positive, pending modifications to the proposed Australian </w:t>
      </w:r>
      <w:r w:rsidR="00B16F8C">
        <w:t>PI</w:t>
      </w:r>
      <w:r w:rsidRPr="009A19FC">
        <w:t>.</w:t>
      </w:r>
    </w:p>
    <w:p w14:paraId="307E0B52" w14:textId="77777777" w:rsidR="00D23139" w:rsidRDefault="00A22D57" w:rsidP="00D23139">
      <w:pPr>
        <w:pStyle w:val="Heading4"/>
      </w:pPr>
      <w:r>
        <w:t xml:space="preserve">Request for </w:t>
      </w:r>
      <w:r w:rsidR="008C0742">
        <w:t>independent expert</w:t>
      </w:r>
      <w:r w:rsidR="00D23139" w:rsidRPr="00D23139">
        <w:t xml:space="preserve"> advice</w:t>
      </w:r>
    </w:p>
    <w:p w14:paraId="4EA80CCC" w14:textId="534A0429" w:rsidR="00714C8C" w:rsidRPr="00714C8C" w:rsidRDefault="00714C8C" w:rsidP="00714C8C">
      <w:pPr>
        <w:pStyle w:val="ListBullet2"/>
        <w:numPr>
          <w:ilvl w:val="0"/>
          <w:numId w:val="0"/>
        </w:numPr>
        <w:rPr>
          <w:rFonts w:asciiTheme="minorHAnsi" w:hAnsiTheme="minorHAnsi" w:cstheme="minorHAnsi"/>
        </w:rPr>
      </w:pPr>
      <w:r w:rsidRPr="00297B90">
        <w:rPr>
          <w:lang w:val="en-US"/>
        </w:rPr>
        <w:t>Australian independent clinical experts provided</w:t>
      </w:r>
      <w:r w:rsidR="00BF2443">
        <w:rPr>
          <w:lang w:val="en-US"/>
        </w:rPr>
        <w:t xml:space="preserve"> the</w:t>
      </w:r>
      <w:r w:rsidRPr="00297B90">
        <w:rPr>
          <w:lang w:val="en-US"/>
        </w:rPr>
        <w:t xml:space="preserve"> TGA with impartial advice on the Australia-specific clinical context. The independent Australian clinical experts did not identify</w:t>
      </w:r>
      <w:r w:rsidRPr="00297B90">
        <w:rPr>
          <w:rFonts w:asciiTheme="minorHAnsi" w:hAnsiTheme="minorHAnsi" w:cstheme="minorHAnsi"/>
        </w:rPr>
        <w:t xml:space="preserve"> additional specific concerns or areas of uncertainty regarding </w:t>
      </w:r>
      <w:proofErr w:type="spellStart"/>
      <w:r w:rsidRPr="00297B90">
        <w:rPr>
          <w:rFonts w:asciiTheme="minorHAnsi" w:hAnsiTheme="minorHAnsi" w:cstheme="minorHAnsi"/>
        </w:rPr>
        <w:t>talazoparib</w:t>
      </w:r>
      <w:proofErr w:type="spellEnd"/>
      <w:r w:rsidRPr="00297B90">
        <w:rPr>
          <w:rFonts w:asciiTheme="minorHAnsi" w:hAnsiTheme="minorHAnsi" w:cstheme="minorHAnsi"/>
        </w:rPr>
        <w:t xml:space="preserve"> registration in Australia.</w:t>
      </w:r>
    </w:p>
    <w:p w14:paraId="3C908FBA" w14:textId="1AFA95FD" w:rsidR="008E7846" w:rsidRDefault="00EF1ECC" w:rsidP="008E7846">
      <w:pPr>
        <w:pStyle w:val="Heading4"/>
      </w:pPr>
      <w:r>
        <w:t>Advisory Committee c</w:t>
      </w:r>
      <w:r w:rsidR="008E7846">
        <w:t>onsiderations</w:t>
      </w:r>
      <w:r w:rsidR="00456765">
        <w:rPr>
          <w:rStyle w:val="FootnoteReference"/>
        </w:rPr>
        <w:footnoteReference w:id="14"/>
      </w:r>
    </w:p>
    <w:p w14:paraId="10E696AF" w14:textId="08F88218" w:rsidR="00456765" w:rsidRPr="00A322B3" w:rsidRDefault="00456765" w:rsidP="008E7846">
      <w:r>
        <w:rPr>
          <w:bCs/>
        </w:rPr>
        <w:t>The Delegate did not refer this application to the Advisory Committee on</w:t>
      </w:r>
      <w:r w:rsidR="00BF2443">
        <w:rPr>
          <w:bCs/>
        </w:rPr>
        <w:t xml:space="preserve"> </w:t>
      </w:r>
      <w:r>
        <w:rPr>
          <w:bCs/>
        </w:rPr>
        <w:t>Medicines (ACM) for advice.</w:t>
      </w:r>
    </w:p>
    <w:p w14:paraId="792F6F51" w14:textId="77777777" w:rsidR="008E7846" w:rsidRPr="002E238E" w:rsidRDefault="008E7846" w:rsidP="008E7846">
      <w:pPr>
        <w:pStyle w:val="Heading3"/>
      </w:pPr>
      <w:bookmarkStart w:id="57" w:name="_Toc247691532"/>
      <w:bookmarkStart w:id="58" w:name="_Toc314842516"/>
      <w:bookmarkStart w:id="59" w:name="_Toc34746004"/>
      <w:bookmarkEnd w:id="31"/>
      <w:bookmarkEnd w:id="54"/>
      <w:bookmarkEnd w:id="55"/>
      <w:r>
        <w:t>Outcome</w:t>
      </w:r>
      <w:bookmarkEnd w:id="57"/>
      <w:bookmarkEnd w:id="58"/>
      <w:bookmarkEnd w:id="59"/>
    </w:p>
    <w:p w14:paraId="2BCE7C06" w14:textId="13D7A65C" w:rsidR="00D23139" w:rsidRPr="00D23139" w:rsidRDefault="00D23139" w:rsidP="00D23139">
      <w:bookmarkStart w:id="60" w:name="_Toc247691533"/>
      <w:bookmarkStart w:id="61" w:name="_Toc314842517"/>
      <w:r w:rsidRPr="00D23139">
        <w:t xml:space="preserve">Based on a review of quality, safety and efficacy, </w:t>
      </w:r>
      <w:r w:rsidR="00BF2443">
        <w:t xml:space="preserve">the </w:t>
      </w:r>
      <w:r w:rsidRPr="00D23139">
        <w:t xml:space="preserve">TGA approved the registration of </w:t>
      </w:r>
      <w:proofErr w:type="spellStart"/>
      <w:r w:rsidR="00A81DB5" w:rsidRPr="00BF7495">
        <w:rPr>
          <w:rFonts w:eastAsia="Calibri"/>
        </w:rPr>
        <w:t>Talzenna</w:t>
      </w:r>
      <w:proofErr w:type="spellEnd"/>
      <w:r w:rsidR="00A81DB5" w:rsidRPr="00BF7495">
        <w:rPr>
          <w:rFonts w:eastAsia="Calibri"/>
        </w:rPr>
        <w:t xml:space="preserve"> (</w:t>
      </w:r>
      <w:proofErr w:type="spellStart"/>
      <w:r w:rsidR="00A81DB5" w:rsidRPr="00BF7495">
        <w:rPr>
          <w:rFonts w:eastAsia="Calibri"/>
        </w:rPr>
        <w:t>talaz</w:t>
      </w:r>
      <w:r w:rsidR="00A81DB5">
        <w:rPr>
          <w:rFonts w:eastAsia="Calibri"/>
        </w:rPr>
        <w:t>o</w:t>
      </w:r>
      <w:r w:rsidR="00A81DB5" w:rsidRPr="00BF7495">
        <w:rPr>
          <w:rFonts w:eastAsia="Calibri"/>
        </w:rPr>
        <w:t>parib</w:t>
      </w:r>
      <w:proofErr w:type="spellEnd"/>
      <w:r w:rsidR="00A81DB5" w:rsidRPr="00BF7495">
        <w:rPr>
          <w:rFonts w:eastAsia="Calibri"/>
        </w:rPr>
        <w:t xml:space="preserve"> as </w:t>
      </w:r>
      <w:proofErr w:type="spellStart"/>
      <w:r w:rsidR="00A81DB5" w:rsidRPr="00BF7495">
        <w:rPr>
          <w:rFonts w:eastAsia="Calibri"/>
        </w:rPr>
        <w:t>tosilate</w:t>
      </w:r>
      <w:proofErr w:type="spellEnd"/>
      <w:r w:rsidR="00A81DB5" w:rsidRPr="00BF7495">
        <w:rPr>
          <w:rFonts w:eastAsia="Calibri"/>
        </w:rPr>
        <w:t>)</w:t>
      </w:r>
      <w:r w:rsidR="00A81DB5">
        <w:rPr>
          <w:rFonts w:eastAsia="Calibri"/>
        </w:rPr>
        <w:t xml:space="preserve"> hard capsules</w:t>
      </w:r>
      <w:r w:rsidRPr="00D23139">
        <w:t xml:space="preserve">, indicated </w:t>
      </w:r>
      <w:proofErr w:type="gramStart"/>
      <w:r w:rsidRPr="00D23139">
        <w:t>for</w:t>
      </w:r>
      <w:proofErr w:type="gramEnd"/>
      <w:r w:rsidRPr="00D23139">
        <w:t>:</w:t>
      </w:r>
    </w:p>
    <w:p w14:paraId="2B78C6ED" w14:textId="77777777" w:rsidR="00D23139" w:rsidRPr="00A81DB5" w:rsidRDefault="00A81DB5" w:rsidP="00A81DB5">
      <w:pPr>
        <w:ind w:left="720"/>
        <w:rPr>
          <w:i/>
        </w:rPr>
      </w:pPr>
      <w:proofErr w:type="spellStart"/>
      <w:r w:rsidRPr="00A81DB5">
        <w:rPr>
          <w:i/>
        </w:rPr>
        <w:t>Talzenna</w:t>
      </w:r>
      <w:proofErr w:type="spellEnd"/>
      <w:r w:rsidRPr="00A81DB5">
        <w:rPr>
          <w:i/>
        </w:rPr>
        <w:t xml:space="preserve"> is indicated for the treatment of patients with a deleterious or suspected deleterious germline breast cancer susceptibility gene (BRCA) mutation according to a validated diagnostic test, who have human epidermal growth factor receptor 2 (HER2)-negative, locally advanced or metastatic breast cancer.</w:t>
      </w:r>
    </w:p>
    <w:p w14:paraId="53743648" w14:textId="77777777" w:rsidR="00D23139" w:rsidRPr="00D23139" w:rsidRDefault="00D23139" w:rsidP="00D23139">
      <w:pPr>
        <w:pStyle w:val="Heading4"/>
      </w:pPr>
      <w:r w:rsidRPr="00D23139">
        <w:t>Specific conditions of registration applying to these goods</w:t>
      </w:r>
    </w:p>
    <w:p w14:paraId="2C534D3C" w14:textId="597BD2D6" w:rsidR="00A81DB5" w:rsidRPr="00C45281" w:rsidRDefault="00A81DB5" w:rsidP="00A81DB5">
      <w:pPr>
        <w:pStyle w:val="ListBullet"/>
      </w:pPr>
      <w:proofErr w:type="spellStart"/>
      <w:r w:rsidRPr="00C45281">
        <w:t>Talzenna</w:t>
      </w:r>
      <w:proofErr w:type="spellEnd"/>
      <w:r w:rsidRPr="00C45281">
        <w:t xml:space="preserve"> (</w:t>
      </w:r>
      <w:proofErr w:type="spellStart"/>
      <w:r w:rsidRPr="00C45281">
        <w:t>talazoparib</w:t>
      </w:r>
      <w:proofErr w:type="spellEnd"/>
      <w:r w:rsidRPr="00C45281">
        <w:t>) is to be included in the Black Tria</w:t>
      </w:r>
      <w:r>
        <w:t xml:space="preserve">ngle Scheme. The </w:t>
      </w:r>
      <w:r w:rsidR="00B16F8C">
        <w:t>PI</w:t>
      </w:r>
      <w:r>
        <w:t xml:space="preserve"> and Consumer Medicines Information (CMI) for </w:t>
      </w:r>
      <w:proofErr w:type="spellStart"/>
      <w:r w:rsidRPr="00C45281">
        <w:t>Talzenna</w:t>
      </w:r>
      <w:proofErr w:type="spellEnd"/>
      <w:r w:rsidRPr="00C45281">
        <w:t xml:space="preserve"> must include the black triangle symbol and manda</w:t>
      </w:r>
      <w:r>
        <w:t xml:space="preserve">tory accompanying text for five </w:t>
      </w:r>
      <w:r w:rsidRPr="00C45281">
        <w:t>years, which starts from the date that the sponsor notifies the TGA of supply of the product.</w:t>
      </w:r>
    </w:p>
    <w:p w14:paraId="12C6D1EA" w14:textId="6469C4C2" w:rsidR="00A81DB5" w:rsidRPr="00C45281" w:rsidRDefault="00A81DB5" w:rsidP="00EF1ECC">
      <w:pPr>
        <w:pStyle w:val="ListBullet"/>
      </w:pPr>
      <w:r w:rsidRPr="00C45281">
        <w:t xml:space="preserve">The </w:t>
      </w:r>
      <w:proofErr w:type="spellStart"/>
      <w:r w:rsidRPr="00C45281">
        <w:t>Talzenna</w:t>
      </w:r>
      <w:proofErr w:type="spellEnd"/>
      <w:r w:rsidRPr="00C45281">
        <w:t xml:space="preserve"> EU-</w:t>
      </w:r>
      <w:r w:rsidR="00B16F8C">
        <w:t>RMP</w:t>
      </w:r>
      <w:r w:rsidRPr="00C45281">
        <w:t xml:space="preserve"> (version 0.2</w:t>
      </w:r>
      <w:r>
        <w:t xml:space="preserve">, date 27 November 2017; </w:t>
      </w:r>
      <w:r w:rsidR="00B16F8C">
        <w:t>DLP</w:t>
      </w:r>
      <w:r>
        <w:t xml:space="preserve"> 15 </w:t>
      </w:r>
      <w:r w:rsidRPr="00C45281">
        <w:t xml:space="preserve">September 2017), with </w:t>
      </w:r>
      <w:r w:rsidR="00B16F8C">
        <w:t>ASA</w:t>
      </w:r>
      <w:r w:rsidRPr="00C45281">
        <w:t xml:space="preserve"> (version 1.</w:t>
      </w:r>
      <w:r>
        <w:t xml:space="preserve">1, date 27 June 2019), included </w:t>
      </w:r>
      <w:r w:rsidRPr="00C45281">
        <w:t>with submission</w:t>
      </w:r>
      <w:r w:rsidR="00BF2443">
        <w:t> </w:t>
      </w:r>
      <w:r w:rsidRPr="00C45281">
        <w:t>PM</w:t>
      </w:r>
      <w:r w:rsidR="00BF2443">
        <w:noBreakHyphen/>
      </w:r>
      <w:r w:rsidRPr="00C45281">
        <w:t>2018-04458-1-4, and any subsequent re</w:t>
      </w:r>
      <w:r>
        <w:t xml:space="preserve">visions, as agreed with the TGA </w:t>
      </w:r>
      <w:r w:rsidRPr="00C45281">
        <w:t>will be implemented in Australia.</w:t>
      </w:r>
    </w:p>
    <w:p w14:paraId="706FACAF" w14:textId="77777777" w:rsidR="00A81DB5" w:rsidRPr="00C45281" w:rsidRDefault="00A81DB5" w:rsidP="00A81DB5">
      <w:pPr>
        <w:pStyle w:val="ListBullet"/>
        <w:numPr>
          <w:ilvl w:val="0"/>
          <w:numId w:val="0"/>
        </w:numPr>
        <w:ind w:left="360"/>
      </w:pPr>
      <w:r w:rsidRPr="00C45281">
        <w:t>An obligatory component of risk management plans is rou</w:t>
      </w:r>
      <w:r>
        <w:t xml:space="preserve">tine pharmacovigilance. Routine </w:t>
      </w:r>
      <w:r w:rsidRPr="00C45281">
        <w:t>pharmacovigilance includes the submission of periodic safety update reports (PSURs).</w:t>
      </w:r>
    </w:p>
    <w:p w14:paraId="0740BC00" w14:textId="1D1DD14D" w:rsidR="00A81DB5" w:rsidRPr="00C45281" w:rsidRDefault="00A81DB5" w:rsidP="00A81DB5">
      <w:pPr>
        <w:pStyle w:val="ListBullet"/>
        <w:numPr>
          <w:ilvl w:val="0"/>
          <w:numId w:val="0"/>
        </w:numPr>
        <w:ind w:left="360"/>
      </w:pPr>
      <w:r w:rsidRPr="00C45281">
        <w:t xml:space="preserve">Reports are to </w:t>
      </w:r>
      <w:proofErr w:type="gramStart"/>
      <w:r w:rsidRPr="00C45281">
        <w:t>be provided</w:t>
      </w:r>
      <w:proofErr w:type="gramEnd"/>
      <w:r w:rsidRPr="00C45281">
        <w:t xml:space="preserve"> in line with the current published</w:t>
      </w:r>
      <w:r>
        <w:t xml:space="preserve"> list of </w:t>
      </w:r>
      <w:r w:rsidR="00564AD6">
        <w:t>European Union (</w:t>
      </w:r>
      <w:r>
        <w:t>EU</w:t>
      </w:r>
      <w:r w:rsidR="00564AD6">
        <w:t>)</w:t>
      </w:r>
      <w:r>
        <w:t xml:space="preserve"> reference dates and </w:t>
      </w:r>
      <w:r w:rsidRPr="00C45281">
        <w:t>frequency of submission of PSURs until the period covered b</w:t>
      </w:r>
      <w:r>
        <w:t xml:space="preserve">y such reports is not less than </w:t>
      </w:r>
      <w:r w:rsidRPr="00C45281">
        <w:t>t</w:t>
      </w:r>
      <w:r w:rsidR="00B16F8C">
        <w:t>hree years from the date of the</w:t>
      </w:r>
      <w:r w:rsidRPr="00C45281">
        <w:t xml:space="preserve"> approval letter.</w:t>
      </w:r>
    </w:p>
    <w:p w14:paraId="5978FA61" w14:textId="77777777" w:rsidR="009752A5" w:rsidRDefault="00A81DB5" w:rsidP="00A81DB5">
      <w:pPr>
        <w:pStyle w:val="ListBullet"/>
        <w:numPr>
          <w:ilvl w:val="0"/>
          <w:numId w:val="0"/>
        </w:numPr>
        <w:ind w:left="360"/>
      </w:pPr>
      <w:r w:rsidRPr="00C45281">
        <w:lastRenderedPageBreak/>
        <w:t xml:space="preserve">The reports are </w:t>
      </w:r>
      <w:proofErr w:type="gramStart"/>
      <w:r w:rsidRPr="00C45281">
        <w:t>to at least meet</w:t>
      </w:r>
      <w:proofErr w:type="gramEnd"/>
      <w:r w:rsidRPr="00C45281">
        <w:t xml:space="preserve"> the requirements for PSURs as described </w:t>
      </w:r>
      <w:r>
        <w:t xml:space="preserve">in the European </w:t>
      </w:r>
      <w:r w:rsidRPr="00C45281">
        <w:t>M</w:t>
      </w:r>
      <w:r>
        <w:t>edicines Agency’s Guideline on Good Pharmacovigilance P</w:t>
      </w:r>
      <w:r w:rsidRPr="00C45281">
        <w:t>rac</w:t>
      </w:r>
      <w:r>
        <w:t xml:space="preserve">tices (GVP) Module VII-periodic </w:t>
      </w:r>
      <w:r w:rsidRPr="00C45281">
        <w:t>safety update report (Rev 1), Part VII.B Structures and proce</w:t>
      </w:r>
      <w:r>
        <w:t xml:space="preserve">sses. Note that submission of a </w:t>
      </w:r>
      <w:r w:rsidRPr="00C45281">
        <w:t>PSUR does not constitute an application to vary the registration.</w:t>
      </w:r>
    </w:p>
    <w:p w14:paraId="112A45CA" w14:textId="77777777" w:rsidR="008E7846" w:rsidRDefault="00A80B5B" w:rsidP="00D23139">
      <w:pPr>
        <w:pStyle w:val="Heading2"/>
      </w:pPr>
      <w:bookmarkStart w:id="62" w:name="_Toc34746005"/>
      <w:r>
        <w:t xml:space="preserve">Attachment 1. </w:t>
      </w:r>
      <w:r w:rsidR="008E7846">
        <w:t xml:space="preserve">Product </w:t>
      </w:r>
      <w:r w:rsidR="00AA0ED0">
        <w:t>I</w:t>
      </w:r>
      <w:r w:rsidR="008E7846">
        <w:t>nformation</w:t>
      </w:r>
      <w:bookmarkEnd w:id="60"/>
      <w:bookmarkEnd w:id="61"/>
      <w:bookmarkEnd w:id="62"/>
    </w:p>
    <w:p w14:paraId="1DC4151A" w14:textId="77777777" w:rsidR="00770CAC" w:rsidRPr="00A81DB5" w:rsidRDefault="006136D7" w:rsidP="00A81DB5">
      <w:pPr>
        <w:rPr>
          <w:color w:val="000000"/>
          <w:lang w:eastAsia="en-AU"/>
        </w:rPr>
      </w:pPr>
      <w:r w:rsidRPr="002B3624">
        <w:t xml:space="preserve">The </w:t>
      </w:r>
      <w:r>
        <w:t>PI</w:t>
      </w:r>
      <w:r w:rsidRPr="002B3624">
        <w:t xml:space="preserve"> for </w:t>
      </w:r>
      <w:proofErr w:type="spellStart"/>
      <w:r w:rsidR="00A81DB5">
        <w:t>Talzenna</w:t>
      </w:r>
      <w:proofErr w:type="spellEnd"/>
      <w:r w:rsidRPr="002B3624">
        <w:t xml:space="preserve"> </w:t>
      </w:r>
      <w:r>
        <w:t xml:space="preserve">approved with the </w:t>
      </w:r>
      <w:proofErr w:type="gramStart"/>
      <w:r>
        <w:t xml:space="preserve">submission which is described in </w:t>
      </w:r>
      <w:r w:rsidRPr="002B3624">
        <w:t xml:space="preserve">this </w:t>
      </w:r>
      <w:proofErr w:type="spellStart"/>
      <w:r w:rsidRPr="002B3624">
        <w:t>AusPAR</w:t>
      </w:r>
      <w:proofErr w:type="spellEnd"/>
      <w:proofErr w:type="gram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A81DB5">
        <w:t>&gt;.</w:t>
      </w:r>
    </w:p>
    <w:p w14:paraId="066A3B33" w14:textId="77777777" w:rsidR="00291957" w:rsidRDefault="00291957" w:rsidP="00291957">
      <w:pPr>
        <w:rPr>
          <w:lang w:eastAsia="ja-JP"/>
        </w:rPr>
      </w:pPr>
    </w:p>
    <w:p w14:paraId="346DC235"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91610A7" w14:textId="77777777" w:rsidTr="00A05FA4">
        <w:trPr>
          <w:trHeight w:hRule="exact" w:val="704"/>
        </w:trPr>
        <w:tc>
          <w:tcPr>
            <w:tcW w:w="9175" w:type="dxa"/>
          </w:tcPr>
          <w:p w14:paraId="71C04B4F" w14:textId="77777777" w:rsidR="001C32CD" w:rsidRPr="00487162" w:rsidRDefault="001C32CD" w:rsidP="00A05FA4">
            <w:pPr>
              <w:pStyle w:val="TGASignoff"/>
            </w:pPr>
            <w:r w:rsidRPr="00487162">
              <w:lastRenderedPageBreak/>
              <w:t>Therapeutic Goods Administration</w:t>
            </w:r>
          </w:p>
        </w:tc>
      </w:tr>
      <w:tr w:rsidR="001C32CD" w:rsidRPr="004C239D" w14:paraId="5823F78D" w14:textId="77777777" w:rsidTr="00A05FA4">
        <w:trPr>
          <w:trHeight w:val="1221"/>
        </w:trPr>
        <w:tc>
          <w:tcPr>
            <w:tcW w:w="9175" w:type="dxa"/>
            <w:tcMar>
              <w:top w:w="28" w:type="dxa"/>
            </w:tcMar>
          </w:tcPr>
          <w:p w14:paraId="5E89D9B7" w14:textId="77777777" w:rsidR="001C32CD" w:rsidRPr="00487162" w:rsidRDefault="001C32CD" w:rsidP="00A05FA4">
            <w:pPr>
              <w:pStyle w:val="Address"/>
            </w:pPr>
            <w:r w:rsidRPr="00487162">
              <w:t>PO Box 100 Woden ACT 2606 Australia</w:t>
            </w:r>
          </w:p>
          <w:p w14:paraId="697235D8"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5D887CAE" w14:textId="77777777" w:rsidR="001C32CD" w:rsidRPr="004C239D" w:rsidRDefault="00165090"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76DCBBFA"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09151" w16cid:durableId="21E58B4B"/>
  <w16cid:commentId w16cid:paraId="15048C50" w16cid:durableId="21EEE049"/>
  <w16cid:commentId w16cid:paraId="535722B6" w16cid:durableId="21E3C6E7"/>
  <w16cid:commentId w16cid:paraId="3F46A2FA" w16cid:durableId="21EEE04B"/>
  <w16cid:commentId w16cid:paraId="4BB667AC" w16cid:durableId="21E53D92"/>
  <w16cid:commentId w16cid:paraId="33DD76EA" w16cid:durableId="21EEE04D"/>
  <w16cid:commentId w16cid:paraId="23F9B3E8" w16cid:durableId="21E3BA15"/>
  <w16cid:commentId w16cid:paraId="7B892556" w16cid:durableId="21EEE04F"/>
  <w16cid:commentId w16cid:paraId="67A12E5D" w16cid:durableId="21E54D5A"/>
  <w16cid:commentId w16cid:paraId="073595BE" w16cid:durableId="21EEE051"/>
  <w16cid:commentId w16cid:paraId="28BBA55D" w16cid:durableId="21E54C47"/>
  <w16cid:commentId w16cid:paraId="1BB85BFC" w16cid:durableId="21EEE053"/>
  <w16cid:commentId w16cid:paraId="3BCBD048" w16cid:durableId="21E57B8F"/>
  <w16cid:commentId w16cid:paraId="2E92E42B" w16cid:durableId="21EEE055"/>
  <w16cid:commentId w16cid:paraId="68B4DC0D" w16cid:durableId="21E57E3E"/>
  <w16cid:commentId w16cid:paraId="1370F3DD" w16cid:durableId="21EEE057"/>
  <w16cid:commentId w16cid:paraId="697815F5" w16cid:durableId="21E57F4A"/>
  <w16cid:commentId w16cid:paraId="738C97B8" w16cid:durableId="21EEE059"/>
  <w16cid:commentId w16cid:paraId="2FF8529F" w16cid:durableId="21E5828F"/>
  <w16cid:commentId w16cid:paraId="26C8F286" w16cid:durableId="21EEE05B"/>
  <w16cid:commentId w16cid:paraId="29745C4C" w16cid:durableId="21E582FC"/>
  <w16cid:commentId w16cid:paraId="42F74BC6" w16cid:durableId="21EEE05D"/>
  <w16cid:commentId w16cid:paraId="19E89499" w16cid:durableId="21E5842D"/>
  <w16cid:commentId w16cid:paraId="46C9FE60" w16cid:durableId="21EEE05F"/>
  <w16cid:commentId w16cid:paraId="752CB868" w16cid:durableId="21E2B1F0"/>
  <w16cid:commentId w16cid:paraId="360BFF86" w16cid:durableId="21EEE061"/>
  <w16cid:commentId w16cid:paraId="77FC32D1" w16cid:durableId="21EEE062"/>
  <w16cid:commentId w16cid:paraId="3FBCB25B" w16cid:durableId="21EEE063"/>
  <w16cid:commentId w16cid:paraId="1153448B" w16cid:durableId="21EEE23F"/>
  <w16cid:commentId w16cid:paraId="097515E2" w16cid:durableId="21E2BBB3"/>
  <w16cid:commentId w16cid:paraId="3DE8B92A" w16cid:durableId="21EEE065"/>
  <w16cid:commentId w16cid:paraId="209A38E0" w16cid:durableId="21E2BD1E"/>
  <w16cid:commentId w16cid:paraId="2AB28A11" w16cid:durableId="21EEE0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CF15A" w14:textId="77777777" w:rsidR="00165090" w:rsidRDefault="00165090" w:rsidP="00C40A36">
      <w:pPr>
        <w:spacing w:after="0"/>
      </w:pPr>
      <w:r>
        <w:separator/>
      </w:r>
    </w:p>
  </w:endnote>
  <w:endnote w:type="continuationSeparator" w:id="0">
    <w:p w14:paraId="7CE83F5E" w14:textId="77777777" w:rsidR="00165090" w:rsidRDefault="0016509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65090" w:rsidRPr="00487162" w14:paraId="1037221B" w14:textId="77777777" w:rsidTr="00DB750B">
      <w:trPr>
        <w:trHeight w:val="269"/>
      </w:trPr>
      <w:tc>
        <w:tcPr>
          <w:tcW w:w="7371" w:type="dxa"/>
          <w:tcMar>
            <w:top w:w="142" w:type="dxa"/>
            <w:bottom w:w="0" w:type="dxa"/>
          </w:tcMar>
        </w:tcPr>
        <w:p w14:paraId="2FC56D1D" w14:textId="5F443A49" w:rsidR="00165090" w:rsidRPr="00487162" w:rsidRDefault="00165090" w:rsidP="00557F77">
          <w:pPr>
            <w:pStyle w:val="Footer"/>
          </w:pPr>
          <w:proofErr w:type="spellStart"/>
          <w:r w:rsidRPr="00487162">
            <w:t>AusPA</w:t>
          </w:r>
          <w:r>
            <w:t>R</w:t>
          </w:r>
          <w:proofErr w:type="spellEnd"/>
          <w:r>
            <w:t xml:space="preserve"> - </w:t>
          </w:r>
          <w:r w:rsidRPr="00054A7D">
            <w:t xml:space="preserve">TALZENNA - </w:t>
          </w:r>
          <w:proofErr w:type="spellStart"/>
          <w:r w:rsidRPr="00054A7D">
            <w:t>Talazoparib</w:t>
          </w:r>
          <w:proofErr w:type="spellEnd"/>
          <w:r w:rsidRPr="00054A7D">
            <w:t xml:space="preserve"> </w:t>
          </w:r>
          <w:proofErr w:type="spellStart"/>
          <w:r w:rsidRPr="00054A7D">
            <w:t>tosilate</w:t>
          </w:r>
          <w:proofErr w:type="spellEnd"/>
          <w:r w:rsidRPr="00054A7D">
            <w:t xml:space="preserve"> - Pfizer Australia Pty Ltd - PM-2018-04458-1-4</w:t>
          </w:r>
          <w:r>
            <w:br/>
            <w:t>FINAL 25 February 2020</w:t>
          </w:r>
        </w:p>
      </w:tc>
      <w:tc>
        <w:tcPr>
          <w:tcW w:w="1490" w:type="dxa"/>
          <w:tcMar>
            <w:top w:w="142" w:type="dxa"/>
            <w:bottom w:w="0" w:type="dxa"/>
          </w:tcMar>
        </w:tcPr>
        <w:p w14:paraId="43F7B066" w14:textId="74A31F9C" w:rsidR="00165090" w:rsidRPr="00487162" w:rsidRDefault="00165090" w:rsidP="00DB750B">
          <w:pPr>
            <w:pStyle w:val="Footer"/>
            <w:jc w:val="right"/>
          </w:pPr>
          <w:r w:rsidRPr="00487162">
            <w:t xml:space="preserve">Page </w:t>
          </w:r>
          <w:r>
            <w:fldChar w:fldCharType="begin"/>
          </w:r>
          <w:r>
            <w:instrText xml:space="preserve"> PAGE  \* Arabic </w:instrText>
          </w:r>
          <w:r>
            <w:fldChar w:fldCharType="separate"/>
          </w:r>
          <w:r w:rsidR="00EF1ECC">
            <w:rPr>
              <w:noProof/>
            </w:rPr>
            <w:t>3</w:t>
          </w:r>
          <w:r>
            <w:fldChar w:fldCharType="end"/>
          </w:r>
          <w:r w:rsidRPr="00487162">
            <w:t xml:space="preserve"> of </w:t>
          </w:r>
          <w:fldSimple w:instr=" NUMPAGES  \* Arabic ">
            <w:r w:rsidR="00EF1ECC">
              <w:rPr>
                <w:noProof/>
              </w:rPr>
              <w:t>39</w:t>
            </w:r>
          </w:fldSimple>
        </w:p>
      </w:tc>
    </w:tr>
  </w:tbl>
  <w:p w14:paraId="2E24329D" w14:textId="77777777" w:rsidR="00165090" w:rsidRDefault="00165090"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65090" w:rsidRPr="00487162" w14:paraId="3D620CCE" w14:textId="77777777" w:rsidTr="00E45619">
      <w:trPr>
        <w:trHeight w:val="269"/>
      </w:trPr>
      <w:tc>
        <w:tcPr>
          <w:tcW w:w="4519" w:type="dxa"/>
          <w:tcBorders>
            <w:top w:val="single" w:sz="4" w:space="0" w:color="auto"/>
          </w:tcBorders>
          <w:tcMar>
            <w:top w:w="142" w:type="dxa"/>
            <w:bottom w:w="0" w:type="dxa"/>
          </w:tcMar>
        </w:tcPr>
        <w:p w14:paraId="5E4A3323" w14:textId="77777777" w:rsidR="00165090" w:rsidRPr="00487162" w:rsidRDefault="00165090" w:rsidP="00FE1DEE">
          <w:pPr>
            <w:pStyle w:val="Footer"/>
          </w:pPr>
          <w:r w:rsidRPr="00487162">
            <w:t>Document title, Part #, Section # - Section title</w:t>
          </w:r>
        </w:p>
        <w:p w14:paraId="5F98ADCA" w14:textId="77777777" w:rsidR="00165090" w:rsidRPr="00487162" w:rsidRDefault="00165090" w:rsidP="00FE1DEE">
          <w:pPr>
            <w:pStyle w:val="Footer"/>
          </w:pPr>
          <w:r w:rsidRPr="00487162">
            <w:t>V1.0 October 2010</w:t>
          </w:r>
        </w:p>
      </w:tc>
      <w:tc>
        <w:tcPr>
          <w:tcW w:w="4342" w:type="dxa"/>
          <w:tcBorders>
            <w:top w:val="single" w:sz="4" w:space="0" w:color="auto"/>
          </w:tcBorders>
          <w:tcMar>
            <w:top w:w="142" w:type="dxa"/>
            <w:bottom w:w="0" w:type="dxa"/>
          </w:tcMar>
        </w:tcPr>
        <w:p w14:paraId="7F500F25" w14:textId="77777777" w:rsidR="00165090" w:rsidRPr="00487162" w:rsidRDefault="0016509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7592192B" w14:textId="77777777" w:rsidR="00165090" w:rsidRDefault="00165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BD366" w14:textId="77777777" w:rsidR="00165090" w:rsidRPr="001C32CD" w:rsidRDefault="00165090"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65090" w14:paraId="74DFE3C6" w14:textId="77777777" w:rsidTr="0010601F">
      <w:trPr>
        <w:trHeight w:val="108"/>
      </w:trPr>
      <w:tc>
        <w:tcPr>
          <w:tcW w:w="8875" w:type="dxa"/>
          <w:gridSpan w:val="2"/>
          <w:tcBorders>
            <w:bottom w:val="single" w:sz="4" w:space="0" w:color="auto"/>
          </w:tcBorders>
          <w:tcMar>
            <w:right w:w="284" w:type="dxa"/>
          </w:tcMar>
        </w:tcPr>
        <w:p w14:paraId="7F85343F" w14:textId="77777777" w:rsidR="00165090" w:rsidRDefault="00165090" w:rsidP="006E08B3">
          <w:pPr>
            <w:pStyle w:val="Heading3"/>
          </w:pPr>
          <w:r>
            <w:t>Copyright</w:t>
          </w:r>
        </w:p>
        <w:p w14:paraId="34324940" w14:textId="77777777" w:rsidR="00165090" w:rsidRDefault="00165090" w:rsidP="006E08B3">
          <w:r>
            <w:rPr>
              <w:rFonts w:cs="Arial"/>
            </w:rPr>
            <w:t>©</w:t>
          </w:r>
          <w:r>
            <w:t xml:space="preserve"> Commonwealth of Australia [add year]</w:t>
          </w:r>
        </w:p>
        <w:p w14:paraId="0830F98A" w14:textId="77777777" w:rsidR="00165090" w:rsidRDefault="00165090" w:rsidP="006E08B3"/>
        <w:p w14:paraId="59E1DC14" w14:textId="77777777" w:rsidR="00165090" w:rsidRDefault="0016509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8C4C6E7" w14:textId="77777777" w:rsidR="00165090" w:rsidRDefault="00165090" w:rsidP="006E08B3"/>
        <w:p w14:paraId="400F6B60" w14:textId="77777777" w:rsidR="00165090" w:rsidRDefault="00165090" w:rsidP="006E08B3">
          <w:pPr>
            <w:pStyle w:val="Heading3"/>
          </w:pPr>
          <w:r>
            <w:t>Confidentiality</w:t>
          </w:r>
        </w:p>
        <w:p w14:paraId="2A972B73" w14:textId="77777777" w:rsidR="00165090" w:rsidRDefault="00165090"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046AB1FF" w14:textId="77777777" w:rsidR="00165090" w:rsidRDefault="00165090" w:rsidP="006E08B3"/>
        <w:p w14:paraId="0C3B479A" w14:textId="77777777" w:rsidR="00165090" w:rsidRDefault="00165090"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593688C1" w14:textId="77777777" w:rsidR="00165090" w:rsidRDefault="00165090" w:rsidP="006E08B3"/>
        <w:p w14:paraId="1C293B97" w14:textId="77777777" w:rsidR="00165090" w:rsidRDefault="00165090"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165090" w14:paraId="440CAAC2" w14:textId="77777777" w:rsidTr="0010601F">
      <w:trPr>
        <w:trHeight w:val="417"/>
      </w:trPr>
      <w:tc>
        <w:tcPr>
          <w:tcW w:w="4519" w:type="dxa"/>
          <w:tcBorders>
            <w:top w:val="single" w:sz="4" w:space="0" w:color="auto"/>
          </w:tcBorders>
          <w:tcMar>
            <w:top w:w="142" w:type="dxa"/>
            <w:bottom w:w="0" w:type="dxa"/>
          </w:tcMar>
        </w:tcPr>
        <w:p w14:paraId="4C320D8D" w14:textId="77777777" w:rsidR="00165090" w:rsidRDefault="00165090" w:rsidP="006E08B3">
          <w:r>
            <w:t>Document title, Part #, Section # - Section title</w:t>
          </w:r>
        </w:p>
        <w:p w14:paraId="373EC658" w14:textId="77777777" w:rsidR="00165090" w:rsidRDefault="00165090" w:rsidP="006E08B3">
          <w:r>
            <w:t>V1.0 October 2010</w:t>
          </w:r>
        </w:p>
      </w:tc>
      <w:tc>
        <w:tcPr>
          <w:tcW w:w="4356" w:type="dxa"/>
          <w:tcBorders>
            <w:top w:val="single" w:sz="4" w:space="0" w:color="auto"/>
          </w:tcBorders>
          <w:tcMar>
            <w:top w:w="142" w:type="dxa"/>
            <w:bottom w:w="0" w:type="dxa"/>
          </w:tcMar>
        </w:tcPr>
        <w:p w14:paraId="7E4BFBED" w14:textId="77777777" w:rsidR="00165090" w:rsidRDefault="0016509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34FFB177" w14:textId="77777777" w:rsidR="00165090" w:rsidRDefault="001650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FDEA1" w14:textId="77777777" w:rsidR="00165090" w:rsidRDefault="00165090" w:rsidP="00C40A36">
      <w:pPr>
        <w:spacing w:after="0"/>
      </w:pPr>
      <w:r>
        <w:separator/>
      </w:r>
    </w:p>
  </w:footnote>
  <w:footnote w:type="continuationSeparator" w:id="0">
    <w:p w14:paraId="3460724B" w14:textId="77777777" w:rsidR="00165090" w:rsidRDefault="00165090" w:rsidP="00C40A36">
      <w:pPr>
        <w:spacing w:after="0"/>
      </w:pPr>
      <w:r>
        <w:continuationSeparator/>
      </w:r>
    </w:p>
  </w:footnote>
  <w:footnote w:id="1">
    <w:p w14:paraId="14FD45D3" w14:textId="76BF0D8F" w:rsidR="00165090" w:rsidRDefault="00165090">
      <w:pPr>
        <w:pStyle w:val="FootnoteText"/>
      </w:pPr>
      <w:r>
        <w:rPr>
          <w:rStyle w:val="FootnoteReference"/>
        </w:rPr>
        <w:footnoteRef/>
      </w:r>
      <w:r>
        <w:t xml:space="preserve"> Mayer, I.A. </w:t>
      </w:r>
      <w:r w:rsidRPr="00DF4870">
        <w:t>Systemic treatment for metastatic breast cancer: General principles</w:t>
      </w:r>
      <w:r>
        <w:t xml:space="preserve">. Last updated 2 October 2019. Accessed from the </w:t>
      </w:r>
      <w:proofErr w:type="spellStart"/>
      <w:r>
        <w:t>UpToDate</w:t>
      </w:r>
      <w:proofErr w:type="spellEnd"/>
      <w:r>
        <w:t xml:space="preserve"> website.</w:t>
      </w:r>
    </w:p>
  </w:footnote>
  <w:footnote w:id="2">
    <w:p w14:paraId="704691A3" w14:textId="1B50EAB2" w:rsidR="00165090" w:rsidRDefault="00165090">
      <w:pPr>
        <w:pStyle w:val="FootnoteText"/>
      </w:pPr>
      <w:r>
        <w:rPr>
          <w:rStyle w:val="FootnoteReference"/>
        </w:rPr>
        <w:footnoteRef/>
      </w:r>
      <w:r>
        <w:t xml:space="preserve"> Cardoso, F. et al. (2018). </w:t>
      </w:r>
      <w:proofErr w:type="gramStart"/>
      <w:r>
        <w:t>4th</w:t>
      </w:r>
      <w:proofErr w:type="gramEnd"/>
      <w:r>
        <w:t xml:space="preserve"> ESO–ESMO International Consensus Guidelines for Advanced Breast Cancer (ABC 4). Ann </w:t>
      </w:r>
      <w:proofErr w:type="spellStart"/>
      <w:r>
        <w:t>Oncol</w:t>
      </w:r>
      <w:proofErr w:type="spellEnd"/>
      <w:r>
        <w:t xml:space="preserve"> (2018); 29: 1634–1657</w:t>
      </w:r>
    </w:p>
  </w:footnote>
  <w:footnote w:id="3">
    <w:p w14:paraId="3F419F07" w14:textId="4AA9100D" w:rsidR="00165090" w:rsidRDefault="00165090">
      <w:pPr>
        <w:pStyle w:val="FootnoteText"/>
      </w:pPr>
      <w:r>
        <w:rPr>
          <w:rStyle w:val="FootnoteReference"/>
        </w:rPr>
        <w:footnoteRef/>
      </w:r>
      <w:r>
        <w:t xml:space="preserve"> </w:t>
      </w:r>
      <w:proofErr w:type="spellStart"/>
      <w:r>
        <w:t>Balmaña</w:t>
      </w:r>
      <w:proofErr w:type="spellEnd"/>
      <w:r>
        <w:t>, J. et al. (2011)</w:t>
      </w:r>
      <w:r w:rsidRPr="00DF4870">
        <w:t xml:space="preserve">, On behalf of the ESMO Guidelines Working Group, BRCA in breast cancer: ESMO Clinical Practice Guidelines, Annals of Oncology, </w:t>
      </w:r>
      <w:proofErr w:type="gramStart"/>
      <w:r>
        <w:t>2011</w:t>
      </w:r>
      <w:proofErr w:type="gramEnd"/>
      <w:r>
        <w:t xml:space="preserve">; </w:t>
      </w:r>
      <w:r w:rsidRPr="00DF4870">
        <w:t>22, vi31–vi34</w:t>
      </w:r>
      <w:r>
        <w:t>.</w:t>
      </w:r>
    </w:p>
  </w:footnote>
  <w:footnote w:id="4">
    <w:p w14:paraId="19ED245E" w14:textId="3D8F9704" w:rsidR="00165090" w:rsidRDefault="00165090">
      <w:pPr>
        <w:pStyle w:val="FootnoteText"/>
      </w:pPr>
      <w:r>
        <w:rPr>
          <w:rStyle w:val="FootnoteReference"/>
        </w:rPr>
        <w:footnoteRef/>
      </w:r>
      <w:r>
        <w:t xml:space="preserve"> Anders CK and Carey LA. </w:t>
      </w:r>
      <w:r w:rsidRPr="0021474E">
        <w:t>ER/PR negative, HER2-negative (triple-negative) breast cancer</w:t>
      </w:r>
      <w:r>
        <w:t xml:space="preserve">. Last updated 24 Sep 2018. Accessed from </w:t>
      </w:r>
      <w:proofErr w:type="spellStart"/>
      <w:r>
        <w:t>UpToDate</w:t>
      </w:r>
      <w:proofErr w:type="spellEnd"/>
      <w:r>
        <w:t>.</w:t>
      </w:r>
    </w:p>
  </w:footnote>
  <w:footnote w:id="5">
    <w:p w14:paraId="6357FD60" w14:textId="52D9B744" w:rsidR="00165090" w:rsidRDefault="00165090">
      <w:pPr>
        <w:pStyle w:val="FootnoteText"/>
      </w:pPr>
      <w:r>
        <w:rPr>
          <w:rStyle w:val="FootnoteReference"/>
        </w:rPr>
        <w:footnoteRef/>
      </w:r>
      <w:r>
        <w:t xml:space="preserve"> Evans, D.G. et al. (2016). Low prevalence of HER2 positivity amongst BRCA1 and BRCA2 mutation carriers and in primary BRCA screens. Breast Cancer Res Treat. 2016; 155: 597-601.</w:t>
      </w:r>
    </w:p>
  </w:footnote>
  <w:footnote w:id="6">
    <w:p w14:paraId="164D41DD" w14:textId="3AFB71E5" w:rsidR="00165090" w:rsidRDefault="00165090">
      <w:pPr>
        <w:pStyle w:val="FootnoteText"/>
      </w:pPr>
      <w:r>
        <w:rPr>
          <w:rStyle w:val="FootnoteReference"/>
        </w:rPr>
        <w:footnoteRef/>
      </w:r>
      <w:r>
        <w:t xml:space="preserve"> Food and Drug Administration </w:t>
      </w:r>
      <w:r w:rsidRPr="00863C80">
        <w:t>Multi-Discipline Review/Summary, Clinical, Non-Clinical</w:t>
      </w:r>
      <w:r>
        <w:t xml:space="preserve"> for </w:t>
      </w:r>
      <w:proofErr w:type="spellStart"/>
      <w:r>
        <w:t>talazoparib</w:t>
      </w:r>
      <w:proofErr w:type="spellEnd"/>
      <w:r>
        <w:t>. Review completion date 10 October 2018.</w:t>
      </w:r>
    </w:p>
  </w:footnote>
  <w:footnote w:id="7">
    <w:p w14:paraId="3E12A5CA" w14:textId="3C677CF1" w:rsidR="00165090" w:rsidRPr="008D6950" w:rsidRDefault="00165090">
      <w:pPr>
        <w:pStyle w:val="FootnoteText"/>
        <w:rPr>
          <w:lang w:val="en-GB"/>
        </w:rPr>
      </w:pPr>
      <w:r>
        <w:rPr>
          <w:rStyle w:val="FootnoteReference"/>
        </w:rPr>
        <w:footnoteRef/>
      </w:r>
      <w:r>
        <w:t xml:space="preserve"> </w:t>
      </w:r>
      <w:r>
        <w:rPr>
          <w:lang w:val="en-GB"/>
        </w:rPr>
        <w:t xml:space="preserve">RECIST = </w:t>
      </w:r>
      <w:r>
        <w:rPr>
          <w:lang w:val="en"/>
        </w:rPr>
        <w:t>Response Evaluation Criteria in Solid Tumors (2016)</w:t>
      </w:r>
    </w:p>
  </w:footnote>
  <w:footnote w:id="8">
    <w:p w14:paraId="0340E335" w14:textId="0C493AA6" w:rsidR="00165090" w:rsidRDefault="00165090">
      <w:pPr>
        <w:pStyle w:val="FootnoteText"/>
      </w:pPr>
      <w:r>
        <w:rPr>
          <w:rStyle w:val="FootnoteReference"/>
        </w:rPr>
        <w:footnoteRef/>
      </w:r>
      <w:r>
        <w:t xml:space="preserve"> PCT options </w:t>
      </w:r>
      <w:proofErr w:type="gramStart"/>
      <w:r>
        <w:t>were agreed</w:t>
      </w:r>
      <w:proofErr w:type="gramEnd"/>
      <w:r>
        <w:t xml:space="preserve"> with FDA input in 2013.</w:t>
      </w:r>
    </w:p>
  </w:footnote>
  <w:footnote w:id="9">
    <w:p w14:paraId="532605D6" w14:textId="2EAB471D" w:rsidR="00165090" w:rsidRDefault="00165090">
      <w:pPr>
        <w:pStyle w:val="FootnoteText"/>
      </w:pPr>
      <w:r>
        <w:rPr>
          <w:rStyle w:val="FootnoteReference"/>
        </w:rPr>
        <w:footnoteRef/>
      </w:r>
      <w:r>
        <w:t xml:space="preserve"> Modifications to the criteria were, in brief: requirement for progression to be confirmed by imaging (digital photography or physical examination disallowed for superficial lesions) and requirements for more careful confirmation of bone scan-based progression (with confirmatory </w:t>
      </w:r>
      <w:r w:rsidRPr="00301727">
        <w:t>computed tomography</w:t>
      </w:r>
      <w:r>
        <w:t xml:space="preserve"> (CT)/</w:t>
      </w:r>
      <w:r w:rsidRPr="00301727">
        <w:t xml:space="preserve"> magnetic resonance imaging</w:t>
      </w:r>
      <w:r>
        <w:t xml:space="preserve"> (MRI) if possible), and bone metastasis-based progression (due to possible flare phenomenon).</w:t>
      </w:r>
    </w:p>
  </w:footnote>
  <w:footnote w:id="10">
    <w:p w14:paraId="148D9C02" w14:textId="77777777" w:rsidR="00165090" w:rsidRDefault="00165090" w:rsidP="00880FC7">
      <w:pPr>
        <w:pStyle w:val="FootnoteText"/>
      </w:pPr>
      <w:r>
        <w:rPr>
          <w:rStyle w:val="FootnoteReference"/>
        </w:rPr>
        <w:footnoteRef/>
      </w:r>
      <w:r>
        <w:t xml:space="preserve"> Per electronic case reporting form (</w:t>
      </w:r>
      <w:proofErr w:type="spellStart"/>
      <w:r>
        <w:t>eCRF</w:t>
      </w:r>
      <w:proofErr w:type="spellEnd"/>
      <w:r>
        <w:t>)</w:t>
      </w:r>
    </w:p>
  </w:footnote>
  <w:footnote w:id="11">
    <w:p w14:paraId="538E63F3" w14:textId="182D4479" w:rsidR="00165090" w:rsidRDefault="00165090">
      <w:pPr>
        <w:pStyle w:val="FootnoteText"/>
      </w:pPr>
      <w:r>
        <w:rPr>
          <w:rStyle w:val="FootnoteReference"/>
        </w:rPr>
        <w:footnoteRef/>
      </w:r>
      <w:r>
        <w:t xml:space="preserve"> </w:t>
      </w:r>
      <w:proofErr w:type="spellStart"/>
      <w:r>
        <w:t>Hy’s</w:t>
      </w:r>
      <w:proofErr w:type="spellEnd"/>
      <w:r>
        <w:t xml:space="preserve"> Law: Evidence of hepatocellular injury with a</w:t>
      </w:r>
      <w:r w:rsidRPr="0044358C">
        <w:t xml:space="preserve">lanine aminotransferase </w:t>
      </w:r>
      <w:r>
        <w:t>(ALT) or aspartate aminotransferase (AST) &gt; 3 x upper limit of normal (ULN) and total bilirubin &gt; 2 x ULN and no other diagnostic reason to explain rise in aminotransferases/bilirubin.</w:t>
      </w:r>
    </w:p>
  </w:footnote>
  <w:footnote w:id="12">
    <w:p w14:paraId="671F900A" w14:textId="70F5E6DA" w:rsidR="00165090" w:rsidRPr="008D6950" w:rsidRDefault="00165090">
      <w:pPr>
        <w:pStyle w:val="FootnoteText"/>
        <w:rPr>
          <w:lang w:val="en-GB"/>
        </w:rPr>
      </w:pPr>
      <w:r>
        <w:rPr>
          <w:rStyle w:val="FootnoteReference"/>
        </w:rPr>
        <w:footnoteRef/>
      </w:r>
      <w:r>
        <w:t xml:space="preserve"> </w:t>
      </w:r>
      <w:r>
        <w:rPr>
          <w:lang w:val="en-GB"/>
        </w:rPr>
        <w:t>The QT interval is the time taken from the start of the QRS wave complex to the end of the corresponding T wave on an electrocardiogram. The QT interval represents cardiac ventricular depolarisation and repolarisation and roughly corresponds with the start of cardiac ventricular contraction to the end of cardiac ventricular relaxation.</w:t>
      </w:r>
    </w:p>
  </w:footnote>
  <w:footnote w:id="13">
    <w:p w14:paraId="0BA97C61" w14:textId="77777777" w:rsidR="00165090" w:rsidRDefault="00165090" w:rsidP="005A1342">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0015396F" w14:textId="77777777" w:rsidR="00165090" w:rsidRDefault="00165090" w:rsidP="005A1342">
      <w:pPr>
        <w:pStyle w:val="FootnoteText"/>
      </w:pPr>
      <w:r w:rsidRPr="00F12492">
        <w:rPr>
          <w:i/>
        </w:rPr>
        <w:t>Routine pharmacovigilance</w:t>
      </w:r>
      <w:r>
        <w:t xml:space="preserve"> practices involve the following activities:</w:t>
      </w:r>
    </w:p>
    <w:p w14:paraId="49490089" w14:textId="77777777" w:rsidR="00165090" w:rsidRDefault="00165090" w:rsidP="005A1342">
      <w:pPr>
        <w:pStyle w:val="FootnoteText"/>
        <w:numPr>
          <w:ilvl w:val="0"/>
          <w:numId w:val="19"/>
        </w:numPr>
      </w:pPr>
      <w:r>
        <w:t>All suspected adverse reactions that are reported to the personnel of the company are collected and collated in an accessible manner;</w:t>
      </w:r>
    </w:p>
    <w:p w14:paraId="10A65DDE" w14:textId="77777777" w:rsidR="00165090" w:rsidRDefault="00165090" w:rsidP="005A1342">
      <w:pPr>
        <w:pStyle w:val="FootnoteText"/>
        <w:numPr>
          <w:ilvl w:val="0"/>
          <w:numId w:val="19"/>
        </w:numPr>
      </w:pPr>
      <w:r>
        <w:t>Reporting to regulatory authorities;</w:t>
      </w:r>
    </w:p>
    <w:p w14:paraId="596BC372" w14:textId="1E025C9E" w:rsidR="00165090" w:rsidRDefault="00165090" w:rsidP="005A1342">
      <w:pPr>
        <w:pStyle w:val="FootnoteText"/>
        <w:numPr>
          <w:ilvl w:val="0"/>
          <w:numId w:val="19"/>
        </w:numPr>
      </w:pPr>
      <w:r>
        <w:t>Continuous monitoring of the safety profiles of approved products including signal detection and updating of labelling;</w:t>
      </w:r>
    </w:p>
    <w:p w14:paraId="1635D64A" w14:textId="77777777" w:rsidR="00165090" w:rsidRDefault="00165090" w:rsidP="005A1342">
      <w:pPr>
        <w:pStyle w:val="FootnoteText"/>
        <w:numPr>
          <w:ilvl w:val="0"/>
          <w:numId w:val="19"/>
        </w:numPr>
      </w:pPr>
      <w:r>
        <w:t>Submission of PSURs;</w:t>
      </w:r>
    </w:p>
    <w:p w14:paraId="2A6AA19C" w14:textId="77777777" w:rsidR="00165090" w:rsidRPr="00F12492" w:rsidRDefault="00165090" w:rsidP="005A1342">
      <w:pPr>
        <w:pStyle w:val="FootnoteText"/>
        <w:numPr>
          <w:ilvl w:val="0"/>
          <w:numId w:val="19"/>
        </w:numPr>
        <w:rPr>
          <w:lang w:val="en-US"/>
        </w:rPr>
      </w:pPr>
      <w:r>
        <w:t>Meeting other local regulatory agency requirements.</w:t>
      </w:r>
    </w:p>
  </w:footnote>
  <w:footnote w:id="14">
    <w:p w14:paraId="17A6C7C7" w14:textId="77777777" w:rsidR="00165090" w:rsidRDefault="0016509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44AE8F8" w14:textId="77777777" w:rsidR="00165090" w:rsidRPr="00456765" w:rsidRDefault="00165090" w:rsidP="00456765">
      <w:pPr>
        <w:pStyle w:val="FootnoteText"/>
        <w:rPr>
          <w:lang w:val="en-US"/>
        </w:rPr>
      </w:pPr>
      <w:r>
        <w:t xml:space="preserve">The Committee </w:t>
      </w:r>
      <w:proofErr w:type="gramStart"/>
      <w:r>
        <w:t>is established</w:t>
      </w:r>
      <w:proofErr w:type="gramEnd"/>
      <w:r>
        <w:t xml:space="preserve"> under Regulation 35 of the Therapeutic Goods Regulations 1990. </w:t>
      </w:r>
      <w:proofErr w:type="gramStart"/>
      <w:r>
        <w:t>Members are appointed by the Minister</w:t>
      </w:r>
      <w:proofErr w:type="gramEnd"/>
      <w:r>
        <w:t xml:space="preserve">. The ACM was established in January 2017 replacing </w:t>
      </w:r>
      <w:r w:rsidRPr="009E0C19">
        <w:t>Advisory Committee on Prescription Medicines (ACPM</w:t>
      </w:r>
      <w:proofErr w:type="gramStart"/>
      <w:r w:rsidRPr="009E0C19">
        <w:t xml:space="preserve">) </w:t>
      </w:r>
      <w:r>
        <w:t>which</w:t>
      </w:r>
      <w:proofErr w:type="gramEnd"/>
      <w:r>
        <w:t xml:space="preserve">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F127" w14:textId="77777777" w:rsidR="00165090" w:rsidRDefault="00165090"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1B3D" w14:textId="77777777" w:rsidR="00165090" w:rsidRDefault="00165090">
    <w:pPr>
      <w:rPr>
        <w:noProof/>
        <w:lang w:eastAsia="en-AU"/>
      </w:rPr>
    </w:pPr>
    <w:r w:rsidRPr="00347824">
      <w:rPr>
        <w:noProof/>
        <w:lang w:eastAsia="en-AU"/>
      </w:rPr>
      <w:drawing>
        <wp:anchor distT="0" distB="0" distL="114300" distR="114300" simplePos="0" relativeHeight="251659264" behindDoc="1" locked="0" layoutInCell="1" allowOverlap="1" wp14:anchorId="22A313B3" wp14:editId="65378B79">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E8FA690" w14:textId="2904883D" w:rsidR="00165090" w:rsidRDefault="00165090"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4FF6" w14:textId="77777777" w:rsidR="00165090" w:rsidRDefault="001650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1767" w14:textId="77777777" w:rsidR="00165090" w:rsidRDefault="00165090">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FE02" w14:textId="77777777" w:rsidR="00165090" w:rsidRDefault="0016509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534C" w14:textId="77777777" w:rsidR="00165090" w:rsidRDefault="001650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245B" w14:textId="77777777" w:rsidR="00165090" w:rsidRDefault="00165090"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75170" w14:textId="77777777" w:rsidR="00165090" w:rsidRDefault="00165090" w:rsidP="006E08B3">
    <w:r>
      <w:t>Therapeutic Goods Administration</w:t>
    </w:r>
  </w:p>
  <w:p w14:paraId="53CBFB85" w14:textId="77777777" w:rsidR="00165090" w:rsidRDefault="0016509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A55"/>
    <w:multiLevelType w:val="hybridMultilevel"/>
    <w:tmpl w:val="053AE434"/>
    <w:lvl w:ilvl="0" w:tplc="8A8A40B0">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5E3FB7"/>
    <w:multiLevelType w:val="multilevel"/>
    <w:tmpl w:val="FFB0B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3703E50"/>
    <w:multiLevelType w:val="hybridMultilevel"/>
    <w:tmpl w:val="8C10B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4534C0"/>
    <w:multiLevelType w:val="hybridMultilevel"/>
    <w:tmpl w:val="ADE82A66"/>
    <w:lvl w:ilvl="0" w:tplc="8A8A40B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93405F"/>
    <w:multiLevelType w:val="hybridMultilevel"/>
    <w:tmpl w:val="1F322C98"/>
    <w:lvl w:ilvl="0" w:tplc="8A8A40B0">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343B6"/>
    <w:multiLevelType w:val="hybridMultilevel"/>
    <w:tmpl w:val="DF66EE1A"/>
    <w:lvl w:ilvl="0" w:tplc="8A8A40B0">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DF65A4"/>
    <w:multiLevelType w:val="hybridMultilevel"/>
    <w:tmpl w:val="3120F0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462C14"/>
    <w:multiLevelType w:val="hybridMultilevel"/>
    <w:tmpl w:val="8B582828"/>
    <w:lvl w:ilvl="0" w:tplc="8A8A40B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914314"/>
    <w:multiLevelType w:val="hybridMultilevel"/>
    <w:tmpl w:val="8E16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020203"/>
    <w:multiLevelType w:val="hybridMultilevel"/>
    <w:tmpl w:val="C3481DCE"/>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start w:val="1"/>
      <w:numFmt w:val="bullet"/>
      <w:lvlText w:val=""/>
      <w:lvlJc w:val="left"/>
      <w:pPr>
        <w:ind w:left="2980" w:hanging="360"/>
      </w:pPr>
      <w:rPr>
        <w:rFonts w:ascii="Symbol" w:hAnsi="Symbol" w:hint="default"/>
      </w:rPr>
    </w:lvl>
    <w:lvl w:ilvl="4" w:tplc="0C090003">
      <w:start w:val="1"/>
      <w:numFmt w:val="bullet"/>
      <w:lvlText w:val="o"/>
      <w:lvlJc w:val="left"/>
      <w:pPr>
        <w:ind w:left="3700" w:hanging="360"/>
      </w:pPr>
      <w:rPr>
        <w:rFonts w:ascii="Courier New" w:hAnsi="Courier New" w:cs="Courier New" w:hint="default"/>
      </w:rPr>
    </w:lvl>
    <w:lvl w:ilvl="5" w:tplc="0C090005">
      <w:start w:val="1"/>
      <w:numFmt w:val="bullet"/>
      <w:lvlText w:val=""/>
      <w:lvlJc w:val="left"/>
      <w:pPr>
        <w:ind w:left="4420" w:hanging="360"/>
      </w:pPr>
      <w:rPr>
        <w:rFonts w:ascii="Wingdings" w:hAnsi="Wingdings" w:hint="default"/>
      </w:rPr>
    </w:lvl>
    <w:lvl w:ilvl="6" w:tplc="0C090001">
      <w:start w:val="1"/>
      <w:numFmt w:val="bullet"/>
      <w:lvlText w:val=""/>
      <w:lvlJc w:val="left"/>
      <w:pPr>
        <w:ind w:left="5140" w:hanging="360"/>
      </w:pPr>
      <w:rPr>
        <w:rFonts w:ascii="Symbol" w:hAnsi="Symbol" w:hint="default"/>
      </w:rPr>
    </w:lvl>
    <w:lvl w:ilvl="7" w:tplc="0C090003">
      <w:start w:val="1"/>
      <w:numFmt w:val="bullet"/>
      <w:lvlText w:val="o"/>
      <w:lvlJc w:val="left"/>
      <w:pPr>
        <w:ind w:left="5860" w:hanging="360"/>
      </w:pPr>
      <w:rPr>
        <w:rFonts w:ascii="Courier New" w:hAnsi="Courier New" w:cs="Courier New" w:hint="default"/>
      </w:rPr>
    </w:lvl>
    <w:lvl w:ilvl="8" w:tplc="0C090005">
      <w:start w:val="1"/>
      <w:numFmt w:val="bullet"/>
      <w:lvlText w:val=""/>
      <w:lvlJc w:val="left"/>
      <w:pPr>
        <w:ind w:left="6580" w:hanging="360"/>
      </w:pPr>
      <w:rPr>
        <w:rFonts w:ascii="Wingdings" w:hAnsi="Wingdings" w:hint="default"/>
      </w:rPr>
    </w:lvl>
  </w:abstractNum>
  <w:abstractNum w:abstractNumId="1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43F56"/>
    <w:multiLevelType w:val="hybridMultilevel"/>
    <w:tmpl w:val="F52A0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82FCF"/>
    <w:multiLevelType w:val="hybridMultilevel"/>
    <w:tmpl w:val="A5A8B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3F7DA2"/>
    <w:multiLevelType w:val="hybridMultilevel"/>
    <w:tmpl w:val="FAF64232"/>
    <w:lvl w:ilvl="0" w:tplc="8A8A40B0">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6D7840"/>
    <w:multiLevelType w:val="hybridMultilevel"/>
    <w:tmpl w:val="16D8A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203A21"/>
    <w:multiLevelType w:val="hybridMultilevel"/>
    <w:tmpl w:val="ECDEB1C2"/>
    <w:lvl w:ilvl="0" w:tplc="75FA53F8">
      <w:start w:val="67"/>
      <w:numFmt w:val="bullet"/>
      <w:lvlText w:val=""/>
      <w:lvlJc w:val="left"/>
      <w:pPr>
        <w:ind w:left="720" w:hanging="360"/>
      </w:pPr>
      <w:rPr>
        <w:rFonts w:ascii="Wingdings" w:eastAsia="Cambria"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12"/>
  </w:num>
  <w:num w:numId="6">
    <w:abstractNumId w:val="10"/>
  </w:num>
  <w:num w:numId="7">
    <w:abstractNumId w:val="1"/>
  </w:num>
  <w:num w:numId="8">
    <w:abstractNumId w:val="14"/>
  </w:num>
  <w:num w:numId="9">
    <w:abstractNumId w:val="6"/>
  </w:num>
  <w:num w:numId="10">
    <w:abstractNumId w:val="9"/>
  </w:num>
  <w:num w:numId="11">
    <w:abstractNumId w:val="0"/>
  </w:num>
  <w:num w:numId="12">
    <w:abstractNumId w:val="15"/>
  </w:num>
  <w:num w:numId="13">
    <w:abstractNumId w:val="7"/>
  </w:num>
  <w:num w:numId="14">
    <w:abstractNumId w:val="5"/>
  </w:num>
  <w:num w:numId="15">
    <w:abstractNumId w:val="13"/>
  </w:num>
  <w:num w:numId="16">
    <w:abstractNumId w:val="4"/>
  </w:num>
  <w:num w:numId="17">
    <w:abstractNumId w:val="8"/>
  </w:num>
  <w:num w:numId="18">
    <w:abstractNumId w:val="17"/>
  </w:num>
  <w:num w:numId="19">
    <w:abstractNumId w:val="16"/>
  </w:num>
  <w:num w:numId="20">
    <w:abstractNumId w:val="18"/>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36"/>
    <w:rsid w:val="00002031"/>
    <w:rsid w:val="00002A9C"/>
    <w:rsid w:val="00004734"/>
    <w:rsid w:val="00006B22"/>
    <w:rsid w:val="00010474"/>
    <w:rsid w:val="0001276A"/>
    <w:rsid w:val="00012901"/>
    <w:rsid w:val="0001559E"/>
    <w:rsid w:val="00015C3C"/>
    <w:rsid w:val="000246AE"/>
    <w:rsid w:val="00025C67"/>
    <w:rsid w:val="00042CC9"/>
    <w:rsid w:val="00044772"/>
    <w:rsid w:val="0004541C"/>
    <w:rsid w:val="00051413"/>
    <w:rsid w:val="00054A7D"/>
    <w:rsid w:val="0005559E"/>
    <w:rsid w:val="000604D6"/>
    <w:rsid w:val="000606B5"/>
    <w:rsid w:val="000734D8"/>
    <w:rsid w:val="00077775"/>
    <w:rsid w:val="00090471"/>
    <w:rsid w:val="00096AA7"/>
    <w:rsid w:val="000A34AE"/>
    <w:rsid w:val="000A3913"/>
    <w:rsid w:val="000A3AED"/>
    <w:rsid w:val="000B3532"/>
    <w:rsid w:val="000B3A75"/>
    <w:rsid w:val="000B6FF0"/>
    <w:rsid w:val="000C00C2"/>
    <w:rsid w:val="000C0530"/>
    <w:rsid w:val="000C690F"/>
    <w:rsid w:val="000D01AA"/>
    <w:rsid w:val="000D1295"/>
    <w:rsid w:val="000D391B"/>
    <w:rsid w:val="000D3D6D"/>
    <w:rsid w:val="000D4FC7"/>
    <w:rsid w:val="000E4B82"/>
    <w:rsid w:val="000E6196"/>
    <w:rsid w:val="000F2215"/>
    <w:rsid w:val="000F4869"/>
    <w:rsid w:val="000F5B42"/>
    <w:rsid w:val="000F6E6F"/>
    <w:rsid w:val="0010601F"/>
    <w:rsid w:val="00106E21"/>
    <w:rsid w:val="0010788A"/>
    <w:rsid w:val="00107A31"/>
    <w:rsid w:val="0011098D"/>
    <w:rsid w:val="00110EA5"/>
    <w:rsid w:val="00112CCF"/>
    <w:rsid w:val="00112F56"/>
    <w:rsid w:val="00124ACD"/>
    <w:rsid w:val="00125318"/>
    <w:rsid w:val="001305A2"/>
    <w:rsid w:val="00133238"/>
    <w:rsid w:val="00133A1B"/>
    <w:rsid w:val="0014197B"/>
    <w:rsid w:val="001447CD"/>
    <w:rsid w:val="0014675B"/>
    <w:rsid w:val="001516B1"/>
    <w:rsid w:val="00154562"/>
    <w:rsid w:val="00154EBB"/>
    <w:rsid w:val="00156316"/>
    <w:rsid w:val="00161181"/>
    <w:rsid w:val="00162D14"/>
    <w:rsid w:val="00163780"/>
    <w:rsid w:val="00165090"/>
    <w:rsid w:val="00165389"/>
    <w:rsid w:val="001721B8"/>
    <w:rsid w:val="001737EE"/>
    <w:rsid w:val="0017693F"/>
    <w:rsid w:val="00180AB7"/>
    <w:rsid w:val="00180C48"/>
    <w:rsid w:val="0018110E"/>
    <w:rsid w:val="00181684"/>
    <w:rsid w:val="00182067"/>
    <w:rsid w:val="001843C6"/>
    <w:rsid w:val="001850E0"/>
    <w:rsid w:val="001A0280"/>
    <w:rsid w:val="001A03AF"/>
    <w:rsid w:val="001A2158"/>
    <w:rsid w:val="001A43EA"/>
    <w:rsid w:val="001A525F"/>
    <w:rsid w:val="001A6B04"/>
    <w:rsid w:val="001B09F9"/>
    <w:rsid w:val="001B1541"/>
    <w:rsid w:val="001B5C90"/>
    <w:rsid w:val="001B6448"/>
    <w:rsid w:val="001C32CD"/>
    <w:rsid w:val="001D2984"/>
    <w:rsid w:val="001D5D9D"/>
    <w:rsid w:val="001E07CF"/>
    <w:rsid w:val="001E3FBD"/>
    <w:rsid w:val="001E59F1"/>
    <w:rsid w:val="001F2CEE"/>
    <w:rsid w:val="001F49EB"/>
    <w:rsid w:val="001F6CBA"/>
    <w:rsid w:val="00201D4E"/>
    <w:rsid w:val="00203334"/>
    <w:rsid w:val="002076C9"/>
    <w:rsid w:val="00213A1F"/>
    <w:rsid w:val="00220B8A"/>
    <w:rsid w:val="00225297"/>
    <w:rsid w:val="002257F3"/>
    <w:rsid w:val="00233456"/>
    <w:rsid w:val="002339A5"/>
    <w:rsid w:val="00257848"/>
    <w:rsid w:val="002578E8"/>
    <w:rsid w:val="00257B3E"/>
    <w:rsid w:val="00261FA7"/>
    <w:rsid w:val="00262235"/>
    <w:rsid w:val="00262C99"/>
    <w:rsid w:val="0027084A"/>
    <w:rsid w:val="00280265"/>
    <w:rsid w:val="00286434"/>
    <w:rsid w:val="00286C59"/>
    <w:rsid w:val="00291957"/>
    <w:rsid w:val="002942D1"/>
    <w:rsid w:val="0029501A"/>
    <w:rsid w:val="002A0416"/>
    <w:rsid w:val="002A3721"/>
    <w:rsid w:val="002B1638"/>
    <w:rsid w:val="002B3624"/>
    <w:rsid w:val="002D0952"/>
    <w:rsid w:val="002D3B80"/>
    <w:rsid w:val="002D3B96"/>
    <w:rsid w:val="002D6F72"/>
    <w:rsid w:val="002E33E1"/>
    <w:rsid w:val="002E40B3"/>
    <w:rsid w:val="002E4C9A"/>
    <w:rsid w:val="002F11F8"/>
    <w:rsid w:val="002F3F56"/>
    <w:rsid w:val="002F44B5"/>
    <w:rsid w:val="002F5122"/>
    <w:rsid w:val="00301727"/>
    <w:rsid w:val="00304443"/>
    <w:rsid w:val="00311AC0"/>
    <w:rsid w:val="003176FC"/>
    <w:rsid w:val="003224B3"/>
    <w:rsid w:val="0032583B"/>
    <w:rsid w:val="00327883"/>
    <w:rsid w:val="00335504"/>
    <w:rsid w:val="00340C18"/>
    <w:rsid w:val="003442FD"/>
    <w:rsid w:val="00347824"/>
    <w:rsid w:val="00350567"/>
    <w:rsid w:val="003521E8"/>
    <w:rsid w:val="003660F3"/>
    <w:rsid w:val="00370CE3"/>
    <w:rsid w:val="003728F3"/>
    <w:rsid w:val="003735BC"/>
    <w:rsid w:val="0037496E"/>
    <w:rsid w:val="00383221"/>
    <w:rsid w:val="00386150"/>
    <w:rsid w:val="00387381"/>
    <w:rsid w:val="003874CE"/>
    <w:rsid w:val="00390900"/>
    <w:rsid w:val="003A65F2"/>
    <w:rsid w:val="003A7F6C"/>
    <w:rsid w:val="003B4D60"/>
    <w:rsid w:val="003B7E39"/>
    <w:rsid w:val="003C4E61"/>
    <w:rsid w:val="003C58DC"/>
    <w:rsid w:val="003D1E62"/>
    <w:rsid w:val="003E0B99"/>
    <w:rsid w:val="003E2486"/>
    <w:rsid w:val="003E3208"/>
    <w:rsid w:val="003E4582"/>
    <w:rsid w:val="003F0B04"/>
    <w:rsid w:val="003F2E64"/>
    <w:rsid w:val="00400129"/>
    <w:rsid w:val="0040134E"/>
    <w:rsid w:val="00401361"/>
    <w:rsid w:val="00405EF0"/>
    <w:rsid w:val="0043051B"/>
    <w:rsid w:val="004334C7"/>
    <w:rsid w:val="00435627"/>
    <w:rsid w:val="004406BC"/>
    <w:rsid w:val="00440A2D"/>
    <w:rsid w:val="00441C3F"/>
    <w:rsid w:val="0044358C"/>
    <w:rsid w:val="00444D1A"/>
    <w:rsid w:val="004476AF"/>
    <w:rsid w:val="0045186A"/>
    <w:rsid w:val="004564A7"/>
    <w:rsid w:val="00456765"/>
    <w:rsid w:val="004617BF"/>
    <w:rsid w:val="00463658"/>
    <w:rsid w:val="004637A0"/>
    <w:rsid w:val="004652F1"/>
    <w:rsid w:val="004722CC"/>
    <w:rsid w:val="0048368D"/>
    <w:rsid w:val="00486E07"/>
    <w:rsid w:val="00490483"/>
    <w:rsid w:val="004936E4"/>
    <w:rsid w:val="00494E60"/>
    <w:rsid w:val="00497487"/>
    <w:rsid w:val="004A128A"/>
    <w:rsid w:val="004A2771"/>
    <w:rsid w:val="004A6189"/>
    <w:rsid w:val="004A7390"/>
    <w:rsid w:val="004B7B76"/>
    <w:rsid w:val="004C239D"/>
    <w:rsid w:val="004C2DCA"/>
    <w:rsid w:val="004C61D2"/>
    <w:rsid w:val="004E0714"/>
    <w:rsid w:val="004E66CA"/>
    <w:rsid w:val="004F0C4A"/>
    <w:rsid w:val="004F0F38"/>
    <w:rsid w:val="004F14A0"/>
    <w:rsid w:val="004F47D6"/>
    <w:rsid w:val="00500337"/>
    <w:rsid w:val="00501921"/>
    <w:rsid w:val="00503AAE"/>
    <w:rsid w:val="00505564"/>
    <w:rsid w:val="00520FF6"/>
    <w:rsid w:val="0052759E"/>
    <w:rsid w:val="005275A0"/>
    <w:rsid w:val="00530354"/>
    <w:rsid w:val="0053625B"/>
    <w:rsid w:val="005434C6"/>
    <w:rsid w:val="00543B39"/>
    <w:rsid w:val="00546154"/>
    <w:rsid w:val="00550096"/>
    <w:rsid w:val="005503F8"/>
    <w:rsid w:val="00554FAF"/>
    <w:rsid w:val="00555280"/>
    <w:rsid w:val="00557F77"/>
    <w:rsid w:val="00557FF9"/>
    <w:rsid w:val="00562327"/>
    <w:rsid w:val="00564AD6"/>
    <w:rsid w:val="005711D5"/>
    <w:rsid w:val="00571424"/>
    <w:rsid w:val="005751C3"/>
    <w:rsid w:val="00576378"/>
    <w:rsid w:val="00577130"/>
    <w:rsid w:val="00577945"/>
    <w:rsid w:val="00577E38"/>
    <w:rsid w:val="00585322"/>
    <w:rsid w:val="005857C6"/>
    <w:rsid w:val="00592F6E"/>
    <w:rsid w:val="00593AD1"/>
    <w:rsid w:val="00595D89"/>
    <w:rsid w:val="005A1342"/>
    <w:rsid w:val="005A68B6"/>
    <w:rsid w:val="005C5570"/>
    <w:rsid w:val="005C79A4"/>
    <w:rsid w:val="005D5442"/>
    <w:rsid w:val="005E2E25"/>
    <w:rsid w:val="005F3AB7"/>
    <w:rsid w:val="005F67B9"/>
    <w:rsid w:val="00603F32"/>
    <w:rsid w:val="00605AD4"/>
    <w:rsid w:val="00606734"/>
    <w:rsid w:val="006136D7"/>
    <w:rsid w:val="00625A6E"/>
    <w:rsid w:val="00632398"/>
    <w:rsid w:val="00640FC3"/>
    <w:rsid w:val="00642020"/>
    <w:rsid w:val="006430EE"/>
    <w:rsid w:val="00645D05"/>
    <w:rsid w:val="00647A98"/>
    <w:rsid w:val="00652959"/>
    <w:rsid w:val="0065337B"/>
    <w:rsid w:val="0065419D"/>
    <w:rsid w:val="006603BC"/>
    <w:rsid w:val="006604D8"/>
    <w:rsid w:val="00664A5B"/>
    <w:rsid w:val="00664D47"/>
    <w:rsid w:val="0066735C"/>
    <w:rsid w:val="006763D2"/>
    <w:rsid w:val="00680C08"/>
    <w:rsid w:val="00686AE2"/>
    <w:rsid w:val="006916A0"/>
    <w:rsid w:val="006931B1"/>
    <w:rsid w:val="006A15C0"/>
    <w:rsid w:val="006A1A9F"/>
    <w:rsid w:val="006A58A8"/>
    <w:rsid w:val="006B1310"/>
    <w:rsid w:val="006B3894"/>
    <w:rsid w:val="006B56A9"/>
    <w:rsid w:val="006C1886"/>
    <w:rsid w:val="006C320C"/>
    <w:rsid w:val="006C3E2A"/>
    <w:rsid w:val="006C642F"/>
    <w:rsid w:val="006D03E5"/>
    <w:rsid w:val="006D0F41"/>
    <w:rsid w:val="006D33B6"/>
    <w:rsid w:val="006D4E65"/>
    <w:rsid w:val="006D5D3E"/>
    <w:rsid w:val="006D6E59"/>
    <w:rsid w:val="006E08B3"/>
    <w:rsid w:val="006E21D7"/>
    <w:rsid w:val="006F17AC"/>
    <w:rsid w:val="006F25B8"/>
    <w:rsid w:val="006F572E"/>
    <w:rsid w:val="00701EAA"/>
    <w:rsid w:val="007028CF"/>
    <w:rsid w:val="007046D6"/>
    <w:rsid w:val="007051CF"/>
    <w:rsid w:val="00705DB0"/>
    <w:rsid w:val="00714C8C"/>
    <w:rsid w:val="00722B57"/>
    <w:rsid w:val="00723C28"/>
    <w:rsid w:val="00730F8A"/>
    <w:rsid w:val="00735A8C"/>
    <w:rsid w:val="00735C26"/>
    <w:rsid w:val="0074253D"/>
    <w:rsid w:val="00742D4A"/>
    <w:rsid w:val="0074429B"/>
    <w:rsid w:val="007615BC"/>
    <w:rsid w:val="00762F05"/>
    <w:rsid w:val="00763343"/>
    <w:rsid w:val="007652FF"/>
    <w:rsid w:val="00770CAC"/>
    <w:rsid w:val="00770EF1"/>
    <w:rsid w:val="00773EF7"/>
    <w:rsid w:val="0077490B"/>
    <w:rsid w:val="00774E1D"/>
    <w:rsid w:val="007765D8"/>
    <w:rsid w:val="0077675A"/>
    <w:rsid w:val="00780355"/>
    <w:rsid w:val="007819FD"/>
    <w:rsid w:val="00785717"/>
    <w:rsid w:val="00785721"/>
    <w:rsid w:val="00793A59"/>
    <w:rsid w:val="00795182"/>
    <w:rsid w:val="007A3C0C"/>
    <w:rsid w:val="007A46F5"/>
    <w:rsid w:val="007A6505"/>
    <w:rsid w:val="007B6132"/>
    <w:rsid w:val="007B6E9F"/>
    <w:rsid w:val="007C1216"/>
    <w:rsid w:val="007C1AF7"/>
    <w:rsid w:val="007C1D76"/>
    <w:rsid w:val="007C5D2A"/>
    <w:rsid w:val="007C6B9B"/>
    <w:rsid w:val="007C6F33"/>
    <w:rsid w:val="007D364A"/>
    <w:rsid w:val="007D52C5"/>
    <w:rsid w:val="007D7E5B"/>
    <w:rsid w:val="00805D27"/>
    <w:rsid w:val="00806396"/>
    <w:rsid w:val="00806DCB"/>
    <w:rsid w:val="0080780F"/>
    <w:rsid w:val="00814CBF"/>
    <w:rsid w:val="00821776"/>
    <w:rsid w:val="008321F5"/>
    <w:rsid w:val="00832369"/>
    <w:rsid w:val="008336E0"/>
    <w:rsid w:val="00834660"/>
    <w:rsid w:val="00836BC2"/>
    <w:rsid w:val="0085156D"/>
    <w:rsid w:val="00852B28"/>
    <w:rsid w:val="0085641B"/>
    <w:rsid w:val="00857136"/>
    <w:rsid w:val="00871B61"/>
    <w:rsid w:val="00875A6B"/>
    <w:rsid w:val="00880FC7"/>
    <w:rsid w:val="00885B11"/>
    <w:rsid w:val="00886D15"/>
    <w:rsid w:val="00887DD8"/>
    <w:rsid w:val="00890225"/>
    <w:rsid w:val="00891BA9"/>
    <w:rsid w:val="00896018"/>
    <w:rsid w:val="008960DD"/>
    <w:rsid w:val="0089635C"/>
    <w:rsid w:val="00897FE8"/>
    <w:rsid w:val="008A09B8"/>
    <w:rsid w:val="008A2B9D"/>
    <w:rsid w:val="008A3D9F"/>
    <w:rsid w:val="008A5E0B"/>
    <w:rsid w:val="008A6D59"/>
    <w:rsid w:val="008B4B03"/>
    <w:rsid w:val="008B596F"/>
    <w:rsid w:val="008C0742"/>
    <w:rsid w:val="008C159F"/>
    <w:rsid w:val="008C1623"/>
    <w:rsid w:val="008C1850"/>
    <w:rsid w:val="008C51A9"/>
    <w:rsid w:val="008C536F"/>
    <w:rsid w:val="008C7FFA"/>
    <w:rsid w:val="008D14D7"/>
    <w:rsid w:val="008D4DB8"/>
    <w:rsid w:val="008D6950"/>
    <w:rsid w:val="008E7846"/>
    <w:rsid w:val="008F02E5"/>
    <w:rsid w:val="008F1CCC"/>
    <w:rsid w:val="008F2967"/>
    <w:rsid w:val="008F6943"/>
    <w:rsid w:val="00902A21"/>
    <w:rsid w:val="009046A3"/>
    <w:rsid w:val="0091523F"/>
    <w:rsid w:val="00920330"/>
    <w:rsid w:val="009219D7"/>
    <w:rsid w:val="00922D53"/>
    <w:rsid w:val="00923B70"/>
    <w:rsid w:val="00924482"/>
    <w:rsid w:val="00930237"/>
    <w:rsid w:val="00937C17"/>
    <w:rsid w:val="00940A89"/>
    <w:rsid w:val="00941F77"/>
    <w:rsid w:val="00946EA5"/>
    <w:rsid w:val="0095713A"/>
    <w:rsid w:val="00960520"/>
    <w:rsid w:val="00962462"/>
    <w:rsid w:val="00963C08"/>
    <w:rsid w:val="009752A5"/>
    <w:rsid w:val="0098585A"/>
    <w:rsid w:val="00991827"/>
    <w:rsid w:val="009A23D8"/>
    <w:rsid w:val="009A4CED"/>
    <w:rsid w:val="009A690D"/>
    <w:rsid w:val="009B1D12"/>
    <w:rsid w:val="009B4098"/>
    <w:rsid w:val="009B416B"/>
    <w:rsid w:val="009B4874"/>
    <w:rsid w:val="009C4BD5"/>
    <w:rsid w:val="009C68E9"/>
    <w:rsid w:val="009D7B77"/>
    <w:rsid w:val="009E0BB0"/>
    <w:rsid w:val="009E34C0"/>
    <w:rsid w:val="009E3FBB"/>
    <w:rsid w:val="009E6301"/>
    <w:rsid w:val="009F5C45"/>
    <w:rsid w:val="009F7353"/>
    <w:rsid w:val="00A04F85"/>
    <w:rsid w:val="00A05FA4"/>
    <w:rsid w:val="00A102E4"/>
    <w:rsid w:val="00A1219C"/>
    <w:rsid w:val="00A12C42"/>
    <w:rsid w:val="00A14DF7"/>
    <w:rsid w:val="00A1635D"/>
    <w:rsid w:val="00A22D57"/>
    <w:rsid w:val="00A23E27"/>
    <w:rsid w:val="00A3246D"/>
    <w:rsid w:val="00A36FA7"/>
    <w:rsid w:val="00A37121"/>
    <w:rsid w:val="00A40021"/>
    <w:rsid w:val="00A44DDB"/>
    <w:rsid w:val="00A475B7"/>
    <w:rsid w:val="00A47AF7"/>
    <w:rsid w:val="00A47C3E"/>
    <w:rsid w:val="00A50226"/>
    <w:rsid w:val="00A60BAD"/>
    <w:rsid w:val="00A679E5"/>
    <w:rsid w:val="00A72D3C"/>
    <w:rsid w:val="00A77F87"/>
    <w:rsid w:val="00A80B5B"/>
    <w:rsid w:val="00A81DB5"/>
    <w:rsid w:val="00A84E36"/>
    <w:rsid w:val="00A8712D"/>
    <w:rsid w:val="00A964D1"/>
    <w:rsid w:val="00AA0ED0"/>
    <w:rsid w:val="00AC2B40"/>
    <w:rsid w:val="00AC2BB2"/>
    <w:rsid w:val="00AC2C3C"/>
    <w:rsid w:val="00AC512D"/>
    <w:rsid w:val="00AD0083"/>
    <w:rsid w:val="00AD3935"/>
    <w:rsid w:val="00AE4024"/>
    <w:rsid w:val="00AE59ED"/>
    <w:rsid w:val="00AE5AC0"/>
    <w:rsid w:val="00AE65EB"/>
    <w:rsid w:val="00AE67A7"/>
    <w:rsid w:val="00AF1D94"/>
    <w:rsid w:val="00AF60C5"/>
    <w:rsid w:val="00B009C6"/>
    <w:rsid w:val="00B01548"/>
    <w:rsid w:val="00B05345"/>
    <w:rsid w:val="00B130C5"/>
    <w:rsid w:val="00B13185"/>
    <w:rsid w:val="00B13EBD"/>
    <w:rsid w:val="00B16F8C"/>
    <w:rsid w:val="00B21D29"/>
    <w:rsid w:val="00B25034"/>
    <w:rsid w:val="00B31C8A"/>
    <w:rsid w:val="00B329DD"/>
    <w:rsid w:val="00B33588"/>
    <w:rsid w:val="00B33863"/>
    <w:rsid w:val="00B3497A"/>
    <w:rsid w:val="00B37D17"/>
    <w:rsid w:val="00B4175E"/>
    <w:rsid w:val="00B41C85"/>
    <w:rsid w:val="00B452CE"/>
    <w:rsid w:val="00B52FEF"/>
    <w:rsid w:val="00B54C25"/>
    <w:rsid w:val="00B7263B"/>
    <w:rsid w:val="00B76B91"/>
    <w:rsid w:val="00B77EB1"/>
    <w:rsid w:val="00B811C6"/>
    <w:rsid w:val="00B84459"/>
    <w:rsid w:val="00B855B0"/>
    <w:rsid w:val="00B92E08"/>
    <w:rsid w:val="00BA3FDA"/>
    <w:rsid w:val="00BA51E3"/>
    <w:rsid w:val="00BC622A"/>
    <w:rsid w:val="00BC7B1B"/>
    <w:rsid w:val="00BD4552"/>
    <w:rsid w:val="00BE0A78"/>
    <w:rsid w:val="00BE49F5"/>
    <w:rsid w:val="00BE6293"/>
    <w:rsid w:val="00BE79F0"/>
    <w:rsid w:val="00BF0323"/>
    <w:rsid w:val="00BF046D"/>
    <w:rsid w:val="00BF1190"/>
    <w:rsid w:val="00BF2443"/>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3E3F"/>
    <w:rsid w:val="00C64586"/>
    <w:rsid w:val="00C70D53"/>
    <w:rsid w:val="00C73D0B"/>
    <w:rsid w:val="00C74F5C"/>
    <w:rsid w:val="00C772FF"/>
    <w:rsid w:val="00C80137"/>
    <w:rsid w:val="00C801AF"/>
    <w:rsid w:val="00C80256"/>
    <w:rsid w:val="00C8792D"/>
    <w:rsid w:val="00C91312"/>
    <w:rsid w:val="00C94CD4"/>
    <w:rsid w:val="00C957EF"/>
    <w:rsid w:val="00C9747E"/>
    <w:rsid w:val="00CA15AD"/>
    <w:rsid w:val="00CA3EC9"/>
    <w:rsid w:val="00CB20EC"/>
    <w:rsid w:val="00CB3346"/>
    <w:rsid w:val="00CB6831"/>
    <w:rsid w:val="00CB6BC0"/>
    <w:rsid w:val="00CC1B7C"/>
    <w:rsid w:val="00CC617C"/>
    <w:rsid w:val="00CC727F"/>
    <w:rsid w:val="00CD04C8"/>
    <w:rsid w:val="00CE0994"/>
    <w:rsid w:val="00CF15C3"/>
    <w:rsid w:val="00CF2B6F"/>
    <w:rsid w:val="00CF2F3E"/>
    <w:rsid w:val="00CF58B6"/>
    <w:rsid w:val="00D0062D"/>
    <w:rsid w:val="00D017ED"/>
    <w:rsid w:val="00D02F91"/>
    <w:rsid w:val="00D031D0"/>
    <w:rsid w:val="00D040D3"/>
    <w:rsid w:val="00D04C65"/>
    <w:rsid w:val="00D153D8"/>
    <w:rsid w:val="00D15E86"/>
    <w:rsid w:val="00D201D2"/>
    <w:rsid w:val="00D224FE"/>
    <w:rsid w:val="00D23139"/>
    <w:rsid w:val="00D31C49"/>
    <w:rsid w:val="00D3220F"/>
    <w:rsid w:val="00D361AC"/>
    <w:rsid w:val="00D42141"/>
    <w:rsid w:val="00D425BB"/>
    <w:rsid w:val="00D453FA"/>
    <w:rsid w:val="00D6493E"/>
    <w:rsid w:val="00D7195D"/>
    <w:rsid w:val="00D7301E"/>
    <w:rsid w:val="00D75C68"/>
    <w:rsid w:val="00D83AE1"/>
    <w:rsid w:val="00D855D4"/>
    <w:rsid w:val="00D902C9"/>
    <w:rsid w:val="00D93466"/>
    <w:rsid w:val="00DA0FBA"/>
    <w:rsid w:val="00DA1124"/>
    <w:rsid w:val="00DA64CB"/>
    <w:rsid w:val="00DB06B8"/>
    <w:rsid w:val="00DB6124"/>
    <w:rsid w:val="00DB750B"/>
    <w:rsid w:val="00DB75B7"/>
    <w:rsid w:val="00DC023E"/>
    <w:rsid w:val="00DC0A2F"/>
    <w:rsid w:val="00DC1948"/>
    <w:rsid w:val="00DC6E02"/>
    <w:rsid w:val="00DD06D7"/>
    <w:rsid w:val="00DD28CD"/>
    <w:rsid w:val="00DE02AE"/>
    <w:rsid w:val="00DE2D3A"/>
    <w:rsid w:val="00DE39D1"/>
    <w:rsid w:val="00DE6153"/>
    <w:rsid w:val="00DF1D7F"/>
    <w:rsid w:val="00DF4BE4"/>
    <w:rsid w:val="00E01A12"/>
    <w:rsid w:val="00E02382"/>
    <w:rsid w:val="00E02FB4"/>
    <w:rsid w:val="00E12ED7"/>
    <w:rsid w:val="00E13FC7"/>
    <w:rsid w:val="00E20571"/>
    <w:rsid w:val="00E235F7"/>
    <w:rsid w:val="00E23659"/>
    <w:rsid w:val="00E239D4"/>
    <w:rsid w:val="00E26130"/>
    <w:rsid w:val="00E40B22"/>
    <w:rsid w:val="00E43139"/>
    <w:rsid w:val="00E44ED1"/>
    <w:rsid w:val="00E45619"/>
    <w:rsid w:val="00E4588F"/>
    <w:rsid w:val="00E46DA3"/>
    <w:rsid w:val="00E51BB1"/>
    <w:rsid w:val="00E53E2A"/>
    <w:rsid w:val="00E55CB0"/>
    <w:rsid w:val="00E624A5"/>
    <w:rsid w:val="00E64BA4"/>
    <w:rsid w:val="00E67C80"/>
    <w:rsid w:val="00E7344E"/>
    <w:rsid w:val="00E82665"/>
    <w:rsid w:val="00E857CF"/>
    <w:rsid w:val="00E873E0"/>
    <w:rsid w:val="00E9079F"/>
    <w:rsid w:val="00EB0798"/>
    <w:rsid w:val="00EB40AD"/>
    <w:rsid w:val="00EB586E"/>
    <w:rsid w:val="00EB5FC8"/>
    <w:rsid w:val="00EC2D96"/>
    <w:rsid w:val="00EC463D"/>
    <w:rsid w:val="00EC7A85"/>
    <w:rsid w:val="00ED1628"/>
    <w:rsid w:val="00ED2922"/>
    <w:rsid w:val="00ED3CAD"/>
    <w:rsid w:val="00ED50E6"/>
    <w:rsid w:val="00ED5A41"/>
    <w:rsid w:val="00ED7D4D"/>
    <w:rsid w:val="00EE1DE8"/>
    <w:rsid w:val="00EE27C2"/>
    <w:rsid w:val="00EF171C"/>
    <w:rsid w:val="00EF1ECC"/>
    <w:rsid w:val="00EF370C"/>
    <w:rsid w:val="00EF4BAD"/>
    <w:rsid w:val="00EF59DC"/>
    <w:rsid w:val="00F01E82"/>
    <w:rsid w:val="00F033EC"/>
    <w:rsid w:val="00F04F68"/>
    <w:rsid w:val="00F07237"/>
    <w:rsid w:val="00F12670"/>
    <w:rsid w:val="00F14B27"/>
    <w:rsid w:val="00F20A62"/>
    <w:rsid w:val="00F3148D"/>
    <w:rsid w:val="00F325C5"/>
    <w:rsid w:val="00F32FE0"/>
    <w:rsid w:val="00F35298"/>
    <w:rsid w:val="00F360AD"/>
    <w:rsid w:val="00F47333"/>
    <w:rsid w:val="00F47E37"/>
    <w:rsid w:val="00F53C07"/>
    <w:rsid w:val="00F54B65"/>
    <w:rsid w:val="00F56B9D"/>
    <w:rsid w:val="00F61338"/>
    <w:rsid w:val="00F640B6"/>
    <w:rsid w:val="00F66DF2"/>
    <w:rsid w:val="00F80E40"/>
    <w:rsid w:val="00F848D9"/>
    <w:rsid w:val="00F94E2C"/>
    <w:rsid w:val="00FA5069"/>
    <w:rsid w:val="00FA57C4"/>
    <w:rsid w:val="00FA5B82"/>
    <w:rsid w:val="00FA639E"/>
    <w:rsid w:val="00FB3084"/>
    <w:rsid w:val="00FB6CA5"/>
    <w:rsid w:val="00FC1FCA"/>
    <w:rsid w:val="00FC25E4"/>
    <w:rsid w:val="00FC3698"/>
    <w:rsid w:val="00FC4EF7"/>
    <w:rsid w:val="00FD0824"/>
    <w:rsid w:val="00FD119B"/>
    <w:rsid w:val="00FD1EDC"/>
    <w:rsid w:val="00FD3A41"/>
    <w:rsid w:val="00FE1DEE"/>
    <w:rsid w:val="00FE6936"/>
    <w:rsid w:val="00FF2126"/>
    <w:rsid w:val="00FF5755"/>
    <w:rsid w:val="00FF5762"/>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E3DCE6"/>
  <w15:docId w15:val="{D96DEAB8-BA82-43BC-8D4C-E9F7DC6F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134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65090"/>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65090"/>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165090"/>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65090"/>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link w:val="ListParagraphChar"/>
    <w:uiPriority w:val="34"/>
    <w:qFormat/>
    <w:rsid w:val="00D02F91"/>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rsid w:val="00D02F91"/>
    <w:rPr>
      <w:rFonts w:ascii="Cambria" w:eastAsia="MS Mincho" w:hAnsi="Cambria" w:cs="Times New Roman"/>
      <w:szCs w:val="20"/>
      <w:lang w:eastAsia="ja-JP"/>
    </w:rPr>
  </w:style>
  <w:style w:type="paragraph" w:customStyle="1" w:styleId="FigureCaption">
    <w:name w:val="Figure Caption"/>
    <w:basedOn w:val="Normal"/>
    <w:qFormat/>
    <w:rsid w:val="00880FC7"/>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880FC7"/>
    <w:pPr>
      <w:spacing w:after="240"/>
    </w:pPr>
    <w:rPr>
      <w:sz w:val="17"/>
    </w:rPr>
  </w:style>
  <w:style w:type="table" w:customStyle="1" w:styleId="TableTGA2">
    <w:name w:val="Table TGA 2"/>
    <w:basedOn w:val="TableNormal"/>
    <w:uiPriority w:val="99"/>
    <w:rsid w:val="00880FC7"/>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880FC7"/>
    <w:pPr>
      <w:adjustRightInd w:val="0"/>
      <w:snapToGrid w:val="0"/>
      <w:spacing w:before="180" w:after="180"/>
    </w:pPr>
    <w:rPr>
      <w:rFonts w:eastAsia="MS Mincho"/>
      <w:b/>
      <w:szCs w:val="20"/>
      <w:lang w:eastAsia="ja-JP"/>
    </w:rPr>
  </w:style>
  <w:style w:type="paragraph" w:customStyle="1" w:styleId="Addressee">
    <w:name w:val="Addressee"/>
    <w:basedOn w:val="Normal"/>
    <w:qFormat/>
    <w:rsid w:val="00880FC7"/>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880FC7"/>
    <w:rPr>
      <w:rFonts w:ascii="Arial" w:hAnsi="Arial"/>
      <w:color w:val="002C47"/>
      <w:sz w:val="14"/>
    </w:rPr>
  </w:style>
  <w:style w:type="paragraph" w:customStyle="1" w:styleId="BodyCopy">
    <w:name w:val="Body Copy"/>
    <w:basedOn w:val="Normal"/>
    <w:qFormat/>
    <w:rsid w:val="00880FC7"/>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880FC7"/>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80FC7"/>
    <w:rPr>
      <w:rFonts w:ascii="Cambria" w:eastAsia="Times New Roman" w:hAnsi="Cambria" w:cs="Times New Roman"/>
      <w:snapToGrid w:val="0"/>
      <w:kern w:val="16"/>
      <w:sz w:val="23"/>
      <w:szCs w:val="24"/>
    </w:rPr>
  </w:style>
  <w:style w:type="paragraph" w:customStyle="1" w:styleId="Bulletpoint">
    <w:name w:val="Bullet point"/>
    <w:basedOn w:val="Standard"/>
    <w:rsid w:val="00880FC7"/>
    <w:pPr>
      <w:numPr>
        <w:numId w:val="5"/>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880FC7"/>
    <w:pPr>
      <w:keepNext/>
      <w:spacing w:after="120"/>
    </w:pPr>
    <w:rPr>
      <w:b/>
      <w:i/>
      <w:kern w:val="2"/>
      <w:sz w:val="22"/>
    </w:rPr>
  </w:style>
  <w:style w:type="paragraph" w:customStyle="1" w:styleId="mine">
    <w:name w:val="mine"/>
    <w:basedOn w:val="Normal"/>
    <w:qFormat/>
    <w:rsid w:val="00880FC7"/>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table" w:customStyle="1" w:styleId="TableTGAblue1">
    <w:name w:val="Table TGA blue1"/>
    <w:basedOn w:val="TableNormal"/>
    <w:uiPriority w:val="99"/>
    <w:qFormat/>
    <w:rsid w:val="00880FC7"/>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table">
    <w:name w:val="table"/>
    <w:basedOn w:val="Normal"/>
    <w:qFormat/>
    <w:rsid w:val="00880FC7"/>
    <w:pPr>
      <w:adjustRightInd w:val="0"/>
      <w:snapToGrid w:val="0"/>
    </w:pPr>
    <w:rPr>
      <w:rFonts w:ascii="Times New Roman" w:eastAsia="MS Mincho" w:hAnsi="Times New Roman" w:cstheme="majorHAnsi"/>
      <w:sz w:val="18"/>
      <w:szCs w:val="20"/>
      <w:lang w:eastAsia="ja-JP"/>
    </w:rPr>
  </w:style>
  <w:style w:type="paragraph" w:customStyle="1" w:styleId="TableParagraph">
    <w:name w:val="Table Paragraph"/>
    <w:basedOn w:val="Normal"/>
    <w:uiPriority w:val="1"/>
    <w:qFormat/>
    <w:rsid w:val="00880FC7"/>
    <w:pPr>
      <w:widowControl w:val="0"/>
      <w:autoSpaceDE w:val="0"/>
      <w:autoSpaceDN w:val="0"/>
      <w:spacing w:before="0" w:after="0" w:line="240" w:lineRule="auto"/>
    </w:pPr>
    <w:rPr>
      <w:rFonts w:ascii="Calibri" w:eastAsia="Calibri" w:hAnsi="Calibri" w:cs="Calibri"/>
      <w:lang w:val="en-US"/>
    </w:rPr>
  </w:style>
  <w:style w:type="paragraph" w:styleId="BodyText">
    <w:name w:val="Body Text"/>
    <w:basedOn w:val="Normal"/>
    <w:link w:val="BodyTextChar"/>
    <w:uiPriority w:val="1"/>
    <w:qFormat/>
    <w:rsid w:val="00880FC7"/>
    <w:pPr>
      <w:widowControl w:val="0"/>
      <w:autoSpaceDE w:val="0"/>
      <w:autoSpaceDN w:val="0"/>
      <w:spacing w:before="0"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880FC7"/>
    <w:rPr>
      <w:rFonts w:ascii="Calibri" w:eastAsia="Calibri" w:hAnsi="Calibri" w:cs="Calibri"/>
      <w:sz w:val="24"/>
      <w:szCs w:val="24"/>
      <w:lang w:val="en-US"/>
    </w:rPr>
  </w:style>
  <w:style w:type="character" w:customStyle="1" w:styleId="TabletextChar">
    <w:name w:val="Table text Char"/>
    <w:basedOn w:val="StandardChar"/>
    <w:link w:val="Tabletext"/>
    <w:rsid w:val="00880FC7"/>
    <w:rPr>
      <w:rFonts w:ascii="Cambria" w:eastAsia="Cambria" w:hAnsi="Cambria" w:cs="Times New Roman"/>
      <w:snapToGrid/>
      <w:kern w:val="16"/>
      <w:sz w:val="19"/>
      <w:szCs w:val="24"/>
    </w:rPr>
  </w:style>
  <w:style w:type="paragraph" w:customStyle="1" w:styleId="Summaryofsafetyconcerns">
    <w:name w:val="Summary of safety concerns"/>
    <w:basedOn w:val="Tabletext"/>
    <w:link w:val="SummaryofsafetyconcernsChar"/>
    <w:qFormat/>
    <w:rsid w:val="00880FC7"/>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880FC7"/>
    <w:rPr>
      <w:rFonts w:ascii="Cambria" w:eastAsia="Times New Roman" w:hAnsi="Cambria" w:cs="Times New Roman"/>
      <w:b/>
      <w:snapToGrid w:val="0"/>
      <w:kern w:val="16"/>
      <w:sz w:val="20"/>
      <w:szCs w:val="24"/>
    </w:rPr>
  </w:style>
  <w:style w:type="paragraph" w:customStyle="1" w:styleId="Default">
    <w:name w:val="Default"/>
    <w:rsid w:val="00180C48"/>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titledefault">
    <w:name w:val="title_default"/>
    <w:basedOn w:val="DefaultParagraphFont"/>
    <w:rsid w:val="00E8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3">
      <w:bodyDiv w:val="1"/>
      <w:marLeft w:val="0"/>
      <w:marRight w:val="0"/>
      <w:marTop w:val="0"/>
      <w:marBottom w:val="0"/>
      <w:divBdr>
        <w:top w:val="none" w:sz="0" w:space="0" w:color="auto"/>
        <w:left w:val="none" w:sz="0" w:space="0" w:color="auto"/>
        <w:bottom w:val="none" w:sz="0" w:space="0" w:color="auto"/>
        <w:right w:val="none" w:sz="0" w:space="0" w:color="auto"/>
      </w:divBdr>
    </w:div>
    <w:div w:id="127164467">
      <w:bodyDiv w:val="1"/>
      <w:marLeft w:val="0"/>
      <w:marRight w:val="0"/>
      <w:marTop w:val="0"/>
      <w:marBottom w:val="0"/>
      <w:divBdr>
        <w:top w:val="none" w:sz="0" w:space="0" w:color="auto"/>
        <w:left w:val="none" w:sz="0" w:space="0" w:color="auto"/>
        <w:bottom w:val="none" w:sz="0" w:space="0" w:color="auto"/>
        <w:right w:val="none" w:sz="0" w:space="0" w:color="auto"/>
      </w:divBdr>
    </w:div>
    <w:div w:id="279118164">
      <w:bodyDiv w:val="1"/>
      <w:marLeft w:val="0"/>
      <w:marRight w:val="0"/>
      <w:marTop w:val="0"/>
      <w:marBottom w:val="0"/>
      <w:divBdr>
        <w:top w:val="none" w:sz="0" w:space="0" w:color="auto"/>
        <w:left w:val="none" w:sz="0" w:space="0" w:color="auto"/>
        <w:bottom w:val="none" w:sz="0" w:space="0" w:color="auto"/>
        <w:right w:val="none" w:sz="0" w:space="0" w:color="auto"/>
      </w:divBdr>
    </w:div>
    <w:div w:id="504172850">
      <w:bodyDiv w:val="1"/>
      <w:marLeft w:val="0"/>
      <w:marRight w:val="0"/>
      <w:marTop w:val="0"/>
      <w:marBottom w:val="0"/>
      <w:divBdr>
        <w:top w:val="none" w:sz="0" w:space="0" w:color="auto"/>
        <w:left w:val="none" w:sz="0" w:space="0" w:color="auto"/>
        <w:bottom w:val="none" w:sz="0" w:space="0" w:color="auto"/>
        <w:right w:val="none" w:sz="0" w:space="0" w:color="auto"/>
      </w:divBdr>
    </w:div>
    <w:div w:id="541944282">
      <w:bodyDiv w:val="1"/>
      <w:marLeft w:val="0"/>
      <w:marRight w:val="0"/>
      <w:marTop w:val="0"/>
      <w:marBottom w:val="0"/>
      <w:divBdr>
        <w:top w:val="none" w:sz="0" w:space="0" w:color="auto"/>
        <w:left w:val="none" w:sz="0" w:space="0" w:color="auto"/>
        <w:bottom w:val="none" w:sz="0" w:space="0" w:color="auto"/>
        <w:right w:val="none" w:sz="0" w:space="0" w:color="auto"/>
      </w:divBdr>
    </w:div>
    <w:div w:id="760368861">
      <w:bodyDiv w:val="1"/>
      <w:marLeft w:val="0"/>
      <w:marRight w:val="0"/>
      <w:marTop w:val="0"/>
      <w:marBottom w:val="0"/>
      <w:divBdr>
        <w:top w:val="none" w:sz="0" w:space="0" w:color="auto"/>
        <w:left w:val="none" w:sz="0" w:space="0" w:color="auto"/>
        <w:bottom w:val="none" w:sz="0" w:space="0" w:color="auto"/>
        <w:right w:val="none" w:sz="0" w:space="0" w:color="auto"/>
      </w:divBdr>
    </w:div>
    <w:div w:id="877208236">
      <w:bodyDiv w:val="1"/>
      <w:marLeft w:val="0"/>
      <w:marRight w:val="0"/>
      <w:marTop w:val="0"/>
      <w:marBottom w:val="0"/>
      <w:divBdr>
        <w:top w:val="none" w:sz="0" w:space="0" w:color="auto"/>
        <w:left w:val="none" w:sz="0" w:space="0" w:color="auto"/>
        <w:bottom w:val="none" w:sz="0" w:space="0" w:color="auto"/>
        <w:right w:val="none" w:sz="0" w:space="0" w:color="auto"/>
      </w:divBdr>
    </w:div>
    <w:div w:id="1107625878">
      <w:bodyDiv w:val="1"/>
      <w:marLeft w:val="0"/>
      <w:marRight w:val="0"/>
      <w:marTop w:val="0"/>
      <w:marBottom w:val="0"/>
      <w:divBdr>
        <w:top w:val="none" w:sz="0" w:space="0" w:color="auto"/>
        <w:left w:val="none" w:sz="0" w:space="0" w:color="auto"/>
        <w:bottom w:val="none" w:sz="0" w:space="0" w:color="auto"/>
        <w:right w:val="none" w:sz="0" w:space="0" w:color="auto"/>
      </w:divBdr>
    </w:div>
    <w:div w:id="1650985606">
      <w:bodyDiv w:val="1"/>
      <w:marLeft w:val="0"/>
      <w:marRight w:val="0"/>
      <w:marTop w:val="0"/>
      <w:marBottom w:val="0"/>
      <w:divBdr>
        <w:top w:val="none" w:sz="0" w:space="0" w:color="auto"/>
        <w:left w:val="none" w:sz="0" w:space="0" w:color="auto"/>
        <w:bottom w:val="none" w:sz="0" w:space="0" w:color="auto"/>
        <w:right w:val="none" w:sz="0" w:space="0" w:color="auto"/>
      </w:divBdr>
    </w:div>
    <w:div w:id="1663005074">
      <w:bodyDiv w:val="1"/>
      <w:marLeft w:val="0"/>
      <w:marRight w:val="0"/>
      <w:marTop w:val="0"/>
      <w:marBottom w:val="0"/>
      <w:divBdr>
        <w:top w:val="none" w:sz="0" w:space="0" w:color="auto"/>
        <w:left w:val="none" w:sz="0" w:space="0" w:color="auto"/>
        <w:bottom w:val="none" w:sz="0" w:space="0" w:color="auto"/>
        <w:right w:val="none" w:sz="0" w:space="0" w:color="auto"/>
      </w:divBdr>
    </w:div>
    <w:div w:id="1886065392">
      <w:bodyDiv w:val="1"/>
      <w:marLeft w:val="0"/>
      <w:marRight w:val="0"/>
      <w:marTop w:val="0"/>
      <w:marBottom w:val="0"/>
      <w:divBdr>
        <w:top w:val="none" w:sz="0" w:space="0" w:color="auto"/>
        <w:left w:val="none" w:sz="0" w:space="0" w:color="auto"/>
        <w:bottom w:val="none" w:sz="0" w:space="0" w:color="auto"/>
        <w:right w:val="none" w:sz="0" w:space="0" w:color="auto"/>
      </w:divBdr>
    </w:div>
    <w:div w:id="21239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tga.gov.au"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5300\t0Q7205T.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S i m c y p D a t a   x m l n s = " h t t p : / / w w w . s i m c y p . c o m / " >  
     < P r o f i l e C h a r t s / >  
     < R e s u l t s T a b l e s / >  
     < S t a t i s t i c s C h a r t s / >  
     < R e g i o n a l F r a c t i o n C h a r t s / >  
     < I n p u t T a b l e s / >  
 < / S i m c y p 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4F57-161F-44C1-BF43-0E7126AB0B8C}">
  <ds:schemaRefs>
    <ds:schemaRef ds:uri="http://www.simcyp.com/"/>
  </ds:schemaRefs>
</ds:datastoreItem>
</file>

<file path=customXml/itemProps2.xml><?xml version="1.0" encoding="utf-8"?>
<ds:datastoreItem xmlns:ds="http://schemas.openxmlformats.org/officeDocument/2006/customXml" ds:itemID="{E0414FCA-4E85-4D76-8D82-CF448C44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t0Q7205T.DOTX</Template>
  <TotalTime>69</TotalTime>
  <Pages>39</Pages>
  <Words>9943</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Australian public assessment report for Talazoparib (as tosilate)</vt:lpstr>
    </vt:vector>
  </TitlesOfParts>
  <Company>Department of Health Therapeutic Goods Administration</Company>
  <LinksUpToDate>false</LinksUpToDate>
  <CharactersWithSpaces>66487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Talazoparib (as tosilate)</dc:title>
  <dc:subject>prescription medicine regulation</dc:subject>
  <dc:creator>Therapeutic Goods Administration</dc:creator>
  <cp:keywords>AusPARs</cp:keywords>
  <cp:lastPrinted>2019-08-14T04:30:00Z</cp:lastPrinted>
  <dcterms:created xsi:type="dcterms:W3CDTF">2020-02-24T04:17:00Z</dcterms:created>
  <dcterms:modified xsi:type="dcterms:W3CDTF">2020-03-10T04:20:00Z</dcterms:modified>
</cp:coreProperties>
</file>