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E7A6E" w14:textId="554FCCAC" w:rsidR="00731028" w:rsidRPr="005F55D7" w:rsidRDefault="00F07531" w:rsidP="00731028">
      <w:pPr>
        <w:pStyle w:val="CLDNormal"/>
        <w:rPr>
          <w:rStyle w:val="CLDBlackTriangleText"/>
        </w:rPr>
      </w:pPr>
      <w:r w:rsidRPr="005F55D7">
        <w:rPr>
          <w:rStyle w:val="CLDBlackTriangleText"/>
          <w:noProof/>
          <w:lang w:val="en-AU" w:eastAsia="en-AU"/>
        </w:rPr>
        <mc:AlternateContent>
          <mc:Choice Requires="wps">
            <w:drawing>
              <wp:inline distT="0" distB="0" distL="0" distR="0" wp14:anchorId="65EDECB7" wp14:editId="739F1A5E">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D9BF0" w14:textId="77777777" w:rsidR="00B314A3" w:rsidRPr="00BE2A26" w:rsidRDefault="00B314A3" w:rsidP="00F07531">
                            <w:pPr>
                              <w:spacing w:after="0"/>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65EDECB7"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4xdAIAAP4E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" stroked="f">
                <v:textbox inset="0,0,0,0">
                  <w:txbxContent>
                    <w:p w14:paraId="6E9D9BF0" w14:textId="77777777" w:rsidR="00B314A3" w:rsidRPr="00BE2A26" w:rsidRDefault="00B314A3" w:rsidP="00F07531">
                      <w:pPr>
                        <w:spacing w:after="0"/>
                        <w:rPr>
                          <w:rFonts w:ascii="Wingdings 3" w:hAnsi="Wingdings 3"/>
                        </w:rPr>
                      </w:pPr>
                      <w:r w:rsidRPr="00BE2A26">
                        <w:rPr>
                          <w:rFonts w:ascii="SimSun" w:eastAsia="SimSun" w:hAnsi="SimSun" w:cs="Arial" w:hint="eastAsia"/>
                          <w:sz w:val="40"/>
                        </w:rPr>
                        <w:t>▼</w:t>
                      </w:r>
                    </w:p>
                  </w:txbxContent>
                </v:textbox>
                <w10:anchorlock/>
              </v:shape>
            </w:pict>
          </mc:Fallback>
        </mc:AlternateContent>
      </w:r>
      <w:r w:rsidR="00731028" w:rsidRPr="005F55D7">
        <w:rPr>
          <w:rStyle w:val="CLDBlackTriangleText"/>
        </w:rPr>
        <w:t xml:space="preserve">This medicinal product is subject to additional monitoring in Australia. This will allow quick identification of new safety information. Healthcare professionals are asked to report any suspected adverse events at </w:t>
      </w:r>
      <w:hyperlink r:id="rId9" w:history="1">
        <w:r w:rsidR="00731028" w:rsidRPr="005F55D7">
          <w:rPr>
            <w:rStyle w:val="CLDBlackTriangleText"/>
            <w:color w:val="0000FF"/>
          </w:rPr>
          <w:t>www.tga.gov.au/reporting-problems</w:t>
        </w:r>
      </w:hyperlink>
      <w:r w:rsidR="00731028" w:rsidRPr="005F55D7">
        <w:rPr>
          <w:rStyle w:val="CLDBlackTriangleText"/>
        </w:rPr>
        <w:t>.</w:t>
      </w:r>
    </w:p>
    <w:p w14:paraId="20EB9C90" w14:textId="77777777" w:rsidR="003B6694" w:rsidRPr="005C6479" w:rsidRDefault="003B6694" w:rsidP="005C6479">
      <w:pPr>
        <w:pStyle w:val="CLDTITLE"/>
      </w:pPr>
      <w:r w:rsidRPr="005C6479">
        <w:t>AUSTRALIAN PRODUCT INFORMATION</w:t>
      </w:r>
    </w:p>
    <w:p w14:paraId="09E2088C" w14:textId="4AB5F1DE" w:rsidR="003B6694" w:rsidRPr="005C6479" w:rsidRDefault="005C6479" w:rsidP="005C6479">
      <w:pPr>
        <w:pStyle w:val="CLDTITLE"/>
      </w:pPr>
      <w:r w:rsidRPr="00875294">
        <w:rPr>
          <w:rFonts w:eastAsiaTheme="majorEastAsia"/>
        </w:rPr>
        <w:t>TALZENNA</w:t>
      </w:r>
      <w:r w:rsidR="003B6694" w:rsidRPr="00875294">
        <w:rPr>
          <w:rStyle w:val="CLDRegisteredTrademarkSign"/>
        </w:rPr>
        <w:t>®</w:t>
      </w:r>
      <w:r w:rsidR="003B6694" w:rsidRPr="005C6479">
        <w:t xml:space="preserve"> (</w:t>
      </w:r>
      <w:r>
        <w:t>TALAZOPAR</w:t>
      </w:r>
      <w:r w:rsidR="003B6694" w:rsidRPr="005C6479">
        <w:t>IB)</w:t>
      </w:r>
    </w:p>
    <w:p w14:paraId="3F6E9A3B" w14:textId="77777777" w:rsidR="003B6694" w:rsidRPr="00313906" w:rsidRDefault="003B6694" w:rsidP="00313906">
      <w:pPr>
        <w:pStyle w:val="CLDHeading1"/>
      </w:pPr>
      <w:r w:rsidRPr="00313906">
        <w:t xml:space="preserve">1. </w:t>
      </w:r>
      <w:r w:rsidRPr="00313906">
        <w:tab/>
      </w:r>
      <w:r w:rsidR="00313906">
        <w:t>NAME OF THE MEDICINE</w:t>
      </w:r>
    </w:p>
    <w:p w14:paraId="111FAC31" w14:textId="410CA412" w:rsidR="003B6694" w:rsidRPr="00336DB4" w:rsidRDefault="003B6694" w:rsidP="00645BA5">
      <w:pPr>
        <w:pStyle w:val="CLDNormal"/>
        <w:rPr>
          <w:lang w:val="en-AU"/>
        </w:rPr>
      </w:pPr>
      <w:r w:rsidRPr="00645BA5">
        <w:t xml:space="preserve">Australian Approved Name (AAN): </w:t>
      </w:r>
      <w:r w:rsidR="005D06F8">
        <w:t xml:space="preserve">talazoparib, </w:t>
      </w:r>
      <w:r w:rsidR="002A099E">
        <w:t>t</w:t>
      </w:r>
      <w:r w:rsidR="005C6479" w:rsidRPr="00645BA5">
        <w:t>alazopar</w:t>
      </w:r>
      <w:r w:rsidRPr="00645BA5">
        <w:t>ib</w:t>
      </w:r>
      <w:r w:rsidR="005C6479" w:rsidRPr="00645BA5">
        <w:t xml:space="preserve"> </w:t>
      </w:r>
      <w:r w:rsidR="00336DB4" w:rsidRPr="00645BA5">
        <w:t>tosilate</w:t>
      </w:r>
    </w:p>
    <w:p w14:paraId="071D96B7" w14:textId="77777777" w:rsidR="003B6694" w:rsidRDefault="003B6694" w:rsidP="007202F6">
      <w:pPr>
        <w:pStyle w:val="CLDHeading1"/>
      </w:pPr>
      <w:r>
        <w:t xml:space="preserve">2. </w:t>
      </w:r>
      <w:r>
        <w:tab/>
        <w:t>QUALITATIVE AND QUANTITATIVE COMPOSITION</w:t>
      </w:r>
    </w:p>
    <w:p w14:paraId="152BA5D4" w14:textId="77777777" w:rsidR="007202F6" w:rsidRDefault="007202F6" w:rsidP="007202F6">
      <w:pPr>
        <w:pStyle w:val="CLDHeading5"/>
      </w:pPr>
      <w:r>
        <w:t xml:space="preserve">TALZENNA 0.25 mg strength </w:t>
      </w:r>
    </w:p>
    <w:p w14:paraId="46856419" w14:textId="77777777" w:rsidR="007202F6" w:rsidRPr="00645BA5" w:rsidRDefault="007202F6" w:rsidP="00645BA5">
      <w:pPr>
        <w:pStyle w:val="CLDNormal"/>
      </w:pPr>
      <w:r w:rsidRPr="00645BA5">
        <w:t>Each capsule contains 0.363 mg talazoparib tosilate equivalent to 0.25 mg talazoparib free base.</w:t>
      </w:r>
    </w:p>
    <w:p w14:paraId="065DE1C3" w14:textId="77777777" w:rsidR="007202F6" w:rsidRDefault="007202F6" w:rsidP="007202F6">
      <w:pPr>
        <w:pStyle w:val="CLDHeading5"/>
      </w:pPr>
      <w:r>
        <w:t xml:space="preserve">TALZENNA 1 mg strength </w:t>
      </w:r>
    </w:p>
    <w:p w14:paraId="5AAA9EAD" w14:textId="77777777" w:rsidR="007202F6" w:rsidRPr="00645BA5" w:rsidRDefault="007202F6" w:rsidP="00645BA5">
      <w:pPr>
        <w:pStyle w:val="CLDNormal"/>
      </w:pPr>
      <w:r w:rsidRPr="00645BA5">
        <w:t>Each capsule contains 1.453 mg talazoparib tosilate equivalent to 1 mg talazoparib free base.</w:t>
      </w:r>
    </w:p>
    <w:p w14:paraId="5E962C76" w14:textId="716BB919" w:rsidR="003B6694" w:rsidRPr="00645BA5" w:rsidRDefault="003B6694" w:rsidP="00645BA5">
      <w:pPr>
        <w:pStyle w:val="CLDNormal"/>
      </w:pPr>
      <w:r w:rsidRPr="00645BA5">
        <w:t xml:space="preserve">For the full list of excipients, see </w:t>
      </w:r>
      <w:hyperlink r:id="rId10" w:history="1">
        <w:r w:rsidRPr="00645BA5">
          <w:t>Section</w:t>
        </w:r>
        <w:r w:rsidR="00DA5E0F" w:rsidRPr="00645BA5">
          <w:t> </w:t>
        </w:r>
        <w:r w:rsidRPr="00645BA5">
          <w:t>6.1 List of excipients</w:t>
        </w:r>
      </w:hyperlink>
      <w:r w:rsidRPr="00645BA5">
        <w:t>.</w:t>
      </w:r>
    </w:p>
    <w:p w14:paraId="42348DFF" w14:textId="77777777" w:rsidR="003B6694" w:rsidRDefault="003B6694" w:rsidP="007202F6">
      <w:pPr>
        <w:pStyle w:val="CLDHeading1"/>
        <w:rPr>
          <w:color w:val="000000"/>
        </w:rPr>
      </w:pPr>
      <w:r>
        <w:t xml:space="preserve">3. </w:t>
      </w:r>
      <w:r>
        <w:tab/>
        <w:t>PHARMACEUTICAL FORM</w:t>
      </w:r>
    </w:p>
    <w:p w14:paraId="75385563" w14:textId="77777777" w:rsidR="007202F6" w:rsidRDefault="007202F6" w:rsidP="00055AAB">
      <w:pPr>
        <w:pStyle w:val="CLDNormal"/>
      </w:pPr>
      <w:r>
        <w:t>Hard capsule</w:t>
      </w:r>
    </w:p>
    <w:p w14:paraId="0D30AA6F" w14:textId="77777777" w:rsidR="00A31A74" w:rsidRDefault="00A31A74" w:rsidP="00A31A74">
      <w:pPr>
        <w:pStyle w:val="CLDHeading5"/>
      </w:pPr>
      <w:r>
        <w:t>TALZENNA 0.</w:t>
      </w:r>
      <w:r w:rsidR="003B6694">
        <w:t>2</w:t>
      </w:r>
      <w:r>
        <w:t>5</w:t>
      </w:r>
      <w:r w:rsidR="003B6694">
        <w:t xml:space="preserve"> mg strength </w:t>
      </w:r>
    </w:p>
    <w:p w14:paraId="1F07145B" w14:textId="77777777" w:rsidR="003B6694" w:rsidRPr="00645BA5" w:rsidRDefault="007202F6" w:rsidP="00645BA5">
      <w:pPr>
        <w:pStyle w:val="CLDNormal"/>
      </w:pPr>
      <w:r w:rsidRPr="00645BA5">
        <w:t>Opaque, size #4 hard hypromellose capsule with an ivory cap (printed with “Pfizer” in black) and a white body (printed with “TLZ 0.25” in black).</w:t>
      </w:r>
    </w:p>
    <w:p w14:paraId="6DA4AB17" w14:textId="77777777" w:rsidR="00A31A74" w:rsidRDefault="00A31A74" w:rsidP="00A31A74">
      <w:pPr>
        <w:pStyle w:val="CLDHeading5"/>
      </w:pPr>
      <w:r>
        <w:t>TALZENNA 1</w:t>
      </w:r>
      <w:r w:rsidR="003B6694">
        <w:t xml:space="preserve"> mg strength </w:t>
      </w:r>
    </w:p>
    <w:p w14:paraId="61448EDC" w14:textId="77777777" w:rsidR="007202F6" w:rsidRPr="00645BA5" w:rsidRDefault="007202F6" w:rsidP="00645BA5">
      <w:pPr>
        <w:pStyle w:val="CLDNormal"/>
      </w:pPr>
      <w:r w:rsidRPr="00645BA5">
        <w:t>Opaque, size #4 hard hypromellose capsule with a light red cap (printed with “Pfizer” in black) and a white body (printed with “TLZ 1” in black).</w:t>
      </w:r>
    </w:p>
    <w:p w14:paraId="1E29715B" w14:textId="77777777" w:rsidR="003B6694" w:rsidRDefault="003B6694" w:rsidP="007202F6">
      <w:pPr>
        <w:pStyle w:val="CLDHeading1"/>
      </w:pPr>
      <w:r>
        <w:t xml:space="preserve">4. </w:t>
      </w:r>
      <w:r>
        <w:tab/>
        <w:t>CLINICAL PARTICULARS</w:t>
      </w:r>
    </w:p>
    <w:p w14:paraId="36EE64F5" w14:textId="77777777" w:rsidR="003B6694" w:rsidRPr="004B5C5A" w:rsidRDefault="003B6694" w:rsidP="004A350C">
      <w:pPr>
        <w:pStyle w:val="CLDHeading2"/>
      </w:pPr>
      <w:r w:rsidRPr="004B5C5A">
        <w:t>4.1</w:t>
      </w:r>
      <w:r w:rsidRPr="004B5C5A">
        <w:tab/>
        <w:t>Therapeutic indications</w:t>
      </w:r>
    </w:p>
    <w:p w14:paraId="72A3EDFB" w14:textId="7F56C9E3" w:rsidR="003B6694" w:rsidRPr="00645BA5" w:rsidRDefault="00496531" w:rsidP="00645BA5">
      <w:pPr>
        <w:pStyle w:val="CLDNormal"/>
      </w:pPr>
      <w:r w:rsidRPr="00645BA5">
        <w:t>TALZENNA</w:t>
      </w:r>
      <w:r w:rsidR="003B6694" w:rsidRPr="00645BA5">
        <w:t xml:space="preserve"> is indicated for the treatment of </w:t>
      </w:r>
      <w:r w:rsidRPr="00645BA5">
        <w:t xml:space="preserve">patients with </w:t>
      </w:r>
      <w:r w:rsidR="00FD3987" w:rsidRPr="00FD3987">
        <w:t xml:space="preserve">a deleterious or suspected deleterious </w:t>
      </w:r>
      <w:r w:rsidRPr="00645BA5">
        <w:t>germline breast cancer susceptibility gene (BRCA)</w:t>
      </w:r>
      <w:r w:rsidR="00FD3987">
        <w:t xml:space="preserve"> </w:t>
      </w:r>
      <w:r w:rsidRPr="00645BA5">
        <w:t>mutat</w:t>
      </w:r>
      <w:r w:rsidR="00FD3987">
        <w:t>ion according to a validated diagnostic test, who have</w:t>
      </w:r>
      <w:r w:rsidRPr="00645BA5">
        <w:t xml:space="preserve"> human epidermal growth factor receptor</w:t>
      </w:r>
      <w:r w:rsidR="005C6479" w:rsidRPr="00645BA5">
        <w:t> </w:t>
      </w:r>
      <w:r w:rsidRPr="00645BA5">
        <w:t>2 (HER2)</w:t>
      </w:r>
      <w:r w:rsidRPr="00645BA5">
        <w:noBreakHyphen/>
        <w:t>negative</w:t>
      </w:r>
      <w:r w:rsidR="00FD3987">
        <w:t>,</w:t>
      </w:r>
      <w:r w:rsidRPr="00645BA5">
        <w:t xml:space="preserve"> locally advanced or metastatic breast cancer.</w:t>
      </w:r>
    </w:p>
    <w:p w14:paraId="15EDB45E" w14:textId="77777777" w:rsidR="003B6694" w:rsidRDefault="003B6694" w:rsidP="004A350C">
      <w:pPr>
        <w:pStyle w:val="CLDHeading2"/>
        <w:rPr>
          <w:color w:val="000000"/>
        </w:rPr>
      </w:pPr>
      <w:r>
        <w:lastRenderedPageBreak/>
        <w:t xml:space="preserve">4.2 </w:t>
      </w:r>
      <w:r>
        <w:tab/>
        <w:t>Dose and method of administration</w:t>
      </w:r>
    </w:p>
    <w:p w14:paraId="5B2D2921" w14:textId="77777777" w:rsidR="00496531" w:rsidRPr="00645BA5" w:rsidRDefault="00496531" w:rsidP="00645BA5">
      <w:pPr>
        <w:pStyle w:val="CLDNormal"/>
      </w:pPr>
      <w:r w:rsidRPr="00645BA5">
        <w:t>Treatment with TALZENNA should be initiated and supervised by a physician experienced in the use of anticancer medicinal products.</w:t>
      </w:r>
    </w:p>
    <w:p w14:paraId="6E8FAC8E" w14:textId="77777777" w:rsidR="004B5C5A" w:rsidRPr="00A61DA6" w:rsidRDefault="0067611D" w:rsidP="00645BA5">
      <w:pPr>
        <w:pStyle w:val="CLDHeading3"/>
      </w:pPr>
      <w:r>
        <w:t xml:space="preserve">Detection of </w:t>
      </w:r>
      <w:r w:rsidR="004B5C5A">
        <w:t>BRCA</w:t>
      </w:r>
      <w:r w:rsidR="004B5C5A" w:rsidRPr="00A61DA6">
        <w:t xml:space="preserve"> </w:t>
      </w:r>
      <w:r>
        <w:t>mutation</w:t>
      </w:r>
    </w:p>
    <w:p w14:paraId="18DBAE10" w14:textId="0AEBE65B" w:rsidR="00496531" w:rsidRPr="00496531" w:rsidRDefault="00496531" w:rsidP="00706E09">
      <w:pPr>
        <w:pStyle w:val="CLDNormal"/>
      </w:pPr>
      <w:r w:rsidRPr="00496531">
        <w:t xml:space="preserve">Detection of mutations in hereditary breast cancer-related </w:t>
      </w:r>
      <w:r w:rsidRPr="00496531">
        <w:rPr>
          <w:rFonts w:eastAsiaTheme="majorEastAsia"/>
          <w:iCs/>
        </w:rPr>
        <w:t>BRCA1</w:t>
      </w:r>
      <w:r w:rsidRPr="00496531">
        <w:t xml:space="preserve"> and </w:t>
      </w:r>
      <w:r w:rsidRPr="00496531">
        <w:rPr>
          <w:rFonts w:eastAsiaTheme="majorEastAsia"/>
          <w:iCs/>
        </w:rPr>
        <w:t>BRCA2</w:t>
      </w:r>
      <w:r w:rsidRPr="00496531">
        <w:t xml:space="preserve"> genes should be determined by an experienced laboratory using a validated test method (see </w:t>
      </w:r>
      <w:r w:rsidR="00C34142">
        <w:t>Section 4.4 Special warnings and precautions for use</w:t>
      </w:r>
      <w:r w:rsidR="00C34142">
        <w:rPr>
          <w:kern w:val="32"/>
        </w:rPr>
        <w:t xml:space="preserve"> - </w:t>
      </w:r>
      <w:r w:rsidR="00C34142">
        <w:t>Diagnostic test selection</w:t>
      </w:r>
      <w:r w:rsidRPr="00496531">
        <w:t>).</w:t>
      </w:r>
    </w:p>
    <w:p w14:paraId="3EB153A2" w14:textId="77777777" w:rsidR="00496531" w:rsidRDefault="00496531" w:rsidP="00645BA5">
      <w:pPr>
        <w:pStyle w:val="CLDHeading3"/>
      </w:pPr>
      <w:r>
        <w:t xml:space="preserve">Dosage and </w:t>
      </w:r>
      <w:r w:rsidR="004B5C5A">
        <w:t>m</w:t>
      </w:r>
      <w:r>
        <w:t xml:space="preserve">ethod of </w:t>
      </w:r>
      <w:r w:rsidR="004B5C5A">
        <w:t>a</w:t>
      </w:r>
      <w:r>
        <w:t>dministration</w:t>
      </w:r>
    </w:p>
    <w:p w14:paraId="33E2540E" w14:textId="3505D037" w:rsidR="005C06D8" w:rsidRDefault="00496531" w:rsidP="005C06D8">
      <w:pPr>
        <w:pStyle w:val="CLDNormal"/>
        <w:rPr>
          <w:szCs w:val="22"/>
        </w:rPr>
      </w:pPr>
      <w:r w:rsidRPr="00645BA5">
        <w:t>The recommended dose of TALZENNA is 1 mg</w:t>
      </w:r>
      <w:r w:rsidR="00297752">
        <w:t xml:space="preserve"> </w:t>
      </w:r>
      <w:r w:rsidRPr="00645BA5">
        <w:t>taken orally once daily</w:t>
      </w:r>
      <w:r w:rsidR="00DF6BA5">
        <w:t xml:space="preserve">, </w:t>
      </w:r>
      <w:r w:rsidR="005C06D8" w:rsidRPr="00645BA5">
        <w:t>with or without food.</w:t>
      </w:r>
      <w:r w:rsidR="00525B88">
        <w:t xml:space="preserve"> </w:t>
      </w:r>
      <w:r w:rsidR="005C06D8" w:rsidRPr="006F4C87">
        <w:rPr>
          <w:szCs w:val="22"/>
        </w:rPr>
        <w:t>The capsules should be swallowed whole and must not be opened or dissolved.</w:t>
      </w:r>
    </w:p>
    <w:p w14:paraId="0CBF6DA3" w14:textId="42E34C3A" w:rsidR="005C06D8" w:rsidRDefault="005C06D8" w:rsidP="005C06D8">
      <w:pPr>
        <w:pStyle w:val="CLDNormal"/>
      </w:pPr>
      <w:r w:rsidRPr="00A06E58">
        <w:t xml:space="preserve">The </w:t>
      </w:r>
      <w:r>
        <w:t>0.25 mg strength capsule</w:t>
      </w:r>
      <w:r w:rsidRPr="00A06E58">
        <w:t xml:space="preserve"> is available for dose reduction.</w:t>
      </w:r>
    </w:p>
    <w:p w14:paraId="26DDC3CF" w14:textId="77777777" w:rsidR="005C06D8" w:rsidRPr="00645BA5" w:rsidRDefault="005C06D8" w:rsidP="005C06D8">
      <w:pPr>
        <w:pStyle w:val="CLDNormal"/>
      </w:pPr>
      <w:r w:rsidRPr="00645BA5">
        <w:t xml:space="preserve">Patients should be treated until disease progression or unacceptable toxicity occurs. </w:t>
      </w:r>
    </w:p>
    <w:p w14:paraId="24AD9B84" w14:textId="77777777" w:rsidR="00496531" w:rsidRDefault="00496531" w:rsidP="00645BA5">
      <w:pPr>
        <w:pStyle w:val="CLDHeading3"/>
      </w:pPr>
      <w:r>
        <w:t xml:space="preserve">Missed </w:t>
      </w:r>
      <w:r w:rsidR="00150EFA">
        <w:t>d</w:t>
      </w:r>
      <w:r>
        <w:t>ose</w:t>
      </w:r>
    </w:p>
    <w:p w14:paraId="3333DD16" w14:textId="016D4C7E" w:rsidR="00496531" w:rsidRPr="005F2E18" w:rsidRDefault="00496531" w:rsidP="00D52967">
      <w:pPr>
        <w:pStyle w:val="CLDNormal"/>
        <w:rPr>
          <w:shd w:val="clear" w:color="auto" w:fill="FFFFFF"/>
        </w:rPr>
      </w:pPr>
      <w:r w:rsidRPr="005F2E18">
        <w:rPr>
          <w:shd w:val="clear" w:color="auto" w:fill="FFFFFF"/>
        </w:rPr>
        <w:t>If the patient vomits or misses a dose, an additional dose should not be taken. The next prescribed dose sho</w:t>
      </w:r>
      <w:r w:rsidR="00AF70C3">
        <w:rPr>
          <w:shd w:val="clear" w:color="auto" w:fill="FFFFFF"/>
        </w:rPr>
        <w:t>uld be taken at the usual time.</w:t>
      </w:r>
    </w:p>
    <w:p w14:paraId="67B56F6E" w14:textId="77777777" w:rsidR="00496531" w:rsidRPr="00496531" w:rsidRDefault="00496531" w:rsidP="00645BA5">
      <w:pPr>
        <w:pStyle w:val="CLDHeading3"/>
      </w:pPr>
      <w:r w:rsidRPr="00496531">
        <w:t xml:space="preserve">Dosage </w:t>
      </w:r>
      <w:r w:rsidR="00150EFA">
        <w:t>a</w:t>
      </w:r>
      <w:r w:rsidRPr="00496531">
        <w:t>djustment</w:t>
      </w:r>
    </w:p>
    <w:p w14:paraId="3680B204" w14:textId="3447B71C" w:rsidR="00496531" w:rsidRDefault="00496531" w:rsidP="00D52967">
      <w:pPr>
        <w:pStyle w:val="CLDNormal"/>
      </w:pPr>
      <w:r w:rsidRPr="00496531">
        <w:t xml:space="preserve">To manage adverse reactions, consider interruption of treatment or dose reduction based on severity and clinical presentation. Recommended dose reductions are indicated </w:t>
      </w:r>
      <w:r w:rsidR="003F7FFB">
        <w:t>in</w:t>
      </w:r>
      <w:r w:rsidR="00704F10">
        <w:t xml:space="preserve"> </w:t>
      </w:r>
      <w:r w:rsidR="00704F10" w:rsidRPr="00704F10">
        <w:rPr>
          <w:b/>
        </w:rPr>
        <w:fldChar w:fldCharType="begin"/>
      </w:r>
      <w:r w:rsidR="00704F10" w:rsidRPr="00704F10">
        <w:rPr>
          <w:b/>
        </w:rPr>
        <w:instrText xml:space="preserve"> REF _Ref25076910 \h </w:instrText>
      </w:r>
      <w:r w:rsidR="00704F10">
        <w:rPr>
          <w:b/>
        </w:rPr>
        <w:instrText xml:space="preserve"> \* MERGEFORMAT </w:instrText>
      </w:r>
      <w:r w:rsidR="00704F10" w:rsidRPr="00704F10">
        <w:rPr>
          <w:b/>
        </w:rPr>
      </w:r>
      <w:r w:rsidR="00704F10" w:rsidRPr="00704F10">
        <w:rPr>
          <w:b/>
        </w:rPr>
        <w:fldChar w:fldCharType="separate"/>
      </w:r>
      <w:r w:rsidR="00424ECE" w:rsidRPr="00424ECE">
        <w:rPr>
          <w:rStyle w:val="CLDTableTitle"/>
          <w:rFonts w:ascii="Times New Roman" w:hAnsi="Times New Roman"/>
          <w:b w:val="0"/>
        </w:rPr>
        <w:t xml:space="preserve">Table </w:t>
      </w:r>
      <w:r w:rsidR="00424ECE">
        <w:rPr>
          <w:rStyle w:val="CLDTableTitle"/>
          <w:rFonts w:ascii="Times New Roman" w:hAnsi="Times New Roman"/>
          <w:b w:val="0"/>
          <w:noProof/>
        </w:rPr>
        <w:t>1</w:t>
      </w:r>
      <w:r w:rsidR="00704F10" w:rsidRPr="00704F10">
        <w:rPr>
          <w:b/>
        </w:rPr>
        <w:fldChar w:fldCharType="end"/>
      </w:r>
      <w:r w:rsidRPr="00496531">
        <w:t>.</w:t>
      </w:r>
      <w:r w:rsidR="00DF6BA5">
        <w:t xml:space="preserve"> Discontinue</w:t>
      </w:r>
      <w:r w:rsidR="00DF6BA5" w:rsidRPr="00DF6BA5">
        <w:t xml:space="preserve"> TALZENNA if more than three dose reductions are </w:t>
      </w:r>
      <w:r w:rsidR="00E64A4B" w:rsidRPr="00DF6BA5">
        <w:t>required</w:t>
      </w:r>
      <w:r w:rsidR="00DF6BA5" w:rsidRPr="00DF6BA5">
        <w:t>.</w:t>
      </w:r>
    </w:p>
    <w:p w14:paraId="687DDA5D" w14:textId="108363F5" w:rsidR="00C07177" w:rsidRPr="00C07177" w:rsidRDefault="00C07177" w:rsidP="00EA7BD6">
      <w:pPr>
        <w:pStyle w:val="Caption"/>
        <w:rPr>
          <w:rStyle w:val="CLDTableTitle"/>
          <w:rFonts w:ascii="Times New Roman" w:hAnsi="Times New Roman"/>
          <w:b/>
        </w:rPr>
      </w:pPr>
      <w:bookmarkStart w:id="0" w:name="_Ref25076910"/>
      <w:bookmarkStart w:id="1" w:name="_Ref22297764"/>
      <w:r w:rsidRPr="00C07177">
        <w:rPr>
          <w:rStyle w:val="CLDTableTitle"/>
          <w:rFonts w:ascii="Times New Roman" w:hAnsi="Times New Roman"/>
          <w:b/>
        </w:rPr>
        <w:t xml:space="preserve">Table </w:t>
      </w:r>
      <w:r w:rsidRPr="00C07177">
        <w:fldChar w:fldCharType="begin"/>
      </w:r>
      <w:r w:rsidRPr="00C07177">
        <w:rPr>
          <w:rStyle w:val="CLDTableTitle"/>
          <w:rFonts w:ascii="Times New Roman" w:hAnsi="Times New Roman"/>
          <w:b/>
        </w:rPr>
        <w:instrText xml:space="preserve"> SEQ Table \* ARABIC </w:instrText>
      </w:r>
      <w:r w:rsidRPr="00C07177">
        <w:fldChar w:fldCharType="separate"/>
      </w:r>
      <w:r w:rsidR="00424ECE">
        <w:rPr>
          <w:rStyle w:val="CLDTableTitle"/>
          <w:rFonts w:ascii="Times New Roman" w:hAnsi="Times New Roman"/>
          <w:b/>
          <w:noProof/>
        </w:rPr>
        <w:t>1</w:t>
      </w:r>
      <w:r w:rsidRPr="00C07177">
        <w:fldChar w:fldCharType="end"/>
      </w:r>
      <w:bookmarkEnd w:id="0"/>
      <w:r w:rsidRPr="00C07177">
        <w:rPr>
          <w:rStyle w:val="CLDTableTitle"/>
          <w:rFonts w:ascii="Times New Roman" w:hAnsi="Times New Roman"/>
          <w:b/>
        </w:rPr>
        <w:t xml:space="preserve">. </w:t>
      </w:r>
      <w:r w:rsidRPr="00C07177">
        <w:rPr>
          <w:rStyle w:val="CLDTableTitle"/>
          <w:rFonts w:ascii="Times New Roman" w:hAnsi="Times New Roman"/>
          <w:b/>
        </w:rPr>
        <w:tab/>
        <w:t>Dose Modification for Toxicities</w:t>
      </w:r>
    </w:p>
    <w:bookmarkEnd w:id="1"/>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4687"/>
      </w:tblGrid>
      <w:tr w:rsidR="00C24C21" w14:paraId="4AB02A71" w14:textId="77777777" w:rsidTr="00044DAD">
        <w:trPr>
          <w:jc w:val="center"/>
        </w:trPr>
        <w:tc>
          <w:tcPr>
            <w:tcW w:w="4272" w:type="dxa"/>
            <w:tcBorders>
              <w:top w:val="single" w:sz="4" w:space="0" w:color="auto"/>
              <w:left w:val="single" w:sz="4" w:space="0" w:color="auto"/>
              <w:bottom w:val="single" w:sz="4" w:space="0" w:color="auto"/>
              <w:right w:val="single" w:sz="4" w:space="0" w:color="auto"/>
            </w:tcBorders>
          </w:tcPr>
          <w:p w14:paraId="0B404F63" w14:textId="77777777" w:rsidR="00C24C21" w:rsidRPr="00C24C21" w:rsidRDefault="00C24C21" w:rsidP="00C24C21">
            <w:pPr>
              <w:pStyle w:val="CLDTableColumnHeadingCentred12pt"/>
            </w:pPr>
          </w:p>
        </w:tc>
        <w:tc>
          <w:tcPr>
            <w:tcW w:w="4687" w:type="dxa"/>
            <w:tcBorders>
              <w:top w:val="single" w:sz="4" w:space="0" w:color="auto"/>
              <w:left w:val="single" w:sz="4" w:space="0" w:color="auto"/>
              <w:bottom w:val="single" w:sz="4" w:space="0" w:color="auto"/>
              <w:right w:val="single" w:sz="4" w:space="0" w:color="auto"/>
            </w:tcBorders>
          </w:tcPr>
          <w:p w14:paraId="3D32388C" w14:textId="77777777" w:rsidR="00C24C21" w:rsidRPr="00C24C21" w:rsidRDefault="00C24C21" w:rsidP="00C24C21">
            <w:pPr>
              <w:pStyle w:val="CLDTableColumnHeadingCentred12pt"/>
            </w:pPr>
            <w:r>
              <w:t>Dose Level</w:t>
            </w:r>
          </w:p>
        </w:tc>
      </w:tr>
      <w:tr w:rsidR="003B6694" w14:paraId="4D5D9B47" w14:textId="77777777" w:rsidTr="00044DAD">
        <w:trPr>
          <w:jc w:val="center"/>
        </w:trPr>
        <w:tc>
          <w:tcPr>
            <w:tcW w:w="4272" w:type="dxa"/>
            <w:tcBorders>
              <w:top w:val="single" w:sz="4" w:space="0" w:color="auto"/>
              <w:left w:val="single" w:sz="4" w:space="0" w:color="auto"/>
              <w:bottom w:val="single" w:sz="4" w:space="0" w:color="auto"/>
              <w:right w:val="single" w:sz="4" w:space="0" w:color="auto"/>
            </w:tcBorders>
            <w:hideMark/>
          </w:tcPr>
          <w:p w14:paraId="63590891" w14:textId="77777777" w:rsidR="003B6694" w:rsidRPr="00C24C21" w:rsidRDefault="00A445DC" w:rsidP="00FE570F">
            <w:pPr>
              <w:pStyle w:val="CLDTableTextLeft-aligned12pt"/>
            </w:pPr>
            <w:r w:rsidRPr="00C24C21">
              <w:t>Recommended starting dose</w:t>
            </w:r>
          </w:p>
        </w:tc>
        <w:tc>
          <w:tcPr>
            <w:tcW w:w="4687" w:type="dxa"/>
            <w:tcBorders>
              <w:top w:val="single" w:sz="4" w:space="0" w:color="auto"/>
              <w:left w:val="single" w:sz="4" w:space="0" w:color="auto"/>
              <w:bottom w:val="single" w:sz="4" w:space="0" w:color="auto"/>
              <w:right w:val="single" w:sz="4" w:space="0" w:color="auto"/>
            </w:tcBorders>
            <w:hideMark/>
          </w:tcPr>
          <w:p w14:paraId="69AA8282" w14:textId="77777777" w:rsidR="003B6694" w:rsidRPr="00C24C21" w:rsidRDefault="00A445DC" w:rsidP="00FE570F">
            <w:pPr>
              <w:pStyle w:val="CLDTableTextLeft-aligned12pt"/>
            </w:pPr>
            <w:r w:rsidRPr="00C24C21">
              <w:t>1 mg (one 1 mg capsule) once daily</w:t>
            </w:r>
          </w:p>
        </w:tc>
      </w:tr>
      <w:tr w:rsidR="00A445DC" w14:paraId="41605FFC" w14:textId="77777777" w:rsidTr="00044DAD">
        <w:trPr>
          <w:jc w:val="center"/>
        </w:trPr>
        <w:tc>
          <w:tcPr>
            <w:tcW w:w="4272" w:type="dxa"/>
            <w:tcBorders>
              <w:top w:val="single" w:sz="4" w:space="0" w:color="auto"/>
              <w:left w:val="single" w:sz="4" w:space="0" w:color="auto"/>
              <w:bottom w:val="single" w:sz="4" w:space="0" w:color="auto"/>
              <w:right w:val="single" w:sz="4" w:space="0" w:color="auto"/>
            </w:tcBorders>
            <w:hideMark/>
          </w:tcPr>
          <w:p w14:paraId="1B1ADBC5" w14:textId="77777777" w:rsidR="00A445DC" w:rsidRPr="00C24C21" w:rsidRDefault="006D532A" w:rsidP="00FE570F">
            <w:pPr>
              <w:pStyle w:val="CLDTableTextLeft-aligned12pt"/>
            </w:pPr>
            <w:r w:rsidRPr="00C24C21">
              <w:t>First dose reduction</w:t>
            </w:r>
          </w:p>
        </w:tc>
        <w:tc>
          <w:tcPr>
            <w:tcW w:w="4687" w:type="dxa"/>
            <w:tcBorders>
              <w:top w:val="single" w:sz="4" w:space="0" w:color="auto"/>
              <w:left w:val="single" w:sz="4" w:space="0" w:color="auto"/>
              <w:bottom w:val="single" w:sz="4" w:space="0" w:color="auto"/>
              <w:right w:val="single" w:sz="4" w:space="0" w:color="auto"/>
            </w:tcBorders>
            <w:hideMark/>
          </w:tcPr>
          <w:p w14:paraId="706DDA66" w14:textId="77777777" w:rsidR="00A445DC" w:rsidRPr="00C24C21" w:rsidRDefault="00A445DC" w:rsidP="00FE570F">
            <w:pPr>
              <w:pStyle w:val="CLDTableTextLeft-aligned12pt"/>
            </w:pPr>
            <w:r w:rsidRPr="00C24C21">
              <w:t>0.75 mg (three 0.25 mg capsules) once daily</w:t>
            </w:r>
          </w:p>
        </w:tc>
      </w:tr>
      <w:tr w:rsidR="00A445DC" w14:paraId="6A8593F8" w14:textId="77777777" w:rsidTr="00044DAD">
        <w:trPr>
          <w:jc w:val="center"/>
        </w:trPr>
        <w:tc>
          <w:tcPr>
            <w:tcW w:w="4272" w:type="dxa"/>
            <w:tcBorders>
              <w:top w:val="single" w:sz="4" w:space="0" w:color="auto"/>
              <w:left w:val="single" w:sz="4" w:space="0" w:color="auto"/>
              <w:bottom w:val="single" w:sz="4" w:space="0" w:color="auto"/>
              <w:right w:val="single" w:sz="4" w:space="0" w:color="auto"/>
            </w:tcBorders>
          </w:tcPr>
          <w:p w14:paraId="294F13CD" w14:textId="77777777" w:rsidR="00A445DC" w:rsidRPr="00C24C21" w:rsidRDefault="006D532A" w:rsidP="00FE570F">
            <w:pPr>
              <w:pStyle w:val="CLDTableTextLeft-aligned12pt"/>
            </w:pPr>
            <w:r w:rsidRPr="00C24C21">
              <w:t>Second dose reduction</w:t>
            </w:r>
          </w:p>
        </w:tc>
        <w:tc>
          <w:tcPr>
            <w:tcW w:w="4687" w:type="dxa"/>
            <w:tcBorders>
              <w:top w:val="single" w:sz="4" w:space="0" w:color="auto"/>
              <w:left w:val="single" w:sz="4" w:space="0" w:color="auto"/>
              <w:bottom w:val="single" w:sz="4" w:space="0" w:color="auto"/>
              <w:right w:val="single" w:sz="4" w:space="0" w:color="auto"/>
            </w:tcBorders>
          </w:tcPr>
          <w:p w14:paraId="59B75D5D" w14:textId="77777777" w:rsidR="00A445DC" w:rsidRPr="00C24C21" w:rsidRDefault="00A445DC" w:rsidP="00FE570F">
            <w:pPr>
              <w:pStyle w:val="CLDTableTextLeft-aligned12pt"/>
            </w:pPr>
            <w:r w:rsidRPr="00C24C21">
              <w:t>0.5 mg (two 0.25 mg capsules) once daily</w:t>
            </w:r>
          </w:p>
        </w:tc>
      </w:tr>
      <w:tr w:rsidR="007725F0" w14:paraId="5A93BC60" w14:textId="77777777" w:rsidTr="00044DAD">
        <w:trPr>
          <w:jc w:val="center"/>
        </w:trPr>
        <w:tc>
          <w:tcPr>
            <w:tcW w:w="4272" w:type="dxa"/>
            <w:tcBorders>
              <w:top w:val="single" w:sz="4" w:space="0" w:color="auto"/>
              <w:left w:val="single" w:sz="4" w:space="0" w:color="auto"/>
              <w:bottom w:val="single" w:sz="4" w:space="0" w:color="auto"/>
              <w:right w:val="single" w:sz="4" w:space="0" w:color="auto"/>
            </w:tcBorders>
          </w:tcPr>
          <w:p w14:paraId="218A9379" w14:textId="77777777" w:rsidR="007725F0" w:rsidRPr="007A1EB5" w:rsidRDefault="007725F0" w:rsidP="00C35A1A">
            <w:pPr>
              <w:pStyle w:val="CLDTableTextLeft-aligned12pt"/>
            </w:pPr>
            <w:r w:rsidRPr="007A1EB5">
              <w:t>Third dose reduction</w:t>
            </w:r>
          </w:p>
        </w:tc>
        <w:tc>
          <w:tcPr>
            <w:tcW w:w="4687" w:type="dxa"/>
            <w:tcBorders>
              <w:top w:val="single" w:sz="4" w:space="0" w:color="auto"/>
              <w:left w:val="single" w:sz="4" w:space="0" w:color="auto"/>
              <w:bottom w:val="single" w:sz="4" w:space="0" w:color="auto"/>
              <w:right w:val="single" w:sz="4" w:space="0" w:color="auto"/>
            </w:tcBorders>
          </w:tcPr>
          <w:p w14:paraId="5C483E88" w14:textId="77777777" w:rsidR="007725F0" w:rsidRPr="007A1EB5" w:rsidRDefault="007725F0" w:rsidP="007725F0">
            <w:pPr>
              <w:pStyle w:val="CLDTableTextLeft-aligned12pt"/>
            </w:pPr>
            <w:r w:rsidRPr="007A1EB5">
              <w:t>0.25 mg (one 0.25 mg capsule) once daily</w:t>
            </w:r>
          </w:p>
        </w:tc>
      </w:tr>
    </w:tbl>
    <w:p w14:paraId="6E95DCA6" w14:textId="733FB239" w:rsidR="00172DC2" w:rsidRPr="0039693D" w:rsidRDefault="002A099E" w:rsidP="00AF70C3">
      <w:pPr>
        <w:pStyle w:val="CLDNormal"/>
        <w:spacing w:before="240"/>
        <w:rPr>
          <w:szCs w:val="22"/>
        </w:rPr>
      </w:pPr>
      <w:r>
        <w:rPr>
          <w:szCs w:val="22"/>
        </w:rPr>
        <w:t>Full</w:t>
      </w:r>
      <w:r w:rsidR="00172DC2" w:rsidRPr="0039693D">
        <w:rPr>
          <w:szCs w:val="22"/>
        </w:rPr>
        <w:t xml:space="preserve"> blood count</w:t>
      </w:r>
      <w:r w:rsidR="00E8596D" w:rsidRPr="0039693D">
        <w:rPr>
          <w:szCs w:val="22"/>
        </w:rPr>
        <w:t>s</w:t>
      </w:r>
      <w:r w:rsidR="00172DC2" w:rsidRPr="0039693D">
        <w:rPr>
          <w:szCs w:val="22"/>
        </w:rPr>
        <w:t xml:space="preserve"> should be obtained prior to starting TALZENNA therapy and monitored monthly and as clinically indicated (</w:t>
      </w:r>
      <w:r w:rsidR="00D37E80">
        <w:rPr>
          <w:szCs w:val="22"/>
        </w:rPr>
        <w:t xml:space="preserve">see </w:t>
      </w:r>
      <w:r w:rsidR="00D37E80">
        <w:rPr>
          <w:szCs w:val="22"/>
        </w:rPr>
        <w:fldChar w:fldCharType="begin"/>
      </w:r>
      <w:r w:rsidR="00D37E80">
        <w:rPr>
          <w:szCs w:val="22"/>
        </w:rPr>
        <w:instrText xml:space="preserve"> REF _Ref22298334 \h  \* MERGEFORMAT </w:instrText>
      </w:r>
      <w:r w:rsidR="00D37E80">
        <w:rPr>
          <w:szCs w:val="22"/>
        </w:rPr>
      </w:r>
      <w:r w:rsidR="00D37E80">
        <w:rPr>
          <w:szCs w:val="22"/>
        </w:rPr>
        <w:fldChar w:fldCharType="separate"/>
      </w:r>
      <w:r w:rsidR="00424ECE" w:rsidRPr="00424ECE">
        <w:rPr>
          <w:szCs w:val="24"/>
        </w:rPr>
        <w:t xml:space="preserve">Table </w:t>
      </w:r>
      <w:r w:rsidR="00424ECE" w:rsidRPr="00424ECE">
        <w:rPr>
          <w:noProof/>
          <w:szCs w:val="24"/>
        </w:rPr>
        <w:t>2</w:t>
      </w:r>
      <w:r w:rsidR="00D37E80">
        <w:rPr>
          <w:szCs w:val="22"/>
        </w:rPr>
        <w:fldChar w:fldCharType="end"/>
      </w:r>
      <w:r w:rsidR="00D37E80">
        <w:rPr>
          <w:szCs w:val="22"/>
        </w:rPr>
        <w:t xml:space="preserve"> and </w:t>
      </w:r>
      <w:r w:rsidR="00D37E80">
        <w:t>Section 4.4</w:t>
      </w:r>
      <w:r w:rsidR="00772646" w:rsidRPr="0039693D">
        <w:t xml:space="preserve"> Special warnings and precautions for use</w:t>
      </w:r>
      <w:r w:rsidR="00172DC2" w:rsidRPr="0039693D">
        <w:rPr>
          <w:szCs w:val="22"/>
        </w:rPr>
        <w:t>).</w:t>
      </w:r>
    </w:p>
    <w:p w14:paraId="201EB3B2" w14:textId="666307F9" w:rsidR="00C07177" w:rsidRDefault="00C07177" w:rsidP="00EA7BD6">
      <w:pPr>
        <w:pStyle w:val="Caption"/>
      </w:pPr>
      <w:bookmarkStart w:id="2" w:name="_Ref22298334"/>
      <w:r>
        <w:t xml:space="preserve">Table </w:t>
      </w:r>
      <w:r>
        <w:fldChar w:fldCharType="begin"/>
      </w:r>
      <w:r>
        <w:instrText xml:space="preserve"> SEQ Table \* ARABIC </w:instrText>
      </w:r>
      <w:r>
        <w:fldChar w:fldCharType="separate"/>
      </w:r>
      <w:r w:rsidR="00424ECE">
        <w:rPr>
          <w:noProof/>
        </w:rPr>
        <w:t>2</w:t>
      </w:r>
      <w:r>
        <w:fldChar w:fldCharType="end"/>
      </w:r>
      <w:bookmarkEnd w:id="2"/>
      <w:r>
        <w:t xml:space="preserve">. </w:t>
      </w:r>
      <w:r>
        <w:tab/>
        <w:t>Dose Modification and Management</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2721"/>
        <w:gridCol w:w="3288"/>
      </w:tblGrid>
      <w:tr w:rsidR="00172DC2" w:rsidRPr="0039693D" w14:paraId="3A4243C2" w14:textId="77777777" w:rsidTr="00FE498C">
        <w:trPr>
          <w:jc w:val="center"/>
        </w:trPr>
        <w:tc>
          <w:tcPr>
            <w:tcW w:w="3175" w:type="dxa"/>
            <w:shd w:val="clear" w:color="auto" w:fill="auto"/>
          </w:tcPr>
          <w:p w14:paraId="2FEE035B" w14:textId="465E6E4E" w:rsidR="00172DC2" w:rsidRPr="0039693D" w:rsidRDefault="00172DC2" w:rsidP="00771BBF">
            <w:pPr>
              <w:pStyle w:val="CLDTableColumnHeadingCentred12pt"/>
              <w:rPr>
                <w:rFonts w:eastAsia="SimSun" w:hint="eastAsia"/>
              </w:rPr>
            </w:pPr>
          </w:p>
        </w:tc>
        <w:tc>
          <w:tcPr>
            <w:tcW w:w="2721" w:type="dxa"/>
            <w:shd w:val="clear" w:color="auto" w:fill="auto"/>
          </w:tcPr>
          <w:p w14:paraId="5903971E" w14:textId="77777777" w:rsidR="00172DC2" w:rsidRPr="0039693D" w:rsidRDefault="00172DC2" w:rsidP="00771BBF">
            <w:pPr>
              <w:pStyle w:val="CLDTableColumnHeadingCentred12pt"/>
              <w:rPr>
                <w:rFonts w:eastAsia="SimSun" w:hint="eastAsia"/>
              </w:rPr>
            </w:pPr>
            <w:r w:rsidRPr="0039693D">
              <w:rPr>
                <w:rFonts w:eastAsia="SimSun"/>
              </w:rPr>
              <w:t>Withhold TALZENNA until levels resolve to</w:t>
            </w:r>
          </w:p>
        </w:tc>
        <w:tc>
          <w:tcPr>
            <w:tcW w:w="3288" w:type="dxa"/>
            <w:shd w:val="clear" w:color="auto" w:fill="auto"/>
            <w:vAlign w:val="center"/>
          </w:tcPr>
          <w:p w14:paraId="79C94AAA" w14:textId="77777777" w:rsidR="00172DC2" w:rsidRPr="0039693D" w:rsidRDefault="00172DC2" w:rsidP="00AD0215">
            <w:pPr>
              <w:pStyle w:val="CLDTableColumnHeadingCentred12pt"/>
              <w:rPr>
                <w:rFonts w:eastAsia="SimSun" w:hint="eastAsia"/>
              </w:rPr>
            </w:pPr>
            <w:r w:rsidRPr="0039693D">
              <w:rPr>
                <w:rFonts w:eastAsia="SimSun"/>
              </w:rPr>
              <w:t>Resume TALZENNA</w:t>
            </w:r>
          </w:p>
        </w:tc>
      </w:tr>
      <w:tr w:rsidR="00172DC2" w:rsidRPr="0039693D" w14:paraId="1051A05A" w14:textId="77777777" w:rsidTr="00FE498C">
        <w:trPr>
          <w:jc w:val="center"/>
        </w:trPr>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E47D0" w14:textId="0BC01E27" w:rsidR="00172DC2" w:rsidRPr="0039693D" w:rsidRDefault="00172DC2" w:rsidP="00FE498C">
            <w:pPr>
              <w:pStyle w:val="CLDTableTextLeft-aligned12pt"/>
            </w:pPr>
            <w:r w:rsidRPr="0039693D">
              <w:t>Haemoglobin &lt;8</w:t>
            </w:r>
            <w:r w:rsidR="004C64D9">
              <w:t>0</w:t>
            </w:r>
            <w:r w:rsidRPr="0039693D">
              <w:t xml:space="preserve"> g/L </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5C456" w14:textId="7FA989A2" w:rsidR="00172DC2" w:rsidRPr="0039693D" w:rsidRDefault="00EA7BD6" w:rsidP="00BB723C">
            <w:pPr>
              <w:pStyle w:val="CLDTableTextCentred12pt"/>
              <w:rPr>
                <w:rFonts w:eastAsia="SimSun"/>
              </w:rPr>
            </w:pPr>
            <w:r>
              <w:rPr>
                <w:rFonts w:eastAsia="SimSun"/>
              </w:rPr>
              <w:sym w:font="Symbol" w:char="F0B3"/>
            </w:r>
            <w:r w:rsidR="00172DC2" w:rsidRPr="0039693D">
              <w:rPr>
                <w:rFonts w:eastAsia="SimSun"/>
              </w:rPr>
              <w:t>9</w:t>
            </w:r>
            <w:r w:rsidR="004C64D9">
              <w:rPr>
                <w:rFonts w:eastAsia="SimSun"/>
              </w:rPr>
              <w:t>0</w:t>
            </w:r>
            <w:r w:rsidR="00172DC2" w:rsidRPr="0039693D">
              <w:rPr>
                <w:rFonts w:eastAsia="SimSun"/>
              </w:rPr>
              <w:t> g/L</w:t>
            </w:r>
          </w:p>
        </w:tc>
        <w:tc>
          <w:tcPr>
            <w:tcW w:w="3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A05E8" w14:textId="03CF4CBC" w:rsidR="00172DC2" w:rsidRPr="0039693D" w:rsidRDefault="00172DC2" w:rsidP="00771BBF">
            <w:pPr>
              <w:pStyle w:val="CLDTableTextLeft-aligned12pt"/>
              <w:rPr>
                <w:rFonts w:eastAsia="SimSun"/>
              </w:rPr>
            </w:pPr>
            <w:r w:rsidRPr="0039693D">
              <w:rPr>
                <w:rFonts w:eastAsia="SimSun"/>
              </w:rPr>
              <w:t xml:space="preserve">Resume </w:t>
            </w:r>
            <w:r w:rsidR="00771BBF" w:rsidRPr="0039693D">
              <w:rPr>
                <w:rFonts w:eastAsia="SimSun"/>
              </w:rPr>
              <w:t xml:space="preserve">TALZENNA </w:t>
            </w:r>
            <w:r w:rsidRPr="0039693D">
              <w:rPr>
                <w:rFonts w:eastAsia="SimSun"/>
              </w:rPr>
              <w:t>at a reduced dose</w:t>
            </w:r>
          </w:p>
        </w:tc>
      </w:tr>
      <w:tr w:rsidR="00172DC2" w:rsidRPr="0039693D" w14:paraId="14AE3971" w14:textId="77777777" w:rsidTr="00FE498C">
        <w:trPr>
          <w:jc w:val="center"/>
        </w:trPr>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154F8" w14:textId="2DB9E6F8" w:rsidR="00172DC2" w:rsidRPr="0039693D" w:rsidRDefault="00172DC2" w:rsidP="00FE498C">
            <w:pPr>
              <w:pStyle w:val="CLDTableTextLeft-aligned12pt"/>
            </w:pPr>
            <w:r w:rsidRPr="0039693D">
              <w:t>Platelet count &lt;50</w:t>
            </w:r>
            <w:r w:rsidR="00EB3E51">
              <w:t xml:space="preserve"> x 10</w:t>
            </w:r>
            <w:r w:rsidR="00EB3E51" w:rsidRPr="00A243A6">
              <w:rPr>
                <w:vertAlign w:val="superscript"/>
              </w:rPr>
              <w:t>9</w:t>
            </w:r>
            <w:r w:rsidRPr="0039693D">
              <w:t xml:space="preserve">/L </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57161" w14:textId="2782FE8F" w:rsidR="00172DC2" w:rsidRPr="0039693D" w:rsidRDefault="00EA7BD6" w:rsidP="00BB723C">
            <w:pPr>
              <w:pStyle w:val="CLDTableTextCentred12pt"/>
              <w:rPr>
                <w:rFonts w:eastAsia="SimSun"/>
              </w:rPr>
            </w:pPr>
            <w:r>
              <w:rPr>
                <w:rFonts w:eastAsia="SimSun"/>
              </w:rPr>
              <w:sym w:font="Symbol" w:char="F0B3"/>
            </w:r>
            <w:r w:rsidR="002F2B33">
              <w:rPr>
                <w:rFonts w:eastAsia="SimSun"/>
              </w:rPr>
              <w:t>7</w:t>
            </w:r>
            <w:r w:rsidR="0029101F" w:rsidRPr="0039693D">
              <w:rPr>
                <w:rFonts w:eastAsia="SimSun"/>
              </w:rPr>
              <w:t>5</w:t>
            </w:r>
            <w:r w:rsidR="0029101F">
              <w:rPr>
                <w:rFonts w:eastAsia="SimSun"/>
              </w:rPr>
              <w:t xml:space="preserve"> </w:t>
            </w:r>
            <w:r w:rsidR="0029101F">
              <w:t>x 10</w:t>
            </w:r>
            <w:r w:rsidR="0029101F" w:rsidRPr="00A243A6">
              <w:rPr>
                <w:vertAlign w:val="superscript"/>
              </w:rPr>
              <w:t>9</w:t>
            </w:r>
            <w:r w:rsidR="0029101F" w:rsidRPr="0039693D">
              <w:rPr>
                <w:rFonts w:eastAsia="SimSun"/>
              </w:rPr>
              <w:t>/L</w:t>
            </w:r>
          </w:p>
        </w:tc>
        <w:tc>
          <w:tcPr>
            <w:tcW w:w="32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FB746C" w14:textId="77777777" w:rsidR="00172DC2" w:rsidRPr="0039693D" w:rsidRDefault="00172DC2" w:rsidP="00771BBF">
            <w:pPr>
              <w:pStyle w:val="CLDTableTextLeft-aligned12pt"/>
              <w:rPr>
                <w:rFonts w:eastAsia="SimSun"/>
              </w:rPr>
            </w:pPr>
          </w:p>
        </w:tc>
      </w:tr>
      <w:tr w:rsidR="00172DC2" w:rsidRPr="0039693D" w14:paraId="503A4FD6" w14:textId="77777777" w:rsidTr="00FE498C">
        <w:trPr>
          <w:jc w:val="center"/>
        </w:trPr>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E4E3B" w14:textId="12DDC79F" w:rsidR="00172DC2" w:rsidRPr="0039693D" w:rsidRDefault="00172DC2" w:rsidP="00FE498C">
            <w:pPr>
              <w:pStyle w:val="CLDTableTextLeft-aligned12pt"/>
            </w:pPr>
            <w:r w:rsidRPr="0039693D">
              <w:lastRenderedPageBreak/>
              <w:t>Neutrophil count &lt;1</w:t>
            </w:r>
            <w:r w:rsidR="00EB3E51">
              <w:t xml:space="preserve"> x 10</w:t>
            </w:r>
            <w:r w:rsidR="00EB3E51" w:rsidRPr="00A243A6">
              <w:rPr>
                <w:vertAlign w:val="superscript"/>
              </w:rPr>
              <w:t>9</w:t>
            </w:r>
            <w:r w:rsidRPr="0039693D">
              <w:t>/L</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C37C0" w14:textId="6B2A8739" w:rsidR="00172DC2" w:rsidRPr="0039693D" w:rsidRDefault="00EA7BD6" w:rsidP="00BB723C">
            <w:pPr>
              <w:pStyle w:val="CLDTableTextCentred12pt"/>
              <w:rPr>
                <w:rFonts w:eastAsia="SimSun"/>
              </w:rPr>
            </w:pPr>
            <w:r>
              <w:rPr>
                <w:rFonts w:eastAsia="SimSun"/>
              </w:rPr>
              <w:sym w:font="Symbol" w:char="F0B3"/>
            </w:r>
            <w:r w:rsidR="00172DC2" w:rsidRPr="0039693D">
              <w:rPr>
                <w:rFonts w:eastAsia="SimSun"/>
              </w:rPr>
              <w:t>1</w:t>
            </w:r>
            <w:r w:rsidR="00EB3E51">
              <w:rPr>
                <w:rFonts w:eastAsia="SimSun"/>
              </w:rPr>
              <w:t>.</w:t>
            </w:r>
            <w:r w:rsidR="00172DC2" w:rsidRPr="0039693D">
              <w:rPr>
                <w:rFonts w:eastAsia="SimSun"/>
              </w:rPr>
              <w:t>5</w:t>
            </w:r>
            <w:r w:rsidR="00EB3E51">
              <w:rPr>
                <w:rFonts w:eastAsia="SimSun"/>
              </w:rPr>
              <w:t xml:space="preserve"> </w:t>
            </w:r>
            <w:r w:rsidR="00EB3E51">
              <w:t>x 10</w:t>
            </w:r>
            <w:r w:rsidR="00EB3E51" w:rsidRPr="00A243A6">
              <w:rPr>
                <w:vertAlign w:val="superscript"/>
              </w:rPr>
              <w:t>9</w:t>
            </w:r>
            <w:r w:rsidR="00172DC2" w:rsidRPr="0039693D">
              <w:rPr>
                <w:rFonts w:eastAsia="SimSun"/>
              </w:rPr>
              <w:t>/L</w:t>
            </w:r>
          </w:p>
        </w:tc>
        <w:tc>
          <w:tcPr>
            <w:tcW w:w="32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A3A693" w14:textId="77777777" w:rsidR="00172DC2" w:rsidRPr="0039693D" w:rsidRDefault="00172DC2" w:rsidP="00771BBF">
            <w:pPr>
              <w:pStyle w:val="CLDTableTextLeft-aligned12pt"/>
              <w:rPr>
                <w:rFonts w:eastAsia="SimSun"/>
                <w:color w:val="000000"/>
              </w:rPr>
            </w:pPr>
          </w:p>
        </w:tc>
      </w:tr>
      <w:tr w:rsidR="00172DC2" w:rsidRPr="00930EF2" w14:paraId="297D683C" w14:textId="77777777" w:rsidTr="00FE498C">
        <w:trPr>
          <w:jc w:val="center"/>
        </w:trPr>
        <w:tc>
          <w:tcPr>
            <w:tcW w:w="3175" w:type="dxa"/>
            <w:tcBorders>
              <w:top w:val="single" w:sz="4" w:space="0" w:color="auto"/>
              <w:left w:val="single" w:sz="4" w:space="0" w:color="auto"/>
              <w:bottom w:val="single" w:sz="4" w:space="0" w:color="auto"/>
              <w:right w:val="single" w:sz="4" w:space="0" w:color="auto"/>
            </w:tcBorders>
            <w:shd w:val="clear" w:color="auto" w:fill="auto"/>
            <w:vAlign w:val="center"/>
          </w:tcPr>
          <w:p w14:paraId="68159716" w14:textId="2B025CC4" w:rsidR="007B42D0" w:rsidRPr="007B42D0" w:rsidRDefault="00172DC2" w:rsidP="0021774F">
            <w:pPr>
              <w:pStyle w:val="CLDTableTextLeft-aligned12pt"/>
            </w:pPr>
            <w:r w:rsidRPr="0039693D">
              <w:t>Non-haematologic adverse reaction Grade 3 or Grade 4</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1F5218BC" w14:textId="77777777" w:rsidR="00172DC2" w:rsidRPr="0039693D" w:rsidRDefault="00172DC2" w:rsidP="00BB723C">
            <w:pPr>
              <w:pStyle w:val="CLDTableTextCentred12pt"/>
              <w:rPr>
                <w:rFonts w:eastAsia="SimSun"/>
              </w:rPr>
            </w:pPr>
            <w:r w:rsidRPr="0039693D">
              <w:rPr>
                <w:rFonts w:eastAsia="SimSun"/>
              </w:rPr>
              <w:sym w:font="Symbol" w:char="F0A3"/>
            </w:r>
            <w:r w:rsidRPr="0039693D">
              <w:rPr>
                <w:rFonts w:eastAsia="SimSun"/>
              </w:rPr>
              <w:t>Grade 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2B8BB3CC" w14:textId="0ACFD0F8" w:rsidR="00172DC2" w:rsidRPr="00172DC2" w:rsidRDefault="00371EBF" w:rsidP="00771BBF">
            <w:pPr>
              <w:pStyle w:val="CLDTableTextLeft-aligned12pt"/>
              <w:rPr>
                <w:rFonts w:eastAsia="SimSun"/>
              </w:rPr>
            </w:pPr>
            <w:r w:rsidRPr="0039693D">
              <w:rPr>
                <w:rFonts w:eastAsia="SimSun"/>
              </w:rPr>
              <w:t>Consider resuming TALZENNA at a reduced dose or discontinue</w:t>
            </w:r>
            <w:r>
              <w:rPr>
                <w:rFonts w:eastAsia="SimSun"/>
              </w:rPr>
              <w:t>.</w:t>
            </w:r>
          </w:p>
        </w:tc>
      </w:tr>
    </w:tbl>
    <w:p w14:paraId="70290E4D" w14:textId="77777777" w:rsidR="00150EFA" w:rsidRPr="005F2E18" w:rsidRDefault="00150EFA" w:rsidP="00150EFA">
      <w:pPr>
        <w:pStyle w:val="CLDHeading4"/>
      </w:pPr>
      <w:r w:rsidRPr="005F2E18">
        <w:t>Concomitant treatment with inhibitors of P-glycoprotein (P</w:t>
      </w:r>
      <w:r w:rsidRPr="005F2E18">
        <w:noBreakHyphen/>
        <w:t>gp)</w:t>
      </w:r>
    </w:p>
    <w:p w14:paraId="72168559" w14:textId="4417BA51" w:rsidR="00150EFA" w:rsidRDefault="00150EFA" w:rsidP="00353B0F">
      <w:pPr>
        <w:pStyle w:val="CLDNormal"/>
      </w:pPr>
      <w:r w:rsidRPr="00353B0F">
        <w:t>Strong inhibitors of P</w:t>
      </w:r>
      <w:r w:rsidRPr="00353B0F">
        <w:noBreakHyphen/>
        <w:t>gp may lead to increased talazoparib exposure. Concomitant use of strong P</w:t>
      </w:r>
      <w:r w:rsidRPr="00353B0F">
        <w:noBreakHyphen/>
        <w:t>gp inhibitors during treatment with talazoparib should be avoided. Coadministration should only be considered after careful evaluation of the potential benefits and risks. If coadministration with a strong P</w:t>
      </w:r>
      <w:r w:rsidRPr="00353B0F">
        <w:noBreakHyphen/>
        <w:t xml:space="preserve">gp inhibitor is unavoidable, the TALZENNA dose </w:t>
      </w:r>
      <w:r w:rsidR="00472D7D">
        <w:t xml:space="preserve">should be reduced </w:t>
      </w:r>
      <w:r w:rsidRPr="00710EF6">
        <w:t>to</w:t>
      </w:r>
      <w:r w:rsidRPr="00353B0F">
        <w:t xml:space="preserve"> </w:t>
      </w:r>
      <w:r w:rsidR="00710EF6" w:rsidRPr="0063777F">
        <w:t xml:space="preserve">the next </w:t>
      </w:r>
      <w:r w:rsidR="002774E0" w:rsidRPr="0063777F">
        <w:t xml:space="preserve">lower </w:t>
      </w:r>
      <w:r w:rsidR="00710EF6" w:rsidRPr="0063777F">
        <w:t>dose level (see</w:t>
      </w:r>
      <w:r w:rsidR="00704F10">
        <w:t xml:space="preserve"> </w:t>
      </w:r>
      <w:r w:rsidR="00704F10" w:rsidRPr="00704F10">
        <w:rPr>
          <w:b/>
        </w:rPr>
        <w:fldChar w:fldCharType="begin"/>
      </w:r>
      <w:r w:rsidR="00704F10" w:rsidRPr="00704F10">
        <w:rPr>
          <w:b/>
        </w:rPr>
        <w:instrText xml:space="preserve"> REF _Ref25076910 \h </w:instrText>
      </w:r>
      <w:r w:rsidR="00704F10">
        <w:rPr>
          <w:b/>
        </w:rPr>
        <w:instrText xml:space="preserve"> \* MERGEFORMAT </w:instrText>
      </w:r>
      <w:r w:rsidR="00704F10" w:rsidRPr="00704F10">
        <w:rPr>
          <w:b/>
        </w:rPr>
      </w:r>
      <w:r w:rsidR="00704F10" w:rsidRPr="00704F10">
        <w:rPr>
          <w:b/>
        </w:rPr>
        <w:fldChar w:fldCharType="separate"/>
      </w:r>
      <w:r w:rsidR="00424ECE" w:rsidRPr="00424ECE">
        <w:rPr>
          <w:rStyle w:val="CLDTableTitle"/>
          <w:rFonts w:ascii="Times New Roman" w:hAnsi="Times New Roman"/>
          <w:b w:val="0"/>
        </w:rPr>
        <w:t xml:space="preserve">Table </w:t>
      </w:r>
      <w:r w:rsidR="00424ECE">
        <w:rPr>
          <w:rStyle w:val="CLDTableTitle"/>
          <w:rFonts w:ascii="Times New Roman" w:hAnsi="Times New Roman"/>
          <w:b w:val="0"/>
          <w:noProof/>
        </w:rPr>
        <w:t>1</w:t>
      </w:r>
      <w:r w:rsidR="00704F10" w:rsidRPr="00704F10">
        <w:rPr>
          <w:b/>
        </w:rPr>
        <w:fldChar w:fldCharType="end"/>
      </w:r>
      <w:r w:rsidR="00710EF6" w:rsidRPr="0063777F">
        <w:t>)</w:t>
      </w:r>
      <w:r w:rsidRPr="0063777F">
        <w:t>.</w:t>
      </w:r>
      <w:r w:rsidRPr="00353B0F">
        <w:t xml:space="preserve"> When the strong </w:t>
      </w:r>
      <w:r w:rsidR="00472D7D">
        <w:t xml:space="preserve">P-gp </w:t>
      </w:r>
      <w:r w:rsidRPr="00353B0F">
        <w:t xml:space="preserve">inhibitor is discontinued, the TALZENNA dose </w:t>
      </w:r>
      <w:r w:rsidR="00472D7D">
        <w:t xml:space="preserve">should be increased </w:t>
      </w:r>
      <w:r w:rsidRPr="00353B0F">
        <w:t>(after</w:t>
      </w:r>
      <w:r w:rsidR="00767669">
        <w:t xml:space="preserve"> </w:t>
      </w:r>
      <w:r w:rsidRPr="00353B0F">
        <w:t>3</w:t>
      </w:r>
      <w:r w:rsidR="00767669">
        <w:t xml:space="preserve"> </w:t>
      </w:r>
      <w:r w:rsidRPr="00353B0F">
        <w:t>to</w:t>
      </w:r>
      <w:r w:rsidR="00767669">
        <w:t xml:space="preserve"> </w:t>
      </w:r>
      <w:r w:rsidRPr="00353B0F">
        <w:t>5 half</w:t>
      </w:r>
      <w:r w:rsidRPr="00353B0F">
        <w:noBreakHyphen/>
        <w:t xml:space="preserve">lives of the </w:t>
      </w:r>
      <w:r w:rsidR="00472D7D">
        <w:t xml:space="preserve">P-gp </w:t>
      </w:r>
      <w:r w:rsidRPr="00353B0F">
        <w:t>inhibitor) to the dose used prior to the initiation of the strong P</w:t>
      </w:r>
      <w:r w:rsidRPr="00353B0F">
        <w:noBreakHyphen/>
        <w:t>gp inhibitor (see Section 4.5</w:t>
      </w:r>
      <w:r w:rsidR="00D304EB" w:rsidRPr="00353B0F">
        <w:t xml:space="preserve"> Interactions with other medicines and other forms of interactions - </w:t>
      </w:r>
      <w:r w:rsidR="00277B36" w:rsidRPr="00353B0F">
        <w:t>P-gp inhibitors</w:t>
      </w:r>
      <w:r w:rsidRPr="00353B0F">
        <w:t>).</w:t>
      </w:r>
    </w:p>
    <w:p w14:paraId="65069E64" w14:textId="5802CF02" w:rsidR="003B6694" w:rsidRDefault="003B6694" w:rsidP="00150EFA">
      <w:pPr>
        <w:pStyle w:val="CLDHeading4"/>
      </w:pPr>
      <w:r>
        <w:t xml:space="preserve">Hepatic </w:t>
      </w:r>
      <w:r w:rsidR="00B57D17">
        <w:t>i</w:t>
      </w:r>
      <w:r>
        <w:t>mpairment</w:t>
      </w:r>
    </w:p>
    <w:p w14:paraId="49F7544B" w14:textId="67BB119A" w:rsidR="00740532" w:rsidRPr="00645BA5" w:rsidRDefault="00740532" w:rsidP="00645BA5">
      <w:pPr>
        <w:pStyle w:val="CLDNormal"/>
      </w:pPr>
      <w:r w:rsidRPr="00645BA5">
        <w:t xml:space="preserve">No dose adjustment is required for patients with mild hepatic impairment (total bilirubin </w:t>
      </w:r>
      <w:r w:rsidR="00AF70C3">
        <w:sym w:font="Symbol" w:char="F0A3"/>
      </w:r>
      <w:r w:rsidRPr="00645BA5">
        <w:t>1 × upper limit of normal [ULN] and aspartate aminotransferase (AST) &gt; ULN, or total bilirubin &gt;1.0 to 1.5 × ULN and any AST). TALZENNA has not been studied in patients with moderate (total bilirubin &gt;1.5 to 3.0 × ULN and any AST) or severe hepatic impairment (total bilirubin &gt;3.0 × ULN and any AST)</w:t>
      </w:r>
      <w:r w:rsidRPr="00645BA5" w:rsidDel="004B4A4C">
        <w:t xml:space="preserve"> </w:t>
      </w:r>
      <w:r w:rsidRPr="00645BA5">
        <w:t>(see Section</w:t>
      </w:r>
      <w:r w:rsidR="00DA5E0F" w:rsidRPr="00645BA5">
        <w:t> </w:t>
      </w:r>
      <w:r w:rsidRPr="00645BA5">
        <w:t>5.2</w:t>
      </w:r>
      <w:r w:rsidR="00277B36" w:rsidRPr="00645BA5">
        <w:t xml:space="preserve"> Pharmacokinetic properties - Hepatic impairment</w:t>
      </w:r>
      <w:r w:rsidRPr="00645BA5">
        <w:t xml:space="preserve">). </w:t>
      </w:r>
    </w:p>
    <w:p w14:paraId="3069A5A7" w14:textId="77777777" w:rsidR="00740532" w:rsidRPr="00B22ED5" w:rsidRDefault="00740532" w:rsidP="00740532">
      <w:pPr>
        <w:pStyle w:val="CLDHeading4"/>
        <w:rPr>
          <w:color w:val="000000"/>
          <w:lang w:val="en-GB"/>
        </w:rPr>
      </w:pPr>
      <w:r w:rsidRPr="00B22ED5">
        <w:rPr>
          <w:lang w:val="en-GB"/>
        </w:rPr>
        <w:t>Renal impairment</w:t>
      </w:r>
    </w:p>
    <w:p w14:paraId="6004BA6D" w14:textId="082B12F8" w:rsidR="00740532" w:rsidRPr="00582AD6" w:rsidRDefault="00740532" w:rsidP="00645BA5">
      <w:pPr>
        <w:pStyle w:val="CLDNormal"/>
      </w:pPr>
      <w:r w:rsidRPr="00645BA5">
        <w:t xml:space="preserve">No dose adjustment is required for patients with mild renal impairment (60 mL/min </w:t>
      </w:r>
      <w:r w:rsidR="00AF70C3">
        <w:sym w:font="Symbol" w:char="F0A3"/>
      </w:r>
      <w:r w:rsidRPr="00645BA5">
        <w:t> creatinine clearance [CrC</w:t>
      </w:r>
      <w:r w:rsidR="00312CE9">
        <w:t>L</w:t>
      </w:r>
      <w:r w:rsidRPr="00645BA5">
        <w:t>]</w:t>
      </w:r>
      <w:r w:rsidR="00204A8E">
        <w:t> </w:t>
      </w:r>
      <w:r w:rsidRPr="00645BA5">
        <w:t xml:space="preserve">&lt;90 mL/min). For patients with moderate renal impairment (30 mL/min </w:t>
      </w:r>
      <w:r w:rsidR="00AF70C3">
        <w:sym w:font="Symbol" w:char="F0A3"/>
      </w:r>
      <w:r w:rsidRPr="00645BA5">
        <w:t> CrC</w:t>
      </w:r>
      <w:r w:rsidR="00312CE9">
        <w:t>L</w:t>
      </w:r>
      <w:r w:rsidR="00204A8E">
        <w:t> </w:t>
      </w:r>
      <w:r w:rsidRPr="00645BA5">
        <w:t xml:space="preserve">&lt;60 mL/min), the recommended dose of TALZENNA is 0.75 mg once daily. </w:t>
      </w:r>
      <w:r w:rsidR="00C97C5C" w:rsidRPr="00645BA5">
        <w:t xml:space="preserve">TALZENNA </w:t>
      </w:r>
      <w:r w:rsidRPr="00645BA5">
        <w:t>has not been studied in patients with severe renal impairment (CrC</w:t>
      </w:r>
      <w:r w:rsidR="00312CE9">
        <w:t>L</w:t>
      </w:r>
      <w:r w:rsidRPr="00645BA5">
        <w:t xml:space="preserve"> &lt;30 mL/min) or patients requiring haemodialysis (see Section</w:t>
      </w:r>
      <w:r w:rsidR="005C1D52" w:rsidRPr="00645BA5">
        <w:t> </w:t>
      </w:r>
      <w:r w:rsidRPr="00645BA5">
        <w:t>5.2</w:t>
      </w:r>
      <w:r w:rsidR="007968F2" w:rsidRPr="00645BA5">
        <w:t xml:space="preserve"> </w:t>
      </w:r>
      <w:r w:rsidR="00277B36" w:rsidRPr="00645BA5">
        <w:t>Pharmacokinetic properties - Renal impairment</w:t>
      </w:r>
      <w:r w:rsidRPr="00645BA5">
        <w:t>).</w:t>
      </w:r>
    </w:p>
    <w:p w14:paraId="3070E1BB" w14:textId="77777777" w:rsidR="00740532" w:rsidRPr="005F2E18" w:rsidRDefault="00740532" w:rsidP="00740532">
      <w:pPr>
        <w:pStyle w:val="CLDHeading4"/>
        <w:rPr>
          <w:lang w:val="en-GB"/>
        </w:rPr>
      </w:pPr>
      <w:r w:rsidRPr="005F2E18">
        <w:t xml:space="preserve">Elderly </w:t>
      </w:r>
      <w:r w:rsidRPr="005F2E18">
        <w:rPr>
          <w:lang w:val="en-GB"/>
        </w:rPr>
        <w:t xml:space="preserve">population </w:t>
      </w:r>
    </w:p>
    <w:p w14:paraId="75909F9E" w14:textId="385D41CC" w:rsidR="00740532" w:rsidRPr="00645BA5" w:rsidRDefault="00740532" w:rsidP="00645BA5">
      <w:pPr>
        <w:pStyle w:val="CLDNormal"/>
      </w:pPr>
      <w:r w:rsidRPr="00645BA5">
        <w:t>No dose adjustment is necessary in elderly (</w:t>
      </w:r>
      <w:r w:rsidR="00EA7BD6">
        <w:sym w:font="Symbol" w:char="F0B3"/>
      </w:r>
      <w:r w:rsidRPr="00645BA5">
        <w:t>65 years of age) patients (see Section</w:t>
      </w:r>
      <w:r w:rsidR="00DA5E0F" w:rsidRPr="00645BA5">
        <w:t> </w:t>
      </w:r>
      <w:r w:rsidRPr="00645BA5">
        <w:t>5.2</w:t>
      </w:r>
      <w:r w:rsidR="00277B36" w:rsidRPr="00645BA5">
        <w:t xml:space="preserve"> Pharmacokinetic properties – Elderly population</w:t>
      </w:r>
      <w:r w:rsidRPr="00645BA5">
        <w:t>).</w:t>
      </w:r>
    </w:p>
    <w:p w14:paraId="484864B0" w14:textId="77777777" w:rsidR="007968F2" w:rsidRPr="00B87623" w:rsidRDefault="007968F2" w:rsidP="004A350C">
      <w:pPr>
        <w:pStyle w:val="CLDHeading2"/>
      </w:pPr>
      <w:r>
        <w:t>4.3</w:t>
      </w:r>
      <w:r>
        <w:tab/>
      </w:r>
      <w:r w:rsidRPr="001A3277">
        <w:t>C</w:t>
      </w:r>
      <w:r>
        <w:t>ontraindications</w:t>
      </w:r>
    </w:p>
    <w:p w14:paraId="1C4B8A2F" w14:textId="6F0B32D5" w:rsidR="007968F2" w:rsidRPr="00B87623" w:rsidRDefault="007968F2" w:rsidP="00A15857">
      <w:pPr>
        <w:pStyle w:val="CLDNormal"/>
        <w:rPr>
          <w:b/>
          <w:color w:val="000000"/>
          <w:szCs w:val="24"/>
        </w:rPr>
      </w:pPr>
      <w:r w:rsidRPr="00B87623">
        <w:rPr>
          <w:color w:val="000000"/>
        </w:rPr>
        <w:t xml:space="preserve">Use of </w:t>
      </w:r>
      <w:r>
        <w:rPr>
          <w:color w:val="000000"/>
        </w:rPr>
        <w:t>TALZENNA</w:t>
      </w:r>
      <w:r w:rsidRPr="00B87623">
        <w:rPr>
          <w:color w:val="000000"/>
        </w:rPr>
        <w:t xml:space="preserve"> is contraindicated in patients with hypersensitivity to </w:t>
      </w:r>
      <w:r>
        <w:rPr>
          <w:color w:val="000000"/>
        </w:rPr>
        <w:t>talazopar</w:t>
      </w:r>
      <w:r w:rsidRPr="00B87623">
        <w:rPr>
          <w:color w:val="000000"/>
        </w:rPr>
        <w:t>ib</w:t>
      </w:r>
      <w:r>
        <w:rPr>
          <w:color w:val="000000"/>
        </w:rPr>
        <w:t xml:space="preserve"> tosilate</w:t>
      </w:r>
      <w:r w:rsidRPr="00B87623">
        <w:rPr>
          <w:color w:val="000000"/>
        </w:rPr>
        <w:t xml:space="preserve"> or any of the excipients</w:t>
      </w:r>
      <w:r>
        <w:rPr>
          <w:color w:val="000000"/>
        </w:rPr>
        <w:t xml:space="preserve"> </w:t>
      </w:r>
      <w:r w:rsidRPr="006F4C87">
        <w:rPr>
          <w:szCs w:val="22"/>
        </w:rPr>
        <w:t xml:space="preserve">listed in </w:t>
      </w:r>
      <w:hyperlink r:id="rId11" w:history="1">
        <w:r w:rsidR="00746836" w:rsidRPr="00AD6AE9">
          <w:t>Section 6.1 List of excipients</w:t>
        </w:r>
      </w:hyperlink>
      <w:r w:rsidRPr="00AD6AE9">
        <w:t>.</w:t>
      </w:r>
    </w:p>
    <w:p w14:paraId="1900E32D" w14:textId="77777777" w:rsidR="007968F2" w:rsidRPr="003C08C7" w:rsidRDefault="007968F2" w:rsidP="004A350C">
      <w:pPr>
        <w:pStyle w:val="CLDHeading2"/>
      </w:pPr>
      <w:r w:rsidRPr="003C08C7">
        <w:lastRenderedPageBreak/>
        <w:t>4.4</w:t>
      </w:r>
      <w:r w:rsidRPr="003C08C7">
        <w:tab/>
        <w:t>Special warnings and precautions for use</w:t>
      </w:r>
    </w:p>
    <w:p w14:paraId="5C81CECD" w14:textId="538D6E02" w:rsidR="007968F2" w:rsidRDefault="00106204" w:rsidP="00645BA5">
      <w:pPr>
        <w:pStyle w:val="CLDHeading3"/>
      </w:pPr>
      <w:r w:rsidRPr="00106204">
        <w:t>Myelodysplastic syndrome/Acute Myeloid Leuk</w:t>
      </w:r>
      <w:r>
        <w:t>a</w:t>
      </w:r>
      <w:r w:rsidRPr="00106204">
        <w:t>emia</w:t>
      </w:r>
    </w:p>
    <w:p w14:paraId="230CDC7B" w14:textId="334C3C27" w:rsidR="00B3241C" w:rsidRDefault="008A4D57" w:rsidP="00645BA5">
      <w:pPr>
        <w:pStyle w:val="CLDNormal"/>
      </w:pPr>
      <w:r w:rsidRPr="00645BA5">
        <w:t xml:space="preserve">Myelodysplastic syndrome/Acute Myeloid Leukaemia (MDS/AML) have been reported in patients who received </w:t>
      </w:r>
      <w:r w:rsidR="008D7ED7">
        <w:t>talazoparib</w:t>
      </w:r>
      <w:r w:rsidRPr="00645BA5">
        <w:t xml:space="preserve">. Overall, MDS/AML has been reported </w:t>
      </w:r>
      <w:r w:rsidRPr="003B7890">
        <w:t xml:space="preserve">in </w:t>
      </w:r>
      <w:r w:rsidR="006B01D0">
        <w:t>2 out of 584 (0.3%)</w:t>
      </w:r>
      <w:r w:rsidR="00D66CF3" w:rsidRPr="003B7890">
        <w:t xml:space="preserve"> </w:t>
      </w:r>
      <w:r w:rsidRPr="003B7890">
        <w:t>solid tumour patients treated with talaz</w:t>
      </w:r>
      <w:r w:rsidRPr="00645BA5">
        <w:t>oparib in clinical studies.</w:t>
      </w:r>
      <w:r w:rsidRPr="00645BA5" w:rsidDel="003E71BF">
        <w:t xml:space="preserve"> </w:t>
      </w:r>
      <w:r w:rsidR="00A96953">
        <w:t>Both</w:t>
      </w:r>
      <w:r w:rsidR="00B3241C">
        <w:t xml:space="preserve"> patients had received</w:t>
      </w:r>
      <w:r w:rsidRPr="00645BA5">
        <w:t xml:space="preserve"> previous platinum-containing chemotherapy</w:t>
      </w:r>
      <w:r w:rsidR="00B3241C">
        <w:t xml:space="preserve"> and/or</w:t>
      </w:r>
      <w:r w:rsidRPr="00645BA5">
        <w:t xml:space="preserve"> other DNA damaging agents </w:t>
      </w:r>
      <w:r w:rsidR="00B3241C">
        <w:t>including</w:t>
      </w:r>
      <w:r w:rsidR="00B3241C" w:rsidRPr="00645BA5">
        <w:t xml:space="preserve"> </w:t>
      </w:r>
      <w:r w:rsidR="00EA7BD6">
        <w:t>radiotherapy.</w:t>
      </w:r>
    </w:p>
    <w:p w14:paraId="7AE76922" w14:textId="57169C1F" w:rsidR="007968F2" w:rsidRDefault="00B3241C" w:rsidP="00645BA5">
      <w:pPr>
        <w:pStyle w:val="CLDNormal"/>
      </w:pPr>
      <w:r w:rsidRPr="00B3241C">
        <w:t>Do not start TALZENNA until patients have adequately recovered from h</w:t>
      </w:r>
      <w:r>
        <w:t>a</w:t>
      </w:r>
      <w:r w:rsidRPr="00B3241C">
        <w:t xml:space="preserve">ematological toxicity caused by previous chemotherapy. Monitor </w:t>
      </w:r>
      <w:r>
        <w:t>full</w:t>
      </w:r>
      <w:r w:rsidRPr="00B3241C">
        <w:t xml:space="preserve"> blood counts for cytopenia </w:t>
      </w:r>
      <w:r w:rsidR="008A4D57" w:rsidRPr="00645BA5">
        <w:t xml:space="preserve">at baseline and monthly </w:t>
      </w:r>
      <w:r w:rsidR="00A821AE">
        <w:t>thereafter</w:t>
      </w:r>
      <w:r w:rsidR="008A4D57" w:rsidRPr="00645BA5">
        <w:t xml:space="preserve">. </w:t>
      </w:r>
      <w:r w:rsidR="00A821AE" w:rsidRPr="00B3241C">
        <w:t>For prolonged h</w:t>
      </w:r>
      <w:r w:rsidR="00A821AE">
        <w:t>a</w:t>
      </w:r>
      <w:r w:rsidR="00A821AE" w:rsidRPr="00B3241C">
        <w:t>ematological toxicities, interrupt TALZENNA and monitor blood counts weekly until recovery. If the levels have not recovered after 4</w:t>
      </w:r>
      <w:r w:rsidR="009579E5">
        <w:t> </w:t>
      </w:r>
      <w:r w:rsidR="00A821AE" w:rsidRPr="00B3241C">
        <w:t>weeks, refer the patient to a h</w:t>
      </w:r>
      <w:r w:rsidR="00A821AE">
        <w:t>a</w:t>
      </w:r>
      <w:r w:rsidR="00A821AE" w:rsidRPr="00B3241C">
        <w:t xml:space="preserve">ematologist for further investigations, including bone marrow analysis and blood sample for cytogenetics. </w:t>
      </w:r>
      <w:r w:rsidR="008A4D57" w:rsidRPr="00645BA5">
        <w:t xml:space="preserve">If MDS/AML is confirmed, </w:t>
      </w:r>
      <w:r w:rsidR="00A821AE">
        <w:t xml:space="preserve">discontinue </w:t>
      </w:r>
      <w:r w:rsidR="008A4D57" w:rsidRPr="00645BA5">
        <w:t>talazoparib.</w:t>
      </w:r>
    </w:p>
    <w:p w14:paraId="41DC4735" w14:textId="77777777" w:rsidR="00B3241C" w:rsidRDefault="00B3241C" w:rsidP="00B3241C">
      <w:pPr>
        <w:pStyle w:val="CLDHeading3"/>
      </w:pPr>
      <w:r>
        <w:t>Myelosuppression</w:t>
      </w:r>
    </w:p>
    <w:p w14:paraId="3AA49006" w14:textId="4EC6DEDA" w:rsidR="00B3241C" w:rsidRDefault="00B3241C" w:rsidP="00B3241C">
      <w:pPr>
        <w:pStyle w:val="CLDNormal"/>
        <w:rPr>
          <w:szCs w:val="22"/>
        </w:rPr>
      </w:pPr>
      <w:r w:rsidRPr="00CE50D9">
        <w:t>Myelosuppression</w:t>
      </w:r>
      <w:r>
        <w:t>,</w:t>
      </w:r>
      <w:r w:rsidRPr="00CE50D9">
        <w:t xml:space="preserve"> consisting of an</w:t>
      </w:r>
      <w:r>
        <w:t>a</w:t>
      </w:r>
      <w:r w:rsidRPr="00CE50D9">
        <w:t xml:space="preserve">emia, </w:t>
      </w:r>
      <w:r>
        <w:t>leu</w:t>
      </w:r>
      <w:r w:rsidR="00A95CAB">
        <w:t>c</w:t>
      </w:r>
      <w:r>
        <w:t>openia/</w:t>
      </w:r>
      <w:r w:rsidRPr="00CE50D9">
        <w:t xml:space="preserve">neutropenia and/or thrombocytopenia, </w:t>
      </w:r>
      <w:r>
        <w:t>is very common</w:t>
      </w:r>
      <w:r w:rsidRPr="00CE50D9">
        <w:t xml:space="preserve"> in patients treated with talazoparib </w:t>
      </w:r>
      <w:r w:rsidRPr="00CA2040">
        <w:rPr>
          <w:szCs w:val="22"/>
        </w:rPr>
        <w:t>(see Section</w:t>
      </w:r>
      <w:r>
        <w:rPr>
          <w:szCs w:val="22"/>
        </w:rPr>
        <w:t> </w:t>
      </w:r>
      <w:r w:rsidRPr="00AD6AE9">
        <w:rPr>
          <w:szCs w:val="22"/>
        </w:rPr>
        <w:t>4.8</w:t>
      </w:r>
      <w:r>
        <w:rPr>
          <w:szCs w:val="22"/>
        </w:rPr>
        <w:t xml:space="preserve"> Adverse effects</w:t>
      </w:r>
      <w:r w:rsidR="00EA7BD6">
        <w:rPr>
          <w:szCs w:val="22"/>
        </w:rPr>
        <w:t>).</w:t>
      </w:r>
    </w:p>
    <w:p w14:paraId="0E39AA39" w14:textId="0FD4B46C" w:rsidR="00B3241C" w:rsidRDefault="00B3241C" w:rsidP="00B3241C">
      <w:pPr>
        <w:pStyle w:val="CLDNormal"/>
      </w:pPr>
      <w:r w:rsidRPr="00CA2040">
        <w:rPr>
          <w:szCs w:val="22"/>
        </w:rPr>
        <w:t>Do not start talazoparib until patients have recovered from h</w:t>
      </w:r>
      <w:r>
        <w:rPr>
          <w:szCs w:val="22"/>
        </w:rPr>
        <w:t>a</w:t>
      </w:r>
      <w:r w:rsidRPr="00CA2040">
        <w:rPr>
          <w:szCs w:val="22"/>
        </w:rPr>
        <w:t>ematological toxicity</w:t>
      </w:r>
      <w:r w:rsidRPr="00B84FF3">
        <w:rPr>
          <w:szCs w:val="22"/>
        </w:rPr>
        <w:t xml:space="preserve"> caused by previous </w:t>
      </w:r>
      <w:r>
        <w:rPr>
          <w:szCs w:val="22"/>
        </w:rPr>
        <w:t xml:space="preserve">therapy </w:t>
      </w:r>
      <w:r w:rsidRPr="00B84FF3">
        <w:rPr>
          <w:szCs w:val="22"/>
        </w:rPr>
        <w:t>(</w:t>
      </w:r>
      <w:r w:rsidR="00AF70C3">
        <w:rPr>
          <w:szCs w:val="22"/>
        </w:rPr>
        <w:sym w:font="Symbol" w:char="F0A3"/>
      </w:r>
      <w:r>
        <w:rPr>
          <w:szCs w:val="22"/>
        </w:rPr>
        <w:t> </w:t>
      </w:r>
      <w:r w:rsidRPr="00B84FF3">
        <w:rPr>
          <w:szCs w:val="22"/>
        </w:rPr>
        <w:t>Grade</w:t>
      </w:r>
      <w:r>
        <w:rPr>
          <w:szCs w:val="22"/>
        </w:rPr>
        <w:t> </w:t>
      </w:r>
      <w:r w:rsidRPr="00B84FF3">
        <w:rPr>
          <w:szCs w:val="22"/>
        </w:rPr>
        <w:t>1).</w:t>
      </w:r>
      <w:r w:rsidDel="00B3241C">
        <w:rPr>
          <w:szCs w:val="22"/>
        </w:rPr>
        <w:t xml:space="preserve"> </w:t>
      </w:r>
      <w:r>
        <w:t>Monitor clinically and check full blood counts for cytopenia at baseline and monthly thereafter. If haematological toxicity occurs</w:t>
      </w:r>
      <w:r w:rsidRPr="00440F07">
        <w:t>, dose modification (interruption</w:t>
      </w:r>
      <w:r>
        <w:t xml:space="preserve"> with or without reduction</w:t>
      </w:r>
      <w:r w:rsidRPr="00440F07">
        <w:t xml:space="preserve">) </w:t>
      </w:r>
      <w:r>
        <w:t>is</w:t>
      </w:r>
      <w:r w:rsidRPr="00440F07">
        <w:t xml:space="preserve"> recommended (see Section 4.2 Dose and method of administration - Dosage adjustment). </w:t>
      </w:r>
      <w:r>
        <w:t>Provide s</w:t>
      </w:r>
      <w:r w:rsidRPr="00440F07">
        <w:t>upportive care</w:t>
      </w:r>
      <w:r>
        <w:t xml:space="preserve">, transfusion of </w:t>
      </w:r>
      <w:r w:rsidRPr="00440F07">
        <w:t>blood</w:t>
      </w:r>
      <w:r>
        <w:t>/</w:t>
      </w:r>
      <w:r w:rsidRPr="00440F07">
        <w:t>platelet</w:t>
      </w:r>
      <w:r>
        <w:t>s</w:t>
      </w:r>
      <w:r w:rsidRPr="00440F07">
        <w:t xml:space="preserve"> and </w:t>
      </w:r>
      <w:r>
        <w:t xml:space="preserve">treatment with </w:t>
      </w:r>
      <w:r w:rsidRPr="00440F07">
        <w:t>colony stimulating factors</w:t>
      </w:r>
      <w:r>
        <w:t xml:space="preserve"> </w:t>
      </w:r>
      <w:r w:rsidRPr="00440F07">
        <w:t>as appropriate.</w:t>
      </w:r>
    </w:p>
    <w:p w14:paraId="1AB93550" w14:textId="5751EA62" w:rsidR="008C3FA5" w:rsidRPr="005F2E18" w:rsidRDefault="008C3FA5" w:rsidP="00645BA5">
      <w:pPr>
        <w:pStyle w:val="CLDHeading3"/>
      </w:pPr>
      <w:r w:rsidRPr="005F2E18">
        <w:t>Embryo-fetal toxicity</w:t>
      </w:r>
    </w:p>
    <w:p w14:paraId="4C01ECAD" w14:textId="0CC2750E" w:rsidR="00552042" w:rsidRDefault="00AE44CF" w:rsidP="00AE44CF">
      <w:pPr>
        <w:pStyle w:val="CLDNormal"/>
      </w:pPr>
      <w:r>
        <w:t xml:space="preserve">Based on its mechanism of action and findings from animal data, TALZENNA can cause fetal harm when administered to a pregnant woman. In an animal reproduction study, administration of talazoparib to pregnant rats during the period of organogenesis caused fetal malformations and structural skeletal variations, and embryo-fetal death at exposures that were </w:t>
      </w:r>
      <w:r w:rsidR="008E2EFC">
        <w:t>0.24</w:t>
      </w:r>
      <w:r w:rsidR="00695BD8">
        <w:t> </w:t>
      </w:r>
      <w:r>
        <w:t xml:space="preserve">times the </w:t>
      </w:r>
      <w:r w:rsidR="005A5DCD">
        <w:t xml:space="preserve">total </w:t>
      </w:r>
      <w:r>
        <w:t>area under the concentration-time curve (AUC) in patients receiving the recommended human dose of 1</w:t>
      </w:r>
      <w:r w:rsidR="008677A4">
        <w:t> </w:t>
      </w:r>
      <w:r>
        <w:t>mg daily</w:t>
      </w:r>
      <w:r w:rsidR="008C3FA5" w:rsidRPr="00645BA5">
        <w:t xml:space="preserve"> (see Section</w:t>
      </w:r>
      <w:r w:rsidR="00574DD1" w:rsidRPr="00645BA5">
        <w:t> </w:t>
      </w:r>
      <w:r w:rsidR="008C3FA5" w:rsidRPr="00645BA5">
        <w:t>5.3</w:t>
      </w:r>
      <w:r w:rsidR="00DB7473" w:rsidRPr="00645BA5">
        <w:t xml:space="preserve"> Preclinical safety data</w:t>
      </w:r>
      <w:r w:rsidR="00512D27">
        <w:t xml:space="preserve"> – Reproductive toxicology</w:t>
      </w:r>
      <w:r w:rsidR="00EA7BD6">
        <w:t>).</w:t>
      </w:r>
    </w:p>
    <w:p w14:paraId="4E3F108F" w14:textId="783196D4" w:rsidR="008C3FA5" w:rsidRPr="00645BA5" w:rsidRDefault="00552042" w:rsidP="00AE44CF">
      <w:pPr>
        <w:pStyle w:val="CLDNormal"/>
      </w:pPr>
      <w:r>
        <w:t>Conduct a blood test for pregnancy</w:t>
      </w:r>
      <w:r w:rsidRPr="00552042">
        <w:t xml:space="preserve"> prior to initiating TALZENNA treatment</w:t>
      </w:r>
      <w:r>
        <w:t xml:space="preserve"> in any female of reproductive potential</w:t>
      </w:r>
      <w:r w:rsidRPr="00552042">
        <w:t>.</w:t>
      </w:r>
      <w:r>
        <w:t xml:space="preserve"> </w:t>
      </w:r>
      <w:r w:rsidR="003E4739">
        <w:t>Advise</w:t>
      </w:r>
      <w:r w:rsidR="00AE44CF">
        <w:t xml:space="preserve"> pregnant women and females of reproductive potential of the potential risk to a fetus. Advise females of reproductive potential to use effective contraception during treatment and for at least 7</w:t>
      </w:r>
      <w:r w:rsidR="00817B56">
        <w:t> </w:t>
      </w:r>
      <w:r w:rsidR="00AE44CF">
        <w:t>months following the last dose of TALZENNA</w:t>
      </w:r>
      <w:r w:rsidR="00AE44CF" w:rsidRPr="00645BA5">
        <w:t xml:space="preserve"> </w:t>
      </w:r>
      <w:r w:rsidR="008C3FA5" w:rsidRPr="00645BA5">
        <w:t>(see Section </w:t>
      </w:r>
      <w:r w:rsidR="008C3FA5" w:rsidRPr="003773F0">
        <w:t>4.6</w:t>
      </w:r>
      <w:r w:rsidR="0067611D" w:rsidRPr="00645BA5">
        <w:t xml:space="preserve"> Fertility, pregnancy and lactation – Use in pregnancy</w:t>
      </w:r>
      <w:r w:rsidR="008C3FA5" w:rsidRPr="00645BA5">
        <w:t>).</w:t>
      </w:r>
    </w:p>
    <w:p w14:paraId="646B1743" w14:textId="1F921484" w:rsidR="008C3FA5" w:rsidRPr="00645BA5" w:rsidRDefault="00AE44CF" w:rsidP="00AE44CF">
      <w:pPr>
        <w:pStyle w:val="CLDNormal"/>
      </w:pPr>
      <w:r>
        <w:t xml:space="preserve">Based on findings from genetic toxicity and animal reproduction studies, </w:t>
      </w:r>
      <w:r w:rsidR="003E4739">
        <w:t>a</w:t>
      </w:r>
      <w:r w:rsidR="008C3FA5" w:rsidRPr="00645BA5">
        <w:t xml:space="preserve">dvise male patients with female partners of reproductive potential and pregnant partners to use </w:t>
      </w:r>
      <w:r w:rsidR="00106F68">
        <w:t>effective contraception</w:t>
      </w:r>
      <w:r w:rsidR="008C3FA5" w:rsidRPr="00645BA5">
        <w:t xml:space="preserve"> (even after vasectomy), during treatment with </w:t>
      </w:r>
      <w:r w:rsidR="00574DD1" w:rsidRPr="00645BA5">
        <w:t xml:space="preserve">TALZENNA </w:t>
      </w:r>
      <w:r w:rsidR="008C3FA5" w:rsidRPr="00645BA5">
        <w:t>and for at least 4</w:t>
      </w:r>
      <w:r w:rsidR="00574DD1" w:rsidRPr="00645BA5">
        <w:t> </w:t>
      </w:r>
      <w:r w:rsidR="008C3FA5" w:rsidRPr="00645BA5">
        <w:t>months after the final dose</w:t>
      </w:r>
      <w:r w:rsidR="003E4739">
        <w:t xml:space="preserve"> (see </w:t>
      </w:r>
      <w:r w:rsidR="00512D27" w:rsidRPr="00645BA5">
        <w:t>Section </w:t>
      </w:r>
      <w:r w:rsidR="00512D27" w:rsidRPr="003773F0">
        <w:t>4.6</w:t>
      </w:r>
      <w:r w:rsidR="00512D27" w:rsidRPr="00645BA5">
        <w:t xml:space="preserve"> Fertility, pregnancy and lactation – Use in pregnancy</w:t>
      </w:r>
      <w:r w:rsidR="00512D27">
        <w:t xml:space="preserve"> and Section</w:t>
      </w:r>
      <w:r w:rsidR="00512D27" w:rsidRPr="00645BA5">
        <w:t xml:space="preserve"> </w:t>
      </w:r>
      <w:r w:rsidR="003E4739" w:rsidRPr="00645BA5">
        <w:t>5.3 Preclinical safety data</w:t>
      </w:r>
      <w:r w:rsidR="003E4739">
        <w:t>)</w:t>
      </w:r>
      <w:r w:rsidR="008C3FA5" w:rsidRPr="00645BA5">
        <w:t>.</w:t>
      </w:r>
    </w:p>
    <w:p w14:paraId="7B6852F5" w14:textId="77777777" w:rsidR="00574DD1" w:rsidRPr="00417398" w:rsidRDefault="00574DD1" w:rsidP="00645BA5">
      <w:pPr>
        <w:pStyle w:val="CLDHeading3"/>
      </w:pPr>
      <w:r w:rsidRPr="00417398">
        <w:lastRenderedPageBreak/>
        <w:t xml:space="preserve">Use in the </w:t>
      </w:r>
      <w:r w:rsidR="00CA65A8">
        <w:t>e</w:t>
      </w:r>
      <w:r w:rsidRPr="00417398">
        <w:t>lderly</w:t>
      </w:r>
    </w:p>
    <w:p w14:paraId="6C43773D" w14:textId="274EF2FE" w:rsidR="00574DD1" w:rsidRDefault="00574DD1" w:rsidP="00645BA5">
      <w:pPr>
        <w:pStyle w:val="CLDNormal"/>
      </w:pPr>
      <w:r w:rsidRPr="00F379C9">
        <w:t xml:space="preserve">No overall differences in safety </w:t>
      </w:r>
      <w:r w:rsidR="003E2B70" w:rsidRPr="005F2E18">
        <w:t xml:space="preserve">or effectiveness of </w:t>
      </w:r>
      <w:r w:rsidR="003E2B70">
        <w:rPr>
          <w:iCs/>
          <w:noProof/>
        </w:rPr>
        <w:t>TALZENNA</w:t>
      </w:r>
      <w:r w:rsidR="003E2B70" w:rsidRPr="005F2E18">
        <w:rPr>
          <w:iCs/>
          <w:noProof/>
        </w:rPr>
        <w:t xml:space="preserve"> </w:t>
      </w:r>
      <w:r w:rsidR="003E2B70" w:rsidRPr="005F2E18">
        <w:t xml:space="preserve">were observed between patients </w:t>
      </w:r>
      <w:r w:rsidR="00EA7BD6">
        <w:sym w:font="Symbol" w:char="F0B3"/>
      </w:r>
      <w:r w:rsidR="003E2B70" w:rsidRPr="005F2E18">
        <w:t>65 years of age and younger patients</w:t>
      </w:r>
      <w:r w:rsidR="003E2B70">
        <w:t>,</w:t>
      </w:r>
      <w:r w:rsidR="003E2B70" w:rsidRPr="005F2E18">
        <w:t xml:space="preserve"> but greater sensitivity of some older individuals cannot be ruled out</w:t>
      </w:r>
      <w:r w:rsidR="003E2B70">
        <w:t xml:space="preserve"> </w:t>
      </w:r>
      <w:r w:rsidR="003E2B70">
        <w:rPr>
          <w:szCs w:val="22"/>
        </w:rPr>
        <w:t xml:space="preserve">(see </w:t>
      </w:r>
      <w:r w:rsidR="003E2B70" w:rsidRPr="00034919">
        <w:rPr>
          <w:szCs w:val="22"/>
        </w:rPr>
        <w:t xml:space="preserve">Section 5.2 </w:t>
      </w:r>
      <w:r w:rsidR="003E2B70" w:rsidRPr="00034919">
        <w:t>Pharmacokinetic properties</w:t>
      </w:r>
      <w:r w:rsidR="003E2B70">
        <w:t xml:space="preserve"> - </w:t>
      </w:r>
      <w:r w:rsidR="003E2B70" w:rsidRPr="00034919">
        <w:rPr>
          <w:szCs w:val="22"/>
        </w:rPr>
        <w:t>Elderly</w:t>
      </w:r>
      <w:r w:rsidR="003E2B70">
        <w:rPr>
          <w:szCs w:val="22"/>
        </w:rPr>
        <w:t xml:space="preserve"> population</w:t>
      </w:r>
      <w:r w:rsidR="003E2B70" w:rsidRPr="00E926A9">
        <w:rPr>
          <w:szCs w:val="22"/>
        </w:rPr>
        <w:t>)</w:t>
      </w:r>
      <w:r w:rsidR="003E2B70" w:rsidRPr="00E926A9">
        <w:t>.</w:t>
      </w:r>
      <w:r w:rsidR="003E2B70">
        <w:t xml:space="preserve"> N</w:t>
      </w:r>
      <w:r>
        <w:rPr>
          <w:szCs w:val="22"/>
        </w:rPr>
        <w:t>o dose adjustment is required</w:t>
      </w:r>
      <w:r>
        <w:t xml:space="preserve"> </w:t>
      </w:r>
      <w:r w:rsidR="003E2B70">
        <w:t xml:space="preserve">in elderly patients </w:t>
      </w:r>
      <w:r>
        <w:rPr>
          <w:szCs w:val="22"/>
        </w:rPr>
        <w:t xml:space="preserve">(see </w:t>
      </w:r>
      <w:r w:rsidRPr="00034919">
        <w:rPr>
          <w:szCs w:val="22"/>
        </w:rPr>
        <w:t xml:space="preserve">Section 4.2 </w:t>
      </w:r>
      <w:r w:rsidRPr="00034919">
        <w:t>Dose and method of administration</w:t>
      </w:r>
      <w:r>
        <w:t xml:space="preserve"> -</w:t>
      </w:r>
      <w:r w:rsidRPr="00034919">
        <w:t xml:space="preserve"> </w:t>
      </w:r>
      <w:r w:rsidRPr="00034919">
        <w:rPr>
          <w:szCs w:val="22"/>
        </w:rPr>
        <w:t>Dosage adjustment</w:t>
      </w:r>
      <w:r>
        <w:rPr>
          <w:szCs w:val="22"/>
        </w:rPr>
        <w:t xml:space="preserve"> –</w:t>
      </w:r>
      <w:r w:rsidRPr="00034919">
        <w:rPr>
          <w:szCs w:val="22"/>
        </w:rPr>
        <w:t xml:space="preserve"> Elderly</w:t>
      </w:r>
      <w:r>
        <w:rPr>
          <w:szCs w:val="22"/>
        </w:rPr>
        <w:t xml:space="preserve"> population</w:t>
      </w:r>
      <w:r w:rsidRPr="00E926A9">
        <w:rPr>
          <w:szCs w:val="22"/>
        </w:rPr>
        <w:t>)</w:t>
      </w:r>
      <w:r w:rsidRPr="00E926A9">
        <w:t>.</w:t>
      </w:r>
    </w:p>
    <w:p w14:paraId="73425146" w14:textId="77777777" w:rsidR="00574DD1" w:rsidRPr="00417398" w:rsidRDefault="00574DD1" w:rsidP="00645BA5">
      <w:pPr>
        <w:pStyle w:val="CLDHeading3"/>
      </w:pPr>
      <w:r w:rsidRPr="00417398">
        <w:t>P</w:t>
      </w:r>
      <w:r>
        <w:t>a</w:t>
      </w:r>
      <w:r w:rsidRPr="00417398">
        <w:t xml:space="preserve">ediatric </w:t>
      </w:r>
      <w:r w:rsidR="00CA65A8">
        <w:t>u</w:t>
      </w:r>
      <w:r w:rsidRPr="00417398">
        <w:t>se</w:t>
      </w:r>
    </w:p>
    <w:p w14:paraId="5234DCD8" w14:textId="77777777" w:rsidR="00472D7D" w:rsidRPr="002F0B59" w:rsidRDefault="00574DD1" w:rsidP="002F0B59">
      <w:pPr>
        <w:shd w:val="clear" w:color="auto" w:fill="FFFFFF"/>
        <w:rPr>
          <w:rFonts w:eastAsia="SimSun"/>
          <w:szCs w:val="22"/>
        </w:rPr>
      </w:pPr>
      <w:r w:rsidRPr="005F2E18">
        <w:t xml:space="preserve">The safety and efficacy of </w:t>
      </w:r>
      <w:r w:rsidRPr="00740532">
        <w:t xml:space="preserve">TALZENNA </w:t>
      </w:r>
      <w:r w:rsidRPr="005F2E18">
        <w:t>in children and adolescents</w:t>
      </w:r>
      <w:r w:rsidRPr="005F2E18">
        <w:rPr>
          <w:spacing w:val="-4"/>
        </w:rPr>
        <w:t xml:space="preserve"> </w:t>
      </w:r>
      <w:r>
        <w:t>&lt;</w:t>
      </w:r>
      <w:r w:rsidRPr="005F2E18">
        <w:t>18 years of age have not</w:t>
      </w:r>
      <w:r w:rsidRPr="005F2E18">
        <w:rPr>
          <w:spacing w:val="32"/>
        </w:rPr>
        <w:t xml:space="preserve"> </w:t>
      </w:r>
      <w:r w:rsidRPr="005F2E18">
        <w:t>been established</w:t>
      </w:r>
      <w:r w:rsidRPr="00740532">
        <w:t>.</w:t>
      </w:r>
    </w:p>
    <w:p w14:paraId="51093265" w14:textId="77777777" w:rsidR="00574DD1" w:rsidRPr="00E3398E" w:rsidRDefault="00574DD1" w:rsidP="00645BA5">
      <w:pPr>
        <w:pStyle w:val="CLDHeading3"/>
      </w:pPr>
      <w:r>
        <w:t xml:space="preserve">Effects on </w:t>
      </w:r>
      <w:r w:rsidR="00CA65A8">
        <w:t>l</w:t>
      </w:r>
      <w:r>
        <w:t xml:space="preserve">aboratory </w:t>
      </w:r>
      <w:r w:rsidR="00CA65A8">
        <w:t>t</w:t>
      </w:r>
      <w:r>
        <w:t>ests</w:t>
      </w:r>
    </w:p>
    <w:p w14:paraId="68DF240E" w14:textId="185F563F" w:rsidR="00574DD1" w:rsidRDefault="00A216A1" w:rsidP="00055AAB">
      <w:pPr>
        <w:pStyle w:val="CLDNormal"/>
      </w:pPr>
      <w:r>
        <w:t>See Section 4.8 Adverse effects (undesirable effects).</w:t>
      </w:r>
    </w:p>
    <w:p w14:paraId="004A2994" w14:textId="36BFCCA1" w:rsidR="00C81021" w:rsidRPr="00E3398E" w:rsidRDefault="00C81021" w:rsidP="00C81021">
      <w:pPr>
        <w:pStyle w:val="CLDHeading3"/>
      </w:pPr>
      <w:r>
        <w:t>Diagnostic test selection</w:t>
      </w:r>
    </w:p>
    <w:p w14:paraId="1E0C0171" w14:textId="7A16329F" w:rsidR="00C81021" w:rsidRPr="00055AAB" w:rsidRDefault="00C81021" w:rsidP="00C81021">
      <w:pPr>
        <w:pStyle w:val="CLDNormal"/>
      </w:pPr>
      <w:r>
        <w:t xml:space="preserve">When assessing </w:t>
      </w:r>
      <w:r w:rsidR="00386B83">
        <w:t xml:space="preserve">a patient for </w:t>
      </w:r>
      <w:r w:rsidR="00386B83" w:rsidRPr="00496531">
        <w:t xml:space="preserve">mutations in hereditary breast cancer-related </w:t>
      </w:r>
      <w:r w:rsidR="00386B83" w:rsidRPr="00496531">
        <w:rPr>
          <w:rFonts w:eastAsiaTheme="majorEastAsia"/>
          <w:iCs/>
        </w:rPr>
        <w:t>BRCA1</w:t>
      </w:r>
      <w:r w:rsidR="00386B83" w:rsidRPr="00496531">
        <w:t xml:space="preserve"> and </w:t>
      </w:r>
      <w:r w:rsidR="00386B83" w:rsidRPr="00496531">
        <w:rPr>
          <w:rFonts w:eastAsiaTheme="majorEastAsia"/>
          <w:iCs/>
        </w:rPr>
        <w:t>BRCA2</w:t>
      </w:r>
      <w:r w:rsidR="00386B83" w:rsidRPr="00496531">
        <w:t xml:space="preserve"> genes</w:t>
      </w:r>
      <w:r>
        <w:t>, it is important that a well-validated and robust methodology is chosen to minimise false negative or false positive determinations.</w:t>
      </w:r>
    </w:p>
    <w:p w14:paraId="53772558" w14:textId="77777777" w:rsidR="004D4BEB" w:rsidRPr="00356A96" w:rsidRDefault="004D4BEB" w:rsidP="004D4BEB">
      <w:pPr>
        <w:pStyle w:val="CLDHeading2"/>
      </w:pPr>
      <w:r w:rsidRPr="00356A96">
        <w:t xml:space="preserve">4.5 </w:t>
      </w:r>
      <w:r w:rsidRPr="00356A96">
        <w:tab/>
        <w:t>Interactions with other medicines and other forms of interactions</w:t>
      </w:r>
    </w:p>
    <w:p w14:paraId="1CE08F44" w14:textId="77777777" w:rsidR="004D4BEB" w:rsidRPr="007D78E3" w:rsidRDefault="004D4BEB" w:rsidP="004D4BEB">
      <w:pPr>
        <w:pStyle w:val="CLDNormal"/>
        <w:rPr>
          <w:rFonts w:eastAsia="SimSun"/>
        </w:rPr>
      </w:pPr>
      <w:r w:rsidRPr="007D78E3">
        <w:rPr>
          <w:rFonts w:eastAsia="SimSun"/>
        </w:rPr>
        <w:t xml:space="preserve">Talazoparib is a substrate for drug transporters P-gp and </w:t>
      </w:r>
      <w:r w:rsidRPr="007D78E3">
        <w:t xml:space="preserve">Breast Cancer Resistance Protein (BCRP) </w:t>
      </w:r>
      <w:r w:rsidRPr="007D78E3">
        <w:rPr>
          <w:rFonts w:eastAsia="SimSun"/>
        </w:rPr>
        <w:t xml:space="preserve">and </w:t>
      </w:r>
      <w:r>
        <w:rPr>
          <w:rFonts w:eastAsia="SimSun"/>
        </w:rPr>
        <w:t xml:space="preserve">is </w:t>
      </w:r>
      <w:r w:rsidRPr="007D78E3">
        <w:rPr>
          <w:rFonts w:eastAsia="SimSun"/>
        </w:rPr>
        <w:t>mainly eliminated by renal clearance as unchanged compound. Information on a</w:t>
      </w:r>
      <w:r w:rsidRPr="007D78E3">
        <w:t>gents that may affect talazoparib plasma concentrations is provided below.</w:t>
      </w:r>
    </w:p>
    <w:p w14:paraId="6DE4E590" w14:textId="77777777" w:rsidR="0004125B" w:rsidRPr="00B22ED5" w:rsidRDefault="0004125B" w:rsidP="002E1AA2">
      <w:pPr>
        <w:pStyle w:val="CLDHeading3"/>
        <w:rPr>
          <w:spacing w:val="-1"/>
        </w:rPr>
      </w:pPr>
      <w:r w:rsidRPr="00B22ED5">
        <w:t>P-gp inhibitors</w:t>
      </w:r>
    </w:p>
    <w:p w14:paraId="60A1BDF1" w14:textId="77777777" w:rsidR="00A32FFA" w:rsidRDefault="00A32FFA" w:rsidP="00A32FFA">
      <w:pPr>
        <w:pStyle w:val="CLDNormal"/>
        <w:rPr>
          <w:color w:val="auto"/>
          <w:spacing w:val="-1"/>
        </w:rPr>
      </w:pPr>
      <w:r w:rsidRPr="007321FD">
        <w:rPr>
          <w:color w:val="auto"/>
          <w:spacing w:val="-1"/>
        </w:rPr>
        <w:t>Coadministration with P-gp inhibitors may increase talazoparib exposure.</w:t>
      </w:r>
    </w:p>
    <w:p w14:paraId="0147B88E" w14:textId="01F7CCFC" w:rsidR="00E403C7" w:rsidRDefault="00466013" w:rsidP="00645BA5">
      <w:pPr>
        <w:pStyle w:val="CLDNormal"/>
        <w:rPr>
          <w:rFonts w:eastAsia="SimSun"/>
        </w:rPr>
      </w:pPr>
      <w:r w:rsidRPr="002F0B59">
        <w:rPr>
          <w:color w:val="auto"/>
          <w:spacing w:val="-1"/>
        </w:rPr>
        <w:t>Data from a drug-drug interaction study in patients with advanced solid tumo</w:t>
      </w:r>
      <w:r>
        <w:rPr>
          <w:color w:val="auto"/>
          <w:spacing w:val="-1"/>
        </w:rPr>
        <w:t>u</w:t>
      </w:r>
      <w:r w:rsidRPr="002F0B59">
        <w:rPr>
          <w:color w:val="auto"/>
          <w:spacing w:val="-1"/>
        </w:rPr>
        <w:t>rs</w:t>
      </w:r>
      <w:r w:rsidRPr="002F0B59">
        <w:rPr>
          <w:rFonts w:eastAsia="SimSun"/>
        </w:rPr>
        <w:t xml:space="preserve"> </w:t>
      </w:r>
      <w:r>
        <w:rPr>
          <w:rFonts w:eastAsia="SimSun"/>
        </w:rPr>
        <w:t>indicated that c</w:t>
      </w:r>
      <w:r w:rsidR="002F0B59" w:rsidRPr="002F0B59">
        <w:rPr>
          <w:rFonts w:eastAsia="SimSun"/>
        </w:rPr>
        <w:t>oadministration of multiple daily doses of</w:t>
      </w:r>
      <w:r w:rsidR="0004703B" w:rsidRPr="002F0B59">
        <w:rPr>
          <w:rFonts w:eastAsia="SimSun"/>
        </w:rPr>
        <w:t xml:space="preserve"> </w:t>
      </w:r>
      <w:r w:rsidR="0004703B">
        <w:rPr>
          <w:rFonts w:eastAsia="SimSun"/>
        </w:rPr>
        <w:t>a P</w:t>
      </w:r>
      <w:r w:rsidR="0004703B">
        <w:rPr>
          <w:rFonts w:eastAsia="SimSun"/>
        </w:rPr>
        <w:noBreakHyphen/>
        <w:t xml:space="preserve">gp inhibitor, </w:t>
      </w:r>
      <w:r w:rsidR="002F0B59" w:rsidRPr="002F0B59">
        <w:rPr>
          <w:rFonts w:eastAsia="SimSun"/>
        </w:rPr>
        <w:t>itraconazole 100</w:t>
      </w:r>
      <w:r w:rsidR="001C424E">
        <w:rPr>
          <w:rFonts w:eastAsia="SimSun"/>
        </w:rPr>
        <w:t> </w:t>
      </w:r>
      <w:r w:rsidR="002F0B59" w:rsidRPr="002F0B59">
        <w:rPr>
          <w:rFonts w:eastAsia="SimSun"/>
        </w:rPr>
        <w:t>mg twice daily</w:t>
      </w:r>
      <w:r w:rsidR="008B56AA">
        <w:rPr>
          <w:rFonts w:eastAsia="SimSun"/>
        </w:rPr>
        <w:t>,</w:t>
      </w:r>
      <w:r w:rsidR="002F0B59" w:rsidRPr="002F0B59">
        <w:rPr>
          <w:rFonts w:eastAsia="SimSun"/>
        </w:rPr>
        <w:t xml:space="preserve"> with a single 0.5</w:t>
      </w:r>
      <w:r w:rsidR="001C424E">
        <w:rPr>
          <w:rFonts w:eastAsia="SimSun"/>
        </w:rPr>
        <w:t> </w:t>
      </w:r>
      <w:r w:rsidR="002F0B59" w:rsidRPr="002F0B59">
        <w:rPr>
          <w:rFonts w:eastAsia="SimSun"/>
        </w:rPr>
        <w:t>mg talazoparib dose increased talazoparib total exposure (AUC</w:t>
      </w:r>
      <w:r w:rsidR="002F0B59" w:rsidRPr="002F0B59">
        <w:rPr>
          <w:rFonts w:eastAsia="SimSun"/>
          <w:vertAlign w:val="subscript"/>
        </w:rPr>
        <w:t>inf</w:t>
      </w:r>
      <w:r w:rsidR="002F0B59" w:rsidRPr="002F0B59">
        <w:rPr>
          <w:rFonts w:eastAsia="SimSun"/>
        </w:rPr>
        <w:t>) and peak concentration (C</w:t>
      </w:r>
      <w:r w:rsidR="002F0B59" w:rsidRPr="002F0B59">
        <w:rPr>
          <w:rFonts w:eastAsia="SimSun"/>
          <w:vertAlign w:val="subscript"/>
        </w:rPr>
        <w:t>max</w:t>
      </w:r>
      <w:r w:rsidR="002F0B59" w:rsidRPr="002F0B59">
        <w:rPr>
          <w:rFonts w:eastAsia="SimSun"/>
        </w:rPr>
        <w:t>) by approximately 56% and 40%, respectively, relative to a single 0.5</w:t>
      </w:r>
      <w:r w:rsidR="00E93FBA">
        <w:rPr>
          <w:rFonts w:eastAsia="SimSun"/>
        </w:rPr>
        <w:t> </w:t>
      </w:r>
      <w:r w:rsidR="002F0B59" w:rsidRPr="002F0B59">
        <w:rPr>
          <w:rFonts w:eastAsia="SimSun"/>
        </w:rPr>
        <w:t xml:space="preserve">mg talazoparib dose administered alone. </w:t>
      </w:r>
      <w:r w:rsidR="001B0651">
        <w:rPr>
          <w:rFonts w:eastAsia="SimSun"/>
        </w:rPr>
        <w:t>A p</w:t>
      </w:r>
      <w:r w:rsidR="0004125B" w:rsidRPr="0004125B">
        <w:rPr>
          <w:rFonts w:eastAsia="SimSun"/>
        </w:rPr>
        <w:t xml:space="preserve">opulation pharmacokinetic (PK) analysis has </w:t>
      </w:r>
      <w:r w:rsidR="002F0B59">
        <w:rPr>
          <w:rFonts w:eastAsia="SimSun"/>
        </w:rPr>
        <w:t xml:space="preserve">also </w:t>
      </w:r>
      <w:r w:rsidR="0004125B" w:rsidRPr="0004125B">
        <w:rPr>
          <w:rFonts w:eastAsia="SimSun"/>
        </w:rPr>
        <w:t xml:space="preserve">shown that concomitant use of strong P-gp inhibitors with </w:t>
      </w:r>
      <w:r w:rsidR="0004125B">
        <w:rPr>
          <w:rFonts w:eastAsia="SimSun"/>
        </w:rPr>
        <w:t>TALZENNA</w:t>
      </w:r>
      <w:r w:rsidR="0004125B" w:rsidRPr="0004125B">
        <w:rPr>
          <w:rFonts w:eastAsia="SimSun"/>
        </w:rPr>
        <w:t xml:space="preserve"> increased talazoparib exposure by 44.7% relative to </w:t>
      </w:r>
      <w:r w:rsidR="0004125B">
        <w:rPr>
          <w:rFonts w:eastAsia="SimSun"/>
        </w:rPr>
        <w:t>TALZENNA</w:t>
      </w:r>
      <w:r w:rsidR="00EA7BD6">
        <w:rPr>
          <w:rFonts w:eastAsia="SimSun"/>
        </w:rPr>
        <w:t xml:space="preserve"> given alone.</w:t>
      </w:r>
    </w:p>
    <w:p w14:paraId="377FE126" w14:textId="5F856268" w:rsidR="00574DD1" w:rsidRDefault="001C52EE" w:rsidP="001C52EE">
      <w:pPr>
        <w:pStyle w:val="CLDNormal"/>
      </w:pPr>
      <w:r>
        <w:rPr>
          <w:rFonts w:eastAsia="SimSun"/>
        </w:rPr>
        <w:t xml:space="preserve">If </w:t>
      </w:r>
      <w:r>
        <w:t xml:space="preserve">coadministration with a </w:t>
      </w:r>
      <w:r>
        <w:rPr>
          <w:rFonts w:eastAsia="SimSun"/>
        </w:rPr>
        <w:t>strong P-gp inhibitor</w:t>
      </w:r>
      <w:r w:rsidR="00A32FFA">
        <w:rPr>
          <w:rFonts w:eastAsia="SimSun"/>
        </w:rPr>
        <w:t xml:space="preserve">, </w:t>
      </w:r>
      <w:r w:rsidR="00A32FFA" w:rsidRPr="007D4DC8">
        <w:rPr>
          <w:rFonts w:eastAsia="SimSun"/>
        </w:rPr>
        <w:t xml:space="preserve">those that result in </w:t>
      </w:r>
      <w:r w:rsidR="00EA7BD6">
        <w:rPr>
          <w:rFonts w:eastAsia="SimSun"/>
        </w:rPr>
        <w:sym w:font="Symbol" w:char="F0B3"/>
      </w:r>
      <w:r w:rsidR="00A32FFA" w:rsidRPr="007D4DC8">
        <w:rPr>
          <w:rFonts w:eastAsia="SimSun"/>
        </w:rPr>
        <w:t xml:space="preserve">2-fold increase in the exposure of an </w:t>
      </w:r>
      <w:r w:rsidR="00A32FFA" w:rsidRPr="004246E6">
        <w:rPr>
          <w:rFonts w:eastAsia="SimSun"/>
          <w:i/>
        </w:rPr>
        <w:t>in vivo</w:t>
      </w:r>
      <w:r w:rsidR="00A32FFA" w:rsidRPr="007D4DC8">
        <w:rPr>
          <w:rFonts w:eastAsia="SimSun"/>
        </w:rPr>
        <w:t xml:space="preserve"> probe P-gp substrate</w:t>
      </w:r>
      <w:r w:rsidR="00A32FFA" w:rsidRPr="00C02688">
        <w:rPr>
          <w:rFonts w:eastAsia="SimSun"/>
        </w:rPr>
        <w:t>,</w:t>
      </w:r>
      <w:r>
        <w:rPr>
          <w:rFonts w:eastAsia="SimSun"/>
        </w:rPr>
        <w:t xml:space="preserve"> (including but not limited to</w:t>
      </w:r>
      <w:r>
        <w:t xml:space="preserve"> amiodarone, carvedilol, clarithromycin, cobicistat, darunavir, dronedarone, erythromycin, indinavir, itraconazole, ketoconazole, lapatinib, lopinavir, propafenone, quinidine, ranolazine, ritonavir, saquinavir, telaprevir, tipranavir, valspodar and verapamil) is unavoidable</w:t>
      </w:r>
      <w:r w:rsidR="00F25B8C" w:rsidRPr="007D6064">
        <w:t xml:space="preserve">, </w:t>
      </w:r>
      <w:r w:rsidR="00E201FA">
        <w:t>the TALZENNA dose should be reduced (</w:t>
      </w:r>
      <w:r w:rsidR="0004125B" w:rsidRPr="007D6064">
        <w:rPr>
          <w:rFonts w:eastAsia="SimSun"/>
        </w:rPr>
        <w:t>see Section</w:t>
      </w:r>
      <w:r w:rsidR="001F73B0" w:rsidRPr="007D6064">
        <w:rPr>
          <w:rFonts w:eastAsia="SimSun"/>
        </w:rPr>
        <w:t> </w:t>
      </w:r>
      <w:r w:rsidR="0004125B" w:rsidRPr="007D6064">
        <w:rPr>
          <w:rFonts w:eastAsia="SimSun"/>
        </w:rPr>
        <w:t>4.2</w:t>
      </w:r>
      <w:r w:rsidR="00465055" w:rsidRPr="007D6064">
        <w:rPr>
          <w:rFonts w:eastAsia="SimSun"/>
        </w:rPr>
        <w:t xml:space="preserve"> </w:t>
      </w:r>
      <w:r w:rsidR="00DB7473" w:rsidRPr="007D6064">
        <w:t xml:space="preserve">Dose and method of administration </w:t>
      </w:r>
      <w:r w:rsidR="0086571F" w:rsidRPr="007D6064">
        <w:t>-</w:t>
      </w:r>
      <w:r w:rsidR="00DB7473" w:rsidRPr="007D6064">
        <w:t xml:space="preserve"> </w:t>
      </w:r>
      <w:r w:rsidR="0086571F" w:rsidRPr="007D6064">
        <w:t xml:space="preserve">Dosage adjustment - </w:t>
      </w:r>
      <w:r w:rsidR="00DB7473" w:rsidRPr="007D6064">
        <w:t>Concomitant treatment with inhibitors of P</w:t>
      </w:r>
      <w:r w:rsidR="00DB7473" w:rsidRPr="007D6064">
        <w:noBreakHyphen/>
        <w:t>glycoprotein</w:t>
      </w:r>
      <w:r w:rsidR="00E201FA">
        <w:t>)</w:t>
      </w:r>
      <w:r w:rsidR="00A35652" w:rsidRPr="007D6064">
        <w:t>.</w:t>
      </w:r>
    </w:p>
    <w:p w14:paraId="3C2848A6" w14:textId="72D35569" w:rsidR="00924CAA" w:rsidRDefault="005C7B36" w:rsidP="001C52EE">
      <w:pPr>
        <w:pStyle w:val="CLDNormal"/>
      </w:pPr>
      <w:r>
        <w:rPr>
          <w:rFonts w:eastAsia="SimSun"/>
        </w:rPr>
        <w:lastRenderedPageBreak/>
        <w:t>A p</w:t>
      </w:r>
      <w:r w:rsidRPr="005F2E18">
        <w:rPr>
          <w:rFonts w:eastAsia="SimSun"/>
        </w:rPr>
        <w:t xml:space="preserve">opulation PK analysis </w:t>
      </w:r>
      <w:r>
        <w:rPr>
          <w:rFonts w:eastAsia="SimSun"/>
        </w:rPr>
        <w:t>has shown that c</w:t>
      </w:r>
      <w:r w:rsidRPr="005362FB">
        <w:t xml:space="preserve">oadministration with </w:t>
      </w:r>
      <w:r>
        <w:t xml:space="preserve">relatively weak </w:t>
      </w:r>
      <w:r w:rsidRPr="005362FB">
        <w:t>P</w:t>
      </w:r>
      <w:r w:rsidRPr="005362FB">
        <w:noBreakHyphen/>
        <w:t>gp inhibitor</w:t>
      </w:r>
      <w:r w:rsidRPr="007062A5">
        <w:t>s</w:t>
      </w:r>
      <w:r w:rsidRPr="009413FB">
        <w:t xml:space="preserve"> </w:t>
      </w:r>
      <w:r>
        <w:t>(including azithromycin, atorvastatin, diltiazem, felodipine, fluvoxamine and quercetin) in clinical studies had no significant effect on talazoparib exposure.</w:t>
      </w:r>
    </w:p>
    <w:p w14:paraId="3FED462C" w14:textId="77777777" w:rsidR="000F244E" w:rsidRPr="005802CE" w:rsidRDefault="000F244E" w:rsidP="002E1AA2">
      <w:pPr>
        <w:pStyle w:val="CLDHeading3"/>
      </w:pPr>
      <w:r w:rsidRPr="005802CE">
        <w:t>P-gp inducers</w:t>
      </w:r>
    </w:p>
    <w:p w14:paraId="0CA9E359" w14:textId="04C5ADF1" w:rsidR="002F0B59" w:rsidRPr="002F0B59" w:rsidRDefault="002F0B59" w:rsidP="00645BA5">
      <w:pPr>
        <w:pStyle w:val="CLDNormal"/>
        <w:rPr>
          <w:rFonts w:eastAsia="SimSun"/>
        </w:rPr>
      </w:pPr>
      <w:r w:rsidRPr="002F0B59">
        <w:rPr>
          <w:color w:val="auto"/>
          <w:spacing w:val="-1"/>
        </w:rPr>
        <w:t>Data from a drug-drug interaction study in patients with advanced solid tumo</w:t>
      </w:r>
      <w:r w:rsidR="00300F7B">
        <w:rPr>
          <w:color w:val="auto"/>
          <w:spacing w:val="-1"/>
        </w:rPr>
        <w:t>u</w:t>
      </w:r>
      <w:r w:rsidRPr="002F0B59">
        <w:rPr>
          <w:color w:val="auto"/>
          <w:spacing w:val="-1"/>
        </w:rPr>
        <w:t>rs indicated that coadministration of multiple daily doses of a P-gp inducer, rifampi</w:t>
      </w:r>
      <w:r w:rsidR="00DD6A71">
        <w:rPr>
          <w:color w:val="auto"/>
          <w:spacing w:val="-1"/>
        </w:rPr>
        <w:t>ci</w:t>
      </w:r>
      <w:r w:rsidRPr="002F0B59">
        <w:rPr>
          <w:color w:val="auto"/>
          <w:spacing w:val="-1"/>
        </w:rPr>
        <w:t xml:space="preserve">n 600 mg, with </w:t>
      </w:r>
      <w:r w:rsidR="00466013" w:rsidRPr="002F0B59">
        <w:rPr>
          <w:rFonts w:eastAsia="SimSun"/>
        </w:rPr>
        <w:t xml:space="preserve">a single </w:t>
      </w:r>
      <w:r w:rsidR="00466013">
        <w:rPr>
          <w:rFonts w:eastAsia="SimSun"/>
        </w:rPr>
        <w:t xml:space="preserve">1 mg </w:t>
      </w:r>
      <w:r w:rsidRPr="002F0B59">
        <w:rPr>
          <w:color w:val="auto"/>
          <w:spacing w:val="-1"/>
        </w:rPr>
        <w:t xml:space="preserve">talazoparib </w:t>
      </w:r>
      <w:r w:rsidR="00466013">
        <w:rPr>
          <w:rFonts w:eastAsia="SimSun"/>
        </w:rPr>
        <w:t xml:space="preserve">dose </w:t>
      </w:r>
      <w:r w:rsidRPr="002F0B59">
        <w:rPr>
          <w:color w:val="auto"/>
          <w:spacing w:val="-1"/>
        </w:rPr>
        <w:t>increased talazoparib C</w:t>
      </w:r>
      <w:r w:rsidRPr="002F0B59">
        <w:rPr>
          <w:color w:val="auto"/>
          <w:spacing w:val="-1"/>
          <w:vertAlign w:val="subscript"/>
        </w:rPr>
        <w:t>max</w:t>
      </w:r>
      <w:r w:rsidRPr="002F0B59">
        <w:rPr>
          <w:color w:val="auto"/>
          <w:spacing w:val="-1"/>
        </w:rPr>
        <w:t xml:space="preserve"> by </w:t>
      </w:r>
      <w:r w:rsidRPr="002F0B59">
        <w:rPr>
          <w:rFonts w:eastAsia="SimSun"/>
          <w:color w:val="auto"/>
          <w:szCs w:val="22"/>
        </w:rPr>
        <w:t>approximately</w:t>
      </w:r>
      <w:r w:rsidRPr="002F0B59">
        <w:rPr>
          <w:color w:val="auto"/>
          <w:spacing w:val="-1"/>
        </w:rPr>
        <w:t xml:space="preserve"> 37% </w:t>
      </w:r>
      <w:r w:rsidR="00466013">
        <w:rPr>
          <w:color w:val="auto"/>
          <w:spacing w:val="-1"/>
        </w:rPr>
        <w:t xml:space="preserve">with no effect on </w:t>
      </w:r>
      <w:r w:rsidR="00466013" w:rsidRPr="002F0B59">
        <w:rPr>
          <w:color w:val="auto"/>
          <w:spacing w:val="-1"/>
        </w:rPr>
        <w:t>talazoparib</w:t>
      </w:r>
      <w:r w:rsidR="00F17983">
        <w:rPr>
          <w:color w:val="auto"/>
          <w:spacing w:val="-1"/>
        </w:rPr>
        <w:t xml:space="preserve"> total</w:t>
      </w:r>
      <w:r w:rsidR="00EE512A">
        <w:rPr>
          <w:color w:val="auto"/>
          <w:spacing w:val="-1"/>
        </w:rPr>
        <w:t xml:space="preserve"> </w:t>
      </w:r>
      <w:r w:rsidR="00466013">
        <w:rPr>
          <w:color w:val="auto"/>
          <w:spacing w:val="-1"/>
        </w:rPr>
        <w:t>exposure</w:t>
      </w:r>
      <w:r w:rsidRPr="002F0B59">
        <w:rPr>
          <w:color w:val="auto"/>
          <w:spacing w:val="-1"/>
        </w:rPr>
        <w:t>.</w:t>
      </w:r>
      <w:r w:rsidR="00EE512A" w:rsidRPr="00EE512A">
        <w:rPr>
          <w:rFonts w:eastAsia="SimSun"/>
        </w:rPr>
        <w:t xml:space="preserve"> </w:t>
      </w:r>
      <w:r w:rsidRPr="002F0B59">
        <w:rPr>
          <w:color w:val="auto"/>
          <w:spacing w:val="-1"/>
        </w:rPr>
        <w:t xml:space="preserve">No </w:t>
      </w:r>
      <w:r>
        <w:rPr>
          <w:color w:val="auto"/>
          <w:spacing w:val="-1"/>
        </w:rPr>
        <w:t xml:space="preserve">talazoparib </w:t>
      </w:r>
      <w:r w:rsidRPr="002F0B59">
        <w:rPr>
          <w:color w:val="auto"/>
          <w:spacing w:val="-1"/>
        </w:rPr>
        <w:t>dose adjustments are requir</w:t>
      </w:r>
      <w:r>
        <w:rPr>
          <w:color w:val="auto"/>
          <w:spacing w:val="-1"/>
        </w:rPr>
        <w:t>ed with</w:t>
      </w:r>
      <w:r w:rsidRPr="002F0B59">
        <w:rPr>
          <w:color w:val="auto"/>
          <w:spacing w:val="-1"/>
        </w:rPr>
        <w:t xml:space="preserve"> P-gp inducers.</w:t>
      </w:r>
    </w:p>
    <w:p w14:paraId="6C838D3E" w14:textId="77777777" w:rsidR="000F244E" w:rsidRPr="00B22ED5" w:rsidRDefault="00786313" w:rsidP="002E1AA2">
      <w:pPr>
        <w:pStyle w:val="CLDHeading3"/>
      </w:pPr>
      <w:r w:rsidRPr="005F2E18">
        <w:t>Breast Cancer Resistance Protein (</w:t>
      </w:r>
      <w:r w:rsidR="000F244E" w:rsidRPr="00B22ED5">
        <w:t>BCRP</w:t>
      </w:r>
      <w:r>
        <w:t>)</w:t>
      </w:r>
      <w:r w:rsidR="000F244E" w:rsidRPr="00B22ED5">
        <w:t xml:space="preserve"> inhibitors</w:t>
      </w:r>
    </w:p>
    <w:p w14:paraId="0DCE8168" w14:textId="5A30B1A5" w:rsidR="000F244E" w:rsidRDefault="000F244E" w:rsidP="00C7457F">
      <w:pPr>
        <w:pStyle w:val="CLDNormal"/>
      </w:pPr>
      <w:r w:rsidRPr="00C7457F">
        <w:rPr>
          <w:rFonts w:eastAsia="SimSun"/>
        </w:rPr>
        <w:t xml:space="preserve">The effect of BCRP inhibitors on </w:t>
      </w:r>
      <w:r w:rsidR="001B0651">
        <w:rPr>
          <w:rFonts w:eastAsia="SimSun"/>
        </w:rPr>
        <w:t xml:space="preserve">the </w:t>
      </w:r>
      <w:r w:rsidRPr="00C7457F">
        <w:rPr>
          <w:rFonts w:eastAsia="SimSun"/>
        </w:rPr>
        <w:t xml:space="preserve">PK of talazoparib has not been studied. </w:t>
      </w:r>
      <w:r w:rsidR="007321FD" w:rsidRPr="007321FD">
        <w:t xml:space="preserve">Coadministration with BCRP inhibitors may increase talazoparib exposure. </w:t>
      </w:r>
      <w:r w:rsidRPr="00C7457F">
        <w:rPr>
          <w:rFonts w:eastAsia="SimSun"/>
        </w:rPr>
        <w:t xml:space="preserve">Concomitant use of strong </w:t>
      </w:r>
      <w:r w:rsidRPr="00A27FCC">
        <w:t>BCRP inhibitors (including but not limited to curcumin, c</w:t>
      </w:r>
      <w:r w:rsidR="000C70F2" w:rsidRPr="00A27FCC">
        <w:t>i</w:t>
      </w:r>
      <w:r w:rsidRPr="00C7457F">
        <w:t xml:space="preserve">closporin and </w:t>
      </w:r>
      <w:r w:rsidRPr="007D78E3">
        <w:t>elacridar [GF120918]) should</w:t>
      </w:r>
      <w:r w:rsidRPr="00C7457F">
        <w:t xml:space="preserve"> be avoided</w:t>
      </w:r>
      <w:r w:rsidR="007D78E3">
        <w:t>.</w:t>
      </w:r>
      <w:r w:rsidRPr="00C7457F">
        <w:t xml:space="preserve"> </w:t>
      </w:r>
      <w:r w:rsidR="007321FD" w:rsidRPr="007321FD">
        <w:t>If coadministration cannot be avoided, monitor patients for potential adverse reactions when coadministering</w:t>
      </w:r>
      <w:r w:rsidR="00532B15">
        <w:t>.</w:t>
      </w:r>
    </w:p>
    <w:p w14:paraId="562F67F2" w14:textId="77777777" w:rsidR="00285FDA" w:rsidRPr="005F2E18" w:rsidRDefault="007D6064" w:rsidP="00285FDA">
      <w:pPr>
        <w:pStyle w:val="CLDHeading3"/>
      </w:pPr>
      <w:r>
        <w:t>A</w:t>
      </w:r>
      <w:r w:rsidR="00285FDA" w:rsidRPr="005F2E18">
        <w:t>cid-reducing agents</w:t>
      </w:r>
    </w:p>
    <w:p w14:paraId="73B39B1C" w14:textId="191BF490" w:rsidR="00285FDA" w:rsidRPr="002774E0" w:rsidRDefault="008B6DBE" w:rsidP="005A3A3D">
      <w:pPr>
        <w:pStyle w:val="CLDNormal"/>
      </w:pPr>
      <w:r>
        <w:t>A p</w:t>
      </w:r>
      <w:r w:rsidR="00285FDA" w:rsidRPr="002774E0">
        <w:t>opulation PK analysis indicates that coadministration of acid-reducing agents including proton pump inhibitors (PPI), histamine receptor 2 antagonists (H2RA) or other acid</w:t>
      </w:r>
      <w:r w:rsidR="00285FDA" w:rsidRPr="002774E0">
        <w:noBreakHyphen/>
        <w:t>reducing agents had no significant impact on the absorption of talazoparib.</w:t>
      </w:r>
    </w:p>
    <w:p w14:paraId="4C52661A" w14:textId="6082082F" w:rsidR="00DA2C6B" w:rsidRPr="00723929" w:rsidRDefault="00DA2C6B" w:rsidP="00DA2C6B">
      <w:pPr>
        <w:pStyle w:val="CLDHeading3"/>
      </w:pPr>
      <w:r>
        <w:t>A</w:t>
      </w:r>
      <w:r w:rsidRPr="00723929">
        <w:t xml:space="preserve">dministration with CYP </w:t>
      </w:r>
      <w:r w:rsidR="00315291">
        <w:t>s</w:t>
      </w:r>
      <w:r w:rsidRPr="00723929">
        <w:t>ubstrates</w:t>
      </w:r>
    </w:p>
    <w:p w14:paraId="1023C0B3" w14:textId="77777777" w:rsidR="00DA2C6B" w:rsidRDefault="00DA2C6B" w:rsidP="00DA2C6B">
      <w:pPr>
        <w:pStyle w:val="CLDNormal"/>
        <w:rPr>
          <w:color w:val="000000"/>
        </w:rPr>
      </w:pPr>
      <w:r w:rsidRPr="00723929">
        <w:rPr>
          <w:i/>
        </w:rPr>
        <w:t>In vitro</w:t>
      </w:r>
      <w:r>
        <w:t>, talazoparib was not an inhibitor of cytochrome (CYP)</w:t>
      </w:r>
      <w:r w:rsidRPr="00723929">
        <w:t>1A2</w:t>
      </w:r>
      <w:r>
        <w:t xml:space="preserve">, </w:t>
      </w:r>
      <w:r w:rsidRPr="00723929">
        <w:t>CYP2</w:t>
      </w:r>
      <w:r>
        <w:t>B6</w:t>
      </w:r>
      <w:r w:rsidRPr="00723929">
        <w:t>, CYP2C8, CYP2C9, CYP2C19</w:t>
      </w:r>
      <w:r>
        <w:t xml:space="preserve">, </w:t>
      </w:r>
      <w:r w:rsidRPr="00723929">
        <w:t>CYP2D6 or CYP</w:t>
      </w:r>
      <w:r>
        <w:t xml:space="preserve">3A4/5 or an inducer of </w:t>
      </w:r>
      <w:r w:rsidRPr="00723929">
        <w:t>CYP1A2</w:t>
      </w:r>
      <w:r>
        <w:t>, CYP2B6 or CYP3A4 at clinically relevant concentrations</w:t>
      </w:r>
      <w:r w:rsidRPr="00723929">
        <w:rPr>
          <w:color w:val="000000"/>
        </w:rPr>
        <w:t>.</w:t>
      </w:r>
    </w:p>
    <w:p w14:paraId="46A450EB" w14:textId="26DF950A" w:rsidR="00DA2C6B" w:rsidRPr="00417398" w:rsidRDefault="00DA2C6B" w:rsidP="00DA2C6B">
      <w:pPr>
        <w:pStyle w:val="CLDHeading3"/>
      </w:pPr>
      <w:r>
        <w:t>A</w:t>
      </w:r>
      <w:r w:rsidRPr="00417398">
        <w:t xml:space="preserve">dministration with </w:t>
      </w:r>
      <w:r w:rsidR="00315291">
        <w:t>s</w:t>
      </w:r>
      <w:r w:rsidRPr="00417398">
        <w:t xml:space="preserve">ubstrates of </w:t>
      </w:r>
      <w:r w:rsidR="00315291">
        <w:t>t</w:t>
      </w:r>
      <w:r w:rsidRPr="00417398">
        <w:t>ransporters</w:t>
      </w:r>
    </w:p>
    <w:p w14:paraId="28C12290" w14:textId="2BC90F2C" w:rsidR="00DA2C6B" w:rsidRPr="005D0310" w:rsidRDefault="00DA2C6B" w:rsidP="00DA2C6B">
      <w:pPr>
        <w:pStyle w:val="CLDNormal"/>
      </w:pPr>
      <w:r w:rsidRPr="005D0310">
        <w:rPr>
          <w:i/>
        </w:rPr>
        <w:t>In vitro</w:t>
      </w:r>
      <w:r w:rsidRPr="005D0310">
        <w:t>, talazoparib did not inhibit any of the major intestinal, hepatic or renal membrane transporters (P-gp, BCRP, organic anion transporting polypeptide [OATP]1B1, OATP1B3, organic cationic transporter [OCT]1</w:t>
      </w:r>
      <w:r w:rsidR="00DE08EE">
        <w:t>,</w:t>
      </w:r>
      <w:r w:rsidRPr="005D0310">
        <w:t xml:space="preserve"> OCT2, organic anion transporter [OAT]1, OAT3, bile salt export pump [BSEP], multidrug and toxin extrusion [MATE]1 and MATE2-K) at clin</w:t>
      </w:r>
      <w:r w:rsidR="00EA7BD6">
        <w:t>ically relevant concentrations.</w:t>
      </w:r>
    </w:p>
    <w:p w14:paraId="1457A3F7" w14:textId="6A656364" w:rsidR="00DA2C6B" w:rsidRDefault="00DA2C6B" w:rsidP="00DA2C6B">
      <w:pPr>
        <w:pStyle w:val="CLDHeading3"/>
      </w:pPr>
      <w:r>
        <w:t xml:space="preserve">Administration with UGT </w:t>
      </w:r>
      <w:r w:rsidR="00315291">
        <w:t>s</w:t>
      </w:r>
      <w:r>
        <w:t>ubstrates</w:t>
      </w:r>
    </w:p>
    <w:p w14:paraId="0139F04F" w14:textId="77777777" w:rsidR="00DA2C6B" w:rsidRPr="005F2E18" w:rsidRDefault="00DA2C6B" w:rsidP="00DA2C6B">
      <w:pPr>
        <w:pStyle w:val="CLDNormal"/>
      </w:pPr>
      <w:r w:rsidRPr="00723929">
        <w:rPr>
          <w:i/>
        </w:rPr>
        <w:t>In vitro</w:t>
      </w:r>
      <w:r>
        <w:t xml:space="preserve">, talazoparib did not inhibit any of the major </w:t>
      </w:r>
      <w:r>
        <w:rPr>
          <w:szCs w:val="16"/>
        </w:rPr>
        <w:t>uridine-diphosphate glucuronosyltransferase (</w:t>
      </w:r>
      <w:r w:rsidRPr="003658C0">
        <w:t>UGT</w:t>
      </w:r>
      <w:r>
        <w:t>) isoforms (</w:t>
      </w:r>
      <w:r w:rsidRPr="003658C0">
        <w:t>1A1, 1A4, 1A6, 1A9</w:t>
      </w:r>
      <w:r>
        <w:t xml:space="preserve">, </w:t>
      </w:r>
      <w:r w:rsidRPr="003658C0">
        <w:t>2B7</w:t>
      </w:r>
      <w:r>
        <w:t xml:space="preserve"> and </w:t>
      </w:r>
      <w:r w:rsidRPr="003658C0">
        <w:t>2B</w:t>
      </w:r>
      <w:r>
        <w:t>15) at clinically relevant concentrations</w:t>
      </w:r>
      <w:r w:rsidRPr="00984FCB">
        <w:t>.</w:t>
      </w:r>
    </w:p>
    <w:p w14:paraId="26C4B54E" w14:textId="77777777" w:rsidR="00813C0D" w:rsidRPr="00356A96" w:rsidRDefault="00813C0D" w:rsidP="004A350C">
      <w:pPr>
        <w:pStyle w:val="CLDHeading2"/>
      </w:pPr>
      <w:r w:rsidRPr="00356A96">
        <w:t>4.6</w:t>
      </w:r>
      <w:r w:rsidR="00BD1C44">
        <w:tab/>
      </w:r>
      <w:r w:rsidRPr="00356A96">
        <w:t>Fertility, pregnancy and lactation</w:t>
      </w:r>
    </w:p>
    <w:p w14:paraId="636C4A6D" w14:textId="77777777" w:rsidR="00813C0D" w:rsidRDefault="00813C0D" w:rsidP="00645BA5">
      <w:pPr>
        <w:pStyle w:val="CLDHeading3"/>
      </w:pPr>
      <w:r>
        <w:t xml:space="preserve">Effects on </w:t>
      </w:r>
      <w:r w:rsidR="00B50743">
        <w:t>f</w:t>
      </w:r>
      <w:r>
        <w:t>ertility</w:t>
      </w:r>
    </w:p>
    <w:p w14:paraId="4C701BD0" w14:textId="33B28404" w:rsidR="001723AF" w:rsidRPr="0011701B" w:rsidRDefault="001723AF" w:rsidP="00632513">
      <w:pPr>
        <w:pStyle w:val="CLDNormal"/>
        <w:rPr>
          <w:szCs w:val="24"/>
        </w:rPr>
      </w:pPr>
      <w:r w:rsidRPr="0011701B">
        <w:rPr>
          <w:szCs w:val="24"/>
        </w:rPr>
        <w:t xml:space="preserve">There is no information on fertility in </w:t>
      </w:r>
      <w:r w:rsidR="00277AC9">
        <w:rPr>
          <w:szCs w:val="24"/>
        </w:rPr>
        <w:t>humans</w:t>
      </w:r>
      <w:r w:rsidRPr="0011701B">
        <w:rPr>
          <w:szCs w:val="24"/>
        </w:rPr>
        <w:t>. Based on non-clinical findings in testes and ovary, male and female fertility may be compromised by treatment with TALZENNA (see Section 5.3</w:t>
      </w:r>
      <w:r w:rsidR="00B2685A" w:rsidRPr="0011701B">
        <w:rPr>
          <w:szCs w:val="24"/>
        </w:rPr>
        <w:t xml:space="preserve"> Preclinical safety data – Repeat-dose toxicity</w:t>
      </w:r>
      <w:r w:rsidRPr="0011701B">
        <w:rPr>
          <w:szCs w:val="24"/>
        </w:rPr>
        <w:t>).</w:t>
      </w:r>
    </w:p>
    <w:p w14:paraId="03E7E56A" w14:textId="3C65B7A9" w:rsidR="00813C0D" w:rsidRPr="001C424E" w:rsidRDefault="00AF15F4" w:rsidP="00645BA5">
      <w:pPr>
        <w:pStyle w:val="CLDHeading3"/>
        <w:rPr>
          <w:rFonts w:ascii="Times New Roman" w:hAnsi="Times New Roman" w:cs="Times New Roman"/>
        </w:rPr>
      </w:pPr>
      <w:r w:rsidRPr="001C424E">
        <w:rPr>
          <w:rFonts w:ascii="Times New Roman" w:hAnsi="Times New Roman" w:cs="Times New Roman"/>
        </w:rPr>
        <w:lastRenderedPageBreak/>
        <w:t>Use in pregnancy</w:t>
      </w:r>
      <w:r w:rsidR="00813C0D" w:rsidRPr="001C424E">
        <w:rPr>
          <w:rFonts w:ascii="Times New Roman" w:hAnsi="Times New Roman" w:cs="Times New Roman"/>
        </w:rPr>
        <w:t xml:space="preserve"> - Pregnancy Category D</w:t>
      </w:r>
    </w:p>
    <w:p w14:paraId="52F341ED" w14:textId="22C2A77D" w:rsidR="004E6C0D" w:rsidRPr="00632513" w:rsidRDefault="001723AF" w:rsidP="00632513">
      <w:pPr>
        <w:pStyle w:val="CLDNormal"/>
      </w:pPr>
      <w:r w:rsidRPr="00632513">
        <w:t xml:space="preserve">There are no data from the use of TALZENNA in pregnant women. </w:t>
      </w:r>
      <w:r w:rsidR="004E6C0D" w:rsidRPr="00632513">
        <w:t>Based on findings from animal studies and its mechanism of action, TALZENNA can cause embryo</w:t>
      </w:r>
      <w:r w:rsidR="00707D23" w:rsidRPr="00632513">
        <w:t>-</w:t>
      </w:r>
      <w:r w:rsidR="004E6C0D" w:rsidRPr="00632513">
        <w:t>fetal harm when administered to a pregnant woman</w:t>
      </w:r>
      <w:r w:rsidR="00532B15">
        <w:t xml:space="preserve"> </w:t>
      </w:r>
      <w:r w:rsidRPr="00632513">
        <w:t>(see Section 5.3</w:t>
      </w:r>
      <w:r w:rsidR="00B2685A" w:rsidRPr="00632513">
        <w:t xml:space="preserve"> Preclinical safety data – Reproductive toxicology</w:t>
      </w:r>
      <w:r w:rsidRPr="00632513">
        <w:t>).</w:t>
      </w:r>
    </w:p>
    <w:p w14:paraId="5934F7A3" w14:textId="3D077D5B" w:rsidR="00813C0D" w:rsidRPr="00632513" w:rsidRDefault="001723AF" w:rsidP="00632513">
      <w:pPr>
        <w:pStyle w:val="CLDNormal"/>
      </w:pPr>
      <w:r w:rsidRPr="00632513">
        <w:t>TALZENNA is not recommended during pregnancy or for women of childbearing potential not using contraception (see Section 4.4</w:t>
      </w:r>
      <w:r w:rsidR="00B2685A" w:rsidRPr="00632513">
        <w:t xml:space="preserve"> Special warnings and precautions for use – Embyro-fetal toxicity</w:t>
      </w:r>
      <w:r w:rsidRPr="00632513">
        <w:t>).</w:t>
      </w:r>
    </w:p>
    <w:p w14:paraId="600D208C" w14:textId="77777777" w:rsidR="00813C0D" w:rsidRPr="001C424E" w:rsidRDefault="00813C0D" w:rsidP="00645BA5">
      <w:pPr>
        <w:pStyle w:val="CLDHeading3"/>
        <w:rPr>
          <w:rFonts w:ascii="Times New Roman" w:hAnsi="Times New Roman" w:cs="Times New Roman"/>
        </w:rPr>
      </w:pPr>
      <w:r w:rsidRPr="001C424E">
        <w:rPr>
          <w:rFonts w:ascii="Times New Roman" w:hAnsi="Times New Roman" w:cs="Times New Roman"/>
        </w:rPr>
        <w:t xml:space="preserve">Use in </w:t>
      </w:r>
      <w:r w:rsidR="00B50743" w:rsidRPr="001C424E">
        <w:rPr>
          <w:rFonts w:ascii="Times New Roman" w:hAnsi="Times New Roman" w:cs="Times New Roman"/>
        </w:rPr>
        <w:t>l</w:t>
      </w:r>
      <w:r w:rsidRPr="001C424E">
        <w:rPr>
          <w:rFonts w:ascii="Times New Roman" w:hAnsi="Times New Roman" w:cs="Times New Roman"/>
        </w:rPr>
        <w:t>actation</w:t>
      </w:r>
    </w:p>
    <w:p w14:paraId="72A6901F" w14:textId="013C3037" w:rsidR="00813C0D" w:rsidRPr="0025418E" w:rsidRDefault="00AF15F4" w:rsidP="0025418E">
      <w:pPr>
        <w:pStyle w:val="CLDNormal"/>
      </w:pPr>
      <w:r w:rsidRPr="005B4E45">
        <w:t>There</w:t>
      </w:r>
      <w:r w:rsidR="005B4E45" w:rsidRPr="005B4E45">
        <w:t xml:space="preserve"> are no data on the presence of talazoparib in human milk, the effects of the drug on milk production or the effects of the drug on the breastfed child. Because of the potential for serious adverse reactions in a breastfed child from talazoparib, advise lactating women not to breastfeed during treatment with TALZENNA and for at least 1</w:t>
      </w:r>
      <w:r w:rsidR="00817B56">
        <w:t> </w:t>
      </w:r>
      <w:r w:rsidR="005B4E45" w:rsidRPr="005B4E45">
        <w:t>month after the final dose.</w:t>
      </w:r>
    </w:p>
    <w:p w14:paraId="7AF3D95D" w14:textId="77777777" w:rsidR="00813C0D" w:rsidRPr="00EA04D4" w:rsidRDefault="00813C0D" w:rsidP="004A350C">
      <w:pPr>
        <w:pStyle w:val="CLDHeading2"/>
      </w:pPr>
      <w:r w:rsidRPr="00EA04D4">
        <w:t>4.7</w:t>
      </w:r>
      <w:r w:rsidRPr="00EA04D4">
        <w:tab/>
        <w:t xml:space="preserve">Effects on </w:t>
      </w:r>
      <w:r w:rsidR="00B50743">
        <w:t>a</w:t>
      </w:r>
      <w:r w:rsidRPr="00EA04D4">
        <w:t xml:space="preserve">bility to </w:t>
      </w:r>
      <w:r w:rsidR="00B50743">
        <w:t>d</w:t>
      </w:r>
      <w:r w:rsidRPr="00EA04D4">
        <w:t xml:space="preserve">rive and </w:t>
      </w:r>
      <w:r w:rsidR="00B50743">
        <w:t>u</w:t>
      </w:r>
      <w:r w:rsidRPr="00EA04D4">
        <w:t xml:space="preserve">se </w:t>
      </w:r>
      <w:r w:rsidR="00B50743">
        <w:t>m</w:t>
      </w:r>
      <w:r w:rsidRPr="00EA04D4">
        <w:t>achines</w:t>
      </w:r>
    </w:p>
    <w:p w14:paraId="77E6B865" w14:textId="77777777" w:rsidR="00813C0D" w:rsidRPr="003773F0" w:rsidRDefault="00813C0D" w:rsidP="003773F0">
      <w:pPr>
        <w:pStyle w:val="CLDNormal"/>
      </w:pPr>
      <w:r w:rsidRPr="003773F0">
        <w:t xml:space="preserve">No studies </w:t>
      </w:r>
      <w:r w:rsidR="00BD7D9C" w:rsidRPr="003773F0">
        <w:rPr>
          <w:rFonts w:eastAsia="TimesNewRoman"/>
        </w:rPr>
        <w:t xml:space="preserve">have been conducted on the effects </w:t>
      </w:r>
      <w:r w:rsidRPr="003773F0">
        <w:t xml:space="preserve">of talazoparib on the ability to drive </w:t>
      </w:r>
      <w:r w:rsidR="00BD7D9C" w:rsidRPr="003773F0">
        <w:rPr>
          <w:rFonts w:eastAsia="TimesNewRoman"/>
        </w:rPr>
        <w:t>or operate machinery</w:t>
      </w:r>
      <w:r w:rsidRPr="003773F0">
        <w:t xml:space="preserve">. However, </w:t>
      </w:r>
      <w:r w:rsidR="00BD7D9C" w:rsidRPr="003773F0">
        <w:rPr>
          <w:rFonts w:eastAsia="TimesNewRoman"/>
        </w:rPr>
        <w:t xml:space="preserve">patients experiencing fatigue/asthenia or dizziness </w:t>
      </w:r>
      <w:r w:rsidRPr="003773F0">
        <w:t xml:space="preserve">while taking </w:t>
      </w:r>
      <w:r w:rsidR="00BD7D9C" w:rsidRPr="003773F0">
        <w:t xml:space="preserve">TALZENNA </w:t>
      </w:r>
      <w:r w:rsidR="00BD7D9C" w:rsidRPr="003773F0">
        <w:rPr>
          <w:rFonts w:eastAsia="TimesNewRoman"/>
        </w:rPr>
        <w:t>should exercise caution when driving or operating machinery.</w:t>
      </w:r>
    </w:p>
    <w:p w14:paraId="693D0562" w14:textId="595FA646" w:rsidR="00813C0D" w:rsidRPr="004F1F91" w:rsidRDefault="00813C0D" w:rsidP="004A350C">
      <w:pPr>
        <w:pStyle w:val="CLDHeading2"/>
      </w:pPr>
      <w:r w:rsidRPr="004F1F91">
        <w:t>4.8</w:t>
      </w:r>
      <w:r w:rsidRPr="004F1F91">
        <w:tab/>
        <w:t>Adverse effects (</w:t>
      </w:r>
      <w:r w:rsidR="00A216A1">
        <w:t>u</w:t>
      </w:r>
      <w:r w:rsidRPr="004F1F91">
        <w:t>ndesirable effects)</w:t>
      </w:r>
    </w:p>
    <w:p w14:paraId="20D3D0EC" w14:textId="38280F0C" w:rsidR="000258A0" w:rsidRPr="00B95933" w:rsidRDefault="000258A0" w:rsidP="000258A0">
      <w:pPr>
        <w:pStyle w:val="CLDHeading3"/>
      </w:pPr>
      <w:r w:rsidRPr="002C002C">
        <w:t xml:space="preserve">Randomised Phase 3 </w:t>
      </w:r>
      <w:r w:rsidR="009B424C" w:rsidRPr="002C002C">
        <w:t>s</w:t>
      </w:r>
      <w:r w:rsidRPr="002C002C">
        <w:t>tudy -</w:t>
      </w:r>
      <w:r>
        <w:t xml:space="preserve"> </w:t>
      </w:r>
      <w:r w:rsidR="00EA7BD6">
        <w:t>EMBRACA</w:t>
      </w:r>
    </w:p>
    <w:p w14:paraId="7BE1F837" w14:textId="253F1DDF" w:rsidR="00A216A1" w:rsidRDefault="00A216A1" w:rsidP="004E6BF7">
      <w:pPr>
        <w:pStyle w:val="CLDNormal"/>
        <w:rPr>
          <w:lang w:val="en-US"/>
        </w:rPr>
      </w:pPr>
      <w:r w:rsidRPr="00A216A1">
        <w:rPr>
          <w:lang w:val="en-US"/>
        </w:rPr>
        <w:t>The safety of TALZENNA as monotherapy was evalua</w:t>
      </w:r>
      <w:r>
        <w:rPr>
          <w:lang w:val="en-US"/>
        </w:rPr>
        <w:t xml:space="preserve">ted in </w:t>
      </w:r>
      <w:r w:rsidRPr="00A216A1">
        <w:rPr>
          <w:lang w:val="en-US"/>
        </w:rPr>
        <w:t>patients with</w:t>
      </w:r>
      <w:r>
        <w:rPr>
          <w:lang w:val="en-US"/>
        </w:rPr>
        <w:t xml:space="preserve"> a germline BRCA mutation and</w:t>
      </w:r>
      <w:r w:rsidRPr="00A216A1">
        <w:rPr>
          <w:lang w:val="en-US"/>
        </w:rPr>
        <w:t xml:space="preserve"> HER2-negative locally advanced or metastatic breast cancer who had previously received no more than 3 lines of chemotherapy for the treatment of locally advanced/metastatic disease. EMBRACA </w:t>
      </w:r>
      <w:r w:rsidR="007321FD" w:rsidRPr="004E6BF7">
        <w:rPr>
          <w:lang w:val="en-US"/>
        </w:rPr>
        <w:t>(</w:t>
      </w:r>
      <w:r w:rsidR="007321FD" w:rsidRPr="004E6BF7">
        <w:t xml:space="preserve">see Section 5.1 </w:t>
      </w:r>
      <w:r w:rsidR="007321FD" w:rsidRPr="004E6BF7">
        <w:rPr>
          <w:kern w:val="32"/>
        </w:rPr>
        <w:t xml:space="preserve">Pharmacodynamic properties – </w:t>
      </w:r>
      <w:r w:rsidR="007321FD" w:rsidRPr="004E6BF7">
        <w:t>Clinical Trials)</w:t>
      </w:r>
      <w:r w:rsidR="007321FD">
        <w:t xml:space="preserve"> </w:t>
      </w:r>
      <w:r w:rsidRPr="00A216A1">
        <w:rPr>
          <w:lang w:val="en-US"/>
        </w:rPr>
        <w:t>was a randomi</w:t>
      </w:r>
      <w:r>
        <w:rPr>
          <w:lang w:val="en-US"/>
        </w:rPr>
        <w:t>s</w:t>
      </w:r>
      <w:r w:rsidRPr="00A216A1">
        <w:rPr>
          <w:lang w:val="en-US"/>
        </w:rPr>
        <w:t>ed, open-label, multi-ce</w:t>
      </w:r>
      <w:r>
        <w:rPr>
          <w:lang w:val="en-US"/>
        </w:rPr>
        <w:t>nt</w:t>
      </w:r>
      <w:r w:rsidRPr="00A216A1">
        <w:rPr>
          <w:lang w:val="en-US"/>
        </w:rPr>
        <w:t>r</w:t>
      </w:r>
      <w:r>
        <w:rPr>
          <w:lang w:val="en-US"/>
        </w:rPr>
        <w:t>e</w:t>
      </w:r>
      <w:r w:rsidRPr="00A216A1">
        <w:rPr>
          <w:lang w:val="en-US"/>
        </w:rPr>
        <w:t xml:space="preserve"> study in which 412</w:t>
      </w:r>
      <w:r w:rsidR="008F2E3A">
        <w:rPr>
          <w:lang w:val="en-US"/>
        </w:rPr>
        <w:t> </w:t>
      </w:r>
      <w:r w:rsidRPr="00A216A1">
        <w:rPr>
          <w:lang w:val="en-US"/>
        </w:rPr>
        <w:t>patients received either TALZENNA 1</w:t>
      </w:r>
      <w:r w:rsidR="008F2E3A">
        <w:rPr>
          <w:lang w:val="en-US"/>
        </w:rPr>
        <w:t> </w:t>
      </w:r>
      <w:r w:rsidRPr="00A216A1">
        <w:rPr>
          <w:lang w:val="en-US"/>
        </w:rPr>
        <w:t>mg once daily (n=286) or a chemotherapy agent (capecitabine</w:t>
      </w:r>
      <w:r>
        <w:rPr>
          <w:lang w:val="en-US"/>
        </w:rPr>
        <w:t xml:space="preserve"> [n=55]</w:t>
      </w:r>
      <w:r w:rsidRPr="00A216A1">
        <w:rPr>
          <w:lang w:val="en-US"/>
        </w:rPr>
        <w:t>, eribulin</w:t>
      </w:r>
      <w:r>
        <w:rPr>
          <w:lang w:val="en-US"/>
        </w:rPr>
        <w:t xml:space="preserve"> [n=50]</w:t>
      </w:r>
      <w:r w:rsidRPr="00A216A1">
        <w:rPr>
          <w:lang w:val="en-US"/>
        </w:rPr>
        <w:t>, gemcitabine</w:t>
      </w:r>
      <w:r>
        <w:rPr>
          <w:lang w:val="en-US"/>
        </w:rPr>
        <w:t xml:space="preserve"> [n=12]</w:t>
      </w:r>
      <w:r w:rsidRPr="00A216A1">
        <w:rPr>
          <w:lang w:val="en-US"/>
        </w:rPr>
        <w:t xml:space="preserve"> or vinorelbine</w:t>
      </w:r>
      <w:r>
        <w:rPr>
          <w:lang w:val="en-US"/>
        </w:rPr>
        <w:t xml:space="preserve"> [n=9]</w:t>
      </w:r>
      <w:r w:rsidRPr="00A216A1">
        <w:rPr>
          <w:lang w:val="en-US"/>
        </w:rPr>
        <w:t>) of the healthcare provider’s choice (n=126) until disease progression or unacceptable toxicity. The median duration of study treatment was 6.1</w:t>
      </w:r>
      <w:r w:rsidR="008F2E3A">
        <w:rPr>
          <w:lang w:val="en-US"/>
        </w:rPr>
        <w:t> </w:t>
      </w:r>
      <w:r w:rsidRPr="00A216A1">
        <w:rPr>
          <w:lang w:val="en-US"/>
        </w:rPr>
        <w:t>months in patients who received TALZENNA and 3.9</w:t>
      </w:r>
      <w:r w:rsidR="008F2E3A">
        <w:rPr>
          <w:lang w:val="en-US"/>
        </w:rPr>
        <w:t> </w:t>
      </w:r>
      <w:r w:rsidRPr="00A216A1">
        <w:rPr>
          <w:lang w:val="en-US"/>
        </w:rPr>
        <w:t xml:space="preserve">months in patients who received chemotherapy. Dosing interruptions due to an adverse reaction of any grade occurred in 65% of patients receiving TALZENNA and 50% of those receiving chemotherapy; dose reductions due to any cause occurred in 53% of TALZENNA patients and 40% of chemotherapy patients. Permanent discontinuation due to adverse reactions occurred in 5% of TALZENNA patients and 6% </w:t>
      </w:r>
      <w:r w:rsidR="008F2E3A">
        <w:rPr>
          <w:lang w:val="en-US"/>
        </w:rPr>
        <w:t xml:space="preserve">of </w:t>
      </w:r>
      <w:r w:rsidRPr="00A216A1">
        <w:rPr>
          <w:lang w:val="en-US"/>
        </w:rPr>
        <w:t>chemotherapy patients.</w:t>
      </w:r>
    </w:p>
    <w:p w14:paraId="7514C49B" w14:textId="630BF281" w:rsidR="00DE7932" w:rsidRPr="00AF3561" w:rsidRDefault="008C2017" w:rsidP="00AF3561">
      <w:pPr>
        <w:pStyle w:val="CLDNormal"/>
      </w:pPr>
      <w:r w:rsidRPr="003C2259">
        <w:fldChar w:fldCharType="begin"/>
      </w:r>
      <w:r w:rsidRPr="003C2259">
        <w:instrText xml:space="preserve"> REF _Ref22298112 \h  \* MERGEFORMAT </w:instrText>
      </w:r>
      <w:r w:rsidRPr="003C2259">
        <w:fldChar w:fldCharType="separate"/>
      </w:r>
      <w:r w:rsidR="00424ECE" w:rsidRPr="00424ECE">
        <w:rPr>
          <w:szCs w:val="24"/>
        </w:rPr>
        <w:t xml:space="preserve">Table </w:t>
      </w:r>
      <w:r w:rsidR="00424ECE" w:rsidRPr="00424ECE">
        <w:rPr>
          <w:noProof/>
          <w:szCs w:val="24"/>
        </w:rPr>
        <w:t>3</w:t>
      </w:r>
      <w:r w:rsidRPr="003C2259">
        <w:fldChar w:fldCharType="end"/>
      </w:r>
      <w:r w:rsidR="00D34F21" w:rsidRPr="004E6BF7">
        <w:t xml:space="preserve"> </w:t>
      </w:r>
      <w:r w:rsidR="00A216A1">
        <w:t xml:space="preserve">and </w:t>
      </w:r>
      <w:r w:rsidR="006D013F" w:rsidRPr="004F4CD1">
        <w:fldChar w:fldCharType="begin"/>
      </w:r>
      <w:r w:rsidR="006D013F" w:rsidRPr="004F4CD1">
        <w:instrText xml:space="preserve"> REF _Ref22298902 \h  \* MERGEFORMAT </w:instrText>
      </w:r>
      <w:r w:rsidR="006D013F" w:rsidRPr="004F4CD1">
        <w:fldChar w:fldCharType="separate"/>
      </w:r>
      <w:r w:rsidR="00424ECE" w:rsidRPr="00424ECE">
        <w:rPr>
          <w:szCs w:val="24"/>
        </w:rPr>
        <w:t xml:space="preserve">Table </w:t>
      </w:r>
      <w:r w:rsidR="00424ECE" w:rsidRPr="00424ECE">
        <w:rPr>
          <w:noProof/>
          <w:szCs w:val="24"/>
        </w:rPr>
        <w:t>4</w:t>
      </w:r>
      <w:r w:rsidR="006D013F" w:rsidRPr="004F4CD1">
        <w:fldChar w:fldCharType="end"/>
      </w:r>
      <w:r w:rsidR="00A216A1">
        <w:t xml:space="preserve"> summarise the most</w:t>
      </w:r>
      <w:r w:rsidR="00531C22" w:rsidRPr="004E6BF7">
        <w:t xml:space="preserve"> common </w:t>
      </w:r>
      <w:r w:rsidR="00D34F21" w:rsidRPr="004E6BF7">
        <w:t>adverse reactions</w:t>
      </w:r>
      <w:r w:rsidR="00A216A1">
        <w:t xml:space="preserve"> and laboratory abnormalities, respectively,</w:t>
      </w:r>
      <w:r w:rsidR="00D34F21" w:rsidRPr="004E6BF7">
        <w:t xml:space="preserve"> in patients treated with TALZENNA</w:t>
      </w:r>
      <w:r w:rsidR="00DF3237" w:rsidRPr="004E6BF7">
        <w:t xml:space="preserve"> (n=286)</w:t>
      </w:r>
      <w:r w:rsidR="00D34F21" w:rsidRPr="004E6BF7">
        <w:t xml:space="preserve"> or chemotherapy </w:t>
      </w:r>
      <w:r w:rsidR="00DF3237" w:rsidRPr="004E6BF7">
        <w:t xml:space="preserve">(n=126) </w:t>
      </w:r>
      <w:r w:rsidR="00D34F21" w:rsidRPr="004E6BF7">
        <w:t xml:space="preserve">in </w:t>
      </w:r>
      <w:r w:rsidR="0004609A" w:rsidRPr="004E6BF7">
        <w:t>the EMBRACA study</w:t>
      </w:r>
      <w:r w:rsidR="00330ED7" w:rsidRPr="004E6BF7">
        <w:t>.</w:t>
      </w:r>
    </w:p>
    <w:p w14:paraId="48EB3AF5" w14:textId="425D1260" w:rsidR="006D013F" w:rsidRPr="006D013F" w:rsidDel="00365E42" w:rsidRDefault="006D013F" w:rsidP="00EA7BD6">
      <w:pPr>
        <w:pStyle w:val="Caption"/>
        <w:rPr>
          <w:rStyle w:val="CLDTableTitle"/>
        </w:rPr>
      </w:pPr>
      <w:bookmarkStart w:id="3" w:name="_Ref22298112"/>
      <w:r w:rsidRPr="003C2259">
        <w:lastRenderedPageBreak/>
        <w:t xml:space="preserve">Table </w:t>
      </w:r>
      <w:r w:rsidRPr="003C2259">
        <w:fldChar w:fldCharType="begin"/>
      </w:r>
      <w:r w:rsidRPr="003C2259">
        <w:instrText xml:space="preserve"> SEQ Table \* ARABIC </w:instrText>
      </w:r>
      <w:r w:rsidRPr="003C2259">
        <w:fldChar w:fldCharType="separate"/>
      </w:r>
      <w:r w:rsidR="00424ECE">
        <w:rPr>
          <w:noProof/>
        </w:rPr>
        <w:t>3</w:t>
      </w:r>
      <w:r w:rsidRPr="003C2259">
        <w:fldChar w:fldCharType="end"/>
      </w:r>
      <w:bookmarkEnd w:id="3"/>
      <w:r w:rsidRPr="003C2259">
        <w:t>.</w:t>
      </w:r>
      <w:r w:rsidRPr="00BE2445">
        <w:rPr>
          <w:rStyle w:val="CLDTableTitle"/>
        </w:rPr>
        <w:tab/>
      </w:r>
      <w:r w:rsidRPr="006D013F">
        <w:t>Adverse Reactions (</w:t>
      </w:r>
      <w:r w:rsidR="00EA7BD6">
        <w:sym w:font="Symbol" w:char="F0B3"/>
      </w:r>
      <w:r w:rsidRPr="006D013F">
        <w:t>10%) in Patients Treated with TALZENNA or Chemotherapy in the EMBRACA Study</w:t>
      </w:r>
    </w:p>
    <w:tbl>
      <w:tblPr>
        <w:tblW w:w="9354" w:type="dxa"/>
        <w:jc w:val="center"/>
        <w:tblLayout w:type="fixed"/>
        <w:tblCellMar>
          <w:left w:w="0" w:type="dxa"/>
          <w:right w:w="0" w:type="dxa"/>
        </w:tblCellMar>
        <w:tblLook w:val="0000" w:firstRow="0" w:lastRow="0" w:firstColumn="0" w:lastColumn="0" w:noHBand="0" w:noVBand="0"/>
      </w:tblPr>
      <w:tblGrid>
        <w:gridCol w:w="3458"/>
        <w:gridCol w:w="1134"/>
        <w:gridCol w:w="907"/>
        <w:gridCol w:w="907"/>
        <w:gridCol w:w="1134"/>
        <w:gridCol w:w="907"/>
        <w:gridCol w:w="907"/>
      </w:tblGrid>
      <w:tr w:rsidR="002C489C" w:rsidRPr="00314370" w14:paraId="56B065D1" w14:textId="77777777" w:rsidTr="004272A4">
        <w:trPr>
          <w:tblHeader/>
          <w:jc w:val="center"/>
        </w:trPr>
        <w:tc>
          <w:tcPr>
            <w:tcW w:w="3458" w:type="dxa"/>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391843C" w14:textId="006C17BF" w:rsidR="002C489C" w:rsidRPr="00F54F68" w:rsidRDefault="002C489C" w:rsidP="00626227">
            <w:pPr>
              <w:pStyle w:val="CLDTableColumnHeadingCentred12pt"/>
            </w:pPr>
            <w:r w:rsidRPr="00F54F68">
              <w:t>Adverse Reaction</w:t>
            </w:r>
          </w:p>
        </w:tc>
        <w:tc>
          <w:tcPr>
            <w:tcW w:w="294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108ADF58" w14:textId="77777777" w:rsidR="002C489C" w:rsidRPr="00F54F68" w:rsidRDefault="002C489C" w:rsidP="00626227">
            <w:pPr>
              <w:pStyle w:val="CLDTableColumnHeadingCentred12pt"/>
            </w:pPr>
            <w:r w:rsidRPr="00F54F68">
              <w:t>TALZENNA</w:t>
            </w:r>
          </w:p>
          <w:p w14:paraId="3AA6FBE0" w14:textId="77777777" w:rsidR="002C489C" w:rsidRPr="00F54F68" w:rsidRDefault="002C489C" w:rsidP="00626227">
            <w:pPr>
              <w:pStyle w:val="CLDTableColumnHeadingCentred12pt"/>
            </w:pPr>
            <w:r w:rsidRPr="00F54F68">
              <w:t>(N=286)</w:t>
            </w:r>
          </w:p>
        </w:tc>
        <w:tc>
          <w:tcPr>
            <w:tcW w:w="2948" w:type="dxa"/>
            <w:gridSpan w:val="3"/>
            <w:tcBorders>
              <w:top w:val="single" w:sz="8" w:space="0" w:color="auto"/>
              <w:left w:val="nil"/>
              <w:bottom w:val="single" w:sz="8" w:space="0" w:color="auto"/>
              <w:right w:val="single" w:sz="8" w:space="0" w:color="auto"/>
            </w:tcBorders>
          </w:tcPr>
          <w:p w14:paraId="3319901A" w14:textId="77777777" w:rsidR="002C489C" w:rsidRPr="00F54F68" w:rsidRDefault="002C489C" w:rsidP="00626227">
            <w:pPr>
              <w:pStyle w:val="CLDTableColumnHeadingCentred12pt"/>
            </w:pPr>
            <w:r w:rsidRPr="00F54F68">
              <w:t>Chemotherapy</w:t>
            </w:r>
          </w:p>
          <w:p w14:paraId="76B9F31C" w14:textId="77777777" w:rsidR="002C489C" w:rsidRPr="00314370" w:rsidRDefault="002C489C" w:rsidP="00626227">
            <w:pPr>
              <w:pStyle w:val="CLDTableColumnHeadingCentred12pt"/>
            </w:pPr>
            <w:r w:rsidRPr="00F54F68">
              <w:t>(N=126)</w:t>
            </w:r>
          </w:p>
        </w:tc>
      </w:tr>
      <w:tr w:rsidR="003F348C" w:rsidRPr="00314370" w14:paraId="4D30AF61" w14:textId="77777777" w:rsidTr="004272A4">
        <w:trPr>
          <w:tblHeader/>
          <w:jc w:val="center"/>
        </w:trPr>
        <w:tc>
          <w:tcPr>
            <w:tcW w:w="3458" w:type="dxa"/>
            <w:tcBorders>
              <w:left w:val="single" w:sz="8" w:space="0" w:color="auto"/>
              <w:bottom w:val="single" w:sz="4" w:space="0" w:color="auto"/>
              <w:right w:val="single" w:sz="8" w:space="0" w:color="auto"/>
            </w:tcBorders>
            <w:tcMar>
              <w:top w:w="0" w:type="dxa"/>
              <w:left w:w="108" w:type="dxa"/>
              <w:bottom w:w="0" w:type="dxa"/>
              <w:right w:w="108" w:type="dxa"/>
            </w:tcMar>
          </w:tcPr>
          <w:p w14:paraId="483EEB73" w14:textId="77777777" w:rsidR="003F348C" w:rsidRPr="00314370" w:rsidRDefault="003F348C" w:rsidP="00626227">
            <w:pPr>
              <w:pStyle w:val="CLDTableFootnotewithsuperscipts"/>
              <w:keepNext/>
              <w:spacing w:before="40" w:after="40"/>
            </w:pP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0DB8387" w14:textId="00489E41" w:rsidR="003F348C" w:rsidRPr="00937220" w:rsidRDefault="003F348C" w:rsidP="00626227">
            <w:pPr>
              <w:pStyle w:val="CLDTableColumnHeadingCentred12pt"/>
              <w:ind w:left="-113" w:right="-103"/>
            </w:pPr>
            <w:r w:rsidRPr="00937220">
              <w:t>All Grades</w:t>
            </w:r>
          </w:p>
          <w:p w14:paraId="7051A955" w14:textId="77777777" w:rsidR="003F348C" w:rsidRPr="00937220" w:rsidRDefault="003F348C" w:rsidP="00626227">
            <w:pPr>
              <w:pStyle w:val="CLDTableColumnHeadingCentred12pt"/>
              <w:ind w:left="-113" w:right="-103"/>
            </w:pPr>
            <w:r w:rsidRPr="00937220">
              <w:t>(%)</w:t>
            </w:r>
          </w:p>
        </w:tc>
        <w:tc>
          <w:tcPr>
            <w:tcW w:w="90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41E4B09" w14:textId="35A9AAD9" w:rsidR="003F348C" w:rsidRPr="00937220" w:rsidRDefault="00FD3F77" w:rsidP="00626227">
            <w:pPr>
              <w:pStyle w:val="CLDTableColumnHeadingCentred12pt"/>
              <w:ind w:left="-113" w:right="-113"/>
            </w:pPr>
            <w:r w:rsidRPr="00937220">
              <w:t>Grade 3</w:t>
            </w:r>
            <w:r w:rsidRPr="00937220">
              <w:br/>
              <w:t>(%)</w:t>
            </w:r>
          </w:p>
        </w:tc>
        <w:tc>
          <w:tcPr>
            <w:tcW w:w="907" w:type="dxa"/>
            <w:tcBorders>
              <w:top w:val="single" w:sz="8" w:space="0" w:color="auto"/>
              <w:left w:val="nil"/>
              <w:bottom w:val="single" w:sz="4" w:space="0" w:color="auto"/>
              <w:right w:val="single" w:sz="8" w:space="0" w:color="auto"/>
            </w:tcBorders>
            <w:vAlign w:val="center"/>
          </w:tcPr>
          <w:p w14:paraId="6B0CF5A8" w14:textId="490C0925" w:rsidR="003F348C" w:rsidRPr="00937220" w:rsidRDefault="003F348C" w:rsidP="00626227">
            <w:pPr>
              <w:pStyle w:val="CLDTableColumnHeadingCentred12pt"/>
            </w:pPr>
            <w:r w:rsidRPr="00937220">
              <w:t>Grade 4</w:t>
            </w:r>
            <w:r w:rsidR="008E3D44" w:rsidRPr="00937220">
              <w:br/>
            </w:r>
            <w:r w:rsidRPr="00937220">
              <w:t>(%)</w:t>
            </w:r>
          </w:p>
        </w:tc>
        <w:tc>
          <w:tcPr>
            <w:tcW w:w="1134" w:type="dxa"/>
            <w:tcBorders>
              <w:top w:val="single" w:sz="8" w:space="0" w:color="auto"/>
              <w:left w:val="nil"/>
              <w:bottom w:val="single" w:sz="4" w:space="0" w:color="auto"/>
              <w:right w:val="single" w:sz="8" w:space="0" w:color="auto"/>
            </w:tcBorders>
            <w:vAlign w:val="center"/>
          </w:tcPr>
          <w:p w14:paraId="6B392A69" w14:textId="77777777" w:rsidR="003F348C" w:rsidRPr="00937220" w:rsidRDefault="003F348C" w:rsidP="00626227">
            <w:pPr>
              <w:pStyle w:val="CLDTableColumnHeadingCentred12pt"/>
            </w:pPr>
            <w:r w:rsidRPr="00937220">
              <w:t>All Grades</w:t>
            </w:r>
          </w:p>
          <w:p w14:paraId="0B1CEC11" w14:textId="77777777" w:rsidR="003F348C" w:rsidRPr="00937220" w:rsidRDefault="003F348C" w:rsidP="00626227">
            <w:pPr>
              <w:pStyle w:val="CLDTableColumnHeadingCentred12pt"/>
            </w:pPr>
            <w:r w:rsidRPr="00937220">
              <w:t>(%)</w:t>
            </w:r>
          </w:p>
        </w:tc>
        <w:tc>
          <w:tcPr>
            <w:tcW w:w="907" w:type="dxa"/>
            <w:tcBorders>
              <w:top w:val="single" w:sz="8" w:space="0" w:color="auto"/>
              <w:left w:val="nil"/>
              <w:bottom w:val="single" w:sz="4" w:space="0" w:color="auto"/>
              <w:right w:val="single" w:sz="8" w:space="0" w:color="auto"/>
            </w:tcBorders>
            <w:vAlign w:val="center"/>
          </w:tcPr>
          <w:p w14:paraId="5DACE84D" w14:textId="6DC7A0C3" w:rsidR="003F348C" w:rsidRPr="00937220" w:rsidRDefault="003F348C" w:rsidP="00626227">
            <w:pPr>
              <w:pStyle w:val="CLDTableColumnHeadingCentred12pt"/>
            </w:pPr>
            <w:r w:rsidRPr="00937220">
              <w:t>Grade 3</w:t>
            </w:r>
            <w:r w:rsidR="008E3D44" w:rsidRPr="00937220">
              <w:br/>
            </w:r>
            <w:r w:rsidRPr="00937220">
              <w:t>(%)</w:t>
            </w:r>
          </w:p>
        </w:tc>
        <w:tc>
          <w:tcPr>
            <w:tcW w:w="907" w:type="dxa"/>
            <w:tcBorders>
              <w:top w:val="single" w:sz="8" w:space="0" w:color="auto"/>
              <w:left w:val="nil"/>
              <w:bottom w:val="single" w:sz="4" w:space="0" w:color="auto"/>
              <w:right w:val="single" w:sz="8" w:space="0" w:color="auto"/>
            </w:tcBorders>
            <w:vAlign w:val="center"/>
          </w:tcPr>
          <w:p w14:paraId="5EFA8E44" w14:textId="1E6F4E41" w:rsidR="003F348C" w:rsidRPr="00937220" w:rsidRDefault="003F348C" w:rsidP="00626227">
            <w:pPr>
              <w:pStyle w:val="CLDTableColumnHeadingCentred12pt"/>
            </w:pPr>
            <w:r w:rsidRPr="00937220">
              <w:t>Grade 4</w:t>
            </w:r>
            <w:r w:rsidR="008E3D44" w:rsidRPr="00937220">
              <w:br/>
            </w:r>
            <w:r w:rsidRPr="00937220">
              <w:t>(%)</w:t>
            </w:r>
          </w:p>
        </w:tc>
      </w:tr>
      <w:tr w:rsidR="00B66B05" w:rsidRPr="00314370" w14:paraId="12FB1163" w14:textId="77777777" w:rsidTr="00563529">
        <w:trPr>
          <w:jc w:val="center"/>
        </w:trPr>
        <w:tc>
          <w:tcPr>
            <w:tcW w:w="345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FC4EC8F" w14:textId="77777777" w:rsidR="00F854C6" w:rsidRPr="00846183" w:rsidRDefault="00F854C6" w:rsidP="00626227">
            <w:pPr>
              <w:pStyle w:val="CLDTableTextBoldLeft-aligned12pt"/>
              <w:keepNext/>
              <w:spacing w:before="40" w:after="40"/>
            </w:pPr>
            <w:r w:rsidRPr="00846183">
              <w:t xml:space="preserve">Blood and </w:t>
            </w:r>
            <w:r w:rsidR="003329B0" w:rsidRPr="00846183">
              <w:t>L</w:t>
            </w:r>
            <w:r w:rsidRPr="00846183">
              <w:t>ymphatic System Disorders</w:t>
            </w:r>
          </w:p>
          <w:p w14:paraId="20B41F5D" w14:textId="77777777" w:rsidR="00F854C6" w:rsidRPr="00846183" w:rsidRDefault="00F854C6" w:rsidP="00626227">
            <w:pPr>
              <w:pStyle w:val="CLDTableTextLeft-Indent12pt"/>
              <w:spacing w:before="40" w:after="40"/>
              <w:rPr>
                <w:szCs w:val="24"/>
              </w:rPr>
            </w:pPr>
            <w:r w:rsidRPr="00846183">
              <w:rPr>
                <w:szCs w:val="24"/>
              </w:rPr>
              <w:t>Anaemia</w:t>
            </w:r>
            <w:r w:rsidRPr="00846183">
              <w:rPr>
                <w:szCs w:val="24"/>
                <w:vertAlign w:val="superscript"/>
              </w:rPr>
              <w:t xml:space="preserve">a </w:t>
            </w:r>
          </w:p>
          <w:p w14:paraId="3923FE77" w14:textId="77777777" w:rsidR="002370C8" w:rsidRPr="00846183" w:rsidRDefault="002370C8" w:rsidP="00626227">
            <w:pPr>
              <w:pStyle w:val="CLDTableTextLeft-Indent12pt"/>
              <w:spacing w:before="40" w:after="40"/>
              <w:rPr>
                <w:szCs w:val="24"/>
              </w:rPr>
            </w:pPr>
            <w:r w:rsidRPr="00846183">
              <w:rPr>
                <w:szCs w:val="24"/>
              </w:rPr>
              <w:t>Neutropenia</w:t>
            </w:r>
            <w:r w:rsidRPr="00846183">
              <w:rPr>
                <w:szCs w:val="24"/>
                <w:vertAlign w:val="superscript"/>
              </w:rPr>
              <w:t xml:space="preserve">b </w:t>
            </w:r>
          </w:p>
          <w:p w14:paraId="34E5E03E" w14:textId="77777777" w:rsidR="00F854C6" w:rsidRPr="00846183" w:rsidRDefault="00F854C6" w:rsidP="00626227">
            <w:pPr>
              <w:pStyle w:val="CLDTableTextLeft-Indent12pt"/>
              <w:spacing w:before="40" w:after="40"/>
              <w:rPr>
                <w:szCs w:val="24"/>
              </w:rPr>
            </w:pPr>
            <w:r w:rsidRPr="00846183">
              <w:rPr>
                <w:szCs w:val="24"/>
              </w:rPr>
              <w:t>Thrombocytopenia</w:t>
            </w:r>
            <w:r w:rsidR="002370C8" w:rsidRPr="00846183">
              <w:rPr>
                <w:szCs w:val="24"/>
                <w:vertAlign w:val="superscript"/>
              </w:rPr>
              <w:t>c</w:t>
            </w:r>
            <w:r w:rsidRPr="00846183">
              <w:rPr>
                <w:szCs w:val="24"/>
                <w:vertAlign w:val="superscript"/>
              </w:rPr>
              <w:t xml:space="preserve"> </w:t>
            </w:r>
          </w:p>
          <w:p w14:paraId="71D86929" w14:textId="1D3B6F12" w:rsidR="00B66B05" w:rsidRPr="00846183" w:rsidRDefault="00F854C6" w:rsidP="00626227">
            <w:pPr>
              <w:pStyle w:val="CLDTableTextLeft-Indent12pt"/>
              <w:spacing w:before="40" w:after="40"/>
              <w:rPr>
                <w:szCs w:val="24"/>
              </w:rPr>
            </w:pPr>
            <w:r w:rsidRPr="00846183">
              <w:rPr>
                <w:szCs w:val="24"/>
              </w:rPr>
              <w:t>Leucopenia</w:t>
            </w:r>
            <w:r w:rsidRPr="00846183">
              <w:rPr>
                <w:szCs w:val="24"/>
                <w:vertAlign w:val="superscript"/>
              </w:rPr>
              <w:t xml:space="preserve">d </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6474468" w14:textId="77777777" w:rsidR="00CF0142" w:rsidRPr="00846183" w:rsidRDefault="00CF0142" w:rsidP="00626227">
            <w:pPr>
              <w:pStyle w:val="CLDTableTextCentred12pt"/>
            </w:pPr>
            <w:r w:rsidRPr="00846183">
              <w:br/>
            </w:r>
          </w:p>
          <w:p w14:paraId="4717FCA8" w14:textId="77777777" w:rsidR="00B66B05" w:rsidRPr="00846183" w:rsidRDefault="00B66B05" w:rsidP="00626227">
            <w:pPr>
              <w:pStyle w:val="CLDTableTextCentred12pt"/>
            </w:pPr>
            <w:r w:rsidRPr="00846183">
              <w:t>53</w:t>
            </w:r>
          </w:p>
          <w:p w14:paraId="7E449FAE" w14:textId="77777777" w:rsidR="002370C8" w:rsidRPr="00846183" w:rsidRDefault="002370C8" w:rsidP="00626227">
            <w:pPr>
              <w:pStyle w:val="CLDTableTextCentred12pt"/>
            </w:pPr>
            <w:r w:rsidRPr="00846183">
              <w:t>35</w:t>
            </w:r>
          </w:p>
          <w:p w14:paraId="29AED092" w14:textId="77777777" w:rsidR="00B66B05" w:rsidRPr="00846183" w:rsidRDefault="00B66B05" w:rsidP="00626227">
            <w:pPr>
              <w:pStyle w:val="CLDTableTextCentred12pt"/>
            </w:pPr>
            <w:r w:rsidRPr="00846183">
              <w:t>27</w:t>
            </w:r>
          </w:p>
          <w:p w14:paraId="32843C58" w14:textId="77777777" w:rsidR="00B66B05" w:rsidRPr="00846183" w:rsidRDefault="00B66B05" w:rsidP="00626227">
            <w:pPr>
              <w:pStyle w:val="CLDTableTextCentred12pt"/>
            </w:pPr>
            <w:r w:rsidRPr="00846183">
              <w:t>17</w:t>
            </w:r>
          </w:p>
        </w:tc>
        <w:tc>
          <w:tcPr>
            <w:tcW w:w="9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60BC481" w14:textId="77777777" w:rsidR="00CF0142" w:rsidRPr="00846183" w:rsidRDefault="00CF0142" w:rsidP="00626227">
            <w:pPr>
              <w:pStyle w:val="CLDTableTextCentred12pt"/>
              <w:ind w:left="-113"/>
            </w:pPr>
            <w:r w:rsidRPr="00846183">
              <w:br/>
            </w:r>
          </w:p>
          <w:p w14:paraId="5C7E35BE" w14:textId="77777777" w:rsidR="00B66B05" w:rsidRPr="00846183" w:rsidRDefault="00B66B05" w:rsidP="00626227">
            <w:pPr>
              <w:pStyle w:val="CLDTableTextCentred12pt"/>
              <w:ind w:left="-113"/>
            </w:pPr>
            <w:r w:rsidRPr="00846183">
              <w:t>39</w:t>
            </w:r>
          </w:p>
          <w:p w14:paraId="70E0B2A8" w14:textId="77777777" w:rsidR="002370C8" w:rsidRPr="00846183" w:rsidRDefault="002370C8" w:rsidP="00626227">
            <w:pPr>
              <w:pStyle w:val="CLDTableTextCentred12pt"/>
              <w:ind w:left="-113"/>
            </w:pPr>
            <w:r w:rsidRPr="00846183">
              <w:t>18</w:t>
            </w:r>
          </w:p>
          <w:p w14:paraId="7732C1CD" w14:textId="77777777" w:rsidR="00B66B05" w:rsidRPr="00846183" w:rsidRDefault="00B66B05" w:rsidP="00626227">
            <w:pPr>
              <w:pStyle w:val="CLDTableTextCentred12pt"/>
              <w:ind w:left="-113"/>
            </w:pPr>
            <w:r w:rsidRPr="00846183">
              <w:t>11</w:t>
            </w:r>
          </w:p>
          <w:p w14:paraId="7141CF87" w14:textId="77777777" w:rsidR="00B66B05" w:rsidRPr="00846183" w:rsidRDefault="00B66B05" w:rsidP="00626227">
            <w:pPr>
              <w:pStyle w:val="CLDTableTextCentred12pt"/>
              <w:ind w:left="-113"/>
            </w:pPr>
            <w:r w:rsidRPr="00846183">
              <w:t>6</w:t>
            </w:r>
          </w:p>
        </w:tc>
        <w:tc>
          <w:tcPr>
            <w:tcW w:w="907" w:type="dxa"/>
            <w:tcBorders>
              <w:top w:val="single" w:sz="4" w:space="0" w:color="auto"/>
              <w:left w:val="nil"/>
              <w:bottom w:val="single" w:sz="4" w:space="0" w:color="auto"/>
              <w:right w:val="single" w:sz="8" w:space="0" w:color="auto"/>
            </w:tcBorders>
            <w:vAlign w:val="center"/>
          </w:tcPr>
          <w:p w14:paraId="04C36A34" w14:textId="77777777" w:rsidR="00CF0142" w:rsidRPr="00FD3F77" w:rsidRDefault="00CF0142" w:rsidP="00626227">
            <w:pPr>
              <w:pStyle w:val="CLDTableTextCentred12pt"/>
            </w:pPr>
            <w:r w:rsidRPr="00FD3F77">
              <w:br/>
            </w:r>
          </w:p>
          <w:p w14:paraId="57CDFF9E" w14:textId="77777777" w:rsidR="00B66B05" w:rsidRPr="00FD3F77" w:rsidRDefault="00B66B05" w:rsidP="00626227">
            <w:pPr>
              <w:pStyle w:val="CLDTableTextCentred12pt"/>
            </w:pPr>
            <w:r w:rsidRPr="00FD3F77">
              <w:t>1</w:t>
            </w:r>
          </w:p>
          <w:p w14:paraId="14D4291E" w14:textId="77777777" w:rsidR="002370C8" w:rsidRPr="00FD3F77" w:rsidRDefault="002370C8" w:rsidP="00626227">
            <w:pPr>
              <w:pStyle w:val="CLDTableTextCentred12pt"/>
            </w:pPr>
            <w:r w:rsidRPr="00FD3F77">
              <w:t>3</w:t>
            </w:r>
          </w:p>
          <w:p w14:paraId="2A3A19C6" w14:textId="77777777" w:rsidR="00B66B05" w:rsidRPr="00FD3F77" w:rsidRDefault="00B66B05" w:rsidP="00626227">
            <w:pPr>
              <w:pStyle w:val="CLDTableTextCentred12pt"/>
            </w:pPr>
            <w:r w:rsidRPr="00FD3F77">
              <w:t>4</w:t>
            </w:r>
          </w:p>
          <w:p w14:paraId="11FB8B69" w14:textId="77777777" w:rsidR="00B66B05" w:rsidRPr="00FD3F77" w:rsidRDefault="00846183" w:rsidP="00626227">
            <w:pPr>
              <w:pStyle w:val="CLDTableTextCentred12pt"/>
            </w:pPr>
            <w:r>
              <w:t>&lt;1</w:t>
            </w:r>
          </w:p>
        </w:tc>
        <w:tc>
          <w:tcPr>
            <w:tcW w:w="1134" w:type="dxa"/>
            <w:tcBorders>
              <w:top w:val="single" w:sz="4" w:space="0" w:color="auto"/>
              <w:left w:val="nil"/>
              <w:bottom w:val="single" w:sz="4" w:space="0" w:color="auto"/>
              <w:right w:val="single" w:sz="8" w:space="0" w:color="auto"/>
            </w:tcBorders>
            <w:vAlign w:val="center"/>
          </w:tcPr>
          <w:p w14:paraId="7A2003BF" w14:textId="77777777" w:rsidR="00CF0142" w:rsidRPr="00FD3F77" w:rsidRDefault="00CF0142" w:rsidP="00626227">
            <w:pPr>
              <w:pStyle w:val="CLDTableTextCentred12pt"/>
            </w:pPr>
            <w:r w:rsidRPr="00FD3F77">
              <w:br/>
            </w:r>
          </w:p>
          <w:p w14:paraId="393CB6F7" w14:textId="77777777" w:rsidR="00B66B05" w:rsidRPr="00FD3F77" w:rsidRDefault="00B66B05" w:rsidP="00626227">
            <w:pPr>
              <w:pStyle w:val="CLDTableTextCentred12pt"/>
            </w:pPr>
            <w:r w:rsidRPr="00FD3F77">
              <w:t>18</w:t>
            </w:r>
          </w:p>
          <w:p w14:paraId="6943EFE1" w14:textId="77777777" w:rsidR="002370C8" w:rsidRPr="00FD3F77" w:rsidRDefault="002370C8" w:rsidP="00626227">
            <w:pPr>
              <w:pStyle w:val="CLDTableTextCentred12pt"/>
            </w:pPr>
            <w:r w:rsidRPr="00FD3F77">
              <w:t>43</w:t>
            </w:r>
          </w:p>
          <w:p w14:paraId="6E5675E2" w14:textId="77777777" w:rsidR="00B66B05" w:rsidRPr="00FD3F77" w:rsidRDefault="00B66B05" w:rsidP="00626227">
            <w:pPr>
              <w:pStyle w:val="CLDTableTextCentred12pt"/>
            </w:pPr>
            <w:r w:rsidRPr="00FD3F77">
              <w:t>7</w:t>
            </w:r>
          </w:p>
          <w:p w14:paraId="05F55591" w14:textId="77777777" w:rsidR="00B66B05" w:rsidRPr="00FD3F77" w:rsidRDefault="00B66B05" w:rsidP="00626227">
            <w:pPr>
              <w:pStyle w:val="CLDTableTextCentred12pt"/>
            </w:pPr>
            <w:r w:rsidRPr="00FD3F77">
              <w:t>14</w:t>
            </w:r>
          </w:p>
        </w:tc>
        <w:tc>
          <w:tcPr>
            <w:tcW w:w="907" w:type="dxa"/>
            <w:tcBorders>
              <w:top w:val="single" w:sz="4" w:space="0" w:color="auto"/>
              <w:left w:val="nil"/>
              <w:bottom w:val="single" w:sz="4" w:space="0" w:color="auto"/>
              <w:right w:val="single" w:sz="8" w:space="0" w:color="auto"/>
            </w:tcBorders>
            <w:vAlign w:val="center"/>
          </w:tcPr>
          <w:p w14:paraId="2FE055E5" w14:textId="77777777" w:rsidR="00CF0142" w:rsidRPr="00FD3F77" w:rsidRDefault="00CF0142" w:rsidP="00626227">
            <w:pPr>
              <w:pStyle w:val="CLDTableTextCentred12pt"/>
            </w:pPr>
            <w:r w:rsidRPr="00FD3F77">
              <w:br/>
            </w:r>
          </w:p>
          <w:p w14:paraId="4C4C1133" w14:textId="77777777" w:rsidR="00B66B05" w:rsidRPr="00FD3F77" w:rsidRDefault="00B66B05" w:rsidP="00626227">
            <w:pPr>
              <w:pStyle w:val="CLDTableTextCentred12pt"/>
            </w:pPr>
            <w:r w:rsidRPr="00FD3F77">
              <w:t>4</w:t>
            </w:r>
          </w:p>
          <w:p w14:paraId="1D3CB7A8" w14:textId="77777777" w:rsidR="002370C8" w:rsidRPr="00FD3F77" w:rsidRDefault="002370C8" w:rsidP="00626227">
            <w:pPr>
              <w:pStyle w:val="CLDTableTextCentred12pt"/>
            </w:pPr>
            <w:r w:rsidRPr="00FD3F77">
              <w:t>20</w:t>
            </w:r>
          </w:p>
          <w:p w14:paraId="3D5E719C" w14:textId="77777777" w:rsidR="00B66B05" w:rsidRPr="00FD3F77" w:rsidRDefault="00B66B05" w:rsidP="00626227">
            <w:pPr>
              <w:pStyle w:val="CLDTableTextCentred12pt"/>
            </w:pPr>
            <w:r w:rsidRPr="00FD3F77">
              <w:t>2</w:t>
            </w:r>
          </w:p>
          <w:p w14:paraId="6B3955BF" w14:textId="77777777" w:rsidR="00B66B05" w:rsidRPr="00FD3F77" w:rsidRDefault="00B66B05" w:rsidP="00626227">
            <w:pPr>
              <w:pStyle w:val="CLDTableTextCentred12pt"/>
            </w:pPr>
            <w:r w:rsidRPr="00FD3F77">
              <w:t>6</w:t>
            </w:r>
          </w:p>
        </w:tc>
        <w:tc>
          <w:tcPr>
            <w:tcW w:w="907" w:type="dxa"/>
            <w:tcBorders>
              <w:top w:val="single" w:sz="4" w:space="0" w:color="auto"/>
              <w:left w:val="nil"/>
              <w:bottom w:val="single" w:sz="4" w:space="0" w:color="auto"/>
              <w:right w:val="single" w:sz="8" w:space="0" w:color="auto"/>
            </w:tcBorders>
            <w:vAlign w:val="center"/>
          </w:tcPr>
          <w:p w14:paraId="119B65B1" w14:textId="77777777" w:rsidR="00CF0142" w:rsidRPr="00FD3F77" w:rsidRDefault="00CF0142" w:rsidP="00626227">
            <w:pPr>
              <w:pStyle w:val="CLDTableTextCentred12pt"/>
            </w:pPr>
            <w:r w:rsidRPr="00FD3F77">
              <w:br/>
            </w:r>
          </w:p>
          <w:p w14:paraId="119900F5" w14:textId="77777777" w:rsidR="00B66B05" w:rsidRPr="00FD3F77" w:rsidRDefault="00B66B05" w:rsidP="00626227">
            <w:pPr>
              <w:pStyle w:val="CLDTableTextCentred12pt"/>
            </w:pPr>
            <w:r w:rsidRPr="00FD3F77">
              <w:t>1</w:t>
            </w:r>
          </w:p>
          <w:p w14:paraId="35C67FAF" w14:textId="77777777" w:rsidR="002370C8" w:rsidRPr="00FD3F77" w:rsidRDefault="002370C8" w:rsidP="00626227">
            <w:pPr>
              <w:pStyle w:val="CLDTableTextCentred12pt"/>
            </w:pPr>
            <w:r w:rsidRPr="00FD3F77">
              <w:t>15</w:t>
            </w:r>
          </w:p>
          <w:p w14:paraId="1B1D3DC2" w14:textId="77777777" w:rsidR="00B66B05" w:rsidRPr="00FD3F77" w:rsidRDefault="00B66B05" w:rsidP="00626227">
            <w:pPr>
              <w:pStyle w:val="CLDTableTextCentred12pt"/>
            </w:pPr>
            <w:r w:rsidRPr="00FD3F77">
              <w:t>0</w:t>
            </w:r>
          </w:p>
          <w:p w14:paraId="4BD70581" w14:textId="77777777" w:rsidR="00B66B05" w:rsidRPr="00FD3F77" w:rsidRDefault="00B66B05" w:rsidP="00626227">
            <w:pPr>
              <w:pStyle w:val="CLDTableTextCentred12pt"/>
            </w:pPr>
            <w:r w:rsidRPr="00FD3F77">
              <w:t>2</w:t>
            </w:r>
          </w:p>
        </w:tc>
      </w:tr>
      <w:tr w:rsidR="00B66B05" w:rsidRPr="00314370" w14:paraId="041B3537" w14:textId="77777777" w:rsidTr="00563529">
        <w:trPr>
          <w:cantSplit/>
          <w:jc w:val="center"/>
        </w:trPr>
        <w:tc>
          <w:tcPr>
            <w:tcW w:w="345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D6CF8B" w14:textId="77777777" w:rsidR="00F854C6" w:rsidRPr="00FD3F77" w:rsidRDefault="00F854C6" w:rsidP="00626227">
            <w:pPr>
              <w:pStyle w:val="CLDTableTextBoldLeft-aligned12pt"/>
              <w:keepNext/>
              <w:spacing w:before="40" w:after="40"/>
            </w:pPr>
            <w:r w:rsidRPr="00FD3F77">
              <w:t>Metabolism and Nutrition Disorders</w:t>
            </w:r>
          </w:p>
          <w:p w14:paraId="7FE4D365" w14:textId="77777777" w:rsidR="00B66B05" w:rsidRPr="00FD3F77" w:rsidRDefault="00F854C6" w:rsidP="00626227">
            <w:pPr>
              <w:pStyle w:val="CLDTableTextLeft-Indent12pt"/>
              <w:spacing w:before="40" w:after="40"/>
              <w:rPr>
                <w:szCs w:val="24"/>
              </w:rPr>
            </w:pPr>
            <w:r w:rsidRPr="00FD3F77">
              <w:rPr>
                <w:szCs w:val="24"/>
              </w:rPr>
              <w:t>Decreased appetite</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88EC9F9" w14:textId="77777777" w:rsidR="00CF0142" w:rsidRPr="00FD3F77" w:rsidRDefault="00CF0142" w:rsidP="00626227">
            <w:pPr>
              <w:pStyle w:val="CLDTableTextCentred12pt"/>
            </w:pPr>
            <w:r w:rsidRPr="00FD3F77">
              <w:br/>
            </w:r>
          </w:p>
          <w:p w14:paraId="68E707BB" w14:textId="77777777" w:rsidR="00B66B05" w:rsidRPr="00FD3F77" w:rsidRDefault="00B66B05" w:rsidP="00626227">
            <w:pPr>
              <w:pStyle w:val="CLDTableTextCentred12pt"/>
            </w:pPr>
            <w:r w:rsidRPr="00FD3F77">
              <w:t>21</w:t>
            </w:r>
          </w:p>
        </w:tc>
        <w:tc>
          <w:tcPr>
            <w:tcW w:w="9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2208C92" w14:textId="77777777" w:rsidR="00CF0142" w:rsidRPr="00FD3F77" w:rsidRDefault="00CF0142" w:rsidP="00626227">
            <w:pPr>
              <w:pStyle w:val="CLDTableTextCentred12pt"/>
              <w:ind w:left="-113"/>
            </w:pPr>
            <w:r w:rsidRPr="00FD3F77">
              <w:br/>
            </w:r>
          </w:p>
          <w:p w14:paraId="35BD6547" w14:textId="77777777" w:rsidR="00B66B05" w:rsidRPr="00FD3F77" w:rsidRDefault="00846183" w:rsidP="00626227">
            <w:pPr>
              <w:pStyle w:val="CLDTableTextCentred12pt"/>
              <w:ind w:left="-113"/>
            </w:pPr>
            <w:r>
              <w:t>&lt;1</w:t>
            </w:r>
          </w:p>
        </w:tc>
        <w:tc>
          <w:tcPr>
            <w:tcW w:w="907" w:type="dxa"/>
            <w:tcBorders>
              <w:top w:val="single" w:sz="4" w:space="0" w:color="auto"/>
              <w:left w:val="nil"/>
              <w:bottom w:val="single" w:sz="4" w:space="0" w:color="auto"/>
              <w:right w:val="single" w:sz="8" w:space="0" w:color="auto"/>
            </w:tcBorders>
            <w:vAlign w:val="center"/>
          </w:tcPr>
          <w:p w14:paraId="3DE31D07" w14:textId="77777777" w:rsidR="00CF0142" w:rsidRPr="00FD3F77" w:rsidRDefault="00CF0142" w:rsidP="00626227">
            <w:pPr>
              <w:pStyle w:val="CLDTableTextCentred12pt"/>
            </w:pPr>
            <w:r w:rsidRPr="00FD3F77">
              <w:br/>
            </w:r>
          </w:p>
          <w:p w14:paraId="4CDD63EB" w14:textId="77777777" w:rsidR="00B66B05" w:rsidRPr="00FD3F77" w:rsidRDefault="00B66B05" w:rsidP="00626227">
            <w:pPr>
              <w:pStyle w:val="CLDTableTextCentred12pt"/>
            </w:pPr>
            <w:r w:rsidRPr="00FD3F77">
              <w:t>0</w:t>
            </w:r>
          </w:p>
        </w:tc>
        <w:tc>
          <w:tcPr>
            <w:tcW w:w="1134" w:type="dxa"/>
            <w:tcBorders>
              <w:top w:val="single" w:sz="4" w:space="0" w:color="auto"/>
              <w:left w:val="nil"/>
              <w:bottom w:val="single" w:sz="4" w:space="0" w:color="auto"/>
              <w:right w:val="single" w:sz="8" w:space="0" w:color="auto"/>
            </w:tcBorders>
            <w:vAlign w:val="center"/>
          </w:tcPr>
          <w:p w14:paraId="644F080F" w14:textId="77777777" w:rsidR="00CF0142" w:rsidRPr="00FD3F77" w:rsidRDefault="00CF0142" w:rsidP="00626227">
            <w:pPr>
              <w:pStyle w:val="CLDTableTextCentred12pt"/>
            </w:pPr>
            <w:r w:rsidRPr="00FD3F77">
              <w:br/>
            </w:r>
          </w:p>
          <w:p w14:paraId="46F5118C" w14:textId="77777777" w:rsidR="00B66B05" w:rsidRPr="00FD3F77" w:rsidRDefault="00B66B05" w:rsidP="00626227">
            <w:pPr>
              <w:pStyle w:val="CLDTableTextCentred12pt"/>
            </w:pPr>
            <w:r w:rsidRPr="00FD3F77">
              <w:t>22</w:t>
            </w:r>
          </w:p>
        </w:tc>
        <w:tc>
          <w:tcPr>
            <w:tcW w:w="907" w:type="dxa"/>
            <w:tcBorders>
              <w:top w:val="single" w:sz="4" w:space="0" w:color="auto"/>
              <w:left w:val="nil"/>
              <w:bottom w:val="single" w:sz="4" w:space="0" w:color="auto"/>
              <w:right w:val="single" w:sz="8" w:space="0" w:color="auto"/>
            </w:tcBorders>
            <w:vAlign w:val="center"/>
          </w:tcPr>
          <w:p w14:paraId="42AF097E" w14:textId="77777777" w:rsidR="00CF0142" w:rsidRPr="00FD3F77" w:rsidRDefault="00CF0142" w:rsidP="00626227">
            <w:pPr>
              <w:pStyle w:val="CLDTableTextCentred12pt"/>
            </w:pPr>
            <w:r w:rsidRPr="00FD3F77">
              <w:br/>
            </w:r>
          </w:p>
          <w:p w14:paraId="500BF440" w14:textId="77777777" w:rsidR="00B66B05" w:rsidRPr="00FD3F77" w:rsidRDefault="00846183" w:rsidP="00626227">
            <w:pPr>
              <w:pStyle w:val="CLDTableTextCentred12pt"/>
            </w:pPr>
            <w:r>
              <w:t>1</w:t>
            </w:r>
          </w:p>
        </w:tc>
        <w:tc>
          <w:tcPr>
            <w:tcW w:w="907" w:type="dxa"/>
            <w:tcBorders>
              <w:top w:val="single" w:sz="4" w:space="0" w:color="auto"/>
              <w:left w:val="nil"/>
              <w:bottom w:val="single" w:sz="4" w:space="0" w:color="auto"/>
              <w:right w:val="single" w:sz="8" w:space="0" w:color="auto"/>
            </w:tcBorders>
            <w:vAlign w:val="center"/>
          </w:tcPr>
          <w:p w14:paraId="75A60E0B" w14:textId="77777777" w:rsidR="00CF0142" w:rsidRPr="00FD3F77" w:rsidRDefault="00CF0142" w:rsidP="00626227">
            <w:pPr>
              <w:pStyle w:val="CLDTableTextCentred12pt"/>
            </w:pPr>
            <w:r w:rsidRPr="00FD3F77">
              <w:br/>
            </w:r>
          </w:p>
          <w:p w14:paraId="7E75B12E" w14:textId="77777777" w:rsidR="00B66B05" w:rsidRPr="00FD3F77" w:rsidRDefault="00B66B05" w:rsidP="00626227">
            <w:pPr>
              <w:pStyle w:val="CLDTableTextCentred12pt"/>
            </w:pPr>
            <w:r w:rsidRPr="00FD3F77">
              <w:t>0</w:t>
            </w:r>
          </w:p>
        </w:tc>
      </w:tr>
      <w:tr w:rsidR="00B66B05" w:rsidRPr="00314370" w14:paraId="14E9268D" w14:textId="77777777" w:rsidTr="00563529">
        <w:trPr>
          <w:cantSplit/>
          <w:jc w:val="center"/>
        </w:trPr>
        <w:tc>
          <w:tcPr>
            <w:tcW w:w="345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D52A11" w14:textId="77777777" w:rsidR="00B66B05" w:rsidRPr="00FD3F77" w:rsidRDefault="00B66B05" w:rsidP="00626227">
            <w:pPr>
              <w:pStyle w:val="CLDTableTextBoldLeft-aligned12pt"/>
              <w:spacing w:before="40" w:after="40"/>
            </w:pPr>
            <w:r w:rsidRPr="00FD3F77">
              <w:t>Nervous System Disorders</w:t>
            </w:r>
          </w:p>
          <w:p w14:paraId="66BB92A9" w14:textId="77777777" w:rsidR="00B66B05" w:rsidRPr="00FD3F77" w:rsidRDefault="00B66B05" w:rsidP="00626227">
            <w:pPr>
              <w:pStyle w:val="CLDTableTextLeft-Indent12pt"/>
              <w:spacing w:before="40" w:after="40"/>
              <w:rPr>
                <w:szCs w:val="24"/>
              </w:rPr>
            </w:pPr>
            <w:r w:rsidRPr="00FD3F77">
              <w:rPr>
                <w:szCs w:val="24"/>
              </w:rPr>
              <w:t xml:space="preserve">Headache </w:t>
            </w:r>
          </w:p>
          <w:p w14:paraId="44F637FC" w14:textId="77777777" w:rsidR="00B66B05" w:rsidRPr="00FD3F77" w:rsidRDefault="00B66B05" w:rsidP="00626227">
            <w:pPr>
              <w:pStyle w:val="CLDTableTextLeft-Indent12pt"/>
              <w:spacing w:before="40" w:after="40"/>
              <w:rPr>
                <w:szCs w:val="24"/>
              </w:rPr>
            </w:pPr>
            <w:r w:rsidRPr="00FD3F77">
              <w:rPr>
                <w:szCs w:val="24"/>
              </w:rPr>
              <w:t>Dizziness</w:t>
            </w:r>
          </w:p>
          <w:p w14:paraId="34CE892D" w14:textId="77777777" w:rsidR="00B66B05" w:rsidRPr="00FD3F77" w:rsidRDefault="00B66B05" w:rsidP="00626227">
            <w:pPr>
              <w:pStyle w:val="CLDTableTextLeft-Indent12pt"/>
              <w:spacing w:before="40" w:after="40"/>
              <w:rPr>
                <w:szCs w:val="24"/>
              </w:rPr>
            </w:pPr>
            <w:r w:rsidRPr="00FD3F77">
              <w:rPr>
                <w:szCs w:val="24"/>
              </w:rPr>
              <w:t>Dysgeusia</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27159E3" w14:textId="77777777" w:rsidR="00CF0142" w:rsidRPr="00FD3F77" w:rsidRDefault="00CF0142" w:rsidP="00626227">
            <w:pPr>
              <w:pStyle w:val="CLDTableTextCentred12pt"/>
            </w:pPr>
          </w:p>
          <w:p w14:paraId="019251CE" w14:textId="77777777" w:rsidR="00B66B05" w:rsidRPr="00FD3F77" w:rsidRDefault="00B66B05" w:rsidP="00626227">
            <w:pPr>
              <w:pStyle w:val="CLDTableTextCentred12pt"/>
            </w:pPr>
            <w:r w:rsidRPr="00FD3F77">
              <w:t>33</w:t>
            </w:r>
          </w:p>
          <w:p w14:paraId="6558F485" w14:textId="77777777" w:rsidR="00B66B05" w:rsidRPr="00FD3F77" w:rsidRDefault="00B66B05" w:rsidP="00626227">
            <w:pPr>
              <w:pStyle w:val="CLDTableTextCentred12pt"/>
            </w:pPr>
            <w:r w:rsidRPr="00FD3F77">
              <w:t>17</w:t>
            </w:r>
          </w:p>
          <w:p w14:paraId="20A9845C" w14:textId="77777777" w:rsidR="00B66B05" w:rsidRPr="00FD3F77" w:rsidRDefault="00B66B05" w:rsidP="00626227">
            <w:pPr>
              <w:pStyle w:val="CLDTableTextCentred12pt"/>
            </w:pPr>
            <w:r w:rsidRPr="00FD3F77">
              <w:t>10</w:t>
            </w:r>
          </w:p>
        </w:tc>
        <w:tc>
          <w:tcPr>
            <w:tcW w:w="9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2478DE6" w14:textId="77777777" w:rsidR="00CF0142" w:rsidRPr="00FD3F77" w:rsidRDefault="00CF0142" w:rsidP="00626227">
            <w:pPr>
              <w:pStyle w:val="CLDTableTextCentred12pt"/>
              <w:ind w:left="-113"/>
            </w:pPr>
          </w:p>
          <w:p w14:paraId="2E1B672E" w14:textId="77777777" w:rsidR="00B66B05" w:rsidRPr="00FD3F77" w:rsidRDefault="00B66B05" w:rsidP="00626227">
            <w:pPr>
              <w:pStyle w:val="CLDTableTextCentred12pt"/>
              <w:ind w:left="-113"/>
            </w:pPr>
            <w:r w:rsidRPr="00FD3F77">
              <w:t>2</w:t>
            </w:r>
          </w:p>
          <w:p w14:paraId="6C521325" w14:textId="77777777" w:rsidR="00B66B05" w:rsidRPr="00FD3F77" w:rsidRDefault="00846183" w:rsidP="00626227">
            <w:pPr>
              <w:pStyle w:val="CLDTableTextCentred12pt"/>
              <w:ind w:left="-113"/>
            </w:pPr>
            <w:r>
              <w:t>&lt;1</w:t>
            </w:r>
          </w:p>
          <w:p w14:paraId="23B55E91" w14:textId="77777777" w:rsidR="00B66B05" w:rsidRPr="00FD3F77" w:rsidRDefault="00B66B05" w:rsidP="00626227">
            <w:pPr>
              <w:pStyle w:val="CLDTableTextCentred12pt"/>
              <w:ind w:left="-113"/>
            </w:pPr>
            <w:r w:rsidRPr="00FD3F77">
              <w:t>N/A</w:t>
            </w:r>
          </w:p>
        </w:tc>
        <w:tc>
          <w:tcPr>
            <w:tcW w:w="907" w:type="dxa"/>
            <w:tcBorders>
              <w:top w:val="single" w:sz="4" w:space="0" w:color="auto"/>
              <w:left w:val="nil"/>
              <w:bottom w:val="single" w:sz="4" w:space="0" w:color="auto"/>
              <w:right w:val="single" w:sz="8" w:space="0" w:color="auto"/>
            </w:tcBorders>
            <w:vAlign w:val="center"/>
          </w:tcPr>
          <w:p w14:paraId="7FF99858" w14:textId="77777777" w:rsidR="00CF0142" w:rsidRPr="00FD3F77" w:rsidRDefault="00CF0142" w:rsidP="00626227">
            <w:pPr>
              <w:pStyle w:val="CLDTableTextCentred12pt"/>
            </w:pPr>
          </w:p>
          <w:p w14:paraId="25566699" w14:textId="77777777" w:rsidR="00B66B05" w:rsidRPr="00FD3F77" w:rsidRDefault="00B66B05" w:rsidP="00626227">
            <w:pPr>
              <w:pStyle w:val="CLDTableTextCentred12pt"/>
            </w:pPr>
            <w:r w:rsidRPr="00FD3F77">
              <w:t>N/A</w:t>
            </w:r>
          </w:p>
          <w:p w14:paraId="7EAAD485" w14:textId="77777777" w:rsidR="00B66B05" w:rsidRPr="00FD3F77" w:rsidRDefault="00B66B05" w:rsidP="00626227">
            <w:pPr>
              <w:pStyle w:val="CLDTableTextCentred12pt"/>
            </w:pPr>
            <w:r w:rsidRPr="00FD3F77">
              <w:t>N/A</w:t>
            </w:r>
          </w:p>
          <w:p w14:paraId="7AA7E374" w14:textId="77777777" w:rsidR="00B66B05" w:rsidRPr="00FD3F77" w:rsidRDefault="00B66B05" w:rsidP="00626227">
            <w:pPr>
              <w:pStyle w:val="CLDTableTextCentred12pt"/>
            </w:pPr>
            <w:r w:rsidRPr="00FD3F77">
              <w:t>N/A</w:t>
            </w:r>
          </w:p>
        </w:tc>
        <w:tc>
          <w:tcPr>
            <w:tcW w:w="1134" w:type="dxa"/>
            <w:tcBorders>
              <w:top w:val="single" w:sz="4" w:space="0" w:color="auto"/>
              <w:left w:val="nil"/>
              <w:bottom w:val="single" w:sz="4" w:space="0" w:color="auto"/>
              <w:right w:val="single" w:sz="8" w:space="0" w:color="auto"/>
            </w:tcBorders>
            <w:vAlign w:val="center"/>
          </w:tcPr>
          <w:p w14:paraId="15CDE423" w14:textId="77777777" w:rsidR="00CF0142" w:rsidRPr="00FD3F77" w:rsidRDefault="00CF0142" w:rsidP="00626227">
            <w:pPr>
              <w:pStyle w:val="CLDTableTextCentred12pt"/>
            </w:pPr>
          </w:p>
          <w:p w14:paraId="16B5C418" w14:textId="77777777" w:rsidR="00B66B05" w:rsidRPr="00FD3F77" w:rsidRDefault="00B66B05" w:rsidP="00626227">
            <w:pPr>
              <w:pStyle w:val="CLDTableTextCentred12pt"/>
            </w:pPr>
            <w:r w:rsidRPr="00FD3F77">
              <w:t>22</w:t>
            </w:r>
          </w:p>
          <w:p w14:paraId="56309B18" w14:textId="77777777" w:rsidR="00B66B05" w:rsidRPr="00FD3F77" w:rsidRDefault="00B66B05" w:rsidP="00626227">
            <w:pPr>
              <w:pStyle w:val="CLDTableTextCentred12pt"/>
            </w:pPr>
            <w:r w:rsidRPr="00FD3F77">
              <w:t>10</w:t>
            </w:r>
          </w:p>
          <w:p w14:paraId="21BAC169" w14:textId="77777777" w:rsidR="00B66B05" w:rsidRPr="00FD3F77" w:rsidRDefault="00B66B05" w:rsidP="00626227">
            <w:pPr>
              <w:pStyle w:val="CLDTableTextCentred12pt"/>
            </w:pPr>
            <w:r w:rsidRPr="00FD3F77">
              <w:t>9</w:t>
            </w:r>
          </w:p>
        </w:tc>
        <w:tc>
          <w:tcPr>
            <w:tcW w:w="907" w:type="dxa"/>
            <w:tcBorders>
              <w:top w:val="single" w:sz="4" w:space="0" w:color="auto"/>
              <w:left w:val="nil"/>
              <w:bottom w:val="single" w:sz="4" w:space="0" w:color="auto"/>
              <w:right w:val="single" w:sz="8" w:space="0" w:color="auto"/>
            </w:tcBorders>
            <w:vAlign w:val="center"/>
          </w:tcPr>
          <w:p w14:paraId="149A9CE2" w14:textId="77777777" w:rsidR="00CF0142" w:rsidRPr="00FD3F77" w:rsidRDefault="00CF0142" w:rsidP="00626227">
            <w:pPr>
              <w:pStyle w:val="CLDTableTextCentred12pt"/>
            </w:pPr>
          </w:p>
          <w:p w14:paraId="0A814560" w14:textId="77777777" w:rsidR="00B66B05" w:rsidRPr="00FD3F77" w:rsidRDefault="00B66B05" w:rsidP="00626227">
            <w:pPr>
              <w:pStyle w:val="CLDTableTextCentred12pt"/>
            </w:pPr>
            <w:r w:rsidRPr="00FD3F77">
              <w:t>1</w:t>
            </w:r>
          </w:p>
          <w:p w14:paraId="1C4F1AFD" w14:textId="77777777" w:rsidR="00B66B05" w:rsidRPr="00FD3F77" w:rsidRDefault="00B66B05" w:rsidP="00626227">
            <w:pPr>
              <w:pStyle w:val="CLDTableTextCentred12pt"/>
            </w:pPr>
            <w:r w:rsidRPr="00FD3F77">
              <w:t>2</w:t>
            </w:r>
          </w:p>
          <w:p w14:paraId="21CB2EB5" w14:textId="77777777" w:rsidR="00B66B05" w:rsidRPr="00FD3F77" w:rsidRDefault="00846183" w:rsidP="00626227">
            <w:pPr>
              <w:pStyle w:val="CLDTableTextCentred12pt"/>
            </w:pPr>
            <w:r w:rsidRPr="00FD3F77">
              <w:t>N/A</w:t>
            </w:r>
          </w:p>
        </w:tc>
        <w:tc>
          <w:tcPr>
            <w:tcW w:w="907" w:type="dxa"/>
            <w:tcBorders>
              <w:top w:val="single" w:sz="4" w:space="0" w:color="auto"/>
              <w:left w:val="nil"/>
              <w:bottom w:val="single" w:sz="4" w:space="0" w:color="auto"/>
              <w:right w:val="single" w:sz="8" w:space="0" w:color="auto"/>
            </w:tcBorders>
            <w:vAlign w:val="center"/>
          </w:tcPr>
          <w:p w14:paraId="0ACBA495" w14:textId="77777777" w:rsidR="00CF0142" w:rsidRPr="00FD3F77" w:rsidRDefault="00CF0142" w:rsidP="00626227">
            <w:pPr>
              <w:pStyle w:val="CLDTableTextCentred12pt"/>
            </w:pPr>
          </w:p>
          <w:p w14:paraId="41759EE7" w14:textId="77777777" w:rsidR="00B66B05" w:rsidRPr="00FD3F77" w:rsidRDefault="00B66B05" w:rsidP="00626227">
            <w:pPr>
              <w:pStyle w:val="CLDTableTextCentred12pt"/>
            </w:pPr>
            <w:r w:rsidRPr="00FD3F77">
              <w:t>N/A</w:t>
            </w:r>
          </w:p>
          <w:p w14:paraId="585DD54A" w14:textId="77777777" w:rsidR="00B66B05" w:rsidRPr="00FD3F77" w:rsidRDefault="00B66B05" w:rsidP="00626227">
            <w:pPr>
              <w:pStyle w:val="CLDTableTextCentred12pt"/>
            </w:pPr>
            <w:r w:rsidRPr="00FD3F77">
              <w:t>N/A</w:t>
            </w:r>
          </w:p>
          <w:p w14:paraId="22CC5BC4" w14:textId="77777777" w:rsidR="00B66B05" w:rsidRPr="00FD3F77" w:rsidRDefault="00846183" w:rsidP="00626227">
            <w:pPr>
              <w:pStyle w:val="CLDTableTextCentred12pt"/>
            </w:pPr>
            <w:r w:rsidRPr="00FD3F77">
              <w:t>N/A</w:t>
            </w:r>
          </w:p>
        </w:tc>
      </w:tr>
      <w:tr w:rsidR="00B66B05" w:rsidRPr="00314370" w14:paraId="35385509" w14:textId="77777777" w:rsidTr="00563529">
        <w:trPr>
          <w:jc w:val="center"/>
        </w:trPr>
        <w:tc>
          <w:tcPr>
            <w:tcW w:w="345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F78B97A" w14:textId="77777777" w:rsidR="00B66B05" w:rsidRPr="004E6BF7" w:rsidRDefault="00B66B05" w:rsidP="00626227">
            <w:pPr>
              <w:pStyle w:val="CLDTableTextBoldLeft-aligned12pt"/>
              <w:spacing w:before="40" w:after="40"/>
            </w:pPr>
            <w:r w:rsidRPr="004E6BF7">
              <w:t>Gastrointestinal Disorders</w:t>
            </w:r>
          </w:p>
          <w:p w14:paraId="65705762" w14:textId="77777777" w:rsidR="00B66B05" w:rsidRPr="004E6BF7" w:rsidRDefault="00B66B05" w:rsidP="00626227">
            <w:pPr>
              <w:pStyle w:val="CLDTableTextLeft-Indent12pt"/>
              <w:spacing w:before="40" w:after="40"/>
              <w:rPr>
                <w:szCs w:val="24"/>
              </w:rPr>
            </w:pPr>
            <w:r w:rsidRPr="004E6BF7">
              <w:rPr>
                <w:szCs w:val="24"/>
              </w:rPr>
              <w:t>Nausea</w:t>
            </w:r>
          </w:p>
          <w:p w14:paraId="21D5312E" w14:textId="77777777" w:rsidR="002370C8" w:rsidRPr="004E6BF7" w:rsidRDefault="002370C8" w:rsidP="00626227">
            <w:pPr>
              <w:pStyle w:val="CLDTableTextLeft-Indent12pt"/>
              <w:spacing w:before="40" w:after="40"/>
              <w:rPr>
                <w:szCs w:val="24"/>
              </w:rPr>
            </w:pPr>
            <w:r w:rsidRPr="004E6BF7">
              <w:rPr>
                <w:szCs w:val="24"/>
              </w:rPr>
              <w:t>Vomiting</w:t>
            </w:r>
          </w:p>
          <w:p w14:paraId="0ACC7EBE" w14:textId="77777777" w:rsidR="00B66B05" w:rsidRPr="004E6BF7" w:rsidRDefault="00B66B05" w:rsidP="00626227">
            <w:pPr>
              <w:pStyle w:val="CLDTableTextLeft-Indent12pt"/>
              <w:spacing w:before="40" w:after="40"/>
              <w:rPr>
                <w:szCs w:val="24"/>
              </w:rPr>
            </w:pPr>
            <w:r w:rsidRPr="004E6BF7">
              <w:rPr>
                <w:szCs w:val="24"/>
              </w:rPr>
              <w:t>Diarrhoea</w:t>
            </w:r>
          </w:p>
          <w:p w14:paraId="6226E802" w14:textId="77777777" w:rsidR="00B66B05" w:rsidRPr="004E6BF7" w:rsidRDefault="00B66B05" w:rsidP="00626227">
            <w:pPr>
              <w:pStyle w:val="CLDTableTextLeft-Indent12pt"/>
              <w:spacing w:before="40" w:after="40"/>
              <w:rPr>
                <w:szCs w:val="24"/>
              </w:rPr>
            </w:pPr>
            <w:r w:rsidRPr="004E6BF7">
              <w:rPr>
                <w:szCs w:val="24"/>
              </w:rPr>
              <w:t>Abdominal pain</w:t>
            </w:r>
            <w:r w:rsidRPr="004E6BF7">
              <w:rPr>
                <w:szCs w:val="24"/>
                <w:vertAlign w:val="superscript"/>
              </w:rPr>
              <w:t>e</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99F7C48" w14:textId="77777777" w:rsidR="00CF0142" w:rsidRPr="004E6BF7" w:rsidRDefault="00CF0142" w:rsidP="00626227">
            <w:pPr>
              <w:pStyle w:val="CLDTableTextCentred12pt"/>
            </w:pPr>
          </w:p>
          <w:p w14:paraId="466F8AAE" w14:textId="77777777" w:rsidR="00B66B05" w:rsidRPr="004E6BF7" w:rsidRDefault="00B66B05" w:rsidP="00626227">
            <w:pPr>
              <w:pStyle w:val="CLDTableTextCentred12pt"/>
            </w:pPr>
            <w:r w:rsidRPr="004E6BF7">
              <w:t>49</w:t>
            </w:r>
          </w:p>
          <w:p w14:paraId="40281BB7" w14:textId="77777777" w:rsidR="002370C8" w:rsidRPr="004E6BF7" w:rsidRDefault="002370C8" w:rsidP="00626227">
            <w:pPr>
              <w:pStyle w:val="CLDTableTextCentred12pt"/>
            </w:pPr>
            <w:r w:rsidRPr="004E6BF7">
              <w:t>25</w:t>
            </w:r>
          </w:p>
          <w:p w14:paraId="5DBC0189" w14:textId="77777777" w:rsidR="00B66B05" w:rsidRPr="004E6BF7" w:rsidRDefault="00B66B05" w:rsidP="00626227">
            <w:pPr>
              <w:pStyle w:val="CLDTableTextCentred12pt"/>
            </w:pPr>
            <w:r w:rsidRPr="004E6BF7">
              <w:t>22</w:t>
            </w:r>
          </w:p>
          <w:p w14:paraId="1093DE9B" w14:textId="77777777" w:rsidR="00B66B05" w:rsidRPr="004E6BF7" w:rsidRDefault="00B66B05" w:rsidP="00626227">
            <w:pPr>
              <w:pStyle w:val="CLDTableTextCentred12pt"/>
            </w:pPr>
            <w:r w:rsidRPr="004E6BF7">
              <w:t>19</w:t>
            </w:r>
          </w:p>
        </w:tc>
        <w:tc>
          <w:tcPr>
            <w:tcW w:w="9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3CFA120" w14:textId="77777777" w:rsidR="00CF0142" w:rsidRPr="00FD3F77" w:rsidRDefault="00CF0142" w:rsidP="00626227">
            <w:pPr>
              <w:pStyle w:val="CLDTableTextCentred12pt"/>
              <w:ind w:left="-113"/>
            </w:pPr>
          </w:p>
          <w:p w14:paraId="1F6500AC" w14:textId="77777777" w:rsidR="00846183" w:rsidRPr="00FD3F77" w:rsidRDefault="00846183" w:rsidP="00626227">
            <w:pPr>
              <w:pStyle w:val="CLDTableTextCentred12pt"/>
              <w:ind w:left="-113"/>
            </w:pPr>
            <w:r>
              <w:t>&lt;1</w:t>
            </w:r>
          </w:p>
          <w:p w14:paraId="00D79B3C" w14:textId="77777777" w:rsidR="002370C8" w:rsidRPr="00FD3F77" w:rsidRDefault="002370C8" w:rsidP="00626227">
            <w:pPr>
              <w:pStyle w:val="CLDTableTextCentred12pt"/>
              <w:ind w:left="-113"/>
            </w:pPr>
            <w:r w:rsidRPr="00FD3F77">
              <w:t>2</w:t>
            </w:r>
          </w:p>
          <w:p w14:paraId="6A6AEA9E" w14:textId="77777777" w:rsidR="00846183" w:rsidRPr="00FD3F77" w:rsidRDefault="00846183" w:rsidP="00626227">
            <w:pPr>
              <w:pStyle w:val="CLDTableTextCentred12pt"/>
              <w:ind w:left="-113"/>
            </w:pPr>
            <w:r>
              <w:t>1</w:t>
            </w:r>
          </w:p>
          <w:p w14:paraId="22B7947B" w14:textId="77777777" w:rsidR="00B66B05" w:rsidRPr="00FD3F77" w:rsidRDefault="00846183" w:rsidP="00626227">
            <w:pPr>
              <w:pStyle w:val="CLDTableTextCentred12pt"/>
              <w:ind w:left="-113"/>
            </w:pPr>
            <w:r>
              <w:t>1</w:t>
            </w:r>
          </w:p>
        </w:tc>
        <w:tc>
          <w:tcPr>
            <w:tcW w:w="907" w:type="dxa"/>
            <w:tcBorders>
              <w:top w:val="single" w:sz="4" w:space="0" w:color="auto"/>
              <w:left w:val="nil"/>
              <w:bottom w:val="single" w:sz="4" w:space="0" w:color="auto"/>
              <w:right w:val="single" w:sz="8" w:space="0" w:color="auto"/>
            </w:tcBorders>
            <w:vAlign w:val="center"/>
          </w:tcPr>
          <w:p w14:paraId="77C7F2E5" w14:textId="77777777" w:rsidR="00CF0142" w:rsidRPr="00FD3F77" w:rsidRDefault="00CF0142" w:rsidP="00626227">
            <w:pPr>
              <w:pStyle w:val="CLDTableTextCentred12pt"/>
            </w:pPr>
          </w:p>
          <w:p w14:paraId="4CBE2E95" w14:textId="77777777" w:rsidR="00B66B05" w:rsidRPr="00FD3F77" w:rsidRDefault="00B66B05" w:rsidP="00626227">
            <w:pPr>
              <w:pStyle w:val="CLDTableTextCentred12pt"/>
            </w:pPr>
            <w:r w:rsidRPr="00FD3F77">
              <w:t>N/A</w:t>
            </w:r>
          </w:p>
          <w:p w14:paraId="370DD97B" w14:textId="77777777" w:rsidR="00B66B05" w:rsidRPr="00FD3F77" w:rsidRDefault="00B66B05" w:rsidP="00626227">
            <w:pPr>
              <w:pStyle w:val="CLDTableTextCentred12pt"/>
            </w:pPr>
            <w:r w:rsidRPr="00FD3F77">
              <w:t>0</w:t>
            </w:r>
          </w:p>
          <w:p w14:paraId="295D04DF" w14:textId="77777777" w:rsidR="00B66B05" w:rsidRPr="00FD3F77" w:rsidRDefault="00B66B05" w:rsidP="00626227">
            <w:pPr>
              <w:pStyle w:val="CLDTableTextCentred12pt"/>
            </w:pPr>
            <w:r w:rsidRPr="00FD3F77">
              <w:t>0</w:t>
            </w:r>
          </w:p>
          <w:p w14:paraId="7090B9E6" w14:textId="77777777" w:rsidR="00B66B05" w:rsidRPr="00FD3F77" w:rsidRDefault="00B66B05" w:rsidP="00626227">
            <w:pPr>
              <w:pStyle w:val="CLDTableTextCentred12pt"/>
            </w:pPr>
            <w:r w:rsidRPr="00FD3F77">
              <w:t>N/A</w:t>
            </w:r>
          </w:p>
        </w:tc>
        <w:tc>
          <w:tcPr>
            <w:tcW w:w="1134" w:type="dxa"/>
            <w:tcBorders>
              <w:top w:val="single" w:sz="4" w:space="0" w:color="auto"/>
              <w:left w:val="nil"/>
              <w:bottom w:val="single" w:sz="4" w:space="0" w:color="auto"/>
              <w:right w:val="single" w:sz="8" w:space="0" w:color="auto"/>
            </w:tcBorders>
            <w:vAlign w:val="center"/>
          </w:tcPr>
          <w:p w14:paraId="7B38930E" w14:textId="77777777" w:rsidR="00CF0142" w:rsidRPr="00FD3F77" w:rsidRDefault="00CF0142" w:rsidP="00626227">
            <w:pPr>
              <w:pStyle w:val="CLDTableTextCentred12pt"/>
            </w:pPr>
          </w:p>
          <w:p w14:paraId="446E6C82" w14:textId="77777777" w:rsidR="00B66B05" w:rsidRPr="00FD3F77" w:rsidRDefault="00B66B05" w:rsidP="00626227">
            <w:pPr>
              <w:pStyle w:val="CLDTableTextCentred12pt"/>
            </w:pPr>
            <w:r w:rsidRPr="00FD3F77">
              <w:t>47</w:t>
            </w:r>
          </w:p>
          <w:p w14:paraId="5B458AC5" w14:textId="77777777" w:rsidR="002370C8" w:rsidRPr="00FD3F77" w:rsidRDefault="002370C8" w:rsidP="00626227">
            <w:pPr>
              <w:pStyle w:val="CLDTableTextCentred12pt"/>
            </w:pPr>
            <w:r w:rsidRPr="00FD3F77">
              <w:t>23</w:t>
            </w:r>
          </w:p>
          <w:p w14:paraId="15E995B7" w14:textId="77777777" w:rsidR="00B66B05" w:rsidRPr="00FD3F77" w:rsidRDefault="00B66B05" w:rsidP="00626227">
            <w:pPr>
              <w:pStyle w:val="CLDTableTextCentred12pt"/>
            </w:pPr>
            <w:r w:rsidRPr="00FD3F77">
              <w:t>26</w:t>
            </w:r>
          </w:p>
          <w:p w14:paraId="3D214168" w14:textId="77777777" w:rsidR="00B66B05" w:rsidRPr="00FD3F77" w:rsidRDefault="00B66B05" w:rsidP="00626227">
            <w:pPr>
              <w:pStyle w:val="CLDTableTextCentred12pt"/>
            </w:pPr>
            <w:r w:rsidRPr="00FD3F77">
              <w:t>21</w:t>
            </w:r>
          </w:p>
        </w:tc>
        <w:tc>
          <w:tcPr>
            <w:tcW w:w="907" w:type="dxa"/>
            <w:tcBorders>
              <w:top w:val="single" w:sz="4" w:space="0" w:color="auto"/>
              <w:left w:val="nil"/>
              <w:bottom w:val="single" w:sz="4" w:space="0" w:color="auto"/>
              <w:right w:val="single" w:sz="8" w:space="0" w:color="auto"/>
            </w:tcBorders>
            <w:vAlign w:val="center"/>
          </w:tcPr>
          <w:p w14:paraId="3FD707E6" w14:textId="77777777" w:rsidR="00CF0142" w:rsidRPr="00FD3F77" w:rsidRDefault="00CF0142" w:rsidP="00626227">
            <w:pPr>
              <w:pStyle w:val="CLDTableTextCentred12pt"/>
            </w:pPr>
          </w:p>
          <w:p w14:paraId="3756E995" w14:textId="77777777" w:rsidR="00B66B05" w:rsidRPr="00FD3F77" w:rsidRDefault="00B66B05" w:rsidP="00626227">
            <w:pPr>
              <w:pStyle w:val="CLDTableTextCentred12pt"/>
            </w:pPr>
            <w:r w:rsidRPr="00FD3F77">
              <w:t>2</w:t>
            </w:r>
          </w:p>
          <w:p w14:paraId="1C4BC99B" w14:textId="77777777" w:rsidR="002370C8" w:rsidRPr="00FD3F77" w:rsidRDefault="002370C8" w:rsidP="00626227">
            <w:pPr>
              <w:pStyle w:val="CLDTableTextCentred12pt"/>
            </w:pPr>
            <w:r w:rsidRPr="00FD3F77">
              <w:t>2</w:t>
            </w:r>
          </w:p>
          <w:p w14:paraId="2281F5EF" w14:textId="77777777" w:rsidR="00B66B05" w:rsidRPr="00FD3F77" w:rsidRDefault="00B66B05" w:rsidP="00626227">
            <w:pPr>
              <w:pStyle w:val="CLDTableTextCentred12pt"/>
            </w:pPr>
            <w:r w:rsidRPr="00FD3F77">
              <w:t>6</w:t>
            </w:r>
          </w:p>
          <w:p w14:paraId="6EC49542" w14:textId="77777777" w:rsidR="00B66B05" w:rsidRPr="00FD3F77" w:rsidRDefault="00B66B05" w:rsidP="00626227">
            <w:pPr>
              <w:pStyle w:val="CLDTableTextCentred12pt"/>
            </w:pPr>
            <w:r w:rsidRPr="00FD3F77">
              <w:t>3</w:t>
            </w:r>
          </w:p>
        </w:tc>
        <w:tc>
          <w:tcPr>
            <w:tcW w:w="907" w:type="dxa"/>
            <w:tcBorders>
              <w:top w:val="single" w:sz="4" w:space="0" w:color="auto"/>
              <w:left w:val="nil"/>
              <w:bottom w:val="single" w:sz="4" w:space="0" w:color="auto"/>
              <w:right w:val="single" w:sz="8" w:space="0" w:color="auto"/>
            </w:tcBorders>
            <w:vAlign w:val="center"/>
          </w:tcPr>
          <w:p w14:paraId="069EF11A" w14:textId="77777777" w:rsidR="00CF0142" w:rsidRPr="00FD3F77" w:rsidRDefault="00CF0142" w:rsidP="00626227">
            <w:pPr>
              <w:pStyle w:val="CLDTableTextCentred12pt"/>
            </w:pPr>
          </w:p>
          <w:p w14:paraId="1A942A1F" w14:textId="77777777" w:rsidR="00B66B05" w:rsidRPr="00FD3F77" w:rsidRDefault="00B66B05" w:rsidP="00626227">
            <w:pPr>
              <w:pStyle w:val="CLDTableTextCentred12pt"/>
            </w:pPr>
            <w:r w:rsidRPr="00FD3F77">
              <w:t>N/A</w:t>
            </w:r>
          </w:p>
          <w:p w14:paraId="4120992A" w14:textId="77777777" w:rsidR="00B66B05" w:rsidRPr="00FD3F77" w:rsidRDefault="00B66B05" w:rsidP="00626227">
            <w:pPr>
              <w:pStyle w:val="CLDTableTextCentred12pt"/>
            </w:pPr>
            <w:r w:rsidRPr="00FD3F77">
              <w:t>0</w:t>
            </w:r>
          </w:p>
          <w:p w14:paraId="1AA0B90D" w14:textId="77777777" w:rsidR="00B66B05" w:rsidRPr="00FD3F77" w:rsidRDefault="00B66B05" w:rsidP="00626227">
            <w:pPr>
              <w:pStyle w:val="CLDTableTextCentred12pt"/>
            </w:pPr>
            <w:r w:rsidRPr="00FD3F77">
              <w:t>0</w:t>
            </w:r>
          </w:p>
          <w:p w14:paraId="22E7E491" w14:textId="77777777" w:rsidR="00B66B05" w:rsidRPr="00FD3F77" w:rsidRDefault="00B66B05" w:rsidP="00626227">
            <w:pPr>
              <w:pStyle w:val="CLDTableTextCentred12pt"/>
            </w:pPr>
            <w:r w:rsidRPr="00FD3F77">
              <w:t>N/A</w:t>
            </w:r>
          </w:p>
        </w:tc>
      </w:tr>
      <w:tr w:rsidR="00B66B05" w:rsidRPr="00314370" w14:paraId="7C9F1D71" w14:textId="77777777" w:rsidTr="00563529">
        <w:trPr>
          <w:cantSplit/>
          <w:jc w:val="center"/>
        </w:trPr>
        <w:tc>
          <w:tcPr>
            <w:tcW w:w="345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D230340" w14:textId="77777777" w:rsidR="00B66B05" w:rsidRPr="00FD3F77" w:rsidRDefault="00B66B05" w:rsidP="00626227">
            <w:pPr>
              <w:pStyle w:val="CLDTableTextBoldLeft-aligned12pt"/>
              <w:keepNext/>
              <w:spacing w:before="40" w:after="40"/>
            </w:pPr>
            <w:r w:rsidRPr="00FD3F77">
              <w:t>Skin and Subcutaneous Tissue Disorders</w:t>
            </w:r>
          </w:p>
          <w:p w14:paraId="534084F1" w14:textId="77777777" w:rsidR="00B66B05" w:rsidRPr="00FD3F77" w:rsidRDefault="00B66B05" w:rsidP="00626227">
            <w:pPr>
              <w:pStyle w:val="CLDTableTextLeft-Indent12pt"/>
              <w:spacing w:before="40" w:after="40"/>
              <w:rPr>
                <w:szCs w:val="24"/>
              </w:rPr>
            </w:pPr>
            <w:r w:rsidRPr="00FD3F77">
              <w:rPr>
                <w:szCs w:val="24"/>
              </w:rPr>
              <w:t>Alopecia</w:t>
            </w:r>
            <w:r w:rsidRPr="00FD3F77">
              <w:rPr>
                <w:szCs w:val="24"/>
                <w:vertAlign w:val="superscript"/>
              </w:rPr>
              <w:t>f</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D38F175" w14:textId="77777777" w:rsidR="00BC6895" w:rsidRPr="00FD3F77" w:rsidRDefault="00BC6895" w:rsidP="00626227">
            <w:pPr>
              <w:pStyle w:val="CLDTableTextCentred12pt"/>
            </w:pPr>
            <w:r w:rsidRPr="00FD3F77">
              <w:br/>
            </w:r>
          </w:p>
          <w:p w14:paraId="3C940286" w14:textId="77777777" w:rsidR="00B66B05" w:rsidRPr="00FD3F77" w:rsidRDefault="00B66B05" w:rsidP="00626227">
            <w:pPr>
              <w:pStyle w:val="CLDTableTextCentred12pt"/>
            </w:pPr>
            <w:r w:rsidRPr="008328F6">
              <w:t>25</w:t>
            </w:r>
          </w:p>
        </w:tc>
        <w:tc>
          <w:tcPr>
            <w:tcW w:w="9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531B39C" w14:textId="77777777" w:rsidR="00BC6895" w:rsidRPr="00FD3F77" w:rsidRDefault="00BC6895" w:rsidP="00626227">
            <w:pPr>
              <w:pStyle w:val="CLDTableTextCentred12pt"/>
              <w:ind w:left="-113"/>
            </w:pPr>
            <w:r w:rsidRPr="00FD3F77">
              <w:br/>
            </w:r>
          </w:p>
          <w:p w14:paraId="2EC434D9" w14:textId="77777777" w:rsidR="00B66B05" w:rsidRPr="00FD3F77" w:rsidRDefault="00B66B05" w:rsidP="00626227">
            <w:pPr>
              <w:pStyle w:val="CLDTableTextCentred12pt"/>
              <w:ind w:left="-113"/>
            </w:pPr>
            <w:r w:rsidRPr="00FD3F77">
              <w:t>N/A</w:t>
            </w:r>
          </w:p>
        </w:tc>
        <w:tc>
          <w:tcPr>
            <w:tcW w:w="907" w:type="dxa"/>
            <w:tcBorders>
              <w:top w:val="single" w:sz="4" w:space="0" w:color="auto"/>
              <w:left w:val="nil"/>
              <w:bottom w:val="single" w:sz="4" w:space="0" w:color="auto"/>
              <w:right w:val="single" w:sz="8" w:space="0" w:color="auto"/>
            </w:tcBorders>
            <w:vAlign w:val="center"/>
          </w:tcPr>
          <w:p w14:paraId="382C461E" w14:textId="77777777" w:rsidR="00BC6895" w:rsidRPr="00FD3F77" w:rsidRDefault="00BC6895" w:rsidP="00626227">
            <w:pPr>
              <w:pStyle w:val="CLDTableTextCentred12pt"/>
            </w:pPr>
            <w:r w:rsidRPr="00FD3F77">
              <w:br/>
            </w:r>
          </w:p>
          <w:p w14:paraId="158ACC36" w14:textId="77777777" w:rsidR="00B66B05" w:rsidRPr="00FD3F77" w:rsidRDefault="00B66B05" w:rsidP="00626227">
            <w:pPr>
              <w:pStyle w:val="CLDTableTextCentred12pt"/>
            </w:pPr>
            <w:r w:rsidRPr="00FD3F77">
              <w:t>N/A</w:t>
            </w:r>
          </w:p>
        </w:tc>
        <w:tc>
          <w:tcPr>
            <w:tcW w:w="1134" w:type="dxa"/>
            <w:tcBorders>
              <w:top w:val="single" w:sz="4" w:space="0" w:color="auto"/>
              <w:left w:val="nil"/>
              <w:bottom w:val="single" w:sz="4" w:space="0" w:color="auto"/>
              <w:right w:val="single" w:sz="8" w:space="0" w:color="auto"/>
            </w:tcBorders>
            <w:vAlign w:val="center"/>
          </w:tcPr>
          <w:p w14:paraId="08C8E8E5" w14:textId="77777777" w:rsidR="00BC6895" w:rsidRPr="00FD3F77" w:rsidRDefault="00BC6895" w:rsidP="00626227">
            <w:pPr>
              <w:pStyle w:val="CLDTableTextCentred12pt"/>
            </w:pPr>
            <w:r w:rsidRPr="00FD3F77">
              <w:br/>
            </w:r>
          </w:p>
          <w:p w14:paraId="1E9B524A" w14:textId="77777777" w:rsidR="00B66B05" w:rsidRPr="00FD3F77" w:rsidRDefault="00B66B05" w:rsidP="00626227">
            <w:pPr>
              <w:pStyle w:val="CLDTableTextCentred12pt"/>
            </w:pPr>
            <w:r w:rsidRPr="00FD3F77">
              <w:t>28</w:t>
            </w:r>
          </w:p>
        </w:tc>
        <w:tc>
          <w:tcPr>
            <w:tcW w:w="907" w:type="dxa"/>
            <w:tcBorders>
              <w:top w:val="single" w:sz="4" w:space="0" w:color="auto"/>
              <w:left w:val="nil"/>
              <w:bottom w:val="single" w:sz="4" w:space="0" w:color="auto"/>
              <w:right w:val="single" w:sz="8" w:space="0" w:color="auto"/>
            </w:tcBorders>
            <w:vAlign w:val="center"/>
          </w:tcPr>
          <w:p w14:paraId="47B0A418" w14:textId="77777777" w:rsidR="00BC6895" w:rsidRPr="00FD3F77" w:rsidRDefault="00BC6895" w:rsidP="00626227">
            <w:pPr>
              <w:pStyle w:val="CLDTableTextCentred12pt"/>
            </w:pPr>
            <w:r w:rsidRPr="00FD3F77">
              <w:br/>
            </w:r>
          </w:p>
          <w:p w14:paraId="5E9403EF" w14:textId="77777777" w:rsidR="00B66B05" w:rsidRPr="00FD3F77" w:rsidRDefault="00B66B05" w:rsidP="00626227">
            <w:pPr>
              <w:pStyle w:val="CLDTableTextCentred12pt"/>
            </w:pPr>
            <w:r w:rsidRPr="00FD3F77">
              <w:t>N/A</w:t>
            </w:r>
          </w:p>
        </w:tc>
        <w:tc>
          <w:tcPr>
            <w:tcW w:w="907" w:type="dxa"/>
            <w:tcBorders>
              <w:top w:val="single" w:sz="4" w:space="0" w:color="auto"/>
              <w:left w:val="nil"/>
              <w:bottom w:val="single" w:sz="4" w:space="0" w:color="auto"/>
              <w:right w:val="single" w:sz="8" w:space="0" w:color="auto"/>
            </w:tcBorders>
            <w:vAlign w:val="center"/>
          </w:tcPr>
          <w:p w14:paraId="6F67D225" w14:textId="77777777" w:rsidR="00BC6895" w:rsidRPr="00FD3F77" w:rsidRDefault="00BC6895" w:rsidP="00626227">
            <w:pPr>
              <w:pStyle w:val="CLDTableTextCentred12pt"/>
            </w:pPr>
            <w:r w:rsidRPr="00FD3F77">
              <w:br/>
            </w:r>
          </w:p>
          <w:p w14:paraId="7CF5CBF9" w14:textId="77777777" w:rsidR="00B66B05" w:rsidRPr="00FD3F77" w:rsidRDefault="00B66B05" w:rsidP="00626227">
            <w:pPr>
              <w:pStyle w:val="CLDTableTextCentred12pt"/>
            </w:pPr>
            <w:r w:rsidRPr="00FD3F77">
              <w:t>N/A</w:t>
            </w:r>
          </w:p>
        </w:tc>
      </w:tr>
      <w:tr w:rsidR="00B66B05" w:rsidRPr="00314370" w14:paraId="0212E023" w14:textId="77777777" w:rsidTr="00563529">
        <w:trPr>
          <w:jc w:val="center"/>
        </w:trPr>
        <w:tc>
          <w:tcPr>
            <w:tcW w:w="345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398058" w14:textId="77777777" w:rsidR="00B66B05" w:rsidRPr="00FD3F77" w:rsidRDefault="00B66B05" w:rsidP="00626227">
            <w:pPr>
              <w:pStyle w:val="CLDTableTextBoldLeft-aligned12pt"/>
              <w:keepNext/>
              <w:spacing w:before="40" w:after="40"/>
            </w:pPr>
            <w:r w:rsidRPr="00FD3F77">
              <w:t xml:space="preserve">General Disorders and Administration Site </w:t>
            </w:r>
            <w:r w:rsidR="003329B0">
              <w:t>C</w:t>
            </w:r>
            <w:r w:rsidR="00FD3F77">
              <w:t>on</w:t>
            </w:r>
            <w:r w:rsidRPr="00FD3F77">
              <w:t>ditions</w:t>
            </w:r>
          </w:p>
          <w:p w14:paraId="5BFD9964" w14:textId="77777777" w:rsidR="00B66B05" w:rsidRPr="00FD3F77" w:rsidRDefault="00B66B05" w:rsidP="00626227">
            <w:pPr>
              <w:pStyle w:val="CLDTableTextLeft-Indent12pt"/>
              <w:spacing w:before="40" w:after="40"/>
              <w:rPr>
                <w:b/>
                <w:szCs w:val="24"/>
              </w:rPr>
            </w:pPr>
            <w:r w:rsidRPr="00FD3F77">
              <w:rPr>
                <w:szCs w:val="24"/>
              </w:rPr>
              <w:t>Fatigue</w:t>
            </w:r>
            <w:r w:rsidRPr="00FD3F77">
              <w:rPr>
                <w:szCs w:val="24"/>
                <w:vertAlign w:val="superscript"/>
              </w:rPr>
              <w:t>g</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F2810C" w14:textId="77777777" w:rsidR="008E19A9" w:rsidRPr="00FD3F77" w:rsidRDefault="008E19A9" w:rsidP="00626227">
            <w:pPr>
              <w:pStyle w:val="CLDTableTextCentred12pt"/>
            </w:pPr>
            <w:r w:rsidRPr="00FD3F77">
              <w:br/>
            </w:r>
          </w:p>
          <w:p w14:paraId="344D7C88" w14:textId="77777777" w:rsidR="00B66B05" w:rsidRPr="00FD3F77" w:rsidRDefault="00B66B05" w:rsidP="00626227">
            <w:pPr>
              <w:pStyle w:val="CLDTableTextCentred12pt"/>
            </w:pPr>
            <w:r w:rsidRPr="00FD3F77">
              <w:t>62</w:t>
            </w:r>
          </w:p>
        </w:tc>
        <w:tc>
          <w:tcPr>
            <w:tcW w:w="90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BAF38B6" w14:textId="77777777" w:rsidR="008E19A9" w:rsidRPr="00FD3F77" w:rsidRDefault="008E19A9" w:rsidP="00626227">
            <w:pPr>
              <w:pStyle w:val="CLDTableTextCentred12pt"/>
              <w:ind w:left="-113"/>
            </w:pPr>
            <w:r w:rsidRPr="00FD3F77">
              <w:br/>
            </w:r>
          </w:p>
          <w:p w14:paraId="2C1F66A6" w14:textId="77777777" w:rsidR="00B66B05" w:rsidRPr="00FD3F77" w:rsidRDefault="00B66B05" w:rsidP="00626227">
            <w:pPr>
              <w:pStyle w:val="CLDTableTextCentred12pt"/>
              <w:ind w:left="-113"/>
            </w:pPr>
            <w:r w:rsidRPr="00FD3F77">
              <w:t>3</w:t>
            </w:r>
          </w:p>
        </w:tc>
        <w:tc>
          <w:tcPr>
            <w:tcW w:w="907" w:type="dxa"/>
            <w:tcBorders>
              <w:top w:val="single" w:sz="4" w:space="0" w:color="auto"/>
              <w:left w:val="nil"/>
              <w:bottom w:val="single" w:sz="8" w:space="0" w:color="auto"/>
              <w:right w:val="single" w:sz="8" w:space="0" w:color="auto"/>
            </w:tcBorders>
            <w:vAlign w:val="center"/>
          </w:tcPr>
          <w:p w14:paraId="4BB1C18D" w14:textId="77777777" w:rsidR="008E19A9" w:rsidRPr="00FD3F77" w:rsidRDefault="008E19A9" w:rsidP="00626227">
            <w:pPr>
              <w:pStyle w:val="CLDTableTextCentred12pt"/>
            </w:pPr>
            <w:r w:rsidRPr="00FD3F77">
              <w:br/>
            </w:r>
          </w:p>
          <w:p w14:paraId="7D5B107E" w14:textId="77777777" w:rsidR="00B66B05" w:rsidRPr="00FD3F77" w:rsidRDefault="00B66B05" w:rsidP="00626227">
            <w:pPr>
              <w:pStyle w:val="CLDTableTextCentred12pt"/>
            </w:pPr>
            <w:r w:rsidRPr="00FD3F77">
              <w:t>0</w:t>
            </w:r>
          </w:p>
        </w:tc>
        <w:tc>
          <w:tcPr>
            <w:tcW w:w="1134" w:type="dxa"/>
            <w:tcBorders>
              <w:top w:val="single" w:sz="4" w:space="0" w:color="auto"/>
              <w:left w:val="nil"/>
              <w:bottom w:val="single" w:sz="8" w:space="0" w:color="auto"/>
              <w:right w:val="single" w:sz="8" w:space="0" w:color="auto"/>
            </w:tcBorders>
            <w:vAlign w:val="center"/>
          </w:tcPr>
          <w:p w14:paraId="29949C8C" w14:textId="77777777" w:rsidR="008E19A9" w:rsidRPr="00FD3F77" w:rsidRDefault="008E19A9" w:rsidP="00626227">
            <w:pPr>
              <w:pStyle w:val="CLDTableTextCentred12pt"/>
            </w:pPr>
            <w:r w:rsidRPr="00FD3F77">
              <w:br/>
            </w:r>
          </w:p>
          <w:p w14:paraId="45467A8E" w14:textId="77777777" w:rsidR="00B66B05" w:rsidRPr="00FD3F77" w:rsidRDefault="00B66B05" w:rsidP="00626227">
            <w:pPr>
              <w:pStyle w:val="CLDTableTextCentred12pt"/>
            </w:pPr>
            <w:r w:rsidRPr="00FD3F77">
              <w:t>50</w:t>
            </w:r>
          </w:p>
        </w:tc>
        <w:tc>
          <w:tcPr>
            <w:tcW w:w="907" w:type="dxa"/>
            <w:tcBorders>
              <w:top w:val="single" w:sz="4" w:space="0" w:color="auto"/>
              <w:left w:val="nil"/>
              <w:bottom w:val="single" w:sz="8" w:space="0" w:color="auto"/>
              <w:right w:val="single" w:sz="8" w:space="0" w:color="auto"/>
            </w:tcBorders>
            <w:vAlign w:val="center"/>
          </w:tcPr>
          <w:p w14:paraId="3BD86F4E" w14:textId="77777777" w:rsidR="008E19A9" w:rsidRPr="00FD3F77" w:rsidRDefault="008E19A9" w:rsidP="00626227">
            <w:pPr>
              <w:pStyle w:val="CLDTableTextCentred12pt"/>
            </w:pPr>
            <w:r w:rsidRPr="00FD3F77">
              <w:br/>
            </w:r>
          </w:p>
          <w:p w14:paraId="7932D561" w14:textId="77777777" w:rsidR="00B66B05" w:rsidRPr="00FD3F77" w:rsidRDefault="00B66B05" w:rsidP="00626227">
            <w:pPr>
              <w:pStyle w:val="CLDTableTextCentred12pt"/>
            </w:pPr>
            <w:r w:rsidRPr="00FD3F77">
              <w:t>5</w:t>
            </w:r>
          </w:p>
        </w:tc>
        <w:tc>
          <w:tcPr>
            <w:tcW w:w="907" w:type="dxa"/>
            <w:tcBorders>
              <w:top w:val="single" w:sz="4" w:space="0" w:color="auto"/>
              <w:left w:val="nil"/>
              <w:bottom w:val="single" w:sz="8" w:space="0" w:color="auto"/>
              <w:right w:val="single" w:sz="8" w:space="0" w:color="auto"/>
            </w:tcBorders>
            <w:vAlign w:val="center"/>
          </w:tcPr>
          <w:p w14:paraId="2E30E679" w14:textId="77777777" w:rsidR="008E19A9" w:rsidRPr="00FD3F77" w:rsidRDefault="008E19A9" w:rsidP="00626227">
            <w:pPr>
              <w:pStyle w:val="CLDTableTextCentred12pt"/>
            </w:pPr>
            <w:r w:rsidRPr="00FD3F77">
              <w:br/>
            </w:r>
          </w:p>
          <w:p w14:paraId="250669BB" w14:textId="77777777" w:rsidR="00B66B05" w:rsidRPr="00FD3F77" w:rsidRDefault="00B66B05" w:rsidP="00626227">
            <w:pPr>
              <w:pStyle w:val="CLDTableTextCentred12pt"/>
            </w:pPr>
            <w:r w:rsidRPr="00FD3F77">
              <w:t>0</w:t>
            </w:r>
          </w:p>
        </w:tc>
      </w:tr>
    </w:tbl>
    <w:p w14:paraId="292D50D8" w14:textId="6F8267DF" w:rsidR="00BC6895" w:rsidRPr="00451E3E" w:rsidRDefault="00BC6895" w:rsidP="00142AC7">
      <w:pPr>
        <w:pStyle w:val="CLDTableFootnotewithnosuperscripts"/>
      </w:pPr>
      <w:r w:rsidRPr="00451E3E">
        <w:t>Adverse event grades are evaluated based on NCI CTCAE (version 4.03). Patients with multiple events for a given preferred term are counted once only for each preferred term.</w:t>
      </w:r>
    </w:p>
    <w:p w14:paraId="4A8335CD" w14:textId="77777777" w:rsidR="00BC6895" w:rsidRPr="00451E3E" w:rsidRDefault="00BC6895" w:rsidP="00142AC7">
      <w:pPr>
        <w:pStyle w:val="CLDTableFootnotewithnosuperscripts"/>
      </w:pPr>
      <w:r w:rsidRPr="00451E3E">
        <w:t xml:space="preserve">Abbreviations: CTCAE=Common Terminology Criteria for Adverse Events; NCI=National Cancer Institute; N=number of patients; N/A=not applicable. </w:t>
      </w:r>
    </w:p>
    <w:p w14:paraId="26B3E752" w14:textId="673426B4" w:rsidR="00BC6895" w:rsidRPr="00451E3E" w:rsidRDefault="00BC6895" w:rsidP="00142AC7">
      <w:pPr>
        <w:pStyle w:val="CLDTableFootnotewithsuperscipts"/>
        <w:jc w:val="both"/>
      </w:pPr>
      <w:r w:rsidRPr="00451E3E">
        <w:t>*</w:t>
      </w:r>
      <w:r w:rsidRPr="00451E3E">
        <w:tab/>
        <w:t xml:space="preserve">There were no Grade 5 adverse </w:t>
      </w:r>
      <w:r w:rsidRPr="00F54F68">
        <w:t>reactions.</w:t>
      </w:r>
    </w:p>
    <w:p w14:paraId="5EBDF334" w14:textId="77777777" w:rsidR="00BC6895" w:rsidRPr="00451E3E" w:rsidRDefault="00BC6895" w:rsidP="00142AC7">
      <w:pPr>
        <w:pStyle w:val="CLDTableFootnotewithsuperscipts"/>
        <w:jc w:val="both"/>
      </w:pPr>
      <w:r w:rsidRPr="00451E3E">
        <w:rPr>
          <w:vertAlign w:val="superscript"/>
        </w:rPr>
        <w:t>a.</w:t>
      </w:r>
      <w:r w:rsidRPr="00451E3E">
        <w:tab/>
        <w:t>Includes preferred terms of ana</w:t>
      </w:r>
      <w:r w:rsidR="0087098D" w:rsidRPr="00451E3E">
        <w:t xml:space="preserve">emia, </w:t>
      </w:r>
      <w:r w:rsidRPr="00451E3E">
        <w:t>h</w:t>
      </w:r>
      <w:r w:rsidR="0087098D" w:rsidRPr="00451E3E">
        <w:t xml:space="preserve">aematocrit </w:t>
      </w:r>
      <w:r w:rsidRPr="00451E3E">
        <w:t>decreased and haemoglobin decreased.</w:t>
      </w:r>
    </w:p>
    <w:p w14:paraId="3827F77F" w14:textId="77777777" w:rsidR="00BC6895" w:rsidRPr="00451E3E" w:rsidRDefault="00BC6895" w:rsidP="00142AC7">
      <w:pPr>
        <w:pStyle w:val="CLDTableFootnotewithsuperscipts"/>
        <w:jc w:val="both"/>
      </w:pPr>
      <w:r w:rsidRPr="00451E3E">
        <w:rPr>
          <w:vertAlign w:val="superscript"/>
        </w:rPr>
        <w:t>b.</w:t>
      </w:r>
      <w:r w:rsidRPr="00451E3E">
        <w:tab/>
      </w:r>
      <w:r w:rsidR="002370C8" w:rsidRPr="00451E3E">
        <w:t>Includes preferred terms of neutropenia and neutrophil count decreased</w:t>
      </w:r>
      <w:r w:rsidRPr="00451E3E">
        <w:t>.</w:t>
      </w:r>
    </w:p>
    <w:p w14:paraId="704E824C" w14:textId="77777777" w:rsidR="00BC6895" w:rsidRPr="00451E3E" w:rsidRDefault="00BC6895" w:rsidP="00142AC7">
      <w:pPr>
        <w:pStyle w:val="CLDTableFootnotewithsuperscipts"/>
        <w:jc w:val="both"/>
      </w:pPr>
      <w:r w:rsidRPr="00451E3E">
        <w:rPr>
          <w:vertAlign w:val="superscript"/>
        </w:rPr>
        <w:t>c.</w:t>
      </w:r>
      <w:r w:rsidRPr="00451E3E">
        <w:tab/>
      </w:r>
      <w:r w:rsidR="002370C8" w:rsidRPr="00451E3E">
        <w:t>Includes preferred terms of thrombocytopenia and platelet count decreased</w:t>
      </w:r>
      <w:r w:rsidR="002370C8">
        <w:t>.</w:t>
      </w:r>
    </w:p>
    <w:p w14:paraId="0EE9A289" w14:textId="77777777" w:rsidR="00BC6895" w:rsidRPr="00451E3E" w:rsidRDefault="00BC6895" w:rsidP="00142AC7">
      <w:pPr>
        <w:pStyle w:val="CLDTableFootnotewithsuperscipts"/>
        <w:jc w:val="both"/>
      </w:pPr>
      <w:r w:rsidRPr="00451E3E">
        <w:rPr>
          <w:vertAlign w:val="superscript"/>
        </w:rPr>
        <w:t>d.</w:t>
      </w:r>
      <w:r w:rsidRPr="00451E3E">
        <w:tab/>
        <w:t>Includes</w:t>
      </w:r>
      <w:r w:rsidR="0087098D" w:rsidRPr="00451E3E">
        <w:t xml:space="preserve"> </w:t>
      </w:r>
      <w:r w:rsidRPr="00451E3E">
        <w:t>preferred</w:t>
      </w:r>
      <w:r w:rsidR="0087098D" w:rsidRPr="00451E3E">
        <w:t xml:space="preserve"> </w:t>
      </w:r>
      <w:r w:rsidRPr="00451E3E">
        <w:t>terms</w:t>
      </w:r>
      <w:r w:rsidR="0087098D" w:rsidRPr="00451E3E">
        <w:t xml:space="preserve"> </w:t>
      </w:r>
      <w:r w:rsidRPr="00451E3E">
        <w:t>of</w:t>
      </w:r>
      <w:r w:rsidR="0087098D" w:rsidRPr="00451E3E">
        <w:t xml:space="preserve"> </w:t>
      </w:r>
      <w:r w:rsidRPr="00451E3E">
        <w:t>leu</w:t>
      </w:r>
      <w:r w:rsidR="0023484F">
        <w:t>c</w:t>
      </w:r>
      <w:r w:rsidRPr="00451E3E">
        <w:t>openia and white</w:t>
      </w:r>
      <w:r w:rsidR="0087098D" w:rsidRPr="00451E3E">
        <w:t xml:space="preserve"> </w:t>
      </w:r>
      <w:r w:rsidRPr="00451E3E">
        <w:t>blood</w:t>
      </w:r>
      <w:r w:rsidR="0087098D" w:rsidRPr="00451E3E">
        <w:t xml:space="preserve"> </w:t>
      </w:r>
      <w:r w:rsidRPr="00451E3E">
        <w:t>cell</w:t>
      </w:r>
      <w:r w:rsidR="0087098D" w:rsidRPr="00451E3E">
        <w:t xml:space="preserve"> </w:t>
      </w:r>
      <w:r w:rsidRPr="00451E3E">
        <w:t>count</w:t>
      </w:r>
      <w:r w:rsidR="0087098D" w:rsidRPr="00451E3E">
        <w:t xml:space="preserve"> </w:t>
      </w:r>
      <w:r w:rsidRPr="00451E3E">
        <w:t>decreased.</w:t>
      </w:r>
    </w:p>
    <w:p w14:paraId="340D1E3D" w14:textId="77777777" w:rsidR="00BC6895" w:rsidRPr="00451E3E" w:rsidRDefault="00BC6895" w:rsidP="00142AC7">
      <w:pPr>
        <w:pStyle w:val="CLDTableFootnotewithsuperscipts"/>
        <w:jc w:val="both"/>
      </w:pPr>
      <w:r w:rsidRPr="00451E3E">
        <w:rPr>
          <w:vertAlign w:val="superscript"/>
        </w:rPr>
        <w:t>e.</w:t>
      </w:r>
      <w:r w:rsidRPr="00451E3E">
        <w:tab/>
        <w:t>Includes</w:t>
      </w:r>
      <w:r w:rsidR="0087098D" w:rsidRPr="00451E3E">
        <w:t xml:space="preserve"> </w:t>
      </w:r>
      <w:r w:rsidRPr="00451E3E">
        <w:t>preferred</w:t>
      </w:r>
      <w:r w:rsidR="0087098D" w:rsidRPr="00451E3E">
        <w:t xml:space="preserve"> </w:t>
      </w:r>
      <w:r w:rsidRPr="00451E3E">
        <w:t>terms</w:t>
      </w:r>
      <w:r w:rsidR="0087098D" w:rsidRPr="00451E3E">
        <w:t xml:space="preserve"> </w:t>
      </w:r>
      <w:r w:rsidRPr="00451E3E">
        <w:t>of</w:t>
      </w:r>
      <w:r w:rsidR="0087098D" w:rsidRPr="00451E3E">
        <w:t xml:space="preserve"> </w:t>
      </w:r>
      <w:r w:rsidRPr="00451E3E">
        <w:t>abdominal</w:t>
      </w:r>
      <w:r w:rsidR="0087098D" w:rsidRPr="00451E3E">
        <w:t xml:space="preserve"> </w:t>
      </w:r>
      <w:r w:rsidRPr="00451E3E">
        <w:t>pain,</w:t>
      </w:r>
      <w:r w:rsidR="0087098D" w:rsidRPr="00451E3E">
        <w:t xml:space="preserve"> </w:t>
      </w:r>
      <w:r w:rsidRPr="00451E3E">
        <w:t>abdominal</w:t>
      </w:r>
      <w:r w:rsidR="0087098D" w:rsidRPr="00451E3E">
        <w:t xml:space="preserve"> </w:t>
      </w:r>
      <w:r w:rsidRPr="00451E3E">
        <w:t>pain</w:t>
      </w:r>
      <w:r w:rsidR="0087098D" w:rsidRPr="00451E3E">
        <w:t xml:space="preserve"> </w:t>
      </w:r>
      <w:r w:rsidRPr="00451E3E">
        <w:t>upper,</w:t>
      </w:r>
      <w:r w:rsidR="0087098D" w:rsidRPr="00451E3E">
        <w:t xml:space="preserve"> </w:t>
      </w:r>
      <w:r w:rsidRPr="00451E3E">
        <w:t>abdominal</w:t>
      </w:r>
      <w:r w:rsidR="0087098D" w:rsidRPr="00451E3E">
        <w:t xml:space="preserve"> </w:t>
      </w:r>
      <w:r w:rsidRPr="00451E3E">
        <w:t>discomfort and abdominal</w:t>
      </w:r>
      <w:r w:rsidR="0087098D" w:rsidRPr="00451E3E">
        <w:t xml:space="preserve"> </w:t>
      </w:r>
      <w:r w:rsidRPr="00451E3E">
        <w:t>pain</w:t>
      </w:r>
      <w:r w:rsidR="0087098D" w:rsidRPr="00451E3E">
        <w:t xml:space="preserve"> </w:t>
      </w:r>
      <w:r w:rsidRPr="00451E3E">
        <w:t>lower.</w:t>
      </w:r>
    </w:p>
    <w:p w14:paraId="764DD409" w14:textId="77777777" w:rsidR="00BC6895" w:rsidRPr="00451E3E" w:rsidRDefault="00BC6895" w:rsidP="00142AC7">
      <w:pPr>
        <w:pStyle w:val="CLDTableFootnotewithsuperscipts"/>
        <w:jc w:val="both"/>
      </w:pPr>
      <w:r w:rsidRPr="004E6BF7">
        <w:rPr>
          <w:vertAlign w:val="superscript"/>
        </w:rPr>
        <w:t>f.</w:t>
      </w:r>
      <w:r w:rsidRPr="004E6BF7">
        <w:tab/>
        <w:t>For talazoparib</w:t>
      </w:r>
      <w:r w:rsidR="00252D0E" w:rsidRPr="004E6BF7">
        <w:t>,</w:t>
      </w:r>
      <w:r w:rsidRPr="004E6BF7">
        <w:t xml:space="preserve"> Grade 1 is 2</w:t>
      </w:r>
      <w:r w:rsidR="008328F6" w:rsidRPr="004E6BF7">
        <w:t>3</w:t>
      </w:r>
      <w:r w:rsidRPr="004E6BF7">
        <w:t>% and Grade 2 is 2%</w:t>
      </w:r>
      <w:r w:rsidR="00252D0E" w:rsidRPr="004E6BF7">
        <w:t>.  F</w:t>
      </w:r>
      <w:r w:rsidR="008328F6" w:rsidRPr="004E6BF7">
        <w:t>or chemotherapy</w:t>
      </w:r>
      <w:r w:rsidR="00252D0E" w:rsidRPr="004E6BF7">
        <w:t>,</w:t>
      </w:r>
      <w:r w:rsidR="008328F6" w:rsidRPr="004E6BF7">
        <w:t xml:space="preserve"> Grade 1 is 20% and Grade 2 is 8%.</w:t>
      </w:r>
    </w:p>
    <w:p w14:paraId="22CC6138" w14:textId="77777777" w:rsidR="00994616" w:rsidRPr="00451E3E" w:rsidRDefault="00BC6895" w:rsidP="00142AC7">
      <w:pPr>
        <w:pStyle w:val="CLDTableFootnotewithsuperscipts"/>
        <w:jc w:val="both"/>
      </w:pPr>
      <w:r w:rsidRPr="00451E3E">
        <w:rPr>
          <w:vertAlign w:val="superscript"/>
        </w:rPr>
        <w:t>g.</w:t>
      </w:r>
      <w:r w:rsidRPr="00451E3E">
        <w:tab/>
        <w:t>Includes</w:t>
      </w:r>
      <w:r w:rsidR="002E7CEB">
        <w:t xml:space="preserve"> </w:t>
      </w:r>
      <w:r w:rsidRPr="00451E3E">
        <w:t>preferred</w:t>
      </w:r>
      <w:r w:rsidR="002E7CEB">
        <w:t xml:space="preserve"> </w:t>
      </w:r>
      <w:r w:rsidRPr="00451E3E">
        <w:t>terms</w:t>
      </w:r>
      <w:r w:rsidR="002E7CEB">
        <w:t xml:space="preserve"> </w:t>
      </w:r>
      <w:r w:rsidRPr="00451E3E">
        <w:t>of</w:t>
      </w:r>
      <w:r w:rsidR="002E7CEB">
        <w:t xml:space="preserve"> </w:t>
      </w:r>
      <w:r w:rsidRPr="00451E3E">
        <w:t>fatigue and asthenia.</w:t>
      </w:r>
    </w:p>
    <w:p w14:paraId="2D56D448" w14:textId="6BEEE430" w:rsidR="00330ED7" w:rsidRDefault="00330ED7" w:rsidP="00330ED7">
      <w:pPr>
        <w:pStyle w:val="CLDNormal"/>
      </w:pPr>
      <w:r w:rsidRPr="002E7CEB">
        <w:lastRenderedPageBreak/>
        <w:t>The following adverse reactions have been identified in &lt;10% of the 286</w:t>
      </w:r>
      <w:r w:rsidR="0030388A">
        <w:t> </w:t>
      </w:r>
      <w:r w:rsidRPr="002E7CEB">
        <w:t>patients receiving TALZENNA and are not included in</w:t>
      </w:r>
      <w:r w:rsidR="0030388A">
        <w:t xml:space="preserve"> </w:t>
      </w:r>
      <w:r w:rsidR="0030388A" w:rsidRPr="003C2259">
        <w:fldChar w:fldCharType="begin"/>
      </w:r>
      <w:r w:rsidR="0030388A" w:rsidRPr="003C2259">
        <w:instrText xml:space="preserve"> REF _Ref22298112 \h  \* MERGEFORMAT </w:instrText>
      </w:r>
      <w:r w:rsidR="0030388A" w:rsidRPr="003C2259">
        <w:fldChar w:fldCharType="separate"/>
      </w:r>
      <w:r w:rsidR="00424ECE" w:rsidRPr="00424ECE">
        <w:rPr>
          <w:szCs w:val="24"/>
        </w:rPr>
        <w:t xml:space="preserve">Table </w:t>
      </w:r>
      <w:r w:rsidR="00424ECE" w:rsidRPr="00424ECE">
        <w:rPr>
          <w:noProof/>
          <w:szCs w:val="24"/>
        </w:rPr>
        <w:t>3</w:t>
      </w:r>
      <w:r w:rsidR="0030388A" w:rsidRPr="003C2259">
        <w:fldChar w:fldCharType="end"/>
      </w:r>
      <w:r w:rsidRPr="002E7CEB">
        <w:t>: lymphopenia (7.3%), dyspepsia (9.8%) and stomatitis (8.4%).</w:t>
      </w:r>
    </w:p>
    <w:p w14:paraId="746774E0" w14:textId="7C8378D9" w:rsidR="009B424C" w:rsidRPr="002E7CEB" w:rsidRDefault="009B424C" w:rsidP="00EA7BD6">
      <w:pPr>
        <w:pStyle w:val="Caption"/>
      </w:pPr>
      <w:bookmarkStart w:id="4" w:name="_Ref22298902"/>
      <w:r w:rsidRPr="004F4CD1">
        <w:t xml:space="preserve">Table </w:t>
      </w:r>
      <w:r w:rsidRPr="004F4CD1">
        <w:fldChar w:fldCharType="begin"/>
      </w:r>
      <w:r w:rsidRPr="004F4CD1">
        <w:instrText xml:space="preserve"> SEQ Table \* ARABIC </w:instrText>
      </w:r>
      <w:r w:rsidRPr="004F4CD1">
        <w:fldChar w:fldCharType="separate"/>
      </w:r>
      <w:r w:rsidR="00424ECE">
        <w:rPr>
          <w:noProof/>
        </w:rPr>
        <w:t>4</w:t>
      </w:r>
      <w:r w:rsidRPr="004F4CD1">
        <w:fldChar w:fldCharType="end"/>
      </w:r>
      <w:bookmarkEnd w:id="4"/>
      <w:r w:rsidRPr="004F4CD1">
        <w:t>.</w:t>
      </w:r>
      <w:r w:rsidRPr="006D013F">
        <w:rPr>
          <w:rStyle w:val="CLDTableTitle"/>
        </w:rPr>
        <w:t xml:space="preserve"> </w:t>
      </w:r>
      <w:r w:rsidRPr="00E76217">
        <w:rPr>
          <w:rStyle w:val="CLDTableTitle"/>
        </w:rPr>
        <w:tab/>
      </w:r>
      <w:r w:rsidRPr="00A216A1">
        <w:t xml:space="preserve">Laboratory </w:t>
      </w:r>
      <w:r>
        <w:t>a</w:t>
      </w:r>
      <w:r w:rsidRPr="00A216A1">
        <w:t xml:space="preserve">bnormalities </w:t>
      </w:r>
      <w:r>
        <w:t>r</w:t>
      </w:r>
      <w:r w:rsidRPr="00A216A1">
        <w:t xml:space="preserve">eported in </w:t>
      </w:r>
      <w:r w:rsidR="00EA7BD6">
        <w:sym w:font="Symbol" w:char="F0B3"/>
      </w:r>
      <w:r w:rsidRPr="00A216A1">
        <w:t xml:space="preserve">25% of </w:t>
      </w:r>
      <w:r>
        <w:t>p</w:t>
      </w:r>
      <w:r w:rsidRPr="00A216A1">
        <w:t>atients in EMBRACA</w:t>
      </w:r>
    </w:p>
    <w:tbl>
      <w:tblPr>
        <w:tblW w:w="9071" w:type="dxa"/>
        <w:jc w:val="center"/>
        <w:tblLayout w:type="fixed"/>
        <w:tblCellMar>
          <w:left w:w="0" w:type="dxa"/>
          <w:right w:w="0" w:type="dxa"/>
        </w:tblCellMar>
        <w:tblLook w:val="0000" w:firstRow="0" w:lastRow="0" w:firstColumn="0" w:lastColumn="0" w:noHBand="0" w:noVBand="0"/>
      </w:tblPr>
      <w:tblGrid>
        <w:gridCol w:w="2721"/>
        <w:gridCol w:w="1247"/>
        <w:gridCol w:w="964"/>
        <w:gridCol w:w="964"/>
        <w:gridCol w:w="1247"/>
        <w:gridCol w:w="964"/>
        <w:gridCol w:w="964"/>
      </w:tblGrid>
      <w:tr w:rsidR="009B424C" w:rsidRPr="00314370" w14:paraId="7D9CE24E" w14:textId="77777777" w:rsidTr="004272A4">
        <w:trPr>
          <w:tblHeader/>
          <w:jc w:val="center"/>
        </w:trPr>
        <w:tc>
          <w:tcPr>
            <w:tcW w:w="2721" w:type="dxa"/>
            <w:tcBorders>
              <w:top w:val="single" w:sz="8" w:space="0" w:color="auto"/>
              <w:left w:val="single" w:sz="8" w:space="0" w:color="auto"/>
              <w:right w:val="single" w:sz="8" w:space="0" w:color="auto"/>
            </w:tcBorders>
            <w:tcMar>
              <w:top w:w="0" w:type="dxa"/>
              <w:left w:w="108" w:type="dxa"/>
              <w:bottom w:w="0" w:type="dxa"/>
              <w:right w:w="108" w:type="dxa"/>
            </w:tcMar>
            <w:vAlign w:val="center"/>
          </w:tcPr>
          <w:p w14:paraId="3FFBADA3" w14:textId="77777777" w:rsidR="009B424C" w:rsidRPr="00F54F68" w:rsidRDefault="009B424C" w:rsidP="00626227">
            <w:pPr>
              <w:pStyle w:val="CLDTableColumnHeadingCentred12pt"/>
            </w:pPr>
          </w:p>
        </w:tc>
        <w:tc>
          <w:tcPr>
            <w:tcW w:w="317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35410E39" w14:textId="77777777" w:rsidR="009B424C" w:rsidRPr="00F54F68" w:rsidRDefault="009B424C" w:rsidP="00626227">
            <w:pPr>
              <w:pStyle w:val="CLDTableColumnHeadingCentred12pt"/>
            </w:pPr>
            <w:r w:rsidRPr="00F54F68">
              <w:t>TALZENNA</w:t>
            </w:r>
          </w:p>
          <w:p w14:paraId="1BCB698A" w14:textId="1920B0C2" w:rsidR="009B424C" w:rsidRPr="00F54F68" w:rsidRDefault="009B424C" w:rsidP="00626227">
            <w:pPr>
              <w:pStyle w:val="CLDTableColumnHeadingCentred12pt"/>
            </w:pPr>
            <w:r w:rsidRPr="00F54F68">
              <w:t>N=286</w:t>
            </w:r>
            <w:r w:rsidRPr="009B424C">
              <w:rPr>
                <w:vertAlign w:val="superscript"/>
              </w:rPr>
              <w:t>a</w:t>
            </w:r>
          </w:p>
        </w:tc>
        <w:tc>
          <w:tcPr>
            <w:tcW w:w="3175" w:type="dxa"/>
            <w:gridSpan w:val="3"/>
            <w:tcBorders>
              <w:top w:val="single" w:sz="8" w:space="0" w:color="auto"/>
              <w:left w:val="nil"/>
              <w:bottom w:val="single" w:sz="8" w:space="0" w:color="auto"/>
              <w:right w:val="single" w:sz="8" w:space="0" w:color="auto"/>
            </w:tcBorders>
          </w:tcPr>
          <w:p w14:paraId="659C9BE3" w14:textId="77777777" w:rsidR="009B424C" w:rsidRPr="00F54F68" w:rsidRDefault="009B424C" w:rsidP="00626227">
            <w:pPr>
              <w:pStyle w:val="CLDTableColumnHeadingCentred12pt"/>
            </w:pPr>
            <w:r w:rsidRPr="00F54F68">
              <w:t>Chemotherapy</w:t>
            </w:r>
          </w:p>
          <w:p w14:paraId="44153B9E" w14:textId="51788D66" w:rsidR="009B424C" w:rsidRPr="00314370" w:rsidRDefault="009B424C" w:rsidP="00626227">
            <w:pPr>
              <w:pStyle w:val="CLDTableColumnHeadingCentred12pt"/>
            </w:pPr>
            <w:r w:rsidRPr="00F54F68">
              <w:t>N=12</w:t>
            </w:r>
            <w:r>
              <w:t>6</w:t>
            </w:r>
            <w:r w:rsidRPr="009B424C">
              <w:rPr>
                <w:vertAlign w:val="superscript"/>
              </w:rPr>
              <w:t>a</w:t>
            </w:r>
          </w:p>
        </w:tc>
      </w:tr>
      <w:tr w:rsidR="009B424C" w:rsidRPr="00314370" w14:paraId="0B335292" w14:textId="77777777" w:rsidTr="004272A4">
        <w:trPr>
          <w:tblHeader/>
          <w:jc w:val="center"/>
        </w:trPr>
        <w:tc>
          <w:tcPr>
            <w:tcW w:w="2721" w:type="dxa"/>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06A2B63D" w14:textId="77777777" w:rsidR="009B424C" w:rsidRPr="00AE17AF" w:rsidRDefault="009B424C" w:rsidP="00626227">
            <w:pPr>
              <w:pStyle w:val="CLDTableTextBoldLeft-aligned12pt"/>
              <w:spacing w:before="40" w:after="40"/>
            </w:pPr>
            <w:r w:rsidRPr="00AE17AF">
              <w:t>Parameter</w:t>
            </w:r>
          </w:p>
        </w:tc>
        <w:tc>
          <w:tcPr>
            <w:tcW w:w="124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B35E4DB" w14:textId="77777777" w:rsidR="009B424C" w:rsidRPr="00937220" w:rsidRDefault="009B424C" w:rsidP="00626227">
            <w:pPr>
              <w:pStyle w:val="CLDTableColumnHeadingCentred12pt"/>
              <w:ind w:left="-119" w:right="-113"/>
            </w:pPr>
            <w:r w:rsidRPr="00937220">
              <w:t>Grades</w:t>
            </w:r>
            <w:r>
              <w:t xml:space="preserve"> 1</w:t>
            </w:r>
            <w:r>
              <w:noBreakHyphen/>
              <w:t>4</w:t>
            </w:r>
            <w:r>
              <w:br/>
            </w:r>
            <w:r w:rsidRPr="00937220">
              <w:t>(%)</w:t>
            </w:r>
          </w:p>
        </w:tc>
        <w:tc>
          <w:tcPr>
            <w:tcW w:w="96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D995CDB" w14:textId="77777777" w:rsidR="009B424C" w:rsidRPr="00937220" w:rsidRDefault="009B424C" w:rsidP="00626227">
            <w:pPr>
              <w:pStyle w:val="CLDTableColumnHeadingCentred12pt"/>
              <w:ind w:left="-127" w:right="-78"/>
            </w:pPr>
            <w:r w:rsidRPr="00937220">
              <w:t>Grade 3</w:t>
            </w:r>
            <w:r>
              <w:br/>
            </w:r>
            <w:r w:rsidRPr="00937220">
              <w:t>(%)</w:t>
            </w:r>
          </w:p>
        </w:tc>
        <w:tc>
          <w:tcPr>
            <w:tcW w:w="964" w:type="dxa"/>
            <w:tcBorders>
              <w:top w:val="single" w:sz="8" w:space="0" w:color="auto"/>
              <w:left w:val="nil"/>
              <w:bottom w:val="single" w:sz="4" w:space="0" w:color="auto"/>
              <w:right w:val="single" w:sz="8" w:space="0" w:color="auto"/>
            </w:tcBorders>
          </w:tcPr>
          <w:p w14:paraId="0F8C1959" w14:textId="77777777" w:rsidR="009B424C" w:rsidRPr="00937220" w:rsidRDefault="009B424C" w:rsidP="00626227">
            <w:pPr>
              <w:pStyle w:val="CLDTableColumnHeadingCentred12pt"/>
            </w:pPr>
            <w:r w:rsidRPr="00937220">
              <w:t>Grade 4</w:t>
            </w:r>
            <w:r>
              <w:br/>
            </w:r>
            <w:r w:rsidRPr="00937220">
              <w:t>(%)</w:t>
            </w:r>
          </w:p>
        </w:tc>
        <w:tc>
          <w:tcPr>
            <w:tcW w:w="1247" w:type="dxa"/>
            <w:tcBorders>
              <w:top w:val="single" w:sz="8" w:space="0" w:color="auto"/>
              <w:left w:val="nil"/>
              <w:bottom w:val="single" w:sz="4" w:space="0" w:color="auto"/>
              <w:right w:val="single" w:sz="8" w:space="0" w:color="auto"/>
            </w:tcBorders>
          </w:tcPr>
          <w:p w14:paraId="0CB5325E" w14:textId="77777777" w:rsidR="009B424C" w:rsidRPr="00937220" w:rsidRDefault="009B424C" w:rsidP="00626227">
            <w:pPr>
              <w:pStyle w:val="CLDTableColumnHeadingCentred12pt"/>
            </w:pPr>
            <w:r w:rsidRPr="00937220">
              <w:t>Grades</w:t>
            </w:r>
            <w:r>
              <w:t xml:space="preserve"> 1</w:t>
            </w:r>
            <w:r>
              <w:noBreakHyphen/>
              <w:t>4</w:t>
            </w:r>
            <w:r>
              <w:br/>
            </w:r>
            <w:r w:rsidRPr="00937220">
              <w:t>(%)</w:t>
            </w:r>
          </w:p>
        </w:tc>
        <w:tc>
          <w:tcPr>
            <w:tcW w:w="964" w:type="dxa"/>
            <w:tcBorders>
              <w:top w:val="single" w:sz="8" w:space="0" w:color="auto"/>
              <w:left w:val="nil"/>
              <w:bottom w:val="single" w:sz="4" w:space="0" w:color="auto"/>
              <w:right w:val="single" w:sz="8" w:space="0" w:color="auto"/>
            </w:tcBorders>
          </w:tcPr>
          <w:p w14:paraId="1E59FB1F" w14:textId="77777777" w:rsidR="009B424C" w:rsidRPr="00937220" w:rsidRDefault="009B424C" w:rsidP="00626227">
            <w:pPr>
              <w:pStyle w:val="CLDTableColumnHeadingCentred12pt"/>
            </w:pPr>
            <w:r w:rsidRPr="00937220">
              <w:t>Grade 3</w:t>
            </w:r>
            <w:r>
              <w:br/>
            </w:r>
            <w:r w:rsidRPr="00937220">
              <w:t>(%)</w:t>
            </w:r>
          </w:p>
        </w:tc>
        <w:tc>
          <w:tcPr>
            <w:tcW w:w="964" w:type="dxa"/>
            <w:tcBorders>
              <w:top w:val="single" w:sz="8" w:space="0" w:color="auto"/>
              <w:left w:val="nil"/>
              <w:bottom w:val="single" w:sz="4" w:space="0" w:color="auto"/>
              <w:right w:val="single" w:sz="8" w:space="0" w:color="auto"/>
            </w:tcBorders>
          </w:tcPr>
          <w:p w14:paraId="7D0385DC" w14:textId="77777777" w:rsidR="009B424C" w:rsidRPr="00937220" w:rsidRDefault="009B424C" w:rsidP="00626227">
            <w:pPr>
              <w:pStyle w:val="CLDTableColumnHeadingCentred12pt"/>
            </w:pPr>
            <w:r w:rsidRPr="00937220">
              <w:t>Grade 4</w:t>
            </w:r>
            <w:r>
              <w:br/>
            </w:r>
            <w:r w:rsidRPr="00937220">
              <w:t>(%)</w:t>
            </w:r>
          </w:p>
        </w:tc>
      </w:tr>
      <w:tr w:rsidR="009B424C" w:rsidRPr="00314370" w14:paraId="5DD4B092" w14:textId="77777777" w:rsidTr="00A578EF">
        <w:trPr>
          <w:jc w:val="center"/>
        </w:trPr>
        <w:tc>
          <w:tcPr>
            <w:tcW w:w="272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AF35214" w14:textId="77777777" w:rsidR="009B424C" w:rsidRPr="001A7B31" w:rsidRDefault="009B424C" w:rsidP="00626227">
            <w:pPr>
              <w:pStyle w:val="CLDTableTextLeft-aligned12pt"/>
            </w:pPr>
            <w:r w:rsidRPr="001A7B31">
              <w:t>Decrease in haemoglobin</w:t>
            </w:r>
          </w:p>
        </w:tc>
        <w:tc>
          <w:tcPr>
            <w:tcW w:w="12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3A09517" w14:textId="77777777" w:rsidR="009B424C" w:rsidRPr="00BB723C" w:rsidRDefault="009B424C" w:rsidP="00626227">
            <w:pPr>
              <w:pStyle w:val="CLDTableTextCentred12pt"/>
            </w:pPr>
            <w:r w:rsidRPr="00BB723C">
              <w:t>90</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2848CA9" w14:textId="77777777" w:rsidR="009B424C" w:rsidRPr="00BB723C" w:rsidRDefault="009B424C" w:rsidP="00626227">
            <w:pPr>
              <w:pStyle w:val="CLDTableTextCentred12pt"/>
            </w:pPr>
            <w:r w:rsidRPr="00BB723C">
              <w:t>39</w:t>
            </w:r>
          </w:p>
        </w:tc>
        <w:tc>
          <w:tcPr>
            <w:tcW w:w="964" w:type="dxa"/>
            <w:tcBorders>
              <w:top w:val="single" w:sz="4" w:space="0" w:color="auto"/>
              <w:left w:val="nil"/>
              <w:bottom w:val="single" w:sz="4" w:space="0" w:color="auto"/>
              <w:right w:val="single" w:sz="8" w:space="0" w:color="auto"/>
            </w:tcBorders>
            <w:vAlign w:val="center"/>
          </w:tcPr>
          <w:p w14:paraId="62153298" w14:textId="77777777" w:rsidR="009B424C" w:rsidRPr="00BB723C" w:rsidRDefault="009B424C" w:rsidP="00626227">
            <w:pPr>
              <w:pStyle w:val="CLDTableTextCentred12pt"/>
            </w:pPr>
            <w:r w:rsidRPr="00BB723C">
              <w:t>0</w:t>
            </w:r>
          </w:p>
        </w:tc>
        <w:tc>
          <w:tcPr>
            <w:tcW w:w="1247" w:type="dxa"/>
            <w:tcBorders>
              <w:top w:val="single" w:sz="4" w:space="0" w:color="auto"/>
              <w:left w:val="nil"/>
              <w:bottom w:val="single" w:sz="4" w:space="0" w:color="auto"/>
              <w:right w:val="single" w:sz="8" w:space="0" w:color="auto"/>
            </w:tcBorders>
            <w:vAlign w:val="center"/>
          </w:tcPr>
          <w:p w14:paraId="6242CD27" w14:textId="77777777" w:rsidR="009B424C" w:rsidRPr="00BB723C" w:rsidRDefault="009B424C" w:rsidP="00626227">
            <w:pPr>
              <w:pStyle w:val="CLDTableTextCentred12pt"/>
            </w:pPr>
            <w:r w:rsidRPr="00BB723C">
              <w:t>77</w:t>
            </w:r>
          </w:p>
        </w:tc>
        <w:tc>
          <w:tcPr>
            <w:tcW w:w="964" w:type="dxa"/>
            <w:tcBorders>
              <w:top w:val="single" w:sz="4" w:space="0" w:color="auto"/>
              <w:left w:val="nil"/>
              <w:bottom w:val="single" w:sz="4" w:space="0" w:color="auto"/>
              <w:right w:val="single" w:sz="8" w:space="0" w:color="auto"/>
            </w:tcBorders>
            <w:vAlign w:val="center"/>
          </w:tcPr>
          <w:p w14:paraId="37C54C80" w14:textId="77777777" w:rsidR="009B424C" w:rsidRPr="00BB723C" w:rsidRDefault="009B424C" w:rsidP="00626227">
            <w:pPr>
              <w:pStyle w:val="CLDTableTextCentred12pt"/>
            </w:pPr>
            <w:r w:rsidRPr="00BB723C">
              <w:t>6</w:t>
            </w:r>
          </w:p>
        </w:tc>
        <w:tc>
          <w:tcPr>
            <w:tcW w:w="964" w:type="dxa"/>
            <w:tcBorders>
              <w:top w:val="single" w:sz="4" w:space="0" w:color="auto"/>
              <w:left w:val="nil"/>
              <w:bottom w:val="single" w:sz="4" w:space="0" w:color="auto"/>
              <w:right w:val="single" w:sz="8" w:space="0" w:color="auto"/>
            </w:tcBorders>
            <w:vAlign w:val="center"/>
          </w:tcPr>
          <w:p w14:paraId="2714A397" w14:textId="77777777" w:rsidR="009B424C" w:rsidRPr="00BB723C" w:rsidRDefault="009B424C" w:rsidP="00626227">
            <w:pPr>
              <w:pStyle w:val="CLDTableTextCentred12pt"/>
            </w:pPr>
            <w:r w:rsidRPr="00BB723C">
              <w:t>0</w:t>
            </w:r>
          </w:p>
        </w:tc>
      </w:tr>
      <w:tr w:rsidR="009B424C" w:rsidRPr="00314370" w14:paraId="4E2D3E67" w14:textId="77777777" w:rsidTr="00A578EF">
        <w:trPr>
          <w:jc w:val="center"/>
        </w:trPr>
        <w:tc>
          <w:tcPr>
            <w:tcW w:w="272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386AD47" w14:textId="77777777" w:rsidR="009B424C" w:rsidRPr="001A7B31" w:rsidRDefault="009B424C" w:rsidP="00626227">
            <w:pPr>
              <w:pStyle w:val="CLDTableTextLeft-aligned12pt"/>
            </w:pPr>
            <w:r w:rsidRPr="001A7B31">
              <w:t>Decrease in leucocytes</w:t>
            </w:r>
          </w:p>
        </w:tc>
        <w:tc>
          <w:tcPr>
            <w:tcW w:w="12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0B24746" w14:textId="77777777" w:rsidR="009B424C" w:rsidRPr="00BB723C" w:rsidRDefault="009B424C" w:rsidP="00626227">
            <w:pPr>
              <w:pStyle w:val="CLDTableTextCentred12pt"/>
            </w:pPr>
            <w:r w:rsidRPr="00BB723C">
              <w:t>84</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2651108" w14:textId="77777777" w:rsidR="009B424C" w:rsidRPr="00BB723C" w:rsidRDefault="009B424C" w:rsidP="00626227">
            <w:pPr>
              <w:pStyle w:val="CLDTableTextCentred12pt"/>
            </w:pPr>
            <w:r w:rsidRPr="00BB723C">
              <w:t>14</w:t>
            </w:r>
          </w:p>
        </w:tc>
        <w:tc>
          <w:tcPr>
            <w:tcW w:w="964" w:type="dxa"/>
            <w:tcBorders>
              <w:top w:val="single" w:sz="4" w:space="0" w:color="auto"/>
              <w:left w:val="nil"/>
              <w:bottom w:val="single" w:sz="4" w:space="0" w:color="auto"/>
              <w:right w:val="single" w:sz="8" w:space="0" w:color="auto"/>
            </w:tcBorders>
            <w:vAlign w:val="center"/>
          </w:tcPr>
          <w:p w14:paraId="2A4B607C" w14:textId="77777777" w:rsidR="009B424C" w:rsidRPr="00BB723C" w:rsidRDefault="009B424C" w:rsidP="00626227">
            <w:pPr>
              <w:pStyle w:val="CLDTableTextCentred12pt"/>
            </w:pPr>
            <w:r w:rsidRPr="00BB723C">
              <w:t>&lt;1</w:t>
            </w:r>
          </w:p>
        </w:tc>
        <w:tc>
          <w:tcPr>
            <w:tcW w:w="1247" w:type="dxa"/>
            <w:tcBorders>
              <w:top w:val="single" w:sz="4" w:space="0" w:color="auto"/>
              <w:left w:val="nil"/>
              <w:bottom w:val="single" w:sz="4" w:space="0" w:color="auto"/>
              <w:right w:val="single" w:sz="8" w:space="0" w:color="auto"/>
            </w:tcBorders>
            <w:vAlign w:val="center"/>
          </w:tcPr>
          <w:p w14:paraId="28C14333" w14:textId="77777777" w:rsidR="009B424C" w:rsidRPr="00BB723C" w:rsidRDefault="009B424C" w:rsidP="00626227">
            <w:pPr>
              <w:pStyle w:val="CLDTableTextCentred12pt"/>
            </w:pPr>
            <w:r w:rsidRPr="00BB723C">
              <w:t>73</w:t>
            </w:r>
          </w:p>
        </w:tc>
        <w:tc>
          <w:tcPr>
            <w:tcW w:w="964" w:type="dxa"/>
            <w:tcBorders>
              <w:top w:val="single" w:sz="4" w:space="0" w:color="auto"/>
              <w:left w:val="nil"/>
              <w:bottom w:val="single" w:sz="4" w:space="0" w:color="auto"/>
              <w:right w:val="single" w:sz="8" w:space="0" w:color="auto"/>
            </w:tcBorders>
            <w:vAlign w:val="center"/>
          </w:tcPr>
          <w:p w14:paraId="193BC050" w14:textId="77777777" w:rsidR="009B424C" w:rsidRPr="00BB723C" w:rsidRDefault="009B424C" w:rsidP="00626227">
            <w:pPr>
              <w:pStyle w:val="CLDTableTextCentred12pt"/>
            </w:pPr>
            <w:r w:rsidRPr="00BB723C">
              <w:t>22</w:t>
            </w:r>
          </w:p>
        </w:tc>
        <w:tc>
          <w:tcPr>
            <w:tcW w:w="964" w:type="dxa"/>
            <w:tcBorders>
              <w:top w:val="single" w:sz="4" w:space="0" w:color="auto"/>
              <w:left w:val="nil"/>
              <w:bottom w:val="single" w:sz="4" w:space="0" w:color="auto"/>
              <w:right w:val="single" w:sz="8" w:space="0" w:color="auto"/>
            </w:tcBorders>
            <w:vAlign w:val="center"/>
          </w:tcPr>
          <w:p w14:paraId="244D8D2A" w14:textId="77777777" w:rsidR="009B424C" w:rsidRPr="00BB723C" w:rsidRDefault="009B424C" w:rsidP="00626227">
            <w:pPr>
              <w:pStyle w:val="CLDTableTextCentred12pt"/>
            </w:pPr>
            <w:r w:rsidRPr="00BB723C">
              <w:t>2</w:t>
            </w:r>
          </w:p>
        </w:tc>
      </w:tr>
      <w:tr w:rsidR="009B424C" w:rsidRPr="00314370" w14:paraId="5C2955AA" w14:textId="77777777" w:rsidTr="00A578EF">
        <w:trPr>
          <w:jc w:val="center"/>
        </w:trPr>
        <w:tc>
          <w:tcPr>
            <w:tcW w:w="272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8BFCD76" w14:textId="77777777" w:rsidR="009B424C" w:rsidRPr="001A7B31" w:rsidRDefault="009B424C" w:rsidP="00626227">
            <w:pPr>
              <w:pStyle w:val="CLDTableTextLeft-aligned12pt"/>
            </w:pPr>
            <w:r w:rsidRPr="001A7B31">
              <w:t xml:space="preserve">Decrease in </w:t>
            </w:r>
            <w:r>
              <w:t>neutrophils</w:t>
            </w:r>
          </w:p>
        </w:tc>
        <w:tc>
          <w:tcPr>
            <w:tcW w:w="12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139EBC1" w14:textId="77777777" w:rsidR="009B424C" w:rsidRPr="00BB723C" w:rsidRDefault="009B424C" w:rsidP="00626227">
            <w:pPr>
              <w:pStyle w:val="CLDTableTextCentred12pt"/>
            </w:pPr>
            <w:r w:rsidRPr="00BB723C">
              <w:t>68</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6161452" w14:textId="77777777" w:rsidR="009B424C" w:rsidRPr="00BB723C" w:rsidRDefault="009B424C" w:rsidP="00626227">
            <w:pPr>
              <w:pStyle w:val="CLDTableTextCentred12pt"/>
            </w:pPr>
            <w:r w:rsidRPr="00BB723C">
              <w:t>17</w:t>
            </w:r>
          </w:p>
        </w:tc>
        <w:tc>
          <w:tcPr>
            <w:tcW w:w="964" w:type="dxa"/>
            <w:tcBorders>
              <w:top w:val="single" w:sz="4" w:space="0" w:color="auto"/>
              <w:left w:val="nil"/>
              <w:bottom w:val="single" w:sz="4" w:space="0" w:color="auto"/>
              <w:right w:val="single" w:sz="8" w:space="0" w:color="auto"/>
            </w:tcBorders>
            <w:vAlign w:val="center"/>
          </w:tcPr>
          <w:p w14:paraId="68165305" w14:textId="77777777" w:rsidR="009B424C" w:rsidRPr="00BB723C" w:rsidRDefault="009B424C" w:rsidP="00626227">
            <w:pPr>
              <w:pStyle w:val="CLDTableTextCentred12pt"/>
            </w:pPr>
            <w:r w:rsidRPr="00BB723C">
              <w:t>3</w:t>
            </w:r>
          </w:p>
        </w:tc>
        <w:tc>
          <w:tcPr>
            <w:tcW w:w="1247" w:type="dxa"/>
            <w:tcBorders>
              <w:top w:val="single" w:sz="4" w:space="0" w:color="auto"/>
              <w:left w:val="nil"/>
              <w:bottom w:val="single" w:sz="4" w:space="0" w:color="auto"/>
              <w:right w:val="single" w:sz="8" w:space="0" w:color="auto"/>
            </w:tcBorders>
            <w:vAlign w:val="center"/>
          </w:tcPr>
          <w:p w14:paraId="3B7BE0BA" w14:textId="77777777" w:rsidR="009B424C" w:rsidRPr="00BB723C" w:rsidRDefault="009B424C" w:rsidP="00626227">
            <w:pPr>
              <w:pStyle w:val="CLDTableTextCentred12pt"/>
            </w:pPr>
            <w:r w:rsidRPr="00BB723C">
              <w:t>70</w:t>
            </w:r>
          </w:p>
        </w:tc>
        <w:tc>
          <w:tcPr>
            <w:tcW w:w="964" w:type="dxa"/>
            <w:tcBorders>
              <w:top w:val="single" w:sz="4" w:space="0" w:color="auto"/>
              <w:left w:val="nil"/>
              <w:bottom w:val="single" w:sz="4" w:space="0" w:color="auto"/>
              <w:right w:val="single" w:sz="8" w:space="0" w:color="auto"/>
            </w:tcBorders>
            <w:vAlign w:val="center"/>
          </w:tcPr>
          <w:p w14:paraId="1A69075B" w14:textId="77777777" w:rsidR="009B424C" w:rsidRPr="00BB723C" w:rsidRDefault="009B424C" w:rsidP="00626227">
            <w:pPr>
              <w:pStyle w:val="CLDTableTextCentred12pt"/>
            </w:pPr>
            <w:r w:rsidRPr="00BB723C">
              <w:t>21</w:t>
            </w:r>
          </w:p>
        </w:tc>
        <w:tc>
          <w:tcPr>
            <w:tcW w:w="964" w:type="dxa"/>
            <w:tcBorders>
              <w:top w:val="single" w:sz="4" w:space="0" w:color="auto"/>
              <w:left w:val="nil"/>
              <w:bottom w:val="single" w:sz="4" w:space="0" w:color="auto"/>
              <w:right w:val="single" w:sz="8" w:space="0" w:color="auto"/>
            </w:tcBorders>
            <w:vAlign w:val="center"/>
          </w:tcPr>
          <w:p w14:paraId="4A4BE1FC" w14:textId="77777777" w:rsidR="009B424C" w:rsidRPr="00BB723C" w:rsidRDefault="009B424C" w:rsidP="00626227">
            <w:pPr>
              <w:pStyle w:val="CLDTableTextCentred12pt"/>
            </w:pPr>
            <w:r w:rsidRPr="00BB723C">
              <w:t>17</w:t>
            </w:r>
          </w:p>
        </w:tc>
      </w:tr>
      <w:tr w:rsidR="009B424C" w:rsidRPr="00314370" w14:paraId="397F6ECB" w14:textId="77777777" w:rsidTr="00A578EF">
        <w:trPr>
          <w:jc w:val="center"/>
        </w:trPr>
        <w:tc>
          <w:tcPr>
            <w:tcW w:w="272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8C841C9" w14:textId="539E2758" w:rsidR="009B424C" w:rsidRPr="001A7B31" w:rsidRDefault="009B424C" w:rsidP="00626227">
            <w:pPr>
              <w:pStyle w:val="CLDTableTextLeft-aligned12pt"/>
            </w:pPr>
            <w:r w:rsidRPr="001A7B31">
              <w:t>Decrease in l</w:t>
            </w:r>
            <w:r>
              <w:t>ymph</w:t>
            </w:r>
            <w:r w:rsidRPr="001A7B31">
              <w:t>ocytes</w:t>
            </w:r>
            <w:r w:rsidRPr="001A7B31">
              <w:rPr>
                <w:vertAlign w:val="superscript"/>
              </w:rPr>
              <w:t>e</w:t>
            </w:r>
          </w:p>
        </w:tc>
        <w:tc>
          <w:tcPr>
            <w:tcW w:w="12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5908C7D" w14:textId="77777777" w:rsidR="009B424C" w:rsidRPr="00BB723C" w:rsidRDefault="009B424C" w:rsidP="00626227">
            <w:pPr>
              <w:pStyle w:val="CLDTableTextCentred12pt"/>
            </w:pPr>
            <w:r w:rsidRPr="00BB723C">
              <w:t>76</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56A9AC2" w14:textId="77777777" w:rsidR="009B424C" w:rsidRPr="00BB723C" w:rsidRDefault="009B424C" w:rsidP="00626227">
            <w:pPr>
              <w:pStyle w:val="CLDTableTextCentred12pt"/>
            </w:pPr>
            <w:r w:rsidRPr="00BB723C">
              <w:t>17</w:t>
            </w:r>
          </w:p>
        </w:tc>
        <w:tc>
          <w:tcPr>
            <w:tcW w:w="964" w:type="dxa"/>
            <w:tcBorders>
              <w:top w:val="single" w:sz="4" w:space="0" w:color="auto"/>
              <w:left w:val="nil"/>
              <w:bottom w:val="single" w:sz="4" w:space="0" w:color="auto"/>
              <w:right w:val="single" w:sz="8" w:space="0" w:color="auto"/>
            </w:tcBorders>
            <w:vAlign w:val="center"/>
          </w:tcPr>
          <w:p w14:paraId="25BFEE5A" w14:textId="77777777" w:rsidR="009B424C" w:rsidRPr="00BB723C" w:rsidRDefault="009B424C" w:rsidP="00626227">
            <w:pPr>
              <w:pStyle w:val="CLDTableTextCentred12pt"/>
            </w:pPr>
            <w:r w:rsidRPr="00BB723C">
              <w:t>&lt;1</w:t>
            </w:r>
          </w:p>
        </w:tc>
        <w:tc>
          <w:tcPr>
            <w:tcW w:w="1247" w:type="dxa"/>
            <w:tcBorders>
              <w:top w:val="single" w:sz="4" w:space="0" w:color="auto"/>
              <w:left w:val="nil"/>
              <w:bottom w:val="single" w:sz="4" w:space="0" w:color="auto"/>
              <w:right w:val="single" w:sz="8" w:space="0" w:color="auto"/>
            </w:tcBorders>
            <w:vAlign w:val="center"/>
          </w:tcPr>
          <w:p w14:paraId="4F27BF6C" w14:textId="77777777" w:rsidR="009B424C" w:rsidRPr="00BB723C" w:rsidRDefault="009B424C" w:rsidP="00626227">
            <w:pPr>
              <w:pStyle w:val="CLDTableTextCentred12pt"/>
            </w:pPr>
            <w:r w:rsidRPr="00BB723C">
              <w:t>53</w:t>
            </w:r>
          </w:p>
        </w:tc>
        <w:tc>
          <w:tcPr>
            <w:tcW w:w="964" w:type="dxa"/>
            <w:tcBorders>
              <w:top w:val="single" w:sz="4" w:space="0" w:color="auto"/>
              <w:left w:val="nil"/>
              <w:bottom w:val="single" w:sz="4" w:space="0" w:color="auto"/>
              <w:right w:val="single" w:sz="8" w:space="0" w:color="auto"/>
            </w:tcBorders>
            <w:vAlign w:val="center"/>
          </w:tcPr>
          <w:p w14:paraId="42E76C13" w14:textId="77777777" w:rsidR="009B424C" w:rsidRPr="00BB723C" w:rsidRDefault="009B424C" w:rsidP="00626227">
            <w:pPr>
              <w:pStyle w:val="CLDTableTextCentred12pt"/>
            </w:pPr>
            <w:r w:rsidRPr="00BB723C">
              <w:t>8</w:t>
            </w:r>
          </w:p>
        </w:tc>
        <w:tc>
          <w:tcPr>
            <w:tcW w:w="964" w:type="dxa"/>
            <w:tcBorders>
              <w:top w:val="single" w:sz="4" w:space="0" w:color="auto"/>
              <w:left w:val="nil"/>
              <w:bottom w:val="single" w:sz="4" w:space="0" w:color="auto"/>
              <w:right w:val="single" w:sz="8" w:space="0" w:color="auto"/>
            </w:tcBorders>
            <w:vAlign w:val="center"/>
          </w:tcPr>
          <w:p w14:paraId="4329E693" w14:textId="77777777" w:rsidR="009B424C" w:rsidRPr="00BB723C" w:rsidRDefault="009B424C" w:rsidP="00626227">
            <w:pPr>
              <w:pStyle w:val="CLDTableTextCentred12pt"/>
            </w:pPr>
            <w:r w:rsidRPr="00BB723C">
              <w:t>&lt;1</w:t>
            </w:r>
          </w:p>
        </w:tc>
      </w:tr>
      <w:tr w:rsidR="009B424C" w:rsidRPr="00314370" w14:paraId="396CA7A1" w14:textId="77777777" w:rsidTr="00A578EF">
        <w:trPr>
          <w:jc w:val="center"/>
        </w:trPr>
        <w:tc>
          <w:tcPr>
            <w:tcW w:w="272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8CA2FF8" w14:textId="77777777" w:rsidR="009B424C" w:rsidRPr="00153746" w:rsidRDefault="009B424C" w:rsidP="00626227">
            <w:pPr>
              <w:pStyle w:val="CLDTableTextLeft-aligned12pt"/>
            </w:pPr>
            <w:r w:rsidRPr="00153746">
              <w:t>Decrease in platelets</w:t>
            </w:r>
          </w:p>
        </w:tc>
        <w:tc>
          <w:tcPr>
            <w:tcW w:w="12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F9F2F36" w14:textId="77777777" w:rsidR="009B424C" w:rsidRPr="00BB723C" w:rsidRDefault="009B424C" w:rsidP="00626227">
            <w:pPr>
              <w:pStyle w:val="CLDTableTextCentred12pt"/>
            </w:pPr>
            <w:r w:rsidRPr="00BB723C">
              <w:t>55</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8E2F699" w14:textId="77777777" w:rsidR="009B424C" w:rsidRPr="00BB723C" w:rsidRDefault="009B424C" w:rsidP="00626227">
            <w:pPr>
              <w:pStyle w:val="CLDTableTextCentred12pt"/>
            </w:pPr>
            <w:r w:rsidRPr="00BB723C">
              <w:t>11</w:t>
            </w:r>
          </w:p>
        </w:tc>
        <w:tc>
          <w:tcPr>
            <w:tcW w:w="964" w:type="dxa"/>
            <w:tcBorders>
              <w:top w:val="single" w:sz="4" w:space="0" w:color="auto"/>
              <w:left w:val="nil"/>
              <w:bottom w:val="single" w:sz="4" w:space="0" w:color="auto"/>
              <w:right w:val="single" w:sz="8" w:space="0" w:color="auto"/>
            </w:tcBorders>
            <w:vAlign w:val="center"/>
          </w:tcPr>
          <w:p w14:paraId="061B061B" w14:textId="77777777" w:rsidR="009B424C" w:rsidRPr="00BB723C" w:rsidRDefault="009B424C" w:rsidP="00626227">
            <w:pPr>
              <w:pStyle w:val="CLDTableTextCentred12pt"/>
            </w:pPr>
            <w:r w:rsidRPr="00BB723C">
              <w:t>4</w:t>
            </w:r>
          </w:p>
        </w:tc>
        <w:tc>
          <w:tcPr>
            <w:tcW w:w="1247" w:type="dxa"/>
            <w:tcBorders>
              <w:top w:val="single" w:sz="4" w:space="0" w:color="auto"/>
              <w:left w:val="nil"/>
              <w:bottom w:val="single" w:sz="4" w:space="0" w:color="auto"/>
              <w:right w:val="single" w:sz="8" w:space="0" w:color="auto"/>
            </w:tcBorders>
            <w:vAlign w:val="center"/>
          </w:tcPr>
          <w:p w14:paraId="55C5E7F7" w14:textId="77777777" w:rsidR="009B424C" w:rsidRPr="00BB723C" w:rsidRDefault="009B424C" w:rsidP="00626227">
            <w:pPr>
              <w:pStyle w:val="CLDTableTextCentred12pt"/>
            </w:pPr>
            <w:r w:rsidRPr="00BB723C">
              <w:t>29</w:t>
            </w:r>
          </w:p>
        </w:tc>
        <w:tc>
          <w:tcPr>
            <w:tcW w:w="964" w:type="dxa"/>
            <w:tcBorders>
              <w:top w:val="single" w:sz="4" w:space="0" w:color="auto"/>
              <w:left w:val="nil"/>
              <w:bottom w:val="single" w:sz="4" w:space="0" w:color="auto"/>
              <w:right w:val="single" w:sz="8" w:space="0" w:color="auto"/>
            </w:tcBorders>
            <w:vAlign w:val="center"/>
          </w:tcPr>
          <w:p w14:paraId="2460C460" w14:textId="77777777" w:rsidR="009B424C" w:rsidRPr="00BB723C" w:rsidRDefault="009B424C" w:rsidP="00626227">
            <w:pPr>
              <w:pStyle w:val="CLDTableTextCentred12pt"/>
            </w:pPr>
            <w:r w:rsidRPr="00BB723C">
              <w:t>2</w:t>
            </w:r>
          </w:p>
        </w:tc>
        <w:tc>
          <w:tcPr>
            <w:tcW w:w="964" w:type="dxa"/>
            <w:tcBorders>
              <w:top w:val="single" w:sz="4" w:space="0" w:color="auto"/>
              <w:left w:val="nil"/>
              <w:bottom w:val="single" w:sz="4" w:space="0" w:color="auto"/>
              <w:right w:val="single" w:sz="8" w:space="0" w:color="auto"/>
            </w:tcBorders>
            <w:vAlign w:val="center"/>
          </w:tcPr>
          <w:p w14:paraId="2F5A61F4" w14:textId="77777777" w:rsidR="009B424C" w:rsidRPr="00BB723C" w:rsidRDefault="009B424C" w:rsidP="00626227">
            <w:pPr>
              <w:pStyle w:val="CLDTableTextCentred12pt"/>
            </w:pPr>
            <w:r w:rsidRPr="00BB723C">
              <w:t>0</w:t>
            </w:r>
          </w:p>
        </w:tc>
      </w:tr>
      <w:tr w:rsidR="009B424C" w:rsidRPr="00314370" w14:paraId="082F8C40" w14:textId="77777777" w:rsidTr="00A578EF">
        <w:trPr>
          <w:jc w:val="center"/>
        </w:trPr>
        <w:tc>
          <w:tcPr>
            <w:tcW w:w="272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867AB19" w14:textId="77777777" w:rsidR="009B424C" w:rsidRPr="00153746" w:rsidRDefault="009B424C" w:rsidP="00626227">
            <w:pPr>
              <w:pStyle w:val="CLDTableTextLeft-aligned12pt"/>
            </w:pPr>
            <w:r w:rsidRPr="00153746">
              <w:t>Increase in glucose</w:t>
            </w:r>
            <w:r w:rsidRPr="00153746">
              <w:rPr>
                <w:vertAlign w:val="superscript"/>
              </w:rPr>
              <w:t>b</w:t>
            </w:r>
          </w:p>
        </w:tc>
        <w:tc>
          <w:tcPr>
            <w:tcW w:w="12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C1BAF3A" w14:textId="77777777" w:rsidR="009B424C" w:rsidRPr="00BB723C" w:rsidRDefault="009B424C" w:rsidP="00626227">
            <w:pPr>
              <w:pStyle w:val="CLDTableTextCentred12pt"/>
            </w:pPr>
            <w:r w:rsidRPr="00BB723C">
              <w:t>54</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D1E3969" w14:textId="77777777" w:rsidR="009B424C" w:rsidRPr="00BB723C" w:rsidRDefault="009B424C" w:rsidP="00626227">
            <w:pPr>
              <w:pStyle w:val="CLDTableTextCentred12pt"/>
            </w:pPr>
            <w:r w:rsidRPr="00BB723C">
              <w:t>2</w:t>
            </w:r>
          </w:p>
        </w:tc>
        <w:tc>
          <w:tcPr>
            <w:tcW w:w="964" w:type="dxa"/>
            <w:tcBorders>
              <w:top w:val="single" w:sz="4" w:space="0" w:color="auto"/>
              <w:left w:val="nil"/>
              <w:bottom w:val="single" w:sz="4" w:space="0" w:color="auto"/>
              <w:right w:val="single" w:sz="8" w:space="0" w:color="auto"/>
            </w:tcBorders>
            <w:vAlign w:val="center"/>
          </w:tcPr>
          <w:p w14:paraId="7B8D35DA" w14:textId="77777777" w:rsidR="009B424C" w:rsidRPr="00BB723C" w:rsidRDefault="009B424C" w:rsidP="00626227">
            <w:pPr>
              <w:pStyle w:val="CLDTableTextCentred12pt"/>
            </w:pPr>
            <w:r w:rsidRPr="00BB723C">
              <w:t>0</w:t>
            </w:r>
          </w:p>
        </w:tc>
        <w:tc>
          <w:tcPr>
            <w:tcW w:w="1247" w:type="dxa"/>
            <w:tcBorders>
              <w:top w:val="single" w:sz="4" w:space="0" w:color="auto"/>
              <w:left w:val="nil"/>
              <w:bottom w:val="single" w:sz="4" w:space="0" w:color="auto"/>
              <w:right w:val="single" w:sz="8" w:space="0" w:color="auto"/>
            </w:tcBorders>
            <w:vAlign w:val="center"/>
          </w:tcPr>
          <w:p w14:paraId="7357DBB0" w14:textId="77777777" w:rsidR="009B424C" w:rsidRPr="00BB723C" w:rsidRDefault="009B424C" w:rsidP="00626227">
            <w:pPr>
              <w:pStyle w:val="CLDTableTextCentred12pt"/>
            </w:pPr>
            <w:r w:rsidRPr="00BB723C">
              <w:t>51</w:t>
            </w:r>
          </w:p>
        </w:tc>
        <w:tc>
          <w:tcPr>
            <w:tcW w:w="964" w:type="dxa"/>
            <w:tcBorders>
              <w:top w:val="single" w:sz="4" w:space="0" w:color="auto"/>
              <w:left w:val="nil"/>
              <w:bottom w:val="single" w:sz="4" w:space="0" w:color="auto"/>
              <w:right w:val="single" w:sz="8" w:space="0" w:color="auto"/>
            </w:tcBorders>
            <w:vAlign w:val="center"/>
          </w:tcPr>
          <w:p w14:paraId="0C93D392" w14:textId="77777777" w:rsidR="009B424C" w:rsidRPr="00BB723C" w:rsidRDefault="009B424C" w:rsidP="00626227">
            <w:pPr>
              <w:pStyle w:val="CLDTableTextCentred12pt"/>
            </w:pPr>
            <w:r w:rsidRPr="00BB723C">
              <w:t>2</w:t>
            </w:r>
          </w:p>
        </w:tc>
        <w:tc>
          <w:tcPr>
            <w:tcW w:w="964" w:type="dxa"/>
            <w:tcBorders>
              <w:top w:val="single" w:sz="4" w:space="0" w:color="auto"/>
              <w:left w:val="nil"/>
              <w:bottom w:val="single" w:sz="4" w:space="0" w:color="auto"/>
              <w:right w:val="single" w:sz="8" w:space="0" w:color="auto"/>
            </w:tcBorders>
            <w:vAlign w:val="center"/>
          </w:tcPr>
          <w:p w14:paraId="1E28396B" w14:textId="77777777" w:rsidR="009B424C" w:rsidRPr="00BB723C" w:rsidRDefault="009B424C" w:rsidP="00626227">
            <w:pPr>
              <w:pStyle w:val="CLDTableTextCentred12pt"/>
            </w:pPr>
            <w:r w:rsidRPr="00BB723C">
              <w:t>0</w:t>
            </w:r>
          </w:p>
        </w:tc>
      </w:tr>
      <w:tr w:rsidR="009B424C" w:rsidRPr="00314370" w14:paraId="74BB66E4" w14:textId="77777777" w:rsidTr="00A578EF">
        <w:trPr>
          <w:jc w:val="center"/>
        </w:trPr>
        <w:tc>
          <w:tcPr>
            <w:tcW w:w="272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3242694" w14:textId="77777777" w:rsidR="009B424C" w:rsidRPr="00153746" w:rsidRDefault="009B424C" w:rsidP="00626227">
            <w:pPr>
              <w:pStyle w:val="CLDTableTextLeft-aligned12pt"/>
            </w:pPr>
            <w:r w:rsidRPr="00153746">
              <w:t xml:space="preserve">Increase in </w:t>
            </w:r>
            <w:r w:rsidRPr="00153746">
              <w:rPr>
                <w:rFonts w:eastAsiaTheme="minorHAnsi"/>
                <w:lang w:val="en-GB"/>
              </w:rPr>
              <w:t>aspartate</w:t>
            </w:r>
            <w:r>
              <w:rPr>
                <w:rFonts w:eastAsiaTheme="minorHAnsi"/>
                <w:lang w:val="en-GB"/>
              </w:rPr>
              <w:t xml:space="preserve"> </w:t>
            </w:r>
            <w:r w:rsidRPr="00153746">
              <w:rPr>
                <w:rFonts w:eastAsiaTheme="minorHAnsi"/>
                <w:lang w:val="en-GB"/>
              </w:rPr>
              <w:t>aminotransferase</w:t>
            </w:r>
          </w:p>
        </w:tc>
        <w:tc>
          <w:tcPr>
            <w:tcW w:w="12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CE8BF80" w14:textId="77777777" w:rsidR="009B424C" w:rsidRPr="00BB723C" w:rsidRDefault="009B424C" w:rsidP="00626227">
            <w:pPr>
              <w:pStyle w:val="CLDTableTextCentred12pt"/>
            </w:pPr>
            <w:r w:rsidRPr="00BB723C">
              <w:t>37</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8077322" w14:textId="77777777" w:rsidR="009B424C" w:rsidRPr="00BB723C" w:rsidRDefault="009B424C" w:rsidP="00626227">
            <w:pPr>
              <w:pStyle w:val="CLDTableTextCentred12pt"/>
            </w:pPr>
            <w:r w:rsidRPr="00BB723C">
              <w:t>2</w:t>
            </w:r>
          </w:p>
        </w:tc>
        <w:tc>
          <w:tcPr>
            <w:tcW w:w="964" w:type="dxa"/>
            <w:tcBorders>
              <w:top w:val="single" w:sz="4" w:space="0" w:color="auto"/>
              <w:left w:val="nil"/>
              <w:bottom w:val="single" w:sz="4" w:space="0" w:color="auto"/>
              <w:right w:val="single" w:sz="8" w:space="0" w:color="auto"/>
            </w:tcBorders>
            <w:vAlign w:val="center"/>
          </w:tcPr>
          <w:p w14:paraId="60D8ACD3" w14:textId="77777777" w:rsidR="009B424C" w:rsidRPr="00BB723C" w:rsidRDefault="009B424C" w:rsidP="00626227">
            <w:pPr>
              <w:pStyle w:val="CLDTableTextCentred12pt"/>
            </w:pPr>
            <w:r w:rsidRPr="00BB723C">
              <w:t>0</w:t>
            </w:r>
          </w:p>
        </w:tc>
        <w:tc>
          <w:tcPr>
            <w:tcW w:w="1247" w:type="dxa"/>
            <w:tcBorders>
              <w:top w:val="single" w:sz="4" w:space="0" w:color="auto"/>
              <w:left w:val="nil"/>
              <w:bottom w:val="single" w:sz="4" w:space="0" w:color="auto"/>
              <w:right w:val="single" w:sz="8" w:space="0" w:color="auto"/>
            </w:tcBorders>
            <w:vAlign w:val="center"/>
          </w:tcPr>
          <w:p w14:paraId="736B13CF" w14:textId="77777777" w:rsidR="009B424C" w:rsidRPr="00BB723C" w:rsidRDefault="009B424C" w:rsidP="00626227">
            <w:pPr>
              <w:pStyle w:val="CLDTableTextCentred12pt"/>
            </w:pPr>
            <w:r w:rsidRPr="00BB723C">
              <w:t>48</w:t>
            </w:r>
          </w:p>
        </w:tc>
        <w:tc>
          <w:tcPr>
            <w:tcW w:w="964" w:type="dxa"/>
            <w:tcBorders>
              <w:top w:val="single" w:sz="4" w:space="0" w:color="auto"/>
              <w:left w:val="nil"/>
              <w:bottom w:val="single" w:sz="4" w:space="0" w:color="auto"/>
              <w:right w:val="single" w:sz="8" w:space="0" w:color="auto"/>
            </w:tcBorders>
            <w:vAlign w:val="center"/>
          </w:tcPr>
          <w:p w14:paraId="6DE3E162" w14:textId="77777777" w:rsidR="009B424C" w:rsidRPr="00BB723C" w:rsidRDefault="009B424C" w:rsidP="00626227">
            <w:pPr>
              <w:pStyle w:val="CLDTableTextCentred12pt"/>
            </w:pPr>
            <w:r w:rsidRPr="00BB723C">
              <w:t>3</w:t>
            </w:r>
          </w:p>
        </w:tc>
        <w:tc>
          <w:tcPr>
            <w:tcW w:w="964" w:type="dxa"/>
            <w:tcBorders>
              <w:top w:val="single" w:sz="4" w:space="0" w:color="auto"/>
              <w:left w:val="nil"/>
              <w:bottom w:val="single" w:sz="4" w:space="0" w:color="auto"/>
              <w:right w:val="single" w:sz="8" w:space="0" w:color="auto"/>
            </w:tcBorders>
            <w:vAlign w:val="center"/>
          </w:tcPr>
          <w:p w14:paraId="5A4A7019" w14:textId="77777777" w:rsidR="009B424C" w:rsidRPr="00BB723C" w:rsidRDefault="009B424C" w:rsidP="00626227">
            <w:pPr>
              <w:pStyle w:val="CLDTableTextCentred12pt"/>
            </w:pPr>
            <w:r w:rsidRPr="00BB723C">
              <w:t>0</w:t>
            </w:r>
          </w:p>
        </w:tc>
      </w:tr>
      <w:tr w:rsidR="009B424C" w:rsidRPr="00314370" w14:paraId="52B75049" w14:textId="77777777" w:rsidTr="00A578EF">
        <w:trPr>
          <w:jc w:val="center"/>
        </w:trPr>
        <w:tc>
          <w:tcPr>
            <w:tcW w:w="272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46723AD" w14:textId="77777777" w:rsidR="009B424C" w:rsidRPr="00153746" w:rsidRDefault="009B424C" w:rsidP="00545454">
            <w:pPr>
              <w:pStyle w:val="CLDTableTextLeft-aligned12pt"/>
            </w:pPr>
            <w:r w:rsidRPr="00153746">
              <w:t xml:space="preserve">Increase in </w:t>
            </w:r>
            <w:r w:rsidRPr="00153746">
              <w:rPr>
                <w:rFonts w:eastAsiaTheme="minorHAnsi"/>
                <w:lang w:val="en-GB"/>
              </w:rPr>
              <w:t>alkaline</w:t>
            </w:r>
            <w:r>
              <w:rPr>
                <w:rFonts w:eastAsiaTheme="minorHAnsi"/>
                <w:lang w:val="en-GB"/>
              </w:rPr>
              <w:t xml:space="preserve"> </w:t>
            </w:r>
            <w:r w:rsidRPr="00153746">
              <w:rPr>
                <w:rFonts w:eastAsiaTheme="minorHAnsi"/>
                <w:lang w:val="en-GB"/>
              </w:rPr>
              <w:t>phosphatase</w:t>
            </w:r>
          </w:p>
        </w:tc>
        <w:tc>
          <w:tcPr>
            <w:tcW w:w="12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3D07E97" w14:textId="77777777" w:rsidR="009B424C" w:rsidRPr="00BB723C" w:rsidRDefault="009B424C" w:rsidP="00545454">
            <w:pPr>
              <w:pStyle w:val="CLDTableTextCentred12pt"/>
            </w:pPr>
            <w:r w:rsidRPr="00BB723C">
              <w:t>36</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095190F" w14:textId="77777777" w:rsidR="009B424C" w:rsidRPr="00BB723C" w:rsidRDefault="009B424C" w:rsidP="00545454">
            <w:pPr>
              <w:pStyle w:val="CLDTableTextCentred12pt"/>
            </w:pPr>
            <w:r w:rsidRPr="00BB723C">
              <w:t>2</w:t>
            </w:r>
          </w:p>
        </w:tc>
        <w:tc>
          <w:tcPr>
            <w:tcW w:w="964" w:type="dxa"/>
            <w:tcBorders>
              <w:top w:val="single" w:sz="4" w:space="0" w:color="auto"/>
              <w:left w:val="nil"/>
              <w:bottom w:val="single" w:sz="4" w:space="0" w:color="auto"/>
              <w:right w:val="single" w:sz="8" w:space="0" w:color="auto"/>
            </w:tcBorders>
            <w:vAlign w:val="center"/>
          </w:tcPr>
          <w:p w14:paraId="32EF22C0" w14:textId="77777777" w:rsidR="009B424C" w:rsidRPr="00BB723C" w:rsidRDefault="009B424C" w:rsidP="00545454">
            <w:pPr>
              <w:pStyle w:val="CLDTableTextCentred12pt"/>
            </w:pPr>
            <w:r w:rsidRPr="00BB723C">
              <w:t>0</w:t>
            </w:r>
          </w:p>
        </w:tc>
        <w:tc>
          <w:tcPr>
            <w:tcW w:w="1247" w:type="dxa"/>
            <w:tcBorders>
              <w:top w:val="single" w:sz="4" w:space="0" w:color="auto"/>
              <w:left w:val="nil"/>
              <w:bottom w:val="single" w:sz="4" w:space="0" w:color="auto"/>
              <w:right w:val="single" w:sz="8" w:space="0" w:color="auto"/>
            </w:tcBorders>
            <w:vAlign w:val="center"/>
          </w:tcPr>
          <w:p w14:paraId="1B14F279" w14:textId="77777777" w:rsidR="009B424C" w:rsidRPr="00BB723C" w:rsidRDefault="009B424C" w:rsidP="00545454">
            <w:pPr>
              <w:pStyle w:val="CLDTableTextCentred12pt"/>
            </w:pPr>
            <w:r w:rsidRPr="00BB723C">
              <w:t>34</w:t>
            </w:r>
          </w:p>
        </w:tc>
        <w:tc>
          <w:tcPr>
            <w:tcW w:w="964" w:type="dxa"/>
            <w:tcBorders>
              <w:top w:val="single" w:sz="4" w:space="0" w:color="auto"/>
              <w:left w:val="nil"/>
              <w:bottom w:val="single" w:sz="4" w:space="0" w:color="auto"/>
              <w:right w:val="single" w:sz="8" w:space="0" w:color="auto"/>
            </w:tcBorders>
            <w:vAlign w:val="center"/>
          </w:tcPr>
          <w:p w14:paraId="0DA6D3D1" w14:textId="77777777" w:rsidR="009B424C" w:rsidRPr="00BB723C" w:rsidRDefault="009B424C" w:rsidP="00545454">
            <w:pPr>
              <w:pStyle w:val="CLDTableTextCentred12pt"/>
            </w:pPr>
            <w:r w:rsidRPr="00BB723C">
              <w:t>2</w:t>
            </w:r>
          </w:p>
        </w:tc>
        <w:tc>
          <w:tcPr>
            <w:tcW w:w="964" w:type="dxa"/>
            <w:tcBorders>
              <w:top w:val="single" w:sz="4" w:space="0" w:color="auto"/>
              <w:left w:val="nil"/>
              <w:bottom w:val="single" w:sz="4" w:space="0" w:color="auto"/>
              <w:right w:val="single" w:sz="8" w:space="0" w:color="auto"/>
            </w:tcBorders>
            <w:vAlign w:val="center"/>
          </w:tcPr>
          <w:p w14:paraId="5418B3D2" w14:textId="77777777" w:rsidR="009B424C" w:rsidRPr="00BB723C" w:rsidRDefault="009B424C" w:rsidP="00545454">
            <w:pPr>
              <w:pStyle w:val="CLDTableTextCentred12pt"/>
            </w:pPr>
            <w:r w:rsidRPr="00BB723C">
              <w:t>0</w:t>
            </w:r>
          </w:p>
        </w:tc>
      </w:tr>
      <w:tr w:rsidR="009B424C" w:rsidRPr="00314370" w14:paraId="74766CC5" w14:textId="77777777" w:rsidTr="00A578EF">
        <w:trPr>
          <w:jc w:val="center"/>
        </w:trPr>
        <w:tc>
          <w:tcPr>
            <w:tcW w:w="272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D8FE7EB" w14:textId="77777777" w:rsidR="009B424C" w:rsidRPr="00153746" w:rsidRDefault="009B424C" w:rsidP="00545454">
            <w:pPr>
              <w:pStyle w:val="CLDTableTextLeft-aligned12pt"/>
            </w:pPr>
            <w:r w:rsidRPr="00153746">
              <w:t xml:space="preserve">Increase in </w:t>
            </w:r>
            <w:r w:rsidRPr="00153746">
              <w:rPr>
                <w:rFonts w:eastAsiaTheme="minorHAnsi"/>
                <w:lang w:val="en-GB"/>
              </w:rPr>
              <w:t>a</w:t>
            </w:r>
            <w:r>
              <w:rPr>
                <w:rFonts w:eastAsiaTheme="minorHAnsi"/>
                <w:lang w:val="en-GB"/>
              </w:rPr>
              <w:t xml:space="preserve">lanine </w:t>
            </w:r>
            <w:r w:rsidRPr="00153746">
              <w:rPr>
                <w:rFonts w:eastAsiaTheme="minorHAnsi"/>
                <w:lang w:val="en-GB"/>
              </w:rPr>
              <w:t>aminotransferas</w:t>
            </w:r>
            <w:r>
              <w:rPr>
                <w:rFonts w:eastAsiaTheme="minorHAnsi"/>
                <w:lang w:val="en-GB"/>
              </w:rPr>
              <w:t>e</w:t>
            </w:r>
          </w:p>
        </w:tc>
        <w:tc>
          <w:tcPr>
            <w:tcW w:w="12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4C115AF" w14:textId="77777777" w:rsidR="009B424C" w:rsidRPr="00BB723C" w:rsidRDefault="009B424C" w:rsidP="00545454">
            <w:pPr>
              <w:pStyle w:val="CLDTableTextCentred12pt"/>
            </w:pPr>
            <w:r w:rsidRPr="00BB723C">
              <w:t>33</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E69C952" w14:textId="77777777" w:rsidR="009B424C" w:rsidRPr="00BB723C" w:rsidRDefault="009B424C" w:rsidP="00545454">
            <w:pPr>
              <w:pStyle w:val="CLDTableTextCentred12pt"/>
            </w:pPr>
            <w:r w:rsidRPr="00BB723C">
              <w:t>1</w:t>
            </w:r>
          </w:p>
        </w:tc>
        <w:tc>
          <w:tcPr>
            <w:tcW w:w="964" w:type="dxa"/>
            <w:tcBorders>
              <w:top w:val="single" w:sz="4" w:space="0" w:color="auto"/>
              <w:left w:val="nil"/>
              <w:bottom w:val="single" w:sz="4" w:space="0" w:color="auto"/>
              <w:right w:val="single" w:sz="8" w:space="0" w:color="auto"/>
            </w:tcBorders>
            <w:vAlign w:val="center"/>
          </w:tcPr>
          <w:p w14:paraId="2B5D1440" w14:textId="77777777" w:rsidR="009B424C" w:rsidRPr="00BB723C" w:rsidRDefault="009B424C" w:rsidP="00545454">
            <w:pPr>
              <w:pStyle w:val="CLDTableTextCentred12pt"/>
            </w:pPr>
            <w:r w:rsidRPr="00BB723C">
              <w:t>0</w:t>
            </w:r>
          </w:p>
        </w:tc>
        <w:tc>
          <w:tcPr>
            <w:tcW w:w="1247" w:type="dxa"/>
            <w:tcBorders>
              <w:top w:val="single" w:sz="4" w:space="0" w:color="auto"/>
              <w:left w:val="nil"/>
              <w:bottom w:val="single" w:sz="4" w:space="0" w:color="auto"/>
              <w:right w:val="single" w:sz="8" w:space="0" w:color="auto"/>
            </w:tcBorders>
            <w:vAlign w:val="center"/>
          </w:tcPr>
          <w:p w14:paraId="2CDE9D57" w14:textId="77777777" w:rsidR="009B424C" w:rsidRPr="00BB723C" w:rsidRDefault="009B424C" w:rsidP="00545454">
            <w:pPr>
              <w:pStyle w:val="CLDTableTextCentred12pt"/>
            </w:pPr>
            <w:r w:rsidRPr="00BB723C">
              <w:t>37</w:t>
            </w:r>
          </w:p>
        </w:tc>
        <w:tc>
          <w:tcPr>
            <w:tcW w:w="964" w:type="dxa"/>
            <w:tcBorders>
              <w:top w:val="single" w:sz="4" w:space="0" w:color="auto"/>
              <w:left w:val="nil"/>
              <w:bottom w:val="single" w:sz="4" w:space="0" w:color="auto"/>
              <w:right w:val="single" w:sz="8" w:space="0" w:color="auto"/>
            </w:tcBorders>
            <w:vAlign w:val="center"/>
          </w:tcPr>
          <w:p w14:paraId="7346CE05" w14:textId="77777777" w:rsidR="009B424C" w:rsidRPr="00BB723C" w:rsidRDefault="009B424C" w:rsidP="00545454">
            <w:pPr>
              <w:pStyle w:val="CLDTableTextCentred12pt"/>
            </w:pPr>
            <w:r w:rsidRPr="00BB723C">
              <w:t>2</w:t>
            </w:r>
          </w:p>
        </w:tc>
        <w:tc>
          <w:tcPr>
            <w:tcW w:w="964" w:type="dxa"/>
            <w:tcBorders>
              <w:top w:val="single" w:sz="4" w:space="0" w:color="auto"/>
              <w:left w:val="nil"/>
              <w:bottom w:val="single" w:sz="4" w:space="0" w:color="auto"/>
              <w:right w:val="single" w:sz="8" w:space="0" w:color="auto"/>
            </w:tcBorders>
            <w:vAlign w:val="center"/>
          </w:tcPr>
          <w:p w14:paraId="7E5A9797" w14:textId="77777777" w:rsidR="009B424C" w:rsidRPr="00BB723C" w:rsidRDefault="009B424C" w:rsidP="00545454">
            <w:pPr>
              <w:pStyle w:val="CLDTableTextCentred12pt"/>
            </w:pPr>
            <w:r w:rsidRPr="00BB723C">
              <w:t>0</w:t>
            </w:r>
          </w:p>
        </w:tc>
      </w:tr>
      <w:tr w:rsidR="009B424C" w:rsidRPr="00314370" w14:paraId="30D50D88" w14:textId="77777777" w:rsidTr="00A578EF">
        <w:trPr>
          <w:jc w:val="center"/>
        </w:trPr>
        <w:tc>
          <w:tcPr>
            <w:tcW w:w="272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37B793" w14:textId="77777777" w:rsidR="009B424C" w:rsidRPr="00153746" w:rsidRDefault="009B424C" w:rsidP="00545454">
            <w:pPr>
              <w:pStyle w:val="CLDTableTextLeft-aligned12pt"/>
            </w:pPr>
            <w:r w:rsidRPr="00153746">
              <w:t>Decrease in calcium</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A8A85E7" w14:textId="77777777" w:rsidR="009B424C" w:rsidRPr="00BB723C" w:rsidRDefault="009B424C" w:rsidP="00545454">
            <w:pPr>
              <w:pStyle w:val="CLDTableTextCentred12pt"/>
            </w:pPr>
            <w:r w:rsidRPr="00BB723C">
              <w:t>28</w:t>
            </w:r>
          </w:p>
        </w:tc>
        <w:tc>
          <w:tcPr>
            <w:tcW w:w="96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F3FC05D" w14:textId="77777777" w:rsidR="009B424C" w:rsidRPr="00BB723C" w:rsidRDefault="009B424C" w:rsidP="00545454">
            <w:pPr>
              <w:pStyle w:val="CLDTableTextCentred12pt"/>
            </w:pPr>
            <w:r w:rsidRPr="00BB723C">
              <w:t>1</w:t>
            </w:r>
          </w:p>
        </w:tc>
        <w:tc>
          <w:tcPr>
            <w:tcW w:w="964" w:type="dxa"/>
            <w:tcBorders>
              <w:top w:val="single" w:sz="4" w:space="0" w:color="auto"/>
              <w:left w:val="nil"/>
              <w:bottom w:val="single" w:sz="8" w:space="0" w:color="auto"/>
              <w:right w:val="single" w:sz="8" w:space="0" w:color="auto"/>
            </w:tcBorders>
            <w:vAlign w:val="center"/>
          </w:tcPr>
          <w:p w14:paraId="7BC39AA1" w14:textId="77777777" w:rsidR="009B424C" w:rsidRPr="00BB723C" w:rsidRDefault="009B424C" w:rsidP="00545454">
            <w:pPr>
              <w:pStyle w:val="CLDTableTextCentred12pt"/>
            </w:pPr>
            <w:r w:rsidRPr="00BB723C">
              <w:t>0</w:t>
            </w:r>
          </w:p>
        </w:tc>
        <w:tc>
          <w:tcPr>
            <w:tcW w:w="1247" w:type="dxa"/>
            <w:tcBorders>
              <w:top w:val="single" w:sz="4" w:space="0" w:color="auto"/>
              <w:left w:val="nil"/>
              <w:bottom w:val="single" w:sz="8" w:space="0" w:color="auto"/>
              <w:right w:val="single" w:sz="8" w:space="0" w:color="auto"/>
            </w:tcBorders>
            <w:vAlign w:val="center"/>
          </w:tcPr>
          <w:p w14:paraId="1A101398" w14:textId="77777777" w:rsidR="009B424C" w:rsidRPr="00BB723C" w:rsidRDefault="009B424C" w:rsidP="00545454">
            <w:pPr>
              <w:pStyle w:val="CLDTableTextCentred12pt"/>
            </w:pPr>
            <w:r w:rsidRPr="00BB723C">
              <w:t>16</w:t>
            </w:r>
          </w:p>
        </w:tc>
        <w:tc>
          <w:tcPr>
            <w:tcW w:w="964" w:type="dxa"/>
            <w:tcBorders>
              <w:top w:val="single" w:sz="4" w:space="0" w:color="auto"/>
              <w:left w:val="nil"/>
              <w:bottom w:val="single" w:sz="8" w:space="0" w:color="auto"/>
              <w:right w:val="single" w:sz="8" w:space="0" w:color="auto"/>
            </w:tcBorders>
            <w:vAlign w:val="center"/>
          </w:tcPr>
          <w:p w14:paraId="75CC607E" w14:textId="77777777" w:rsidR="009B424C" w:rsidRPr="00BB723C" w:rsidRDefault="009B424C" w:rsidP="00545454">
            <w:pPr>
              <w:pStyle w:val="CLDTableTextCentred12pt"/>
            </w:pPr>
            <w:r w:rsidRPr="00BB723C">
              <w:t>0</w:t>
            </w:r>
          </w:p>
        </w:tc>
        <w:tc>
          <w:tcPr>
            <w:tcW w:w="964" w:type="dxa"/>
            <w:tcBorders>
              <w:top w:val="single" w:sz="4" w:space="0" w:color="auto"/>
              <w:left w:val="nil"/>
              <w:bottom w:val="single" w:sz="8" w:space="0" w:color="auto"/>
              <w:right w:val="single" w:sz="8" w:space="0" w:color="auto"/>
            </w:tcBorders>
            <w:vAlign w:val="center"/>
          </w:tcPr>
          <w:p w14:paraId="3C9EBD68" w14:textId="77777777" w:rsidR="009B424C" w:rsidRPr="00BB723C" w:rsidRDefault="009B424C" w:rsidP="00545454">
            <w:pPr>
              <w:pStyle w:val="CLDTableTextCentred12pt"/>
            </w:pPr>
            <w:r w:rsidRPr="00BB723C">
              <w:t>0</w:t>
            </w:r>
          </w:p>
        </w:tc>
      </w:tr>
    </w:tbl>
    <w:p w14:paraId="7874F092" w14:textId="192AA150" w:rsidR="009B424C" w:rsidRPr="00066BC0" w:rsidRDefault="00EA7BD6" w:rsidP="009B424C">
      <w:pPr>
        <w:pStyle w:val="CLDTableFootnotewithnosuperscripts"/>
      </w:pPr>
      <w:r>
        <w:t>N=number of patients.</w:t>
      </w:r>
    </w:p>
    <w:p w14:paraId="393E0CE5" w14:textId="77777777" w:rsidR="009B424C" w:rsidRPr="00066BC0" w:rsidRDefault="009B424C" w:rsidP="009B424C">
      <w:pPr>
        <w:pStyle w:val="CLDTableFootnotewithsuperscipts"/>
      </w:pPr>
      <w:r w:rsidRPr="00066BC0">
        <w:t>a.</w:t>
      </w:r>
      <w:r w:rsidRPr="00066BC0">
        <w:tab/>
      </w:r>
      <w:r w:rsidRPr="00066BC0">
        <w:rPr>
          <w:rFonts w:eastAsiaTheme="minorHAnsi"/>
        </w:rPr>
        <w:t>This number represents the safety population. The derived values in the table are based on the total number of evaluable patients for each laboratory parameter</w:t>
      </w:r>
      <w:r w:rsidRPr="00066BC0">
        <w:t>.</w:t>
      </w:r>
    </w:p>
    <w:p w14:paraId="1C8190C6" w14:textId="77777777" w:rsidR="009B424C" w:rsidRPr="00066BC0" w:rsidRDefault="009B424C" w:rsidP="009B424C">
      <w:pPr>
        <w:pStyle w:val="CLDTableFootnotewithsuperscipts"/>
      </w:pPr>
      <w:r w:rsidRPr="00066BC0">
        <w:t>b.</w:t>
      </w:r>
      <w:r w:rsidRPr="00066BC0">
        <w:tab/>
      </w:r>
      <w:r w:rsidRPr="00066BC0">
        <w:rPr>
          <w:rFonts w:eastAsiaTheme="minorHAnsi"/>
        </w:rPr>
        <w:t>This number represents non-fasting glucose</w:t>
      </w:r>
      <w:r w:rsidRPr="00066BC0">
        <w:t>.</w:t>
      </w:r>
    </w:p>
    <w:p w14:paraId="771AAAFD" w14:textId="231E748D" w:rsidR="0063528F" w:rsidRPr="00116456" w:rsidRDefault="0063528F" w:rsidP="000465C1">
      <w:pPr>
        <w:pStyle w:val="CLDHeading3"/>
      </w:pPr>
      <w:r w:rsidRPr="00116456">
        <w:t xml:space="preserve">Reporting </w:t>
      </w:r>
      <w:r w:rsidR="007321FD">
        <w:t>s</w:t>
      </w:r>
      <w:r w:rsidRPr="00116456">
        <w:t xml:space="preserve">uspected </w:t>
      </w:r>
      <w:r w:rsidR="007321FD">
        <w:t>a</w:t>
      </w:r>
      <w:r w:rsidRPr="00116456">
        <w:t xml:space="preserve">dverse </w:t>
      </w:r>
      <w:r w:rsidR="007321FD">
        <w:t>e</w:t>
      </w:r>
      <w:r>
        <w:t>ffect</w:t>
      </w:r>
      <w:r w:rsidRPr="00116456">
        <w:t>s</w:t>
      </w:r>
    </w:p>
    <w:p w14:paraId="551EAE22" w14:textId="48E19FAE" w:rsidR="0063528F" w:rsidRDefault="0063528F" w:rsidP="000465C1">
      <w:pPr>
        <w:pStyle w:val="CLDNormal"/>
      </w:pPr>
      <w:r w:rsidRPr="00C06BDB">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10592D">
          <w:rPr>
            <w:color w:val="0000FF"/>
          </w:rPr>
          <w:t>www.tga.gov.au/reporting-problems</w:t>
        </w:r>
      </w:hyperlink>
      <w:r w:rsidRPr="00C276A1">
        <w:t>.</w:t>
      </w:r>
    </w:p>
    <w:p w14:paraId="150B42DE" w14:textId="77777777" w:rsidR="00B50743" w:rsidRPr="00E1368B" w:rsidRDefault="00B50743" w:rsidP="004A350C">
      <w:pPr>
        <w:pStyle w:val="CLDHeading2"/>
      </w:pPr>
      <w:r w:rsidRPr="00E1368B">
        <w:t>4.9 Overdose</w:t>
      </w:r>
    </w:p>
    <w:p w14:paraId="6C11036E" w14:textId="626A0CB4" w:rsidR="00B50743" w:rsidRPr="00FB3D94" w:rsidRDefault="00B50743" w:rsidP="00FB3D94">
      <w:pPr>
        <w:pStyle w:val="CLDNormal"/>
      </w:pPr>
      <w:r w:rsidRPr="00FB3D94">
        <w:t>There is no specific treatment in the event of talazoparib overdose</w:t>
      </w:r>
      <w:r w:rsidR="00552042">
        <w:t>,</w:t>
      </w:r>
      <w:r w:rsidRPr="00FB3D94">
        <w:t xml:space="preserve"> and symptoms of overdose are not established. In the event of overdose, </w:t>
      </w:r>
      <w:r w:rsidR="00552042">
        <w:t xml:space="preserve">discontinue </w:t>
      </w:r>
      <w:r w:rsidRPr="00FB3D94">
        <w:t>treatment with talazoparib</w:t>
      </w:r>
      <w:r w:rsidR="00552042">
        <w:t>,</w:t>
      </w:r>
      <w:r w:rsidRPr="00FB3D94">
        <w:t xml:space="preserve"> consider gastric decontamination, follow general supportive measures and treat symptomatically. </w:t>
      </w:r>
    </w:p>
    <w:p w14:paraId="63BD896C" w14:textId="77777777" w:rsidR="00B50743" w:rsidRPr="00FB3D94" w:rsidRDefault="00B50743" w:rsidP="00FB3D94">
      <w:pPr>
        <w:pStyle w:val="CLDNormal"/>
      </w:pPr>
      <w:r w:rsidRPr="00FB3D94">
        <w:t>For information on the management of overdose, contact the Poison Information Centre on 13 11 26 (Australia).</w:t>
      </w:r>
    </w:p>
    <w:p w14:paraId="794DD4D0" w14:textId="77777777" w:rsidR="00B50743" w:rsidRPr="004A350C" w:rsidRDefault="00B50743" w:rsidP="000465C1">
      <w:pPr>
        <w:pStyle w:val="CLDHeading1"/>
      </w:pPr>
      <w:r w:rsidRPr="004A350C">
        <w:lastRenderedPageBreak/>
        <w:t xml:space="preserve">5. </w:t>
      </w:r>
      <w:r w:rsidRPr="004A350C">
        <w:tab/>
        <w:t>PHARMACOLOGICAL PROPERTIES</w:t>
      </w:r>
    </w:p>
    <w:p w14:paraId="39EA34F0" w14:textId="77777777" w:rsidR="00B50743" w:rsidRPr="004A350C" w:rsidRDefault="00B50743" w:rsidP="000465C1">
      <w:pPr>
        <w:pStyle w:val="CLDHeading2"/>
      </w:pPr>
      <w:r w:rsidRPr="004A350C">
        <w:t>5.1 Pharmacodynamic properties</w:t>
      </w:r>
    </w:p>
    <w:p w14:paraId="68FD9AF3" w14:textId="708BB4B9" w:rsidR="00B50743" w:rsidRDefault="00B50743" w:rsidP="00645BA5">
      <w:pPr>
        <w:pStyle w:val="CLDHeading3"/>
      </w:pPr>
      <w:r w:rsidRPr="00790E0D">
        <w:t xml:space="preserve">Mechanism of </w:t>
      </w:r>
      <w:r>
        <w:t>a</w:t>
      </w:r>
      <w:r w:rsidRPr="00790E0D">
        <w:t>ction</w:t>
      </w:r>
    </w:p>
    <w:p w14:paraId="3AA110E6" w14:textId="4B6C6EBD" w:rsidR="00D13367" w:rsidRPr="00D13367" w:rsidRDefault="00D13367" w:rsidP="00683BD4">
      <w:pPr>
        <w:keepLines/>
      </w:pPr>
      <w:r w:rsidRPr="00D13367">
        <w:t xml:space="preserve">Talazoparib is an inhibitor of poly (ADP-ribose) polymerase (PARP) enzymes, including PARP1 and PARP2, which play a role in DNA repair. </w:t>
      </w:r>
      <w:r w:rsidRPr="00377DE6">
        <w:rPr>
          <w:i/>
        </w:rPr>
        <w:t>In vitro</w:t>
      </w:r>
      <w:r w:rsidRPr="00D13367">
        <w:t xml:space="preserve"> studies with cancer cell lines that harbo</w:t>
      </w:r>
      <w:r w:rsidR="008B07BD">
        <w:t>u</w:t>
      </w:r>
      <w:r w:rsidRPr="00D13367">
        <w:t>red defects in DNA repair genes, including BRCA 1 and 2, have shown that talazoparib-induced cytotoxicity may involve inhibition of PARP enzymatic activity and increased formation of PARP-DNA complexes resulting in DNA damage, decreased cell proliferation and apoptosis. Talazoparib anti-tumo</w:t>
      </w:r>
      <w:r>
        <w:t>u</w:t>
      </w:r>
      <w:r w:rsidRPr="00D13367">
        <w:t>r activity was observed in human patient-derived xenograft breast cancer tumo</w:t>
      </w:r>
      <w:r>
        <w:t>u</w:t>
      </w:r>
      <w:r w:rsidRPr="00D13367">
        <w:t>r models that expressed mutated or wild-type BRCA 1 and 2.</w:t>
      </w:r>
    </w:p>
    <w:p w14:paraId="47ECBD0B" w14:textId="4DB26E4C" w:rsidR="00B95933" w:rsidRPr="00F171BC" w:rsidRDefault="00B95933" w:rsidP="00645BA5">
      <w:pPr>
        <w:pStyle w:val="CLDHeading3"/>
      </w:pPr>
      <w:r>
        <w:t xml:space="preserve">Clinical </w:t>
      </w:r>
      <w:r w:rsidR="00D13367">
        <w:t>t</w:t>
      </w:r>
      <w:r>
        <w:t>rials</w:t>
      </w:r>
    </w:p>
    <w:p w14:paraId="601D302D" w14:textId="67F85D0F" w:rsidR="00B95933" w:rsidRPr="00B95933" w:rsidRDefault="00B95933" w:rsidP="00B95933">
      <w:pPr>
        <w:pStyle w:val="CLDHeading4"/>
      </w:pPr>
      <w:r w:rsidRPr="00B95933">
        <w:t>Randomised Phase</w:t>
      </w:r>
      <w:r>
        <w:t> </w:t>
      </w:r>
      <w:r w:rsidRPr="00B95933">
        <w:t xml:space="preserve">3 </w:t>
      </w:r>
      <w:r w:rsidR="009B424C">
        <w:t>s</w:t>
      </w:r>
      <w:r w:rsidRPr="00B95933">
        <w:t xml:space="preserve">tudy </w:t>
      </w:r>
      <w:r w:rsidR="00330ED7">
        <w:t>-</w:t>
      </w:r>
      <w:r w:rsidR="00DE169B">
        <w:t xml:space="preserve"> </w:t>
      </w:r>
      <w:r w:rsidR="00EA7BD6">
        <w:t>EMBRACA</w:t>
      </w:r>
    </w:p>
    <w:p w14:paraId="40975C49" w14:textId="27B859F9" w:rsidR="000A6493" w:rsidRDefault="00524351" w:rsidP="000A6493">
      <w:pPr>
        <w:pStyle w:val="CLDNormal"/>
      </w:pPr>
      <w:r w:rsidRPr="007D01CC">
        <w:t xml:space="preserve">EMBRACA was an open-label, randomised, multicentre study </w:t>
      </w:r>
      <w:r w:rsidR="000A6493">
        <w:t xml:space="preserve">in which patients with a germline BRCA mutation who had HER2-negative locally advanced or metastatic breast cancer (n=431) were randomised 2:1 to receive </w:t>
      </w:r>
      <w:r w:rsidRPr="007D01CC">
        <w:t xml:space="preserve">TALZENNA </w:t>
      </w:r>
      <w:r w:rsidR="000A6493">
        <w:t>1</w:t>
      </w:r>
      <w:r w:rsidR="00B45217">
        <w:t> </w:t>
      </w:r>
      <w:r w:rsidR="000A6493">
        <w:t xml:space="preserve">mg or healthcare provider’s choice of </w:t>
      </w:r>
      <w:r w:rsidRPr="007D01CC">
        <w:t xml:space="preserve">chemotherapy (capecitabine, eribulin, gemcitabine, vinorelbine) </w:t>
      </w:r>
      <w:r w:rsidR="000A6493">
        <w:t>until disease progression or unacceptable toxicity. Randomisation was stratified by prior lines of chemotherapy for metastatic disease (0 versus 1, 2 or 3), triple-negative disease status (triple-negative breast cancer [TNBC] versus non-TNBC) and history of central nervous system (CNS) metastasis (yes versus no).</w:t>
      </w:r>
    </w:p>
    <w:p w14:paraId="39761A57" w14:textId="55130DFB" w:rsidR="00397D2B" w:rsidRPr="007D01CC" w:rsidRDefault="000A6493" w:rsidP="000A6493">
      <w:pPr>
        <w:pStyle w:val="CLDNormal"/>
        <w:rPr>
          <w:rFonts w:eastAsia="TimesNewRoman"/>
        </w:rPr>
      </w:pPr>
      <w:r>
        <w:t xml:space="preserve">Patients </w:t>
      </w:r>
      <w:r w:rsidR="00397D2B">
        <w:t xml:space="preserve">had </w:t>
      </w:r>
      <w:r w:rsidR="00524351" w:rsidRPr="007D01CC">
        <w:t xml:space="preserve">received no more than 3 prior cytotoxic chemotherapy regimens for their metastatic or locally advanced disease. Patients were required to have received treatment with an anthracycline and/or a taxane (unless contraindicated) in the neoadjuvant, adjuvant and/or metastatic setting. </w:t>
      </w:r>
      <w:r w:rsidRPr="000A6493">
        <w:t>First-line treatment for advanced or metastatic disease with no prior adjuvant chemotherapy was allowed if th</w:t>
      </w:r>
      <w:r w:rsidR="00397D2B">
        <w:t>e investigator determined that one of the</w:t>
      </w:r>
      <w:r w:rsidRPr="000A6493">
        <w:t xml:space="preserve"> chemotherapy choices in the control arm would be an appropriate treatment option for the patient. </w:t>
      </w:r>
      <w:r w:rsidR="00524351" w:rsidRPr="007D01CC">
        <w:t>Patients with prior platinum therapy for advanced disease were required to have no evidence of disease progression during platinum therapy. No prior treatment with a PARP inhibitor was permitted.</w:t>
      </w:r>
    </w:p>
    <w:p w14:paraId="5F6E3427" w14:textId="4DE672D7" w:rsidR="000A6493" w:rsidRDefault="000A6493" w:rsidP="00531C22">
      <w:pPr>
        <w:pStyle w:val="CLDNormal"/>
      </w:pPr>
      <w:r w:rsidRPr="000A6493">
        <w:t>Of the 431</w:t>
      </w:r>
      <w:r w:rsidR="003F3547">
        <w:t> </w:t>
      </w:r>
      <w:r w:rsidRPr="000A6493">
        <w:t>pat</w:t>
      </w:r>
      <w:r>
        <w:t>ients randomis</w:t>
      </w:r>
      <w:r w:rsidRPr="000A6493">
        <w:t xml:space="preserve">ed in the EMBRACA study, 408 (95%) were centrally confirmed to have a deleterious or suspected deleterious </w:t>
      </w:r>
      <w:r>
        <w:t>germline BRCA mutation</w:t>
      </w:r>
      <w:r w:rsidRPr="000A6493">
        <w:t xml:space="preserve"> using a clinical trial assay</w:t>
      </w:r>
      <w:r w:rsidR="009E2365">
        <w:t>,</w:t>
      </w:r>
      <w:r w:rsidRPr="000A6493">
        <w:t xml:space="preserve"> out of which 354 (82%) were c</w:t>
      </w:r>
      <w:r w:rsidR="00397D2B">
        <w:t xml:space="preserve">onfirmed using the </w:t>
      </w:r>
      <w:r w:rsidR="00011D42" w:rsidRPr="00122CFF">
        <w:t>BRACAnalysis</w:t>
      </w:r>
      <w:r w:rsidR="00011D42" w:rsidRPr="00377DE6">
        <w:rPr>
          <w:vertAlign w:val="superscript"/>
        </w:rPr>
        <w:t>®</w:t>
      </w:r>
      <w:r w:rsidR="00011D42">
        <w:t xml:space="preserve"> </w:t>
      </w:r>
      <w:r w:rsidR="00397D2B">
        <w:t>companion diagnostic test</w:t>
      </w:r>
      <w:r w:rsidRPr="000A6493">
        <w:t xml:space="preserve">. </w:t>
      </w:r>
      <w:r w:rsidR="002641F3">
        <w:t>A similar percentage of patients in both treatment arms had a BRCA1 versus BRCA2 mutation</w:t>
      </w:r>
      <w:r w:rsidRPr="000A6493">
        <w:t>.</w:t>
      </w:r>
    </w:p>
    <w:p w14:paraId="72E33191" w14:textId="13D77030" w:rsidR="00524351" w:rsidRPr="00531C22" w:rsidRDefault="00524351" w:rsidP="00937612">
      <w:r w:rsidRPr="00315291">
        <w:t xml:space="preserve">The median age of patients treated with </w:t>
      </w:r>
      <w:r w:rsidR="000636B8" w:rsidRPr="00315291">
        <w:t xml:space="preserve">TALZENNA </w:t>
      </w:r>
      <w:r w:rsidRPr="00315291">
        <w:t>was 45</w:t>
      </w:r>
      <w:r w:rsidR="000636B8" w:rsidRPr="00315291">
        <w:t> </w:t>
      </w:r>
      <w:r w:rsidRPr="00315291">
        <w:t>years (range 27</w:t>
      </w:r>
      <w:r w:rsidR="00EE1815">
        <w:t xml:space="preserve"> </w:t>
      </w:r>
      <w:r w:rsidRPr="00315291">
        <w:t xml:space="preserve">to 84) and 50 years (range 24 to 88) among patients treated with chemotherapy. Of note, 63% versus 47% of patients were &lt;50 years of age in the talazoparib and chemotherapy arms, respectively, 27% versus 47% were 50 to &lt;65 years of age, and 9% versus 7% were </w:t>
      </w:r>
      <w:r w:rsidR="00EA7BD6">
        <w:sym w:font="Symbol" w:char="F0B3"/>
      </w:r>
      <w:r w:rsidRPr="00315291">
        <w:t>65 years of age. Among all randomi</w:t>
      </w:r>
      <w:r w:rsidR="000636B8" w:rsidRPr="00315291">
        <w:t>s</w:t>
      </w:r>
      <w:r w:rsidRPr="00315291">
        <w:t>ed patients, 1% versus 2% were males, 6</w:t>
      </w:r>
      <w:r w:rsidR="00315291">
        <w:t>7</w:t>
      </w:r>
      <w:r w:rsidRPr="00315291">
        <w:t>% versus 75% were White</w:t>
      </w:r>
      <w:r w:rsidR="000636B8" w:rsidRPr="00315291">
        <w:t>,</w:t>
      </w:r>
      <w:r w:rsidRPr="00315291">
        <w:t xml:space="preserve"> 1</w:t>
      </w:r>
      <w:r w:rsidR="00315291">
        <w:t>1</w:t>
      </w:r>
      <w:r w:rsidRPr="00315291">
        <w:t xml:space="preserve">% versus 11% were Asian, and 4% versus </w:t>
      </w:r>
      <w:r w:rsidR="00315291">
        <w:t>1</w:t>
      </w:r>
      <w:r w:rsidRPr="00315291">
        <w:t>% were Black or African American in the talazoparib and chemotherapy arms, respectively. Almost all patients (9</w:t>
      </w:r>
      <w:r w:rsidR="00315291">
        <w:t>8</w:t>
      </w:r>
      <w:r w:rsidRPr="00315291">
        <w:t xml:space="preserve">%) in both arms had an Eastern </w:t>
      </w:r>
      <w:r w:rsidRPr="00315291">
        <w:lastRenderedPageBreak/>
        <w:t>Cooperative Oncology Group (ECOG) performance status of 0 or 1. Approximately 5</w:t>
      </w:r>
      <w:r w:rsidR="00315291">
        <w:t>6</w:t>
      </w:r>
      <w:r w:rsidRPr="00315291">
        <w:t>% of patients had hormone receptor</w:t>
      </w:r>
      <w:r w:rsidR="00315291">
        <w:t xml:space="preserve"> (HR)</w:t>
      </w:r>
      <w:r w:rsidRPr="00315291">
        <w:t>-positive (either estrogen receptor [ER]</w:t>
      </w:r>
      <w:r w:rsidRPr="00315291">
        <w:noBreakHyphen/>
        <w:t>positive- or progesterone receptor [PR]-positive) disease; 44% of patients had triple</w:t>
      </w:r>
      <w:r w:rsidRPr="00315291">
        <w:noBreakHyphen/>
        <w:t xml:space="preserve">negative </w:t>
      </w:r>
      <w:r w:rsidR="004918D2">
        <w:t>breast cancer (TNBC)</w:t>
      </w:r>
      <w:r w:rsidR="004918D2" w:rsidRPr="00315291">
        <w:t xml:space="preserve"> </w:t>
      </w:r>
      <w:r w:rsidRPr="00315291">
        <w:t xml:space="preserve">and the proportions were balanced across treatment arms. </w:t>
      </w:r>
      <w:r w:rsidR="00937612" w:rsidRPr="00937612">
        <w:t xml:space="preserve">Fifteen percent (15%) of patients in the TALZENNA arm and 14% of patients in the chemotherapy arm had a history of CNS metastases. Ninety-one percent (91%) of patients in the TALZENNA arm had received prior taxane therapy and 85% had received prior anthracycline therapy in any setting. </w:t>
      </w:r>
      <w:r w:rsidRPr="00315291">
        <w:t xml:space="preserve">Sixteen percent of patients in the talazoparib arm and </w:t>
      </w:r>
      <w:r w:rsidR="002F7854">
        <w:t>21</w:t>
      </w:r>
      <w:r w:rsidRPr="00315291">
        <w:t>% of patients in the chemotherapy arm had received prior platinum treatment</w:t>
      </w:r>
      <w:r w:rsidR="00937612" w:rsidRPr="00937612">
        <w:t xml:space="preserve"> in any setting. The median number of prior cytotoxic regimens for patients with</w:t>
      </w:r>
      <w:r w:rsidR="004918D2">
        <w:t xml:space="preserve"> advanced breast cancer was one:</w:t>
      </w:r>
      <w:r w:rsidR="00937612" w:rsidRPr="00937612">
        <w:t xml:space="preserve"> 38% </w:t>
      </w:r>
      <w:r w:rsidR="004918D2">
        <w:t xml:space="preserve">had </w:t>
      </w:r>
      <w:r w:rsidR="00937612" w:rsidRPr="00937612">
        <w:t xml:space="preserve">received no prior cytotoxic regimens for advanced or metastatic disease, 37% </w:t>
      </w:r>
      <w:r w:rsidR="004918D2">
        <w:t xml:space="preserve">had </w:t>
      </w:r>
      <w:r w:rsidR="00937612" w:rsidRPr="00937612">
        <w:t xml:space="preserve">received one, 20% </w:t>
      </w:r>
      <w:r w:rsidR="004918D2">
        <w:t xml:space="preserve">had </w:t>
      </w:r>
      <w:r w:rsidR="00937612" w:rsidRPr="00937612">
        <w:t>received two and 5%</w:t>
      </w:r>
      <w:r w:rsidR="004918D2">
        <w:t xml:space="preserve"> had</w:t>
      </w:r>
      <w:r w:rsidR="00937612" w:rsidRPr="00937612">
        <w:t xml:space="preserve"> received three or more prior cytotoxic regimens.</w:t>
      </w:r>
    </w:p>
    <w:p w14:paraId="0530FC4D" w14:textId="6F46511E" w:rsidR="009448B0" w:rsidRDefault="00524351" w:rsidP="004918D2">
      <w:pPr>
        <w:pStyle w:val="CLDNormal"/>
      </w:pPr>
      <w:r w:rsidRPr="00531C22">
        <w:t>The primary efficacy endpoint was progression-free survival (PFS) evaluated according to Response Evaluation Criteria in Solid Tumo</w:t>
      </w:r>
      <w:r w:rsidR="00941A39" w:rsidRPr="00531C22">
        <w:t>u</w:t>
      </w:r>
      <w:r w:rsidRPr="00531C22">
        <w:t xml:space="preserve">rs (RECIST) version 1.1, as assessed by blinded independent central review (BICR). The secondary objectives were objective response rate (ORR), overall survival (OS), safety and PK. </w:t>
      </w:r>
      <w:r w:rsidR="009D4A0E" w:rsidRPr="00531C22">
        <w:t>Exploratory objectives included duration of response (DOR)</w:t>
      </w:r>
      <w:r w:rsidR="009D4A0E">
        <w:t>.</w:t>
      </w:r>
    </w:p>
    <w:p w14:paraId="1CFC543B" w14:textId="7ED6425C" w:rsidR="00524351" w:rsidRPr="000465C1" w:rsidRDefault="004918D2" w:rsidP="00EA7BD6">
      <w:pPr>
        <w:pStyle w:val="CLDNormal"/>
        <w:spacing w:after="180"/>
      </w:pPr>
      <w:r>
        <w:t>A</w:t>
      </w:r>
      <w:r w:rsidR="00524351" w:rsidRPr="000465C1">
        <w:t xml:space="preserve"> statistically significant improvement in PFS </w:t>
      </w:r>
      <w:r>
        <w:t xml:space="preserve">was demonstrated </w:t>
      </w:r>
      <w:r w:rsidR="00524351" w:rsidRPr="000465C1">
        <w:t xml:space="preserve">for </w:t>
      </w:r>
      <w:r w:rsidR="000636B8" w:rsidRPr="000465C1">
        <w:t xml:space="preserve">TALZENNA </w:t>
      </w:r>
      <w:r w:rsidR="00524351" w:rsidRPr="000465C1">
        <w:t xml:space="preserve">compared with chemotherapy. A sensitivity analysis of investigator-assessed PFS was consistent with the BICR-assessed PFS results. </w:t>
      </w:r>
      <w:r w:rsidRPr="004918D2">
        <w:t xml:space="preserve">Consistent PFS results were observed across patient subgroups defined by study stratification factors (line of therapy, TNBC status and history of CNS metastases). The overall survival (OS) data were not mature at the time of the final PFS analysis (38% of patients had died). </w:t>
      </w:r>
      <w:r w:rsidR="00524351" w:rsidRPr="000465C1">
        <w:t>Efficacy data for EMBRACA are summari</w:t>
      </w:r>
      <w:r w:rsidR="009B3691" w:rsidRPr="000465C1">
        <w:t>s</w:t>
      </w:r>
      <w:r w:rsidR="00524351" w:rsidRPr="000465C1">
        <w:t xml:space="preserve">ed in </w:t>
      </w:r>
      <w:r w:rsidR="00A12926">
        <w:fldChar w:fldCharType="begin"/>
      </w:r>
      <w:r w:rsidR="00A12926">
        <w:instrText xml:space="preserve"> REF _Ref22299050 \h  \* MERGEFORMAT </w:instrText>
      </w:r>
      <w:r w:rsidR="00A12926">
        <w:fldChar w:fldCharType="separate"/>
      </w:r>
      <w:r w:rsidR="00424ECE" w:rsidRPr="00424ECE">
        <w:rPr>
          <w:szCs w:val="24"/>
        </w:rPr>
        <w:t xml:space="preserve">Table </w:t>
      </w:r>
      <w:r w:rsidR="00424ECE" w:rsidRPr="00424ECE">
        <w:rPr>
          <w:noProof/>
          <w:szCs w:val="24"/>
        </w:rPr>
        <w:t>5</w:t>
      </w:r>
      <w:r w:rsidR="00A12926">
        <w:fldChar w:fldCharType="end"/>
      </w:r>
      <w:r w:rsidR="00524351" w:rsidRPr="000465C1">
        <w:t xml:space="preserve"> and the Kaplan-Meier curve for PFS </w:t>
      </w:r>
      <w:r>
        <w:t xml:space="preserve">is </w:t>
      </w:r>
      <w:r w:rsidR="00524351" w:rsidRPr="000465C1">
        <w:t xml:space="preserve">shown in </w:t>
      </w:r>
      <w:r w:rsidR="00CB423B">
        <w:fldChar w:fldCharType="begin"/>
      </w:r>
      <w:r w:rsidR="00CB423B">
        <w:instrText xml:space="preserve"> REF _Ref22299517 \h </w:instrText>
      </w:r>
      <w:r w:rsidR="00CB423B">
        <w:fldChar w:fldCharType="separate"/>
      </w:r>
      <w:r w:rsidR="00424ECE">
        <w:t xml:space="preserve">Figure </w:t>
      </w:r>
      <w:r w:rsidR="00424ECE">
        <w:rPr>
          <w:noProof/>
        </w:rPr>
        <w:t>1</w:t>
      </w:r>
      <w:r w:rsidR="00CB423B">
        <w:fldChar w:fldCharType="end"/>
      </w:r>
      <w:r w:rsidR="00EA7BD6">
        <w:t>.</w:t>
      </w:r>
    </w:p>
    <w:p w14:paraId="264A2698" w14:textId="49C79B42" w:rsidR="00CB423B" w:rsidRDefault="00CB423B" w:rsidP="00EA7BD6">
      <w:pPr>
        <w:pStyle w:val="Caption"/>
      </w:pPr>
      <w:bookmarkStart w:id="5" w:name="_Ref22299050"/>
      <w:r>
        <w:t xml:space="preserve">Table </w:t>
      </w:r>
      <w:r>
        <w:fldChar w:fldCharType="begin"/>
      </w:r>
      <w:r>
        <w:instrText xml:space="preserve"> SEQ Table \* ARABIC </w:instrText>
      </w:r>
      <w:r>
        <w:fldChar w:fldCharType="separate"/>
      </w:r>
      <w:r w:rsidR="00424ECE">
        <w:rPr>
          <w:noProof/>
        </w:rPr>
        <w:t>5</w:t>
      </w:r>
      <w:r>
        <w:fldChar w:fldCharType="end"/>
      </w:r>
      <w:bookmarkEnd w:id="5"/>
      <w:r>
        <w:t xml:space="preserve">. </w:t>
      </w:r>
      <w:r>
        <w:tab/>
        <w:t xml:space="preserve">Summary of </w:t>
      </w:r>
      <w:r w:rsidR="0088666D">
        <w:t>e</w:t>
      </w:r>
      <w:r>
        <w:t xml:space="preserve">fficacy </w:t>
      </w:r>
      <w:r w:rsidR="0088666D">
        <w:t>r</w:t>
      </w:r>
      <w:r>
        <w:t xml:space="preserve">esults – EMBRACA </w:t>
      </w:r>
      <w:r w:rsidR="0088666D">
        <w:t>s</w:t>
      </w:r>
      <w:r>
        <w:t>tudy</w:t>
      </w: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2"/>
        <w:gridCol w:w="2041"/>
        <w:gridCol w:w="1877"/>
        <w:gridCol w:w="165"/>
      </w:tblGrid>
      <w:tr w:rsidR="00D336FC" w:rsidRPr="005F2E18" w14:paraId="3444E06F" w14:textId="77777777" w:rsidTr="002D0D06">
        <w:trPr>
          <w:cantSplit/>
          <w:tblHeader/>
          <w:jc w:val="center"/>
        </w:trPr>
        <w:tc>
          <w:tcPr>
            <w:tcW w:w="4932" w:type="dxa"/>
            <w:shd w:val="clear" w:color="auto" w:fill="auto"/>
            <w:vAlign w:val="center"/>
          </w:tcPr>
          <w:p w14:paraId="5C5EB54A" w14:textId="77777777" w:rsidR="000636B8" w:rsidRPr="005F2E18" w:rsidRDefault="000636B8" w:rsidP="004F1CDC">
            <w:pPr>
              <w:pStyle w:val="CLDTableColumnHeadingCentred12pt"/>
            </w:pPr>
          </w:p>
        </w:tc>
        <w:tc>
          <w:tcPr>
            <w:tcW w:w="2041" w:type="dxa"/>
            <w:shd w:val="clear" w:color="auto" w:fill="auto"/>
            <w:vAlign w:val="center"/>
          </w:tcPr>
          <w:p w14:paraId="385DC355" w14:textId="77777777" w:rsidR="000636B8" w:rsidRPr="00AC551E" w:rsidRDefault="000636B8" w:rsidP="004F1CDC">
            <w:pPr>
              <w:pStyle w:val="CLDTableColumnHeadingCentred12pt"/>
            </w:pPr>
            <w:r w:rsidRPr="00AC551E">
              <w:t>Talazoparib</w:t>
            </w:r>
          </w:p>
        </w:tc>
        <w:tc>
          <w:tcPr>
            <w:tcW w:w="2042" w:type="dxa"/>
            <w:gridSpan w:val="2"/>
            <w:shd w:val="clear" w:color="auto" w:fill="auto"/>
            <w:vAlign w:val="center"/>
          </w:tcPr>
          <w:p w14:paraId="001B597E" w14:textId="77777777" w:rsidR="000636B8" w:rsidRPr="00AC551E" w:rsidRDefault="000636B8" w:rsidP="004F1CDC">
            <w:pPr>
              <w:pStyle w:val="CLDTableColumnHeadingCentred12pt"/>
            </w:pPr>
            <w:r w:rsidRPr="00AC551E">
              <w:t>Chemotherapy</w:t>
            </w:r>
          </w:p>
        </w:tc>
      </w:tr>
      <w:tr w:rsidR="00D336FC" w:rsidRPr="005F2E18" w14:paraId="3F58829E" w14:textId="77777777" w:rsidTr="002D0D06">
        <w:trPr>
          <w:cantSplit/>
          <w:jc w:val="center"/>
        </w:trPr>
        <w:tc>
          <w:tcPr>
            <w:tcW w:w="4932" w:type="dxa"/>
            <w:shd w:val="clear" w:color="auto" w:fill="auto"/>
            <w:vAlign w:val="center"/>
          </w:tcPr>
          <w:p w14:paraId="5162DBDD" w14:textId="3192858A" w:rsidR="000636B8" w:rsidRPr="00796730" w:rsidRDefault="000636B8" w:rsidP="004F1CDC">
            <w:pPr>
              <w:pStyle w:val="CLDTableTextLeft-aligned12pt"/>
            </w:pPr>
            <w:r w:rsidRPr="00796730">
              <w:t>Progression-</w:t>
            </w:r>
            <w:r w:rsidR="007E3BA0">
              <w:t>f</w:t>
            </w:r>
            <w:r w:rsidRPr="00796730">
              <w:t xml:space="preserve">ree </w:t>
            </w:r>
            <w:r w:rsidR="007E3BA0">
              <w:t>s</w:t>
            </w:r>
            <w:r w:rsidRPr="00796730">
              <w:t>urvival by BICR</w:t>
            </w:r>
          </w:p>
        </w:tc>
        <w:tc>
          <w:tcPr>
            <w:tcW w:w="2041" w:type="dxa"/>
            <w:shd w:val="clear" w:color="auto" w:fill="auto"/>
          </w:tcPr>
          <w:p w14:paraId="589997D5" w14:textId="236FA104" w:rsidR="000636B8" w:rsidRPr="00211CA5" w:rsidRDefault="000636B8" w:rsidP="004F1CDC">
            <w:pPr>
              <w:pStyle w:val="CLDTableTextCentred12pt"/>
            </w:pPr>
            <w:r w:rsidRPr="00211CA5">
              <w:t>N=287</w:t>
            </w:r>
          </w:p>
        </w:tc>
        <w:tc>
          <w:tcPr>
            <w:tcW w:w="2042" w:type="dxa"/>
            <w:gridSpan w:val="2"/>
            <w:shd w:val="clear" w:color="auto" w:fill="auto"/>
          </w:tcPr>
          <w:p w14:paraId="1762AB76" w14:textId="0C80E4D5" w:rsidR="000636B8" w:rsidRPr="005F2E18" w:rsidRDefault="000636B8" w:rsidP="004F1CDC">
            <w:pPr>
              <w:pStyle w:val="CLDTableTextCentred12pt"/>
            </w:pPr>
            <w:r w:rsidRPr="005F2E18">
              <w:t>N=144</w:t>
            </w:r>
          </w:p>
        </w:tc>
      </w:tr>
      <w:tr w:rsidR="00D336FC" w:rsidRPr="005F2E18" w14:paraId="7B4E9CE3" w14:textId="77777777" w:rsidTr="002D0D06">
        <w:trPr>
          <w:cantSplit/>
          <w:jc w:val="center"/>
        </w:trPr>
        <w:tc>
          <w:tcPr>
            <w:tcW w:w="4932" w:type="dxa"/>
            <w:shd w:val="clear" w:color="auto" w:fill="auto"/>
            <w:vAlign w:val="center"/>
          </w:tcPr>
          <w:p w14:paraId="4197BC71" w14:textId="523C60E9" w:rsidR="000636B8" w:rsidRPr="005F2E18" w:rsidRDefault="000636B8" w:rsidP="004F1CDC">
            <w:pPr>
              <w:pStyle w:val="CLDTableTextLeft-Indent12pt"/>
              <w:spacing w:before="40" w:after="40"/>
            </w:pPr>
            <w:r w:rsidRPr="005F2E18">
              <w:t>Events, n</w:t>
            </w:r>
            <w:r>
              <w:t>umber</w:t>
            </w:r>
            <w:r w:rsidRPr="005F2E18">
              <w:t xml:space="preserve"> (%)</w:t>
            </w:r>
          </w:p>
        </w:tc>
        <w:tc>
          <w:tcPr>
            <w:tcW w:w="2041" w:type="dxa"/>
            <w:shd w:val="clear" w:color="auto" w:fill="auto"/>
            <w:vAlign w:val="center"/>
          </w:tcPr>
          <w:p w14:paraId="75251B1B" w14:textId="5D19DC1E" w:rsidR="000636B8" w:rsidRPr="00211CA5" w:rsidRDefault="000636B8" w:rsidP="004F1CDC">
            <w:pPr>
              <w:pStyle w:val="CLDTableTextCentred12pt"/>
            </w:pPr>
            <w:r w:rsidRPr="00211CA5">
              <w:t>186 (65)</w:t>
            </w:r>
          </w:p>
        </w:tc>
        <w:tc>
          <w:tcPr>
            <w:tcW w:w="2042" w:type="dxa"/>
            <w:gridSpan w:val="2"/>
            <w:shd w:val="clear" w:color="auto" w:fill="auto"/>
            <w:vAlign w:val="center"/>
          </w:tcPr>
          <w:p w14:paraId="2B8DD5C4" w14:textId="441E54B2" w:rsidR="000636B8" w:rsidRPr="005F2E18" w:rsidRDefault="000636B8" w:rsidP="004F1CDC">
            <w:pPr>
              <w:pStyle w:val="CLDTableTextCentred12pt"/>
            </w:pPr>
            <w:r w:rsidRPr="005F2E18">
              <w:t>83 (58)</w:t>
            </w:r>
          </w:p>
        </w:tc>
      </w:tr>
      <w:tr w:rsidR="00D336FC" w:rsidRPr="005F2E18" w14:paraId="363A76B3" w14:textId="77777777" w:rsidTr="002D0D06">
        <w:trPr>
          <w:cantSplit/>
          <w:jc w:val="center"/>
        </w:trPr>
        <w:tc>
          <w:tcPr>
            <w:tcW w:w="4932" w:type="dxa"/>
            <w:shd w:val="clear" w:color="auto" w:fill="auto"/>
            <w:vAlign w:val="center"/>
          </w:tcPr>
          <w:p w14:paraId="11E5A4C2" w14:textId="64F128FA" w:rsidR="000636B8" w:rsidRPr="005F2E18" w:rsidRDefault="000636B8" w:rsidP="004F1CDC">
            <w:pPr>
              <w:pStyle w:val="CLDTableTextLeft-Indent12pt"/>
              <w:spacing w:before="40" w:after="40"/>
            </w:pPr>
            <w:r w:rsidRPr="005F2E18">
              <w:t>Median</w:t>
            </w:r>
            <w:r w:rsidR="003279C3">
              <w:t>,</w:t>
            </w:r>
            <w:r w:rsidRPr="005F2E18">
              <w:t xml:space="preserve"> </w:t>
            </w:r>
            <w:r w:rsidR="003279C3" w:rsidRPr="005F2E18">
              <w:t xml:space="preserve">months </w:t>
            </w:r>
            <w:r w:rsidRPr="005F2E18">
              <w:t>(95% CI)</w:t>
            </w:r>
          </w:p>
        </w:tc>
        <w:tc>
          <w:tcPr>
            <w:tcW w:w="2041" w:type="dxa"/>
            <w:shd w:val="clear" w:color="auto" w:fill="auto"/>
          </w:tcPr>
          <w:p w14:paraId="31EE565B" w14:textId="77777777" w:rsidR="000636B8" w:rsidRPr="00211CA5" w:rsidRDefault="000636B8" w:rsidP="004F1CDC">
            <w:pPr>
              <w:pStyle w:val="CLDTableTextCentred12pt"/>
            </w:pPr>
            <w:r w:rsidRPr="00211CA5">
              <w:t>8.6 (7.2, 9.3)</w:t>
            </w:r>
          </w:p>
        </w:tc>
        <w:tc>
          <w:tcPr>
            <w:tcW w:w="2042" w:type="dxa"/>
            <w:gridSpan w:val="2"/>
            <w:shd w:val="clear" w:color="auto" w:fill="auto"/>
          </w:tcPr>
          <w:p w14:paraId="1F73BD86" w14:textId="77777777" w:rsidR="000636B8" w:rsidRPr="005F2E18" w:rsidRDefault="000636B8" w:rsidP="004F1CDC">
            <w:pPr>
              <w:pStyle w:val="CLDTableTextCentred12pt"/>
            </w:pPr>
            <w:r w:rsidRPr="005F2E18">
              <w:t>5.6 (4.2, 6.7)</w:t>
            </w:r>
          </w:p>
        </w:tc>
      </w:tr>
      <w:tr w:rsidR="00D336FC" w:rsidRPr="005F2E18" w14:paraId="25BFE077" w14:textId="77777777" w:rsidTr="002D0D06">
        <w:trPr>
          <w:cantSplit/>
          <w:jc w:val="center"/>
        </w:trPr>
        <w:tc>
          <w:tcPr>
            <w:tcW w:w="4932" w:type="dxa"/>
            <w:shd w:val="clear" w:color="auto" w:fill="auto"/>
            <w:vAlign w:val="center"/>
          </w:tcPr>
          <w:p w14:paraId="7BE893A1" w14:textId="5AE20F32" w:rsidR="000636B8" w:rsidRPr="005F2E18" w:rsidRDefault="000636B8" w:rsidP="004F1CDC">
            <w:pPr>
              <w:pStyle w:val="CLDTableTextLeft-Indent12pt"/>
              <w:spacing w:before="40" w:after="40"/>
            </w:pPr>
            <w:r w:rsidRPr="005F2E18">
              <w:t xml:space="preserve">Hazard </w:t>
            </w:r>
            <w:r>
              <w:t>r</w:t>
            </w:r>
            <w:r w:rsidRPr="005F2E18">
              <w:t>atio (95% CI)</w:t>
            </w:r>
            <w:r w:rsidR="006E1000" w:rsidRPr="003279C3">
              <w:rPr>
                <w:vertAlign w:val="superscript"/>
              </w:rPr>
              <w:t>a</w:t>
            </w:r>
            <w:r w:rsidRPr="005F2E18">
              <w:t xml:space="preserve"> </w:t>
            </w:r>
          </w:p>
        </w:tc>
        <w:tc>
          <w:tcPr>
            <w:tcW w:w="4083" w:type="dxa"/>
            <w:gridSpan w:val="3"/>
            <w:shd w:val="clear" w:color="auto" w:fill="auto"/>
          </w:tcPr>
          <w:p w14:paraId="24748931" w14:textId="77777777" w:rsidR="000636B8" w:rsidRPr="00211CA5" w:rsidRDefault="000636B8" w:rsidP="004F1CDC">
            <w:pPr>
              <w:pStyle w:val="CLDTableTextCentred12pt"/>
            </w:pPr>
            <w:r w:rsidRPr="00211CA5">
              <w:t>0.54 (0.41, 0.71)</w:t>
            </w:r>
          </w:p>
        </w:tc>
      </w:tr>
      <w:tr w:rsidR="002D0D06" w:rsidRPr="005F2E18" w14:paraId="348C70C9" w14:textId="77777777" w:rsidTr="002D0D06">
        <w:trPr>
          <w:cantSplit/>
          <w:jc w:val="center"/>
        </w:trPr>
        <w:tc>
          <w:tcPr>
            <w:tcW w:w="4932" w:type="dxa"/>
            <w:shd w:val="clear" w:color="auto" w:fill="auto"/>
            <w:vAlign w:val="center"/>
          </w:tcPr>
          <w:p w14:paraId="4D12E988" w14:textId="1CA5A999" w:rsidR="000636B8" w:rsidRPr="005F2E18" w:rsidRDefault="000636B8" w:rsidP="004F1CDC">
            <w:pPr>
              <w:pStyle w:val="CLDTableTextLeft-Indent12pt"/>
              <w:spacing w:before="40" w:after="40"/>
            </w:pPr>
            <w:r w:rsidRPr="005F2E18">
              <w:t>p-value</w:t>
            </w:r>
            <w:r w:rsidR="006E1000">
              <w:rPr>
                <w:vertAlign w:val="superscript"/>
              </w:rPr>
              <w:t>b</w:t>
            </w:r>
          </w:p>
        </w:tc>
        <w:tc>
          <w:tcPr>
            <w:tcW w:w="4083" w:type="dxa"/>
            <w:gridSpan w:val="3"/>
            <w:shd w:val="clear" w:color="auto" w:fill="auto"/>
          </w:tcPr>
          <w:p w14:paraId="6995D800" w14:textId="77777777" w:rsidR="000636B8" w:rsidRPr="00211CA5" w:rsidRDefault="000636B8" w:rsidP="004F1CDC">
            <w:pPr>
              <w:pStyle w:val="CLDTableTextCentred12pt"/>
            </w:pPr>
            <w:r w:rsidRPr="00211CA5">
              <w:t>p&lt;0.0001</w:t>
            </w:r>
          </w:p>
        </w:tc>
      </w:tr>
      <w:tr w:rsidR="00D336FC" w:rsidRPr="005F2E18" w14:paraId="7BAC139E" w14:textId="072E96FC" w:rsidTr="002D0D06">
        <w:trPr>
          <w:cantSplit/>
          <w:jc w:val="center"/>
        </w:trPr>
        <w:tc>
          <w:tcPr>
            <w:tcW w:w="4932" w:type="dxa"/>
            <w:shd w:val="clear" w:color="auto" w:fill="auto"/>
            <w:vAlign w:val="center"/>
          </w:tcPr>
          <w:p w14:paraId="0ACFA15F" w14:textId="25162F9B" w:rsidR="000636B8" w:rsidRPr="002041EF" w:rsidRDefault="000636B8" w:rsidP="004F1CDC">
            <w:pPr>
              <w:pStyle w:val="CLDTableTextLeft-aligned12pt"/>
            </w:pPr>
            <w:r w:rsidRPr="002041EF">
              <w:t xml:space="preserve">Overall </w:t>
            </w:r>
            <w:r w:rsidR="002041EF" w:rsidRPr="002041EF">
              <w:t>s</w:t>
            </w:r>
            <w:r w:rsidRPr="002041EF">
              <w:t>urvival (interim analysis)</w:t>
            </w:r>
            <w:r w:rsidR="00E07375">
              <w:rPr>
                <w:vertAlign w:val="superscript"/>
              </w:rPr>
              <w:t>c</w:t>
            </w:r>
          </w:p>
        </w:tc>
        <w:tc>
          <w:tcPr>
            <w:tcW w:w="2041" w:type="dxa"/>
            <w:shd w:val="clear" w:color="auto" w:fill="auto"/>
          </w:tcPr>
          <w:p w14:paraId="5A6E5E86" w14:textId="5D4CCFF0" w:rsidR="000636B8" w:rsidRPr="002041EF" w:rsidRDefault="000636B8" w:rsidP="004F1CDC">
            <w:pPr>
              <w:pStyle w:val="CLDTableTextCentred12pt"/>
            </w:pPr>
            <w:r w:rsidRPr="002041EF">
              <w:t>N=287</w:t>
            </w:r>
          </w:p>
        </w:tc>
        <w:tc>
          <w:tcPr>
            <w:tcW w:w="2042" w:type="dxa"/>
            <w:gridSpan w:val="2"/>
            <w:shd w:val="clear" w:color="auto" w:fill="auto"/>
          </w:tcPr>
          <w:p w14:paraId="572D308A" w14:textId="66D20DFD" w:rsidR="000636B8" w:rsidRPr="002041EF" w:rsidRDefault="000636B8" w:rsidP="004F1CDC">
            <w:pPr>
              <w:pStyle w:val="CLDTableTextCentred12pt"/>
            </w:pPr>
            <w:r w:rsidRPr="002041EF">
              <w:t>N=144</w:t>
            </w:r>
          </w:p>
        </w:tc>
      </w:tr>
      <w:tr w:rsidR="00D336FC" w:rsidRPr="005F2E18" w14:paraId="183BC909" w14:textId="20C8F2CA" w:rsidTr="002D0D06">
        <w:trPr>
          <w:cantSplit/>
          <w:jc w:val="center"/>
        </w:trPr>
        <w:tc>
          <w:tcPr>
            <w:tcW w:w="4932" w:type="dxa"/>
            <w:shd w:val="clear" w:color="auto" w:fill="auto"/>
            <w:vAlign w:val="center"/>
          </w:tcPr>
          <w:p w14:paraId="13798D69" w14:textId="6A846E30" w:rsidR="000636B8" w:rsidRPr="002041EF" w:rsidRDefault="000636B8" w:rsidP="004F1CDC">
            <w:pPr>
              <w:pStyle w:val="CLDTableTextLeft-Indent12pt"/>
              <w:spacing w:before="40" w:after="40"/>
              <w:rPr>
                <w:szCs w:val="24"/>
              </w:rPr>
            </w:pPr>
            <w:r w:rsidRPr="002041EF">
              <w:rPr>
                <w:szCs w:val="24"/>
              </w:rPr>
              <w:t>Events, number (%)</w:t>
            </w:r>
          </w:p>
        </w:tc>
        <w:tc>
          <w:tcPr>
            <w:tcW w:w="2041" w:type="dxa"/>
            <w:shd w:val="clear" w:color="auto" w:fill="auto"/>
            <w:vAlign w:val="center"/>
          </w:tcPr>
          <w:p w14:paraId="3932B61C" w14:textId="75841C9F" w:rsidR="000636B8" w:rsidRPr="002041EF" w:rsidRDefault="000636B8" w:rsidP="004F1CDC">
            <w:pPr>
              <w:pStyle w:val="CLDTableTextCentred12pt"/>
            </w:pPr>
            <w:r w:rsidRPr="002041EF">
              <w:t>108 (38%)</w:t>
            </w:r>
          </w:p>
        </w:tc>
        <w:tc>
          <w:tcPr>
            <w:tcW w:w="2042" w:type="dxa"/>
            <w:gridSpan w:val="2"/>
            <w:shd w:val="clear" w:color="auto" w:fill="auto"/>
            <w:vAlign w:val="center"/>
          </w:tcPr>
          <w:p w14:paraId="69811627" w14:textId="684B0342" w:rsidR="000636B8" w:rsidRPr="002041EF" w:rsidRDefault="000636B8" w:rsidP="004F1CDC">
            <w:pPr>
              <w:pStyle w:val="CLDTableTextCentred12pt"/>
            </w:pPr>
            <w:r w:rsidRPr="002041EF">
              <w:t>55 (38%)</w:t>
            </w:r>
          </w:p>
        </w:tc>
      </w:tr>
      <w:tr w:rsidR="00D336FC" w:rsidRPr="005F2E18" w14:paraId="43F8CB93" w14:textId="27DAA7ED" w:rsidTr="002D0D06">
        <w:trPr>
          <w:cantSplit/>
          <w:jc w:val="center"/>
        </w:trPr>
        <w:tc>
          <w:tcPr>
            <w:tcW w:w="4932" w:type="dxa"/>
            <w:shd w:val="clear" w:color="auto" w:fill="auto"/>
            <w:vAlign w:val="center"/>
          </w:tcPr>
          <w:p w14:paraId="489C2334" w14:textId="5816F3DE" w:rsidR="000636B8" w:rsidRPr="002041EF" w:rsidRDefault="000636B8" w:rsidP="004F1CDC">
            <w:pPr>
              <w:pStyle w:val="CLDTableTextLeft-Indent12pt"/>
              <w:spacing w:before="40" w:after="40"/>
              <w:rPr>
                <w:szCs w:val="24"/>
              </w:rPr>
            </w:pPr>
            <w:r w:rsidRPr="002041EF">
              <w:rPr>
                <w:szCs w:val="24"/>
              </w:rPr>
              <w:t>Median (95% CI), months</w:t>
            </w:r>
          </w:p>
        </w:tc>
        <w:tc>
          <w:tcPr>
            <w:tcW w:w="2041" w:type="dxa"/>
            <w:shd w:val="clear" w:color="auto" w:fill="auto"/>
          </w:tcPr>
          <w:p w14:paraId="28FF5FED" w14:textId="0396663E" w:rsidR="000636B8" w:rsidRPr="002041EF" w:rsidRDefault="000636B8" w:rsidP="004F1CDC">
            <w:pPr>
              <w:pStyle w:val="CLDTableTextCentred12pt"/>
            </w:pPr>
            <w:r w:rsidRPr="002041EF">
              <w:t>22.3 (18.1, 26.2)</w:t>
            </w:r>
          </w:p>
        </w:tc>
        <w:tc>
          <w:tcPr>
            <w:tcW w:w="2042" w:type="dxa"/>
            <w:gridSpan w:val="2"/>
            <w:shd w:val="clear" w:color="auto" w:fill="auto"/>
          </w:tcPr>
          <w:p w14:paraId="680FDF5C" w14:textId="3BDCFCCA" w:rsidR="000636B8" w:rsidRPr="002041EF" w:rsidRDefault="000636B8" w:rsidP="004F1CDC">
            <w:pPr>
              <w:pStyle w:val="CLDTableTextCentred12pt"/>
            </w:pPr>
            <w:r w:rsidRPr="002041EF">
              <w:t>19.5 (16.3, 22.4)</w:t>
            </w:r>
          </w:p>
        </w:tc>
      </w:tr>
      <w:tr w:rsidR="002D0D06" w:rsidRPr="005F2E18" w14:paraId="0399D7E4" w14:textId="74580A03" w:rsidTr="00CB423B">
        <w:trPr>
          <w:cantSplit/>
          <w:jc w:val="center"/>
        </w:trPr>
        <w:tc>
          <w:tcPr>
            <w:tcW w:w="4932" w:type="dxa"/>
            <w:shd w:val="clear" w:color="auto" w:fill="auto"/>
            <w:vAlign w:val="center"/>
          </w:tcPr>
          <w:p w14:paraId="3AA6A99C" w14:textId="2E1452CB" w:rsidR="000636B8" w:rsidRPr="002041EF" w:rsidRDefault="000636B8" w:rsidP="004F1CDC">
            <w:pPr>
              <w:pStyle w:val="CLDTableTextLeft-Indent12pt"/>
              <w:spacing w:before="40" w:after="40"/>
              <w:rPr>
                <w:szCs w:val="24"/>
              </w:rPr>
            </w:pPr>
            <w:r w:rsidRPr="002041EF">
              <w:rPr>
                <w:szCs w:val="24"/>
              </w:rPr>
              <w:t>Hazard ratio (95% CI)</w:t>
            </w:r>
          </w:p>
        </w:tc>
        <w:tc>
          <w:tcPr>
            <w:tcW w:w="4083" w:type="dxa"/>
            <w:gridSpan w:val="3"/>
            <w:shd w:val="clear" w:color="auto" w:fill="auto"/>
          </w:tcPr>
          <w:p w14:paraId="26C58C08" w14:textId="40B4D4E4" w:rsidR="000636B8" w:rsidRPr="002041EF" w:rsidRDefault="000636B8" w:rsidP="004F1CDC">
            <w:pPr>
              <w:pStyle w:val="CLDTableTextCentred12pt"/>
            </w:pPr>
            <w:r w:rsidRPr="002041EF">
              <w:t>0.76 (0.55, 1.06)</w:t>
            </w:r>
          </w:p>
        </w:tc>
      </w:tr>
      <w:tr w:rsidR="002D0D06" w:rsidRPr="005F2E18" w14:paraId="095E81B6" w14:textId="0DEAAD86" w:rsidTr="00CB423B">
        <w:trPr>
          <w:cantSplit/>
          <w:jc w:val="center"/>
        </w:trPr>
        <w:tc>
          <w:tcPr>
            <w:tcW w:w="4932" w:type="dxa"/>
            <w:shd w:val="clear" w:color="auto" w:fill="auto"/>
            <w:vAlign w:val="center"/>
          </w:tcPr>
          <w:p w14:paraId="3FFBF628" w14:textId="5F2D0487" w:rsidR="000636B8" w:rsidRPr="002041EF" w:rsidRDefault="000636B8" w:rsidP="004F1CDC">
            <w:pPr>
              <w:pStyle w:val="CLDTableTextLeft-Indent12pt"/>
              <w:spacing w:before="40" w:after="40"/>
              <w:rPr>
                <w:szCs w:val="24"/>
              </w:rPr>
            </w:pPr>
            <w:r w:rsidRPr="002041EF">
              <w:rPr>
                <w:szCs w:val="24"/>
              </w:rPr>
              <w:t>2-sided p-value</w:t>
            </w:r>
            <w:r w:rsidR="00E07375">
              <w:rPr>
                <w:szCs w:val="24"/>
                <w:vertAlign w:val="superscript"/>
              </w:rPr>
              <w:t>b</w:t>
            </w:r>
          </w:p>
        </w:tc>
        <w:tc>
          <w:tcPr>
            <w:tcW w:w="4083" w:type="dxa"/>
            <w:gridSpan w:val="3"/>
            <w:shd w:val="clear" w:color="auto" w:fill="auto"/>
          </w:tcPr>
          <w:p w14:paraId="401F3C71" w14:textId="71E233D0" w:rsidR="000636B8" w:rsidRPr="002041EF" w:rsidRDefault="000636B8" w:rsidP="004F1CDC">
            <w:pPr>
              <w:pStyle w:val="CLDTableTextCentred12pt"/>
            </w:pPr>
            <w:r w:rsidRPr="002041EF">
              <w:t>p=0.1053</w:t>
            </w:r>
          </w:p>
        </w:tc>
      </w:tr>
      <w:tr w:rsidR="00D336FC" w:rsidRPr="005F2E18" w14:paraId="221C3A61" w14:textId="77777777" w:rsidTr="002D0D06">
        <w:trPr>
          <w:cantSplit/>
          <w:jc w:val="center"/>
        </w:trPr>
        <w:tc>
          <w:tcPr>
            <w:tcW w:w="4932" w:type="dxa"/>
            <w:shd w:val="clear" w:color="auto" w:fill="auto"/>
            <w:vAlign w:val="center"/>
          </w:tcPr>
          <w:p w14:paraId="09A2E19C" w14:textId="3C305C69" w:rsidR="000636B8" w:rsidRPr="002041EF" w:rsidRDefault="003E4DD6" w:rsidP="004F1CDC">
            <w:pPr>
              <w:pStyle w:val="CLDTableTextLeft-aligned12pt"/>
            </w:pPr>
            <w:r w:rsidRPr="002041EF">
              <w:t xml:space="preserve">Patients with measurable disease </w:t>
            </w:r>
            <w:r w:rsidR="007E3BA0" w:rsidRPr="002041EF">
              <w:t>by</w:t>
            </w:r>
            <w:r w:rsidR="000636B8" w:rsidRPr="002041EF">
              <w:t xml:space="preserve"> </w:t>
            </w:r>
            <w:r w:rsidRPr="002041EF">
              <w:t>i</w:t>
            </w:r>
            <w:r w:rsidR="000636B8" w:rsidRPr="002041EF">
              <w:t>nvestigator</w:t>
            </w:r>
            <w:r w:rsidRPr="002041EF">
              <w:t xml:space="preserve"> assessment</w:t>
            </w:r>
            <w:r w:rsidR="000636B8" w:rsidRPr="002041EF">
              <w:rPr>
                <w:vertAlign w:val="superscript"/>
              </w:rPr>
              <w:t>d</w:t>
            </w:r>
          </w:p>
        </w:tc>
        <w:tc>
          <w:tcPr>
            <w:tcW w:w="2041" w:type="dxa"/>
            <w:shd w:val="clear" w:color="auto" w:fill="auto"/>
          </w:tcPr>
          <w:p w14:paraId="48B5E3E1" w14:textId="73292B16" w:rsidR="000636B8" w:rsidRPr="002041EF" w:rsidRDefault="000636B8" w:rsidP="004F1CDC">
            <w:pPr>
              <w:pStyle w:val="CLDTableTextCentred12pt"/>
            </w:pPr>
            <w:r w:rsidRPr="002041EF">
              <w:t>N=219</w:t>
            </w:r>
          </w:p>
        </w:tc>
        <w:tc>
          <w:tcPr>
            <w:tcW w:w="2042" w:type="dxa"/>
            <w:gridSpan w:val="2"/>
            <w:shd w:val="clear" w:color="auto" w:fill="auto"/>
          </w:tcPr>
          <w:p w14:paraId="04F41026" w14:textId="0D66DD43" w:rsidR="000636B8" w:rsidRPr="002041EF" w:rsidRDefault="000636B8" w:rsidP="004F1CDC">
            <w:pPr>
              <w:pStyle w:val="CLDTableTextCentred12pt"/>
            </w:pPr>
            <w:r w:rsidRPr="002041EF">
              <w:t>N=114</w:t>
            </w:r>
          </w:p>
        </w:tc>
      </w:tr>
      <w:tr w:rsidR="00D336FC" w:rsidRPr="005F2E18" w14:paraId="2284FB93" w14:textId="77777777" w:rsidTr="002D0D06">
        <w:trPr>
          <w:cantSplit/>
          <w:trHeight w:val="77"/>
          <w:jc w:val="center"/>
        </w:trPr>
        <w:tc>
          <w:tcPr>
            <w:tcW w:w="4932" w:type="dxa"/>
            <w:shd w:val="clear" w:color="auto" w:fill="auto"/>
          </w:tcPr>
          <w:p w14:paraId="2FF85409" w14:textId="490EF99E" w:rsidR="009448B0" w:rsidRPr="00DB6F07" w:rsidRDefault="000636B8" w:rsidP="004F1CDC">
            <w:pPr>
              <w:pStyle w:val="CLDTableTextLeft-Indent12pt"/>
              <w:spacing w:before="40" w:after="40"/>
              <w:rPr>
                <w:szCs w:val="24"/>
              </w:rPr>
            </w:pPr>
            <w:r w:rsidRPr="002041EF">
              <w:rPr>
                <w:szCs w:val="24"/>
              </w:rPr>
              <w:t>O</w:t>
            </w:r>
            <w:r w:rsidR="003E4DD6" w:rsidRPr="002041EF">
              <w:rPr>
                <w:szCs w:val="24"/>
              </w:rPr>
              <w:t xml:space="preserve">bjective </w:t>
            </w:r>
            <w:r w:rsidR="003279C3" w:rsidRPr="002041EF">
              <w:rPr>
                <w:szCs w:val="24"/>
              </w:rPr>
              <w:t>r</w:t>
            </w:r>
            <w:r w:rsidR="003E4DD6" w:rsidRPr="002041EF">
              <w:rPr>
                <w:szCs w:val="24"/>
              </w:rPr>
              <w:t xml:space="preserve">esponse </w:t>
            </w:r>
            <w:r w:rsidR="003279C3" w:rsidRPr="002041EF">
              <w:rPr>
                <w:szCs w:val="24"/>
              </w:rPr>
              <w:t>r</w:t>
            </w:r>
            <w:r w:rsidR="003E4DD6" w:rsidRPr="002041EF">
              <w:rPr>
                <w:szCs w:val="24"/>
              </w:rPr>
              <w:t>ate</w:t>
            </w:r>
            <w:r w:rsidR="003279C3" w:rsidRPr="002041EF">
              <w:rPr>
                <w:szCs w:val="24"/>
              </w:rPr>
              <w:t>,</w:t>
            </w:r>
            <w:r w:rsidR="003E4DD6" w:rsidRPr="002041EF">
              <w:rPr>
                <w:szCs w:val="24"/>
              </w:rPr>
              <w:t xml:space="preserve"> %</w:t>
            </w:r>
            <w:r w:rsidRPr="002041EF">
              <w:rPr>
                <w:szCs w:val="24"/>
              </w:rPr>
              <w:t xml:space="preserve"> (95% CI)</w:t>
            </w:r>
            <w:r w:rsidR="00E07375">
              <w:rPr>
                <w:szCs w:val="24"/>
                <w:vertAlign w:val="superscript"/>
              </w:rPr>
              <w:t>e</w:t>
            </w:r>
          </w:p>
        </w:tc>
        <w:tc>
          <w:tcPr>
            <w:tcW w:w="2041" w:type="dxa"/>
            <w:shd w:val="clear" w:color="auto" w:fill="auto"/>
          </w:tcPr>
          <w:p w14:paraId="64BCAAF8" w14:textId="6C36CA95" w:rsidR="000636B8" w:rsidRPr="002041EF" w:rsidRDefault="003E4DD6" w:rsidP="004F1CDC">
            <w:pPr>
              <w:pStyle w:val="Default"/>
              <w:spacing w:before="40" w:after="40"/>
              <w:jc w:val="center"/>
              <w:rPr>
                <w:rFonts w:ascii="Times New Roman" w:hAnsi="Times New Roman" w:cs="Times New Roman"/>
              </w:rPr>
            </w:pPr>
            <w:r w:rsidRPr="002041EF">
              <w:rPr>
                <w:rFonts w:ascii="Times New Roman" w:hAnsi="Times New Roman" w:cs="Times New Roman"/>
              </w:rPr>
              <w:t>5</w:t>
            </w:r>
            <w:r w:rsidR="003279C3" w:rsidRPr="002041EF">
              <w:rPr>
                <w:rFonts w:ascii="Times New Roman" w:hAnsi="Times New Roman" w:cs="Times New Roman"/>
              </w:rPr>
              <w:t xml:space="preserve">0.2 (43.4, 57.0) </w:t>
            </w:r>
          </w:p>
        </w:tc>
        <w:tc>
          <w:tcPr>
            <w:tcW w:w="2042" w:type="dxa"/>
            <w:gridSpan w:val="2"/>
            <w:shd w:val="clear" w:color="auto" w:fill="auto"/>
          </w:tcPr>
          <w:p w14:paraId="34F7D3CC" w14:textId="0D06AD45" w:rsidR="000636B8" w:rsidRPr="002041EF" w:rsidRDefault="003E4DD6" w:rsidP="004F1CDC">
            <w:pPr>
              <w:pStyle w:val="Default"/>
              <w:spacing w:before="40" w:after="40"/>
              <w:jc w:val="center"/>
              <w:rPr>
                <w:rFonts w:ascii="Times New Roman" w:hAnsi="Times New Roman" w:cs="Times New Roman"/>
              </w:rPr>
            </w:pPr>
            <w:r w:rsidRPr="002041EF">
              <w:rPr>
                <w:rFonts w:ascii="Times New Roman" w:hAnsi="Times New Roman" w:cs="Times New Roman"/>
              </w:rPr>
              <w:t>1</w:t>
            </w:r>
            <w:r w:rsidR="003279C3" w:rsidRPr="002041EF">
              <w:rPr>
                <w:rFonts w:ascii="Times New Roman" w:hAnsi="Times New Roman" w:cs="Times New Roman"/>
              </w:rPr>
              <w:t xml:space="preserve">8.4 (11.8, 26.8) </w:t>
            </w:r>
          </w:p>
        </w:tc>
      </w:tr>
      <w:tr w:rsidR="00D336FC" w:rsidRPr="005F2E18" w14:paraId="288D007F" w14:textId="77777777" w:rsidTr="002D0D06">
        <w:trPr>
          <w:cantSplit/>
          <w:jc w:val="center"/>
        </w:trPr>
        <w:tc>
          <w:tcPr>
            <w:tcW w:w="4932" w:type="dxa"/>
            <w:shd w:val="clear" w:color="auto" w:fill="auto"/>
          </w:tcPr>
          <w:p w14:paraId="63F9F3B8" w14:textId="0F94ED42" w:rsidR="009448B0" w:rsidRPr="00DB6F07" w:rsidRDefault="003279C3" w:rsidP="004F1CDC">
            <w:pPr>
              <w:pStyle w:val="CLDTableTextLeft-Indent12pt"/>
              <w:spacing w:before="40" w:after="40"/>
              <w:rPr>
                <w:szCs w:val="24"/>
              </w:rPr>
            </w:pPr>
            <w:r w:rsidRPr="002041EF">
              <w:rPr>
                <w:szCs w:val="24"/>
              </w:rPr>
              <w:t>Median duration of response, months (95% CI)</w:t>
            </w:r>
            <w:r w:rsidR="00E07375">
              <w:rPr>
                <w:szCs w:val="24"/>
                <w:vertAlign w:val="superscript"/>
              </w:rPr>
              <w:t>f</w:t>
            </w:r>
          </w:p>
        </w:tc>
        <w:tc>
          <w:tcPr>
            <w:tcW w:w="2041" w:type="dxa"/>
            <w:shd w:val="clear" w:color="auto" w:fill="auto"/>
          </w:tcPr>
          <w:p w14:paraId="0707B389" w14:textId="401D4685" w:rsidR="003279C3" w:rsidRPr="002041EF" w:rsidRDefault="003279C3" w:rsidP="004F1CDC">
            <w:pPr>
              <w:pStyle w:val="CLDTableTextCentred12pt"/>
            </w:pPr>
            <w:r w:rsidRPr="002041EF">
              <w:t xml:space="preserve">6.4 (5.4, 9.5) </w:t>
            </w:r>
          </w:p>
        </w:tc>
        <w:tc>
          <w:tcPr>
            <w:tcW w:w="2042" w:type="dxa"/>
            <w:gridSpan w:val="2"/>
            <w:shd w:val="clear" w:color="auto" w:fill="auto"/>
          </w:tcPr>
          <w:p w14:paraId="4D7F5281" w14:textId="02DD0039" w:rsidR="003279C3" w:rsidRPr="002041EF" w:rsidRDefault="00EA7BD6" w:rsidP="004F1CDC">
            <w:pPr>
              <w:pStyle w:val="CLDTableTextCentred12pt"/>
            </w:pPr>
            <w:r>
              <w:t>3.9 (3.0, 7.6)</w:t>
            </w:r>
          </w:p>
        </w:tc>
      </w:tr>
      <w:tr w:rsidR="000636B8" w:rsidRPr="005F2E18" w14:paraId="49907461" w14:textId="77777777" w:rsidTr="00D336FC">
        <w:trPr>
          <w:gridAfter w:val="1"/>
          <w:wAfter w:w="165" w:type="dxa"/>
          <w:cantSplit/>
          <w:jc w:val="center"/>
        </w:trPr>
        <w:tc>
          <w:tcPr>
            <w:tcW w:w="8850" w:type="dxa"/>
            <w:gridSpan w:val="3"/>
            <w:tcBorders>
              <w:top w:val="single" w:sz="4" w:space="0" w:color="auto"/>
              <w:left w:val="nil"/>
              <w:bottom w:val="nil"/>
              <w:right w:val="nil"/>
            </w:tcBorders>
            <w:shd w:val="clear" w:color="auto" w:fill="auto"/>
          </w:tcPr>
          <w:p w14:paraId="3773EB38" w14:textId="05EAD8FD" w:rsidR="000636B8" w:rsidRPr="00212598" w:rsidRDefault="000636B8" w:rsidP="00212598">
            <w:pPr>
              <w:pStyle w:val="CLDTableFootnotewithnosuperscripts"/>
            </w:pPr>
            <w:bookmarkStart w:id="6" w:name="TblFnTxtBkmkID_1712510212"/>
            <w:r w:rsidRPr="00212598">
              <w:lastRenderedPageBreak/>
              <w:t>Abbreviations: BICR=blinded independent central review; CI=confidence interval</w:t>
            </w:r>
            <w:r w:rsidR="007E3BA0">
              <w:t>.</w:t>
            </w:r>
            <w:r w:rsidRPr="00212598">
              <w:t xml:space="preserve"> </w:t>
            </w:r>
          </w:p>
          <w:p w14:paraId="0B1C8642" w14:textId="2C46E40E" w:rsidR="006E1000" w:rsidRDefault="005A47E5" w:rsidP="00212598">
            <w:pPr>
              <w:pStyle w:val="CLDTableFootnotewithsuperscipts"/>
              <w:rPr>
                <w:vertAlign w:val="superscript"/>
              </w:rPr>
            </w:pPr>
            <w:r w:rsidRPr="007B35FB">
              <w:rPr>
                <w:vertAlign w:val="superscript"/>
              </w:rPr>
              <w:t>a</w:t>
            </w:r>
            <w:r w:rsidR="006E1000" w:rsidRPr="00212598">
              <w:tab/>
            </w:r>
            <w:r w:rsidR="006E1000">
              <w:t>Estimated by</w:t>
            </w:r>
            <w:r w:rsidR="006E1000" w:rsidRPr="006E1000">
              <w:t xml:space="preserve"> Cox proportional hazards model</w:t>
            </w:r>
            <w:r w:rsidR="006E1000">
              <w:t>,</w:t>
            </w:r>
            <w:r w:rsidR="006E1000" w:rsidRPr="006E1000">
              <w:t xml:space="preserve"> stratified by prior chemotherapy for metastatic disease (0 versus 1, 2 or 3</w:t>
            </w:r>
            <w:r w:rsidR="006E1000">
              <w:t xml:space="preserve"> lines</w:t>
            </w:r>
            <w:r w:rsidR="006E1000" w:rsidRPr="006E1000">
              <w:t>), by triple-negative disease status (triple-negative breast cancer [TNBC] versus non TNBC) and by history of central nervous system metastasis (yes versus no).</w:t>
            </w:r>
          </w:p>
          <w:p w14:paraId="7513856D" w14:textId="36A7BDC9" w:rsidR="005A47E5" w:rsidRPr="00212598" w:rsidRDefault="006E1000" w:rsidP="00212598">
            <w:pPr>
              <w:pStyle w:val="CLDTableFootnotewithsuperscipts"/>
            </w:pPr>
            <w:r>
              <w:rPr>
                <w:vertAlign w:val="superscript"/>
              </w:rPr>
              <w:t>b</w:t>
            </w:r>
            <w:r w:rsidR="005A47E5" w:rsidRPr="007B35FB">
              <w:rPr>
                <w:vertAlign w:val="superscript"/>
              </w:rPr>
              <w:t>.</w:t>
            </w:r>
            <w:r w:rsidR="005A47E5" w:rsidRPr="00212598">
              <w:tab/>
              <w:t xml:space="preserve">Stratified </w:t>
            </w:r>
            <w:r>
              <w:t>l</w:t>
            </w:r>
            <w:r w:rsidR="005A47E5" w:rsidRPr="00212598">
              <w:t>og-rank test</w:t>
            </w:r>
            <w:r w:rsidR="004918D2">
              <w:t xml:space="preserve"> (2-sided)</w:t>
            </w:r>
            <w:r w:rsidR="005A47E5" w:rsidRPr="00212598">
              <w:t>.</w:t>
            </w:r>
          </w:p>
          <w:p w14:paraId="08F2AEBF" w14:textId="5C28938C" w:rsidR="005A47E5" w:rsidRPr="00212598" w:rsidRDefault="00E07375" w:rsidP="00212598">
            <w:pPr>
              <w:pStyle w:val="CLDTableFootnotewithsuperscipts"/>
            </w:pPr>
            <w:r>
              <w:rPr>
                <w:vertAlign w:val="superscript"/>
              </w:rPr>
              <w:t>c</w:t>
            </w:r>
            <w:r w:rsidR="009D0E05" w:rsidRPr="007B35FB">
              <w:rPr>
                <w:vertAlign w:val="superscript"/>
              </w:rPr>
              <w:t>.</w:t>
            </w:r>
            <w:r w:rsidR="005A47E5" w:rsidRPr="00212598">
              <w:tab/>
              <w:t>51% of the projected final number of OS events occurred (163 of 321 deaths).</w:t>
            </w:r>
          </w:p>
          <w:p w14:paraId="61268A82" w14:textId="3064A31F" w:rsidR="005A47E5" w:rsidRPr="00212598" w:rsidRDefault="00E07375" w:rsidP="00212598">
            <w:pPr>
              <w:pStyle w:val="CLDTableFootnotewithsuperscipts"/>
            </w:pPr>
            <w:r>
              <w:rPr>
                <w:vertAlign w:val="superscript"/>
              </w:rPr>
              <w:t>d</w:t>
            </w:r>
            <w:r w:rsidR="009D0E05" w:rsidRPr="007B35FB">
              <w:rPr>
                <w:vertAlign w:val="superscript"/>
              </w:rPr>
              <w:t>.</w:t>
            </w:r>
            <w:r w:rsidR="005A47E5" w:rsidRPr="00212598">
              <w:tab/>
              <w:t xml:space="preserve">Conducted in </w:t>
            </w:r>
            <w:r w:rsidR="00271812">
              <w:t xml:space="preserve">the </w:t>
            </w:r>
            <w:r w:rsidR="00271812" w:rsidRPr="00212598">
              <w:t>intent</w:t>
            </w:r>
            <w:r w:rsidR="00271812" w:rsidRPr="00212598">
              <w:noBreakHyphen/>
              <w:t>to</w:t>
            </w:r>
            <w:r w:rsidR="00271812" w:rsidRPr="00212598">
              <w:noBreakHyphen/>
              <w:t>treat</w:t>
            </w:r>
            <w:r w:rsidR="00271812" w:rsidRPr="00212598" w:rsidDel="00271812">
              <w:t xml:space="preserve"> </w:t>
            </w:r>
            <w:r w:rsidR="006E1000">
              <w:t xml:space="preserve">population </w:t>
            </w:r>
            <w:r w:rsidR="005A47E5" w:rsidRPr="00212598">
              <w:t xml:space="preserve">with measurable disease </w:t>
            </w:r>
            <w:r w:rsidR="006E1000">
              <w:t>at baseline</w:t>
            </w:r>
            <w:r w:rsidR="005A47E5" w:rsidRPr="00212598">
              <w:t xml:space="preserve">. </w:t>
            </w:r>
          </w:p>
          <w:p w14:paraId="1E9C951D" w14:textId="6EF793C4" w:rsidR="005A47E5" w:rsidRPr="00212598" w:rsidRDefault="00E07375" w:rsidP="00212598">
            <w:pPr>
              <w:pStyle w:val="CLDTableFootnotewithsuperscipts"/>
            </w:pPr>
            <w:r>
              <w:rPr>
                <w:vertAlign w:val="superscript"/>
              </w:rPr>
              <w:t>e</w:t>
            </w:r>
            <w:r w:rsidR="009D0E05" w:rsidRPr="007B35FB">
              <w:rPr>
                <w:vertAlign w:val="superscript"/>
              </w:rPr>
              <w:t>.</w:t>
            </w:r>
            <w:r w:rsidR="005A47E5" w:rsidRPr="00212598">
              <w:tab/>
            </w:r>
            <w:r w:rsidR="003E4DD6">
              <w:t xml:space="preserve">Based on confirmed responses. </w:t>
            </w:r>
            <w:r w:rsidR="003E4DD6" w:rsidRPr="00212598">
              <w:t>The complete response rate was 5% for talazoparib compared to 0% for the chemotherapy arm.</w:t>
            </w:r>
          </w:p>
          <w:p w14:paraId="781144FC" w14:textId="5556DA0D" w:rsidR="000636B8" w:rsidRPr="005F2E18" w:rsidRDefault="00E07375" w:rsidP="003E4DD6">
            <w:pPr>
              <w:pStyle w:val="CLDTableFootnotewithsuperscipts"/>
            </w:pPr>
            <w:r>
              <w:rPr>
                <w:vertAlign w:val="superscript"/>
              </w:rPr>
              <w:t>f</w:t>
            </w:r>
            <w:r w:rsidR="005A47E5" w:rsidRPr="007B35FB">
              <w:rPr>
                <w:vertAlign w:val="superscript"/>
              </w:rPr>
              <w:t>.</w:t>
            </w:r>
            <w:r w:rsidR="005A47E5" w:rsidRPr="00212598">
              <w:tab/>
            </w:r>
            <w:r w:rsidR="003E4DD6">
              <w:t>E</w:t>
            </w:r>
            <w:r w:rsidR="003E4DD6" w:rsidRPr="003E4DD6">
              <w:t xml:space="preserve">stimated </w:t>
            </w:r>
            <w:r w:rsidR="003E4DD6">
              <w:t>per</w:t>
            </w:r>
            <w:r w:rsidR="003E4DD6" w:rsidRPr="003E4DD6">
              <w:t xml:space="preserve"> Kaplan-Meier probabilities.</w:t>
            </w:r>
            <w:bookmarkEnd w:id="6"/>
            <w:r w:rsidR="00212598" w:rsidRPr="005F2E18">
              <w:t xml:space="preserve"> </w:t>
            </w:r>
          </w:p>
        </w:tc>
      </w:tr>
    </w:tbl>
    <w:p w14:paraId="41AD4F4A" w14:textId="475AA13B" w:rsidR="00CB423B" w:rsidRDefault="00CB423B" w:rsidP="00EA7BD6">
      <w:pPr>
        <w:pStyle w:val="Caption"/>
      </w:pPr>
      <w:bookmarkStart w:id="7" w:name="_Ref22299517"/>
      <w:bookmarkStart w:id="8" w:name="_Hlk22393743"/>
      <w:r>
        <w:t xml:space="preserve">Figure </w:t>
      </w:r>
      <w:r>
        <w:fldChar w:fldCharType="begin"/>
      </w:r>
      <w:r>
        <w:instrText xml:space="preserve"> SEQ Figure \* ARABIC </w:instrText>
      </w:r>
      <w:r>
        <w:fldChar w:fldCharType="separate"/>
      </w:r>
      <w:r w:rsidR="00424ECE">
        <w:rPr>
          <w:noProof/>
        </w:rPr>
        <w:t>1</w:t>
      </w:r>
      <w:r>
        <w:fldChar w:fldCharType="end"/>
      </w:r>
      <w:bookmarkEnd w:id="7"/>
      <w:r>
        <w:t xml:space="preserve">. </w:t>
      </w:r>
      <w:r>
        <w:tab/>
        <w:t xml:space="preserve">Kaplan-Meier </w:t>
      </w:r>
      <w:r w:rsidR="005D33F1">
        <w:t>c</w:t>
      </w:r>
      <w:r>
        <w:t xml:space="preserve">urves </w:t>
      </w:r>
      <w:r w:rsidR="005D33F1">
        <w:t xml:space="preserve">for </w:t>
      </w:r>
      <w:r>
        <w:t xml:space="preserve">PFS – EMBRACA </w:t>
      </w:r>
      <w:r w:rsidR="005D33F1">
        <w:t>s</w:t>
      </w:r>
      <w:r>
        <w:t>tudy</w:t>
      </w:r>
      <w:bookmarkEnd w:id="8"/>
    </w:p>
    <w:p w14:paraId="1EF04D02" w14:textId="77777777" w:rsidR="00336183" w:rsidRDefault="000636B8" w:rsidP="001042CB">
      <w:pPr>
        <w:keepLines/>
        <w:tabs>
          <w:tab w:val="left" w:pos="360"/>
        </w:tabs>
        <w:spacing w:after="0"/>
        <w:rPr>
          <w:sz w:val="20"/>
        </w:rPr>
      </w:pPr>
      <w:r>
        <w:rPr>
          <w:noProof/>
          <w:lang w:eastAsia="en-AU"/>
        </w:rPr>
        <mc:AlternateContent>
          <mc:Choice Requires="wpg">
            <w:drawing>
              <wp:inline distT="0" distB="0" distL="0" distR="0" wp14:anchorId="39C38BF3" wp14:editId="338AD65C">
                <wp:extent cx="5810250" cy="21780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2178050"/>
                          <a:chOff x="1698" y="3183"/>
                          <a:chExt cx="12750" cy="4575"/>
                        </a:xfrm>
                      </wpg:grpSpPr>
                      <pic:pic xmlns:pic="http://schemas.openxmlformats.org/drawingml/2006/picture">
                        <pic:nvPicPr>
                          <pic:cNvPr id="8"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98" y="3183"/>
                            <a:ext cx="12750" cy="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0" y="3378"/>
                            <a:ext cx="4812" cy="1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B2E9F1E" id="Group 7" o:spid="_x0000_s1026" style="width:457.5pt;height:171.5pt;mso-position-horizontal-relative:char;mso-position-vertical-relative:line" coordorigin="1698,3183" coordsize="12750,4575"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98;top:3183;width:12750;height:4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">
                  <v:imagedata r:id="rId15" o:title=""/>
                </v:shape>
                <v:shape id="Picture 1" o:spid="_x0000_s1028" type="#_x0000_t75" style="position:absolute;left:9390;top:3378;width:4812;height:1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">
                  <v:imagedata r:id="rId16" o:title=""/>
                </v:shape>
                <w10:anchorlock/>
              </v:group>
            </w:pict>
          </mc:Fallback>
        </mc:AlternateContent>
      </w:r>
    </w:p>
    <w:p w14:paraId="07D69D94" w14:textId="7BA39ED7" w:rsidR="000636B8" w:rsidRPr="0038677E" w:rsidRDefault="000636B8" w:rsidP="009B3691">
      <w:pPr>
        <w:pStyle w:val="CLDTableFootnotewithnosuperscripts"/>
      </w:pPr>
      <w:r w:rsidRPr="0038677E">
        <w:t>Abbreviations: CI=confidence interval; Cum=cumulative; Evt=event; PFS=progression-free survival</w:t>
      </w:r>
      <w:r>
        <w:t>; PCT=physician’s choice treatment (chemotherapy); REF=reference treatment group</w:t>
      </w:r>
      <w:r w:rsidRPr="0038677E">
        <w:t>.</w:t>
      </w:r>
    </w:p>
    <w:p w14:paraId="2AD967D7" w14:textId="77777777" w:rsidR="009F239D" w:rsidRPr="0022635D" w:rsidRDefault="009F239D" w:rsidP="004A350C">
      <w:pPr>
        <w:pStyle w:val="CLDHeading2"/>
      </w:pPr>
      <w:r w:rsidRPr="0022635D">
        <w:t>5.2 Pharmacokinetic properties</w:t>
      </w:r>
    </w:p>
    <w:p w14:paraId="71717E24" w14:textId="1752FA53" w:rsidR="009F239D" w:rsidRPr="004E0708" w:rsidRDefault="00B64CE3" w:rsidP="004E0708">
      <w:pPr>
        <w:pStyle w:val="CLDNormal"/>
      </w:pPr>
      <w:r>
        <w:t>The pharmacokinetic profile of talazoparib is linear from</w:t>
      </w:r>
      <w:r w:rsidR="009F239D" w:rsidRPr="004E0708">
        <w:t>0.025 mg to 2 mg</w:t>
      </w:r>
      <w:r>
        <w:t xml:space="preserve"> (double the recommended daily dose)</w:t>
      </w:r>
      <w:r w:rsidR="009F239D" w:rsidRPr="004E0708">
        <w:t xml:space="preserve">. </w:t>
      </w:r>
      <w:r>
        <w:t>After oral administration</w:t>
      </w:r>
      <w:r w:rsidR="009F239D" w:rsidRPr="004E0708">
        <w:t xml:space="preserve"> of 1</w:t>
      </w:r>
      <w:r w:rsidR="002B56C8" w:rsidRPr="004E0708">
        <w:t> </w:t>
      </w:r>
      <w:r w:rsidR="009F239D" w:rsidRPr="004E0708">
        <w:t xml:space="preserve">mg talazoparib </w:t>
      </w:r>
      <w:r>
        <w:t>once daily in</w:t>
      </w:r>
      <w:r w:rsidRPr="004E0708">
        <w:t xml:space="preserve"> </w:t>
      </w:r>
      <w:r w:rsidR="009F239D" w:rsidRPr="004E0708">
        <w:t xml:space="preserve">patients, the geometric mean </w:t>
      </w:r>
      <w:r>
        <w:t>(</w:t>
      </w:r>
      <w:r w:rsidRPr="00B64CE3">
        <w:t>%</w:t>
      </w:r>
      <w:r>
        <w:t xml:space="preserve"> coefficient of variation)</w:t>
      </w:r>
      <w:r w:rsidRPr="00B64CE3">
        <w:t xml:space="preserve"> </w:t>
      </w:r>
      <w:r w:rsidR="009F239D" w:rsidRPr="004E0708">
        <w:t>area under the plasma concentration-time curve (AUC) and maximum observed plasma concentration (C</w:t>
      </w:r>
      <w:r w:rsidR="009F239D" w:rsidRPr="002C2928">
        <w:rPr>
          <w:vertAlign w:val="subscript"/>
        </w:rPr>
        <w:t>max</w:t>
      </w:r>
      <w:r w:rsidR="007E039E">
        <w:t>) of t</w:t>
      </w:r>
      <w:r w:rsidR="009F239D" w:rsidRPr="004E0708">
        <w:t>alazoparib at steady-state was 208</w:t>
      </w:r>
      <w:r>
        <w:t xml:space="preserve"> (37%)</w:t>
      </w:r>
      <w:r w:rsidR="004E149D">
        <w:t xml:space="preserve"> </w:t>
      </w:r>
      <w:r w:rsidR="009F239D" w:rsidRPr="004E0708">
        <w:t>ng•hr/mL and</w:t>
      </w:r>
      <w:r>
        <w:t xml:space="preserve"> 16.4 (32%)</w:t>
      </w:r>
      <w:r w:rsidR="0074401C">
        <w:t xml:space="preserve"> </w:t>
      </w:r>
      <w:r w:rsidR="009F239D" w:rsidRPr="004E0708">
        <w:t>ng/mL, respectively. The median accumulation ratio of talazoparib following repeated oral administration of 1 mg once daily was in the range of 2.3 to 5.</w:t>
      </w:r>
      <w:r>
        <w:t xml:space="preserve">2, and </w:t>
      </w:r>
      <w:r w:rsidRPr="004E0708">
        <w:t>talazoparib plasma concentrations reached steady-state within 2 to 3 weeks</w:t>
      </w:r>
      <w:r w:rsidR="009F239D" w:rsidRPr="004E0708">
        <w:t>.</w:t>
      </w:r>
    </w:p>
    <w:p w14:paraId="2A011F85" w14:textId="77777777" w:rsidR="009F239D" w:rsidRPr="00F171BC" w:rsidRDefault="009F239D" w:rsidP="00645BA5">
      <w:pPr>
        <w:pStyle w:val="CLDHeading3"/>
      </w:pPr>
      <w:r w:rsidRPr="00F171BC">
        <w:t>Absorption</w:t>
      </w:r>
    </w:p>
    <w:p w14:paraId="0822EF49" w14:textId="56D29F5A" w:rsidR="009F239D" w:rsidRDefault="009F239D" w:rsidP="004E0708">
      <w:pPr>
        <w:pStyle w:val="CLDNormal"/>
      </w:pPr>
      <w:r w:rsidRPr="004E0708">
        <w:t xml:space="preserve">Following </w:t>
      </w:r>
      <w:r w:rsidR="00601D9B" w:rsidRPr="004E0708">
        <w:t>oral administration of talazoparib, median time to C</w:t>
      </w:r>
      <w:r w:rsidR="00601D9B" w:rsidRPr="002C2928">
        <w:rPr>
          <w:vertAlign w:val="subscript"/>
        </w:rPr>
        <w:t>max</w:t>
      </w:r>
      <w:r w:rsidR="00601D9B" w:rsidRPr="004E0708">
        <w:t xml:space="preserve"> (T</w:t>
      </w:r>
      <w:r w:rsidR="00601D9B" w:rsidRPr="002C2928">
        <w:rPr>
          <w:vertAlign w:val="subscript"/>
        </w:rPr>
        <w:t>max</w:t>
      </w:r>
      <w:r w:rsidR="00601D9B" w:rsidRPr="004E0708">
        <w:t xml:space="preserve">) was between 1 </w:t>
      </w:r>
      <w:r w:rsidR="00AD4226">
        <w:t>and</w:t>
      </w:r>
      <w:r w:rsidR="00AD4226" w:rsidRPr="004E0708">
        <w:t xml:space="preserve"> </w:t>
      </w:r>
      <w:r w:rsidR="00601D9B" w:rsidRPr="004E0708">
        <w:t xml:space="preserve">2 hours after dosing. </w:t>
      </w:r>
    </w:p>
    <w:p w14:paraId="3F427F50" w14:textId="77777777" w:rsidR="004E0708" w:rsidRDefault="004E0708" w:rsidP="004E0708">
      <w:pPr>
        <w:pStyle w:val="CLDHeading4"/>
      </w:pPr>
      <w:r>
        <w:t>The effect of food</w:t>
      </w:r>
    </w:p>
    <w:p w14:paraId="751AF7F3" w14:textId="26BF938E" w:rsidR="004E0708" w:rsidRPr="004E0708" w:rsidRDefault="004E0708" w:rsidP="004E0708">
      <w:pPr>
        <w:pStyle w:val="CLDNormal"/>
      </w:pPr>
      <w:r w:rsidRPr="004E0708">
        <w:t>Food intake decreased the rate but not the extent of talazoparib absorption. Following a single oral dose of talazoparib with high-fat, high-calorie food (approximately 827 calories, 57% fat), the mean C</w:t>
      </w:r>
      <w:r w:rsidRPr="004E0708">
        <w:rPr>
          <w:vertAlign w:val="subscript"/>
        </w:rPr>
        <w:t>max</w:t>
      </w:r>
      <w:r w:rsidRPr="004E0708">
        <w:t xml:space="preserve"> of talazoparib was decreased by approximately 46%, the median T</w:t>
      </w:r>
      <w:r w:rsidRPr="004E0708">
        <w:rPr>
          <w:vertAlign w:val="subscript"/>
        </w:rPr>
        <w:t>max</w:t>
      </w:r>
      <w:r w:rsidRPr="004E0708">
        <w:t xml:space="preserve"> was delayed from 1 to 4 hours, </w:t>
      </w:r>
      <w:r w:rsidR="00AD4226">
        <w:t>and</w:t>
      </w:r>
      <w:r w:rsidRPr="004E0708">
        <w:t xml:space="preserve"> AUC</w:t>
      </w:r>
      <w:r w:rsidRPr="004E0708">
        <w:rPr>
          <w:vertAlign w:val="subscript"/>
        </w:rPr>
        <w:t>inf</w:t>
      </w:r>
      <w:r w:rsidRPr="004E0708">
        <w:t xml:space="preserve"> was not affected. Based on these results, T</w:t>
      </w:r>
      <w:r>
        <w:t>ALZENNA</w:t>
      </w:r>
      <w:r w:rsidRPr="004E0708">
        <w:t xml:space="preserve"> can be administered with or without food.</w:t>
      </w:r>
    </w:p>
    <w:p w14:paraId="26A727F4" w14:textId="77777777" w:rsidR="009F239D" w:rsidRPr="00F171BC" w:rsidRDefault="009F239D" w:rsidP="00645BA5">
      <w:pPr>
        <w:pStyle w:val="CLDHeading3"/>
      </w:pPr>
      <w:r w:rsidRPr="00F171BC">
        <w:lastRenderedPageBreak/>
        <w:t>Distribution</w:t>
      </w:r>
    </w:p>
    <w:p w14:paraId="75B48D16" w14:textId="4A1EF3D1" w:rsidR="00601D9B" w:rsidRPr="004E0708" w:rsidRDefault="00601D9B" w:rsidP="004E0708">
      <w:pPr>
        <w:pStyle w:val="CLDNormal"/>
      </w:pPr>
      <w:r w:rsidRPr="004E0708">
        <w:t xml:space="preserve">The </w:t>
      </w:r>
      <w:r w:rsidR="005D0310" w:rsidRPr="004E0708">
        <w:t xml:space="preserve">population mean apparent volume of distribution (Vss/F) of talazoparib was 420 L. </w:t>
      </w:r>
      <w:r w:rsidR="005D0310" w:rsidRPr="00103BCF">
        <w:rPr>
          <w:i/>
        </w:rPr>
        <w:t>In vitro</w:t>
      </w:r>
      <w:r w:rsidR="005D0310" w:rsidRPr="004E0708">
        <w:t>, talazoparib is approximately 74% bound to plasma proteins with no concentration dependence over the concentration range of 0.01 </w:t>
      </w:r>
      <w:r w:rsidR="00853F4D">
        <w:sym w:font="Symbol" w:char="F06D"/>
      </w:r>
      <w:r w:rsidR="005D0310" w:rsidRPr="004E0708">
        <w:t>M to 1 </w:t>
      </w:r>
      <w:r w:rsidR="00853F4D">
        <w:sym w:font="Symbol" w:char="F06D"/>
      </w:r>
      <w:bookmarkStart w:id="9" w:name="_GoBack"/>
      <w:bookmarkEnd w:id="9"/>
      <w:r w:rsidR="005D0310" w:rsidRPr="004E0708">
        <w:t>M.</w:t>
      </w:r>
    </w:p>
    <w:p w14:paraId="2A956FD7" w14:textId="77777777" w:rsidR="00601D9B" w:rsidRPr="00F171BC" w:rsidRDefault="00601D9B" w:rsidP="00645BA5">
      <w:pPr>
        <w:pStyle w:val="CLDHeading3"/>
      </w:pPr>
      <w:r w:rsidRPr="00F171BC">
        <w:t>Metabolism</w:t>
      </w:r>
    </w:p>
    <w:p w14:paraId="41F065D8" w14:textId="4F6B2A72" w:rsidR="00601D9B" w:rsidRPr="004E0708" w:rsidRDefault="005D0310" w:rsidP="004E0708">
      <w:pPr>
        <w:pStyle w:val="CLDNormal"/>
      </w:pPr>
      <w:r w:rsidRPr="004E0708">
        <w:t xml:space="preserve">Talazoparib undergoes minimal hepatic metabolism in humans. Following oral administration </w:t>
      </w:r>
      <w:r w:rsidR="006F7C26" w:rsidRPr="004E0708">
        <w:t>of a single 1 mg dose of [</w:t>
      </w:r>
      <w:r w:rsidR="006F7C26" w:rsidRPr="00F16D7F">
        <w:rPr>
          <w:vertAlign w:val="superscript"/>
        </w:rPr>
        <w:t>14</w:t>
      </w:r>
      <w:r w:rsidR="006F7C26" w:rsidRPr="004E0708">
        <w:t>C]talazoparib</w:t>
      </w:r>
      <w:r w:rsidR="006F7C26">
        <w:t>,</w:t>
      </w:r>
      <w:r w:rsidRPr="004E0708">
        <w:t xml:space="preserve"> no major circulating metabolites were identified in plasma and talazoparib was the only circulating drug-derived entity identified. No metabolites that individually represented more than 10% of the administered dose were recovered in the urine or faeces. The identified metabolic pathways of talazoparib in humans include: 1) mono</w:t>
      </w:r>
      <w:r w:rsidRPr="004E0708">
        <w:noBreakHyphen/>
        <w:t>oxidation; 2) dehydrogenation; 3) cysteine conjugation of mono-desfluoro-talazoparib; and 4)</w:t>
      </w:r>
      <w:r w:rsidR="001042CB">
        <w:t> </w:t>
      </w:r>
      <w:r w:rsidR="00280BC6">
        <w:t>glucuronide conjugation.</w:t>
      </w:r>
    </w:p>
    <w:p w14:paraId="3E7FE809" w14:textId="77777777" w:rsidR="00601D9B" w:rsidRPr="005D0310" w:rsidRDefault="00601D9B" w:rsidP="00645BA5">
      <w:pPr>
        <w:pStyle w:val="CLDHeading3"/>
      </w:pPr>
      <w:r w:rsidRPr="005D0310">
        <w:t>Excretion</w:t>
      </w:r>
    </w:p>
    <w:p w14:paraId="4BF56F92" w14:textId="5DE412EF" w:rsidR="00601D9B" w:rsidRPr="004E0708" w:rsidRDefault="005D0310" w:rsidP="004E0708">
      <w:pPr>
        <w:pStyle w:val="CLDNormal"/>
        <w:rPr>
          <w:rFonts w:eastAsia="MS Mincho"/>
        </w:rPr>
      </w:pPr>
      <w:r w:rsidRPr="004E0708">
        <w:t xml:space="preserve">The mean terminal plasma half-life of talazoparib was 89.8 hours and the population mean apparent oral clearance (CL/F) was 6.45 L/h in cancer patients. Excretion of talazoparib in urine was the major route of elimination </w:t>
      </w:r>
      <w:r w:rsidR="000B4860">
        <w:t xml:space="preserve">(69% of the administered dose, </w:t>
      </w:r>
      <w:r w:rsidRPr="004E0708">
        <w:t>5</w:t>
      </w:r>
      <w:r w:rsidR="000B4860">
        <w:t>5</w:t>
      </w:r>
      <w:r w:rsidRPr="004E0708">
        <w:t xml:space="preserve">% </w:t>
      </w:r>
      <w:r w:rsidR="000B4860">
        <w:t>unchanged)</w:t>
      </w:r>
      <w:r w:rsidRPr="004E0708">
        <w:t xml:space="preserve">, </w:t>
      </w:r>
      <w:r w:rsidR="000B4860">
        <w:t>and 20%</w:t>
      </w:r>
      <w:r w:rsidR="000B4860" w:rsidRPr="004E0708">
        <w:t xml:space="preserve"> </w:t>
      </w:r>
      <w:r w:rsidR="000B4860">
        <w:t>was</w:t>
      </w:r>
      <w:r w:rsidRPr="004E0708">
        <w:t xml:space="preserve"> recovered in the faeces </w:t>
      </w:r>
      <w:r w:rsidR="000B4860">
        <w:t>(</w:t>
      </w:r>
      <w:r w:rsidRPr="004E0708">
        <w:t>1</w:t>
      </w:r>
      <w:r w:rsidR="000B4860">
        <w:t>4</w:t>
      </w:r>
      <w:r w:rsidRPr="004E0708">
        <w:t>%</w:t>
      </w:r>
      <w:r w:rsidR="000B4860">
        <w:t xml:space="preserve"> unchanged)</w:t>
      </w:r>
      <w:r w:rsidRPr="004E0708">
        <w:t>.</w:t>
      </w:r>
    </w:p>
    <w:p w14:paraId="21C606C3" w14:textId="77777777" w:rsidR="005D0310" w:rsidRPr="005D0310" w:rsidRDefault="00F46928" w:rsidP="00645BA5">
      <w:pPr>
        <w:pStyle w:val="CLDHeading3"/>
      </w:pPr>
      <w:r w:rsidRPr="00F46928">
        <w:t>Age, sex, race and body weight</w:t>
      </w:r>
    </w:p>
    <w:p w14:paraId="44FE2EB2" w14:textId="720560E5" w:rsidR="00F46928" w:rsidRPr="004E0708" w:rsidRDefault="00F46928" w:rsidP="004E0708">
      <w:pPr>
        <w:pStyle w:val="CLDNormal"/>
      </w:pPr>
      <w:r w:rsidRPr="004E0708">
        <w:t xml:space="preserve">A population PK analysis was conducted using data from 490 patients with cancer to evaluate the impact of age (ranging from 18 to 88 years), sex (53 males and 437 females), race (361 White, 41 Asian, 16 Black, 9 Others and 63 Not reported) and body weight (ranging from 35.7 kg to 162 kg) on the PK of talazoparib. The results </w:t>
      </w:r>
      <w:r w:rsidR="000B4860">
        <w:t>indicate</w:t>
      </w:r>
      <w:r w:rsidRPr="004E0708">
        <w:t xml:space="preserve"> that age, sex, race and body weight ha</w:t>
      </w:r>
      <w:r w:rsidR="000B4860">
        <w:t>ve</w:t>
      </w:r>
      <w:r w:rsidRPr="004E0708">
        <w:t xml:space="preserve"> no clinically relevant e</w:t>
      </w:r>
      <w:r w:rsidR="00280BC6">
        <w:t>ffect on the PK of talazoparib.</w:t>
      </w:r>
    </w:p>
    <w:p w14:paraId="665243EB" w14:textId="77777777" w:rsidR="00F46928" w:rsidRPr="005D0310" w:rsidRDefault="00F46928" w:rsidP="00645BA5">
      <w:pPr>
        <w:pStyle w:val="CLDHeading3"/>
      </w:pPr>
      <w:r>
        <w:t>Paediatric population</w:t>
      </w:r>
    </w:p>
    <w:p w14:paraId="7D0485BA" w14:textId="77777777" w:rsidR="00F46928" w:rsidRDefault="00F46928" w:rsidP="00F46928">
      <w:r w:rsidRPr="005F2E18">
        <w:rPr>
          <w:spacing w:val="-1"/>
        </w:rPr>
        <w:t>Pharmacokinetics of talazoparib have not been evaluated in patients &lt;18 years of age.</w:t>
      </w:r>
    </w:p>
    <w:p w14:paraId="318B3E56" w14:textId="77777777" w:rsidR="00F46928" w:rsidRPr="005D0310" w:rsidRDefault="00F46928" w:rsidP="00645BA5">
      <w:pPr>
        <w:pStyle w:val="CLDHeading3"/>
      </w:pPr>
      <w:r>
        <w:t>Elderly population</w:t>
      </w:r>
    </w:p>
    <w:p w14:paraId="45E33632" w14:textId="1AA615C5" w:rsidR="00F46928" w:rsidRPr="004E0708" w:rsidRDefault="00F46928" w:rsidP="004E0708">
      <w:pPr>
        <w:pStyle w:val="CLDNormal"/>
      </w:pPr>
      <w:r w:rsidRPr="004E0708">
        <w:t xml:space="preserve">Of the </w:t>
      </w:r>
      <w:r w:rsidR="00596F81">
        <w:t>494</w:t>
      </w:r>
      <w:r w:rsidRPr="004E0708">
        <w:t xml:space="preserve"> patients who received TALZENNA, 85 patients were </w:t>
      </w:r>
      <w:r w:rsidR="00EA7BD6">
        <w:sym w:font="Symbol" w:char="F0B3"/>
      </w:r>
      <w:r w:rsidRPr="004E0708">
        <w:t>65 years of age. No overall differences in safety or effectiveness of TALZENNA were observed between these patients and younger patients but greater sensitivity of some older i</w:t>
      </w:r>
      <w:r w:rsidR="00280BC6">
        <w:t>ndividuals cannot be ruled out.</w:t>
      </w:r>
    </w:p>
    <w:p w14:paraId="38A2E48C" w14:textId="77777777" w:rsidR="00C12640" w:rsidRPr="005F2E18" w:rsidRDefault="00C12640" w:rsidP="00645BA5">
      <w:pPr>
        <w:pStyle w:val="CLDHeading3"/>
      </w:pPr>
      <w:r w:rsidRPr="005F2E18">
        <w:t>Hepatic impairment</w:t>
      </w:r>
    </w:p>
    <w:p w14:paraId="5C26942B" w14:textId="23AC6E72" w:rsidR="00C12640" w:rsidRPr="004E0708" w:rsidRDefault="00C12640" w:rsidP="00C12640">
      <w:pPr>
        <w:pStyle w:val="CLDNormal"/>
        <w:rPr>
          <w:i/>
          <w:iCs/>
        </w:rPr>
      </w:pPr>
      <w:r w:rsidRPr="004E0708">
        <w:t xml:space="preserve">Based on a population PK analysis that included 490 patients, where 118 patients had mild hepatic impairment (total bilirubin </w:t>
      </w:r>
      <w:r w:rsidR="00AF70C3">
        <w:sym w:font="Symbol" w:char="F0A3"/>
      </w:r>
      <w:r w:rsidRPr="004E0708">
        <w:t>1.0 × ULN and AST &gt; ULN, or total bilirubin &gt;1.0 to 1.5 × ULN and any AST), mild hepatic impairment had no effect on the PK of talazoparib. The PK of talazoparib have not been studied in patients with moderate (total bilirubin &gt;1.5 to 3.0 × ULN and any AST) or severe hepatic impairment (total bilirubin &gt;3.0 × ULN and any AST).</w:t>
      </w:r>
    </w:p>
    <w:p w14:paraId="4F0F1022" w14:textId="77777777" w:rsidR="00F46928" w:rsidRPr="005F2E18" w:rsidRDefault="00F46928" w:rsidP="00645BA5">
      <w:pPr>
        <w:pStyle w:val="CLDHeading3"/>
      </w:pPr>
      <w:r w:rsidRPr="005F2E18">
        <w:lastRenderedPageBreak/>
        <w:t>Renal impairment</w:t>
      </w:r>
    </w:p>
    <w:p w14:paraId="0FEAD261" w14:textId="4326B95E" w:rsidR="00F46928" w:rsidRPr="00596F81" w:rsidRDefault="00D235B3" w:rsidP="004E0708">
      <w:pPr>
        <w:pStyle w:val="CLDNormal"/>
        <w:rPr>
          <w:i/>
          <w:iCs/>
        </w:rPr>
      </w:pPr>
      <w:r>
        <w:t>A</w:t>
      </w:r>
      <w:r w:rsidR="00F46928" w:rsidRPr="004E0708">
        <w:t xml:space="preserve"> population PK analysis that included 490</w:t>
      </w:r>
      <w:r w:rsidR="00F4210D" w:rsidRPr="004E0708">
        <w:t> </w:t>
      </w:r>
      <w:r w:rsidR="00F46928" w:rsidRPr="004E0708">
        <w:t>patients, where 132</w:t>
      </w:r>
      <w:r w:rsidR="00F4210D" w:rsidRPr="004E0708">
        <w:t> </w:t>
      </w:r>
      <w:r w:rsidR="00F46928" w:rsidRPr="004E0708">
        <w:t>patients had mild renal impairment (60</w:t>
      </w:r>
      <w:r w:rsidR="00F4210D" w:rsidRPr="004E0708">
        <w:t> </w:t>
      </w:r>
      <w:r w:rsidR="00F46928" w:rsidRPr="004E0708">
        <w:t xml:space="preserve">mL/min </w:t>
      </w:r>
      <w:r w:rsidR="00AF70C3">
        <w:sym w:font="Symbol" w:char="F0A3"/>
      </w:r>
      <w:r w:rsidR="00F46928" w:rsidRPr="004E0708">
        <w:t xml:space="preserve"> CrCL &lt;90</w:t>
      </w:r>
      <w:r w:rsidR="00457FF9">
        <w:t> </w:t>
      </w:r>
      <w:r w:rsidR="00F46928" w:rsidRPr="004E0708">
        <w:t>mL/min), 33</w:t>
      </w:r>
      <w:r w:rsidR="00F4210D" w:rsidRPr="004E0708">
        <w:t> </w:t>
      </w:r>
      <w:r w:rsidR="00F46928" w:rsidRPr="004E0708">
        <w:t xml:space="preserve">patients had moderate renal impairment (30 mL/min </w:t>
      </w:r>
      <w:r w:rsidR="00AF70C3">
        <w:sym w:font="Symbol" w:char="F0A3"/>
      </w:r>
      <w:r w:rsidR="00F46928" w:rsidRPr="004E0708">
        <w:t xml:space="preserve"> CrCL &lt;60</w:t>
      </w:r>
      <w:r w:rsidR="00457FF9">
        <w:t> </w:t>
      </w:r>
      <w:r w:rsidR="00F46928" w:rsidRPr="004E0708">
        <w:t>mL/min) and 1</w:t>
      </w:r>
      <w:r w:rsidR="00F4210D" w:rsidRPr="004E0708">
        <w:t> </w:t>
      </w:r>
      <w:r w:rsidR="00F46928" w:rsidRPr="004E0708">
        <w:t xml:space="preserve">patient had severe renal impairment (CrCL &lt;30 mL/min), </w:t>
      </w:r>
      <w:r>
        <w:t xml:space="preserve">showed that </w:t>
      </w:r>
      <w:r w:rsidR="00F46928" w:rsidRPr="004E0708">
        <w:t xml:space="preserve">talazoparib CL/F was decreased by 14% and 37% in patients with mild and moderate renal impairment, respectively, when compared to patients with normal renal function (CrCL </w:t>
      </w:r>
      <w:r w:rsidR="00EA7BD6">
        <w:sym w:font="Symbol" w:char="F0B3"/>
      </w:r>
      <w:r w:rsidR="00F46928" w:rsidRPr="004E0708">
        <w:t>90</w:t>
      </w:r>
      <w:r w:rsidR="00F4210D" w:rsidRPr="004E0708">
        <w:t> </w:t>
      </w:r>
      <w:r w:rsidR="00F46928" w:rsidRPr="004E0708">
        <w:t>mL/min). The PK of talazoparib have not been studied in patients requiring h</w:t>
      </w:r>
      <w:r w:rsidR="00F4210D" w:rsidRPr="004E0708">
        <w:t>a</w:t>
      </w:r>
      <w:r w:rsidR="00F46928" w:rsidRPr="004E0708">
        <w:t>emodialysis.</w:t>
      </w:r>
    </w:p>
    <w:p w14:paraId="3E95878A" w14:textId="77777777" w:rsidR="00F46928" w:rsidRPr="005F2E18" w:rsidRDefault="00F46928" w:rsidP="00645BA5">
      <w:pPr>
        <w:pStyle w:val="CLDHeading3"/>
      </w:pPr>
      <w:r w:rsidRPr="005F2E18">
        <w:t>Cardiac electrophysiology</w:t>
      </w:r>
    </w:p>
    <w:p w14:paraId="097D8ABC" w14:textId="77777777" w:rsidR="00F46928" w:rsidRPr="00C12640" w:rsidRDefault="00F46928" w:rsidP="00C12640">
      <w:pPr>
        <w:pStyle w:val="CLDNormal"/>
      </w:pPr>
      <w:r w:rsidRPr="00C12640">
        <w:t>The effect of talazoparib on cardiac repolari</w:t>
      </w:r>
      <w:r w:rsidR="009B3691" w:rsidRPr="00C12640">
        <w:t>s</w:t>
      </w:r>
      <w:r w:rsidRPr="00C12640">
        <w:t>ation was evaluated using time-matched electrocardiograms (ECGs) in assessing the relationship between the change of the QT interval corrected for heart rate (QTc) from baseline and the corresponding plasma talazoparib concentrations in 37</w:t>
      </w:r>
      <w:r w:rsidR="001D3C2F" w:rsidRPr="00C12640">
        <w:t> </w:t>
      </w:r>
      <w:r w:rsidRPr="00C12640">
        <w:t>patients with advanced solid tumo</w:t>
      </w:r>
      <w:r w:rsidR="001D3C2F" w:rsidRPr="00C12640">
        <w:t>u</w:t>
      </w:r>
      <w:r w:rsidRPr="00C12640">
        <w:t>rs. Talazoparib did not have a clinically relevant effect on QTc prolongation at the maximum clinically recommended dose of 1</w:t>
      </w:r>
      <w:r w:rsidR="00F4210D" w:rsidRPr="00C12640">
        <w:t> </w:t>
      </w:r>
      <w:r w:rsidRPr="00C12640">
        <w:t>mg once daily.</w:t>
      </w:r>
    </w:p>
    <w:p w14:paraId="303FFA5B" w14:textId="77777777" w:rsidR="001D3C2F" w:rsidRPr="00CC6837" w:rsidRDefault="001D3C2F" w:rsidP="004A350C">
      <w:pPr>
        <w:pStyle w:val="CLDHeading2"/>
      </w:pPr>
      <w:r w:rsidRPr="00CC6837">
        <w:t>5.3</w:t>
      </w:r>
      <w:r w:rsidRPr="00CC6837">
        <w:tab/>
        <w:t xml:space="preserve">Preclinical </w:t>
      </w:r>
      <w:r w:rsidR="00DB7473">
        <w:t>s</w:t>
      </w:r>
      <w:r w:rsidRPr="00CC6837">
        <w:t xml:space="preserve">afety </w:t>
      </w:r>
      <w:r w:rsidR="00DB7473">
        <w:t>d</w:t>
      </w:r>
      <w:r w:rsidRPr="00CC6837">
        <w:t>ata</w:t>
      </w:r>
    </w:p>
    <w:p w14:paraId="21744768" w14:textId="77777777" w:rsidR="001D3C2F" w:rsidRPr="00417398" w:rsidRDefault="001D3C2F" w:rsidP="00645BA5">
      <w:pPr>
        <w:pStyle w:val="CLDHeading3"/>
      </w:pPr>
      <w:r>
        <w:t>Genotoxicity</w:t>
      </w:r>
    </w:p>
    <w:p w14:paraId="04E42C2A" w14:textId="6BA3C2AD" w:rsidR="001D3C2F" w:rsidRPr="00C12640" w:rsidRDefault="005515F5" w:rsidP="003E4739">
      <w:pPr>
        <w:pStyle w:val="CLDNormal"/>
      </w:pPr>
      <w:r w:rsidRPr="00C12640">
        <w:t xml:space="preserve">Talazoparib was clastogenic in an </w:t>
      </w:r>
      <w:r w:rsidRPr="00EC277B">
        <w:rPr>
          <w:i/>
        </w:rPr>
        <w:t>in vitro</w:t>
      </w:r>
      <w:r w:rsidRPr="00C12640">
        <w:t xml:space="preserve"> chromosomal aberration assay in human peripheral blood lymphocytes and in an </w:t>
      </w:r>
      <w:r w:rsidRPr="00EC277B">
        <w:rPr>
          <w:i/>
        </w:rPr>
        <w:t>in vivo</w:t>
      </w:r>
      <w:r w:rsidRPr="00C12640">
        <w:t xml:space="preserve"> micronucleus assay in rats at exposures similar to clinically relevant doses. This clastogenicity is consistent with genomic instability resulting from the primary pharmacology of talazoparib, indicating the potential for genotoxicity in humans.</w:t>
      </w:r>
      <w:r w:rsidRPr="00C12640">
        <w:rPr>
          <w:rFonts w:eastAsia="MS Mincho"/>
        </w:rPr>
        <w:t xml:space="preserve"> </w:t>
      </w:r>
      <w:r w:rsidR="003E4739" w:rsidRPr="00C12640">
        <w:t>Talazoparib was not mutagenic in a bacterial reverse mutation (Ames) test.</w:t>
      </w:r>
    </w:p>
    <w:p w14:paraId="407EF065" w14:textId="77777777" w:rsidR="005515F5" w:rsidRPr="00417398" w:rsidRDefault="005515F5" w:rsidP="00645BA5">
      <w:pPr>
        <w:pStyle w:val="CLDHeading3"/>
      </w:pPr>
      <w:r>
        <w:t>Carcinogenicity</w:t>
      </w:r>
    </w:p>
    <w:p w14:paraId="60D921D0" w14:textId="77777777" w:rsidR="005515F5" w:rsidRPr="00417398" w:rsidRDefault="005515F5" w:rsidP="00C12640">
      <w:pPr>
        <w:pStyle w:val="CLDNormal"/>
      </w:pPr>
      <w:r w:rsidRPr="00417398">
        <w:t xml:space="preserve">Carcinogenicity studies </w:t>
      </w:r>
      <w:r w:rsidR="0015696E" w:rsidRPr="00417398">
        <w:t xml:space="preserve">have not been </w:t>
      </w:r>
      <w:r w:rsidR="0015696E">
        <w:t>conduct</w:t>
      </w:r>
      <w:r w:rsidR="0015696E" w:rsidRPr="00417398">
        <w:t xml:space="preserve">ed </w:t>
      </w:r>
      <w:r w:rsidRPr="00417398">
        <w:t xml:space="preserve">with </w:t>
      </w:r>
      <w:r w:rsidRPr="005F2E18">
        <w:rPr>
          <w:spacing w:val="-1"/>
        </w:rPr>
        <w:t>talazoparib</w:t>
      </w:r>
      <w:r w:rsidRPr="00417398">
        <w:t>.</w:t>
      </w:r>
    </w:p>
    <w:p w14:paraId="04F32193" w14:textId="77777777" w:rsidR="00D96F5A" w:rsidRPr="00417398" w:rsidRDefault="00D96F5A" w:rsidP="00645BA5">
      <w:pPr>
        <w:pStyle w:val="CLDHeading3"/>
      </w:pPr>
      <w:r>
        <w:t>Repeat dose toxicity</w:t>
      </w:r>
    </w:p>
    <w:p w14:paraId="7E5BC549" w14:textId="0FA4170B" w:rsidR="00D96F5A" w:rsidRPr="003773F0" w:rsidRDefault="005B4E45" w:rsidP="003773F0">
      <w:pPr>
        <w:pStyle w:val="CLDNormal"/>
      </w:pPr>
      <w:r w:rsidRPr="0011701B">
        <w:rPr>
          <w:szCs w:val="24"/>
        </w:rPr>
        <w:t xml:space="preserve">In repeat-dose toxicity studies up to 3-months duration, talazoparib-related findings in the testis and epididymis at doses </w:t>
      </w:r>
      <w:r w:rsidR="00EA7BD6">
        <w:rPr>
          <w:szCs w:val="24"/>
        </w:rPr>
        <w:sym w:font="Symbol" w:char="F0B3"/>
      </w:r>
      <w:r w:rsidRPr="0011701B">
        <w:rPr>
          <w:szCs w:val="24"/>
        </w:rPr>
        <w:t xml:space="preserve">0.04 mg/kg/day in rats and </w:t>
      </w:r>
      <w:r w:rsidR="00EA7BD6">
        <w:rPr>
          <w:szCs w:val="24"/>
        </w:rPr>
        <w:sym w:font="Symbol" w:char="F0B3"/>
      </w:r>
      <w:r w:rsidRPr="0011701B">
        <w:rPr>
          <w:szCs w:val="24"/>
        </w:rPr>
        <w:t xml:space="preserve">0.01 mg/kg/day in dogs included decreased organ weights, luminal cellular debris, reduced sperm and degeneration/atrophy. These doses in rats and dogs resulted in exposures approximately 0.4 times and 0.3 times, respectively, the exposure (AUC) in humans at the recommended dose. Follicular atresia of the ovary was observed in rats at doses </w:t>
      </w:r>
      <w:r w:rsidR="00EA7BD6">
        <w:rPr>
          <w:szCs w:val="24"/>
        </w:rPr>
        <w:sym w:font="Symbol" w:char="F0B3"/>
      </w:r>
      <w:r w:rsidRPr="0011701B">
        <w:rPr>
          <w:szCs w:val="24"/>
        </w:rPr>
        <w:t>1 mg/kg/day talazoparib, approximately 5 times the AUC in patients at the recommended dose.</w:t>
      </w:r>
    </w:p>
    <w:p w14:paraId="21AC8D43" w14:textId="734EBF8A" w:rsidR="00D96F5A" w:rsidRPr="00417398" w:rsidRDefault="00607352" w:rsidP="00645BA5">
      <w:pPr>
        <w:pStyle w:val="CLDHeading3"/>
      </w:pPr>
      <w:r>
        <w:lastRenderedPageBreak/>
        <w:t>Reproductive toxicology</w:t>
      </w:r>
    </w:p>
    <w:p w14:paraId="73B41409" w14:textId="4C695985" w:rsidR="00D96F5A" w:rsidRPr="00C12640" w:rsidRDefault="00532B15" w:rsidP="00C12640">
      <w:pPr>
        <w:pStyle w:val="CLDNormal"/>
      </w:pPr>
      <w:r>
        <w:t>In an embryo-fetal development toxicity study, pregnant rats received oral doses of 0.015, 0.05 and 0.15</w:t>
      </w:r>
      <w:r w:rsidR="00935DB5">
        <w:t> </w:t>
      </w:r>
      <w:r>
        <w:t xml:space="preserve">mg/kg/day talazoparib during the period of organogenesis. Talazoparib caused embryo-fetal death at doses </w:t>
      </w:r>
      <w:r w:rsidR="00EA7BD6">
        <w:sym w:font="Symbol" w:char="F0B3"/>
      </w:r>
      <w:r>
        <w:t>0.015</w:t>
      </w:r>
      <w:r w:rsidR="00935DB5">
        <w:t> </w:t>
      </w:r>
      <w:r>
        <w:t>mg/kg/day (approximately 0.24</w:t>
      </w:r>
      <w:r w:rsidR="00EC0DEF">
        <w:t> </w:t>
      </w:r>
      <w:r>
        <w:t xml:space="preserve">times the </w:t>
      </w:r>
      <w:r w:rsidR="00DE537D">
        <w:t xml:space="preserve">total </w:t>
      </w:r>
      <w:r>
        <w:t>AUC in patients at the recommended dose). A dose of 0.015</w:t>
      </w:r>
      <w:r w:rsidR="00935DB5">
        <w:t> </w:t>
      </w:r>
      <w:r>
        <w:t>mg/kg/day caused decreased fetal body weights and an increased incidence of fetal malformations (depressed eye bulge, small eye, split sternebra and fused cervical vertebral arch) and structural variations including misshapen or incomplete ossification of the sternebra, skull, rib and vertebra.</w:t>
      </w:r>
    </w:p>
    <w:p w14:paraId="5E718F29" w14:textId="2B9BE2D4" w:rsidR="00936142" w:rsidRPr="002E65CD" w:rsidRDefault="000018E3" w:rsidP="007202F6">
      <w:pPr>
        <w:pStyle w:val="CLDHeading1"/>
        <w:rPr>
          <w:color w:val="auto"/>
        </w:rPr>
      </w:pPr>
      <w:r>
        <w:t xml:space="preserve">6. </w:t>
      </w:r>
      <w:r>
        <w:tab/>
      </w:r>
      <w:r w:rsidR="007321FD" w:rsidRPr="002E65CD">
        <w:rPr>
          <w:color w:val="auto"/>
        </w:rPr>
        <w:t>P</w:t>
      </w:r>
      <w:r w:rsidRPr="002E65CD">
        <w:rPr>
          <w:color w:val="auto"/>
        </w:rPr>
        <w:t>harmaceutical particulars</w:t>
      </w:r>
    </w:p>
    <w:p w14:paraId="458DF555" w14:textId="77777777" w:rsidR="00936142" w:rsidRPr="0077032C" w:rsidRDefault="00936142" w:rsidP="004A350C">
      <w:pPr>
        <w:pStyle w:val="CLDHeading2"/>
      </w:pPr>
      <w:r w:rsidRPr="0077032C">
        <w:t xml:space="preserve">6.1 </w:t>
      </w:r>
      <w:r>
        <w:tab/>
      </w:r>
      <w:r w:rsidRPr="0077032C">
        <w:t>List of excipients</w:t>
      </w:r>
    </w:p>
    <w:p w14:paraId="720984C2" w14:textId="77777777" w:rsidR="00936142" w:rsidRPr="00F1581E" w:rsidRDefault="00936142" w:rsidP="00747BF7">
      <w:pPr>
        <w:pStyle w:val="CLDHeading5"/>
      </w:pPr>
      <w:r w:rsidRPr="00F1581E">
        <w:t>Capsule content</w:t>
      </w:r>
    </w:p>
    <w:p w14:paraId="7237003B" w14:textId="77777777" w:rsidR="00212598" w:rsidRPr="00747BF7" w:rsidRDefault="00D27C08" w:rsidP="00747BF7">
      <w:pPr>
        <w:pStyle w:val="CLDList"/>
      </w:pPr>
      <w:r w:rsidRPr="006F4C87">
        <w:rPr>
          <w:szCs w:val="22"/>
        </w:rPr>
        <w:t>Silicified microcrystalline cellulose</w:t>
      </w:r>
      <w:r>
        <w:t xml:space="preserve"> </w:t>
      </w:r>
    </w:p>
    <w:p w14:paraId="4310DE14" w14:textId="77777777" w:rsidR="00212598" w:rsidRPr="00212598" w:rsidRDefault="00212598" w:rsidP="00747BF7">
      <w:pPr>
        <w:spacing w:after="0"/>
        <w:rPr>
          <w:rStyle w:val="CLDSpacingaftertablelistandbeforetext"/>
        </w:rPr>
      </w:pPr>
    </w:p>
    <w:p w14:paraId="79248ED6" w14:textId="77777777" w:rsidR="00F1581E" w:rsidRPr="006159CD" w:rsidRDefault="00A11DDE" w:rsidP="00C12640">
      <w:pPr>
        <w:pStyle w:val="CLDHeading5"/>
      </w:pPr>
      <w:r w:rsidRPr="006159CD">
        <w:t>Capsule shell</w:t>
      </w:r>
      <w:r w:rsidR="00E956B6">
        <w:t xml:space="preserve"> - W</w:t>
      </w:r>
      <w:r w:rsidR="00E956B6" w:rsidRPr="006159CD">
        <w:t>hite body (0.25 mg and 1 mg strengths)</w:t>
      </w:r>
    </w:p>
    <w:p w14:paraId="0A88A553" w14:textId="77777777" w:rsidR="00817983" w:rsidRPr="00747BF7" w:rsidRDefault="00817983" w:rsidP="00C12640">
      <w:pPr>
        <w:pStyle w:val="CLDList"/>
        <w:keepNext/>
      </w:pPr>
      <w:r w:rsidRPr="00747BF7">
        <w:t>Hypromellose</w:t>
      </w:r>
    </w:p>
    <w:p w14:paraId="373B251D" w14:textId="77777777" w:rsidR="00747BF7" w:rsidRPr="00747BF7" w:rsidRDefault="00747BF7" w:rsidP="00747BF7">
      <w:pPr>
        <w:pStyle w:val="CLDList"/>
      </w:pPr>
      <w:r w:rsidRPr="00747BF7">
        <w:t>Titanium dioxide</w:t>
      </w:r>
    </w:p>
    <w:p w14:paraId="730B99B5" w14:textId="77777777" w:rsidR="00212598" w:rsidRPr="00212598" w:rsidRDefault="00212598" w:rsidP="00747BF7">
      <w:pPr>
        <w:spacing w:after="0"/>
        <w:rPr>
          <w:rStyle w:val="CLDSpacingaftertablelistandbeforetext"/>
        </w:rPr>
      </w:pPr>
    </w:p>
    <w:p w14:paraId="1F149C3B" w14:textId="77777777" w:rsidR="00817983" w:rsidRPr="0013592B" w:rsidRDefault="002B6F9A" w:rsidP="00C12640">
      <w:pPr>
        <w:pStyle w:val="CLDHeading5"/>
      </w:pPr>
      <w:r w:rsidRPr="006159CD">
        <w:t>Capsule shell</w:t>
      </w:r>
      <w:r>
        <w:t xml:space="preserve"> - </w:t>
      </w:r>
      <w:r w:rsidR="00A11DDE">
        <w:t>Ivory</w:t>
      </w:r>
      <w:r w:rsidR="00A11DDE" w:rsidRPr="0013592B">
        <w:t xml:space="preserve"> </w:t>
      </w:r>
      <w:r w:rsidR="00817983">
        <w:t>cap</w:t>
      </w:r>
      <w:r w:rsidR="00817983" w:rsidRPr="0013592B">
        <w:t xml:space="preserve"> </w:t>
      </w:r>
      <w:r w:rsidR="00817983">
        <w:t>(0.25 mg strength)</w:t>
      </w:r>
    </w:p>
    <w:p w14:paraId="74BA576D" w14:textId="77777777" w:rsidR="00817983" w:rsidRPr="00747BF7" w:rsidRDefault="00817983" w:rsidP="00C12640">
      <w:pPr>
        <w:pStyle w:val="CLDList"/>
        <w:keepNext/>
      </w:pPr>
      <w:r w:rsidRPr="00747BF7">
        <w:t>Hypromellose</w:t>
      </w:r>
    </w:p>
    <w:p w14:paraId="2BB8E231" w14:textId="77777777" w:rsidR="00817983" w:rsidRPr="00747BF7" w:rsidRDefault="00817983" w:rsidP="00C12640">
      <w:pPr>
        <w:pStyle w:val="CLDList"/>
        <w:keepNext/>
      </w:pPr>
      <w:r w:rsidRPr="00747BF7">
        <w:t>Titanium dioxide</w:t>
      </w:r>
    </w:p>
    <w:p w14:paraId="6ECA335C" w14:textId="77777777" w:rsidR="00212598" w:rsidRPr="00747BF7" w:rsidRDefault="00817983" w:rsidP="00747BF7">
      <w:pPr>
        <w:pStyle w:val="CLDList"/>
      </w:pPr>
      <w:r w:rsidRPr="00747BF7">
        <w:t>Yellow iron oxide</w:t>
      </w:r>
      <w:r w:rsidR="00212598" w:rsidRPr="00747BF7">
        <w:t xml:space="preserve"> </w:t>
      </w:r>
    </w:p>
    <w:p w14:paraId="5E214E26" w14:textId="77777777" w:rsidR="00212598" w:rsidRPr="00212598" w:rsidRDefault="00212598" w:rsidP="00747BF7">
      <w:pPr>
        <w:spacing w:after="0"/>
        <w:rPr>
          <w:rStyle w:val="CLDSpacingaftertablelistandbeforetext"/>
        </w:rPr>
      </w:pPr>
    </w:p>
    <w:p w14:paraId="3EC00037" w14:textId="77777777" w:rsidR="002B6F9A" w:rsidRPr="0013592B" w:rsidRDefault="002B6F9A" w:rsidP="00C12640">
      <w:pPr>
        <w:pStyle w:val="CLDHeading5"/>
      </w:pPr>
      <w:r w:rsidRPr="006159CD">
        <w:t>Capsule shell</w:t>
      </w:r>
      <w:r>
        <w:t xml:space="preserve"> – Light red</w:t>
      </w:r>
      <w:r w:rsidRPr="0013592B">
        <w:t xml:space="preserve"> </w:t>
      </w:r>
      <w:r>
        <w:t>cap</w:t>
      </w:r>
      <w:r w:rsidRPr="0013592B">
        <w:t xml:space="preserve"> </w:t>
      </w:r>
      <w:r>
        <w:t>(1 mg strength)</w:t>
      </w:r>
    </w:p>
    <w:p w14:paraId="66D513D9" w14:textId="77777777" w:rsidR="00F1581E" w:rsidRPr="00320F42" w:rsidRDefault="00F1581E" w:rsidP="00C12640">
      <w:pPr>
        <w:pStyle w:val="CLDList"/>
        <w:keepNext/>
      </w:pPr>
      <w:r>
        <w:t>Hypromellose</w:t>
      </w:r>
    </w:p>
    <w:p w14:paraId="17674BD1" w14:textId="77777777" w:rsidR="00F1581E" w:rsidRDefault="00F1581E" w:rsidP="00C12640">
      <w:pPr>
        <w:pStyle w:val="CLDList"/>
        <w:keepNext/>
      </w:pPr>
      <w:r w:rsidRPr="00320F42">
        <w:t>Titanium dioxide</w:t>
      </w:r>
    </w:p>
    <w:p w14:paraId="70D45E8D" w14:textId="77777777" w:rsidR="00F1581E" w:rsidRPr="00320F42" w:rsidRDefault="00F1581E" w:rsidP="00C12640">
      <w:pPr>
        <w:pStyle w:val="CLDList"/>
        <w:keepNext/>
      </w:pPr>
      <w:r w:rsidRPr="00320F42">
        <w:t>Red iron oxide</w:t>
      </w:r>
    </w:p>
    <w:p w14:paraId="1E3C27F5" w14:textId="77777777" w:rsidR="00F1581E" w:rsidRPr="00320F42" w:rsidRDefault="00F1581E" w:rsidP="00747BF7">
      <w:pPr>
        <w:pStyle w:val="CLDList"/>
      </w:pPr>
      <w:r>
        <w:t>Yellow</w:t>
      </w:r>
      <w:r w:rsidRPr="00320F42">
        <w:t xml:space="preserve"> iron oxide</w:t>
      </w:r>
    </w:p>
    <w:p w14:paraId="04D5A8AA" w14:textId="77777777" w:rsidR="00212598" w:rsidRPr="00212598" w:rsidRDefault="00212598" w:rsidP="00212598">
      <w:pPr>
        <w:spacing w:after="0"/>
        <w:rPr>
          <w:rStyle w:val="CLDSpacingaftertablelistandbeforetext"/>
        </w:rPr>
      </w:pPr>
    </w:p>
    <w:p w14:paraId="13B44040" w14:textId="77777777" w:rsidR="00F1581E" w:rsidRPr="0013592B" w:rsidRDefault="00F1581E" w:rsidP="00C12640">
      <w:pPr>
        <w:pStyle w:val="CLDHeading5"/>
      </w:pPr>
      <w:r>
        <w:t>Printing Ink</w:t>
      </w:r>
      <w:r w:rsidR="006159CD">
        <w:t xml:space="preserve"> (TekPrint</w:t>
      </w:r>
      <w:r w:rsidR="006159CD">
        <w:rPr>
          <w:rStyle w:val="CLDRegisteredTrademarkSign"/>
          <w:color w:val="000000"/>
          <w:szCs w:val="32"/>
        </w:rPr>
        <w:t>®</w:t>
      </w:r>
      <w:r w:rsidR="006159CD">
        <w:t xml:space="preserve"> SW</w:t>
      </w:r>
      <w:r w:rsidR="006159CD">
        <w:noBreakHyphen/>
        <w:t>9008 Black)</w:t>
      </w:r>
    </w:p>
    <w:p w14:paraId="05119D76" w14:textId="77777777" w:rsidR="006159CD" w:rsidRDefault="006159CD" w:rsidP="00C12640">
      <w:pPr>
        <w:pStyle w:val="CLDList"/>
        <w:keepNext/>
      </w:pPr>
      <w:r>
        <w:t>Shellac</w:t>
      </w:r>
    </w:p>
    <w:p w14:paraId="0FD272EA" w14:textId="77777777" w:rsidR="00F1581E" w:rsidRPr="005F2E18" w:rsidRDefault="00F1581E" w:rsidP="00C12640">
      <w:pPr>
        <w:pStyle w:val="CLDList"/>
        <w:keepNext/>
      </w:pPr>
      <w:r w:rsidRPr="005F2E18">
        <w:t>Propylene glycol</w:t>
      </w:r>
    </w:p>
    <w:p w14:paraId="178F3395" w14:textId="77777777" w:rsidR="00F1581E" w:rsidRPr="005F2E18" w:rsidRDefault="00F1581E" w:rsidP="00C12640">
      <w:pPr>
        <w:pStyle w:val="CLDList"/>
        <w:keepNext/>
      </w:pPr>
      <w:r>
        <w:t>Ammonium hydroxide</w:t>
      </w:r>
    </w:p>
    <w:p w14:paraId="6BBA93EC" w14:textId="77777777" w:rsidR="00F1581E" w:rsidRPr="005F2E18" w:rsidRDefault="00F1581E" w:rsidP="00C12640">
      <w:pPr>
        <w:pStyle w:val="CLDList"/>
        <w:keepNext/>
      </w:pPr>
      <w:r w:rsidRPr="005F2E18">
        <w:t>Black iron oxide</w:t>
      </w:r>
    </w:p>
    <w:p w14:paraId="6FC9B8CC" w14:textId="77777777" w:rsidR="00F1581E" w:rsidRPr="005F2E18" w:rsidRDefault="00F1581E" w:rsidP="00747BF7">
      <w:pPr>
        <w:pStyle w:val="CLDList"/>
      </w:pPr>
      <w:r w:rsidRPr="005F2E18">
        <w:t>Potassium hydroxide</w:t>
      </w:r>
    </w:p>
    <w:p w14:paraId="28C351E3" w14:textId="77777777" w:rsidR="00936142" w:rsidRPr="00943477" w:rsidRDefault="00936142" w:rsidP="004A350C">
      <w:pPr>
        <w:pStyle w:val="CLDHeading2"/>
      </w:pPr>
      <w:r w:rsidRPr="00943477">
        <w:t>6.2</w:t>
      </w:r>
      <w:r w:rsidRPr="00943477">
        <w:tab/>
        <w:t>Incompatibilities</w:t>
      </w:r>
    </w:p>
    <w:p w14:paraId="68293AF8" w14:textId="77777777" w:rsidR="00936142" w:rsidRPr="0077032C" w:rsidRDefault="00C12640" w:rsidP="000465C1">
      <w:pPr>
        <w:pStyle w:val="CLDNormal"/>
      </w:pPr>
      <w:r w:rsidRPr="001A29A0">
        <w:t>Not applicable</w:t>
      </w:r>
      <w:r w:rsidR="00936142" w:rsidRPr="001A29A0">
        <w:t>.</w:t>
      </w:r>
    </w:p>
    <w:p w14:paraId="10C81D34" w14:textId="77777777" w:rsidR="00936142" w:rsidRPr="00C615F4" w:rsidRDefault="00936142" w:rsidP="004A350C">
      <w:pPr>
        <w:pStyle w:val="CLDHeading2"/>
      </w:pPr>
      <w:r w:rsidRPr="00C615F4">
        <w:lastRenderedPageBreak/>
        <w:t>6.3</w:t>
      </w:r>
      <w:r>
        <w:tab/>
      </w:r>
      <w:r w:rsidRPr="00C615F4">
        <w:t>Shelf life</w:t>
      </w:r>
    </w:p>
    <w:p w14:paraId="681516F3" w14:textId="77777777" w:rsidR="00936142" w:rsidRPr="009B7AB1" w:rsidRDefault="00936142" w:rsidP="000465C1">
      <w:pPr>
        <w:pStyle w:val="CLDNormal"/>
      </w:pPr>
      <w:r w:rsidRPr="009B7AB1">
        <w:t xml:space="preserve">In Australia, information on the shelf life can be found on the public summary of the </w:t>
      </w:r>
      <w:r>
        <w:t>Australian Register of Therapeutic Goods (</w:t>
      </w:r>
      <w:r w:rsidRPr="009B7AB1">
        <w:t>ARTG</w:t>
      </w:r>
      <w:r>
        <w:t>)</w:t>
      </w:r>
      <w:r w:rsidRPr="009B7AB1">
        <w:t>. The expiry date can be found on the packaging</w:t>
      </w:r>
      <w:r>
        <w:t>.</w:t>
      </w:r>
    </w:p>
    <w:p w14:paraId="0C1E57ED" w14:textId="77777777" w:rsidR="00936142" w:rsidRPr="00C615F4" w:rsidRDefault="00936142" w:rsidP="004A350C">
      <w:pPr>
        <w:pStyle w:val="CLDHeading2"/>
      </w:pPr>
      <w:r w:rsidRPr="00C615F4">
        <w:t>6.4</w:t>
      </w:r>
      <w:r w:rsidRPr="00C615F4">
        <w:tab/>
        <w:t>Special precautions for storage</w:t>
      </w:r>
    </w:p>
    <w:p w14:paraId="031FC4F1" w14:textId="77777777" w:rsidR="00936142" w:rsidRDefault="00936142" w:rsidP="000465C1">
      <w:pPr>
        <w:pStyle w:val="CLDNormal"/>
      </w:pPr>
      <w:r w:rsidRPr="00883897">
        <w:t xml:space="preserve">Store below 30°C. </w:t>
      </w:r>
      <w:r w:rsidR="009C0496">
        <w:t>Protect from light.</w:t>
      </w:r>
    </w:p>
    <w:p w14:paraId="74D2FA9C" w14:textId="77777777" w:rsidR="00936142" w:rsidRPr="00D27C08" w:rsidRDefault="00936142" w:rsidP="00D27C08">
      <w:pPr>
        <w:pStyle w:val="CLDHeading2"/>
      </w:pPr>
      <w:r w:rsidRPr="00D27C08">
        <w:t>6.5</w:t>
      </w:r>
      <w:r w:rsidRPr="00D27C08">
        <w:tab/>
        <w:t>Nature and contents of container</w:t>
      </w:r>
    </w:p>
    <w:p w14:paraId="5CE52131" w14:textId="77777777" w:rsidR="00747BF7" w:rsidRPr="006E7801" w:rsidRDefault="00747BF7" w:rsidP="00747BF7">
      <w:pPr>
        <w:pStyle w:val="CLDHeading5"/>
      </w:pPr>
      <w:r w:rsidRPr="006E7801">
        <w:t xml:space="preserve">TALZENNA 0.25 mg strength </w:t>
      </w:r>
    </w:p>
    <w:p w14:paraId="5D374292" w14:textId="6F9FB769" w:rsidR="00747BF7" w:rsidRPr="006E7801" w:rsidRDefault="00747BF7" w:rsidP="00C12640">
      <w:pPr>
        <w:pStyle w:val="CLDNormal"/>
      </w:pPr>
      <w:r w:rsidRPr="006E7801">
        <w:t xml:space="preserve">High-density polyethylene (HDPE) bottles with child-resistant polypropylene closures containing </w:t>
      </w:r>
      <w:r w:rsidR="00864D81" w:rsidRPr="006E7801">
        <w:t>30 capsules</w:t>
      </w:r>
      <w:r w:rsidRPr="006E7801">
        <w:t>.</w:t>
      </w:r>
    </w:p>
    <w:p w14:paraId="2C01B8DA" w14:textId="77777777" w:rsidR="00747BF7" w:rsidRPr="006E7801" w:rsidRDefault="00747BF7" w:rsidP="00C12640">
      <w:pPr>
        <w:pStyle w:val="CLDNormal"/>
      </w:pPr>
      <w:r w:rsidRPr="006E7801">
        <w:t>Polyvinyl chloride/polyvinylidene chloride (PVC/PVdC) blister with an aluminium peel off foil lidding in cartons containing 30, 60 or 90 capsules.</w:t>
      </w:r>
    </w:p>
    <w:p w14:paraId="591D468E" w14:textId="77777777" w:rsidR="00747BF7" w:rsidRPr="006E7801" w:rsidRDefault="00747BF7" w:rsidP="00747BF7">
      <w:pPr>
        <w:pStyle w:val="CLDHeading5"/>
      </w:pPr>
      <w:r w:rsidRPr="006E7801">
        <w:t xml:space="preserve">TALZENNA 1 mg strength </w:t>
      </w:r>
    </w:p>
    <w:p w14:paraId="53289ABD" w14:textId="77777777" w:rsidR="00747BF7" w:rsidRPr="006E7801" w:rsidRDefault="00747BF7" w:rsidP="00C12640">
      <w:pPr>
        <w:pStyle w:val="CLDNormal"/>
        <w:rPr>
          <w:color w:val="000000"/>
        </w:rPr>
      </w:pPr>
      <w:r w:rsidRPr="006E7801">
        <w:t xml:space="preserve">HDPE bottles with child-resistant polypropylene closures containing </w:t>
      </w:r>
      <w:r w:rsidR="008C6ADA">
        <w:rPr>
          <w:color w:val="000000"/>
        </w:rPr>
        <w:t>3</w:t>
      </w:r>
      <w:r w:rsidRPr="006E7801">
        <w:rPr>
          <w:color w:val="000000"/>
        </w:rPr>
        <w:t>0 capsules.</w:t>
      </w:r>
    </w:p>
    <w:p w14:paraId="57C526BD" w14:textId="77777777" w:rsidR="00936142" w:rsidRPr="00747BF7" w:rsidRDefault="00747BF7" w:rsidP="00C12640">
      <w:pPr>
        <w:pStyle w:val="CLDNormal"/>
        <w:rPr>
          <w:color w:val="000000"/>
        </w:rPr>
      </w:pPr>
      <w:r w:rsidRPr="006E7801">
        <w:t xml:space="preserve">PVC/PVdC blister with an aluminium peel off foil lidding in cartons </w:t>
      </w:r>
      <w:r w:rsidR="00936142" w:rsidRPr="006E7801">
        <w:t>conta</w:t>
      </w:r>
      <w:r w:rsidR="00936142" w:rsidRPr="00747BF7">
        <w:t xml:space="preserve">ining </w:t>
      </w:r>
      <w:r w:rsidR="008C6ADA">
        <w:rPr>
          <w:color w:val="000000"/>
        </w:rPr>
        <w:t>3</w:t>
      </w:r>
      <w:r w:rsidR="00936142" w:rsidRPr="00747BF7">
        <w:rPr>
          <w:color w:val="000000"/>
        </w:rPr>
        <w:t>0 capsules.</w:t>
      </w:r>
    </w:p>
    <w:p w14:paraId="416C17F2" w14:textId="77777777" w:rsidR="00936142" w:rsidRPr="00EA2F5E" w:rsidRDefault="00936142" w:rsidP="00C12640">
      <w:pPr>
        <w:pStyle w:val="CLDNormal"/>
      </w:pPr>
      <w:r w:rsidRPr="00EA2F5E">
        <w:t>Not all presentations may be marketed.</w:t>
      </w:r>
    </w:p>
    <w:p w14:paraId="6ADF7F58" w14:textId="77777777" w:rsidR="00936142" w:rsidRPr="00C615F4" w:rsidRDefault="00936142" w:rsidP="004A350C">
      <w:pPr>
        <w:pStyle w:val="CLDHeading2"/>
      </w:pPr>
      <w:r w:rsidRPr="00C615F4">
        <w:t>6.6</w:t>
      </w:r>
      <w:r w:rsidRPr="00C615F4">
        <w:tab/>
        <w:t>Special precautions for disposal</w:t>
      </w:r>
    </w:p>
    <w:p w14:paraId="1B254A68" w14:textId="77777777" w:rsidR="00936142" w:rsidRPr="00883897" w:rsidRDefault="00936142" w:rsidP="000465C1">
      <w:pPr>
        <w:pStyle w:val="CLDNormal"/>
        <w:rPr>
          <w:color w:val="000000"/>
          <w:szCs w:val="24"/>
        </w:rPr>
      </w:pPr>
      <w:r>
        <w:t xml:space="preserve">In </w:t>
      </w:r>
      <w:r w:rsidRPr="007C69FD">
        <w:t>A</w:t>
      </w:r>
      <w:r>
        <w:t>ustralia, a</w:t>
      </w:r>
      <w:r w:rsidRPr="007C69FD">
        <w:t xml:space="preserve">ny unused medicine or waste material should be disposed of </w:t>
      </w:r>
      <w:r>
        <w:t>by taking to your local pharmacy.</w:t>
      </w:r>
    </w:p>
    <w:p w14:paraId="00A43FF1" w14:textId="77777777" w:rsidR="00936142" w:rsidRPr="00D067BD" w:rsidRDefault="00936142" w:rsidP="004A350C">
      <w:pPr>
        <w:pStyle w:val="CLDHeading2"/>
      </w:pPr>
      <w:r w:rsidRPr="00D067BD">
        <w:t>6.7</w:t>
      </w:r>
      <w:r w:rsidRPr="00D067BD">
        <w:tab/>
        <w:t xml:space="preserve">Physicochemical </w:t>
      </w:r>
      <w:r>
        <w:t>p</w:t>
      </w:r>
      <w:r w:rsidRPr="00D067BD">
        <w:t>roperties</w:t>
      </w:r>
    </w:p>
    <w:p w14:paraId="3835B0F5" w14:textId="77777777" w:rsidR="003B6694" w:rsidRDefault="00936142" w:rsidP="00645BA5">
      <w:pPr>
        <w:pStyle w:val="CLDHeading3"/>
      </w:pPr>
      <w:r>
        <w:t>Chemical Structure</w:t>
      </w:r>
    </w:p>
    <w:p w14:paraId="7ED26784" w14:textId="77777777" w:rsidR="00E66F04" w:rsidRDefault="00E66F04" w:rsidP="00E66F04">
      <w:r w:rsidRPr="00E020FA">
        <w:object w:dxaOrig="3707" w:dyaOrig="3146" w14:anchorId="19C0C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57.6pt" o:ole="">
            <v:imagedata r:id="rId17" o:title=""/>
          </v:shape>
          <o:OLEObject Type="Embed" ProgID="ChemDraw.Document.6.0" ShapeID="_x0000_i1025" DrawAspect="Content" ObjectID="_1645362330" r:id="rId18"/>
        </w:object>
      </w:r>
    </w:p>
    <w:p w14:paraId="68DA2751" w14:textId="77777777" w:rsidR="00936142" w:rsidRPr="00831D7D" w:rsidRDefault="00936142" w:rsidP="00645BA5">
      <w:pPr>
        <w:pStyle w:val="CLDHeading3"/>
      </w:pPr>
      <w:r w:rsidRPr="00831D7D">
        <w:lastRenderedPageBreak/>
        <w:t>CAS Number</w:t>
      </w:r>
    </w:p>
    <w:p w14:paraId="14232BB7" w14:textId="5F62E5DA" w:rsidR="00864D81" w:rsidRDefault="00864D81" w:rsidP="00864D81">
      <w:pPr>
        <w:pStyle w:val="CLDList"/>
        <w:ind w:left="2127" w:hanging="2127"/>
        <w:rPr>
          <w:rFonts w:eastAsiaTheme="minorHAnsi"/>
        </w:rPr>
      </w:pPr>
      <w:r>
        <w:rPr>
          <w:rFonts w:eastAsiaTheme="minorHAnsi"/>
        </w:rPr>
        <w:t>Talazoparib tosilate:</w:t>
      </w:r>
      <w:r>
        <w:rPr>
          <w:rFonts w:eastAsiaTheme="minorHAnsi"/>
        </w:rPr>
        <w:tab/>
        <w:t>1373431-65-2</w:t>
      </w:r>
    </w:p>
    <w:p w14:paraId="2450C46E" w14:textId="00DB1420" w:rsidR="00864D81" w:rsidRDefault="00864D81" w:rsidP="00864D81">
      <w:pPr>
        <w:pStyle w:val="CLDList"/>
        <w:ind w:left="2127" w:hanging="2127"/>
        <w:rPr>
          <w:rFonts w:eastAsiaTheme="minorHAnsi"/>
        </w:rPr>
      </w:pPr>
      <w:r>
        <w:rPr>
          <w:rFonts w:eastAsiaTheme="minorHAnsi"/>
        </w:rPr>
        <w:t xml:space="preserve">Talazoparib: </w:t>
      </w:r>
      <w:r>
        <w:rPr>
          <w:rFonts w:eastAsiaTheme="minorHAnsi"/>
        </w:rPr>
        <w:tab/>
        <w:t>1207456-01-6</w:t>
      </w:r>
    </w:p>
    <w:p w14:paraId="498C653C" w14:textId="45EF93CF" w:rsidR="00936142" w:rsidRPr="00EB7705" w:rsidRDefault="00936142" w:rsidP="00EB7705">
      <w:pPr>
        <w:pStyle w:val="CLDHeading1"/>
      </w:pPr>
      <w:r w:rsidRPr="00EB7705">
        <w:t>7.</w:t>
      </w:r>
      <w:r w:rsidRPr="00EB7705">
        <w:tab/>
      </w:r>
      <w:r w:rsidR="00EB7705" w:rsidRPr="00EB7705">
        <w:t>MEDICINE SCHEDULE (POISONS STANDARD)</w:t>
      </w:r>
    </w:p>
    <w:p w14:paraId="2A148E42" w14:textId="77777777" w:rsidR="00936142" w:rsidRPr="00883897" w:rsidRDefault="00936142" w:rsidP="00C12640">
      <w:pPr>
        <w:pStyle w:val="CLDNormal"/>
      </w:pPr>
      <w:r w:rsidRPr="00883897">
        <w:t>S4 (Prescription Medicine)</w:t>
      </w:r>
    </w:p>
    <w:p w14:paraId="71A23D2F" w14:textId="77777777" w:rsidR="00936142" w:rsidRPr="00883897" w:rsidRDefault="00936142" w:rsidP="009A4D38">
      <w:pPr>
        <w:pStyle w:val="CLDHeading1"/>
      </w:pPr>
      <w:r>
        <w:t>8.</w:t>
      </w:r>
      <w:r>
        <w:tab/>
      </w:r>
      <w:r w:rsidRPr="00883897">
        <w:t>SPONSOR</w:t>
      </w:r>
    </w:p>
    <w:p w14:paraId="781231A7" w14:textId="77777777" w:rsidR="005451FD" w:rsidRPr="000D066B" w:rsidRDefault="005451FD" w:rsidP="00212598">
      <w:pPr>
        <w:pStyle w:val="CLDList"/>
      </w:pPr>
      <w:r w:rsidRPr="000D066B">
        <w:t>Pfizer Australia Pty Ltd</w:t>
      </w:r>
    </w:p>
    <w:p w14:paraId="6D07BDFD" w14:textId="3895241D" w:rsidR="00936142" w:rsidRPr="00883897" w:rsidRDefault="00936142" w:rsidP="00212598">
      <w:pPr>
        <w:pStyle w:val="CLDList"/>
      </w:pPr>
      <w:r>
        <w:t>L</w:t>
      </w:r>
      <w:r w:rsidR="00864D81">
        <w:t>evel</w:t>
      </w:r>
      <w:r w:rsidR="000E5062">
        <w:t xml:space="preserve"> </w:t>
      </w:r>
      <w:r w:rsidR="00864D81">
        <w:t>17</w:t>
      </w:r>
      <w:r>
        <w:t>, 151 Clarence St</w:t>
      </w:r>
      <w:r w:rsidR="006961F7">
        <w:t>reet</w:t>
      </w:r>
    </w:p>
    <w:p w14:paraId="5D108985" w14:textId="77777777" w:rsidR="00936142" w:rsidRDefault="00936142" w:rsidP="00212598">
      <w:pPr>
        <w:pStyle w:val="CLDList"/>
        <w:rPr>
          <w:color w:val="000000"/>
        </w:rPr>
      </w:pPr>
      <w:r>
        <w:rPr>
          <w:color w:val="000000"/>
        </w:rPr>
        <w:t>SYDNEY</w:t>
      </w:r>
      <w:r w:rsidRPr="00883897">
        <w:rPr>
          <w:color w:val="000000"/>
        </w:rPr>
        <w:t xml:space="preserve">  NSW  2</w:t>
      </w:r>
      <w:r>
        <w:rPr>
          <w:color w:val="000000"/>
        </w:rPr>
        <w:t>000</w:t>
      </w:r>
    </w:p>
    <w:p w14:paraId="5E78A1D6" w14:textId="77777777" w:rsidR="00936142" w:rsidRPr="00D81254" w:rsidRDefault="00936142" w:rsidP="00212598">
      <w:pPr>
        <w:pStyle w:val="CLDList"/>
        <w:rPr>
          <w:color w:val="000000"/>
        </w:rPr>
      </w:pPr>
      <w:r w:rsidRPr="00D81254">
        <w:t>Toll Free number: 1800 675 229</w:t>
      </w:r>
    </w:p>
    <w:p w14:paraId="54E56582" w14:textId="1031EA43" w:rsidR="00936142" w:rsidRDefault="00853F4D" w:rsidP="00212598">
      <w:pPr>
        <w:pStyle w:val="CLDList"/>
      </w:pPr>
      <w:hyperlink r:id="rId19" w:history="1">
        <w:r w:rsidR="00212598" w:rsidRPr="00C951E6">
          <w:t>www.pfizer.com.au</w:t>
        </w:r>
      </w:hyperlink>
      <w:r w:rsidR="00936142">
        <w:t xml:space="preserve"> </w:t>
      </w:r>
    </w:p>
    <w:p w14:paraId="7F741319" w14:textId="77777777" w:rsidR="00936142" w:rsidRPr="00A00717" w:rsidRDefault="00936142" w:rsidP="00A00717">
      <w:pPr>
        <w:pStyle w:val="CLDHeading1"/>
      </w:pPr>
      <w:r w:rsidRPr="00A00717">
        <w:t>9.</w:t>
      </w:r>
      <w:r w:rsidRPr="00A00717">
        <w:tab/>
      </w:r>
      <w:r w:rsidR="00A00717" w:rsidRPr="00A00717">
        <w:t>DATE OF</w:t>
      </w:r>
      <w:r w:rsidRPr="00A00717">
        <w:t xml:space="preserve"> FIRST APPROVAL </w:t>
      </w:r>
    </w:p>
    <w:p w14:paraId="230DB559" w14:textId="03086EC4" w:rsidR="00936142" w:rsidRDefault="00CD3980" w:rsidP="00FE570F">
      <w:pPr>
        <w:pStyle w:val="CLDNormal"/>
      </w:pPr>
      <w:r w:rsidRPr="003502B4">
        <w:t>18</w:t>
      </w:r>
      <w:r w:rsidR="00936142">
        <w:t xml:space="preserve"> </w:t>
      </w:r>
      <w:r>
        <w:t>November</w:t>
      </w:r>
      <w:r w:rsidR="00936142" w:rsidRPr="00450196">
        <w:t xml:space="preserve"> 20</w:t>
      </w:r>
      <w:r>
        <w:t>19</w:t>
      </w:r>
    </w:p>
    <w:p w14:paraId="5FF2D632" w14:textId="77777777" w:rsidR="002A13EF" w:rsidRPr="00A00717" w:rsidRDefault="002A13EF" w:rsidP="00A00717">
      <w:pPr>
        <w:pStyle w:val="CLDHeading1"/>
      </w:pPr>
      <w:r w:rsidRPr="00A00717">
        <w:t>10.</w:t>
      </w:r>
      <w:r w:rsidRPr="00A00717">
        <w:tab/>
      </w:r>
      <w:r w:rsidR="00A00717" w:rsidRPr="00A00717">
        <w:t>DATE OF</w:t>
      </w:r>
      <w:r w:rsidRPr="00A00717">
        <w:t xml:space="preserve"> REVISION</w:t>
      </w:r>
    </w:p>
    <w:p w14:paraId="02102538" w14:textId="77777777" w:rsidR="002A13EF" w:rsidRDefault="002A13EF" w:rsidP="00FE570F">
      <w:pPr>
        <w:pStyle w:val="CLDNormal"/>
      </w:pPr>
      <w:r>
        <w:t>Not Applicable</w:t>
      </w:r>
    </w:p>
    <w:p w14:paraId="40707BC8" w14:textId="77777777" w:rsidR="002A13EF" w:rsidRPr="003773F0" w:rsidRDefault="002A13EF" w:rsidP="00645BA5">
      <w:pPr>
        <w:pStyle w:val="CLDHeading3"/>
      </w:pPr>
      <w:r w:rsidRPr="003773F0">
        <w:t>Summary table of changes</w:t>
      </w:r>
    </w:p>
    <w:p w14:paraId="36498878" w14:textId="77777777" w:rsidR="002A13EF" w:rsidRPr="002A13EF" w:rsidRDefault="002A13EF" w:rsidP="00FE570F">
      <w:pPr>
        <w:pStyle w:val="CLDNormal"/>
      </w:pPr>
      <w:r w:rsidRPr="003773F0">
        <w:t>Not Applicable</w:t>
      </w:r>
    </w:p>
    <w:p w14:paraId="3E0521C9" w14:textId="77777777" w:rsidR="00936142" w:rsidRDefault="00936142" w:rsidP="00FE570F">
      <w:pPr>
        <w:pStyle w:val="CLDList"/>
      </w:pPr>
      <w:r>
        <w:rPr>
          <w:rStyle w:val="CLDRegisteredTrademarkSign"/>
          <w:color w:val="000000"/>
          <w:szCs w:val="32"/>
        </w:rPr>
        <w:t>®</w:t>
      </w:r>
      <w:r w:rsidRPr="00F171BC">
        <w:t xml:space="preserve"> </w:t>
      </w:r>
      <w:r>
        <w:t>Registered</w:t>
      </w:r>
      <w:r w:rsidRPr="00F171BC">
        <w:t xml:space="preserve"> trademark</w:t>
      </w:r>
    </w:p>
    <w:sectPr w:rsidR="00936142" w:rsidSect="00283298">
      <w:headerReference w:type="even" r:id="rId20"/>
      <w:headerReference w:type="default" r:id="rId21"/>
      <w:footerReference w:type="even" r:id="rId22"/>
      <w:footerReference w:type="default" r:id="rId23"/>
      <w:pgSz w:w="11906" w:h="16838" w:code="9"/>
      <w:pgMar w:top="1361" w:right="1418" w:bottom="1361"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EEB80" w14:textId="77777777" w:rsidR="00B314A3" w:rsidRDefault="00B314A3" w:rsidP="006961F7">
      <w:pPr>
        <w:spacing w:after="0"/>
      </w:pPr>
      <w:r>
        <w:separator/>
      </w:r>
    </w:p>
    <w:p w14:paraId="534D7174" w14:textId="77777777" w:rsidR="00B314A3" w:rsidRDefault="00B314A3"/>
  </w:endnote>
  <w:endnote w:type="continuationSeparator" w:id="0">
    <w:p w14:paraId="56F6822A" w14:textId="77777777" w:rsidR="00B314A3" w:rsidRDefault="00B314A3" w:rsidP="006961F7">
      <w:pPr>
        <w:spacing w:after="0"/>
      </w:pPr>
      <w:r>
        <w:continuationSeparator/>
      </w:r>
    </w:p>
    <w:p w14:paraId="49EC5774" w14:textId="77777777" w:rsidR="00B314A3" w:rsidRDefault="00B31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4D"/>
    <w:family w:val="roman"/>
    <w:notTrueType/>
    <w:pitch w:val="default"/>
    <w:sig w:usb0="00000003" w:usb1="08070000" w:usb2="00000010" w:usb3="00000000" w:csb0="0002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9DA45" w14:textId="77777777" w:rsidR="00B314A3" w:rsidRDefault="00B314A3"/>
  <w:p w14:paraId="75574D66" w14:textId="77777777" w:rsidR="00B314A3" w:rsidRDefault="00B314A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DC67C" w14:textId="34E6AD5A" w:rsidR="00B314A3" w:rsidRDefault="00B314A3" w:rsidP="008E3D44">
    <w:pPr>
      <w:pStyle w:val="CLDFooter"/>
      <w:tabs>
        <w:tab w:val="clear" w:pos="8800"/>
        <w:tab w:val="right" w:pos="9072"/>
      </w:tabs>
    </w:pPr>
    <w:r>
      <w:t>Version: pfptalz</w:t>
    </w:r>
    <w:r w:rsidR="002D1DA6">
      <w:t>c</w:t>
    </w:r>
    <w:r w:rsidR="007B42D0">
      <w:t>11119</w:t>
    </w:r>
    <w:r>
      <w:tab/>
      <w:t>Supersedes: N/A</w:t>
    </w:r>
  </w:p>
  <w:p w14:paraId="18D45FD0" w14:textId="2A94CA31" w:rsidR="00B314A3" w:rsidRDefault="00B314A3" w:rsidP="008E3D44">
    <w:pPr>
      <w:pStyle w:val="CLDFooter"/>
      <w:tabs>
        <w:tab w:val="clear" w:pos="8800"/>
        <w:tab w:val="right" w:pos="9072"/>
      </w:tabs>
    </w:pPr>
    <w:r>
      <w:tab/>
      <w:t xml:space="preserve">Page </w:t>
    </w:r>
    <w:r>
      <w:fldChar w:fldCharType="begin"/>
    </w:r>
    <w:r>
      <w:instrText xml:space="preserve"> PAGE </w:instrText>
    </w:r>
    <w:r>
      <w:fldChar w:fldCharType="separate"/>
    </w:r>
    <w:r w:rsidR="00853F4D">
      <w:rPr>
        <w:noProof/>
      </w:rPr>
      <w:t>12</w:t>
    </w:r>
    <w:r>
      <w:fldChar w:fldCharType="end"/>
    </w:r>
    <w:r>
      <w:t xml:space="preserve"> of </w:t>
    </w:r>
    <w:fldSimple w:instr=" NUMPAGES ">
      <w:r w:rsidR="00853F4D">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2D9EB" w14:textId="77777777" w:rsidR="00B314A3" w:rsidRDefault="00B314A3" w:rsidP="006961F7">
      <w:pPr>
        <w:spacing w:after="0"/>
      </w:pPr>
      <w:r>
        <w:separator/>
      </w:r>
    </w:p>
    <w:p w14:paraId="68AEE768" w14:textId="77777777" w:rsidR="00B314A3" w:rsidRDefault="00B314A3"/>
  </w:footnote>
  <w:footnote w:type="continuationSeparator" w:id="0">
    <w:p w14:paraId="5BCDC986" w14:textId="77777777" w:rsidR="00B314A3" w:rsidRDefault="00B314A3" w:rsidP="006961F7">
      <w:pPr>
        <w:spacing w:after="0"/>
      </w:pPr>
      <w:r>
        <w:continuationSeparator/>
      </w:r>
    </w:p>
    <w:p w14:paraId="00B8EDE7" w14:textId="77777777" w:rsidR="00B314A3" w:rsidRDefault="00B314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39ADC" w14:textId="77777777" w:rsidR="00B314A3" w:rsidRDefault="00B314A3"/>
  <w:p w14:paraId="1518A7AA" w14:textId="77777777" w:rsidR="00B314A3" w:rsidRDefault="00B314A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shd w:val="clear" w:color="auto" w:fill="E4F2E0"/>
      <w:tblLook w:val="04A0" w:firstRow="1" w:lastRow="0" w:firstColumn="1" w:lastColumn="0" w:noHBand="0" w:noVBand="1"/>
    </w:tblPr>
    <w:tblGrid>
      <w:gridCol w:w="8720"/>
    </w:tblGrid>
    <w:tr w:rsidR="00AF70C3" w:rsidRPr="00AF70C3" w14:paraId="31A70308" w14:textId="77777777" w:rsidTr="00C03833">
      <w:tc>
        <w:tcPr>
          <w:tcW w:w="8720" w:type="dxa"/>
          <w:shd w:val="clear" w:color="auto" w:fill="E4F2E0"/>
        </w:tcPr>
        <w:p w14:paraId="45D90524" w14:textId="681DBB68" w:rsidR="00AF70C3" w:rsidRPr="00AF70C3" w:rsidRDefault="00AF70C3" w:rsidP="00AF70C3">
          <w:pPr>
            <w:spacing w:before="180" w:after="180" w:line="240" w:lineRule="atLeast"/>
            <w:jc w:val="left"/>
            <w:rPr>
              <w:rFonts w:ascii="Cambria" w:eastAsia="Cambria" w:hAnsi="Cambria"/>
              <w:sz w:val="22"/>
              <w:szCs w:val="22"/>
            </w:rPr>
          </w:pPr>
          <w:r w:rsidRPr="00AF70C3">
            <w:rPr>
              <w:rFonts w:ascii="Cambria" w:eastAsia="Cambria" w:hAnsi="Cambria"/>
              <w:sz w:val="20"/>
            </w:rPr>
            <w:t>Attachment 1: Product information for AusPAR - TALZENNA - Talazoparib tosilate - Pfizer Australia Pty Ltd - PM-2018-04458-1-4</w:t>
          </w:r>
          <w:r>
            <w:rPr>
              <w:rFonts w:ascii="Cambria" w:eastAsia="Cambria" w:hAnsi="Cambria"/>
              <w:sz w:val="20"/>
            </w:rPr>
            <w:t xml:space="preserve"> </w:t>
          </w:r>
          <w:r w:rsidRPr="00AF70C3">
            <w:rPr>
              <w:rFonts w:ascii="Cambria" w:eastAsia="Cambria" w:hAnsi="Cambria"/>
              <w:sz w:val="20"/>
            </w:rPr>
            <w:t xml:space="preserve">FINAL 25 February 2020. </w:t>
          </w:r>
          <w:r w:rsidRPr="00AF70C3">
            <w:rPr>
              <w:rFonts w:ascii="Cambria" w:eastAsia="Cambria" w:hAnsi="Cambria"/>
              <w:sz w:val="18"/>
              <w:szCs w:val="18"/>
            </w:rPr>
            <w:t>This is the Product Information that was approved with the submission described in this AusPAR. It may have been superseded. For the most recent PI, please refer to the TGA website at &lt;</w:t>
          </w:r>
          <w:hyperlink r:id="rId1" w:history="1">
            <w:r w:rsidRPr="00AF70C3">
              <w:rPr>
                <w:rFonts w:ascii="Cambria" w:eastAsia="Cambria" w:hAnsi="Cambria"/>
                <w:color w:val="0000FF"/>
                <w:sz w:val="18"/>
                <w:szCs w:val="18"/>
                <w:u w:val="single"/>
              </w:rPr>
              <w:t>https://www.tga.gov.au/product-information-pi</w:t>
            </w:r>
          </w:hyperlink>
          <w:r w:rsidRPr="00AF70C3">
            <w:rPr>
              <w:rFonts w:ascii="Cambria" w:eastAsia="Cambria" w:hAnsi="Cambria"/>
              <w:color w:val="0000FF"/>
              <w:sz w:val="18"/>
              <w:szCs w:val="18"/>
              <w:u w:val="single"/>
            </w:rPr>
            <w:t>&gt;</w:t>
          </w:r>
        </w:p>
      </w:tc>
    </w:tr>
  </w:tbl>
  <w:p w14:paraId="03251AFC" w14:textId="77777777" w:rsidR="00B314A3" w:rsidRPr="00F07531" w:rsidRDefault="00B314A3" w:rsidP="00F07531">
    <w:pPr>
      <w:spacing w:after="0"/>
      <w:rPr>
        <w:color w:val="000000" w:themeColor="text1"/>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E218E"/>
    <w:multiLevelType w:val="multilevel"/>
    <w:tmpl w:val="C3F2A23E"/>
    <w:lvl w:ilvl="0">
      <w:start w:val="1"/>
      <w:numFmt w:val="decimal"/>
      <w:pStyle w:val="Rubrik1"/>
      <w:suff w:val="space"/>
      <w:lvlText w:val="%1."/>
      <w:lvlJc w:val="left"/>
      <w:pPr>
        <w:tabs>
          <w:tab w:val="num" w:pos="0"/>
        </w:tabs>
        <w:ind w:left="0" w:firstLine="0"/>
      </w:pPr>
      <w:rPr>
        <w:rFonts w:ascii="Times New Roman Bold" w:hAnsi="Times New Roman Bold"/>
        <w:b/>
        <w:i w:val="0"/>
        <w:caps w:val="0"/>
        <w:smallCaps w:val="0"/>
        <w:strike w:val="0"/>
        <w:dstrike w:val="0"/>
        <w:sz w:val="24"/>
        <w:u w:val="none"/>
        <w:effect w:val="none"/>
      </w:rPr>
    </w:lvl>
    <w:lvl w:ilvl="1">
      <w:start w:val="1"/>
      <w:numFmt w:val="decimal"/>
      <w:pStyle w:val="Rubrik2"/>
      <w:suff w:val="space"/>
      <w:lvlText w:val="%1.%2."/>
      <w:lvlJc w:val="left"/>
      <w:pPr>
        <w:tabs>
          <w:tab w:val="num" w:pos="450"/>
        </w:tabs>
        <w:ind w:left="450" w:firstLine="0"/>
      </w:pPr>
      <w:rPr>
        <w:rFonts w:ascii="Times New Roman Bold" w:hAnsi="Times New Roman Bold"/>
        <w:b/>
        <w:i w:val="0"/>
        <w:caps w:val="0"/>
        <w:strike w:val="0"/>
        <w:dstrike w:val="0"/>
        <w:sz w:val="24"/>
        <w:u w:val="none"/>
        <w:effect w:val="none"/>
      </w:rPr>
    </w:lvl>
    <w:lvl w:ilvl="2">
      <w:start w:val="1"/>
      <w:numFmt w:val="decimal"/>
      <w:pStyle w:val="Rubrik3"/>
      <w:suff w:val="space"/>
      <w:lvlText w:val="%1.%2.%3."/>
      <w:lvlJc w:val="left"/>
      <w:pPr>
        <w:tabs>
          <w:tab w:val="num" w:pos="0"/>
        </w:tabs>
        <w:ind w:left="0" w:firstLine="0"/>
      </w:pPr>
      <w:rPr>
        <w:rFonts w:ascii="Times New Roman Bold" w:hAnsi="Times New Roman Bold"/>
        <w:b/>
        <w:i w:val="0"/>
        <w:caps w:val="0"/>
        <w:strike w:val="0"/>
        <w:dstrike w:val="0"/>
        <w:sz w:val="24"/>
        <w:u w:val="none"/>
        <w:effect w:val="none"/>
      </w:rPr>
    </w:lvl>
    <w:lvl w:ilvl="3">
      <w:start w:val="1"/>
      <w:numFmt w:val="decimal"/>
      <w:pStyle w:val="Rubrik4"/>
      <w:suff w:val="space"/>
      <w:lvlText w:val="%1.%2.%3.%4."/>
      <w:lvlJc w:val="left"/>
      <w:pPr>
        <w:tabs>
          <w:tab w:val="num" w:pos="0"/>
        </w:tabs>
        <w:ind w:left="0" w:firstLine="0"/>
      </w:pPr>
      <w:rPr>
        <w:rFonts w:ascii="Times New Roman Bold" w:hAnsi="Times New Roman Bold"/>
        <w:b/>
        <w:i w:val="0"/>
        <w:caps w:val="0"/>
        <w:strike w:val="0"/>
        <w:dstrike w:val="0"/>
        <w:sz w:val="24"/>
        <w:u w:val="none"/>
        <w:effect w:val="none"/>
      </w:rPr>
    </w:lvl>
    <w:lvl w:ilvl="4">
      <w:start w:val="1"/>
      <w:numFmt w:val="decimal"/>
      <w:pStyle w:val="Rubrik5"/>
      <w:suff w:val="space"/>
      <w:lvlText w:val="%1.%2.%3.%4.%5."/>
      <w:lvlJc w:val="left"/>
      <w:pPr>
        <w:tabs>
          <w:tab w:val="num" w:pos="0"/>
        </w:tabs>
        <w:ind w:left="0" w:firstLine="0"/>
      </w:pPr>
      <w:rPr>
        <w:rFonts w:ascii="Times New Roman Bold" w:hAnsi="Times New Roman Bold"/>
        <w:b/>
        <w:i w:val="0"/>
        <w:caps w:val="0"/>
        <w:strike w:val="0"/>
        <w:dstrike w:val="0"/>
        <w:sz w:val="24"/>
        <w:u w:val="none"/>
        <w:effect w:val="none"/>
      </w:rPr>
    </w:lvl>
    <w:lvl w:ilvl="5">
      <w:start w:val="1"/>
      <w:numFmt w:val="decimal"/>
      <w:pStyle w:val="Rubrik6"/>
      <w:suff w:val="space"/>
      <w:lvlText w:val="%1.%2.%3.%4.%5.%6."/>
      <w:lvlJc w:val="left"/>
      <w:pPr>
        <w:tabs>
          <w:tab w:val="num" w:pos="0"/>
        </w:tabs>
        <w:ind w:left="0" w:firstLine="0"/>
      </w:pPr>
      <w:rPr>
        <w:rFonts w:ascii="Times New Roman Bold" w:hAnsi="Times New Roman Bold"/>
        <w:b/>
        <w:i w:val="0"/>
        <w:caps w:val="0"/>
        <w:strike w:val="0"/>
        <w:dstrike w:val="0"/>
        <w:sz w:val="24"/>
        <w:u w:val="none"/>
        <w:effect w:val="none"/>
      </w:rPr>
    </w:lvl>
    <w:lvl w:ilvl="6">
      <w:start w:val="1"/>
      <w:numFmt w:val="decimal"/>
      <w:pStyle w:val="Rubrik7"/>
      <w:suff w:val="space"/>
      <w:lvlText w:val="%1.%2.%3.%4.%5.%6.%7."/>
      <w:lvlJc w:val="left"/>
      <w:pPr>
        <w:tabs>
          <w:tab w:val="num" w:pos="0"/>
        </w:tabs>
        <w:ind w:left="0" w:firstLine="0"/>
      </w:pPr>
      <w:rPr>
        <w:rFonts w:ascii="Times New Roman Bold" w:hAnsi="Times New Roman Bold"/>
        <w:b/>
        <w:i w:val="0"/>
        <w:caps w:val="0"/>
        <w:strike w:val="0"/>
        <w:dstrike w:val="0"/>
        <w:sz w:val="24"/>
        <w:u w:val="none"/>
        <w:effect w:val="none"/>
      </w:rPr>
    </w:lvl>
    <w:lvl w:ilvl="7">
      <w:start w:val="1"/>
      <w:numFmt w:val="decimal"/>
      <w:pStyle w:val="Rubrik8"/>
      <w:suff w:val="space"/>
      <w:lvlText w:val="%1.%2.%3.%4.%5.%6.%7.%8."/>
      <w:lvlJc w:val="left"/>
      <w:pPr>
        <w:tabs>
          <w:tab w:val="num" w:pos="0"/>
        </w:tabs>
        <w:ind w:left="0" w:firstLine="0"/>
      </w:pPr>
      <w:rPr>
        <w:rFonts w:ascii="Times New Roman Bold" w:hAnsi="Times New Roman Bold"/>
        <w:b/>
        <w:i w:val="0"/>
        <w:caps w:val="0"/>
        <w:strike w:val="0"/>
        <w:dstrike w:val="0"/>
        <w:sz w:val="24"/>
        <w:u w:val="none"/>
        <w:effect w:val="none"/>
      </w:rPr>
    </w:lvl>
    <w:lvl w:ilvl="8">
      <w:start w:val="1"/>
      <w:numFmt w:val="decimal"/>
      <w:pStyle w:val="Rubrik9"/>
      <w:suff w:val="space"/>
      <w:lvlText w:val="%1.%2.%3.%4.%5.%6.%7.%8.%9."/>
      <w:lvlJc w:val="left"/>
      <w:pPr>
        <w:tabs>
          <w:tab w:val="num" w:pos="0"/>
        </w:tabs>
        <w:ind w:left="0" w:firstLine="0"/>
      </w:pPr>
      <w:rPr>
        <w:rFonts w:ascii="Times New Roman Bold" w:hAnsi="Times New Roman Bold"/>
        <w:b/>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94"/>
    <w:rsid w:val="000018E3"/>
    <w:rsid w:val="00002099"/>
    <w:rsid w:val="000027DF"/>
    <w:rsid w:val="0000361B"/>
    <w:rsid w:val="0000674E"/>
    <w:rsid w:val="0001166E"/>
    <w:rsid w:val="000118D1"/>
    <w:rsid w:val="00011D42"/>
    <w:rsid w:val="00020105"/>
    <w:rsid w:val="000258A0"/>
    <w:rsid w:val="000259ED"/>
    <w:rsid w:val="00025E6E"/>
    <w:rsid w:val="0002742B"/>
    <w:rsid w:val="00031654"/>
    <w:rsid w:val="000316C7"/>
    <w:rsid w:val="00032FF4"/>
    <w:rsid w:val="00036715"/>
    <w:rsid w:val="00037FE0"/>
    <w:rsid w:val="0004125B"/>
    <w:rsid w:val="00042B21"/>
    <w:rsid w:val="00042E0D"/>
    <w:rsid w:val="000432D7"/>
    <w:rsid w:val="0004396D"/>
    <w:rsid w:val="00044CF8"/>
    <w:rsid w:val="00044DAD"/>
    <w:rsid w:val="0004609A"/>
    <w:rsid w:val="000465C1"/>
    <w:rsid w:val="0004703B"/>
    <w:rsid w:val="00050535"/>
    <w:rsid w:val="0005394C"/>
    <w:rsid w:val="00055AAB"/>
    <w:rsid w:val="00061D16"/>
    <w:rsid w:val="000636B8"/>
    <w:rsid w:val="00064E2D"/>
    <w:rsid w:val="000659C1"/>
    <w:rsid w:val="00066990"/>
    <w:rsid w:val="00066BC0"/>
    <w:rsid w:val="000728E2"/>
    <w:rsid w:val="00075652"/>
    <w:rsid w:val="000761D2"/>
    <w:rsid w:val="00076842"/>
    <w:rsid w:val="00084E5C"/>
    <w:rsid w:val="000903B0"/>
    <w:rsid w:val="0009670B"/>
    <w:rsid w:val="00097DF7"/>
    <w:rsid w:val="000A3F82"/>
    <w:rsid w:val="000A5CC3"/>
    <w:rsid w:val="000A5E6B"/>
    <w:rsid w:val="000A6493"/>
    <w:rsid w:val="000B3838"/>
    <w:rsid w:val="000B4860"/>
    <w:rsid w:val="000B5D27"/>
    <w:rsid w:val="000C254A"/>
    <w:rsid w:val="000C6484"/>
    <w:rsid w:val="000C70F2"/>
    <w:rsid w:val="000D2060"/>
    <w:rsid w:val="000D2C27"/>
    <w:rsid w:val="000D3A86"/>
    <w:rsid w:val="000D571C"/>
    <w:rsid w:val="000D5F7A"/>
    <w:rsid w:val="000D74EB"/>
    <w:rsid w:val="000E0B22"/>
    <w:rsid w:val="000E5062"/>
    <w:rsid w:val="000E50F4"/>
    <w:rsid w:val="000F191D"/>
    <w:rsid w:val="000F244E"/>
    <w:rsid w:val="001027AB"/>
    <w:rsid w:val="00103BCF"/>
    <w:rsid w:val="001042CB"/>
    <w:rsid w:val="00106204"/>
    <w:rsid w:val="00106F68"/>
    <w:rsid w:val="00112772"/>
    <w:rsid w:val="0011358E"/>
    <w:rsid w:val="00113A20"/>
    <w:rsid w:val="00114D10"/>
    <w:rsid w:val="0011605A"/>
    <w:rsid w:val="0011701B"/>
    <w:rsid w:val="00122CFF"/>
    <w:rsid w:val="0012726C"/>
    <w:rsid w:val="00131242"/>
    <w:rsid w:val="00134DCD"/>
    <w:rsid w:val="00135CB8"/>
    <w:rsid w:val="00135F1B"/>
    <w:rsid w:val="001420C0"/>
    <w:rsid w:val="00142AC7"/>
    <w:rsid w:val="001451BE"/>
    <w:rsid w:val="00150EFA"/>
    <w:rsid w:val="00153746"/>
    <w:rsid w:val="00155BAD"/>
    <w:rsid w:val="00155FF5"/>
    <w:rsid w:val="0015696E"/>
    <w:rsid w:val="00156DB3"/>
    <w:rsid w:val="00157A0F"/>
    <w:rsid w:val="001719FE"/>
    <w:rsid w:val="001723AF"/>
    <w:rsid w:val="00172DC2"/>
    <w:rsid w:val="00175F33"/>
    <w:rsid w:val="00176BB8"/>
    <w:rsid w:val="00183E43"/>
    <w:rsid w:val="00185FDA"/>
    <w:rsid w:val="001941A8"/>
    <w:rsid w:val="001A00DE"/>
    <w:rsid w:val="001A04A2"/>
    <w:rsid w:val="001A29A0"/>
    <w:rsid w:val="001A31A4"/>
    <w:rsid w:val="001A7B31"/>
    <w:rsid w:val="001B0651"/>
    <w:rsid w:val="001B2BD2"/>
    <w:rsid w:val="001C358B"/>
    <w:rsid w:val="001C424E"/>
    <w:rsid w:val="001C52EE"/>
    <w:rsid w:val="001D09D7"/>
    <w:rsid w:val="001D16B8"/>
    <w:rsid w:val="001D1CF0"/>
    <w:rsid w:val="001D227F"/>
    <w:rsid w:val="001D3C2F"/>
    <w:rsid w:val="001D612D"/>
    <w:rsid w:val="001D696F"/>
    <w:rsid w:val="001D7053"/>
    <w:rsid w:val="001E43D2"/>
    <w:rsid w:val="001E4F47"/>
    <w:rsid w:val="001F73B0"/>
    <w:rsid w:val="002041EF"/>
    <w:rsid w:val="00204360"/>
    <w:rsid w:val="00204A8E"/>
    <w:rsid w:val="00211918"/>
    <w:rsid w:val="00211CA5"/>
    <w:rsid w:val="00212598"/>
    <w:rsid w:val="0021774F"/>
    <w:rsid w:val="002201CD"/>
    <w:rsid w:val="00221073"/>
    <w:rsid w:val="00225146"/>
    <w:rsid w:val="0023125A"/>
    <w:rsid w:val="00233E32"/>
    <w:rsid w:val="0023403A"/>
    <w:rsid w:val="0023484F"/>
    <w:rsid w:val="00235817"/>
    <w:rsid w:val="00236F3E"/>
    <w:rsid w:val="002370C8"/>
    <w:rsid w:val="00237BD5"/>
    <w:rsid w:val="00240F93"/>
    <w:rsid w:val="00244532"/>
    <w:rsid w:val="00251D3D"/>
    <w:rsid w:val="00252693"/>
    <w:rsid w:val="00252D0E"/>
    <w:rsid w:val="0025418E"/>
    <w:rsid w:val="00256625"/>
    <w:rsid w:val="002641F3"/>
    <w:rsid w:val="00265079"/>
    <w:rsid w:val="00265F1B"/>
    <w:rsid w:val="00267521"/>
    <w:rsid w:val="0027084A"/>
    <w:rsid w:val="00271812"/>
    <w:rsid w:val="002774E0"/>
    <w:rsid w:val="00277AC9"/>
    <w:rsid w:val="00277B36"/>
    <w:rsid w:val="00280BC6"/>
    <w:rsid w:val="00283298"/>
    <w:rsid w:val="00285FDA"/>
    <w:rsid w:val="0029101F"/>
    <w:rsid w:val="0029270B"/>
    <w:rsid w:val="00297752"/>
    <w:rsid w:val="002A099E"/>
    <w:rsid w:val="002A13EF"/>
    <w:rsid w:val="002A20D6"/>
    <w:rsid w:val="002A243B"/>
    <w:rsid w:val="002A5213"/>
    <w:rsid w:val="002A7B1D"/>
    <w:rsid w:val="002B2D42"/>
    <w:rsid w:val="002B56C8"/>
    <w:rsid w:val="002B67C4"/>
    <w:rsid w:val="002B6F9A"/>
    <w:rsid w:val="002C002C"/>
    <w:rsid w:val="002C2928"/>
    <w:rsid w:val="002C489C"/>
    <w:rsid w:val="002C6A95"/>
    <w:rsid w:val="002D0D06"/>
    <w:rsid w:val="002D106C"/>
    <w:rsid w:val="002D1DA6"/>
    <w:rsid w:val="002D55FA"/>
    <w:rsid w:val="002D697F"/>
    <w:rsid w:val="002E02E1"/>
    <w:rsid w:val="002E1AA2"/>
    <w:rsid w:val="002E65CD"/>
    <w:rsid w:val="002E7CEB"/>
    <w:rsid w:val="002F0B59"/>
    <w:rsid w:val="002F114C"/>
    <w:rsid w:val="002F2919"/>
    <w:rsid w:val="002F2B33"/>
    <w:rsid w:val="002F5D35"/>
    <w:rsid w:val="002F7854"/>
    <w:rsid w:val="00300F7B"/>
    <w:rsid w:val="003030FF"/>
    <w:rsid w:val="00303872"/>
    <w:rsid w:val="0030388A"/>
    <w:rsid w:val="00311D65"/>
    <w:rsid w:val="00312CE9"/>
    <w:rsid w:val="00313906"/>
    <w:rsid w:val="00314A2F"/>
    <w:rsid w:val="00315291"/>
    <w:rsid w:val="00316F80"/>
    <w:rsid w:val="00317117"/>
    <w:rsid w:val="00323818"/>
    <w:rsid w:val="003279C3"/>
    <w:rsid w:val="00330ED7"/>
    <w:rsid w:val="003329B0"/>
    <w:rsid w:val="00336183"/>
    <w:rsid w:val="00336DB4"/>
    <w:rsid w:val="00342521"/>
    <w:rsid w:val="003502B4"/>
    <w:rsid w:val="00353B0F"/>
    <w:rsid w:val="003549F4"/>
    <w:rsid w:val="0035655F"/>
    <w:rsid w:val="00361BF8"/>
    <w:rsid w:val="00365F09"/>
    <w:rsid w:val="0036656D"/>
    <w:rsid w:val="003704EE"/>
    <w:rsid w:val="00371EBF"/>
    <w:rsid w:val="00373633"/>
    <w:rsid w:val="003750EC"/>
    <w:rsid w:val="003773F0"/>
    <w:rsid w:val="00377DE6"/>
    <w:rsid w:val="00386B83"/>
    <w:rsid w:val="003913A1"/>
    <w:rsid w:val="00392159"/>
    <w:rsid w:val="00393DB0"/>
    <w:rsid w:val="00395410"/>
    <w:rsid w:val="0039693D"/>
    <w:rsid w:val="00397D2B"/>
    <w:rsid w:val="003B25C1"/>
    <w:rsid w:val="003B6694"/>
    <w:rsid w:val="003B7890"/>
    <w:rsid w:val="003B7A2B"/>
    <w:rsid w:val="003C2ADF"/>
    <w:rsid w:val="003C4454"/>
    <w:rsid w:val="003C549E"/>
    <w:rsid w:val="003C7A30"/>
    <w:rsid w:val="003D227E"/>
    <w:rsid w:val="003D32C9"/>
    <w:rsid w:val="003D36F2"/>
    <w:rsid w:val="003D3B7A"/>
    <w:rsid w:val="003E18A1"/>
    <w:rsid w:val="003E2B70"/>
    <w:rsid w:val="003E4739"/>
    <w:rsid w:val="003E4DD6"/>
    <w:rsid w:val="003F0E18"/>
    <w:rsid w:val="003F30C3"/>
    <w:rsid w:val="003F348C"/>
    <w:rsid w:val="003F3547"/>
    <w:rsid w:val="003F436A"/>
    <w:rsid w:val="003F604A"/>
    <w:rsid w:val="003F77D7"/>
    <w:rsid w:val="003F7FFB"/>
    <w:rsid w:val="0040270B"/>
    <w:rsid w:val="00404E79"/>
    <w:rsid w:val="004050B3"/>
    <w:rsid w:val="004114B7"/>
    <w:rsid w:val="00413A87"/>
    <w:rsid w:val="004140C0"/>
    <w:rsid w:val="00417B74"/>
    <w:rsid w:val="00421B75"/>
    <w:rsid w:val="004246E6"/>
    <w:rsid w:val="00424ECE"/>
    <w:rsid w:val="004272A4"/>
    <w:rsid w:val="00440F07"/>
    <w:rsid w:val="004432DF"/>
    <w:rsid w:val="00451E3E"/>
    <w:rsid w:val="004555AB"/>
    <w:rsid w:val="00457FF9"/>
    <w:rsid w:val="00461D86"/>
    <w:rsid w:val="00465055"/>
    <w:rsid w:val="00465766"/>
    <w:rsid w:val="0046592A"/>
    <w:rsid w:val="00465AFF"/>
    <w:rsid w:val="00466013"/>
    <w:rsid w:val="00472D7D"/>
    <w:rsid w:val="0047470F"/>
    <w:rsid w:val="00483556"/>
    <w:rsid w:val="00483AA4"/>
    <w:rsid w:val="004918D2"/>
    <w:rsid w:val="00496531"/>
    <w:rsid w:val="00497C61"/>
    <w:rsid w:val="004A0411"/>
    <w:rsid w:val="004A2EBB"/>
    <w:rsid w:val="004A350C"/>
    <w:rsid w:val="004A38C8"/>
    <w:rsid w:val="004A7550"/>
    <w:rsid w:val="004B16F1"/>
    <w:rsid w:val="004B1B73"/>
    <w:rsid w:val="004B5C5A"/>
    <w:rsid w:val="004B6DC1"/>
    <w:rsid w:val="004B787A"/>
    <w:rsid w:val="004C0C40"/>
    <w:rsid w:val="004C64D9"/>
    <w:rsid w:val="004C7E6E"/>
    <w:rsid w:val="004D220A"/>
    <w:rsid w:val="004D2835"/>
    <w:rsid w:val="004D2FC6"/>
    <w:rsid w:val="004D31BA"/>
    <w:rsid w:val="004D4BEB"/>
    <w:rsid w:val="004D6003"/>
    <w:rsid w:val="004E0708"/>
    <w:rsid w:val="004E149D"/>
    <w:rsid w:val="004E3A33"/>
    <w:rsid w:val="004E44C4"/>
    <w:rsid w:val="004E5D5C"/>
    <w:rsid w:val="004E6AF5"/>
    <w:rsid w:val="004E6BF7"/>
    <w:rsid w:val="004E6C0D"/>
    <w:rsid w:val="004F0EFC"/>
    <w:rsid w:val="004F1CDC"/>
    <w:rsid w:val="004F4C71"/>
    <w:rsid w:val="004F7268"/>
    <w:rsid w:val="004F7EFA"/>
    <w:rsid w:val="00512D27"/>
    <w:rsid w:val="00524351"/>
    <w:rsid w:val="00525B88"/>
    <w:rsid w:val="00530AF3"/>
    <w:rsid w:val="005313F9"/>
    <w:rsid w:val="00531C22"/>
    <w:rsid w:val="00532B15"/>
    <w:rsid w:val="005451FD"/>
    <w:rsid w:val="00545454"/>
    <w:rsid w:val="005456C1"/>
    <w:rsid w:val="005460A9"/>
    <w:rsid w:val="0054667A"/>
    <w:rsid w:val="005515F5"/>
    <w:rsid w:val="00552042"/>
    <w:rsid w:val="00553534"/>
    <w:rsid w:val="00554F4D"/>
    <w:rsid w:val="00557B4F"/>
    <w:rsid w:val="00563529"/>
    <w:rsid w:val="00564AD7"/>
    <w:rsid w:val="00570ECC"/>
    <w:rsid w:val="005712F7"/>
    <w:rsid w:val="00574DD1"/>
    <w:rsid w:val="00577B1E"/>
    <w:rsid w:val="005802CE"/>
    <w:rsid w:val="005824EA"/>
    <w:rsid w:val="00582AD6"/>
    <w:rsid w:val="0058356D"/>
    <w:rsid w:val="005900C3"/>
    <w:rsid w:val="00595393"/>
    <w:rsid w:val="00596F81"/>
    <w:rsid w:val="005A100E"/>
    <w:rsid w:val="005A387B"/>
    <w:rsid w:val="005A3A3D"/>
    <w:rsid w:val="005A3CA4"/>
    <w:rsid w:val="005A47E5"/>
    <w:rsid w:val="005A5DCD"/>
    <w:rsid w:val="005A5F03"/>
    <w:rsid w:val="005A6544"/>
    <w:rsid w:val="005A6A44"/>
    <w:rsid w:val="005A79FB"/>
    <w:rsid w:val="005B4E45"/>
    <w:rsid w:val="005B56D8"/>
    <w:rsid w:val="005C06D8"/>
    <w:rsid w:val="005C1D52"/>
    <w:rsid w:val="005C2D92"/>
    <w:rsid w:val="005C6479"/>
    <w:rsid w:val="005C7B36"/>
    <w:rsid w:val="005D0310"/>
    <w:rsid w:val="005D0478"/>
    <w:rsid w:val="005D06F8"/>
    <w:rsid w:val="005D2191"/>
    <w:rsid w:val="005D33F1"/>
    <w:rsid w:val="005D392C"/>
    <w:rsid w:val="005D6805"/>
    <w:rsid w:val="005D7ECE"/>
    <w:rsid w:val="005E4563"/>
    <w:rsid w:val="005E59BC"/>
    <w:rsid w:val="005E6E10"/>
    <w:rsid w:val="005E7BD7"/>
    <w:rsid w:val="005F36CE"/>
    <w:rsid w:val="005F55D7"/>
    <w:rsid w:val="00601D9B"/>
    <w:rsid w:val="00607352"/>
    <w:rsid w:val="00612851"/>
    <w:rsid w:val="00614166"/>
    <w:rsid w:val="00614747"/>
    <w:rsid w:val="00615361"/>
    <w:rsid w:val="006159CD"/>
    <w:rsid w:val="00617632"/>
    <w:rsid w:val="00617C4E"/>
    <w:rsid w:val="00626227"/>
    <w:rsid w:val="00630451"/>
    <w:rsid w:val="0063079A"/>
    <w:rsid w:val="00632513"/>
    <w:rsid w:val="0063274E"/>
    <w:rsid w:val="00635139"/>
    <w:rsid w:val="0063528F"/>
    <w:rsid w:val="0063777F"/>
    <w:rsid w:val="006401E9"/>
    <w:rsid w:val="0064294C"/>
    <w:rsid w:val="0064320B"/>
    <w:rsid w:val="00645BA5"/>
    <w:rsid w:val="00646170"/>
    <w:rsid w:val="00657051"/>
    <w:rsid w:val="00661695"/>
    <w:rsid w:val="0066378A"/>
    <w:rsid w:val="0066407A"/>
    <w:rsid w:val="00665319"/>
    <w:rsid w:val="00670094"/>
    <w:rsid w:val="0067611D"/>
    <w:rsid w:val="00683BD4"/>
    <w:rsid w:val="00684D83"/>
    <w:rsid w:val="0068582D"/>
    <w:rsid w:val="00686683"/>
    <w:rsid w:val="00690DD6"/>
    <w:rsid w:val="00691A48"/>
    <w:rsid w:val="0069503B"/>
    <w:rsid w:val="006953A7"/>
    <w:rsid w:val="00695BD8"/>
    <w:rsid w:val="006961F7"/>
    <w:rsid w:val="00697CF9"/>
    <w:rsid w:val="006B01D0"/>
    <w:rsid w:val="006B15DA"/>
    <w:rsid w:val="006B27F2"/>
    <w:rsid w:val="006B452E"/>
    <w:rsid w:val="006C0EFA"/>
    <w:rsid w:val="006D013F"/>
    <w:rsid w:val="006D1744"/>
    <w:rsid w:val="006D48A2"/>
    <w:rsid w:val="006D532A"/>
    <w:rsid w:val="006E1000"/>
    <w:rsid w:val="006E257B"/>
    <w:rsid w:val="006E2F88"/>
    <w:rsid w:val="006E3D3D"/>
    <w:rsid w:val="006E7801"/>
    <w:rsid w:val="006E7CDD"/>
    <w:rsid w:val="006F77C7"/>
    <w:rsid w:val="006F7C26"/>
    <w:rsid w:val="00701874"/>
    <w:rsid w:val="00704F10"/>
    <w:rsid w:val="00706E09"/>
    <w:rsid w:val="00707B81"/>
    <w:rsid w:val="00707D23"/>
    <w:rsid w:val="00710EF6"/>
    <w:rsid w:val="00712CB1"/>
    <w:rsid w:val="00712DB7"/>
    <w:rsid w:val="00713ECC"/>
    <w:rsid w:val="007155D2"/>
    <w:rsid w:val="007202F6"/>
    <w:rsid w:val="007209E1"/>
    <w:rsid w:val="00723D8A"/>
    <w:rsid w:val="0072574E"/>
    <w:rsid w:val="00731028"/>
    <w:rsid w:val="007321FD"/>
    <w:rsid w:val="00737A10"/>
    <w:rsid w:val="007400B4"/>
    <w:rsid w:val="00740532"/>
    <w:rsid w:val="00741022"/>
    <w:rsid w:val="0074401C"/>
    <w:rsid w:val="00744530"/>
    <w:rsid w:val="00746836"/>
    <w:rsid w:val="00746B40"/>
    <w:rsid w:val="00747BF7"/>
    <w:rsid w:val="007506A6"/>
    <w:rsid w:val="00755200"/>
    <w:rsid w:val="007659AF"/>
    <w:rsid w:val="007669E3"/>
    <w:rsid w:val="00766EEA"/>
    <w:rsid w:val="00767669"/>
    <w:rsid w:val="007701BF"/>
    <w:rsid w:val="00770842"/>
    <w:rsid w:val="00771BBF"/>
    <w:rsid w:val="00771C0B"/>
    <w:rsid w:val="007725F0"/>
    <w:rsid w:val="00772644"/>
    <w:rsid w:val="00772646"/>
    <w:rsid w:val="00773375"/>
    <w:rsid w:val="00776466"/>
    <w:rsid w:val="007765A6"/>
    <w:rsid w:val="007823FF"/>
    <w:rsid w:val="00785A49"/>
    <w:rsid w:val="00786230"/>
    <w:rsid w:val="00786313"/>
    <w:rsid w:val="00790398"/>
    <w:rsid w:val="007945BE"/>
    <w:rsid w:val="00796730"/>
    <w:rsid w:val="007968F2"/>
    <w:rsid w:val="00797383"/>
    <w:rsid w:val="007A02E7"/>
    <w:rsid w:val="007A13FC"/>
    <w:rsid w:val="007A1EB5"/>
    <w:rsid w:val="007A5C4A"/>
    <w:rsid w:val="007B35FB"/>
    <w:rsid w:val="007B42D0"/>
    <w:rsid w:val="007B4373"/>
    <w:rsid w:val="007B6BC3"/>
    <w:rsid w:val="007C25AD"/>
    <w:rsid w:val="007C6997"/>
    <w:rsid w:val="007D01CC"/>
    <w:rsid w:val="007D3EBB"/>
    <w:rsid w:val="007D4960"/>
    <w:rsid w:val="007D6064"/>
    <w:rsid w:val="007D6FDF"/>
    <w:rsid w:val="007D78E3"/>
    <w:rsid w:val="007E039E"/>
    <w:rsid w:val="007E081E"/>
    <w:rsid w:val="007E1765"/>
    <w:rsid w:val="007E3BA0"/>
    <w:rsid w:val="007E3F48"/>
    <w:rsid w:val="007E600F"/>
    <w:rsid w:val="007F44C6"/>
    <w:rsid w:val="007F49AA"/>
    <w:rsid w:val="007F554C"/>
    <w:rsid w:val="007F7B48"/>
    <w:rsid w:val="00801DD3"/>
    <w:rsid w:val="00804AD5"/>
    <w:rsid w:val="00805DDB"/>
    <w:rsid w:val="00806FD0"/>
    <w:rsid w:val="00810C28"/>
    <w:rsid w:val="00813C0D"/>
    <w:rsid w:val="00813D1E"/>
    <w:rsid w:val="008143EC"/>
    <w:rsid w:val="00815532"/>
    <w:rsid w:val="008161B0"/>
    <w:rsid w:val="00817983"/>
    <w:rsid w:val="00817B56"/>
    <w:rsid w:val="00824521"/>
    <w:rsid w:val="008247E8"/>
    <w:rsid w:val="00826327"/>
    <w:rsid w:val="00826377"/>
    <w:rsid w:val="00830F4F"/>
    <w:rsid w:val="008328F6"/>
    <w:rsid w:val="008334B6"/>
    <w:rsid w:val="00840582"/>
    <w:rsid w:val="0084406C"/>
    <w:rsid w:val="008448F9"/>
    <w:rsid w:val="00846183"/>
    <w:rsid w:val="00846C07"/>
    <w:rsid w:val="00850C6A"/>
    <w:rsid w:val="00851188"/>
    <w:rsid w:val="00853F4D"/>
    <w:rsid w:val="00855339"/>
    <w:rsid w:val="00861BBC"/>
    <w:rsid w:val="0086228A"/>
    <w:rsid w:val="00863650"/>
    <w:rsid w:val="00864D81"/>
    <w:rsid w:val="0086571F"/>
    <w:rsid w:val="0086679B"/>
    <w:rsid w:val="008677A4"/>
    <w:rsid w:val="0087098D"/>
    <w:rsid w:val="0087142C"/>
    <w:rsid w:val="00875294"/>
    <w:rsid w:val="00875F24"/>
    <w:rsid w:val="0087640F"/>
    <w:rsid w:val="0087764C"/>
    <w:rsid w:val="0088275A"/>
    <w:rsid w:val="0088666D"/>
    <w:rsid w:val="00886851"/>
    <w:rsid w:val="00886E87"/>
    <w:rsid w:val="008A1114"/>
    <w:rsid w:val="008A1675"/>
    <w:rsid w:val="008A4D57"/>
    <w:rsid w:val="008A6760"/>
    <w:rsid w:val="008B07BD"/>
    <w:rsid w:val="008B56AA"/>
    <w:rsid w:val="008B6DBE"/>
    <w:rsid w:val="008C2017"/>
    <w:rsid w:val="008C3FA5"/>
    <w:rsid w:val="008C6ADA"/>
    <w:rsid w:val="008D2D82"/>
    <w:rsid w:val="008D443A"/>
    <w:rsid w:val="008D7715"/>
    <w:rsid w:val="008D7ED7"/>
    <w:rsid w:val="008E19A9"/>
    <w:rsid w:val="008E1EA0"/>
    <w:rsid w:val="008E2EFC"/>
    <w:rsid w:val="008E3D44"/>
    <w:rsid w:val="008E67B4"/>
    <w:rsid w:val="008F2E3A"/>
    <w:rsid w:val="008F68E8"/>
    <w:rsid w:val="009009A9"/>
    <w:rsid w:val="00901499"/>
    <w:rsid w:val="00904775"/>
    <w:rsid w:val="00907059"/>
    <w:rsid w:val="00914AD0"/>
    <w:rsid w:val="00924CAA"/>
    <w:rsid w:val="0092590A"/>
    <w:rsid w:val="00927DED"/>
    <w:rsid w:val="00935DB5"/>
    <w:rsid w:val="00936142"/>
    <w:rsid w:val="00937220"/>
    <w:rsid w:val="00937612"/>
    <w:rsid w:val="00941A39"/>
    <w:rsid w:val="00942FB0"/>
    <w:rsid w:val="009448B0"/>
    <w:rsid w:val="009574A3"/>
    <w:rsid w:val="009579E5"/>
    <w:rsid w:val="00960BA6"/>
    <w:rsid w:val="00965B44"/>
    <w:rsid w:val="009701EF"/>
    <w:rsid w:val="0099251D"/>
    <w:rsid w:val="00993E5B"/>
    <w:rsid w:val="00994616"/>
    <w:rsid w:val="009A3AF2"/>
    <w:rsid w:val="009A4695"/>
    <w:rsid w:val="009A4D38"/>
    <w:rsid w:val="009A5599"/>
    <w:rsid w:val="009A5F4E"/>
    <w:rsid w:val="009B10B7"/>
    <w:rsid w:val="009B332B"/>
    <w:rsid w:val="009B3691"/>
    <w:rsid w:val="009B424C"/>
    <w:rsid w:val="009B7217"/>
    <w:rsid w:val="009C0496"/>
    <w:rsid w:val="009C055D"/>
    <w:rsid w:val="009C16F6"/>
    <w:rsid w:val="009D0E05"/>
    <w:rsid w:val="009D3F68"/>
    <w:rsid w:val="009D4A0E"/>
    <w:rsid w:val="009D6C54"/>
    <w:rsid w:val="009E2365"/>
    <w:rsid w:val="009E4D24"/>
    <w:rsid w:val="009E52B5"/>
    <w:rsid w:val="009F17A3"/>
    <w:rsid w:val="009F22F3"/>
    <w:rsid w:val="009F239D"/>
    <w:rsid w:val="009F2688"/>
    <w:rsid w:val="009F2754"/>
    <w:rsid w:val="009F63E4"/>
    <w:rsid w:val="00A00717"/>
    <w:rsid w:val="00A02169"/>
    <w:rsid w:val="00A05D65"/>
    <w:rsid w:val="00A061E1"/>
    <w:rsid w:val="00A079C7"/>
    <w:rsid w:val="00A1078C"/>
    <w:rsid w:val="00A10837"/>
    <w:rsid w:val="00A11DDE"/>
    <w:rsid w:val="00A12785"/>
    <w:rsid w:val="00A12926"/>
    <w:rsid w:val="00A14451"/>
    <w:rsid w:val="00A14EB6"/>
    <w:rsid w:val="00A15857"/>
    <w:rsid w:val="00A216A1"/>
    <w:rsid w:val="00A25C12"/>
    <w:rsid w:val="00A26196"/>
    <w:rsid w:val="00A27FCC"/>
    <w:rsid w:val="00A3011F"/>
    <w:rsid w:val="00A31A74"/>
    <w:rsid w:val="00A32FFA"/>
    <w:rsid w:val="00A338D4"/>
    <w:rsid w:val="00A33B3F"/>
    <w:rsid w:val="00A35652"/>
    <w:rsid w:val="00A357E1"/>
    <w:rsid w:val="00A37F95"/>
    <w:rsid w:val="00A40108"/>
    <w:rsid w:val="00A426F8"/>
    <w:rsid w:val="00A445DC"/>
    <w:rsid w:val="00A50E8E"/>
    <w:rsid w:val="00A53C5C"/>
    <w:rsid w:val="00A54F4D"/>
    <w:rsid w:val="00A578EF"/>
    <w:rsid w:val="00A70772"/>
    <w:rsid w:val="00A713B7"/>
    <w:rsid w:val="00A71AE6"/>
    <w:rsid w:val="00A72609"/>
    <w:rsid w:val="00A821AE"/>
    <w:rsid w:val="00A829FA"/>
    <w:rsid w:val="00A82B81"/>
    <w:rsid w:val="00A8736D"/>
    <w:rsid w:val="00A95CAB"/>
    <w:rsid w:val="00A96953"/>
    <w:rsid w:val="00AB0CC2"/>
    <w:rsid w:val="00AB0EFA"/>
    <w:rsid w:val="00AC551E"/>
    <w:rsid w:val="00AD0215"/>
    <w:rsid w:val="00AD4226"/>
    <w:rsid w:val="00AD6AE9"/>
    <w:rsid w:val="00AE17AF"/>
    <w:rsid w:val="00AE2282"/>
    <w:rsid w:val="00AE44CF"/>
    <w:rsid w:val="00AE6F25"/>
    <w:rsid w:val="00AE704A"/>
    <w:rsid w:val="00AE7CFA"/>
    <w:rsid w:val="00AF104C"/>
    <w:rsid w:val="00AF15F4"/>
    <w:rsid w:val="00AF3561"/>
    <w:rsid w:val="00AF3604"/>
    <w:rsid w:val="00AF478D"/>
    <w:rsid w:val="00AF4996"/>
    <w:rsid w:val="00AF70C3"/>
    <w:rsid w:val="00AF7C66"/>
    <w:rsid w:val="00B15E5F"/>
    <w:rsid w:val="00B1787F"/>
    <w:rsid w:val="00B17C5A"/>
    <w:rsid w:val="00B212A1"/>
    <w:rsid w:val="00B21678"/>
    <w:rsid w:val="00B220AD"/>
    <w:rsid w:val="00B232EF"/>
    <w:rsid w:val="00B25AFD"/>
    <w:rsid w:val="00B25C67"/>
    <w:rsid w:val="00B2685A"/>
    <w:rsid w:val="00B3099E"/>
    <w:rsid w:val="00B314A3"/>
    <w:rsid w:val="00B3241C"/>
    <w:rsid w:val="00B37AA1"/>
    <w:rsid w:val="00B41556"/>
    <w:rsid w:val="00B45217"/>
    <w:rsid w:val="00B4644F"/>
    <w:rsid w:val="00B469CB"/>
    <w:rsid w:val="00B47371"/>
    <w:rsid w:val="00B50743"/>
    <w:rsid w:val="00B50927"/>
    <w:rsid w:val="00B50D81"/>
    <w:rsid w:val="00B51537"/>
    <w:rsid w:val="00B55654"/>
    <w:rsid w:val="00B55867"/>
    <w:rsid w:val="00B57D17"/>
    <w:rsid w:val="00B627FE"/>
    <w:rsid w:val="00B64CE3"/>
    <w:rsid w:val="00B665AB"/>
    <w:rsid w:val="00B66B05"/>
    <w:rsid w:val="00B7207B"/>
    <w:rsid w:val="00B74109"/>
    <w:rsid w:val="00B75244"/>
    <w:rsid w:val="00B7643E"/>
    <w:rsid w:val="00B82514"/>
    <w:rsid w:val="00B82680"/>
    <w:rsid w:val="00B84438"/>
    <w:rsid w:val="00B8793F"/>
    <w:rsid w:val="00B90C0B"/>
    <w:rsid w:val="00B94572"/>
    <w:rsid w:val="00B94BEF"/>
    <w:rsid w:val="00B95933"/>
    <w:rsid w:val="00B95B37"/>
    <w:rsid w:val="00BA00FD"/>
    <w:rsid w:val="00BA1F24"/>
    <w:rsid w:val="00BA266C"/>
    <w:rsid w:val="00BA435C"/>
    <w:rsid w:val="00BA475D"/>
    <w:rsid w:val="00BA6582"/>
    <w:rsid w:val="00BB3099"/>
    <w:rsid w:val="00BB6698"/>
    <w:rsid w:val="00BB723C"/>
    <w:rsid w:val="00BB7976"/>
    <w:rsid w:val="00BC6895"/>
    <w:rsid w:val="00BD1C44"/>
    <w:rsid w:val="00BD2ED3"/>
    <w:rsid w:val="00BD432E"/>
    <w:rsid w:val="00BD7D9C"/>
    <w:rsid w:val="00BE1ED3"/>
    <w:rsid w:val="00BE21CD"/>
    <w:rsid w:val="00BE2445"/>
    <w:rsid w:val="00BE6702"/>
    <w:rsid w:val="00BF2421"/>
    <w:rsid w:val="00BF48AE"/>
    <w:rsid w:val="00BF55B1"/>
    <w:rsid w:val="00BF596D"/>
    <w:rsid w:val="00C006C6"/>
    <w:rsid w:val="00C054C1"/>
    <w:rsid w:val="00C05F22"/>
    <w:rsid w:val="00C07177"/>
    <w:rsid w:val="00C12640"/>
    <w:rsid w:val="00C17118"/>
    <w:rsid w:val="00C22183"/>
    <w:rsid w:val="00C24282"/>
    <w:rsid w:val="00C24C21"/>
    <w:rsid w:val="00C32EB5"/>
    <w:rsid w:val="00C34142"/>
    <w:rsid w:val="00C35A1A"/>
    <w:rsid w:val="00C362F8"/>
    <w:rsid w:val="00C37EF5"/>
    <w:rsid w:val="00C61575"/>
    <w:rsid w:val="00C629C8"/>
    <w:rsid w:val="00C6488B"/>
    <w:rsid w:val="00C7051C"/>
    <w:rsid w:val="00C73AD3"/>
    <w:rsid w:val="00C73FFD"/>
    <w:rsid w:val="00C7457F"/>
    <w:rsid w:val="00C759BA"/>
    <w:rsid w:val="00C81021"/>
    <w:rsid w:val="00C819CA"/>
    <w:rsid w:val="00C925ED"/>
    <w:rsid w:val="00C94DAC"/>
    <w:rsid w:val="00C97C5C"/>
    <w:rsid w:val="00CA07FB"/>
    <w:rsid w:val="00CA3EED"/>
    <w:rsid w:val="00CA5924"/>
    <w:rsid w:val="00CA65A8"/>
    <w:rsid w:val="00CB0442"/>
    <w:rsid w:val="00CB423B"/>
    <w:rsid w:val="00CC192F"/>
    <w:rsid w:val="00CD2851"/>
    <w:rsid w:val="00CD3980"/>
    <w:rsid w:val="00CD42BD"/>
    <w:rsid w:val="00CD7ED6"/>
    <w:rsid w:val="00CE111B"/>
    <w:rsid w:val="00CE49FA"/>
    <w:rsid w:val="00CF0142"/>
    <w:rsid w:val="00CF1980"/>
    <w:rsid w:val="00CF3327"/>
    <w:rsid w:val="00CF3EE6"/>
    <w:rsid w:val="00CF7CDE"/>
    <w:rsid w:val="00D0049F"/>
    <w:rsid w:val="00D01977"/>
    <w:rsid w:val="00D055B4"/>
    <w:rsid w:val="00D06183"/>
    <w:rsid w:val="00D12D9A"/>
    <w:rsid w:val="00D13367"/>
    <w:rsid w:val="00D13C71"/>
    <w:rsid w:val="00D140F4"/>
    <w:rsid w:val="00D235B3"/>
    <w:rsid w:val="00D2665C"/>
    <w:rsid w:val="00D27C08"/>
    <w:rsid w:val="00D304EB"/>
    <w:rsid w:val="00D336FC"/>
    <w:rsid w:val="00D34F21"/>
    <w:rsid w:val="00D37E80"/>
    <w:rsid w:val="00D44BC1"/>
    <w:rsid w:val="00D4567C"/>
    <w:rsid w:val="00D47D7A"/>
    <w:rsid w:val="00D52967"/>
    <w:rsid w:val="00D54E5E"/>
    <w:rsid w:val="00D66CF3"/>
    <w:rsid w:val="00D71802"/>
    <w:rsid w:val="00D71C09"/>
    <w:rsid w:val="00D72591"/>
    <w:rsid w:val="00D73BA7"/>
    <w:rsid w:val="00D73E06"/>
    <w:rsid w:val="00D746BE"/>
    <w:rsid w:val="00D756DC"/>
    <w:rsid w:val="00D769E7"/>
    <w:rsid w:val="00D76F79"/>
    <w:rsid w:val="00D80002"/>
    <w:rsid w:val="00D84F9C"/>
    <w:rsid w:val="00D85430"/>
    <w:rsid w:val="00D90BE6"/>
    <w:rsid w:val="00D924CE"/>
    <w:rsid w:val="00D96F5A"/>
    <w:rsid w:val="00DA2C6B"/>
    <w:rsid w:val="00DA31BB"/>
    <w:rsid w:val="00DA36A0"/>
    <w:rsid w:val="00DA5697"/>
    <w:rsid w:val="00DA5E0F"/>
    <w:rsid w:val="00DB0549"/>
    <w:rsid w:val="00DB6F07"/>
    <w:rsid w:val="00DB7473"/>
    <w:rsid w:val="00DB7D74"/>
    <w:rsid w:val="00DC0F26"/>
    <w:rsid w:val="00DC79C4"/>
    <w:rsid w:val="00DD011E"/>
    <w:rsid w:val="00DD1729"/>
    <w:rsid w:val="00DD1B9B"/>
    <w:rsid w:val="00DD2D2F"/>
    <w:rsid w:val="00DD67B5"/>
    <w:rsid w:val="00DD6A71"/>
    <w:rsid w:val="00DE011C"/>
    <w:rsid w:val="00DE08EE"/>
    <w:rsid w:val="00DE169B"/>
    <w:rsid w:val="00DE376C"/>
    <w:rsid w:val="00DE46EE"/>
    <w:rsid w:val="00DE537D"/>
    <w:rsid w:val="00DE6115"/>
    <w:rsid w:val="00DE7932"/>
    <w:rsid w:val="00DF3237"/>
    <w:rsid w:val="00DF6BA5"/>
    <w:rsid w:val="00DF6F32"/>
    <w:rsid w:val="00E02D87"/>
    <w:rsid w:val="00E03814"/>
    <w:rsid w:val="00E06B14"/>
    <w:rsid w:val="00E07375"/>
    <w:rsid w:val="00E1293F"/>
    <w:rsid w:val="00E14E9C"/>
    <w:rsid w:val="00E201FA"/>
    <w:rsid w:val="00E215CA"/>
    <w:rsid w:val="00E37F88"/>
    <w:rsid w:val="00E403C7"/>
    <w:rsid w:val="00E41425"/>
    <w:rsid w:val="00E44E82"/>
    <w:rsid w:val="00E46BFB"/>
    <w:rsid w:val="00E573BC"/>
    <w:rsid w:val="00E64122"/>
    <w:rsid w:val="00E64A4B"/>
    <w:rsid w:val="00E64FE6"/>
    <w:rsid w:val="00E6683D"/>
    <w:rsid w:val="00E66F04"/>
    <w:rsid w:val="00E7269C"/>
    <w:rsid w:val="00E72ADB"/>
    <w:rsid w:val="00E76217"/>
    <w:rsid w:val="00E80804"/>
    <w:rsid w:val="00E81A69"/>
    <w:rsid w:val="00E83E9F"/>
    <w:rsid w:val="00E8596D"/>
    <w:rsid w:val="00E85B1B"/>
    <w:rsid w:val="00E86751"/>
    <w:rsid w:val="00E904D3"/>
    <w:rsid w:val="00E92DAF"/>
    <w:rsid w:val="00E93C82"/>
    <w:rsid w:val="00E93FBA"/>
    <w:rsid w:val="00E956B6"/>
    <w:rsid w:val="00E972EC"/>
    <w:rsid w:val="00EA2BB9"/>
    <w:rsid w:val="00EA799B"/>
    <w:rsid w:val="00EA7BD6"/>
    <w:rsid w:val="00EB3E51"/>
    <w:rsid w:val="00EB4861"/>
    <w:rsid w:val="00EB520B"/>
    <w:rsid w:val="00EB61B4"/>
    <w:rsid w:val="00EB7705"/>
    <w:rsid w:val="00EC0DEF"/>
    <w:rsid w:val="00EC277B"/>
    <w:rsid w:val="00EC2915"/>
    <w:rsid w:val="00ED00AA"/>
    <w:rsid w:val="00ED23F0"/>
    <w:rsid w:val="00ED38F6"/>
    <w:rsid w:val="00ED3DFA"/>
    <w:rsid w:val="00EE16F0"/>
    <w:rsid w:val="00EE1815"/>
    <w:rsid w:val="00EE512A"/>
    <w:rsid w:val="00EE5A57"/>
    <w:rsid w:val="00EF1509"/>
    <w:rsid w:val="00EF47C8"/>
    <w:rsid w:val="00EF4872"/>
    <w:rsid w:val="00EF526E"/>
    <w:rsid w:val="00EF626C"/>
    <w:rsid w:val="00EF71DE"/>
    <w:rsid w:val="00EF7B5F"/>
    <w:rsid w:val="00F00A15"/>
    <w:rsid w:val="00F020BE"/>
    <w:rsid w:val="00F03DE6"/>
    <w:rsid w:val="00F07531"/>
    <w:rsid w:val="00F07BC9"/>
    <w:rsid w:val="00F12482"/>
    <w:rsid w:val="00F126F9"/>
    <w:rsid w:val="00F1581E"/>
    <w:rsid w:val="00F16D7F"/>
    <w:rsid w:val="00F17092"/>
    <w:rsid w:val="00F17983"/>
    <w:rsid w:val="00F23467"/>
    <w:rsid w:val="00F25B8C"/>
    <w:rsid w:val="00F3008C"/>
    <w:rsid w:val="00F33179"/>
    <w:rsid w:val="00F34053"/>
    <w:rsid w:val="00F367C8"/>
    <w:rsid w:val="00F379C9"/>
    <w:rsid w:val="00F415C3"/>
    <w:rsid w:val="00F4210D"/>
    <w:rsid w:val="00F46928"/>
    <w:rsid w:val="00F47037"/>
    <w:rsid w:val="00F47CDA"/>
    <w:rsid w:val="00F54F68"/>
    <w:rsid w:val="00F6533D"/>
    <w:rsid w:val="00F65FD7"/>
    <w:rsid w:val="00F66481"/>
    <w:rsid w:val="00F7290B"/>
    <w:rsid w:val="00F77306"/>
    <w:rsid w:val="00F775A7"/>
    <w:rsid w:val="00F854C6"/>
    <w:rsid w:val="00F85644"/>
    <w:rsid w:val="00F910E7"/>
    <w:rsid w:val="00F94665"/>
    <w:rsid w:val="00FA3C3D"/>
    <w:rsid w:val="00FA3F40"/>
    <w:rsid w:val="00FA632A"/>
    <w:rsid w:val="00FA7751"/>
    <w:rsid w:val="00FB3D94"/>
    <w:rsid w:val="00FB5E9A"/>
    <w:rsid w:val="00FB6F19"/>
    <w:rsid w:val="00FC1CE6"/>
    <w:rsid w:val="00FC5CB9"/>
    <w:rsid w:val="00FC63E6"/>
    <w:rsid w:val="00FC6A31"/>
    <w:rsid w:val="00FC7D2C"/>
    <w:rsid w:val="00FD1089"/>
    <w:rsid w:val="00FD2AE8"/>
    <w:rsid w:val="00FD3987"/>
    <w:rsid w:val="00FD3F77"/>
    <w:rsid w:val="00FD5DF2"/>
    <w:rsid w:val="00FD727F"/>
    <w:rsid w:val="00FE498C"/>
    <w:rsid w:val="00FE570F"/>
    <w:rsid w:val="00FE6E79"/>
    <w:rsid w:val="00FF4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B54CCC"/>
  <w15:docId w15:val="{B932AB4A-E232-4FBF-8318-48503CD6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LD-Structure/Figures"/>
    <w:rsid w:val="003B6694"/>
    <w:pPr>
      <w:spacing w:after="240" w:line="240" w:lineRule="auto"/>
      <w:jc w:val="both"/>
    </w:pPr>
    <w:rPr>
      <w:rFonts w:ascii="Times New Roman" w:eastAsia="Times New Roman" w:hAnsi="Times New Roman" w:cs="Times New Roman"/>
      <w:sz w:val="24"/>
      <w:szCs w:val="20"/>
      <w:lang w:val="en-AU"/>
    </w:rPr>
  </w:style>
  <w:style w:type="paragraph" w:styleId="Heading1">
    <w:name w:val="heading 1"/>
    <w:basedOn w:val="Normal"/>
    <w:next w:val="Normal"/>
    <w:link w:val="Heading1Char"/>
    <w:uiPriority w:val="9"/>
    <w:qFormat/>
    <w:rsid w:val="004A350C"/>
    <w:pPr>
      <w:keepNext/>
      <w:keepLines/>
      <w:spacing w:before="360"/>
      <w:ind w:left="425" w:hanging="425"/>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rsid w:val="004A350C"/>
    <w:pPr>
      <w:keepNext/>
      <w:keepLines/>
      <w:spacing w:before="360"/>
      <w:ind w:left="425" w:hanging="425"/>
      <w:outlineLvl w:val="1"/>
    </w:pPr>
    <w:rPr>
      <w:rFonts w:eastAsiaTheme="majorEastAsia" w:cstheme="majorBidi"/>
      <w:b/>
      <w:bCs/>
      <w:color w:val="000000" w:themeColor="text1"/>
      <w:sz w:val="28"/>
      <w:szCs w:val="26"/>
    </w:rPr>
  </w:style>
  <w:style w:type="paragraph" w:styleId="Heading3">
    <w:name w:val="heading 3"/>
    <w:basedOn w:val="CLDHeading3"/>
    <w:next w:val="Normal"/>
    <w:link w:val="Heading3Char"/>
    <w:uiPriority w:val="9"/>
    <w:unhideWhenUsed/>
    <w:qFormat/>
    <w:rsid w:val="00BE2445"/>
    <w:pPr>
      <w:outlineLvl w:val="2"/>
    </w:pPr>
  </w:style>
  <w:style w:type="paragraph" w:styleId="Heading4">
    <w:name w:val="heading 4"/>
    <w:basedOn w:val="Normal"/>
    <w:next w:val="Normal"/>
    <w:link w:val="Heading4Char"/>
    <w:uiPriority w:val="9"/>
    <w:semiHidden/>
    <w:unhideWhenUsed/>
    <w:rsid w:val="003B66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C8102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50C"/>
    <w:rPr>
      <w:rFonts w:ascii="Times New Roman" w:eastAsiaTheme="majorEastAsia" w:hAnsi="Times New Roman" w:cstheme="majorBidi"/>
      <w:b/>
      <w:bCs/>
      <w:color w:val="000000" w:themeColor="text1"/>
      <w:sz w:val="28"/>
      <w:szCs w:val="28"/>
      <w:lang w:val="en-AU"/>
    </w:rPr>
  </w:style>
  <w:style w:type="character" w:customStyle="1" w:styleId="Heading2Char">
    <w:name w:val="Heading 2 Char"/>
    <w:basedOn w:val="DefaultParagraphFont"/>
    <w:link w:val="Heading2"/>
    <w:uiPriority w:val="9"/>
    <w:rsid w:val="004A350C"/>
    <w:rPr>
      <w:rFonts w:ascii="Times New Roman" w:eastAsiaTheme="majorEastAsia" w:hAnsi="Times New Roman" w:cstheme="majorBidi"/>
      <w:b/>
      <w:bCs/>
      <w:color w:val="000000" w:themeColor="text1"/>
      <w:sz w:val="28"/>
      <w:szCs w:val="26"/>
      <w:lang w:val="en-AU"/>
    </w:rPr>
  </w:style>
  <w:style w:type="paragraph" w:customStyle="1" w:styleId="CLDHeading3">
    <w:name w:val="CLD Heading 3"/>
    <w:basedOn w:val="CLDHeading2"/>
    <w:link w:val="CLDHeading3Char"/>
    <w:autoRedefine/>
    <w:uiPriority w:val="3"/>
    <w:qFormat/>
    <w:rsid w:val="00645BA5"/>
    <w:pPr>
      <w:tabs>
        <w:tab w:val="clear" w:pos="425"/>
      </w:tabs>
      <w:spacing w:before="240" w:after="120"/>
      <w:ind w:left="0" w:firstLine="0"/>
    </w:pPr>
    <w:rPr>
      <w:sz w:val="24"/>
      <w:szCs w:val="24"/>
    </w:rPr>
  </w:style>
  <w:style w:type="paragraph" w:customStyle="1" w:styleId="CLDHeading2">
    <w:name w:val="CLD Heading 2"/>
    <w:basedOn w:val="Heading2"/>
    <w:link w:val="CLDHeading2Char"/>
    <w:qFormat/>
    <w:rsid w:val="00875F24"/>
    <w:pPr>
      <w:tabs>
        <w:tab w:val="left" w:pos="425"/>
      </w:tabs>
    </w:pPr>
    <w:rPr>
      <w:rFonts w:ascii="Times New Roman Bold" w:eastAsiaTheme="minorHAnsi" w:hAnsi="Times New Roman Bold" w:cstheme="minorBidi"/>
      <w:bCs w:val="0"/>
      <w:szCs w:val="28"/>
    </w:rPr>
  </w:style>
  <w:style w:type="character" w:customStyle="1" w:styleId="CLDHeading2Char">
    <w:name w:val="CLD Heading 2 Char"/>
    <w:link w:val="CLDHeading2"/>
    <w:locked/>
    <w:rsid w:val="00875F24"/>
    <w:rPr>
      <w:rFonts w:ascii="Times New Roman Bold" w:hAnsi="Times New Roman Bold"/>
      <w:b/>
      <w:color w:val="000000" w:themeColor="text1"/>
      <w:sz w:val="28"/>
      <w:szCs w:val="28"/>
      <w:lang w:val="en-AU"/>
    </w:rPr>
  </w:style>
  <w:style w:type="character" w:customStyle="1" w:styleId="CLDHeading3Char">
    <w:name w:val="CLD Heading 3 Char"/>
    <w:basedOn w:val="DefaultParagraphFont"/>
    <w:link w:val="CLDHeading3"/>
    <w:uiPriority w:val="3"/>
    <w:locked/>
    <w:rsid w:val="00645BA5"/>
    <w:rPr>
      <w:rFonts w:ascii="Times New Roman Bold" w:hAnsi="Times New Roman Bold"/>
      <w:b/>
      <w:color w:val="000000" w:themeColor="text1"/>
      <w:sz w:val="24"/>
      <w:szCs w:val="24"/>
      <w:lang w:val="en-AU"/>
    </w:rPr>
  </w:style>
  <w:style w:type="character" w:customStyle="1" w:styleId="Heading3Char">
    <w:name w:val="Heading 3 Char"/>
    <w:basedOn w:val="DefaultParagraphFont"/>
    <w:link w:val="Heading3"/>
    <w:uiPriority w:val="9"/>
    <w:rsid w:val="00BE2445"/>
    <w:rPr>
      <w:rFonts w:ascii="Times New Roman Bold" w:hAnsi="Times New Roman Bold"/>
      <w:b/>
      <w:color w:val="000000" w:themeColor="text1"/>
      <w:sz w:val="24"/>
      <w:szCs w:val="24"/>
      <w:lang w:val="en-AU"/>
    </w:rPr>
  </w:style>
  <w:style w:type="character" w:customStyle="1" w:styleId="Heading4Char">
    <w:name w:val="Heading 4 Char"/>
    <w:basedOn w:val="DefaultParagraphFont"/>
    <w:link w:val="Heading4"/>
    <w:uiPriority w:val="9"/>
    <w:semiHidden/>
    <w:rsid w:val="003B6694"/>
    <w:rPr>
      <w:rFonts w:asciiTheme="majorHAnsi" w:eastAsiaTheme="majorEastAsia" w:hAnsiTheme="majorHAnsi" w:cstheme="majorBidi"/>
      <w:b/>
      <w:bCs/>
      <w:i/>
      <w:iCs/>
      <w:color w:val="4F81BD" w:themeColor="accent1"/>
      <w:sz w:val="24"/>
      <w:szCs w:val="20"/>
      <w:lang w:val="en-AU"/>
    </w:rPr>
  </w:style>
  <w:style w:type="paragraph" w:customStyle="1" w:styleId="CLDTITLE">
    <w:name w:val="CLD TITLE"/>
    <w:basedOn w:val="Normal"/>
    <w:qFormat/>
    <w:rsid w:val="000D2060"/>
    <w:pPr>
      <w:keepNext/>
      <w:outlineLvl w:val="0"/>
    </w:pPr>
    <w:rPr>
      <w:rFonts w:ascii="Times New Roman Bold" w:hAnsi="Times New Roman Bold"/>
      <w:b/>
      <w:caps/>
      <w:kern w:val="28"/>
      <w:sz w:val="40"/>
    </w:rPr>
  </w:style>
  <w:style w:type="paragraph" w:customStyle="1" w:styleId="CLDHeading1">
    <w:name w:val="CLD Heading 1"/>
    <w:basedOn w:val="Heading1"/>
    <w:uiPriority w:val="2"/>
    <w:qFormat/>
    <w:rsid w:val="00875F24"/>
    <w:rPr>
      <w:rFonts w:ascii="Times New Roman Bold" w:eastAsia="Times New Roman" w:hAnsi="Times New Roman Bold" w:cs="Times New Roman"/>
      <w:bCs w:val="0"/>
      <w:caps/>
      <w:kern w:val="28"/>
      <w:szCs w:val="20"/>
    </w:rPr>
  </w:style>
  <w:style w:type="paragraph" w:customStyle="1" w:styleId="CLDTableColumnHeadingCentred12pt">
    <w:name w:val="CLD Table Column Heading Centred 12pt"/>
    <w:link w:val="CLDTableColumnHeadingCentred12ptChar"/>
    <w:uiPriority w:val="99"/>
    <w:qFormat/>
    <w:rsid w:val="004D6003"/>
    <w:pPr>
      <w:keepNext/>
      <w:keepLines/>
      <w:spacing w:before="40" w:after="40" w:line="240" w:lineRule="auto"/>
      <w:jc w:val="center"/>
    </w:pPr>
    <w:rPr>
      <w:rFonts w:ascii="Times New Roman Bold" w:eastAsia="Times New Roman" w:hAnsi="Times New Roman Bold" w:cs="Times New Roman"/>
      <w:b/>
      <w:color w:val="000000" w:themeColor="text1"/>
      <w:sz w:val="24"/>
      <w:szCs w:val="24"/>
      <w:lang w:val="en-US"/>
    </w:rPr>
  </w:style>
  <w:style w:type="character" w:customStyle="1" w:styleId="CLDTableColumnHeadingCentred12ptChar">
    <w:name w:val="CLD Table Column Heading Centred 12pt Char"/>
    <w:link w:val="CLDTableColumnHeadingCentred12pt"/>
    <w:uiPriority w:val="99"/>
    <w:rsid w:val="004D6003"/>
    <w:rPr>
      <w:rFonts w:ascii="Times New Roman Bold" w:eastAsia="Times New Roman" w:hAnsi="Times New Roman Bold" w:cs="Times New Roman"/>
      <w:b/>
      <w:color w:val="000000" w:themeColor="text1"/>
      <w:sz w:val="24"/>
      <w:szCs w:val="24"/>
      <w:lang w:val="en-US"/>
    </w:rPr>
  </w:style>
  <w:style w:type="character" w:customStyle="1" w:styleId="CLDRegisteredTrademarkSign">
    <w:name w:val="CLD Registered Trademark Sign"/>
    <w:rsid w:val="00875F24"/>
    <w:rPr>
      <w:rFonts w:ascii="Times New Roman" w:hAnsi="Times New Roman"/>
      <w:caps w:val="0"/>
      <w:smallCaps w:val="0"/>
      <w:strike w:val="0"/>
      <w:dstrike w:val="0"/>
      <w:vanish w:val="0"/>
      <w:color w:val="000000" w:themeColor="text1"/>
      <w:vertAlign w:val="superscript"/>
    </w:rPr>
  </w:style>
  <w:style w:type="character" w:customStyle="1" w:styleId="CLDTableTitle">
    <w:name w:val="CLD Table Title"/>
    <w:rsid w:val="00C24C21"/>
    <w:rPr>
      <w:rFonts w:ascii="Times New Roman Bold" w:hAnsi="Times New Roman Bold"/>
      <w:b/>
      <w:color w:val="000000" w:themeColor="text1"/>
    </w:rPr>
  </w:style>
  <w:style w:type="character" w:customStyle="1" w:styleId="CLDSpacingaftertablelistandbeforetext">
    <w:name w:val="CLD Spacing after table/list and before text"/>
    <w:rsid w:val="00212598"/>
    <w:rPr>
      <w:iCs/>
      <w:color w:val="000000" w:themeColor="text1"/>
    </w:rPr>
  </w:style>
  <w:style w:type="paragraph" w:customStyle="1" w:styleId="CLDNormal">
    <w:name w:val="CLD Normal"/>
    <w:basedOn w:val="Normal"/>
    <w:uiPriority w:val="6"/>
    <w:qFormat/>
    <w:rsid w:val="00875F24"/>
    <w:pPr>
      <w:keepLines/>
    </w:pPr>
    <w:rPr>
      <w:color w:val="000000" w:themeColor="text1"/>
      <w:lang w:val="en-GB"/>
    </w:rPr>
  </w:style>
  <w:style w:type="paragraph" w:customStyle="1" w:styleId="CLDHeading4">
    <w:name w:val="CLD Heading 4"/>
    <w:basedOn w:val="Heading4"/>
    <w:uiPriority w:val="5"/>
    <w:qFormat/>
    <w:rsid w:val="004E0708"/>
    <w:pPr>
      <w:keepLines w:val="0"/>
      <w:spacing w:before="120" w:after="120"/>
    </w:pPr>
    <w:rPr>
      <w:rFonts w:ascii="Times New Roman Bold" w:eastAsia="Times New Roman" w:hAnsi="Times New Roman Bold" w:cs="Times New Roman"/>
      <w:bCs w:val="0"/>
      <w:color w:val="000000" w:themeColor="text1"/>
    </w:rPr>
  </w:style>
  <w:style w:type="paragraph" w:customStyle="1" w:styleId="CLDHeading5">
    <w:name w:val="CLD Heading 5"/>
    <w:basedOn w:val="Heading4"/>
    <w:uiPriority w:val="5"/>
    <w:qFormat/>
    <w:rsid w:val="00645BA5"/>
    <w:pPr>
      <w:keepLines w:val="0"/>
      <w:spacing w:before="0"/>
    </w:pPr>
    <w:rPr>
      <w:rFonts w:ascii="Times New Roman" w:eastAsia="Times New Roman" w:hAnsi="Times New Roman" w:cs="Times New Roman"/>
      <w:b w:val="0"/>
      <w:bCs w:val="0"/>
      <w:i w:val="0"/>
      <w:color w:val="000000" w:themeColor="text1"/>
      <w:u w:val="single"/>
      <w:lang w:val="en-GB"/>
    </w:rPr>
  </w:style>
  <w:style w:type="paragraph" w:customStyle="1" w:styleId="CLDList">
    <w:name w:val="CLD List"/>
    <w:link w:val="CLDListChar"/>
    <w:uiPriority w:val="99"/>
    <w:qFormat/>
    <w:rsid w:val="00875F24"/>
    <w:pPr>
      <w:keepLines/>
      <w:spacing w:before="20" w:after="20" w:line="240" w:lineRule="auto"/>
    </w:pPr>
    <w:rPr>
      <w:rFonts w:ascii="Times New Roman" w:eastAsia="Times New Roman" w:hAnsi="Times New Roman" w:cs="Times New Roman"/>
      <w:color w:val="000000" w:themeColor="text1"/>
      <w:sz w:val="24"/>
      <w:szCs w:val="24"/>
      <w:lang w:val="en-US"/>
    </w:rPr>
  </w:style>
  <w:style w:type="character" w:customStyle="1" w:styleId="CLDListChar">
    <w:name w:val="CLD List Char"/>
    <w:link w:val="CLDList"/>
    <w:uiPriority w:val="99"/>
    <w:rsid w:val="00875F24"/>
    <w:rPr>
      <w:rFonts w:ascii="Times New Roman" w:eastAsia="Times New Roman" w:hAnsi="Times New Roman" w:cs="Times New Roman"/>
      <w:color w:val="000000" w:themeColor="text1"/>
      <w:sz w:val="24"/>
      <w:szCs w:val="24"/>
      <w:lang w:val="en-US"/>
    </w:rPr>
  </w:style>
  <w:style w:type="character" w:customStyle="1" w:styleId="CLDBlackTriangleText">
    <w:name w:val="CLD Black Triangle Text"/>
    <w:rsid w:val="005F55D7"/>
    <w:rPr>
      <w:rFonts w:eastAsiaTheme="minorHAnsi"/>
      <w:iCs/>
      <w:sz w:val="22"/>
    </w:rPr>
  </w:style>
  <w:style w:type="paragraph" w:customStyle="1" w:styleId="CLDHeading6">
    <w:name w:val="CLD Heading 6"/>
    <w:next w:val="CLDList"/>
    <w:link w:val="CLDHeading6Char"/>
    <w:rsid w:val="006159CD"/>
    <w:pPr>
      <w:keepNext/>
      <w:spacing w:after="0" w:line="240" w:lineRule="auto"/>
    </w:pPr>
    <w:rPr>
      <w:rFonts w:ascii="Times New Roman" w:eastAsia="Times New Roman" w:hAnsi="Times New Roman" w:cs="Times New Roman"/>
      <w:bCs/>
      <w:i/>
      <w:color w:val="000000" w:themeColor="text1"/>
      <w:sz w:val="24"/>
      <w:szCs w:val="26"/>
      <w:lang w:val="en-US"/>
    </w:rPr>
  </w:style>
  <w:style w:type="character" w:customStyle="1" w:styleId="CLDHeading6Char">
    <w:name w:val="CLD Heading 6 Char"/>
    <w:link w:val="CLDHeading6"/>
    <w:rsid w:val="006159CD"/>
    <w:rPr>
      <w:rFonts w:ascii="Times New Roman" w:eastAsia="Times New Roman" w:hAnsi="Times New Roman" w:cs="Times New Roman"/>
      <w:bCs/>
      <w:i/>
      <w:color w:val="000000" w:themeColor="text1"/>
      <w:sz w:val="24"/>
      <w:szCs w:val="26"/>
      <w:lang w:val="en-US"/>
    </w:rPr>
  </w:style>
  <w:style w:type="paragraph" w:customStyle="1" w:styleId="CLDTableTextLeft-Indent12pt">
    <w:name w:val="CLD TableText Left-Indent 12pt"/>
    <w:link w:val="CLDTableTextLeft-Indent12ptChar"/>
    <w:qFormat/>
    <w:rsid w:val="000728E2"/>
    <w:pPr>
      <w:spacing w:before="20" w:after="20" w:line="240" w:lineRule="auto"/>
      <w:ind w:left="113"/>
    </w:pPr>
    <w:rPr>
      <w:rFonts w:ascii="Times New Roman" w:eastAsia="Times New Roman" w:hAnsi="Times New Roman" w:cs="Times New Roman"/>
      <w:sz w:val="24"/>
      <w:lang w:val="en-US"/>
    </w:rPr>
  </w:style>
  <w:style w:type="character" w:customStyle="1" w:styleId="CLDTableTextLeft-Indent12ptChar">
    <w:name w:val="CLD TableText Left-Indent 12pt Char"/>
    <w:link w:val="CLDTableTextLeft-Indent12pt"/>
    <w:rsid w:val="000728E2"/>
    <w:rPr>
      <w:rFonts w:ascii="Times New Roman" w:eastAsia="Times New Roman" w:hAnsi="Times New Roman" w:cs="Times New Roman"/>
      <w:sz w:val="24"/>
      <w:lang w:val="en-US"/>
    </w:rPr>
  </w:style>
  <w:style w:type="paragraph" w:customStyle="1" w:styleId="CLDTableTextLeft-aligned12pt">
    <w:name w:val="CLD Table Text Left-aligned 12pt"/>
    <w:basedOn w:val="Normal"/>
    <w:uiPriority w:val="7"/>
    <w:qFormat/>
    <w:rsid w:val="00FE498C"/>
    <w:pPr>
      <w:keepLines/>
      <w:spacing w:before="40" w:after="40"/>
      <w:ind w:left="113" w:hanging="113"/>
      <w:jc w:val="left"/>
    </w:pPr>
    <w:rPr>
      <w:snapToGrid w:val="0"/>
      <w:color w:val="000000" w:themeColor="text1"/>
      <w:szCs w:val="24"/>
    </w:rPr>
  </w:style>
  <w:style w:type="paragraph" w:styleId="FootnoteText">
    <w:name w:val="footnote text"/>
    <w:link w:val="FootnoteTextChar"/>
    <w:semiHidden/>
    <w:rsid w:val="00F854C6"/>
    <w:pPr>
      <w:spacing w:after="120" w:line="240" w:lineRule="auto"/>
      <w:ind w:firstLine="461"/>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F854C6"/>
    <w:rPr>
      <w:rFonts w:ascii="Times New Roman" w:eastAsia="Times New Roman" w:hAnsi="Times New Roman" w:cs="Times New Roman"/>
      <w:sz w:val="20"/>
      <w:szCs w:val="20"/>
      <w:lang w:val="en-US"/>
    </w:rPr>
  </w:style>
  <w:style w:type="paragraph" w:customStyle="1" w:styleId="CLDFooter">
    <w:name w:val="CLD Footer"/>
    <w:basedOn w:val="Normal"/>
    <w:uiPriority w:val="7"/>
    <w:qFormat/>
    <w:rsid w:val="000D2060"/>
    <w:pPr>
      <w:pBdr>
        <w:top w:val="single" w:sz="6" w:space="1" w:color="auto"/>
      </w:pBdr>
      <w:tabs>
        <w:tab w:val="right" w:pos="8800"/>
      </w:tabs>
      <w:spacing w:after="0"/>
      <w:jc w:val="left"/>
    </w:pPr>
    <w:rPr>
      <w:sz w:val="20"/>
      <w:lang w:val="en-GB"/>
    </w:rPr>
  </w:style>
  <w:style w:type="paragraph" w:styleId="BodyTextIndent2">
    <w:name w:val="Body Text Indent 2"/>
    <w:basedOn w:val="Normal"/>
    <w:link w:val="BodyTextIndent2Char"/>
    <w:uiPriority w:val="99"/>
    <w:semiHidden/>
    <w:unhideWhenUsed/>
    <w:rsid w:val="00524351"/>
    <w:pPr>
      <w:spacing w:after="120" w:line="480" w:lineRule="auto"/>
      <w:ind w:left="283"/>
    </w:pPr>
  </w:style>
  <w:style w:type="character" w:customStyle="1" w:styleId="BodyTextIndent2Char">
    <w:name w:val="Body Text Indent 2 Char"/>
    <w:basedOn w:val="DefaultParagraphFont"/>
    <w:link w:val="BodyTextIndent2"/>
    <w:uiPriority w:val="99"/>
    <w:semiHidden/>
    <w:rsid w:val="00524351"/>
    <w:rPr>
      <w:rFonts w:ascii="Times New Roman" w:eastAsia="Times New Roman" w:hAnsi="Times New Roman" w:cs="Times New Roman"/>
      <w:sz w:val="24"/>
      <w:szCs w:val="20"/>
      <w:lang w:val="en-AU"/>
    </w:rPr>
  </w:style>
  <w:style w:type="paragraph" w:customStyle="1" w:styleId="CLDTableTextBoldLeft-aligned12pt">
    <w:name w:val="CLD Table Text Bold Left-aligned 12pt"/>
    <w:link w:val="CLDTableTextBoldLeft-aligned12ptChar"/>
    <w:qFormat/>
    <w:rsid w:val="00FE570F"/>
    <w:pPr>
      <w:keepLines/>
      <w:spacing w:before="20" w:after="20" w:line="240" w:lineRule="auto"/>
    </w:pPr>
    <w:rPr>
      <w:rFonts w:ascii="Times New Roman Bold" w:eastAsia="Times New Roman" w:hAnsi="Times New Roman Bold" w:cs="Arial"/>
      <w:b/>
      <w:sz w:val="24"/>
      <w:szCs w:val="24"/>
      <w:lang w:val="en-US"/>
    </w:rPr>
  </w:style>
  <w:style w:type="character" w:customStyle="1" w:styleId="CLDTableTextBoldLeft-aligned12ptChar">
    <w:name w:val="CLD Table Text Bold Left-aligned 12pt Char"/>
    <w:link w:val="CLDTableTextBoldLeft-aligned12pt"/>
    <w:locked/>
    <w:rsid w:val="00FE570F"/>
    <w:rPr>
      <w:rFonts w:ascii="Times New Roman Bold" w:eastAsia="Times New Roman" w:hAnsi="Times New Roman Bold" w:cs="Arial"/>
      <w:b/>
      <w:sz w:val="24"/>
      <w:szCs w:val="24"/>
      <w:lang w:val="en-US"/>
    </w:rPr>
  </w:style>
  <w:style w:type="paragraph" w:customStyle="1" w:styleId="CLDTableFootnotewithnosuperscripts">
    <w:name w:val="CLD Table Footnote with no superscripts"/>
    <w:link w:val="CLDTableFootnotewithnosuperscriptsChar"/>
    <w:rsid w:val="007B35FB"/>
    <w:pPr>
      <w:spacing w:after="0" w:line="240" w:lineRule="auto"/>
      <w:jc w:val="both"/>
    </w:pPr>
    <w:rPr>
      <w:rFonts w:ascii="Times New Roman" w:eastAsia="Times New Roman" w:hAnsi="Times New Roman" w:cs="Times New Roman"/>
      <w:color w:val="000000" w:themeColor="text1"/>
      <w:sz w:val="20"/>
      <w:szCs w:val="20"/>
      <w:lang w:val="en-US"/>
    </w:rPr>
  </w:style>
  <w:style w:type="character" w:customStyle="1" w:styleId="CLDTableFootnotewithnosuperscriptsChar">
    <w:name w:val="CLD Table Footnote with no superscripts Char"/>
    <w:link w:val="CLDTableFootnotewithnosuperscripts"/>
    <w:rsid w:val="007B35FB"/>
    <w:rPr>
      <w:rFonts w:ascii="Times New Roman" w:eastAsia="Times New Roman" w:hAnsi="Times New Roman" w:cs="Times New Roman"/>
      <w:color w:val="000000" w:themeColor="text1"/>
      <w:sz w:val="20"/>
      <w:szCs w:val="20"/>
      <w:lang w:val="en-US"/>
    </w:rPr>
  </w:style>
  <w:style w:type="paragraph" w:styleId="BalloonText">
    <w:name w:val="Balloon Text"/>
    <w:basedOn w:val="Normal"/>
    <w:link w:val="BalloonTextChar"/>
    <w:uiPriority w:val="99"/>
    <w:semiHidden/>
    <w:unhideWhenUsed/>
    <w:rsid w:val="000636B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6B8"/>
    <w:rPr>
      <w:rFonts w:ascii="Tahoma" w:eastAsia="Times New Roman" w:hAnsi="Tahoma" w:cs="Tahoma"/>
      <w:sz w:val="16"/>
      <w:szCs w:val="16"/>
      <w:lang w:val="en-AU"/>
    </w:rPr>
  </w:style>
  <w:style w:type="paragraph" w:customStyle="1" w:styleId="CLDTableTextCentred12pt">
    <w:name w:val="CLD Table Text Centred 12pt"/>
    <w:basedOn w:val="CLDTableTextBoldLeft-aligned12pt"/>
    <w:link w:val="CLDTableTextCentred12ptChar"/>
    <w:qFormat/>
    <w:rsid w:val="00BB723C"/>
    <w:pPr>
      <w:spacing w:before="40" w:after="40"/>
      <w:jc w:val="center"/>
    </w:pPr>
    <w:rPr>
      <w:rFonts w:ascii="Times New Roman" w:hAnsi="Times New Roman" w:cs="Times New Roman"/>
      <w:b w:val="0"/>
      <w:color w:val="000000" w:themeColor="text1"/>
    </w:rPr>
  </w:style>
  <w:style w:type="character" w:customStyle="1" w:styleId="CLDTableTextCentred12ptChar">
    <w:name w:val="CLD Table Text Centred 12pt Char"/>
    <w:link w:val="CLDTableTextCentred12pt"/>
    <w:locked/>
    <w:rsid w:val="00BB723C"/>
    <w:rPr>
      <w:rFonts w:ascii="Times New Roman" w:eastAsia="Times New Roman" w:hAnsi="Times New Roman" w:cs="Times New Roman"/>
      <w:color w:val="000000" w:themeColor="text1"/>
      <w:sz w:val="24"/>
      <w:szCs w:val="24"/>
      <w:lang w:val="en-US"/>
    </w:rPr>
  </w:style>
  <w:style w:type="paragraph" w:customStyle="1" w:styleId="CLDTableFootnotewithsuperscipts">
    <w:name w:val="CLD Table Footnote with superscipts"/>
    <w:link w:val="CLDTableFootnotewithsupersciptsChar"/>
    <w:qFormat/>
    <w:rsid w:val="00875F24"/>
    <w:pPr>
      <w:keepLines/>
      <w:spacing w:after="0" w:line="240" w:lineRule="auto"/>
      <w:ind w:left="284" w:hanging="284"/>
    </w:pPr>
    <w:rPr>
      <w:rFonts w:ascii="Times New Roman" w:eastAsia="Times New Roman" w:hAnsi="Times New Roman" w:cs="Arial"/>
      <w:color w:val="000000" w:themeColor="text1"/>
      <w:sz w:val="20"/>
      <w:szCs w:val="20"/>
      <w:lang w:val="en-US"/>
    </w:rPr>
  </w:style>
  <w:style w:type="character" w:customStyle="1" w:styleId="CLDTableFootnotewithsupersciptsChar">
    <w:name w:val="CLD Table Footnote with superscipts Char"/>
    <w:link w:val="CLDTableFootnotewithsuperscipts"/>
    <w:rsid w:val="00875F24"/>
    <w:rPr>
      <w:rFonts w:ascii="Times New Roman" w:eastAsia="Times New Roman" w:hAnsi="Times New Roman" w:cs="Arial"/>
      <w:color w:val="000000" w:themeColor="text1"/>
      <w:sz w:val="20"/>
      <w:szCs w:val="20"/>
      <w:lang w:val="en-US"/>
    </w:rPr>
  </w:style>
  <w:style w:type="paragraph" w:customStyle="1" w:styleId="Paragraph">
    <w:name w:val="Paragraph"/>
    <w:link w:val="ParagraphChar"/>
    <w:qFormat/>
    <w:rsid w:val="005C06D8"/>
    <w:pPr>
      <w:spacing w:after="240" w:line="240" w:lineRule="auto"/>
    </w:pPr>
    <w:rPr>
      <w:rFonts w:ascii="Times New Roman" w:eastAsia="Times New Roman" w:hAnsi="Times New Roman" w:cs="Times New Roman"/>
      <w:sz w:val="24"/>
      <w:szCs w:val="24"/>
      <w:lang w:val="en-US"/>
    </w:rPr>
  </w:style>
  <w:style w:type="character" w:customStyle="1" w:styleId="ParagraphChar">
    <w:name w:val="Paragraph Char"/>
    <w:link w:val="Paragraph"/>
    <w:rsid w:val="005C06D8"/>
    <w:rPr>
      <w:rFonts w:ascii="Times New Roman" w:eastAsia="Times New Roman" w:hAnsi="Times New Roman" w:cs="Times New Roman"/>
      <w:sz w:val="24"/>
      <w:szCs w:val="24"/>
      <w:lang w:val="en-US"/>
    </w:rPr>
  </w:style>
  <w:style w:type="character" w:styleId="CommentReference">
    <w:name w:val="annotation reference"/>
    <w:basedOn w:val="DefaultParagraphFont"/>
    <w:unhideWhenUsed/>
    <w:rsid w:val="00311D65"/>
    <w:rPr>
      <w:sz w:val="16"/>
      <w:szCs w:val="16"/>
    </w:rPr>
  </w:style>
  <w:style w:type="paragraph" w:styleId="CommentText">
    <w:name w:val="annotation text"/>
    <w:basedOn w:val="Normal"/>
    <w:link w:val="CommentTextChar"/>
    <w:uiPriority w:val="99"/>
    <w:unhideWhenUsed/>
    <w:rsid w:val="00311D65"/>
    <w:rPr>
      <w:sz w:val="20"/>
    </w:rPr>
  </w:style>
  <w:style w:type="character" w:customStyle="1" w:styleId="CommentTextChar">
    <w:name w:val="Comment Text Char"/>
    <w:basedOn w:val="DefaultParagraphFont"/>
    <w:link w:val="CommentText"/>
    <w:uiPriority w:val="99"/>
    <w:rsid w:val="00311D65"/>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311D65"/>
    <w:rPr>
      <w:b/>
      <w:bCs/>
    </w:rPr>
  </w:style>
  <w:style w:type="character" w:customStyle="1" w:styleId="CommentSubjectChar">
    <w:name w:val="Comment Subject Char"/>
    <w:basedOn w:val="CommentTextChar"/>
    <w:link w:val="CommentSubject"/>
    <w:uiPriority w:val="99"/>
    <w:semiHidden/>
    <w:rsid w:val="00311D65"/>
    <w:rPr>
      <w:rFonts w:ascii="Times New Roman" w:eastAsia="Times New Roman" w:hAnsi="Times New Roman" w:cs="Times New Roman"/>
      <w:b/>
      <w:bCs/>
      <w:sz w:val="20"/>
      <w:szCs w:val="20"/>
      <w:lang w:val="en-AU"/>
    </w:rPr>
  </w:style>
  <w:style w:type="paragraph" w:styleId="Header">
    <w:name w:val="header"/>
    <w:basedOn w:val="Normal"/>
    <w:link w:val="HeaderChar"/>
    <w:unhideWhenUsed/>
    <w:rsid w:val="000D5F7A"/>
    <w:pPr>
      <w:tabs>
        <w:tab w:val="center" w:pos="4513"/>
        <w:tab w:val="right" w:pos="9026"/>
      </w:tabs>
      <w:spacing w:after="0"/>
    </w:pPr>
  </w:style>
  <w:style w:type="character" w:customStyle="1" w:styleId="HeaderChar">
    <w:name w:val="Header Char"/>
    <w:basedOn w:val="DefaultParagraphFont"/>
    <w:link w:val="Header"/>
    <w:rsid w:val="000D5F7A"/>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0D5F7A"/>
    <w:pPr>
      <w:tabs>
        <w:tab w:val="center" w:pos="4513"/>
        <w:tab w:val="right" w:pos="9026"/>
      </w:tabs>
      <w:spacing w:after="0"/>
    </w:pPr>
  </w:style>
  <w:style w:type="character" w:customStyle="1" w:styleId="FooterChar">
    <w:name w:val="Footer Char"/>
    <w:basedOn w:val="DefaultParagraphFont"/>
    <w:link w:val="Footer"/>
    <w:uiPriority w:val="99"/>
    <w:rsid w:val="000D5F7A"/>
    <w:rPr>
      <w:rFonts w:ascii="Times New Roman" w:eastAsia="Times New Roman" w:hAnsi="Times New Roman" w:cs="Times New Roman"/>
      <w:sz w:val="24"/>
      <w:szCs w:val="20"/>
      <w:lang w:val="en-AU"/>
    </w:rPr>
  </w:style>
  <w:style w:type="paragraph" w:customStyle="1" w:styleId="Annotationtext">
    <w:name w:val="Annotationtext"/>
    <w:link w:val="KommentarerChar"/>
    <w:rsid w:val="002F0B59"/>
    <w:pPr>
      <w:tabs>
        <w:tab w:val="left" w:pos="567"/>
      </w:tabs>
      <w:spacing w:after="0" w:line="260" w:lineRule="exact"/>
    </w:pPr>
    <w:rPr>
      <w:rFonts w:eastAsia="Times New Roman"/>
    </w:rPr>
  </w:style>
  <w:style w:type="character" w:customStyle="1" w:styleId="KommentarerChar">
    <w:name w:val="Kommentarer Char"/>
    <w:aliases w:val="Annotationtext Char"/>
    <w:link w:val="Annotationtext"/>
    <w:rsid w:val="002F0B59"/>
    <w:rPr>
      <w:rFonts w:eastAsia="Times New Roman"/>
    </w:rPr>
  </w:style>
  <w:style w:type="paragraph" w:customStyle="1" w:styleId="Default">
    <w:name w:val="Default"/>
    <w:rsid w:val="004E6C0D"/>
    <w:pPr>
      <w:autoSpaceDE w:val="0"/>
      <w:autoSpaceDN w:val="0"/>
      <w:adjustRightInd w:val="0"/>
      <w:spacing w:after="0" w:line="240" w:lineRule="auto"/>
    </w:pPr>
    <w:rPr>
      <w:rFonts w:ascii="Cambria" w:hAnsi="Cambria" w:cs="Cambria"/>
      <w:color w:val="000000"/>
      <w:sz w:val="24"/>
      <w:szCs w:val="24"/>
      <w:lang w:val="en-AU"/>
    </w:rPr>
  </w:style>
  <w:style w:type="character" w:customStyle="1" w:styleId="Kommentarsreferens">
    <w:name w:val="Kommentarsreferens"/>
    <w:uiPriority w:val="99"/>
    <w:rsid w:val="00614166"/>
    <w:rPr>
      <w:sz w:val="16"/>
      <w:szCs w:val="16"/>
    </w:rPr>
  </w:style>
  <w:style w:type="paragraph" w:styleId="BodyText">
    <w:name w:val="Body Text"/>
    <w:basedOn w:val="Normal"/>
    <w:link w:val="BodyTextChar"/>
    <w:rsid w:val="00924CAA"/>
    <w:pPr>
      <w:overflowPunct w:val="0"/>
      <w:autoSpaceDE w:val="0"/>
      <w:autoSpaceDN w:val="0"/>
      <w:adjustRightInd w:val="0"/>
      <w:spacing w:after="120"/>
      <w:jc w:val="left"/>
      <w:textAlignment w:val="baseline"/>
    </w:pPr>
    <w:rPr>
      <w:szCs w:val="24"/>
      <w:lang w:val="en-US"/>
    </w:rPr>
  </w:style>
  <w:style w:type="character" w:customStyle="1" w:styleId="BodyTextChar">
    <w:name w:val="Body Text Char"/>
    <w:basedOn w:val="DefaultParagraphFont"/>
    <w:link w:val="BodyText"/>
    <w:rsid w:val="00924CAA"/>
    <w:rPr>
      <w:rFonts w:ascii="Times New Roman" w:eastAsia="Times New Roman" w:hAnsi="Times New Roman" w:cs="Times New Roman"/>
      <w:sz w:val="24"/>
      <w:szCs w:val="24"/>
      <w:lang w:val="en-US"/>
    </w:rPr>
  </w:style>
  <w:style w:type="character" w:customStyle="1" w:styleId="Heading6Char">
    <w:name w:val="Heading 6 Char"/>
    <w:basedOn w:val="DefaultParagraphFont"/>
    <w:link w:val="Heading6"/>
    <w:uiPriority w:val="9"/>
    <w:semiHidden/>
    <w:rsid w:val="00C81021"/>
    <w:rPr>
      <w:rFonts w:asciiTheme="majorHAnsi" w:eastAsiaTheme="majorEastAsia" w:hAnsiTheme="majorHAnsi" w:cstheme="majorBidi"/>
      <w:color w:val="243F60" w:themeColor="accent1" w:themeShade="7F"/>
      <w:sz w:val="24"/>
      <w:szCs w:val="20"/>
      <w:lang w:val="en-AU"/>
    </w:rPr>
  </w:style>
  <w:style w:type="paragraph" w:styleId="Revision">
    <w:name w:val="Revision"/>
    <w:hidden/>
    <w:uiPriority w:val="99"/>
    <w:semiHidden/>
    <w:rsid w:val="00315291"/>
    <w:pPr>
      <w:spacing w:after="0" w:line="240" w:lineRule="auto"/>
    </w:pPr>
    <w:rPr>
      <w:rFonts w:ascii="Times New Roman" w:eastAsia="Times New Roman" w:hAnsi="Times New Roman" w:cs="Times New Roman"/>
      <w:sz w:val="24"/>
      <w:szCs w:val="20"/>
      <w:lang w:val="en-AU"/>
    </w:rPr>
  </w:style>
  <w:style w:type="paragraph" w:styleId="Caption">
    <w:name w:val="caption"/>
    <w:basedOn w:val="Normal"/>
    <w:next w:val="Normal"/>
    <w:autoRedefine/>
    <w:uiPriority w:val="35"/>
    <w:unhideWhenUsed/>
    <w:qFormat/>
    <w:rsid w:val="00EA7BD6"/>
    <w:pPr>
      <w:keepNext/>
      <w:spacing w:before="240" w:after="40"/>
      <w:ind w:left="992" w:hanging="992"/>
    </w:pPr>
    <w:rPr>
      <w:b/>
      <w:iCs/>
      <w:szCs w:val="24"/>
    </w:rPr>
  </w:style>
  <w:style w:type="character" w:styleId="Hyperlink">
    <w:name w:val="Hyperlink"/>
    <w:basedOn w:val="DefaultParagraphFont"/>
    <w:uiPriority w:val="99"/>
    <w:semiHidden/>
    <w:unhideWhenUsed/>
    <w:rsid w:val="008143EC"/>
    <w:rPr>
      <w:color w:val="0000FF"/>
      <w:u w:val="single"/>
    </w:rPr>
  </w:style>
  <w:style w:type="character" w:styleId="FollowedHyperlink">
    <w:name w:val="FollowedHyperlink"/>
    <w:basedOn w:val="DefaultParagraphFont"/>
    <w:uiPriority w:val="99"/>
    <w:semiHidden/>
    <w:unhideWhenUsed/>
    <w:rsid w:val="008143EC"/>
    <w:rPr>
      <w:color w:val="800080" w:themeColor="followedHyperlink"/>
      <w:u w:val="single"/>
    </w:rPr>
  </w:style>
  <w:style w:type="paragraph" w:customStyle="1" w:styleId="TableTitle">
    <w:name w:val="Table Title"/>
    <w:next w:val="Normal"/>
    <w:rsid w:val="00B37AA1"/>
    <w:pPr>
      <w:keepNext/>
      <w:spacing w:before="120" w:after="0" w:line="240" w:lineRule="auto"/>
      <w:ind w:left="1152" w:hanging="1152"/>
    </w:pPr>
    <w:rPr>
      <w:rFonts w:ascii="Times New Roman" w:eastAsia="Times New Roman" w:hAnsi="Times New Roman" w:cs="Times New Roman"/>
      <w:b/>
      <w:bCs/>
      <w:sz w:val="24"/>
      <w:szCs w:val="20"/>
      <w:lang w:val="en-US"/>
    </w:rPr>
  </w:style>
  <w:style w:type="character" w:styleId="Emphasis">
    <w:name w:val="Emphasis"/>
    <w:basedOn w:val="DefaultParagraphFont"/>
    <w:uiPriority w:val="20"/>
    <w:qFormat/>
    <w:rsid w:val="00A72609"/>
    <w:rPr>
      <w:i/>
      <w:iCs/>
    </w:rPr>
  </w:style>
  <w:style w:type="paragraph" w:customStyle="1" w:styleId="Rubrik1">
    <w:name w:val="Rubrik 1"/>
    <w:next w:val="Normal"/>
    <w:qFormat/>
    <w:rsid w:val="00901499"/>
    <w:pPr>
      <w:keepNext/>
      <w:numPr>
        <w:numId w:val="1"/>
      </w:numPr>
      <w:spacing w:before="240" w:after="240" w:line="240" w:lineRule="auto"/>
      <w:outlineLvl w:val="0"/>
    </w:pPr>
    <w:rPr>
      <w:rFonts w:ascii="Times New Roman Bold" w:eastAsia="Times New Roman" w:hAnsi="Times New Roman Bold" w:cs="Arial"/>
      <w:b/>
      <w:bCs/>
      <w:caps/>
      <w:sz w:val="24"/>
      <w:szCs w:val="28"/>
      <w:lang w:val="en-US"/>
    </w:rPr>
  </w:style>
  <w:style w:type="paragraph" w:customStyle="1" w:styleId="Rubrik2">
    <w:name w:val="Rubrik 2"/>
    <w:next w:val="Normal"/>
    <w:qFormat/>
    <w:rsid w:val="00901499"/>
    <w:pPr>
      <w:keepNext/>
      <w:numPr>
        <w:ilvl w:val="1"/>
        <w:numId w:val="1"/>
      </w:numPr>
      <w:spacing w:after="240" w:line="240" w:lineRule="auto"/>
      <w:outlineLvl w:val="1"/>
    </w:pPr>
    <w:rPr>
      <w:rFonts w:ascii="Times New Roman Bold" w:eastAsia="Times New Roman" w:hAnsi="Times New Roman Bold" w:cs="Arial"/>
      <w:b/>
      <w:bCs/>
      <w:sz w:val="24"/>
      <w:szCs w:val="26"/>
      <w:lang w:val="en-US"/>
    </w:rPr>
  </w:style>
  <w:style w:type="paragraph" w:customStyle="1" w:styleId="Rubrik3">
    <w:name w:val="Rubrik 3"/>
    <w:next w:val="Normal"/>
    <w:qFormat/>
    <w:rsid w:val="00901499"/>
    <w:pPr>
      <w:keepNext/>
      <w:numPr>
        <w:ilvl w:val="2"/>
        <w:numId w:val="1"/>
      </w:numPr>
      <w:spacing w:after="240" w:line="240" w:lineRule="auto"/>
      <w:outlineLvl w:val="2"/>
    </w:pPr>
    <w:rPr>
      <w:rFonts w:ascii="Times New Roman Bold" w:eastAsia="Times New Roman" w:hAnsi="Times New Roman Bold" w:cs="Arial"/>
      <w:b/>
      <w:sz w:val="24"/>
      <w:szCs w:val="26"/>
      <w:lang w:val="en-US"/>
    </w:rPr>
  </w:style>
  <w:style w:type="paragraph" w:customStyle="1" w:styleId="Rubrik4">
    <w:name w:val="Rubrik 4"/>
    <w:next w:val="Normal"/>
    <w:qFormat/>
    <w:rsid w:val="00901499"/>
    <w:pPr>
      <w:keepNext/>
      <w:numPr>
        <w:ilvl w:val="3"/>
        <w:numId w:val="1"/>
      </w:numPr>
      <w:spacing w:after="240" w:line="240" w:lineRule="auto"/>
      <w:outlineLvl w:val="3"/>
    </w:pPr>
    <w:rPr>
      <w:rFonts w:ascii="Times New Roman Bold" w:eastAsia="Times New Roman" w:hAnsi="Times New Roman Bold" w:cs="Arial"/>
      <w:b/>
      <w:bCs/>
      <w:sz w:val="24"/>
      <w:szCs w:val="24"/>
      <w:lang w:val="en-US"/>
    </w:rPr>
  </w:style>
  <w:style w:type="paragraph" w:customStyle="1" w:styleId="Rubrik5">
    <w:name w:val="Rubrik 5"/>
    <w:next w:val="Normal"/>
    <w:qFormat/>
    <w:rsid w:val="00901499"/>
    <w:pPr>
      <w:keepNext/>
      <w:numPr>
        <w:ilvl w:val="4"/>
        <w:numId w:val="1"/>
      </w:numPr>
      <w:spacing w:after="240" w:line="240" w:lineRule="auto"/>
      <w:outlineLvl w:val="4"/>
    </w:pPr>
    <w:rPr>
      <w:rFonts w:ascii="Times New Roman Bold" w:eastAsia="Times New Roman" w:hAnsi="Times New Roman Bold" w:cs="Arial"/>
      <w:b/>
      <w:iCs/>
      <w:sz w:val="24"/>
      <w:szCs w:val="24"/>
      <w:lang w:val="en-US"/>
    </w:rPr>
  </w:style>
  <w:style w:type="paragraph" w:customStyle="1" w:styleId="Rubrik6">
    <w:name w:val="Rubrik 6"/>
    <w:next w:val="Normal"/>
    <w:qFormat/>
    <w:rsid w:val="00901499"/>
    <w:pPr>
      <w:keepNext/>
      <w:numPr>
        <w:ilvl w:val="5"/>
        <w:numId w:val="1"/>
      </w:numPr>
      <w:spacing w:after="240" w:line="240" w:lineRule="auto"/>
      <w:outlineLvl w:val="5"/>
    </w:pPr>
    <w:rPr>
      <w:rFonts w:ascii="Times New Roman Bold" w:eastAsia="Times New Roman" w:hAnsi="Times New Roman Bold" w:cs="Arial"/>
      <w:b/>
      <w:iCs/>
      <w:sz w:val="24"/>
      <w:szCs w:val="24"/>
      <w:lang w:val="en-US"/>
    </w:rPr>
  </w:style>
  <w:style w:type="paragraph" w:customStyle="1" w:styleId="Rubrik7">
    <w:name w:val="Rubrik 7"/>
    <w:next w:val="Normal"/>
    <w:link w:val="Rubrik7Char"/>
    <w:qFormat/>
    <w:rsid w:val="00901499"/>
    <w:pPr>
      <w:keepNext/>
      <w:numPr>
        <w:ilvl w:val="6"/>
        <w:numId w:val="1"/>
      </w:numPr>
      <w:spacing w:after="240" w:line="240" w:lineRule="auto"/>
      <w:outlineLvl w:val="6"/>
    </w:pPr>
    <w:rPr>
      <w:rFonts w:ascii="Times New Roman Bold" w:eastAsia="Times New Roman" w:hAnsi="Times New Roman Bold" w:cs="Arial"/>
      <w:b/>
      <w:iCs/>
      <w:sz w:val="24"/>
      <w:szCs w:val="24"/>
      <w:lang w:val="en-US"/>
    </w:rPr>
  </w:style>
  <w:style w:type="paragraph" w:customStyle="1" w:styleId="Rubrik8">
    <w:name w:val="Rubrik 8"/>
    <w:next w:val="Normal"/>
    <w:qFormat/>
    <w:rsid w:val="00901499"/>
    <w:pPr>
      <w:keepNext/>
      <w:numPr>
        <w:ilvl w:val="7"/>
        <w:numId w:val="1"/>
      </w:numPr>
      <w:spacing w:after="240" w:line="240" w:lineRule="auto"/>
      <w:outlineLvl w:val="7"/>
    </w:pPr>
    <w:rPr>
      <w:rFonts w:ascii="Times New Roman Bold" w:eastAsia="Times New Roman" w:hAnsi="Times New Roman Bold" w:cs="Arial"/>
      <w:b/>
      <w:iCs/>
      <w:sz w:val="24"/>
      <w:szCs w:val="24"/>
      <w:lang w:val="en-US"/>
    </w:rPr>
  </w:style>
  <w:style w:type="paragraph" w:customStyle="1" w:styleId="Rubrik9">
    <w:name w:val="Rubrik 9"/>
    <w:next w:val="Normal"/>
    <w:qFormat/>
    <w:rsid w:val="00901499"/>
    <w:pPr>
      <w:keepNext/>
      <w:numPr>
        <w:ilvl w:val="8"/>
        <w:numId w:val="1"/>
      </w:numPr>
      <w:spacing w:after="240" w:line="240" w:lineRule="auto"/>
      <w:outlineLvl w:val="8"/>
    </w:pPr>
    <w:rPr>
      <w:rFonts w:ascii="Times New Roman Bold" w:eastAsia="Times New Roman" w:hAnsi="Times New Roman Bold" w:cs="Arial"/>
      <w:b/>
      <w:iCs/>
      <w:sz w:val="24"/>
      <w:szCs w:val="24"/>
      <w:lang w:val="en-US"/>
    </w:rPr>
  </w:style>
  <w:style w:type="character" w:customStyle="1" w:styleId="Rubrik7Char">
    <w:name w:val="Rubrik 7 Char"/>
    <w:link w:val="Rubrik7"/>
    <w:rsid w:val="00901499"/>
    <w:rPr>
      <w:rFonts w:ascii="Times New Roman Bold" w:eastAsia="Times New Roman" w:hAnsi="Times New Roman Bold" w:cs="Arial"/>
      <w:b/>
      <w:iCs/>
      <w:sz w:val="24"/>
      <w:szCs w:val="24"/>
      <w:lang w:val="en-US"/>
    </w:rPr>
  </w:style>
  <w:style w:type="table" w:customStyle="1" w:styleId="TableGrid1">
    <w:name w:val="Table Grid1"/>
    <w:basedOn w:val="TableNormal"/>
    <w:next w:val="TableGrid"/>
    <w:uiPriority w:val="59"/>
    <w:rsid w:val="00AF70C3"/>
    <w:pPr>
      <w:spacing w:after="0" w:line="240" w:lineRule="auto"/>
    </w:pPr>
    <w:rPr>
      <w:rFonts w:eastAsia="Cambria"/>
      <w:lang w:val="en-AU"/>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 w:type="table" w:styleId="TableGrid">
    <w:name w:val="Table Grid"/>
    <w:basedOn w:val="TableNormal"/>
    <w:uiPriority w:val="59"/>
    <w:rsid w:val="00AF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41368">
      <w:bodyDiv w:val="1"/>
      <w:marLeft w:val="0"/>
      <w:marRight w:val="0"/>
      <w:marTop w:val="0"/>
      <w:marBottom w:val="0"/>
      <w:divBdr>
        <w:top w:val="none" w:sz="0" w:space="0" w:color="auto"/>
        <w:left w:val="none" w:sz="0" w:space="0" w:color="auto"/>
        <w:bottom w:val="none" w:sz="0" w:space="0" w:color="auto"/>
        <w:right w:val="none" w:sz="0" w:space="0" w:color="auto"/>
      </w:divBdr>
    </w:div>
    <w:div w:id="406655244">
      <w:bodyDiv w:val="1"/>
      <w:marLeft w:val="0"/>
      <w:marRight w:val="0"/>
      <w:marTop w:val="0"/>
      <w:marBottom w:val="0"/>
      <w:divBdr>
        <w:top w:val="none" w:sz="0" w:space="0" w:color="auto"/>
        <w:left w:val="none" w:sz="0" w:space="0" w:color="auto"/>
        <w:bottom w:val="none" w:sz="0" w:space="0" w:color="auto"/>
        <w:right w:val="none" w:sz="0" w:space="0" w:color="auto"/>
      </w:divBdr>
      <w:divsChild>
        <w:div w:id="828325292">
          <w:marLeft w:val="0"/>
          <w:marRight w:val="0"/>
          <w:marTop w:val="0"/>
          <w:marBottom w:val="0"/>
          <w:divBdr>
            <w:top w:val="none" w:sz="0" w:space="0" w:color="auto"/>
            <w:left w:val="none" w:sz="0" w:space="0" w:color="auto"/>
            <w:bottom w:val="none" w:sz="0" w:space="0" w:color="auto"/>
            <w:right w:val="none" w:sz="0" w:space="0" w:color="auto"/>
          </w:divBdr>
          <w:divsChild>
            <w:div w:id="4640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47613">
      <w:bodyDiv w:val="1"/>
      <w:marLeft w:val="0"/>
      <w:marRight w:val="0"/>
      <w:marTop w:val="0"/>
      <w:marBottom w:val="0"/>
      <w:divBdr>
        <w:top w:val="none" w:sz="0" w:space="0" w:color="auto"/>
        <w:left w:val="none" w:sz="0" w:space="0" w:color="auto"/>
        <w:bottom w:val="none" w:sz="0" w:space="0" w:color="auto"/>
        <w:right w:val="none" w:sz="0" w:space="0" w:color="auto"/>
      </w:divBdr>
    </w:div>
    <w:div w:id="500464684">
      <w:bodyDiv w:val="1"/>
      <w:marLeft w:val="0"/>
      <w:marRight w:val="0"/>
      <w:marTop w:val="0"/>
      <w:marBottom w:val="0"/>
      <w:divBdr>
        <w:top w:val="none" w:sz="0" w:space="0" w:color="auto"/>
        <w:left w:val="none" w:sz="0" w:space="0" w:color="auto"/>
        <w:bottom w:val="none" w:sz="0" w:space="0" w:color="auto"/>
        <w:right w:val="none" w:sz="0" w:space="0" w:color="auto"/>
      </w:divBdr>
    </w:div>
    <w:div w:id="512457977">
      <w:bodyDiv w:val="1"/>
      <w:marLeft w:val="0"/>
      <w:marRight w:val="0"/>
      <w:marTop w:val="0"/>
      <w:marBottom w:val="0"/>
      <w:divBdr>
        <w:top w:val="none" w:sz="0" w:space="0" w:color="auto"/>
        <w:left w:val="none" w:sz="0" w:space="0" w:color="auto"/>
        <w:bottom w:val="none" w:sz="0" w:space="0" w:color="auto"/>
        <w:right w:val="none" w:sz="0" w:space="0" w:color="auto"/>
      </w:divBdr>
    </w:div>
    <w:div w:id="681392672">
      <w:bodyDiv w:val="1"/>
      <w:marLeft w:val="0"/>
      <w:marRight w:val="0"/>
      <w:marTop w:val="0"/>
      <w:marBottom w:val="0"/>
      <w:divBdr>
        <w:top w:val="none" w:sz="0" w:space="0" w:color="auto"/>
        <w:left w:val="none" w:sz="0" w:space="0" w:color="auto"/>
        <w:bottom w:val="none" w:sz="0" w:space="0" w:color="auto"/>
        <w:right w:val="none" w:sz="0" w:space="0" w:color="auto"/>
      </w:divBdr>
    </w:div>
    <w:div w:id="746002790">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1099956302">
      <w:bodyDiv w:val="1"/>
      <w:marLeft w:val="0"/>
      <w:marRight w:val="0"/>
      <w:marTop w:val="0"/>
      <w:marBottom w:val="0"/>
      <w:divBdr>
        <w:top w:val="none" w:sz="0" w:space="0" w:color="auto"/>
        <w:left w:val="none" w:sz="0" w:space="0" w:color="auto"/>
        <w:bottom w:val="none" w:sz="0" w:space="0" w:color="auto"/>
        <w:right w:val="none" w:sz="0" w:space="0" w:color="auto"/>
      </w:divBdr>
    </w:div>
    <w:div w:id="1106924057">
      <w:bodyDiv w:val="1"/>
      <w:marLeft w:val="0"/>
      <w:marRight w:val="0"/>
      <w:marTop w:val="0"/>
      <w:marBottom w:val="0"/>
      <w:divBdr>
        <w:top w:val="none" w:sz="0" w:space="0" w:color="auto"/>
        <w:left w:val="none" w:sz="0" w:space="0" w:color="auto"/>
        <w:bottom w:val="none" w:sz="0" w:space="0" w:color="auto"/>
        <w:right w:val="none" w:sz="0" w:space="0" w:color="auto"/>
      </w:divBdr>
    </w:div>
    <w:div w:id="1149132158">
      <w:bodyDiv w:val="1"/>
      <w:marLeft w:val="0"/>
      <w:marRight w:val="0"/>
      <w:marTop w:val="0"/>
      <w:marBottom w:val="0"/>
      <w:divBdr>
        <w:top w:val="none" w:sz="0" w:space="0" w:color="auto"/>
        <w:left w:val="none" w:sz="0" w:space="0" w:color="auto"/>
        <w:bottom w:val="none" w:sz="0" w:space="0" w:color="auto"/>
        <w:right w:val="none" w:sz="0" w:space="0" w:color="auto"/>
      </w:divBdr>
    </w:div>
    <w:div w:id="1156068139">
      <w:bodyDiv w:val="1"/>
      <w:marLeft w:val="0"/>
      <w:marRight w:val="0"/>
      <w:marTop w:val="0"/>
      <w:marBottom w:val="0"/>
      <w:divBdr>
        <w:top w:val="none" w:sz="0" w:space="0" w:color="auto"/>
        <w:left w:val="none" w:sz="0" w:space="0" w:color="auto"/>
        <w:bottom w:val="none" w:sz="0" w:space="0" w:color="auto"/>
        <w:right w:val="none" w:sz="0" w:space="0" w:color="auto"/>
      </w:divBdr>
    </w:div>
    <w:div w:id="1176529935">
      <w:bodyDiv w:val="1"/>
      <w:marLeft w:val="0"/>
      <w:marRight w:val="0"/>
      <w:marTop w:val="0"/>
      <w:marBottom w:val="0"/>
      <w:divBdr>
        <w:top w:val="none" w:sz="0" w:space="0" w:color="auto"/>
        <w:left w:val="none" w:sz="0" w:space="0" w:color="auto"/>
        <w:bottom w:val="none" w:sz="0" w:space="0" w:color="auto"/>
        <w:right w:val="none" w:sz="0" w:space="0" w:color="auto"/>
      </w:divBdr>
    </w:div>
    <w:div w:id="1260330680">
      <w:bodyDiv w:val="1"/>
      <w:marLeft w:val="0"/>
      <w:marRight w:val="0"/>
      <w:marTop w:val="0"/>
      <w:marBottom w:val="0"/>
      <w:divBdr>
        <w:top w:val="none" w:sz="0" w:space="0" w:color="auto"/>
        <w:left w:val="none" w:sz="0" w:space="0" w:color="auto"/>
        <w:bottom w:val="none" w:sz="0" w:space="0" w:color="auto"/>
        <w:right w:val="none" w:sz="0" w:space="0" w:color="auto"/>
      </w:divBdr>
    </w:div>
    <w:div w:id="1484392218">
      <w:bodyDiv w:val="1"/>
      <w:marLeft w:val="0"/>
      <w:marRight w:val="0"/>
      <w:marTop w:val="0"/>
      <w:marBottom w:val="0"/>
      <w:divBdr>
        <w:top w:val="none" w:sz="0" w:space="0" w:color="auto"/>
        <w:left w:val="none" w:sz="0" w:space="0" w:color="auto"/>
        <w:bottom w:val="none" w:sz="0" w:space="0" w:color="auto"/>
        <w:right w:val="none" w:sz="0" w:space="0" w:color="auto"/>
      </w:divBdr>
    </w:div>
    <w:div w:id="1538155766">
      <w:bodyDiv w:val="1"/>
      <w:marLeft w:val="0"/>
      <w:marRight w:val="0"/>
      <w:marTop w:val="0"/>
      <w:marBottom w:val="0"/>
      <w:divBdr>
        <w:top w:val="none" w:sz="0" w:space="0" w:color="auto"/>
        <w:left w:val="none" w:sz="0" w:space="0" w:color="auto"/>
        <w:bottom w:val="none" w:sz="0" w:space="0" w:color="auto"/>
        <w:right w:val="none" w:sz="0" w:space="0" w:color="auto"/>
      </w:divBdr>
    </w:div>
    <w:div w:id="1568346325">
      <w:bodyDiv w:val="1"/>
      <w:marLeft w:val="0"/>
      <w:marRight w:val="0"/>
      <w:marTop w:val="0"/>
      <w:marBottom w:val="0"/>
      <w:divBdr>
        <w:top w:val="none" w:sz="0" w:space="0" w:color="auto"/>
        <w:left w:val="none" w:sz="0" w:space="0" w:color="auto"/>
        <w:bottom w:val="none" w:sz="0" w:space="0" w:color="auto"/>
        <w:right w:val="none" w:sz="0" w:space="0" w:color="auto"/>
      </w:divBdr>
    </w:div>
    <w:div w:id="1579091738">
      <w:bodyDiv w:val="1"/>
      <w:marLeft w:val="0"/>
      <w:marRight w:val="0"/>
      <w:marTop w:val="0"/>
      <w:marBottom w:val="0"/>
      <w:divBdr>
        <w:top w:val="none" w:sz="0" w:space="0" w:color="auto"/>
        <w:left w:val="none" w:sz="0" w:space="0" w:color="auto"/>
        <w:bottom w:val="none" w:sz="0" w:space="0" w:color="auto"/>
        <w:right w:val="none" w:sz="0" w:space="0" w:color="auto"/>
      </w:divBdr>
    </w:div>
    <w:div w:id="17952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tga.gov.au/reporting-problems"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rypgpfil01\reg\PIH\Products\Xalkori\TGA_e000286\0013%20Cat%201%20PI_OverallSurvival_Study1014_RMP_Update\Module%201\1.3.1.2%20pi-pfpxalkc-approvedDec2017_new_format_no-changes.doc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oter" Target="footer2.xml"/><Relationship Id="rId10" Type="http://schemas.openxmlformats.org/officeDocument/2006/relationships/hyperlink" Target="file:///\\wrypgpfil01\reg\PIH\Products\Xalkori\TGA_e000286\0013%20Cat%201%20PI_OverallSurvival_Study1014_RMP_Update\Module%201\1.3.1.2%20pi-pfpxalkc-approvedDec2017_new_format_no-changes.docx" TargetMode="External"/><Relationship Id="rId19" Type="http://schemas.openxmlformats.org/officeDocument/2006/relationships/hyperlink" Target="http://www.pfizer.com.au" TargetMode="External"/><Relationship Id="rId4" Type="http://schemas.openxmlformats.org/officeDocument/2006/relationships/styles" Target="styles.xml"/><Relationship Id="rId9" Type="http://schemas.openxmlformats.org/officeDocument/2006/relationships/hyperlink" Target="http://www.tga.gov.au/reporting-problems" TargetMode="External"/><Relationship Id="rId14" Type="http://schemas.openxmlformats.org/officeDocument/2006/relationships/image" Target="media/image2.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S i m c y p D a t a   x m l n s = " h t t p : / / w w w . s i m c y p . c o m / " >  
     < C h a r t s / >  
     < R e s u l t s T a b l e s / >  
     < I n p u t T a b l e s / >  
 < / S i m c y p 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C99A7-C59B-4072-8973-2668E8FC39CF}">
  <ds:schemaRefs>
    <ds:schemaRef ds:uri="http://www.simcyp.com/"/>
  </ds:schemaRefs>
</ds:datastoreItem>
</file>

<file path=customXml/itemProps2.xml><?xml version="1.0" encoding="utf-8"?>
<ds:datastoreItem xmlns:ds="http://schemas.openxmlformats.org/officeDocument/2006/customXml" ds:itemID="{DD638EE0-8A10-4BE6-ABE8-3A8C52E5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17</Pages>
  <Words>5429</Words>
  <Characters>31274</Characters>
  <Application>Microsoft Office Word</Application>
  <DocSecurity>0</DocSecurity>
  <Lines>893</Lines>
  <Paragraphs>582</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Talazoparib (as tosilate)</dc:title>
  <dc:subject>prescription medicines</dc:subject>
  <dc:creator>Pfizer Australia Pty Ltd</dc:creator>
  <cp:keywords>AusPARs</cp:keywords>
  <cp:lastPrinted>2019-11-19T10:32:00Z</cp:lastPrinted>
  <dcterms:created xsi:type="dcterms:W3CDTF">2019-11-12T02:29:00Z</dcterms:created>
  <dcterms:modified xsi:type="dcterms:W3CDTF">2020-03-10T05:19:00Z</dcterms:modified>
</cp:coreProperties>
</file>