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C281A" w:rsidP="00096AA7">
            <w:pPr>
              <w:rPr>
                <w:rFonts w:ascii="Arial" w:hAnsi="Arial" w:cs="Arial"/>
                <w:b/>
                <w:color w:val="002C47"/>
                <w:sz w:val="36"/>
                <w:szCs w:val="36"/>
              </w:rPr>
            </w:pPr>
            <w:r>
              <w:rPr>
                <w:rFonts w:ascii="Arial" w:hAnsi="Arial" w:cs="Arial"/>
                <w:b/>
                <w:color w:val="002C47"/>
                <w:sz w:val="36"/>
                <w:szCs w:val="36"/>
              </w:rPr>
              <w:t>July 2015</w:t>
            </w:r>
          </w:p>
        </w:tc>
      </w:tr>
    </w:tbl>
    <w:tbl>
      <w:tblPr>
        <w:tblpPr w:leftFromText="180" w:rightFromText="180" w:vertAnchor="page" w:tblpY="3316"/>
        <w:tblW w:w="9706" w:type="dxa"/>
        <w:tblLayout w:type="fixed"/>
        <w:tblLook w:val="04A0" w:firstRow="1" w:lastRow="0" w:firstColumn="1" w:lastColumn="0" w:noHBand="0" w:noVBand="1"/>
      </w:tblPr>
      <w:tblGrid>
        <w:gridCol w:w="9706"/>
      </w:tblGrid>
      <w:tr w:rsidR="0032583B" w:rsidRPr="00A964D1" w:rsidTr="00AC281A">
        <w:trPr>
          <w:trHeight w:val="888"/>
        </w:trPr>
        <w:tc>
          <w:tcPr>
            <w:tcW w:w="9706" w:type="dxa"/>
          </w:tcPr>
          <w:p w:rsidR="0032583B" w:rsidRPr="006F7773" w:rsidRDefault="0032583B" w:rsidP="005801E5">
            <w:pPr>
              <w:pStyle w:val="Title"/>
              <w:framePr w:hSpace="0" w:wrap="auto" w:vAnchor="margin" w:yAlign="inline"/>
            </w:pPr>
            <w:r w:rsidRPr="006F7773">
              <w:t xml:space="preserve">Australian Public Assessment Report for </w:t>
            </w:r>
            <w:proofErr w:type="spellStart"/>
            <w:r w:rsidR="00AC281A" w:rsidRPr="006F7773">
              <w:t>Tafluprost</w:t>
            </w:r>
            <w:proofErr w:type="spellEnd"/>
            <w:r w:rsidR="00A312CB">
              <w:t xml:space="preserve"> </w:t>
            </w:r>
            <w:bookmarkStart w:id="0" w:name="_GoBack"/>
            <w:bookmarkEnd w:id="0"/>
            <w:r w:rsidR="00D05A5B" w:rsidRPr="006F7773">
              <w:t>/</w:t>
            </w:r>
            <w:r w:rsidR="00A312CB">
              <w:t xml:space="preserve"> </w:t>
            </w:r>
            <w:proofErr w:type="spellStart"/>
            <w:r w:rsidR="00D05A5B" w:rsidRPr="006F7773">
              <w:t>Timolol</w:t>
            </w:r>
            <w:proofErr w:type="spellEnd"/>
          </w:p>
        </w:tc>
      </w:tr>
      <w:tr w:rsidR="0032583B" w:rsidRPr="00B64760" w:rsidTr="00AC281A">
        <w:trPr>
          <w:trHeight w:val="951"/>
        </w:trPr>
        <w:tc>
          <w:tcPr>
            <w:tcW w:w="9706" w:type="dxa"/>
          </w:tcPr>
          <w:p w:rsidR="0032583B" w:rsidRPr="006F7773" w:rsidRDefault="0032583B" w:rsidP="005801E5">
            <w:pPr>
              <w:pStyle w:val="Subtitle"/>
              <w:framePr w:hSpace="0" w:wrap="auto" w:vAnchor="margin" w:yAlign="inline"/>
            </w:pPr>
            <w:r w:rsidRPr="006F7773">
              <w:t xml:space="preserve">Proprietary Product Name: </w:t>
            </w:r>
            <w:proofErr w:type="spellStart"/>
            <w:r w:rsidR="00AF5D28" w:rsidRPr="006F7773">
              <w:t>Taptiqom</w:t>
            </w:r>
            <w:proofErr w:type="spellEnd"/>
            <w:r w:rsidR="00AC281A" w:rsidRPr="006F7773">
              <w:t xml:space="preserve"> 15/5</w:t>
            </w:r>
          </w:p>
        </w:tc>
      </w:tr>
      <w:tr w:rsidR="0032583B" w:rsidRPr="00B64760" w:rsidTr="00AC281A">
        <w:trPr>
          <w:trHeight w:val="497"/>
        </w:trPr>
        <w:tc>
          <w:tcPr>
            <w:tcW w:w="9706" w:type="dxa"/>
          </w:tcPr>
          <w:p w:rsidR="0032583B" w:rsidRPr="006B43DA" w:rsidRDefault="0032583B" w:rsidP="006F7773">
            <w:pPr>
              <w:pStyle w:val="Subtitle"/>
              <w:framePr w:hSpace="0" w:wrap="auto" w:vAnchor="margin" w:yAlign="inline"/>
              <w:rPr>
                <w:b/>
                <w:smallCaps/>
                <w:lang w:val="it-IT"/>
              </w:rPr>
            </w:pPr>
            <w:r w:rsidRPr="006B43DA">
              <w:t>Sponsor:</w:t>
            </w:r>
            <w:r w:rsidR="00516F60" w:rsidRPr="006B43DA">
              <w:t xml:space="preserve"> </w:t>
            </w:r>
            <w:r w:rsidR="00AC281A" w:rsidRPr="006B43DA">
              <w:t xml:space="preserve">Merck Sharp &amp; </w:t>
            </w:r>
            <w:proofErr w:type="spellStart"/>
            <w:r w:rsidR="00AC281A" w:rsidRPr="006B43DA">
              <w:t>Dohme</w:t>
            </w:r>
            <w:proofErr w:type="spellEnd"/>
            <w:r w:rsidR="00AC281A" w:rsidRPr="006B43DA">
              <w:t xml:space="preserv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C15FA9">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15FA9">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w:t>
      </w:r>
      <w:proofErr w:type="gramStart"/>
      <w:r w:rsidR="008E7846">
        <w:t>necessary</w:t>
      </w:r>
      <w:proofErr w:type="gramEnd"/>
      <w:r w:rsidR="008E7846">
        <w:t>.</w:t>
      </w:r>
    </w:p>
    <w:p w:rsidR="008E7846" w:rsidRDefault="008E7846" w:rsidP="00C15FA9">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15FA9">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C15FA9">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C15FA9">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w:t>
      </w:r>
      <w:r w:rsidR="004F038A">
        <w:t>escription medicine submission.</w:t>
      </w:r>
    </w:p>
    <w:p w:rsidR="008E7846" w:rsidRDefault="008E7846" w:rsidP="00C15FA9">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C15FA9">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C15FA9">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C15FA9">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534DB" w:rsidRDefault="00DB6124">
          <w:pPr>
            <w:pStyle w:val="TOC2"/>
            <w:rPr>
              <w:rFonts w:asciiTheme="minorHAnsi" w:eastAsiaTheme="minorEastAsia" w:hAnsiTheme="minorHAnsi" w:cstheme="minorBidi"/>
              <w:b w:val="0"/>
              <w:noProof/>
              <w:sz w:val="22"/>
              <w:lang w:eastAsia="en-AU"/>
            </w:rPr>
          </w:pPr>
          <w:r>
            <w:rPr>
              <w:rFonts w:ascii="Arial" w:hAnsi="Arial"/>
              <w:sz w:val="32"/>
            </w:rPr>
            <w:fldChar w:fldCharType="begin"/>
          </w:r>
          <w:r w:rsidR="0089635C">
            <w:instrText xml:space="preserve"> TOC \o "1-3" \h \z \u </w:instrText>
          </w:r>
          <w:r>
            <w:rPr>
              <w:rFonts w:ascii="Arial" w:hAnsi="Arial"/>
              <w:sz w:val="32"/>
            </w:rPr>
            <w:fldChar w:fldCharType="separate"/>
          </w:r>
          <w:hyperlink w:anchor="_Toc427232193" w:history="1">
            <w:r w:rsidR="008534DB" w:rsidRPr="00E33F41">
              <w:rPr>
                <w:rStyle w:val="Hyperlink"/>
                <w:noProof/>
              </w:rPr>
              <w:t>List of the most common abbreviations used in this AusPAR</w:t>
            </w:r>
            <w:r w:rsidR="008534DB">
              <w:rPr>
                <w:noProof/>
                <w:webHidden/>
              </w:rPr>
              <w:tab/>
            </w:r>
            <w:r w:rsidR="008534DB">
              <w:rPr>
                <w:noProof/>
                <w:webHidden/>
              </w:rPr>
              <w:fldChar w:fldCharType="begin"/>
            </w:r>
            <w:r w:rsidR="008534DB">
              <w:rPr>
                <w:noProof/>
                <w:webHidden/>
              </w:rPr>
              <w:instrText xml:space="preserve"> PAGEREF _Toc427232193 \h </w:instrText>
            </w:r>
            <w:r w:rsidR="008534DB">
              <w:rPr>
                <w:noProof/>
                <w:webHidden/>
              </w:rPr>
            </w:r>
            <w:r w:rsidR="008534DB">
              <w:rPr>
                <w:noProof/>
                <w:webHidden/>
              </w:rPr>
              <w:fldChar w:fldCharType="separate"/>
            </w:r>
            <w:r w:rsidR="008534DB">
              <w:rPr>
                <w:noProof/>
                <w:webHidden/>
              </w:rPr>
              <w:t>5</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194" w:history="1">
            <w:r w:rsidR="008534DB" w:rsidRPr="00E33F41">
              <w:rPr>
                <w:rStyle w:val="Hyperlink"/>
                <w:noProof/>
              </w:rPr>
              <w:t>I. Introduction to product submission</w:t>
            </w:r>
            <w:r w:rsidR="008534DB">
              <w:rPr>
                <w:noProof/>
                <w:webHidden/>
              </w:rPr>
              <w:tab/>
            </w:r>
            <w:r w:rsidR="008534DB">
              <w:rPr>
                <w:noProof/>
                <w:webHidden/>
              </w:rPr>
              <w:fldChar w:fldCharType="begin"/>
            </w:r>
            <w:r w:rsidR="008534DB">
              <w:rPr>
                <w:noProof/>
                <w:webHidden/>
              </w:rPr>
              <w:instrText xml:space="preserve"> PAGEREF _Toc427232194 \h </w:instrText>
            </w:r>
            <w:r w:rsidR="008534DB">
              <w:rPr>
                <w:noProof/>
                <w:webHidden/>
              </w:rPr>
            </w:r>
            <w:r w:rsidR="008534DB">
              <w:rPr>
                <w:noProof/>
                <w:webHidden/>
              </w:rPr>
              <w:fldChar w:fldCharType="separate"/>
            </w:r>
            <w:r w:rsidR="008534DB">
              <w:rPr>
                <w:noProof/>
                <w:webHidden/>
              </w:rPr>
              <w:t>6</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195" w:history="1">
            <w:r w:rsidR="008534DB" w:rsidRPr="00E33F41">
              <w:rPr>
                <w:rStyle w:val="Hyperlink"/>
                <w:noProof/>
                <w:lang w:eastAsia="en-AU"/>
              </w:rPr>
              <w:t>Submission details</w:t>
            </w:r>
            <w:r w:rsidR="008534DB">
              <w:rPr>
                <w:noProof/>
                <w:webHidden/>
              </w:rPr>
              <w:tab/>
            </w:r>
            <w:r w:rsidR="008534DB">
              <w:rPr>
                <w:noProof/>
                <w:webHidden/>
              </w:rPr>
              <w:fldChar w:fldCharType="begin"/>
            </w:r>
            <w:r w:rsidR="008534DB">
              <w:rPr>
                <w:noProof/>
                <w:webHidden/>
              </w:rPr>
              <w:instrText xml:space="preserve"> PAGEREF _Toc427232195 \h </w:instrText>
            </w:r>
            <w:r w:rsidR="008534DB">
              <w:rPr>
                <w:noProof/>
                <w:webHidden/>
              </w:rPr>
            </w:r>
            <w:r w:rsidR="008534DB">
              <w:rPr>
                <w:noProof/>
                <w:webHidden/>
              </w:rPr>
              <w:fldChar w:fldCharType="separate"/>
            </w:r>
            <w:r w:rsidR="008534DB">
              <w:rPr>
                <w:noProof/>
                <w:webHidden/>
              </w:rPr>
              <w:t>6</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196" w:history="1">
            <w:r w:rsidR="008534DB" w:rsidRPr="00E33F41">
              <w:rPr>
                <w:rStyle w:val="Hyperlink"/>
                <w:noProof/>
              </w:rPr>
              <w:t>Product background</w:t>
            </w:r>
            <w:r w:rsidR="008534DB">
              <w:rPr>
                <w:noProof/>
                <w:webHidden/>
              </w:rPr>
              <w:tab/>
            </w:r>
            <w:r w:rsidR="008534DB">
              <w:rPr>
                <w:noProof/>
                <w:webHidden/>
              </w:rPr>
              <w:fldChar w:fldCharType="begin"/>
            </w:r>
            <w:r w:rsidR="008534DB">
              <w:rPr>
                <w:noProof/>
                <w:webHidden/>
              </w:rPr>
              <w:instrText xml:space="preserve"> PAGEREF _Toc427232196 \h </w:instrText>
            </w:r>
            <w:r w:rsidR="008534DB">
              <w:rPr>
                <w:noProof/>
                <w:webHidden/>
              </w:rPr>
            </w:r>
            <w:r w:rsidR="008534DB">
              <w:rPr>
                <w:noProof/>
                <w:webHidden/>
              </w:rPr>
              <w:fldChar w:fldCharType="separate"/>
            </w:r>
            <w:r w:rsidR="008534DB">
              <w:rPr>
                <w:noProof/>
                <w:webHidden/>
              </w:rPr>
              <w:t>6</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197" w:history="1">
            <w:r w:rsidR="008534DB" w:rsidRPr="00E33F41">
              <w:rPr>
                <w:rStyle w:val="Hyperlink"/>
                <w:noProof/>
              </w:rPr>
              <w:t>Regulatory status</w:t>
            </w:r>
            <w:r w:rsidR="008534DB">
              <w:rPr>
                <w:noProof/>
                <w:webHidden/>
              </w:rPr>
              <w:tab/>
            </w:r>
            <w:r w:rsidR="008534DB">
              <w:rPr>
                <w:noProof/>
                <w:webHidden/>
              </w:rPr>
              <w:fldChar w:fldCharType="begin"/>
            </w:r>
            <w:r w:rsidR="008534DB">
              <w:rPr>
                <w:noProof/>
                <w:webHidden/>
              </w:rPr>
              <w:instrText xml:space="preserve"> PAGEREF _Toc427232197 \h </w:instrText>
            </w:r>
            <w:r w:rsidR="008534DB">
              <w:rPr>
                <w:noProof/>
                <w:webHidden/>
              </w:rPr>
            </w:r>
            <w:r w:rsidR="008534DB">
              <w:rPr>
                <w:noProof/>
                <w:webHidden/>
              </w:rPr>
              <w:fldChar w:fldCharType="separate"/>
            </w:r>
            <w:r w:rsidR="008534DB">
              <w:rPr>
                <w:noProof/>
                <w:webHidden/>
              </w:rPr>
              <w:t>7</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198" w:history="1">
            <w:r w:rsidR="008534DB" w:rsidRPr="00E33F41">
              <w:rPr>
                <w:rStyle w:val="Hyperlink"/>
                <w:noProof/>
              </w:rPr>
              <w:t>Product Information</w:t>
            </w:r>
            <w:r w:rsidR="008534DB">
              <w:rPr>
                <w:noProof/>
                <w:webHidden/>
              </w:rPr>
              <w:tab/>
            </w:r>
            <w:r w:rsidR="008534DB">
              <w:rPr>
                <w:noProof/>
                <w:webHidden/>
              </w:rPr>
              <w:fldChar w:fldCharType="begin"/>
            </w:r>
            <w:r w:rsidR="008534DB">
              <w:rPr>
                <w:noProof/>
                <w:webHidden/>
              </w:rPr>
              <w:instrText xml:space="preserve"> PAGEREF _Toc427232198 \h </w:instrText>
            </w:r>
            <w:r w:rsidR="008534DB">
              <w:rPr>
                <w:noProof/>
                <w:webHidden/>
              </w:rPr>
            </w:r>
            <w:r w:rsidR="008534DB">
              <w:rPr>
                <w:noProof/>
                <w:webHidden/>
              </w:rPr>
              <w:fldChar w:fldCharType="separate"/>
            </w:r>
            <w:r w:rsidR="008534DB">
              <w:rPr>
                <w:noProof/>
                <w:webHidden/>
              </w:rPr>
              <w:t>8</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199" w:history="1">
            <w:r w:rsidR="008534DB" w:rsidRPr="00E33F41">
              <w:rPr>
                <w:rStyle w:val="Hyperlink"/>
                <w:noProof/>
              </w:rPr>
              <w:t>II. Quality findings</w:t>
            </w:r>
            <w:r w:rsidR="008534DB">
              <w:rPr>
                <w:noProof/>
                <w:webHidden/>
              </w:rPr>
              <w:tab/>
            </w:r>
            <w:r w:rsidR="008534DB">
              <w:rPr>
                <w:noProof/>
                <w:webHidden/>
              </w:rPr>
              <w:fldChar w:fldCharType="begin"/>
            </w:r>
            <w:r w:rsidR="008534DB">
              <w:rPr>
                <w:noProof/>
                <w:webHidden/>
              </w:rPr>
              <w:instrText xml:space="preserve"> PAGEREF _Toc427232199 \h </w:instrText>
            </w:r>
            <w:r w:rsidR="008534DB">
              <w:rPr>
                <w:noProof/>
                <w:webHidden/>
              </w:rPr>
            </w:r>
            <w:r w:rsidR="008534DB">
              <w:rPr>
                <w:noProof/>
                <w:webHidden/>
              </w:rPr>
              <w:fldChar w:fldCharType="separate"/>
            </w:r>
            <w:r w:rsidR="008534DB">
              <w:rPr>
                <w:noProof/>
                <w:webHidden/>
              </w:rPr>
              <w:t>9</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0" w:history="1">
            <w:r w:rsidR="008534DB" w:rsidRPr="00E33F41">
              <w:rPr>
                <w:rStyle w:val="Hyperlink"/>
                <w:noProof/>
              </w:rPr>
              <w:t>Introduction</w:t>
            </w:r>
            <w:r w:rsidR="008534DB">
              <w:rPr>
                <w:noProof/>
                <w:webHidden/>
              </w:rPr>
              <w:tab/>
            </w:r>
            <w:r w:rsidR="008534DB">
              <w:rPr>
                <w:noProof/>
                <w:webHidden/>
              </w:rPr>
              <w:fldChar w:fldCharType="begin"/>
            </w:r>
            <w:r w:rsidR="008534DB">
              <w:rPr>
                <w:noProof/>
                <w:webHidden/>
              </w:rPr>
              <w:instrText xml:space="preserve"> PAGEREF _Toc427232200 \h </w:instrText>
            </w:r>
            <w:r w:rsidR="008534DB">
              <w:rPr>
                <w:noProof/>
                <w:webHidden/>
              </w:rPr>
            </w:r>
            <w:r w:rsidR="008534DB">
              <w:rPr>
                <w:noProof/>
                <w:webHidden/>
              </w:rPr>
              <w:fldChar w:fldCharType="separate"/>
            </w:r>
            <w:r w:rsidR="008534DB">
              <w:rPr>
                <w:noProof/>
                <w:webHidden/>
              </w:rPr>
              <w:t>9</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1" w:history="1">
            <w:r w:rsidR="008534DB" w:rsidRPr="00E33F41">
              <w:rPr>
                <w:rStyle w:val="Hyperlink"/>
                <w:noProof/>
              </w:rPr>
              <w:t>Drug substance (active ingredient)</w:t>
            </w:r>
            <w:r w:rsidR="008534DB">
              <w:rPr>
                <w:noProof/>
                <w:webHidden/>
              </w:rPr>
              <w:tab/>
            </w:r>
            <w:r w:rsidR="008534DB">
              <w:rPr>
                <w:noProof/>
                <w:webHidden/>
              </w:rPr>
              <w:fldChar w:fldCharType="begin"/>
            </w:r>
            <w:r w:rsidR="008534DB">
              <w:rPr>
                <w:noProof/>
                <w:webHidden/>
              </w:rPr>
              <w:instrText xml:space="preserve"> PAGEREF _Toc427232201 \h </w:instrText>
            </w:r>
            <w:r w:rsidR="008534DB">
              <w:rPr>
                <w:noProof/>
                <w:webHidden/>
              </w:rPr>
            </w:r>
            <w:r w:rsidR="008534DB">
              <w:rPr>
                <w:noProof/>
                <w:webHidden/>
              </w:rPr>
              <w:fldChar w:fldCharType="separate"/>
            </w:r>
            <w:r w:rsidR="008534DB">
              <w:rPr>
                <w:noProof/>
                <w:webHidden/>
              </w:rPr>
              <w:t>9</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2" w:history="1">
            <w:r w:rsidR="008534DB" w:rsidRPr="00E33F41">
              <w:rPr>
                <w:rStyle w:val="Hyperlink"/>
                <w:noProof/>
              </w:rPr>
              <w:t>Drug product</w:t>
            </w:r>
            <w:r w:rsidR="008534DB">
              <w:rPr>
                <w:noProof/>
                <w:webHidden/>
              </w:rPr>
              <w:tab/>
            </w:r>
            <w:r w:rsidR="008534DB">
              <w:rPr>
                <w:noProof/>
                <w:webHidden/>
              </w:rPr>
              <w:fldChar w:fldCharType="begin"/>
            </w:r>
            <w:r w:rsidR="008534DB">
              <w:rPr>
                <w:noProof/>
                <w:webHidden/>
              </w:rPr>
              <w:instrText xml:space="preserve"> PAGEREF _Toc427232202 \h </w:instrText>
            </w:r>
            <w:r w:rsidR="008534DB">
              <w:rPr>
                <w:noProof/>
                <w:webHidden/>
              </w:rPr>
            </w:r>
            <w:r w:rsidR="008534DB">
              <w:rPr>
                <w:noProof/>
                <w:webHidden/>
              </w:rPr>
              <w:fldChar w:fldCharType="separate"/>
            </w:r>
            <w:r w:rsidR="008534DB">
              <w:rPr>
                <w:noProof/>
                <w:webHidden/>
              </w:rPr>
              <w:t>9</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3" w:history="1">
            <w:r w:rsidR="008534DB" w:rsidRPr="00E33F41">
              <w:rPr>
                <w:rStyle w:val="Hyperlink"/>
                <w:noProof/>
              </w:rPr>
              <w:t>Biopharmaceutics</w:t>
            </w:r>
            <w:r w:rsidR="008534DB">
              <w:rPr>
                <w:noProof/>
                <w:webHidden/>
              </w:rPr>
              <w:tab/>
            </w:r>
            <w:r w:rsidR="008534DB">
              <w:rPr>
                <w:noProof/>
                <w:webHidden/>
              </w:rPr>
              <w:fldChar w:fldCharType="begin"/>
            </w:r>
            <w:r w:rsidR="008534DB">
              <w:rPr>
                <w:noProof/>
                <w:webHidden/>
              </w:rPr>
              <w:instrText xml:space="preserve"> PAGEREF _Toc427232203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4" w:history="1">
            <w:r w:rsidR="008534DB" w:rsidRPr="00E33F41">
              <w:rPr>
                <w:rStyle w:val="Hyperlink"/>
                <w:noProof/>
              </w:rPr>
              <w:t>Advisory committee considerations</w:t>
            </w:r>
            <w:r w:rsidR="008534DB">
              <w:rPr>
                <w:noProof/>
                <w:webHidden/>
              </w:rPr>
              <w:tab/>
            </w:r>
            <w:r w:rsidR="008534DB">
              <w:rPr>
                <w:noProof/>
                <w:webHidden/>
              </w:rPr>
              <w:fldChar w:fldCharType="begin"/>
            </w:r>
            <w:r w:rsidR="008534DB">
              <w:rPr>
                <w:noProof/>
                <w:webHidden/>
              </w:rPr>
              <w:instrText xml:space="preserve"> PAGEREF _Toc427232204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5" w:history="1">
            <w:r w:rsidR="008534DB" w:rsidRPr="00E33F41">
              <w:rPr>
                <w:rStyle w:val="Hyperlink"/>
                <w:noProof/>
              </w:rPr>
              <w:t>Quality summary and conclusions</w:t>
            </w:r>
            <w:r w:rsidR="008534DB">
              <w:rPr>
                <w:noProof/>
                <w:webHidden/>
              </w:rPr>
              <w:tab/>
            </w:r>
            <w:r w:rsidR="008534DB">
              <w:rPr>
                <w:noProof/>
                <w:webHidden/>
              </w:rPr>
              <w:fldChar w:fldCharType="begin"/>
            </w:r>
            <w:r w:rsidR="008534DB">
              <w:rPr>
                <w:noProof/>
                <w:webHidden/>
              </w:rPr>
              <w:instrText xml:space="preserve"> PAGEREF _Toc427232205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06" w:history="1">
            <w:r w:rsidR="008534DB" w:rsidRPr="00E33F41">
              <w:rPr>
                <w:rStyle w:val="Hyperlink"/>
                <w:noProof/>
              </w:rPr>
              <w:t>III. Nonclinical findings</w:t>
            </w:r>
            <w:r w:rsidR="008534DB">
              <w:rPr>
                <w:noProof/>
                <w:webHidden/>
              </w:rPr>
              <w:tab/>
            </w:r>
            <w:r w:rsidR="008534DB">
              <w:rPr>
                <w:noProof/>
                <w:webHidden/>
              </w:rPr>
              <w:fldChar w:fldCharType="begin"/>
            </w:r>
            <w:r w:rsidR="008534DB">
              <w:rPr>
                <w:noProof/>
                <w:webHidden/>
              </w:rPr>
              <w:instrText xml:space="preserve"> PAGEREF _Toc427232206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7" w:history="1">
            <w:r w:rsidR="008534DB" w:rsidRPr="00E33F41">
              <w:rPr>
                <w:rStyle w:val="Hyperlink"/>
                <w:noProof/>
              </w:rPr>
              <w:t>Introduction</w:t>
            </w:r>
            <w:r w:rsidR="008534DB">
              <w:rPr>
                <w:noProof/>
                <w:webHidden/>
              </w:rPr>
              <w:tab/>
            </w:r>
            <w:r w:rsidR="008534DB">
              <w:rPr>
                <w:noProof/>
                <w:webHidden/>
              </w:rPr>
              <w:fldChar w:fldCharType="begin"/>
            </w:r>
            <w:r w:rsidR="008534DB">
              <w:rPr>
                <w:noProof/>
                <w:webHidden/>
              </w:rPr>
              <w:instrText xml:space="preserve"> PAGEREF _Toc427232207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8" w:history="1">
            <w:r w:rsidR="008534DB" w:rsidRPr="00E33F41">
              <w:rPr>
                <w:rStyle w:val="Hyperlink"/>
                <w:noProof/>
              </w:rPr>
              <w:t>Pharmacology</w:t>
            </w:r>
            <w:r w:rsidR="008534DB">
              <w:rPr>
                <w:noProof/>
                <w:webHidden/>
              </w:rPr>
              <w:tab/>
            </w:r>
            <w:r w:rsidR="008534DB">
              <w:rPr>
                <w:noProof/>
                <w:webHidden/>
              </w:rPr>
              <w:fldChar w:fldCharType="begin"/>
            </w:r>
            <w:r w:rsidR="008534DB">
              <w:rPr>
                <w:noProof/>
                <w:webHidden/>
              </w:rPr>
              <w:instrText xml:space="preserve"> PAGEREF _Toc427232208 \h </w:instrText>
            </w:r>
            <w:r w:rsidR="008534DB">
              <w:rPr>
                <w:noProof/>
                <w:webHidden/>
              </w:rPr>
            </w:r>
            <w:r w:rsidR="008534DB">
              <w:rPr>
                <w:noProof/>
                <w:webHidden/>
              </w:rPr>
              <w:fldChar w:fldCharType="separate"/>
            </w:r>
            <w:r w:rsidR="008534DB">
              <w:rPr>
                <w:noProof/>
                <w:webHidden/>
              </w:rPr>
              <w:t>10</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09" w:history="1">
            <w:r w:rsidR="008534DB" w:rsidRPr="00E33F41">
              <w:rPr>
                <w:rStyle w:val="Hyperlink"/>
                <w:noProof/>
              </w:rPr>
              <w:t>Pharmacokinetics</w:t>
            </w:r>
            <w:r w:rsidR="008534DB">
              <w:rPr>
                <w:noProof/>
                <w:webHidden/>
              </w:rPr>
              <w:tab/>
            </w:r>
            <w:r w:rsidR="008534DB">
              <w:rPr>
                <w:noProof/>
                <w:webHidden/>
              </w:rPr>
              <w:fldChar w:fldCharType="begin"/>
            </w:r>
            <w:r w:rsidR="008534DB">
              <w:rPr>
                <w:noProof/>
                <w:webHidden/>
              </w:rPr>
              <w:instrText xml:space="preserve"> PAGEREF _Toc427232209 \h </w:instrText>
            </w:r>
            <w:r w:rsidR="008534DB">
              <w:rPr>
                <w:noProof/>
                <w:webHidden/>
              </w:rPr>
            </w:r>
            <w:r w:rsidR="008534DB">
              <w:rPr>
                <w:noProof/>
                <w:webHidden/>
              </w:rPr>
              <w:fldChar w:fldCharType="separate"/>
            </w:r>
            <w:r w:rsidR="008534DB">
              <w:rPr>
                <w:noProof/>
                <w:webHidden/>
              </w:rPr>
              <w:t>11</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0" w:history="1">
            <w:r w:rsidR="008534DB" w:rsidRPr="00E33F41">
              <w:rPr>
                <w:rStyle w:val="Hyperlink"/>
                <w:noProof/>
              </w:rPr>
              <w:t>Toxicology</w:t>
            </w:r>
            <w:r w:rsidR="008534DB">
              <w:rPr>
                <w:noProof/>
                <w:webHidden/>
              </w:rPr>
              <w:tab/>
            </w:r>
            <w:r w:rsidR="008534DB">
              <w:rPr>
                <w:noProof/>
                <w:webHidden/>
              </w:rPr>
              <w:fldChar w:fldCharType="begin"/>
            </w:r>
            <w:r w:rsidR="008534DB">
              <w:rPr>
                <w:noProof/>
                <w:webHidden/>
              </w:rPr>
              <w:instrText xml:space="preserve"> PAGEREF _Toc427232210 \h </w:instrText>
            </w:r>
            <w:r w:rsidR="008534DB">
              <w:rPr>
                <w:noProof/>
                <w:webHidden/>
              </w:rPr>
            </w:r>
            <w:r w:rsidR="008534DB">
              <w:rPr>
                <w:noProof/>
                <w:webHidden/>
              </w:rPr>
              <w:fldChar w:fldCharType="separate"/>
            </w:r>
            <w:r w:rsidR="008534DB">
              <w:rPr>
                <w:noProof/>
                <w:webHidden/>
              </w:rPr>
              <w:t>11</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1" w:history="1">
            <w:r w:rsidR="008534DB" w:rsidRPr="00E33F41">
              <w:rPr>
                <w:rStyle w:val="Hyperlink"/>
                <w:noProof/>
              </w:rPr>
              <w:t>Nonclinical summary and conclusions</w:t>
            </w:r>
            <w:r w:rsidR="008534DB">
              <w:rPr>
                <w:noProof/>
                <w:webHidden/>
              </w:rPr>
              <w:tab/>
            </w:r>
            <w:r w:rsidR="008534DB">
              <w:rPr>
                <w:noProof/>
                <w:webHidden/>
              </w:rPr>
              <w:fldChar w:fldCharType="begin"/>
            </w:r>
            <w:r w:rsidR="008534DB">
              <w:rPr>
                <w:noProof/>
                <w:webHidden/>
              </w:rPr>
              <w:instrText xml:space="preserve"> PAGEREF _Toc427232211 \h </w:instrText>
            </w:r>
            <w:r w:rsidR="008534DB">
              <w:rPr>
                <w:noProof/>
                <w:webHidden/>
              </w:rPr>
            </w:r>
            <w:r w:rsidR="008534DB">
              <w:rPr>
                <w:noProof/>
                <w:webHidden/>
              </w:rPr>
              <w:fldChar w:fldCharType="separate"/>
            </w:r>
            <w:r w:rsidR="008534DB">
              <w:rPr>
                <w:noProof/>
                <w:webHidden/>
              </w:rPr>
              <w:t>12</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12" w:history="1">
            <w:r w:rsidR="008534DB" w:rsidRPr="00E33F41">
              <w:rPr>
                <w:rStyle w:val="Hyperlink"/>
                <w:noProof/>
              </w:rPr>
              <w:t>Clinical findings</w:t>
            </w:r>
            <w:r w:rsidR="008534DB">
              <w:rPr>
                <w:noProof/>
                <w:webHidden/>
              </w:rPr>
              <w:tab/>
            </w:r>
            <w:r w:rsidR="008534DB">
              <w:rPr>
                <w:noProof/>
                <w:webHidden/>
              </w:rPr>
              <w:fldChar w:fldCharType="begin"/>
            </w:r>
            <w:r w:rsidR="008534DB">
              <w:rPr>
                <w:noProof/>
                <w:webHidden/>
              </w:rPr>
              <w:instrText xml:space="preserve"> PAGEREF _Toc427232212 \h </w:instrText>
            </w:r>
            <w:r w:rsidR="008534DB">
              <w:rPr>
                <w:noProof/>
                <w:webHidden/>
              </w:rPr>
            </w:r>
            <w:r w:rsidR="008534DB">
              <w:rPr>
                <w:noProof/>
                <w:webHidden/>
              </w:rPr>
              <w:fldChar w:fldCharType="separate"/>
            </w:r>
            <w:r w:rsidR="008534DB">
              <w:rPr>
                <w:noProof/>
                <w:webHidden/>
              </w:rPr>
              <w:t>12</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3" w:history="1">
            <w:r w:rsidR="008534DB" w:rsidRPr="00E33F41">
              <w:rPr>
                <w:rStyle w:val="Hyperlink"/>
                <w:noProof/>
              </w:rPr>
              <w:t>Introduction</w:t>
            </w:r>
            <w:r w:rsidR="008534DB">
              <w:rPr>
                <w:noProof/>
                <w:webHidden/>
              </w:rPr>
              <w:tab/>
            </w:r>
            <w:r w:rsidR="008534DB">
              <w:rPr>
                <w:noProof/>
                <w:webHidden/>
              </w:rPr>
              <w:fldChar w:fldCharType="begin"/>
            </w:r>
            <w:r w:rsidR="008534DB">
              <w:rPr>
                <w:noProof/>
                <w:webHidden/>
              </w:rPr>
              <w:instrText xml:space="preserve"> PAGEREF _Toc427232213 \h </w:instrText>
            </w:r>
            <w:r w:rsidR="008534DB">
              <w:rPr>
                <w:noProof/>
                <w:webHidden/>
              </w:rPr>
            </w:r>
            <w:r w:rsidR="008534DB">
              <w:rPr>
                <w:noProof/>
                <w:webHidden/>
              </w:rPr>
              <w:fldChar w:fldCharType="separate"/>
            </w:r>
            <w:r w:rsidR="008534DB">
              <w:rPr>
                <w:noProof/>
                <w:webHidden/>
              </w:rPr>
              <w:t>12</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4" w:history="1">
            <w:r w:rsidR="008534DB" w:rsidRPr="00E33F41">
              <w:rPr>
                <w:rStyle w:val="Hyperlink"/>
                <w:noProof/>
              </w:rPr>
              <w:t>Pharmacokinetics</w:t>
            </w:r>
            <w:r w:rsidR="008534DB">
              <w:rPr>
                <w:noProof/>
                <w:webHidden/>
              </w:rPr>
              <w:tab/>
            </w:r>
            <w:r w:rsidR="008534DB">
              <w:rPr>
                <w:noProof/>
                <w:webHidden/>
              </w:rPr>
              <w:fldChar w:fldCharType="begin"/>
            </w:r>
            <w:r w:rsidR="008534DB">
              <w:rPr>
                <w:noProof/>
                <w:webHidden/>
              </w:rPr>
              <w:instrText xml:space="preserve"> PAGEREF _Toc427232214 \h </w:instrText>
            </w:r>
            <w:r w:rsidR="008534DB">
              <w:rPr>
                <w:noProof/>
                <w:webHidden/>
              </w:rPr>
            </w:r>
            <w:r w:rsidR="008534DB">
              <w:rPr>
                <w:noProof/>
                <w:webHidden/>
              </w:rPr>
              <w:fldChar w:fldCharType="separate"/>
            </w:r>
            <w:r w:rsidR="008534DB">
              <w:rPr>
                <w:noProof/>
                <w:webHidden/>
              </w:rPr>
              <w:t>13</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5" w:history="1">
            <w:r w:rsidR="008534DB" w:rsidRPr="00E33F41">
              <w:rPr>
                <w:rStyle w:val="Hyperlink"/>
                <w:noProof/>
              </w:rPr>
              <w:t>Pharmacodynamics</w:t>
            </w:r>
            <w:r w:rsidR="008534DB">
              <w:rPr>
                <w:noProof/>
                <w:webHidden/>
              </w:rPr>
              <w:tab/>
            </w:r>
            <w:r w:rsidR="008534DB">
              <w:rPr>
                <w:noProof/>
                <w:webHidden/>
              </w:rPr>
              <w:fldChar w:fldCharType="begin"/>
            </w:r>
            <w:r w:rsidR="008534DB">
              <w:rPr>
                <w:noProof/>
                <w:webHidden/>
              </w:rPr>
              <w:instrText xml:space="preserve"> PAGEREF _Toc427232215 \h </w:instrText>
            </w:r>
            <w:r w:rsidR="008534DB">
              <w:rPr>
                <w:noProof/>
                <w:webHidden/>
              </w:rPr>
            </w:r>
            <w:r w:rsidR="008534DB">
              <w:rPr>
                <w:noProof/>
                <w:webHidden/>
              </w:rPr>
              <w:fldChar w:fldCharType="separate"/>
            </w:r>
            <w:r w:rsidR="008534DB">
              <w:rPr>
                <w:noProof/>
                <w:webHidden/>
              </w:rPr>
              <w:t>14</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6" w:history="1">
            <w:r w:rsidR="008534DB" w:rsidRPr="00E33F41">
              <w:rPr>
                <w:rStyle w:val="Hyperlink"/>
                <w:noProof/>
              </w:rPr>
              <w:t>Dosage selection for the pivotal studies</w:t>
            </w:r>
            <w:r w:rsidR="008534DB">
              <w:rPr>
                <w:noProof/>
                <w:webHidden/>
              </w:rPr>
              <w:tab/>
            </w:r>
            <w:r w:rsidR="008534DB">
              <w:rPr>
                <w:noProof/>
                <w:webHidden/>
              </w:rPr>
              <w:fldChar w:fldCharType="begin"/>
            </w:r>
            <w:r w:rsidR="008534DB">
              <w:rPr>
                <w:noProof/>
                <w:webHidden/>
              </w:rPr>
              <w:instrText xml:space="preserve"> PAGEREF _Toc427232216 \h </w:instrText>
            </w:r>
            <w:r w:rsidR="008534DB">
              <w:rPr>
                <w:noProof/>
                <w:webHidden/>
              </w:rPr>
            </w:r>
            <w:r w:rsidR="008534DB">
              <w:rPr>
                <w:noProof/>
                <w:webHidden/>
              </w:rPr>
              <w:fldChar w:fldCharType="separate"/>
            </w:r>
            <w:r w:rsidR="008534DB">
              <w:rPr>
                <w:noProof/>
                <w:webHidden/>
              </w:rPr>
              <w:t>14</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7" w:history="1">
            <w:r w:rsidR="008534DB" w:rsidRPr="00E33F41">
              <w:rPr>
                <w:rStyle w:val="Hyperlink"/>
                <w:noProof/>
              </w:rPr>
              <w:t>Efficacy</w:t>
            </w:r>
            <w:r w:rsidR="008534DB">
              <w:rPr>
                <w:noProof/>
                <w:webHidden/>
              </w:rPr>
              <w:tab/>
            </w:r>
            <w:r w:rsidR="008534DB">
              <w:rPr>
                <w:noProof/>
                <w:webHidden/>
              </w:rPr>
              <w:fldChar w:fldCharType="begin"/>
            </w:r>
            <w:r w:rsidR="008534DB">
              <w:rPr>
                <w:noProof/>
                <w:webHidden/>
              </w:rPr>
              <w:instrText xml:space="preserve"> PAGEREF _Toc427232217 \h </w:instrText>
            </w:r>
            <w:r w:rsidR="008534DB">
              <w:rPr>
                <w:noProof/>
                <w:webHidden/>
              </w:rPr>
            </w:r>
            <w:r w:rsidR="008534DB">
              <w:rPr>
                <w:noProof/>
                <w:webHidden/>
              </w:rPr>
              <w:fldChar w:fldCharType="separate"/>
            </w:r>
            <w:r w:rsidR="008534DB">
              <w:rPr>
                <w:noProof/>
                <w:webHidden/>
              </w:rPr>
              <w:t>14</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8" w:history="1">
            <w:r w:rsidR="008534DB" w:rsidRPr="00E33F41">
              <w:rPr>
                <w:rStyle w:val="Hyperlink"/>
                <w:noProof/>
              </w:rPr>
              <w:t>Safety</w:t>
            </w:r>
            <w:r w:rsidR="008534DB">
              <w:rPr>
                <w:noProof/>
                <w:webHidden/>
              </w:rPr>
              <w:tab/>
            </w:r>
            <w:r w:rsidR="008534DB">
              <w:rPr>
                <w:noProof/>
                <w:webHidden/>
              </w:rPr>
              <w:fldChar w:fldCharType="begin"/>
            </w:r>
            <w:r w:rsidR="008534DB">
              <w:rPr>
                <w:noProof/>
                <w:webHidden/>
              </w:rPr>
              <w:instrText xml:space="preserve"> PAGEREF _Toc427232218 \h </w:instrText>
            </w:r>
            <w:r w:rsidR="008534DB">
              <w:rPr>
                <w:noProof/>
                <w:webHidden/>
              </w:rPr>
            </w:r>
            <w:r w:rsidR="008534DB">
              <w:rPr>
                <w:noProof/>
                <w:webHidden/>
              </w:rPr>
              <w:fldChar w:fldCharType="separate"/>
            </w:r>
            <w:r w:rsidR="008534DB">
              <w:rPr>
                <w:noProof/>
                <w:webHidden/>
              </w:rPr>
              <w:t>15</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19" w:history="1">
            <w:r w:rsidR="008534DB" w:rsidRPr="00E33F41">
              <w:rPr>
                <w:rStyle w:val="Hyperlink"/>
                <w:noProof/>
              </w:rPr>
              <w:t>First round benefit-risk assessment</w:t>
            </w:r>
            <w:r w:rsidR="008534DB">
              <w:rPr>
                <w:noProof/>
                <w:webHidden/>
              </w:rPr>
              <w:tab/>
            </w:r>
            <w:r w:rsidR="008534DB">
              <w:rPr>
                <w:noProof/>
                <w:webHidden/>
              </w:rPr>
              <w:fldChar w:fldCharType="begin"/>
            </w:r>
            <w:r w:rsidR="008534DB">
              <w:rPr>
                <w:noProof/>
                <w:webHidden/>
              </w:rPr>
              <w:instrText xml:space="preserve"> PAGEREF _Toc427232219 \h </w:instrText>
            </w:r>
            <w:r w:rsidR="008534DB">
              <w:rPr>
                <w:noProof/>
                <w:webHidden/>
              </w:rPr>
            </w:r>
            <w:r w:rsidR="008534DB">
              <w:rPr>
                <w:noProof/>
                <w:webHidden/>
              </w:rPr>
              <w:fldChar w:fldCharType="separate"/>
            </w:r>
            <w:r w:rsidR="008534DB">
              <w:rPr>
                <w:noProof/>
                <w:webHidden/>
              </w:rPr>
              <w:t>15</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0" w:history="1">
            <w:r w:rsidR="008534DB" w:rsidRPr="00E33F41">
              <w:rPr>
                <w:rStyle w:val="Hyperlink"/>
                <w:noProof/>
              </w:rPr>
              <w:t>First round recommendation regarding authorisation</w:t>
            </w:r>
            <w:r w:rsidR="008534DB">
              <w:rPr>
                <w:noProof/>
                <w:webHidden/>
              </w:rPr>
              <w:tab/>
            </w:r>
            <w:r w:rsidR="008534DB">
              <w:rPr>
                <w:noProof/>
                <w:webHidden/>
              </w:rPr>
              <w:fldChar w:fldCharType="begin"/>
            </w:r>
            <w:r w:rsidR="008534DB">
              <w:rPr>
                <w:noProof/>
                <w:webHidden/>
              </w:rPr>
              <w:instrText xml:space="preserve"> PAGEREF _Toc427232220 \h </w:instrText>
            </w:r>
            <w:r w:rsidR="008534DB">
              <w:rPr>
                <w:noProof/>
                <w:webHidden/>
              </w:rPr>
            </w:r>
            <w:r w:rsidR="008534DB">
              <w:rPr>
                <w:noProof/>
                <w:webHidden/>
              </w:rPr>
              <w:fldChar w:fldCharType="separate"/>
            </w:r>
            <w:r w:rsidR="008534DB">
              <w:rPr>
                <w:noProof/>
                <w:webHidden/>
              </w:rPr>
              <w:t>16</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1" w:history="1">
            <w:r w:rsidR="008534DB" w:rsidRPr="00E33F41">
              <w:rPr>
                <w:rStyle w:val="Hyperlink"/>
                <w:noProof/>
              </w:rPr>
              <w:t>Clinical questions</w:t>
            </w:r>
            <w:r w:rsidR="008534DB">
              <w:rPr>
                <w:noProof/>
                <w:webHidden/>
              </w:rPr>
              <w:tab/>
            </w:r>
            <w:r w:rsidR="008534DB">
              <w:rPr>
                <w:noProof/>
                <w:webHidden/>
              </w:rPr>
              <w:fldChar w:fldCharType="begin"/>
            </w:r>
            <w:r w:rsidR="008534DB">
              <w:rPr>
                <w:noProof/>
                <w:webHidden/>
              </w:rPr>
              <w:instrText xml:space="preserve"> PAGEREF _Toc427232221 \h </w:instrText>
            </w:r>
            <w:r w:rsidR="008534DB">
              <w:rPr>
                <w:noProof/>
                <w:webHidden/>
              </w:rPr>
            </w:r>
            <w:r w:rsidR="008534DB">
              <w:rPr>
                <w:noProof/>
                <w:webHidden/>
              </w:rPr>
              <w:fldChar w:fldCharType="separate"/>
            </w:r>
            <w:r w:rsidR="008534DB">
              <w:rPr>
                <w:noProof/>
                <w:webHidden/>
              </w:rPr>
              <w:t>16</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2" w:history="1">
            <w:r w:rsidR="008534DB" w:rsidRPr="00E33F41">
              <w:rPr>
                <w:rStyle w:val="Hyperlink"/>
                <w:noProof/>
              </w:rPr>
              <w:t>Second round evaluation of clinical data submitted in response to questions</w:t>
            </w:r>
            <w:r w:rsidR="008534DB">
              <w:rPr>
                <w:noProof/>
                <w:webHidden/>
              </w:rPr>
              <w:tab/>
            </w:r>
            <w:r w:rsidR="008534DB">
              <w:rPr>
                <w:noProof/>
                <w:webHidden/>
              </w:rPr>
              <w:fldChar w:fldCharType="begin"/>
            </w:r>
            <w:r w:rsidR="008534DB">
              <w:rPr>
                <w:noProof/>
                <w:webHidden/>
              </w:rPr>
              <w:instrText xml:space="preserve"> PAGEREF _Toc427232222 \h </w:instrText>
            </w:r>
            <w:r w:rsidR="008534DB">
              <w:rPr>
                <w:noProof/>
                <w:webHidden/>
              </w:rPr>
            </w:r>
            <w:r w:rsidR="008534DB">
              <w:rPr>
                <w:noProof/>
                <w:webHidden/>
              </w:rPr>
              <w:fldChar w:fldCharType="separate"/>
            </w:r>
            <w:r w:rsidR="008534DB">
              <w:rPr>
                <w:noProof/>
                <w:webHidden/>
              </w:rPr>
              <w:t>16</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23" w:history="1">
            <w:r w:rsidR="008534DB" w:rsidRPr="00E33F41">
              <w:rPr>
                <w:rStyle w:val="Hyperlink"/>
                <w:noProof/>
              </w:rPr>
              <w:t>V. Pharmacovigilance findings</w:t>
            </w:r>
            <w:r w:rsidR="008534DB">
              <w:rPr>
                <w:noProof/>
                <w:webHidden/>
              </w:rPr>
              <w:tab/>
            </w:r>
            <w:r w:rsidR="008534DB">
              <w:rPr>
                <w:noProof/>
                <w:webHidden/>
              </w:rPr>
              <w:fldChar w:fldCharType="begin"/>
            </w:r>
            <w:r w:rsidR="008534DB">
              <w:rPr>
                <w:noProof/>
                <w:webHidden/>
              </w:rPr>
              <w:instrText xml:space="preserve"> PAGEREF _Toc427232223 \h </w:instrText>
            </w:r>
            <w:r w:rsidR="008534DB">
              <w:rPr>
                <w:noProof/>
                <w:webHidden/>
              </w:rPr>
            </w:r>
            <w:r w:rsidR="008534DB">
              <w:rPr>
                <w:noProof/>
                <w:webHidden/>
              </w:rPr>
              <w:fldChar w:fldCharType="separate"/>
            </w:r>
            <w:r w:rsidR="008534DB">
              <w:rPr>
                <w:noProof/>
                <w:webHidden/>
              </w:rPr>
              <w:t>17</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4" w:history="1">
            <w:r w:rsidR="008534DB" w:rsidRPr="00E33F41">
              <w:rPr>
                <w:rStyle w:val="Hyperlink"/>
                <w:noProof/>
                <w:lang w:eastAsia="en-AU"/>
              </w:rPr>
              <w:t>Risk management plan</w:t>
            </w:r>
            <w:r w:rsidR="008534DB">
              <w:rPr>
                <w:noProof/>
                <w:webHidden/>
              </w:rPr>
              <w:tab/>
            </w:r>
            <w:r w:rsidR="008534DB">
              <w:rPr>
                <w:noProof/>
                <w:webHidden/>
              </w:rPr>
              <w:fldChar w:fldCharType="begin"/>
            </w:r>
            <w:r w:rsidR="008534DB">
              <w:rPr>
                <w:noProof/>
                <w:webHidden/>
              </w:rPr>
              <w:instrText xml:space="preserve"> PAGEREF _Toc427232224 \h </w:instrText>
            </w:r>
            <w:r w:rsidR="008534DB">
              <w:rPr>
                <w:noProof/>
                <w:webHidden/>
              </w:rPr>
            </w:r>
            <w:r w:rsidR="008534DB">
              <w:rPr>
                <w:noProof/>
                <w:webHidden/>
              </w:rPr>
              <w:fldChar w:fldCharType="separate"/>
            </w:r>
            <w:r w:rsidR="008534DB">
              <w:rPr>
                <w:noProof/>
                <w:webHidden/>
              </w:rPr>
              <w:t>17</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25" w:history="1">
            <w:r w:rsidR="008534DB" w:rsidRPr="00E33F41">
              <w:rPr>
                <w:rStyle w:val="Hyperlink"/>
                <w:noProof/>
              </w:rPr>
              <w:t>VI. Overall conclusion and risk/benefit assessment</w:t>
            </w:r>
            <w:r w:rsidR="008534DB">
              <w:rPr>
                <w:noProof/>
                <w:webHidden/>
              </w:rPr>
              <w:tab/>
            </w:r>
            <w:r w:rsidR="008534DB">
              <w:rPr>
                <w:noProof/>
                <w:webHidden/>
              </w:rPr>
              <w:fldChar w:fldCharType="begin"/>
            </w:r>
            <w:r w:rsidR="008534DB">
              <w:rPr>
                <w:noProof/>
                <w:webHidden/>
              </w:rPr>
              <w:instrText xml:space="preserve"> PAGEREF _Toc427232225 \h </w:instrText>
            </w:r>
            <w:r w:rsidR="008534DB">
              <w:rPr>
                <w:noProof/>
                <w:webHidden/>
              </w:rPr>
            </w:r>
            <w:r w:rsidR="008534DB">
              <w:rPr>
                <w:noProof/>
                <w:webHidden/>
              </w:rPr>
              <w:fldChar w:fldCharType="separate"/>
            </w:r>
            <w:r w:rsidR="008534DB">
              <w:rPr>
                <w:noProof/>
                <w:webHidden/>
              </w:rPr>
              <w:t>24</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6" w:history="1">
            <w:r w:rsidR="008534DB" w:rsidRPr="00E33F41">
              <w:rPr>
                <w:rStyle w:val="Hyperlink"/>
                <w:noProof/>
              </w:rPr>
              <w:t>Quality</w:t>
            </w:r>
            <w:r w:rsidR="008534DB">
              <w:rPr>
                <w:noProof/>
                <w:webHidden/>
              </w:rPr>
              <w:tab/>
            </w:r>
            <w:r w:rsidR="008534DB">
              <w:rPr>
                <w:noProof/>
                <w:webHidden/>
              </w:rPr>
              <w:fldChar w:fldCharType="begin"/>
            </w:r>
            <w:r w:rsidR="008534DB">
              <w:rPr>
                <w:noProof/>
                <w:webHidden/>
              </w:rPr>
              <w:instrText xml:space="preserve"> PAGEREF _Toc427232226 \h </w:instrText>
            </w:r>
            <w:r w:rsidR="008534DB">
              <w:rPr>
                <w:noProof/>
                <w:webHidden/>
              </w:rPr>
            </w:r>
            <w:r w:rsidR="008534DB">
              <w:rPr>
                <w:noProof/>
                <w:webHidden/>
              </w:rPr>
              <w:fldChar w:fldCharType="separate"/>
            </w:r>
            <w:r w:rsidR="008534DB">
              <w:rPr>
                <w:noProof/>
                <w:webHidden/>
              </w:rPr>
              <w:t>24</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7" w:history="1">
            <w:r w:rsidR="008534DB" w:rsidRPr="00E33F41">
              <w:rPr>
                <w:rStyle w:val="Hyperlink"/>
                <w:noProof/>
              </w:rPr>
              <w:t>Nonclinical</w:t>
            </w:r>
            <w:r w:rsidR="008534DB">
              <w:rPr>
                <w:noProof/>
                <w:webHidden/>
              </w:rPr>
              <w:tab/>
            </w:r>
            <w:r w:rsidR="008534DB">
              <w:rPr>
                <w:noProof/>
                <w:webHidden/>
              </w:rPr>
              <w:fldChar w:fldCharType="begin"/>
            </w:r>
            <w:r w:rsidR="008534DB">
              <w:rPr>
                <w:noProof/>
                <w:webHidden/>
              </w:rPr>
              <w:instrText xml:space="preserve"> PAGEREF _Toc427232227 \h </w:instrText>
            </w:r>
            <w:r w:rsidR="008534DB">
              <w:rPr>
                <w:noProof/>
                <w:webHidden/>
              </w:rPr>
            </w:r>
            <w:r w:rsidR="008534DB">
              <w:rPr>
                <w:noProof/>
                <w:webHidden/>
              </w:rPr>
              <w:fldChar w:fldCharType="separate"/>
            </w:r>
            <w:r w:rsidR="008534DB">
              <w:rPr>
                <w:noProof/>
                <w:webHidden/>
              </w:rPr>
              <w:t>25</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8" w:history="1">
            <w:r w:rsidR="008534DB" w:rsidRPr="00E33F41">
              <w:rPr>
                <w:rStyle w:val="Hyperlink"/>
                <w:noProof/>
              </w:rPr>
              <w:t>Clinical</w:t>
            </w:r>
            <w:r w:rsidR="008534DB">
              <w:rPr>
                <w:noProof/>
                <w:webHidden/>
              </w:rPr>
              <w:tab/>
            </w:r>
            <w:r w:rsidR="008534DB">
              <w:rPr>
                <w:noProof/>
                <w:webHidden/>
              </w:rPr>
              <w:fldChar w:fldCharType="begin"/>
            </w:r>
            <w:r w:rsidR="008534DB">
              <w:rPr>
                <w:noProof/>
                <w:webHidden/>
              </w:rPr>
              <w:instrText xml:space="preserve"> PAGEREF _Toc427232228 \h </w:instrText>
            </w:r>
            <w:r w:rsidR="008534DB">
              <w:rPr>
                <w:noProof/>
                <w:webHidden/>
              </w:rPr>
            </w:r>
            <w:r w:rsidR="008534DB">
              <w:rPr>
                <w:noProof/>
                <w:webHidden/>
              </w:rPr>
              <w:fldChar w:fldCharType="separate"/>
            </w:r>
            <w:r w:rsidR="008534DB">
              <w:rPr>
                <w:noProof/>
                <w:webHidden/>
              </w:rPr>
              <w:t>25</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29" w:history="1">
            <w:r w:rsidR="008534DB" w:rsidRPr="00E33F41">
              <w:rPr>
                <w:rStyle w:val="Hyperlink"/>
                <w:noProof/>
              </w:rPr>
              <w:t>Risk-benefit analysis</w:t>
            </w:r>
            <w:r w:rsidR="008534DB">
              <w:rPr>
                <w:noProof/>
                <w:webHidden/>
              </w:rPr>
              <w:tab/>
            </w:r>
            <w:r w:rsidR="008534DB">
              <w:rPr>
                <w:noProof/>
                <w:webHidden/>
              </w:rPr>
              <w:fldChar w:fldCharType="begin"/>
            </w:r>
            <w:r w:rsidR="008534DB">
              <w:rPr>
                <w:noProof/>
                <w:webHidden/>
              </w:rPr>
              <w:instrText xml:space="preserve"> PAGEREF _Toc427232229 \h </w:instrText>
            </w:r>
            <w:r w:rsidR="008534DB">
              <w:rPr>
                <w:noProof/>
                <w:webHidden/>
              </w:rPr>
            </w:r>
            <w:r w:rsidR="008534DB">
              <w:rPr>
                <w:noProof/>
                <w:webHidden/>
              </w:rPr>
              <w:fldChar w:fldCharType="separate"/>
            </w:r>
            <w:r w:rsidR="008534DB">
              <w:rPr>
                <w:noProof/>
                <w:webHidden/>
              </w:rPr>
              <w:t>27</w:t>
            </w:r>
            <w:r w:rsidR="008534DB">
              <w:rPr>
                <w:noProof/>
                <w:webHidden/>
              </w:rPr>
              <w:fldChar w:fldCharType="end"/>
            </w:r>
          </w:hyperlink>
        </w:p>
        <w:p w:rsidR="008534DB" w:rsidRDefault="00A312CB">
          <w:pPr>
            <w:pStyle w:val="TOC3"/>
            <w:rPr>
              <w:rFonts w:asciiTheme="minorHAnsi" w:eastAsiaTheme="minorEastAsia" w:hAnsiTheme="minorHAnsi" w:cstheme="minorBidi"/>
              <w:noProof/>
              <w:lang w:eastAsia="en-AU"/>
            </w:rPr>
          </w:pPr>
          <w:hyperlink w:anchor="_Toc427232230" w:history="1">
            <w:r w:rsidR="008534DB" w:rsidRPr="00E33F41">
              <w:rPr>
                <w:rStyle w:val="Hyperlink"/>
                <w:noProof/>
              </w:rPr>
              <w:t>Outcome</w:t>
            </w:r>
            <w:r w:rsidR="008534DB">
              <w:rPr>
                <w:noProof/>
                <w:webHidden/>
              </w:rPr>
              <w:tab/>
            </w:r>
            <w:r w:rsidR="008534DB">
              <w:rPr>
                <w:noProof/>
                <w:webHidden/>
              </w:rPr>
              <w:fldChar w:fldCharType="begin"/>
            </w:r>
            <w:r w:rsidR="008534DB">
              <w:rPr>
                <w:noProof/>
                <w:webHidden/>
              </w:rPr>
              <w:instrText xml:space="preserve"> PAGEREF _Toc427232230 \h </w:instrText>
            </w:r>
            <w:r w:rsidR="008534DB">
              <w:rPr>
                <w:noProof/>
                <w:webHidden/>
              </w:rPr>
            </w:r>
            <w:r w:rsidR="008534DB">
              <w:rPr>
                <w:noProof/>
                <w:webHidden/>
              </w:rPr>
              <w:fldChar w:fldCharType="separate"/>
            </w:r>
            <w:r w:rsidR="008534DB">
              <w:rPr>
                <w:noProof/>
                <w:webHidden/>
              </w:rPr>
              <w:t>28</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31" w:history="1">
            <w:r w:rsidR="008534DB" w:rsidRPr="00E33F41">
              <w:rPr>
                <w:rStyle w:val="Hyperlink"/>
                <w:noProof/>
              </w:rPr>
              <w:t>Attachment 1. Product information</w:t>
            </w:r>
            <w:r w:rsidR="008534DB">
              <w:rPr>
                <w:noProof/>
                <w:webHidden/>
              </w:rPr>
              <w:tab/>
            </w:r>
            <w:r w:rsidR="008534DB">
              <w:rPr>
                <w:noProof/>
                <w:webHidden/>
              </w:rPr>
              <w:fldChar w:fldCharType="begin"/>
            </w:r>
            <w:r w:rsidR="008534DB">
              <w:rPr>
                <w:noProof/>
                <w:webHidden/>
              </w:rPr>
              <w:instrText xml:space="preserve"> PAGEREF _Toc427232231 \h </w:instrText>
            </w:r>
            <w:r w:rsidR="008534DB">
              <w:rPr>
                <w:noProof/>
                <w:webHidden/>
              </w:rPr>
            </w:r>
            <w:r w:rsidR="008534DB">
              <w:rPr>
                <w:noProof/>
                <w:webHidden/>
              </w:rPr>
              <w:fldChar w:fldCharType="separate"/>
            </w:r>
            <w:r w:rsidR="008534DB">
              <w:rPr>
                <w:noProof/>
                <w:webHidden/>
              </w:rPr>
              <w:t>29</w:t>
            </w:r>
            <w:r w:rsidR="008534DB">
              <w:rPr>
                <w:noProof/>
                <w:webHidden/>
              </w:rPr>
              <w:fldChar w:fldCharType="end"/>
            </w:r>
          </w:hyperlink>
        </w:p>
        <w:p w:rsidR="008534DB" w:rsidRDefault="00A312CB">
          <w:pPr>
            <w:pStyle w:val="TOC2"/>
            <w:rPr>
              <w:rFonts w:asciiTheme="minorHAnsi" w:eastAsiaTheme="minorEastAsia" w:hAnsiTheme="minorHAnsi" w:cstheme="minorBidi"/>
              <w:b w:val="0"/>
              <w:noProof/>
              <w:sz w:val="22"/>
              <w:lang w:eastAsia="en-AU"/>
            </w:rPr>
          </w:pPr>
          <w:hyperlink w:anchor="_Toc427232232" w:history="1">
            <w:r w:rsidR="008534DB" w:rsidRPr="00E33F41">
              <w:rPr>
                <w:rStyle w:val="Hyperlink"/>
                <w:noProof/>
                <w:lang w:eastAsia="en-AU"/>
              </w:rPr>
              <w:t>Attachment 2. Extract from the clinical evaluation report</w:t>
            </w:r>
            <w:r w:rsidR="008534DB">
              <w:rPr>
                <w:noProof/>
                <w:webHidden/>
              </w:rPr>
              <w:tab/>
            </w:r>
            <w:r w:rsidR="008534DB">
              <w:rPr>
                <w:noProof/>
                <w:webHidden/>
              </w:rPr>
              <w:fldChar w:fldCharType="begin"/>
            </w:r>
            <w:r w:rsidR="008534DB">
              <w:rPr>
                <w:noProof/>
                <w:webHidden/>
              </w:rPr>
              <w:instrText xml:space="preserve"> PAGEREF _Toc427232232 \h </w:instrText>
            </w:r>
            <w:r w:rsidR="008534DB">
              <w:rPr>
                <w:noProof/>
                <w:webHidden/>
              </w:rPr>
            </w:r>
            <w:r w:rsidR="008534DB">
              <w:rPr>
                <w:noProof/>
                <w:webHidden/>
              </w:rPr>
              <w:fldChar w:fldCharType="separate"/>
            </w:r>
            <w:r w:rsidR="008534DB">
              <w:rPr>
                <w:noProof/>
                <w:webHidden/>
              </w:rPr>
              <w:t>29</w:t>
            </w:r>
            <w:r w:rsidR="008534DB">
              <w:rPr>
                <w:noProof/>
                <w:webHidden/>
              </w:rPr>
              <w:fldChar w:fldCharType="end"/>
            </w:r>
          </w:hyperlink>
        </w:p>
        <w:p w:rsidR="003A7F6C" w:rsidRPr="00B811C6" w:rsidRDefault="00DB6124" w:rsidP="006B43DA">
          <w:pPr>
            <w:pStyle w:val="TOC2"/>
            <w:ind w:left="0"/>
          </w:pPr>
          <w:r>
            <w:fldChar w:fldCharType="end"/>
          </w:r>
        </w:p>
      </w:sdtContent>
    </w:sdt>
    <w:bookmarkStart w:id="3" w:name="_Toc314842482" w:displacedByCustomXml="prev"/>
    <w:p w:rsidR="00FD119B" w:rsidRDefault="00FD119B">
      <w:pPr>
        <w:spacing w:before="0" w:after="200" w:line="0" w:lineRule="auto"/>
      </w:pPr>
      <w:r>
        <w:br w:type="page"/>
      </w:r>
    </w:p>
    <w:p w:rsidR="00FD119B" w:rsidRDefault="00FD119B" w:rsidP="004F0C4A">
      <w:pPr>
        <w:pStyle w:val="Heading2"/>
      </w:pPr>
      <w:bookmarkStart w:id="4" w:name="_Toc351716269"/>
      <w:bookmarkStart w:id="5" w:name="_Toc351718881"/>
      <w:bookmarkStart w:id="6" w:name="_Toc355338616"/>
      <w:bookmarkStart w:id="7" w:name="_Toc356306144"/>
      <w:bookmarkStart w:id="8" w:name="_Toc427232193"/>
      <w:r w:rsidRPr="00FD119B">
        <w:lastRenderedPageBreak/>
        <w:t>List of the most common abbreviations</w:t>
      </w:r>
      <w:bookmarkEnd w:id="4"/>
      <w:bookmarkEnd w:id="5"/>
      <w:bookmarkEnd w:id="6"/>
      <w:bookmarkEnd w:id="7"/>
      <w:r w:rsidRPr="00FD119B">
        <w:t xml:space="preserve"> used in this </w:t>
      </w:r>
      <w:proofErr w:type="spellStart"/>
      <w:r w:rsidRPr="004F0C4A">
        <w:t>AusPAR</w:t>
      </w:r>
      <w:bookmarkEnd w:id="8"/>
      <w:proofErr w:type="spellEnd"/>
    </w:p>
    <w:tbl>
      <w:tblPr>
        <w:tblStyle w:val="TableTGAblue"/>
        <w:tblW w:w="0" w:type="auto"/>
        <w:tblLook w:val="04A0" w:firstRow="1" w:lastRow="0" w:firstColumn="1" w:lastColumn="0" w:noHBand="0" w:noVBand="1"/>
      </w:tblPr>
      <w:tblGrid>
        <w:gridCol w:w="1890"/>
        <w:gridCol w:w="6830"/>
      </w:tblGrid>
      <w:tr w:rsidR="00A94D18" w:rsidTr="00A94D18">
        <w:trPr>
          <w:cnfStyle w:val="100000000000" w:firstRow="1" w:lastRow="0" w:firstColumn="0" w:lastColumn="0" w:oddVBand="0" w:evenVBand="0" w:oddHBand="0" w:evenHBand="0" w:firstRowFirstColumn="0" w:firstRowLastColumn="0" w:lastRowFirstColumn="0" w:lastRowLastColumn="0"/>
        </w:trPr>
        <w:tc>
          <w:tcPr>
            <w:tcW w:w="1809" w:type="dxa"/>
          </w:tcPr>
          <w:p w:rsidR="00A94D18" w:rsidRDefault="00A94D18" w:rsidP="006F7773">
            <w:r>
              <w:t>Abbreviation</w:t>
            </w:r>
          </w:p>
        </w:tc>
        <w:tc>
          <w:tcPr>
            <w:tcW w:w="6911" w:type="dxa"/>
          </w:tcPr>
          <w:p w:rsidR="00A94D18" w:rsidRDefault="00A94D18" w:rsidP="006F7773">
            <w:r>
              <w:t>Meaning</w:t>
            </w:r>
          </w:p>
        </w:tc>
      </w:tr>
      <w:tr w:rsidR="00A94D18" w:rsidTr="00A94D18">
        <w:tc>
          <w:tcPr>
            <w:tcW w:w="1809" w:type="dxa"/>
          </w:tcPr>
          <w:p w:rsidR="00A94D18" w:rsidRDefault="008534DB" w:rsidP="006F7773">
            <w:r>
              <w:t>ADR</w:t>
            </w:r>
          </w:p>
        </w:tc>
        <w:tc>
          <w:tcPr>
            <w:tcW w:w="6911" w:type="dxa"/>
          </w:tcPr>
          <w:p w:rsidR="00A94D18" w:rsidRDefault="00A94D18" w:rsidP="006F7773">
            <w:r>
              <w:t>adverse drug reaction</w:t>
            </w:r>
          </w:p>
        </w:tc>
      </w:tr>
      <w:tr w:rsidR="00A94D18" w:rsidTr="00A94D18">
        <w:tc>
          <w:tcPr>
            <w:tcW w:w="1809" w:type="dxa"/>
            <w:hideMark/>
          </w:tcPr>
          <w:p w:rsidR="00A94D18" w:rsidRDefault="008534DB" w:rsidP="006F7773">
            <w:r>
              <w:t>AE</w:t>
            </w:r>
          </w:p>
        </w:tc>
        <w:tc>
          <w:tcPr>
            <w:tcW w:w="6911" w:type="dxa"/>
            <w:hideMark/>
          </w:tcPr>
          <w:p w:rsidR="00A94D18" w:rsidRDefault="00A94D18" w:rsidP="006F7773">
            <w:r>
              <w:t>adverse event</w:t>
            </w:r>
          </w:p>
        </w:tc>
      </w:tr>
      <w:tr w:rsidR="00A94D18" w:rsidTr="00A94D18">
        <w:tc>
          <w:tcPr>
            <w:tcW w:w="1809" w:type="dxa"/>
            <w:hideMark/>
          </w:tcPr>
          <w:p w:rsidR="00A94D18" w:rsidRDefault="008534DB" w:rsidP="006F7773">
            <w:r>
              <w:t>CHMP</w:t>
            </w:r>
          </w:p>
        </w:tc>
        <w:tc>
          <w:tcPr>
            <w:tcW w:w="6911" w:type="dxa"/>
            <w:hideMark/>
          </w:tcPr>
          <w:p w:rsidR="00A94D18" w:rsidRDefault="00A94D18" w:rsidP="006F7773">
            <w:r>
              <w:t>Committee for Medicinal Products for Human Use</w:t>
            </w:r>
          </w:p>
        </w:tc>
      </w:tr>
      <w:tr w:rsidR="00A94D18" w:rsidTr="00A94D18">
        <w:tc>
          <w:tcPr>
            <w:tcW w:w="1809" w:type="dxa"/>
            <w:hideMark/>
          </w:tcPr>
          <w:p w:rsidR="00A94D18" w:rsidRDefault="008534DB" w:rsidP="006F7773">
            <w:r>
              <w:t>EMA</w:t>
            </w:r>
          </w:p>
        </w:tc>
        <w:tc>
          <w:tcPr>
            <w:tcW w:w="6911" w:type="dxa"/>
            <w:hideMark/>
          </w:tcPr>
          <w:p w:rsidR="00A94D18" w:rsidRDefault="00A94D18" w:rsidP="006F7773">
            <w:r>
              <w:t>European Medicines Agency</w:t>
            </w:r>
          </w:p>
        </w:tc>
      </w:tr>
      <w:tr w:rsidR="00A94D18" w:rsidTr="00A94D18">
        <w:tc>
          <w:tcPr>
            <w:tcW w:w="1809" w:type="dxa"/>
            <w:hideMark/>
          </w:tcPr>
          <w:p w:rsidR="00A94D18" w:rsidRDefault="008534DB" w:rsidP="006F7773">
            <w:r>
              <w:t>EPAR</w:t>
            </w:r>
          </w:p>
        </w:tc>
        <w:tc>
          <w:tcPr>
            <w:tcW w:w="6911" w:type="dxa"/>
            <w:hideMark/>
          </w:tcPr>
          <w:p w:rsidR="00A94D18" w:rsidRDefault="00A94D18" w:rsidP="006F7773">
            <w:r>
              <w:t>European Public Assessment Report</w:t>
            </w:r>
          </w:p>
        </w:tc>
      </w:tr>
      <w:tr w:rsidR="00A94D18" w:rsidTr="00A94D18">
        <w:tc>
          <w:tcPr>
            <w:tcW w:w="1809" w:type="dxa"/>
            <w:hideMark/>
          </w:tcPr>
          <w:p w:rsidR="00A94D18" w:rsidRDefault="008534DB" w:rsidP="006F7773">
            <w:r>
              <w:t>EU</w:t>
            </w:r>
          </w:p>
        </w:tc>
        <w:tc>
          <w:tcPr>
            <w:tcW w:w="6911" w:type="dxa"/>
            <w:hideMark/>
          </w:tcPr>
          <w:p w:rsidR="00A94D18" w:rsidRDefault="00A94D18" w:rsidP="006F7773">
            <w:r>
              <w:t>European Union</w:t>
            </w:r>
          </w:p>
        </w:tc>
      </w:tr>
      <w:tr w:rsidR="00A94D18" w:rsidTr="00A94D18">
        <w:tc>
          <w:tcPr>
            <w:tcW w:w="1809" w:type="dxa"/>
            <w:hideMark/>
          </w:tcPr>
          <w:p w:rsidR="00A94D18" w:rsidRDefault="008534DB" w:rsidP="006F7773">
            <w:r>
              <w:t>ICH</w:t>
            </w:r>
          </w:p>
        </w:tc>
        <w:tc>
          <w:tcPr>
            <w:tcW w:w="6911" w:type="dxa"/>
            <w:hideMark/>
          </w:tcPr>
          <w:p w:rsidR="00A94D18" w:rsidRDefault="00A94D18" w:rsidP="006F7773">
            <w:r>
              <w:t>International Conference on Harmonization</w:t>
            </w:r>
          </w:p>
        </w:tc>
      </w:tr>
      <w:tr w:rsidR="00A94D18" w:rsidTr="00A94D18">
        <w:tc>
          <w:tcPr>
            <w:tcW w:w="1809" w:type="dxa"/>
            <w:hideMark/>
          </w:tcPr>
          <w:p w:rsidR="00A94D18" w:rsidRDefault="008534DB" w:rsidP="006F7773">
            <w:r>
              <w:t>IOP</w:t>
            </w:r>
          </w:p>
        </w:tc>
        <w:tc>
          <w:tcPr>
            <w:tcW w:w="6911" w:type="dxa"/>
            <w:hideMark/>
          </w:tcPr>
          <w:p w:rsidR="00A94D18" w:rsidRDefault="00A94D18" w:rsidP="006F7773">
            <w:r>
              <w:t>Intraocular pressure</w:t>
            </w:r>
          </w:p>
        </w:tc>
      </w:tr>
      <w:tr w:rsidR="00A94D18" w:rsidTr="00A94D18">
        <w:tc>
          <w:tcPr>
            <w:tcW w:w="1809" w:type="dxa"/>
            <w:hideMark/>
          </w:tcPr>
          <w:p w:rsidR="00A94D18" w:rsidRDefault="008534DB" w:rsidP="006F7773">
            <w:r>
              <w:t>N/A</w:t>
            </w:r>
          </w:p>
        </w:tc>
        <w:tc>
          <w:tcPr>
            <w:tcW w:w="6911" w:type="dxa"/>
            <w:hideMark/>
          </w:tcPr>
          <w:p w:rsidR="00A94D18" w:rsidRDefault="00A94D18" w:rsidP="006F7773">
            <w:r>
              <w:t>Not Applicable</w:t>
            </w:r>
          </w:p>
        </w:tc>
      </w:tr>
      <w:tr w:rsidR="00A94D18" w:rsidTr="00A94D18">
        <w:tc>
          <w:tcPr>
            <w:tcW w:w="1809" w:type="dxa"/>
            <w:hideMark/>
          </w:tcPr>
          <w:p w:rsidR="00A94D18" w:rsidRDefault="00A94D18" w:rsidP="006F7773">
            <w:r>
              <w:t>PIL</w:t>
            </w:r>
          </w:p>
        </w:tc>
        <w:tc>
          <w:tcPr>
            <w:tcW w:w="6911" w:type="dxa"/>
            <w:hideMark/>
          </w:tcPr>
          <w:p w:rsidR="00A94D18" w:rsidRDefault="00A94D18" w:rsidP="006F7773">
            <w:r>
              <w:t>Patient information leaflet</w:t>
            </w:r>
          </w:p>
        </w:tc>
      </w:tr>
      <w:tr w:rsidR="00A94D18" w:rsidTr="00A94D18">
        <w:tc>
          <w:tcPr>
            <w:tcW w:w="1809" w:type="dxa"/>
            <w:hideMark/>
          </w:tcPr>
          <w:p w:rsidR="00A94D18" w:rsidRDefault="008534DB" w:rsidP="006F7773">
            <w:r>
              <w:t>PSUR</w:t>
            </w:r>
          </w:p>
        </w:tc>
        <w:tc>
          <w:tcPr>
            <w:tcW w:w="6911" w:type="dxa"/>
            <w:hideMark/>
          </w:tcPr>
          <w:p w:rsidR="00A94D18" w:rsidRDefault="00A94D18" w:rsidP="006F7773">
            <w:r>
              <w:t>Periodic Safety Update Report</w:t>
            </w:r>
          </w:p>
        </w:tc>
      </w:tr>
      <w:tr w:rsidR="00A94D18" w:rsidTr="00A94D18">
        <w:tc>
          <w:tcPr>
            <w:tcW w:w="1809" w:type="dxa"/>
            <w:hideMark/>
          </w:tcPr>
          <w:p w:rsidR="00A94D18" w:rsidRDefault="008534DB" w:rsidP="006F7773">
            <w:r>
              <w:t>QPPV</w:t>
            </w:r>
          </w:p>
        </w:tc>
        <w:tc>
          <w:tcPr>
            <w:tcW w:w="6911" w:type="dxa"/>
            <w:hideMark/>
          </w:tcPr>
          <w:p w:rsidR="00A94D18" w:rsidRDefault="00A94D18" w:rsidP="006F7773">
            <w:r>
              <w:t>Qualified Person for Pharmacovigilance</w:t>
            </w:r>
          </w:p>
        </w:tc>
      </w:tr>
      <w:tr w:rsidR="00A94D18" w:rsidTr="00A94D18">
        <w:tc>
          <w:tcPr>
            <w:tcW w:w="1809" w:type="dxa"/>
            <w:hideMark/>
          </w:tcPr>
          <w:p w:rsidR="00A94D18" w:rsidRDefault="008534DB" w:rsidP="006F7773">
            <w:r>
              <w:t>RMP</w:t>
            </w:r>
          </w:p>
        </w:tc>
        <w:tc>
          <w:tcPr>
            <w:tcW w:w="6911" w:type="dxa"/>
            <w:hideMark/>
          </w:tcPr>
          <w:p w:rsidR="00A94D18" w:rsidRDefault="00A94D18" w:rsidP="006F7773">
            <w:r>
              <w:t>Risk Management Plan</w:t>
            </w:r>
          </w:p>
        </w:tc>
      </w:tr>
      <w:tr w:rsidR="00A94D18" w:rsidTr="00A94D18">
        <w:tc>
          <w:tcPr>
            <w:tcW w:w="1809" w:type="dxa"/>
            <w:hideMark/>
          </w:tcPr>
          <w:p w:rsidR="00A94D18" w:rsidRDefault="008534DB" w:rsidP="006F7773">
            <w:r>
              <w:t>SAE</w:t>
            </w:r>
          </w:p>
        </w:tc>
        <w:tc>
          <w:tcPr>
            <w:tcW w:w="6911" w:type="dxa"/>
            <w:hideMark/>
          </w:tcPr>
          <w:p w:rsidR="00A94D18" w:rsidRDefault="00A94D18" w:rsidP="006F7773">
            <w:r>
              <w:t>Serious Adverse Experience</w:t>
            </w:r>
          </w:p>
        </w:tc>
      </w:tr>
      <w:tr w:rsidR="00A94D18" w:rsidTr="00A94D18">
        <w:tc>
          <w:tcPr>
            <w:tcW w:w="1809" w:type="dxa"/>
            <w:hideMark/>
          </w:tcPr>
          <w:p w:rsidR="00A94D18" w:rsidRDefault="00A94D18" w:rsidP="006F7773">
            <w:r>
              <w:t>SDU</w:t>
            </w:r>
          </w:p>
        </w:tc>
        <w:tc>
          <w:tcPr>
            <w:tcW w:w="6911" w:type="dxa"/>
            <w:hideMark/>
          </w:tcPr>
          <w:p w:rsidR="00A94D18" w:rsidRDefault="00A94D18" w:rsidP="006F7773">
            <w:r>
              <w:t>Single dose unit</w:t>
            </w:r>
          </w:p>
        </w:tc>
      </w:tr>
      <w:tr w:rsidR="00A94D18" w:rsidTr="00A94D18">
        <w:tc>
          <w:tcPr>
            <w:tcW w:w="1809" w:type="dxa"/>
            <w:hideMark/>
          </w:tcPr>
          <w:p w:rsidR="00A94D18" w:rsidRDefault="008534DB" w:rsidP="006F7773">
            <w:proofErr w:type="spellStart"/>
            <w:r>
              <w:t>SmPC</w:t>
            </w:r>
            <w:proofErr w:type="spellEnd"/>
          </w:p>
        </w:tc>
        <w:tc>
          <w:tcPr>
            <w:tcW w:w="6911" w:type="dxa"/>
            <w:hideMark/>
          </w:tcPr>
          <w:p w:rsidR="00A94D18" w:rsidRDefault="00A94D18" w:rsidP="006F7773">
            <w:r>
              <w:t>Summary of Product Characteristics (EU)</w:t>
            </w:r>
          </w:p>
        </w:tc>
      </w:tr>
      <w:tr w:rsidR="00A94D18" w:rsidTr="00A94D18">
        <w:tc>
          <w:tcPr>
            <w:tcW w:w="1809" w:type="dxa"/>
            <w:hideMark/>
          </w:tcPr>
          <w:p w:rsidR="00A94D18" w:rsidRDefault="00A94D18" w:rsidP="006F7773">
            <w:r>
              <w:t>TT-FDC</w:t>
            </w:r>
          </w:p>
        </w:tc>
        <w:tc>
          <w:tcPr>
            <w:tcW w:w="6911" w:type="dxa"/>
            <w:hideMark/>
          </w:tcPr>
          <w:p w:rsidR="00A94D18" w:rsidRDefault="00AF5D28" w:rsidP="006F7773">
            <w:proofErr w:type="spellStart"/>
            <w:r>
              <w:t>Taptiqom</w:t>
            </w:r>
            <w:proofErr w:type="spellEnd"/>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27232194"/>
      <w:r>
        <w:lastRenderedPageBreak/>
        <w:t>I.</w:t>
      </w:r>
      <w:r w:rsidR="008E7846">
        <w:t xml:space="preserve"> Introduction to product submission</w:t>
      </w:r>
      <w:bookmarkEnd w:id="9"/>
      <w:bookmarkEnd w:id="3"/>
      <w:bookmarkEnd w:id="1"/>
    </w:p>
    <w:p w:rsidR="008E7846" w:rsidRDefault="008E7846" w:rsidP="008E7846">
      <w:pPr>
        <w:pStyle w:val="Heading3"/>
        <w:rPr>
          <w:lang w:eastAsia="en-AU"/>
        </w:rPr>
      </w:pPr>
      <w:bookmarkStart w:id="10" w:name="_Toc247691502"/>
      <w:bookmarkStart w:id="11" w:name="_Toc314842483"/>
      <w:bookmarkStart w:id="12" w:name="_Toc427232195"/>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AC281A" w:rsidTr="0089635C">
        <w:trPr>
          <w:trHeight w:hRule="exact" w:val="454"/>
        </w:trPr>
        <w:tc>
          <w:tcPr>
            <w:tcW w:w="2907" w:type="dxa"/>
          </w:tcPr>
          <w:p w:rsidR="008E7846" w:rsidRPr="00AC281A" w:rsidRDefault="001B5C90" w:rsidP="001B5C90">
            <w:pPr>
              <w:rPr>
                <w:rFonts w:asciiTheme="minorHAnsi" w:hAnsiTheme="minorHAnsi"/>
                <w:i/>
              </w:rPr>
            </w:pPr>
            <w:r w:rsidRPr="00AC281A">
              <w:rPr>
                <w:rFonts w:asciiTheme="minorHAnsi" w:hAnsiTheme="minorHAnsi"/>
                <w:i/>
              </w:rPr>
              <w:t>Type of s</w:t>
            </w:r>
            <w:r w:rsidR="008E7846" w:rsidRPr="00AC281A">
              <w:rPr>
                <w:rFonts w:asciiTheme="minorHAnsi" w:hAnsiTheme="minorHAnsi"/>
                <w:i/>
              </w:rPr>
              <w:t>ubmission</w:t>
            </w:r>
            <w:r w:rsidRPr="00AC281A">
              <w:rPr>
                <w:rFonts w:asciiTheme="minorHAnsi" w:hAnsiTheme="minorHAnsi"/>
                <w:i/>
              </w:rPr>
              <w:t>:</w:t>
            </w:r>
          </w:p>
        </w:tc>
        <w:tc>
          <w:tcPr>
            <w:tcW w:w="6590" w:type="dxa"/>
          </w:tcPr>
          <w:p w:rsidR="008E7846" w:rsidRPr="00AC281A" w:rsidRDefault="00AC281A" w:rsidP="001B5C90">
            <w:pPr>
              <w:rPr>
                <w:rFonts w:asciiTheme="minorHAnsi" w:hAnsiTheme="minorHAnsi"/>
              </w:rPr>
            </w:pPr>
            <w:r w:rsidRPr="00AC281A">
              <w:rPr>
                <w:rFonts w:asciiTheme="minorHAnsi" w:hAnsiTheme="minorHAnsi"/>
              </w:rPr>
              <w:t>New Fixed Dose Combination</w:t>
            </w:r>
          </w:p>
        </w:tc>
      </w:tr>
      <w:tr w:rsidR="008E7846" w:rsidRPr="00AC281A" w:rsidTr="0089635C">
        <w:trPr>
          <w:trHeight w:hRule="exact" w:val="454"/>
        </w:trPr>
        <w:tc>
          <w:tcPr>
            <w:tcW w:w="2907" w:type="dxa"/>
          </w:tcPr>
          <w:p w:rsidR="008E7846" w:rsidRPr="00AC281A" w:rsidRDefault="008E7846" w:rsidP="003D1E62">
            <w:pPr>
              <w:rPr>
                <w:rFonts w:asciiTheme="minorHAnsi" w:hAnsiTheme="minorHAnsi"/>
              </w:rPr>
            </w:pPr>
            <w:r w:rsidRPr="00AC281A">
              <w:rPr>
                <w:rFonts w:asciiTheme="minorHAnsi" w:hAnsiTheme="minorHAnsi"/>
                <w:i/>
              </w:rPr>
              <w:t>Decision</w:t>
            </w:r>
            <w:r w:rsidRPr="00AC281A">
              <w:rPr>
                <w:rFonts w:asciiTheme="minorHAnsi" w:hAnsiTheme="minorHAnsi"/>
              </w:rPr>
              <w:t>:</w:t>
            </w:r>
          </w:p>
        </w:tc>
        <w:tc>
          <w:tcPr>
            <w:tcW w:w="6590" w:type="dxa"/>
          </w:tcPr>
          <w:p w:rsidR="008E7846" w:rsidRPr="00AC281A" w:rsidRDefault="008E7846" w:rsidP="005B4838">
            <w:pPr>
              <w:rPr>
                <w:rFonts w:asciiTheme="minorHAnsi" w:hAnsiTheme="minorHAnsi"/>
              </w:rPr>
            </w:pPr>
            <w:r w:rsidRPr="00AC281A">
              <w:rPr>
                <w:rFonts w:asciiTheme="minorHAnsi" w:hAnsiTheme="minorHAnsi"/>
              </w:rPr>
              <w:t xml:space="preserve">Approved </w:t>
            </w:r>
          </w:p>
        </w:tc>
      </w:tr>
      <w:tr w:rsidR="008E7846" w:rsidRPr="00AC281A" w:rsidTr="0089635C">
        <w:trPr>
          <w:trHeight w:hRule="exact" w:val="454"/>
        </w:trPr>
        <w:tc>
          <w:tcPr>
            <w:tcW w:w="2907" w:type="dxa"/>
          </w:tcPr>
          <w:p w:rsidR="008E7846" w:rsidRPr="00AC281A" w:rsidRDefault="008E7846" w:rsidP="001B5C90">
            <w:pPr>
              <w:rPr>
                <w:rFonts w:asciiTheme="minorHAnsi" w:hAnsiTheme="minorHAnsi"/>
                <w:i/>
              </w:rPr>
            </w:pPr>
            <w:r w:rsidRPr="00AC281A">
              <w:rPr>
                <w:rFonts w:asciiTheme="minorHAnsi" w:hAnsiTheme="minorHAnsi"/>
                <w:i/>
              </w:rPr>
              <w:t xml:space="preserve">Date of </w:t>
            </w:r>
            <w:r w:rsidR="001B5C90" w:rsidRPr="00AC281A">
              <w:rPr>
                <w:rFonts w:asciiTheme="minorHAnsi" w:hAnsiTheme="minorHAnsi"/>
                <w:i/>
              </w:rPr>
              <w:t>d</w:t>
            </w:r>
            <w:r w:rsidRPr="00AC281A">
              <w:rPr>
                <w:rFonts w:asciiTheme="minorHAnsi" w:hAnsiTheme="minorHAnsi"/>
                <w:i/>
              </w:rPr>
              <w:t>ecision:</w:t>
            </w:r>
          </w:p>
        </w:tc>
        <w:tc>
          <w:tcPr>
            <w:tcW w:w="6590" w:type="dxa"/>
          </w:tcPr>
          <w:p w:rsidR="008E7846" w:rsidRPr="00AC281A" w:rsidRDefault="005B4838" w:rsidP="001B5C90">
            <w:pPr>
              <w:rPr>
                <w:rFonts w:asciiTheme="minorHAnsi" w:hAnsiTheme="minorHAnsi"/>
              </w:rPr>
            </w:pPr>
            <w:r>
              <w:rPr>
                <w:rFonts w:asciiTheme="minorHAnsi" w:hAnsiTheme="minorHAnsi"/>
              </w:rPr>
              <w:t>29 January 2015</w:t>
            </w:r>
          </w:p>
        </w:tc>
      </w:tr>
    </w:tbl>
    <w:p w:rsidR="008E7846" w:rsidRPr="00AC281A" w:rsidRDefault="008E7846" w:rsidP="008E7846">
      <w:pPr>
        <w:rPr>
          <w:rFonts w:asciiTheme="minorHAnsi" w:hAnsiTheme="minorHAnsi"/>
        </w:rPr>
      </w:pPr>
    </w:p>
    <w:tbl>
      <w:tblPr>
        <w:tblW w:w="9214" w:type="dxa"/>
        <w:tblInd w:w="108" w:type="dxa"/>
        <w:tblLook w:val="01E0" w:firstRow="1" w:lastRow="1" w:firstColumn="1" w:lastColumn="1" w:noHBand="0" w:noVBand="0"/>
      </w:tblPr>
      <w:tblGrid>
        <w:gridCol w:w="2907"/>
        <w:gridCol w:w="6307"/>
      </w:tblGrid>
      <w:tr w:rsidR="008E7846" w:rsidRPr="00AC281A" w:rsidTr="00BF1190">
        <w:tc>
          <w:tcPr>
            <w:tcW w:w="2907" w:type="dxa"/>
          </w:tcPr>
          <w:p w:rsidR="008E7846" w:rsidRPr="00AC281A" w:rsidRDefault="001B5C90" w:rsidP="00E45619">
            <w:pPr>
              <w:rPr>
                <w:rFonts w:asciiTheme="minorHAnsi" w:hAnsiTheme="minorHAnsi"/>
                <w:i/>
              </w:rPr>
            </w:pPr>
            <w:r w:rsidRPr="00AC281A">
              <w:rPr>
                <w:rFonts w:asciiTheme="minorHAnsi" w:hAnsiTheme="minorHAnsi"/>
                <w:i/>
              </w:rPr>
              <w:t>Active ingredient(s):</w:t>
            </w:r>
          </w:p>
        </w:tc>
        <w:tc>
          <w:tcPr>
            <w:tcW w:w="6307" w:type="dxa"/>
          </w:tcPr>
          <w:p w:rsidR="008E7846" w:rsidRPr="00AC281A" w:rsidRDefault="00AC281A" w:rsidP="00E45619">
            <w:pPr>
              <w:rPr>
                <w:rFonts w:asciiTheme="minorHAnsi" w:hAnsiTheme="minorHAnsi"/>
              </w:rPr>
            </w:pPr>
            <w:proofErr w:type="spellStart"/>
            <w:r w:rsidRPr="00AC281A">
              <w:rPr>
                <w:rFonts w:asciiTheme="minorHAnsi" w:hAnsiTheme="minorHAnsi" w:cs="Calibri"/>
              </w:rPr>
              <w:t>Tafluprost</w:t>
            </w:r>
            <w:proofErr w:type="spellEnd"/>
            <w:r w:rsidR="00A312CB">
              <w:rPr>
                <w:rFonts w:asciiTheme="minorHAnsi" w:hAnsiTheme="minorHAnsi" w:cs="Calibri"/>
              </w:rPr>
              <w:t xml:space="preserve"> </w:t>
            </w:r>
            <w:r w:rsidR="00D05A5B">
              <w:rPr>
                <w:rFonts w:asciiTheme="minorHAnsi" w:hAnsiTheme="minorHAnsi" w:cs="Calibri"/>
              </w:rPr>
              <w:t>/</w:t>
            </w:r>
            <w:r w:rsidR="00A312CB">
              <w:rPr>
                <w:rFonts w:asciiTheme="minorHAnsi" w:hAnsiTheme="minorHAnsi" w:cs="Calibri"/>
              </w:rPr>
              <w:t xml:space="preserve"> </w:t>
            </w:r>
            <w:proofErr w:type="spellStart"/>
            <w:r w:rsidR="00D05A5B">
              <w:rPr>
                <w:rFonts w:asciiTheme="minorHAnsi" w:hAnsiTheme="minorHAnsi" w:cs="Calibri"/>
              </w:rPr>
              <w:t>Timolol</w:t>
            </w:r>
            <w:proofErr w:type="spellEnd"/>
          </w:p>
        </w:tc>
      </w:tr>
      <w:tr w:rsidR="008E7846" w:rsidRPr="00AC281A" w:rsidTr="00BF1190">
        <w:tc>
          <w:tcPr>
            <w:tcW w:w="2907" w:type="dxa"/>
          </w:tcPr>
          <w:p w:rsidR="008E7846" w:rsidRPr="00AC281A" w:rsidRDefault="008E7846" w:rsidP="001B5C90">
            <w:pPr>
              <w:rPr>
                <w:rFonts w:asciiTheme="minorHAnsi" w:hAnsiTheme="minorHAnsi"/>
                <w:i/>
              </w:rPr>
            </w:pPr>
            <w:r w:rsidRPr="00AC281A">
              <w:rPr>
                <w:rFonts w:asciiTheme="minorHAnsi" w:hAnsiTheme="minorHAnsi"/>
                <w:i/>
              </w:rPr>
              <w:t>Product</w:t>
            </w:r>
            <w:r w:rsidR="001B5C90" w:rsidRPr="00AC281A">
              <w:rPr>
                <w:rFonts w:asciiTheme="minorHAnsi" w:hAnsiTheme="minorHAnsi"/>
                <w:i/>
              </w:rPr>
              <w:t xml:space="preserve"> name(s):</w:t>
            </w:r>
          </w:p>
        </w:tc>
        <w:tc>
          <w:tcPr>
            <w:tcW w:w="6307" w:type="dxa"/>
          </w:tcPr>
          <w:p w:rsidR="008E7846" w:rsidRPr="00AC281A" w:rsidRDefault="00AF5D28" w:rsidP="00E45619">
            <w:pPr>
              <w:rPr>
                <w:rFonts w:asciiTheme="minorHAnsi" w:hAnsiTheme="minorHAnsi"/>
              </w:rPr>
            </w:pPr>
            <w:proofErr w:type="spellStart"/>
            <w:r>
              <w:rPr>
                <w:rFonts w:asciiTheme="minorHAnsi" w:hAnsiTheme="minorHAnsi" w:cs="Calibri"/>
              </w:rPr>
              <w:t>Taptiqom</w:t>
            </w:r>
            <w:proofErr w:type="spellEnd"/>
            <w:r w:rsidR="00AC281A" w:rsidRPr="00AC281A">
              <w:rPr>
                <w:rFonts w:asciiTheme="minorHAnsi" w:hAnsiTheme="minorHAnsi" w:cs="Calibri"/>
              </w:rPr>
              <w:t xml:space="preserve"> 15/5</w:t>
            </w:r>
          </w:p>
        </w:tc>
      </w:tr>
      <w:tr w:rsidR="008E7846" w:rsidRPr="00AC281A" w:rsidTr="00BF1190">
        <w:tc>
          <w:tcPr>
            <w:tcW w:w="2907" w:type="dxa"/>
          </w:tcPr>
          <w:p w:rsidR="008E7846" w:rsidRPr="00AC281A" w:rsidRDefault="008E7846" w:rsidP="001B5C90">
            <w:pPr>
              <w:rPr>
                <w:rFonts w:asciiTheme="minorHAnsi" w:hAnsiTheme="minorHAnsi"/>
                <w:i/>
              </w:rPr>
            </w:pPr>
            <w:r w:rsidRPr="00AC281A">
              <w:rPr>
                <w:rFonts w:asciiTheme="minorHAnsi" w:hAnsiTheme="minorHAnsi"/>
                <w:i/>
              </w:rPr>
              <w:t xml:space="preserve">Sponsor’s </w:t>
            </w:r>
            <w:r w:rsidR="001B5C90" w:rsidRPr="00AC281A">
              <w:rPr>
                <w:rFonts w:asciiTheme="minorHAnsi" w:hAnsiTheme="minorHAnsi"/>
                <w:i/>
              </w:rPr>
              <w:t>n</w:t>
            </w:r>
            <w:r w:rsidRPr="00AC281A">
              <w:rPr>
                <w:rFonts w:asciiTheme="minorHAnsi" w:hAnsiTheme="minorHAnsi"/>
                <w:i/>
              </w:rPr>
              <w:t xml:space="preserve">ame and </w:t>
            </w:r>
            <w:r w:rsidR="001B5C90" w:rsidRPr="00AC281A">
              <w:rPr>
                <w:rFonts w:asciiTheme="minorHAnsi" w:hAnsiTheme="minorHAnsi"/>
                <w:i/>
              </w:rPr>
              <w:t>a</w:t>
            </w:r>
            <w:r w:rsidRPr="00AC281A">
              <w:rPr>
                <w:rFonts w:asciiTheme="minorHAnsi" w:hAnsiTheme="minorHAnsi"/>
                <w:i/>
              </w:rPr>
              <w:t>ddress:</w:t>
            </w:r>
          </w:p>
        </w:tc>
        <w:tc>
          <w:tcPr>
            <w:tcW w:w="6307" w:type="dxa"/>
          </w:tcPr>
          <w:p w:rsidR="00D3336B" w:rsidRPr="00AC281A" w:rsidRDefault="00AC281A" w:rsidP="005801E5">
            <w:pPr>
              <w:rPr>
                <w:rFonts w:asciiTheme="minorHAnsi" w:hAnsiTheme="minorHAnsi"/>
              </w:rPr>
            </w:pPr>
            <w:r w:rsidRPr="00AC281A">
              <w:rPr>
                <w:rFonts w:asciiTheme="minorHAnsi" w:hAnsiTheme="minorHAnsi"/>
              </w:rPr>
              <w:t xml:space="preserve">Merck Sharp &amp; </w:t>
            </w:r>
            <w:proofErr w:type="spellStart"/>
            <w:r w:rsidRPr="00AC281A">
              <w:rPr>
                <w:rFonts w:asciiTheme="minorHAnsi" w:hAnsiTheme="minorHAnsi"/>
              </w:rPr>
              <w:t>Dohme</w:t>
            </w:r>
            <w:proofErr w:type="spellEnd"/>
            <w:r w:rsidRPr="00AC281A">
              <w:rPr>
                <w:rFonts w:asciiTheme="minorHAnsi" w:hAnsiTheme="minorHAnsi"/>
              </w:rPr>
              <w:t xml:space="preserve"> (Australia) Pty Ltd</w:t>
            </w:r>
            <w:r w:rsidR="005801E5">
              <w:rPr>
                <w:rFonts w:asciiTheme="minorHAnsi" w:hAnsiTheme="minorHAnsi"/>
              </w:rPr>
              <w:br/>
            </w:r>
            <w:r w:rsidR="00D3336B">
              <w:rPr>
                <w:rFonts w:asciiTheme="minorHAnsi" w:hAnsiTheme="minorHAnsi"/>
              </w:rPr>
              <w:t>Locked Bag 334</w:t>
            </w:r>
            <w:r w:rsidR="005801E5">
              <w:rPr>
                <w:rFonts w:asciiTheme="minorHAnsi" w:hAnsiTheme="minorHAnsi"/>
              </w:rPr>
              <w:br/>
            </w:r>
            <w:r w:rsidR="00D3336B">
              <w:rPr>
                <w:rFonts w:asciiTheme="minorHAnsi" w:hAnsiTheme="minorHAnsi"/>
              </w:rPr>
              <w:t xml:space="preserve">North Ryde </w:t>
            </w:r>
            <w:r w:rsidR="005801E5">
              <w:rPr>
                <w:rFonts w:asciiTheme="minorHAnsi" w:hAnsiTheme="minorHAnsi"/>
              </w:rPr>
              <w:t xml:space="preserve"> </w:t>
            </w:r>
            <w:r w:rsidR="00D3336B">
              <w:rPr>
                <w:rFonts w:asciiTheme="minorHAnsi" w:hAnsiTheme="minorHAnsi"/>
              </w:rPr>
              <w:t>NSW</w:t>
            </w:r>
            <w:r w:rsidR="005801E5">
              <w:rPr>
                <w:rFonts w:asciiTheme="minorHAnsi" w:hAnsiTheme="minorHAnsi"/>
              </w:rPr>
              <w:t xml:space="preserve"> </w:t>
            </w:r>
            <w:r w:rsidR="00D3336B">
              <w:rPr>
                <w:rFonts w:asciiTheme="minorHAnsi" w:hAnsiTheme="minorHAnsi"/>
              </w:rPr>
              <w:t xml:space="preserve"> 1670</w:t>
            </w:r>
          </w:p>
        </w:tc>
      </w:tr>
      <w:tr w:rsidR="008E7846" w:rsidRPr="00AC281A" w:rsidTr="00BF1190">
        <w:tc>
          <w:tcPr>
            <w:tcW w:w="2907" w:type="dxa"/>
          </w:tcPr>
          <w:p w:rsidR="008E7846" w:rsidRPr="00AC281A" w:rsidRDefault="001B5C90" w:rsidP="00E45619">
            <w:pPr>
              <w:rPr>
                <w:rFonts w:asciiTheme="minorHAnsi" w:hAnsiTheme="minorHAnsi"/>
                <w:i/>
              </w:rPr>
            </w:pPr>
            <w:r w:rsidRPr="00AC281A">
              <w:rPr>
                <w:rFonts w:asciiTheme="minorHAnsi" w:hAnsiTheme="minorHAnsi"/>
                <w:i/>
              </w:rPr>
              <w:t>Dose form(s):</w:t>
            </w:r>
          </w:p>
        </w:tc>
        <w:tc>
          <w:tcPr>
            <w:tcW w:w="6307" w:type="dxa"/>
          </w:tcPr>
          <w:p w:rsidR="008E7846" w:rsidRPr="00AC281A" w:rsidRDefault="00AC281A" w:rsidP="00E45619">
            <w:pPr>
              <w:rPr>
                <w:rFonts w:asciiTheme="minorHAnsi" w:hAnsiTheme="minorHAnsi"/>
              </w:rPr>
            </w:pPr>
            <w:r w:rsidRPr="00AC281A">
              <w:rPr>
                <w:rFonts w:asciiTheme="minorHAnsi" w:hAnsiTheme="minorHAnsi" w:cs="Calibri"/>
              </w:rPr>
              <w:t>Eye Drop Solution</w:t>
            </w:r>
          </w:p>
        </w:tc>
      </w:tr>
      <w:tr w:rsidR="008E7846" w:rsidRPr="00AC281A" w:rsidTr="00BF1190">
        <w:tc>
          <w:tcPr>
            <w:tcW w:w="2907" w:type="dxa"/>
          </w:tcPr>
          <w:p w:rsidR="008E7846" w:rsidRPr="00AC281A" w:rsidRDefault="008E7846" w:rsidP="00E45619">
            <w:pPr>
              <w:rPr>
                <w:rFonts w:asciiTheme="minorHAnsi" w:hAnsiTheme="minorHAnsi"/>
                <w:i/>
              </w:rPr>
            </w:pPr>
            <w:r w:rsidRPr="00AC281A">
              <w:rPr>
                <w:rFonts w:asciiTheme="minorHAnsi" w:hAnsiTheme="minorHAnsi"/>
                <w:i/>
              </w:rPr>
              <w:t xml:space="preserve">Strength(s): </w:t>
            </w:r>
          </w:p>
        </w:tc>
        <w:tc>
          <w:tcPr>
            <w:tcW w:w="6307" w:type="dxa"/>
          </w:tcPr>
          <w:p w:rsidR="008E7846" w:rsidRPr="00AC281A" w:rsidRDefault="00017D61" w:rsidP="00D05A5B">
            <w:pPr>
              <w:rPr>
                <w:rFonts w:asciiTheme="minorHAnsi" w:hAnsiTheme="minorHAnsi"/>
              </w:rPr>
            </w:pPr>
            <w:proofErr w:type="spellStart"/>
            <w:r>
              <w:rPr>
                <w:rFonts w:asciiTheme="minorHAnsi" w:hAnsiTheme="minorHAnsi" w:cs="Calibri"/>
              </w:rPr>
              <w:t>Tafluprost</w:t>
            </w:r>
            <w:proofErr w:type="spellEnd"/>
            <w:r>
              <w:rPr>
                <w:rFonts w:asciiTheme="minorHAnsi" w:hAnsiTheme="minorHAnsi" w:cs="Calibri"/>
              </w:rPr>
              <w:t xml:space="preserve"> </w:t>
            </w:r>
            <w:r w:rsidR="00AC281A" w:rsidRPr="00AC281A">
              <w:rPr>
                <w:rFonts w:asciiTheme="minorHAnsi" w:hAnsiTheme="minorHAnsi" w:cs="Calibri"/>
              </w:rPr>
              <w:t xml:space="preserve">15 </w:t>
            </w:r>
            <w:r w:rsidR="00D05A5B">
              <w:rPr>
                <w:rFonts w:asciiTheme="minorHAnsi" w:hAnsiTheme="minorHAnsi" w:cs="Calibri"/>
              </w:rPr>
              <w:t>micrograms</w:t>
            </w:r>
            <w:r w:rsidR="00AC281A" w:rsidRPr="00AC281A">
              <w:rPr>
                <w:rFonts w:asciiTheme="minorHAnsi" w:hAnsiTheme="minorHAnsi" w:cs="Calibri"/>
              </w:rPr>
              <w:t xml:space="preserve">/mL and </w:t>
            </w:r>
            <w:proofErr w:type="spellStart"/>
            <w:r>
              <w:rPr>
                <w:rFonts w:asciiTheme="minorHAnsi" w:hAnsiTheme="minorHAnsi" w:cs="Calibri"/>
              </w:rPr>
              <w:t>T</w:t>
            </w:r>
            <w:r w:rsidR="00AC281A" w:rsidRPr="00AC281A">
              <w:rPr>
                <w:rFonts w:asciiTheme="minorHAnsi" w:hAnsiTheme="minorHAnsi" w:cs="Calibri"/>
              </w:rPr>
              <w:t>imolol</w:t>
            </w:r>
            <w:proofErr w:type="spellEnd"/>
            <w:r w:rsidR="00AC281A" w:rsidRPr="00AC281A">
              <w:rPr>
                <w:rFonts w:asciiTheme="minorHAnsi" w:hAnsiTheme="minorHAnsi" w:cs="Calibri"/>
              </w:rPr>
              <w:t xml:space="preserve"> (as maleate) 5 mg/mL</w:t>
            </w:r>
          </w:p>
        </w:tc>
      </w:tr>
      <w:tr w:rsidR="008E7846" w:rsidRPr="00AC281A" w:rsidTr="00BF1190">
        <w:tc>
          <w:tcPr>
            <w:tcW w:w="2907" w:type="dxa"/>
          </w:tcPr>
          <w:p w:rsidR="008E7846" w:rsidRPr="00AC281A" w:rsidRDefault="008E7846" w:rsidP="00E45619">
            <w:pPr>
              <w:rPr>
                <w:rFonts w:asciiTheme="minorHAnsi" w:hAnsiTheme="minorHAnsi"/>
                <w:i/>
              </w:rPr>
            </w:pPr>
            <w:r w:rsidRPr="00AC281A">
              <w:rPr>
                <w:rFonts w:asciiTheme="minorHAnsi" w:hAnsiTheme="minorHAnsi"/>
                <w:i/>
              </w:rPr>
              <w:t>Container(s):</w:t>
            </w:r>
          </w:p>
        </w:tc>
        <w:tc>
          <w:tcPr>
            <w:tcW w:w="6307" w:type="dxa"/>
          </w:tcPr>
          <w:p w:rsidR="008E7846" w:rsidRPr="00AC281A" w:rsidRDefault="00AC281A" w:rsidP="00AC281A">
            <w:pPr>
              <w:rPr>
                <w:rFonts w:asciiTheme="minorHAnsi" w:hAnsiTheme="minorHAnsi"/>
              </w:rPr>
            </w:pPr>
            <w:r w:rsidRPr="00AC281A">
              <w:rPr>
                <w:rFonts w:asciiTheme="minorHAnsi" w:hAnsiTheme="minorHAnsi" w:cs="Calibri"/>
              </w:rPr>
              <w:t>Single use ampoules</w:t>
            </w:r>
            <w:r w:rsidR="00516F60">
              <w:rPr>
                <w:rFonts w:asciiTheme="minorHAnsi" w:hAnsiTheme="minorHAnsi" w:cs="Calibri"/>
              </w:rPr>
              <w:t xml:space="preserve"> </w:t>
            </w:r>
          </w:p>
        </w:tc>
      </w:tr>
      <w:tr w:rsidR="008E7846" w:rsidRPr="00AC281A" w:rsidTr="00BF1190">
        <w:tc>
          <w:tcPr>
            <w:tcW w:w="2907" w:type="dxa"/>
          </w:tcPr>
          <w:p w:rsidR="008E7846" w:rsidRPr="00AC281A" w:rsidRDefault="008E7846" w:rsidP="00E45619">
            <w:pPr>
              <w:rPr>
                <w:rFonts w:asciiTheme="minorHAnsi" w:hAnsiTheme="minorHAnsi"/>
                <w:i/>
              </w:rPr>
            </w:pPr>
            <w:r w:rsidRPr="00AC281A">
              <w:rPr>
                <w:rFonts w:asciiTheme="minorHAnsi" w:hAnsiTheme="minorHAnsi"/>
                <w:i/>
              </w:rPr>
              <w:t>Pack size(s):</w:t>
            </w:r>
          </w:p>
        </w:tc>
        <w:tc>
          <w:tcPr>
            <w:tcW w:w="6307" w:type="dxa"/>
          </w:tcPr>
          <w:p w:rsidR="008E7846" w:rsidRPr="00AC281A" w:rsidRDefault="00AC281A" w:rsidP="00AC281A">
            <w:pPr>
              <w:rPr>
                <w:rFonts w:asciiTheme="minorHAnsi" w:hAnsiTheme="minorHAnsi"/>
              </w:rPr>
            </w:pPr>
            <w:r w:rsidRPr="00AC281A">
              <w:rPr>
                <w:rFonts w:asciiTheme="minorHAnsi" w:hAnsiTheme="minorHAnsi" w:cs="Calibri"/>
              </w:rPr>
              <w:t>30 x 0.3 mL (and 10 x 0.3 mL starter pack)</w:t>
            </w:r>
          </w:p>
        </w:tc>
      </w:tr>
      <w:tr w:rsidR="008E7846" w:rsidRPr="00AC281A" w:rsidTr="00BF1190">
        <w:tc>
          <w:tcPr>
            <w:tcW w:w="2907" w:type="dxa"/>
          </w:tcPr>
          <w:p w:rsidR="008E7846" w:rsidRPr="00AC281A" w:rsidRDefault="008E7846" w:rsidP="001B5C90">
            <w:pPr>
              <w:rPr>
                <w:rFonts w:asciiTheme="minorHAnsi" w:hAnsiTheme="minorHAnsi"/>
                <w:i/>
              </w:rPr>
            </w:pPr>
            <w:r w:rsidRPr="00AC281A">
              <w:rPr>
                <w:rFonts w:asciiTheme="minorHAnsi" w:hAnsiTheme="minorHAnsi"/>
                <w:i/>
              </w:rPr>
              <w:t xml:space="preserve">Approved </w:t>
            </w:r>
            <w:r w:rsidR="001B5C90" w:rsidRPr="00AC281A">
              <w:rPr>
                <w:rFonts w:asciiTheme="minorHAnsi" w:hAnsiTheme="minorHAnsi"/>
                <w:i/>
              </w:rPr>
              <w:t>t</w:t>
            </w:r>
            <w:r w:rsidRPr="00AC281A">
              <w:rPr>
                <w:rFonts w:asciiTheme="minorHAnsi" w:hAnsiTheme="minorHAnsi"/>
                <w:i/>
              </w:rPr>
              <w:t>herapeutic use:</w:t>
            </w:r>
          </w:p>
        </w:tc>
        <w:tc>
          <w:tcPr>
            <w:tcW w:w="6307" w:type="dxa"/>
          </w:tcPr>
          <w:p w:rsidR="008E7846" w:rsidRPr="00744C71" w:rsidRDefault="00AF5D28" w:rsidP="00744C71">
            <w:pPr>
              <w:rPr>
                <w:i/>
              </w:rPr>
            </w:pPr>
            <w:proofErr w:type="spellStart"/>
            <w:r>
              <w:rPr>
                <w:i/>
              </w:rPr>
              <w:t>Taptiqom</w:t>
            </w:r>
            <w:proofErr w:type="spellEnd"/>
            <w:r w:rsidR="00744C71" w:rsidRPr="00744C71">
              <w:rPr>
                <w:i/>
              </w:rPr>
              <w:t xml:space="preserve"> 15/5 is indicated for the reduction of intraocular pressure (lop) in adult patients with open angle glaucoma or ocular hypertension who are insufficiently responsive to beta blockers or prostaglandin analogues and require a combination therapy</w:t>
            </w:r>
            <w:r w:rsidR="00744C71">
              <w:rPr>
                <w:i/>
              </w:rPr>
              <w:t>.</w:t>
            </w:r>
          </w:p>
        </w:tc>
      </w:tr>
      <w:tr w:rsidR="008E7846" w:rsidRPr="00AC281A" w:rsidTr="00BF1190">
        <w:tc>
          <w:tcPr>
            <w:tcW w:w="2907" w:type="dxa"/>
          </w:tcPr>
          <w:p w:rsidR="008E7846" w:rsidRPr="00AC281A" w:rsidRDefault="008E7846" w:rsidP="00E45619">
            <w:pPr>
              <w:rPr>
                <w:rFonts w:asciiTheme="minorHAnsi" w:hAnsiTheme="minorHAnsi"/>
                <w:i/>
              </w:rPr>
            </w:pPr>
            <w:r w:rsidRPr="00AC281A">
              <w:rPr>
                <w:rFonts w:asciiTheme="minorHAnsi" w:hAnsiTheme="minorHAnsi"/>
                <w:i/>
              </w:rPr>
              <w:t>Route(s) of administration:</w:t>
            </w:r>
          </w:p>
        </w:tc>
        <w:tc>
          <w:tcPr>
            <w:tcW w:w="6307" w:type="dxa"/>
          </w:tcPr>
          <w:p w:rsidR="008E7846" w:rsidRPr="00AC281A" w:rsidRDefault="005B4838" w:rsidP="002E7FB3">
            <w:pPr>
              <w:rPr>
                <w:rFonts w:asciiTheme="minorHAnsi" w:hAnsiTheme="minorHAnsi"/>
              </w:rPr>
            </w:pPr>
            <w:r>
              <w:rPr>
                <w:rFonts w:asciiTheme="minorHAnsi" w:hAnsiTheme="minorHAnsi"/>
              </w:rPr>
              <w:t>Topical (</w:t>
            </w:r>
            <w:r w:rsidR="002E7FB3">
              <w:rPr>
                <w:rFonts w:asciiTheme="minorHAnsi" w:hAnsiTheme="minorHAnsi"/>
              </w:rPr>
              <w:t>ocular</w:t>
            </w:r>
            <w:r>
              <w:rPr>
                <w:rFonts w:asciiTheme="minorHAnsi" w:hAnsiTheme="minorHAnsi"/>
              </w:rPr>
              <w:t>)</w:t>
            </w:r>
          </w:p>
        </w:tc>
      </w:tr>
      <w:tr w:rsidR="008E7846" w:rsidRPr="00AC281A" w:rsidTr="00BF1190">
        <w:tc>
          <w:tcPr>
            <w:tcW w:w="2907" w:type="dxa"/>
          </w:tcPr>
          <w:p w:rsidR="008E7846" w:rsidRPr="00AC281A" w:rsidRDefault="008E7846" w:rsidP="00E45619">
            <w:pPr>
              <w:rPr>
                <w:rFonts w:asciiTheme="minorHAnsi" w:hAnsiTheme="minorHAnsi"/>
                <w:i/>
              </w:rPr>
            </w:pPr>
            <w:r w:rsidRPr="00AC281A">
              <w:rPr>
                <w:rFonts w:asciiTheme="minorHAnsi" w:hAnsiTheme="minorHAnsi"/>
                <w:i/>
              </w:rPr>
              <w:t>Dosage:</w:t>
            </w:r>
          </w:p>
        </w:tc>
        <w:tc>
          <w:tcPr>
            <w:tcW w:w="6307" w:type="dxa"/>
          </w:tcPr>
          <w:p w:rsidR="005B4838" w:rsidRPr="005B4838" w:rsidRDefault="005B4838" w:rsidP="005B4838">
            <w:pPr>
              <w:rPr>
                <w:rFonts w:asciiTheme="minorHAnsi" w:hAnsiTheme="minorHAnsi"/>
              </w:rPr>
            </w:pPr>
            <w:r w:rsidRPr="005B4838">
              <w:rPr>
                <w:rFonts w:asciiTheme="minorHAnsi" w:hAnsiTheme="minorHAnsi"/>
              </w:rPr>
              <w:t>Adults</w:t>
            </w:r>
            <w:r>
              <w:rPr>
                <w:rFonts w:asciiTheme="minorHAnsi" w:hAnsiTheme="minorHAnsi"/>
              </w:rPr>
              <w:t xml:space="preserve">: </w:t>
            </w:r>
            <w:r w:rsidRPr="005B4838">
              <w:rPr>
                <w:rFonts w:asciiTheme="minorHAnsi" w:hAnsiTheme="minorHAnsi"/>
              </w:rPr>
              <w:t>Recommended therapy is one eye drop in the conjunctival sac of the affected eye(s) once</w:t>
            </w:r>
            <w:r>
              <w:rPr>
                <w:rFonts w:asciiTheme="minorHAnsi" w:hAnsiTheme="minorHAnsi"/>
              </w:rPr>
              <w:t xml:space="preserve"> </w:t>
            </w:r>
            <w:r w:rsidRPr="005B4838">
              <w:rPr>
                <w:rFonts w:asciiTheme="minorHAnsi" w:hAnsiTheme="minorHAnsi"/>
              </w:rPr>
              <w:t>daily.</w:t>
            </w:r>
          </w:p>
          <w:p w:rsidR="008E7846" w:rsidRPr="00AC281A" w:rsidRDefault="00AF5D28" w:rsidP="00D05A5B">
            <w:pPr>
              <w:rPr>
                <w:rFonts w:asciiTheme="minorHAnsi" w:hAnsiTheme="minorHAnsi"/>
              </w:rPr>
            </w:pPr>
            <w:proofErr w:type="spellStart"/>
            <w:r>
              <w:rPr>
                <w:rFonts w:asciiTheme="minorHAnsi" w:hAnsiTheme="minorHAnsi"/>
              </w:rPr>
              <w:t>Taptiqom</w:t>
            </w:r>
            <w:proofErr w:type="spellEnd"/>
            <w:r w:rsidR="005B4838" w:rsidRPr="005B4838">
              <w:rPr>
                <w:rFonts w:asciiTheme="minorHAnsi" w:hAnsiTheme="minorHAnsi"/>
              </w:rPr>
              <w:t xml:space="preserve"> 15/5 </w:t>
            </w:r>
            <w:proofErr w:type="gramStart"/>
            <w:r w:rsidR="005B4838" w:rsidRPr="005B4838">
              <w:rPr>
                <w:rFonts w:asciiTheme="minorHAnsi" w:hAnsiTheme="minorHAnsi"/>
              </w:rPr>
              <w:t xml:space="preserve">is </w:t>
            </w:r>
            <w:r w:rsidR="00D05A5B">
              <w:rPr>
                <w:rFonts w:asciiTheme="minorHAnsi" w:hAnsiTheme="minorHAnsi"/>
              </w:rPr>
              <w:t xml:space="preserve"> not</w:t>
            </w:r>
            <w:proofErr w:type="gramEnd"/>
            <w:r w:rsidR="005B4838" w:rsidRPr="005B4838">
              <w:rPr>
                <w:rFonts w:asciiTheme="minorHAnsi" w:hAnsiTheme="minorHAnsi"/>
              </w:rPr>
              <w:t xml:space="preserve"> recommended for use in children and adolescents below the age of</w:t>
            </w:r>
            <w:r w:rsidR="005B4838">
              <w:rPr>
                <w:rFonts w:asciiTheme="minorHAnsi" w:hAnsiTheme="minorHAnsi"/>
              </w:rPr>
              <w:t xml:space="preserve"> </w:t>
            </w:r>
            <w:r w:rsidR="005B4838" w:rsidRPr="005B4838">
              <w:rPr>
                <w:rFonts w:asciiTheme="minorHAnsi" w:hAnsiTheme="minorHAnsi"/>
              </w:rPr>
              <w:t>18 years.</w:t>
            </w:r>
          </w:p>
        </w:tc>
      </w:tr>
      <w:tr w:rsidR="008E7846" w:rsidRPr="00AC281A" w:rsidTr="00BF1190">
        <w:tc>
          <w:tcPr>
            <w:tcW w:w="2907" w:type="dxa"/>
          </w:tcPr>
          <w:p w:rsidR="008E7846" w:rsidRPr="00AC281A" w:rsidRDefault="008E7846" w:rsidP="001B5C90">
            <w:pPr>
              <w:rPr>
                <w:rFonts w:asciiTheme="minorHAnsi" w:hAnsiTheme="minorHAnsi"/>
                <w:i/>
              </w:rPr>
            </w:pPr>
            <w:r w:rsidRPr="00AC281A">
              <w:rPr>
                <w:rFonts w:asciiTheme="minorHAnsi" w:hAnsiTheme="minorHAnsi"/>
                <w:i/>
              </w:rPr>
              <w:t xml:space="preserve">ARTG </w:t>
            </w:r>
            <w:r w:rsidR="001B5C90" w:rsidRPr="00AC281A">
              <w:rPr>
                <w:rFonts w:asciiTheme="minorHAnsi" w:hAnsiTheme="minorHAnsi"/>
                <w:i/>
              </w:rPr>
              <w:t>n</w:t>
            </w:r>
            <w:r w:rsidRPr="00AC281A">
              <w:rPr>
                <w:rFonts w:asciiTheme="minorHAnsi" w:hAnsiTheme="minorHAnsi"/>
                <w:i/>
              </w:rPr>
              <w:t>umber (s)</w:t>
            </w:r>
            <w:r w:rsidR="001B5C90" w:rsidRPr="00AC281A">
              <w:rPr>
                <w:rFonts w:asciiTheme="minorHAnsi" w:hAnsiTheme="minorHAnsi"/>
                <w:i/>
              </w:rPr>
              <w:t>:</w:t>
            </w:r>
          </w:p>
        </w:tc>
        <w:tc>
          <w:tcPr>
            <w:tcW w:w="6307" w:type="dxa"/>
          </w:tcPr>
          <w:p w:rsidR="008E7846" w:rsidRPr="00AC281A" w:rsidRDefault="005B4838" w:rsidP="005B4838">
            <w:pPr>
              <w:rPr>
                <w:rFonts w:asciiTheme="minorHAnsi" w:hAnsiTheme="minorHAnsi"/>
              </w:rPr>
            </w:pPr>
            <w:r>
              <w:t>218042</w:t>
            </w:r>
          </w:p>
        </w:tc>
      </w:tr>
    </w:tbl>
    <w:p w:rsidR="008E7846" w:rsidRDefault="008E7846" w:rsidP="008E7846">
      <w:pPr>
        <w:pStyle w:val="Heading3"/>
      </w:pPr>
      <w:bookmarkStart w:id="13" w:name="_Toc247691503"/>
      <w:bookmarkStart w:id="14" w:name="_Toc314842484"/>
      <w:bookmarkStart w:id="15" w:name="_Toc427232196"/>
      <w:r>
        <w:t>Product background</w:t>
      </w:r>
      <w:bookmarkEnd w:id="13"/>
      <w:bookmarkEnd w:id="14"/>
      <w:bookmarkEnd w:id="15"/>
    </w:p>
    <w:p w:rsidR="00AC281A" w:rsidRDefault="00940A89" w:rsidP="00017D61">
      <w:pPr>
        <w:rPr>
          <w:kern w:val="2"/>
        </w:rPr>
      </w:pPr>
      <w:r w:rsidRPr="00940A89">
        <w:t xml:space="preserve">This </w:t>
      </w:r>
      <w:proofErr w:type="spellStart"/>
      <w:r w:rsidRPr="00940A89">
        <w:t>AusPAR</w:t>
      </w:r>
      <w:proofErr w:type="spellEnd"/>
      <w:r w:rsidRPr="00940A89">
        <w:t xml:space="preserve"> describes the application by </w:t>
      </w:r>
      <w:r w:rsidR="00AC281A">
        <w:rPr>
          <w:kern w:val="2"/>
        </w:rPr>
        <w:t xml:space="preserve">Merck Sharp &amp; </w:t>
      </w:r>
      <w:proofErr w:type="spellStart"/>
      <w:r w:rsidR="00AC281A">
        <w:rPr>
          <w:kern w:val="2"/>
        </w:rPr>
        <w:t>Dohme</w:t>
      </w:r>
      <w:proofErr w:type="spellEnd"/>
      <w:r w:rsidR="00AC281A">
        <w:rPr>
          <w:kern w:val="2"/>
        </w:rPr>
        <w:t xml:space="preserve"> (Australia) Pty Limited </w:t>
      </w:r>
      <w:r w:rsidR="00A96ECC">
        <w:rPr>
          <w:kern w:val="2"/>
        </w:rPr>
        <w:t xml:space="preserve">(MSD) </w:t>
      </w:r>
      <w:r w:rsidR="00AC281A">
        <w:rPr>
          <w:kern w:val="2"/>
        </w:rPr>
        <w:t xml:space="preserve">to register </w:t>
      </w:r>
      <w:proofErr w:type="spellStart"/>
      <w:r w:rsidR="00AF5D28">
        <w:t>Taptiqom</w:t>
      </w:r>
      <w:proofErr w:type="spellEnd"/>
      <w:r w:rsidR="00516F60">
        <w:rPr>
          <w:rStyle w:val="FootnoteReference"/>
        </w:rPr>
        <w:footnoteReference w:id="1"/>
      </w:r>
      <w:r w:rsidR="00AC281A">
        <w:rPr>
          <w:kern w:val="2"/>
        </w:rPr>
        <w:t xml:space="preserve">, a new fixed-dose combination of </w:t>
      </w:r>
      <w:proofErr w:type="spellStart"/>
      <w:r w:rsidR="00AC281A">
        <w:rPr>
          <w:kern w:val="2"/>
        </w:rPr>
        <w:t>tafluprost</w:t>
      </w:r>
      <w:proofErr w:type="spellEnd"/>
      <w:r w:rsidR="00AC281A">
        <w:rPr>
          <w:kern w:val="2"/>
        </w:rPr>
        <w:t xml:space="preserve"> and </w:t>
      </w:r>
      <w:proofErr w:type="spellStart"/>
      <w:r w:rsidR="00AC281A">
        <w:rPr>
          <w:kern w:val="2"/>
        </w:rPr>
        <w:t>timolol</w:t>
      </w:r>
      <w:proofErr w:type="spellEnd"/>
      <w:r w:rsidR="00C45854">
        <w:rPr>
          <w:kern w:val="2"/>
        </w:rPr>
        <w:t xml:space="preserve">. </w:t>
      </w:r>
      <w:proofErr w:type="spellStart"/>
      <w:r w:rsidR="00AF5D28">
        <w:rPr>
          <w:kern w:val="2"/>
        </w:rPr>
        <w:t>Taptiqom</w:t>
      </w:r>
      <w:proofErr w:type="spellEnd"/>
      <w:r w:rsidR="00C45854">
        <w:rPr>
          <w:kern w:val="2"/>
        </w:rPr>
        <w:t xml:space="preserve"> is</w:t>
      </w:r>
      <w:r w:rsidR="00AC281A">
        <w:rPr>
          <w:kern w:val="2"/>
        </w:rPr>
        <w:t xml:space="preserve"> to be used to reduce intraocular pressure in adults with open angle glaucoma or ocular hypertension.</w:t>
      </w:r>
      <w:r w:rsidR="00017D61">
        <w:rPr>
          <w:kern w:val="2"/>
        </w:rPr>
        <w:t xml:space="preserve"> The </w:t>
      </w:r>
      <w:r w:rsidR="006203B9">
        <w:rPr>
          <w:kern w:val="2"/>
        </w:rPr>
        <w:t xml:space="preserve">sponsor proposed the </w:t>
      </w:r>
      <w:r w:rsidR="00017D61">
        <w:rPr>
          <w:kern w:val="2"/>
        </w:rPr>
        <w:t xml:space="preserve">following </w:t>
      </w:r>
      <w:r w:rsidR="006203B9">
        <w:rPr>
          <w:kern w:val="2"/>
        </w:rPr>
        <w:t>indications</w:t>
      </w:r>
      <w:r w:rsidR="00017D61">
        <w:rPr>
          <w:kern w:val="2"/>
        </w:rPr>
        <w:t>:</w:t>
      </w:r>
    </w:p>
    <w:p w:rsidR="00017D61" w:rsidRPr="00017D61" w:rsidRDefault="00AF5D28" w:rsidP="00017D61">
      <w:pPr>
        <w:ind w:left="142"/>
        <w:rPr>
          <w:i/>
        </w:rPr>
      </w:pPr>
      <w:proofErr w:type="spellStart"/>
      <w:r>
        <w:rPr>
          <w:i/>
          <w:lang w:val="en-US"/>
        </w:rPr>
        <w:lastRenderedPageBreak/>
        <w:t>Taptiqom</w:t>
      </w:r>
      <w:proofErr w:type="spellEnd"/>
      <w:r w:rsidR="00017D61" w:rsidRPr="00017D61">
        <w:rPr>
          <w:i/>
          <w:lang w:val="en-US"/>
        </w:rPr>
        <w:t xml:space="preserve"> is indicated for the reduction of intraocular pressure (IOP) in adult patients with open angle glaucoma or ocular hypertension when concomitant therapy is appropriate.</w:t>
      </w:r>
    </w:p>
    <w:p w:rsidR="00C45854" w:rsidRPr="00017D61" w:rsidRDefault="00C45854" w:rsidP="00C45854">
      <w:r w:rsidRPr="00017D61">
        <w:t xml:space="preserve">Medical therapy </w:t>
      </w:r>
      <w:r>
        <w:t xml:space="preserve">of </w:t>
      </w:r>
      <w:r>
        <w:rPr>
          <w:kern w:val="2"/>
        </w:rPr>
        <w:t>open angle glaucoma or ocular hypertension</w:t>
      </w:r>
      <w:r w:rsidRPr="00017D61">
        <w:t xml:space="preserve"> is usually used before laser or surgery</w:t>
      </w:r>
      <w:r>
        <w:t>,</w:t>
      </w:r>
      <w:r w:rsidRPr="00017D61">
        <w:t xml:space="preserve"> although there is some evidence to show that initial laser treatment is as efficacious and safe as initial medical treatment.</w:t>
      </w:r>
    </w:p>
    <w:p w:rsidR="00C45854" w:rsidRPr="00017D61" w:rsidRDefault="00C45854" w:rsidP="00744C71">
      <w:r w:rsidRPr="00017D61">
        <w:t>If medical therapy is chosen as the initial therapy, then prostaglandins are usually regarded as first-line treatment because they are considered more effective than beta-blockers, carbonic anhydrase inhibitors or alpha adrenergic agonists. Prostaglandins are also considered to have a better adverse-event profile than the alternatives. Adding a second agent from a different class is a reasonable strategy if initial monotherapy is not effective.</w:t>
      </w:r>
    </w:p>
    <w:p w:rsidR="00C45854" w:rsidRPr="006203B9" w:rsidRDefault="00C45854" w:rsidP="00744C71">
      <w:proofErr w:type="spellStart"/>
      <w:r w:rsidRPr="006203B9">
        <w:t>Tafluprost</w:t>
      </w:r>
      <w:proofErr w:type="spellEnd"/>
      <w:r w:rsidRPr="006203B9">
        <w:t xml:space="preserve"> is a fluorinated analogue of prostaglandin F2</w:t>
      </w:r>
      <w:r>
        <w:t>alpha</w:t>
      </w:r>
      <w:r w:rsidRPr="006203B9">
        <w:t>.</w:t>
      </w:r>
      <w:r w:rsidR="00516F60">
        <w:t xml:space="preserve"> </w:t>
      </w:r>
      <w:proofErr w:type="spellStart"/>
      <w:r w:rsidRPr="006203B9">
        <w:t>Tafluprost</w:t>
      </w:r>
      <w:proofErr w:type="spellEnd"/>
      <w:r w:rsidRPr="006203B9">
        <w:t xml:space="preserve"> acid, the biologically active metabolite of </w:t>
      </w:r>
      <w:proofErr w:type="spellStart"/>
      <w:r w:rsidRPr="006203B9">
        <w:t>tafluprost</w:t>
      </w:r>
      <w:proofErr w:type="spellEnd"/>
      <w:r w:rsidRPr="006203B9">
        <w:t xml:space="preserve">, is a highly potent and selective agonist of the human </w:t>
      </w:r>
      <w:proofErr w:type="spellStart"/>
      <w:r w:rsidRPr="006203B9">
        <w:t>prostanoid</w:t>
      </w:r>
      <w:proofErr w:type="spellEnd"/>
      <w:r w:rsidRPr="006203B9">
        <w:t xml:space="preserve"> FP receptor, which is thought to reduce intra-ocular pressure </w:t>
      </w:r>
      <w:r>
        <w:t xml:space="preserve">(IOP) </w:t>
      </w:r>
      <w:r w:rsidRPr="006203B9">
        <w:t xml:space="preserve">by increasing </w:t>
      </w:r>
      <w:proofErr w:type="spellStart"/>
      <w:r w:rsidRPr="006203B9">
        <w:t>uveoscleral</w:t>
      </w:r>
      <w:proofErr w:type="spellEnd"/>
      <w:r w:rsidRPr="006203B9">
        <w:t xml:space="preserve"> outflow of aqueous humour. </w:t>
      </w:r>
      <w:proofErr w:type="spellStart"/>
      <w:r w:rsidRPr="006203B9">
        <w:t>Tafluprost</w:t>
      </w:r>
      <w:proofErr w:type="spellEnd"/>
      <w:r w:rsidRPr="006203B9">
        <w:t xml:space="preserve"> acid has a 12</w:t>
      </w:r>
      <w:r>
        <w:t xml:space="preserve"> </w:t>
      </w:r>
      <w:r w:rsidRPr="006203B9">
        <w:t xml:space="preserve">fold higher affinity for the FP receptor than </w:t>
      </w:r>
      <w:proofErr w:type="spellStart"/>
      <w:r w:rsidRPr="006203B9">
        <w:t>latanoprost</w:t>
      </w:r>
      <w:proofErr w:type="spellEnd"/>
      <w:r w:rsidRPr="006203B9">
        <w:t>.</w:t>
      </w:r>
    </w:p>
    <w:p w:rsidR="00017D61" w:rsidRDefault="0078024B" w:rsidP="00744C71">
      <w:pPr>
        <w:rPr>
          <w:rFonts w:ascii="Times New Roman" w:hAnsi="Times New Roman"/>
          <w:sz w:val="24"/>
        </w:rPr>
      </w:pPr>
      <w:proofErr w:type="spellStart"/>
      <w:r w:rsidRPr="0078024B">
        <w:t>Timolol</w:t>
      </w:r>
      <w:proofErr w:type="spellEnd"/>
      <w:r w:rsidRPr="0078024B">
        <w:t xml:space="preserve"> is a non-selective </w:t>
      </w:r>
      <w:r w:rsidR="00C45854">
        <w:t>beta</w:t>
      </w:r>
      <w:r w:rsidRPr="0078024B">
        <w:t>-adrenergic receptor blocking agent that does not have significant intrinsic sympathomimetic, direct myocardial depressant or local anaesthetic (membrane-stabilising) activity.</w:t>
      </w:r>
      <w:r w:rsidR="00516F60">
        <w:t xml:space="preserve"> </w:t>
      </w:r>
      <w:r w:rsidR="00C45854">
        <w:t xml:space="preserve">It </w:t>
      </w:r>
      <w:r w:rsidRPr="0078024B">
        <w:t xml:space="preserve">combines reversibly with a part of the cell membrane, the </w:t>
      </w:r>
      <w:r w:rsidR="00C45854">
        <w:t>beta</w:t>
      </w:r>
      <w:r w:rsidRPr="0078024B">
        <w:t>-adrenergic receptor, and inhibits the usual biologic response that would occur with stimulation of that receptor</w:t>
      </w:r>
      <w:r w:rsidR="00017D61">
        <w:t>;</w:t>
      </w:r>
      <w:r w:rsidR="00017D61" w:rsidRPr="000A1BD6">
        <w:t xml:space="preserve"> </w:t>
      </w:r>
      <w:r w:rsidR="006203B9">
        <w:t xml:space="preserve">that is, </w:t>
      </w:r>
      <w:r w:rsidR="00C45854">
        <w:t xml:space="preserve">it </w:t>
      </w:r>
      <w:r w:rsidR="00017D61" w:rsidRPr="000A1BD6">
        <w:t>reduc</w:t>
      </w:r>
      <w:r w:rsidR="00C45854">
        <w:t>es</w:t>
      </w:r>
      <w:r w:rsidR="00017D61" w:rsidRPr="000A1BD6">
        <w:t xml:space="preserve"> intra-ocular pressure by reducing aqueous formation.</w:t>
      </w:r>
    </w:p>
    <w:p w:rsidR="00017D61" w:rsidRPr="000A1BD6" w:rsidRDefault="00017D61" w:rsidP="00744C71">
      <w:r w:rsidRPr="000A1BD6">
        <w:t xml:space="preserve">A single container with a </w:t>
      </w:r>
      <w:r w:rsidR="006203B9">
        <w:t>Fixed Dose Combination (</w:t>
      </w:r>
      <w:r w:rsidRPr="000A1BD6">
        <w:t>FDC</w:t>
      </w:r>
      <w:r w:rsidR="006203B9">
        <w:t>)</w:t>
      </w:r>
      <w:r w:rsidRPr="000A1BD6">
        <w:t xml:space="preserve"> of </w:t>
      </w:r>
      <w:proofErr w:type="spellStart"/>
      <w:r w:rsidRPr="000A1BD6">
        <w:t>tafluprost</w:t>
      </w:r>
      <w:proofErr w:type="spellEnd"/>
      <w:r w:rsidRPr="000A1BD6">
        <w:t xml:space="preserve"> and </w:t>
      </w:r>
      <w:proofErr w:type="spellStart"/>
      <w:r w:rsidRPr="000A1BD6">
        <w:t>timolol</w:t>
      </w:r>
      <w:proofErr w:type="spellEnd"/>
      <w:r w:rsidRPr="000A1BD6">
        <w:t xml:space="preserve"> has two putative advantages:</w:t>
      </w:r>
    </w:p>
    <w:p w:rsidR="00017D61" w:rsidRPr="000A1BD6" w:rsidRDefault="00017D61" w:rsidP="00017D61">
      <w:pPr>
        <w:pStyle w:val="ListBullet"/>
      </w:pPr>
      <w:r w:rsidRPr="000A1BD6">
        <w:t>Reduc</w:t>
      </w:r>
      <w:r w:rsidR="00C45854">
        <w:t>ing</w:t>
      </w:r>
      <w:r w:rsidRPr="000A1BD6">
        <w:t xml:space="preserve"> the wash-out effect of administering multiple drops to the eye</w:t>
      </w:r>
      <w:r w:rsidR="00C45854">
        <w:t>.</w:t>
      </w:r>
    </w:p>
    <w:p w:rsidR="00017D61" w:rsidRPr="000A1BD6" w:rsidRDefault="00017D61" w:rsidP="00017D61">
      <w:pPr>
        <w:pStyle w:val="ListBullet"/>
      </w:pPr>
      <w:r w:rsidRPr="000A1BD6">
        <w:t>Increas</w:t>
      </w:r>
      <w:r w:rsidR="00C45854">
        <w:t>ing</w:t>
      </w:r>
      <w:r w:rsidRPr="000A1BD6">
        <w:t xml:space="preserve"> </w:t>
      </w:r>
      <w:r w:rsidR="00C45854">
        <w:t xml:space="preserve">patient </w:t>
      </w:r>
      <w:r w:rsidRPr="000A1BD6">
        <w:t>compliance</w:t>
      </w:r>
      <w:r w:rsidR="00C45854">
        <w:t>.</w:t>
      </w:r>
    </w:p>
    <w:p w:rsidR="0078024B" w:rsidRPr="0078024B" w:rsidRDefault="0078024B" w:rsidP="00744C71">
      <w:r w:rsidRPr="0078024B">
        <w:t>The submission proposes registration of the following dosage form and strength:</w:t>
      </w:r>
    </w:p>
    <w:p w:rsidR="0078024B" w:rsidRPr="00017D61" w:rsidRDefault="0078024B" w:rsidP="00017D61">
      <w:pPr>
        <w:pStyle w:val="ListBullet"/>
      </w:pPr>
      <w:proofErr w:type="spellStart"/>
      <w:r w:rsidRPr="00017D61">
        <w:t>Tafluprost</w:t>
      </w:r>
      <w:proofErr w:type="spellEnd"/>
      <w:r w:rsidRPr="00017D61">
        <w:t xml:space="preserve"> 15 micrograms/mL and </w:t>
      </w:r>
      <w:proofErr w:type="spellStart"/>
      <w:r w:rsidRPr="00017D61">
        <w:t>timolol</w:t>
      </w:r>
      <w:proofErr w:type="spellEnd"/>
      <w:r w:rsidRPr="00017D61">
        <w:t xml:space="preserve"> (as maleate) 5 mg/mL Fixed Dose Combination</w:t>
      </w:r>
      <w:r w:rsidR="00C45854">
        <w:t xml:space="preserve"> in a s</w:t>
      </w:r>
      <w:r w:rsidRPr="00017D61">
        <w:t>ingle dose eye drop ampoule</w:t>
      </w:r>
      <w:r w:rsidR="00C45854">
        <w:t>.</w:t>
      </w:r>
    </w:p>
    <w:p w:rsidR="006203B9" w:rsidRPr="000A1BD6" w:rsidRDefault="006203B9" w:rsidP="00744C71">
      <w:r w:rsidRPr="000A1BD6">
        <w:t xml:space="preserve">Other similar combinations of a prostaglandin and a beta-blocker </w:t>
      </w:r>
      <w:r>
        <w:t xml:space="preserve">are </w:t>
      </w:r>
      <w:r w:rsidRPr="000A1BD6">
        <w:t xml:space="preserve">already registered on the </w:t>
      </w:r>
      <w:r>
        <w:t>Austrian Register of Therapeutic Goods (</w:t>
      </w:r>
      <w:r w:rsidRPr="000A1BD6">
        <w:t>ARTG</w:t>
      </w:r>
      <w:r>
        <w:t>)</w:t>
      </w:r>
      <w:r w:rsidRPr="000A1BD6">
        <w:t>:</w:t>
      </w:r>
    </w:p>
    <w:p w:rsidR="006203B9" w:rsidRPr="000A1BD6" w:rsidRDefault="006203B9" w:rsidP="006203B9">
      <w:pPr>
        <w:pStyle w:val="ListBullet"/>
      </w:pPr>
      <w:proofErr w:type="spellStart"/>
      <w:r w:rsidRPr="000A1BD6">
        <w:t>Xalacom</w:t>
      </w:r>
      <w:proofErr w:type="spellEnd"/>
      <w:r w:rsidRPr="000A1BD6">
        <w:t xml:space="preserve"> (</w:t>
      </w:r>
      <w:proofErr w:type="spellStart"/>
      <w:r w:rsidRPr="000A1BD6">
        <w:t>latanoprost</w:t>
      </w:r>
      <w:proofErr w:type="spellEnd"/>
      <w:r w:rsidRPr="000A1BD6">
        <w:t xml:space="preserve"> + </w:t>
      </w:r>
      <w:proofErr w:type="spellStart"/>
      <w:r w:rsidRPr="000A1BD6">
        <w:t>timolol</w:t>
      </w:r>
      <w:proofErr w:type="spellEnd"/>
      <w:r w:rsidRPr="000A1BD6">
        <w:t>)</w:t>
      </w:r>
    </w:p>
    <w:p w:rsidR="006203B9" w:rsidRPr="000A1BD6" w:rsidRDefault="006203B9" w:rsidP="006203B9">
      <w:pPr>
        <w:pStyle w:val="ListBullet"/>
      </w:pPr>
      <w:proofErr w:type="spellStart"/>
      <w:r w:rsidRPr="000A1BD6">
        <w:t>Latanocom</w:t>
      </w:r>
      <w:proofErr w:type="spellEnd"/>
      <w:r w:rsidRPr="000A1BD6">
        <w:t xml:space="preserve"> (</w:t>
      </w:r>
      <w:proofErr w:type="spellStart"/>
      <w:r w:rsidRPr="000A1BD6">
        <w:t>latanoprost</w:t>
      </w:r>
      <w:proofErr w:type="spellEnd"/>
      <w:r w:rsidRPr="000A1BD6">
        <w:t xml:space="preserve"> + </w:t>
      </w:r>
      <w:proofErr w:type="spellStart"/>
      <w:r w:rsidRPr="000A1BD6">
        <w:t>timolol</w:t>
      </w:r>
      <w:proofErr w:type="spellEnd"/>
      <w:r w:rsidRPr="000A1BD6">
        <w:t>)</w:t>
      </w:r>
    </w:p>
    <w:p w:rsidR="006203B9" w:rsidRPr="000A1BD6" w:rsidRDefault="006203B9" w:rsidP="006203B9">
      <w:pPr>
        <w:pStyle w:val="ListBullet"/>
      </w:pPr>
      <w:proofErr w:type="spellStart"/>
      <w:r w:rsidRPr="000A1BD6">
        <w:t>Duotrav</w:t>
      </w:r>
      <w:proofErr w:type="spellEnd"/>
      <w:r w:rsidRPr="000A1BD6">
        <w:t xml:space="preserve"> (</w:t>
      </w:r>
      <w:proofErr w:type="spellStart"/>
      <w:r w:rsidRPr="000A1BD6">
        <w:t>travoprost</w:t>
      </w:r>
      <w:proofErr w:type="spellEnd"/>
      <w:r w:rsidRPr="000A1BD6">
        <w:t xml:space="preserve"> + </w:t>
      </w:r>
      <w:proofErr w:type="spellStart"/>
      <w:r w:rsidRPr="000A1BD6">
        <w:t>timolol</w:t>
      </w:r>
      <w:proofErr w:type="spellEnd"/>
      <w:r w:rsidRPr="000A1BD6">
        <w:t>)</w:t>
      </w:r>
    </w:p>
    <w:p w:rsidR="006203B9" w:rsidRPr="000A1BD6" w:rsidRDefault="006203B9" w:rsidP="006203B9">
      <w:pPr>
        <w:pStyle w:val="ListBullet"/>
      </w:pPr>
      <w:proofErr w:type="spellStart"/>
      <w:r w:rsidRPr="000A1BD6">
        <w:t>Ganfort</w:t>
      </w:r>
      <w:proofErr w:type="spellEnd"/>
      <w:r w:rsidRPr="000A1BD6">
        <w:t xml:space="preserve"> (</w:t>
      </w:r>
      <w:proofErr w:type="spellStart"/>
      <w:r w:rsidRPr="000A1BD6">
        <w:t>bimatoprost</w:t>
      </w:r>
      <w:proofErr w:type="spellEnd"/>
      <w:r w:rsidRPr="000A1BD6">
        <w:t xml:space="preserve"> + </w:t>
      </w:r>
      <w:proofErr w:type="spellStart"/>
      <w:r w:rsidRPr="000A1BD6">
        <w:t>timolol</w:t>
      </w:r>
      <w:proofErr w:type="spellEnd"/>
      <w:r w:rsidRPr="000A1BD6">
        <w:t>)</w:t>
      </w:r>
    </w:p>
    <w:p w:rsidR="00A96ECC" w:rsidRDefault="00A96ECC" w:rsidP="00A96ECC">
      <w:r>
        <w:t xml:space="preserve">For more details of these </w:t>
      </w:r>
      <w:r w:rsidR="00C45854">
        <w:t xml:space="preserve">products see </w:t>
      </w:r>
      <w:r w:rsidRPr="00C45854">
        <w:rPr>
          <w:i/>
        </w:rPr>
        <w:t>Regulatory status</w:t>
      </w:r>
      <w:r>
        <w:t xml:space="preserve"> below.</w:t>
      </w:r>
    </w:p>
    <w:p w:rsidR="008E7846" w:rsidRPr="003F31A2" w:rsidRDefault="00386150" w:rsidP="008E7846">
      <w:pPr>
        <w:pStyle w:val="Heading3"/>
      </w:pPr>
      <w:bookmarkStart w:id="16" w:name="_Toc314842485"/>
      <w:bookmarkStart w:id="17" w:name="_Toc427232197"/>
      <w:bookmarkStart w:id="18" w:name="_Toc247691504"/>
      <w:r>
        <w:t>Regulatory s</w:t>
      </w:r>
      <w:r w:rsidR="008E7846">
        <w:t>tatus</w:t>
      </w:r>
      <w:bookmarkEnd w:id="16"/>
      <w:bookmarkEnd w:id="17"/>
      <w:bookmarkEnd w:id="18"/>
    </w:p>
    <w:p w:rsidR="00A94D18" w:rsidRDefault="00A94D18" w:rsidP="00744C71">
      <w:bookmarkStart w:id="19" w:name="_Toc247691505"/>
      <w:bookmarkStart w:id="20" w:name="_Toc314842486"/>
      <w:r>
        <w:t xml:space="preserve">This is an application for a new </w:t>
      </w:r>
      <w:r w:rsidR="006203B9">
        <w:t xml:space="preserve">fixed dose </w:t>
      </w:r>
      <w:r>
        <w:t>combination of registered drugs.</w:t>
      </w:r>
    </w:p>
    <w:p w:rsidR="00A96ECC" w:rsidRDefault="00A96ECC" w:rsidP="00744C71">
      <w:r w:rsidRPr="00940A89">
        <w:t xml:space="preserve">At the time the TGA considered this application, a similar application had been approved </w:t>
      </w:r>
      <w:r>
        <w:t>in the European Union (EU) on 17 June 2013 (see Table 1 below).</w:t>
      </w:r>
    </w:p>
    <w:p w:rsidR="00A96ECC" w:rsidRPr="006F7773" w:rsidRDefault="00A96ECC" w:rsidP="006F7773">
      <w:pPr>
        <w:pStyle w:val="TableTitle"/>
      </w:pPr>
      <w:r w:rsidRPr="006F7773">
        <w:lastRenderedPageBreak/>
        <w:t>Table 1: International regulatory status</w:t>
      </w:r>
    </w:p>
    <w:p w:rsidR="00A96ECC" w:rsidRDefault="00A96ECC" w:rsidP="00B2653D">
      <w:r>
        <w:rPr>
          <w:noProof/>
          <w:lang w:eastAsia="en-AU"/>
        </w:rPr>
        <w:drawing>
          <wp:inline distT="0" distB="0" distL="0" distR="0" wp14:anchorId="3690A08C" wp14:editId="656BE7E2">
            <wp:extent cx="3698851" cy="1481091"/>
            <wp:effectExtent l="0" t="0" r="0" b="5080"/>
            <wp:docPr id="9" name="Picture 9" descr="Table 1: International regulator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852" t="9479"/>
                    <a:stretch/>
                  </pic:blipFill>
                  <pic:spPr bwMode="auto">
                    <a:xfrm>
                      <a:off x="0" y="0"/>
                      <a:ext cx="3697977" cy="1480741"/>
                    </a:xfrm>
                    <a:prstGeom prst="rect">
                      <a:avLst/>
                    </a:prstGeom>
                    <a:ln>
                      <a:noFill/>
                    </a:ln>
                    <a:extLst>
                      <a:ext uri="{53640926-AAD7-44D8-BBD7-CCE9431645EC}">
                        <a14:shadowObscured xmlns:a14="http://schemas.microsoft.com/office/drawing/2010/main"/>
                      </a:ext>
                    </a:extLst>
                  </pic:spPr>
                </pic:pic>
              </a:graphicData>
            </a:graphic>
          </wp:inline>
        </w:drawing>
      </w:r>
    </w:p>
    <w:p w:rsidR="00940A89" w:rsidRDefault="00A96ECC" w:rsidP="00744C71">
      <w:r>
        <w:t xml:space="preserve">Monotherapy eye drops containing a solution of </w:t>
      </w:r>
      <w:proofErr w:type="spellStart"/>
      <w:r>
        <w:t>tafluprost</w:t>
      </w:r>
      <w:proofErr w:type="spellEnd"/>
      <w:r>
        <w:t xml:space="preserve"> at 15 </w:t>
      </w:r>
      <w:r>
        <w:rPr>
          <w:rFonts w:ascii="Symbol" w:hAnsi="Symbol"/>
        </w:rPr>
        <w:t></w:t>
      </w:r>
      <w:r>
        <w:t xml:space="preserve">g/mL </w:t>
      </w:r>
      <w:r w:rsidR="00940A89" w:rsidRPr="00940A89">
        <w:t xml:space="preserve">received initial registration on the </w:t>
      </w:r>
      <w:r w:rsidRPr="00940A89">
        <w:t>ARTG</w:t>
      </w:r>
      <w:r w:rsidRPr="00A96ECC">
        <w:t xml:space="preserve"> </w:t>
      </w:r>
      <w:r>
        <w:t xml:space="preserve">as </w:t>
      </w:r>
      <w:proofErr w:type="spellStart"/>
      <w:r>
        <w:t>Saflutan</w:t>
      </w:r>
      <w:proofErr w:type="spellEnd"/>
      <w:r w:rsidRPr="00940A89">
        <w:t xml:space="preserve"> </w:t>
      </w:r>
      <w:r>
        <w:t xml:space="preserve">(AUST R </w:t>
      </w:r>
      <w:r w:rsidRPr="00A96ECC">
        <w:t xml:space="preserve">168803) by </w:t>
      </w:r>
      <w:r>
        <w:t>M</w:t>
      </w:r>
      <w:r w:rsidRPr="00A96ECC">
        <w:t>SD</w:t>
      </w:r>
      <w:r w:rsidR="00A94D18" w:rsidRPr="00A96ECC">
        <w:t xml:space="preserve"> and </w:t>
      </w:r>
      <w:proofErr w:type="spellStart"/>
      <w:r w:rsidR="00A94D18" w:rsidRPr="00A96ECC">
        <w:t>timolol</w:t>
      </w:r>
      <w:proofErr w:type="spellEnd"/>
      <w:r w:rsidR="00A94D18" w:rsidRPr="00A96ECC">
        <w:t xml:space="preserve"> maleate (</w:t>
      </w:r>
      <w:proofErr w:type="spellStart"/>
      <w:r w:rsidRPr="00A96ECC">
        <w:t>Tenopt</w:t>
      </w:r>
      <w:proofErr w:type="spellEnd"/>
      <w:r>
        <w:t xml:space="preserve"> </w:t>
      </w:r>
      <w:r w:rsidRPr="00A96ECC">
        <w:t>AUST R 19795; Aspen Pharma Pty Ltd</w:t>
      </w:r>
      <w:r w:rsidR="00A94D18" w:rsidRPr="00A96ECC">
        <w:t>) has</w:t>
      </w:r>
      <w:r w:rsidR="00A94D18">
        <w:t xml:space="preserve"> been on the ARTG since 1996.</w:t>
      </w:r>
    </w:p>
    <w:p w:rsidR="006203B9" w:rsidRDefault="006203B9" w:rsidP="00744C71">
      <w:proofErr w:type="spellStart"/>
      <w:r>
        <w:t>S</w:t>
      </w:r>
      <w:r w:rsidR="00A96ECC">
        <w:t>a</w:t>
      </w:r>
      <w:r>
        <w:t>flutan</w:t>
      </w:r>
      <w:proofErr w:type="spellEnd"/>
      <w:r>
        <w:t xml:space="preserve"> has a similar indication to that proposed for </w:t>
      </w:r>
      <w:proofErr w:type="spellStart"/>
      <w:r w:rsidR="00AF5D28">
        <w:t>Taptiqom</w:t>
      </w:r>
      <w:proofErr w:type="spellEnd"/>
      <w:r>
        <w:t>:</w:t>
      </w:r>
    </w:p>
    <w:p w:rsidR="006203B9" w:rsidRPr="006203B9" w:rsidRDefault="006203B9" w:rsidP="006203B9">
      <w:pPr>
        <w:ind w:left="720"/>
        <w:rPr>
          <w:i/>
        </w:rPr>
      </w:pPr>
      <w:proofErr w:type="gramStart"/>
      <w:r w:rsidRPr="006203B9">
        <w:rPr>
          <w:i/>
        </w:rPr>
        <w:t>For the reduction of elevated intraocular pressure in open-angle glaucoma or ocular hypertension, as monotherapy or as adjunctive therapy to beta blockers.</w:t>
      </w:r>
      <w:proofErr w:type="gramEnd"/>
    </w:p>
    <w:p w:rsidR="006203B9" w:rsidRDefault="006203B9" w:rsidP="00744C71">
      <w:r>
        <w:t xml:space="preserve">MSD also markets eye drops containing a solution </w:t>
      </w:r>
      <w:proofErr w:type="spellStart"/>
      <w:r>
        <w:t>timolol</w:t>
      </w:r>
      <w:proofErr w:type="spellEnd"/>
      <w:r>
        <w:t xml:space="preserve"> (as maleate) at 5 mg/mL under the trade name </w:t>
      </w:r>
      <w:proofErr w:type="spellStart"/>
      <w:r>
        <w:t>Timoptol</w:t>
      </w:r>
      <w:proofErr w:type="spellEnd"/>
      <w:r>
        <w:t xml:space="preserve"> (AUST R </w:t>
      </w:r>
      <w:r w:rsidR="008534DB">
        <w:t>28775) with the indication:</w:t>
      </w:r>
    </w:p>
    <w:p w:rsidR="006203B9" w:rsidRDefault="006203B9" w:rsidP="006203B9">
      <w:pPr>
        <w:ind w:left="720"/>
      </w:pPr>
      <w:proofErr w:type="gramStart"/>
      <w:r>
        <w:rPr>
          <w:i/>
        </w:rPr>
        <w:t>For the reduction of elevated intraocular pressure.</w:t>
      </w:r>
      <w:proofErr w:type="gramEnd"/>
      <w:r>
        <w:rPr>
          <w:i/>
        </w:rPr>
        <w:t xml:space="preserve"> In clinical trials it has been shown to reduce intraocular pressure in: Patients with ocular hypertension - Patients with chronic open-angle glaucoma - </w:t>
      </w:r>
      <w:proofErr w:type="spellStart"/>
      <w:r>
        <w:rPr>
          <w:i/>
        </w:rPr>
        <w:t>Aphakic</w:t>
      </w:r>
      <w:proofErr w:type="spellEnd"/>
      <w:r>
        <w:rPr>
          <w:i/>
        </w:rPr>
        <w:t xml:space="preserve"> patients with glaucoma</w:t>
      </w:r>
      <w:r>
        <w:t>’.</w:t>
      </w:r>
    </w:p>
    <w:p w:rsidR="00A96ECC" w:rsidRPr="000A1BD6" w:rsidRDefault="00A96ECC" w:rsidP="00A96ECC">
      <w:pPr>
        <w:pStyle w:val="ListBullet"/>
        <w:numPr>
          <w:ilvl w:val="0"/>
          <w:numId w:val="0"/>
        </w:numPr>
        <w:ind w:left="360" w:hanging="360"/>
      </w:pPr>
      <w:proofErr w:type="spellStart"/>
      <w:r w:rsidRPr="000A1BD6">
        <w:t>Xalacom</w:t>
      </w:r>
      <w:proofErr w:type="spellEnd"/>
      <w:r>
        <w:t xml:space="preserve"> is registered for:</w:t>
      </w:r>
    </w:p>
    <w:p w:rsidR="00A96ECC" w:rsidRPr="00A96ECC" w:rsidRDefault="00A96ECC" w:rsidP="00A96ECC">
      <w:pPr>
        <w:pStyle w:val="ListBullet2"/>
        <w:rPr>
          <w:i/>
        </w:rPr>
      </w:pPr>
      <w:r w:rsidRPr="00A96ECC">
        <w:rPr>
          <w:i/>
        </w:rPr>
        <w:t xml:space="preserve">Reduction of elevated intraocular pressure in patients with open-angle glaucoma and ocular hypertension who are insufficiently responsive to beta-blockers, prostaglandins or other intraocular pressure lowering medications. </w:t>
      </w:r>
      <w:proofErr w:type="spellStart"/>
      <w:r w:rsidRPr="00A96ECC">
        <w:rPr>
          <w:i/>
        </w:rPr>
        <w:t>Xalacom</w:t>
      </w:r>
      <w:proofErr w:type="spellEnd"/>
      <w:r w:rsidRPr="00A96ECC">
        <w:rPr>
          <w:i/>
        </w:rPr>
        <w:t xml:space="preserve"> should not be used to initiate therapy.</w:t>
      </w:r>
    </w:p>
    <w:p w:rsidR="00A96ECC" w:rsidRPr="00A96ECC" w:rsidRDefault="00A96ECC" w:rsidP="00A96ECC">
      <w:pPr>
        <w:pStyle w:val="ListBullet2"/>
        <w:rPr>
          <w:i/>
        </w:rPr>
      </w:pPr>
      <w:r w:rsidRPr="00A96ECC">
        <w:rPr>
          <w:i/>
        </w:rPr>
        <w:t xml:space="preserve">Reduction of elevated intraocular pressure in patients with open-angle glaucoma and ocular hypertension who are insufficiently responsive to beta-blockers, prostaglandins or other intraocular pressure lowering medications. </w:t>
      </w:r>
      <w:proofErr w:type="spellStart"/>
      <w:r w:rsidRPr="00A96ECC">
        <w:rPr>
          <w:i/>
        </w:rPr>
        <w:t>Latanocom</w:t>
      </w:r>
      <w:proofErr w:type="spellEnd"/>
      <w:r w:rsidRPr="00A96ECC">
        <w:rPr>
          <w:i/>
        </w:rPr>
        <w:t xml:space="preserve"> should not be used to initiate therapy.</w:t>
      </w:r>
    </w:p>
    <w:p w:rsidR="00A96ECC" w:rsidRPr="000A1BD6" w:rsidRDefault="00A96ECC" w:rsidP="00A96ECC">
      <w:pPr>
        <w:pStyle w:val="ListBullet"/>
      </w:pPr>
      <w:proofErr w:type="spellStart"/>
      <w:r w:rsidRPr="000A1BD6">
        <w:t>Duotrav</w:t>
      </w:r>
      <w:proofErr w:type="spellEnd"/>
      <w:r>
        <w:t xml:space="preserve"> is registered for:</w:t>
      </w:r>
    </w:p>
    <w:p w:rsidR="00A96ECC" w:rsidRPr="00A96ECC" w:rsidRDefault="00A96ECC" w:rsidP="00A96ECC">
      <w:pPr>
        <w:pStyle w:val="ListBullet2"/>
        <w:rPr>
          <w:i/>
        </w:rPr>
      </w:pPr>
      <w:r w:rsidRPr="00A96ECC">
        <w:rPr>
          <w:i/>
        </w:rPr>
        <w:t xml:space="preserve">Reduction of elevated intraocular pressure in patients with open angle glaucoma or ocular hypertension for </w:t>
      </w:r>
      <w:proofErr w:type="gramStart"/>
      <w:r w:rsidRPr="00A96ECC">
        <w:rPr>
          <w:i/>
        </w:rPr>
        <w:t>whom</w:t>
      </w:r>
      <w:proofErr w:type="gramEnd"/>
      <w:r w:rsidRPr="00A96ECC">
        <w:rPr>
          <w:i/>
        </w:rPr>
        <w:t xml:space="preserve"> single agent therapy provides insufficient intraocular pressure reduction.</w:t>
      </w:r>
    </w:p>
    <w:p w:rsidR="00A96ECC" w:rsidRDefault="00A96ECC" w:rsidP="00A96ECC">
      <w:pPr>
        <w:pStyle w:val="Bulletpoint"/>
        <w:tabs>
          <w:tab w:val="left" w:pos="720"/>
        </w:tabs>
        <w:autoSpaceDE w:val="0"/>
        <w:autoSpaceDN w:val="0"/>
        <w:adjustRightInd w:val="0"/>
        <w:ind w:left="142"/>
        <w:rPr>
          <w:rFonts w:ascii="Times New Roman" w:hAnsi="Times New Roman"/>
          <w:sz w:val="24"/>
        </w:rPr>
      </w:pPr>
      <w:proofErr w:type="spellStart"/>
      <w:r w:rsidRPr="006203B9">
        <w:t>Ganfort</w:t>
      </w:r>
      <w:proofErr w:type="spellEnd"/>
      <w:r w:rsidRPr="000A1BD6">
        <w:rPr>
          <w:rFonts w:ascii="Times New Roman" w:hAnsi="Times New Roman"/>
          <w:sz w:val="24"/>
        </w:rPr>
        <w:t xml:space="preserve"> </w:t>
      </w:r>
      <w:r w:rsidRPr="006203B9">
        <w:t>PF</w:t>
      </w:r>
      <w:r>
        <w:t xml:space="preserve"> is registered for the following indications:</w:t>
      </w:r>
    </w:p>
    <w:p w:rsidR="00A96ECC" w:rsidRPr="00A96ECC" w:rsidRDefault="00A96ECC" w:rsidP="00A96ECC">
      <w:pPr>
        <w:pStyle w:val="ListBullet2"/>
        <w:rPr>
          <w:i/>
        </w:rPr>
      </w:pPr>
      <w:r w:rsidRPr="00A96ECC">
        <w:rPr>
          <w:i/>
        </w:rPr>
        <w:t>Indicated for the reduction of intraocular pressure (IOP) in patients with chronic open-angle glaucoma or ocular hypertension who are insufficiently responsive to monotherapy.</w:t>
      </w:r>
    </w:p>
    <w:p w:rsidR="008E7846" w:rsidRDefault="008E7846" w:rsidP="00940A89">
      <w:pPr>
        <w:pStyle w:val="Heading3"/>
      </w:pPr>
      <w:bookmarkStart w:id="21" w:name="_Toc427232198"/>
      <w:r>
        <w:t>Product Information</w:t>
      </w:r>
      <w:bookmarkEnd w:id="19"/>
      <w:bookmarkEnd w:id="20"/>
      <w:bookmarkEnd w:id="21"/>
    </w:p>
    <w:p w:rsidR="00940A89" w:rsidRDefault="00940A89" w:rsidP="00940A89">
      <w:pPr>
        <w:rPr>
          <w:b/>
          <w:bCs/>
        </w:rPr>
      </w:pPr>
      <w:bookmarkStart w:id="22" w:name="_Toc247691506"/>
      <w:bookmarkStart w:id="23"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5" w:history="1">
        <w:r w:rsidR="00383221">
          <w:rPr>
            <w:rStyle w:val="Hyperlink"/>
          </w:rPr>
          <w:t>https://www.tga.gov.au/product-information-pi</w:t>
        </w:r>
      </w:hyperlink>
      <w:r w:rsidRPr="00940A89">
        <w:t>&gt;.</w:t>
      </w:r>
    </w:p>
    <w:p w:rsidR="008E7846" w:rsidRPr="003602A9" w:rsidRDefault="008E7846" w:rsidP="008E7846">
      <w:pPr>
        <w:pStyle w:val="Heading2"/>
        <w:ind w:left="-11"/>
      </w:pPr>
      <w:bookmarkStart w:id="24" w:name="_Toc427232199"/>
      <w:r>
        <w:lastRenderedPageBreak/>
        <w:t>II. Quality</w:t>
      </w:r>
      <w:bookmarkEnd w:id="2"/>
      <w:r>
        <w:t xml:space="preserve"> findings</w:t>
      </w:r>
      <w:bookmarkEnd w:id="22"/>
      <w:bookmarkEnd w:id="23"/>
      <w:bookmarkEnd w:id="24"/>
    </w:p>
    <w:p w:rsidR="00940A89" w:rsidRPr="00940A89" w:rsidRDefault="00940A89" w:rsidP="00940A89">
      <w:pPr>
        <w:pStyle w:val="Heading3"/>
        <w:rPr>
          <w:rFonts w:ascii="Cambria" w:eastAsia="Cambria" w:hAnsi="Cambria"/>
          <w:b w:val="0"/>
          <w:bCs w:val="0"/>
          <w:i/>
          <w:szCs w:val="22"/>
        </w:rPr>
      </w:pPr>
      <w:bookmarkStart w:id="25" w:name="_Toc427232200"/>
      <w:bookmarkStart w:id="26" w:name="_Toc247691507"/>
      <w:bookmarkStart w:id="27" w:name="_Toc314842488"/>
      <w:r w:rsidRPr="00940A89">
        <w:t>Introduction</w:t>
      </w:r>
      <w:bookmarkEnd w:id="25"/>
      <w:r w:rsidRPr="00940A89">
        <w:t xml:space="preserve"> </w:t>
      </w:r>
    </w:p>
    <w:p w:rsidR="00AC281A" w:rsidRDefault="00AC281A" w:rsidP="00744C71">
      <w:r>
        <w:t xml:space="preserve">According to the </w:t>
      </w:r>
      <w:r w:rsidR="00744C71">
        <w:t xml:space="preserve">draft </w:t>
      </w:r>
      <w:r>
        <w:t xml:space="preserve">PI, the maximum daily dose is 1 drop per eye each day. Therefore given the drop size of 31 </w:t>
      </w:r>
      <w:r w:rsidR="00744C71">
        <w:rPr>
          <w:rFonts w:ascii="Times New Roman" w:hAnsi="Times New Roman"/>
          <w:sz w:val="20"/>
        </w:rPr>
        <w:t>µ</w:t>
      </w:r>
      <w:r>
        <w:t xml:space="preserve">L, the maximum daily dose of </w:t>
      </w:r>
      <w:proofErr w:type="spellStart"/>
      <w:r>
        <w:t>tafluprost</w:t>
      </w:r>
      <w:proofErr w:type="spellEnd"/>
      <w:r>
        <w:t xml:space="preserve"> is </w:t>
      </w:r>
      <w:proofErr w:type="gramStart"/>
      <w:r>
        <w:t xml:space="preserve">0.93 </w:t>
      </w:r>
      <w:r w:rsidR="00744C71">
        <w:rPr>
          <w:rFonts w:ascii="Times New Roman" w:hAnsi="Times New Roman"/>
        </w:rPr>
        <w:t>µ</w:t>
      </w:r>
      <w:r>
        <w:t>g/day</w:t>
      </w:r>
      <w:proofErr w:type="gramEnd"/>
      <w:r>
        <w:t xml:space="preserve"> and the maximum daily dose of </w:t>
      </w:r>
      <w:proofErr w:type="spellStart"/>
      <w:r>
        <w:t>timolol</w:t>
      </w:r>
      <w:proofErr w:type="spellEnd"/>
      <w:r>
        <w:t xml:space="preserve"> is 310 </w:t>
      </w:r>
      <w:r w:rsidR="00744C71">
        <w:rPr>
          <w:rFonts w:ascii="Times New Roman" w:hAnsi="Times New Roman"/>
        </w:rPr>
        <w:t>µ</w:t>
      </w:r>
      <w:r w:rsidR="008534DB">
        <w:t>g/day.</w:t>
      </w:r>
    </w:p>
    <w:p w:rsidR="008E7846" w:rsidRDefault="008E7846" w:rsidP="00940A89">
      <w:pPr>
        <w:pStyle w:val="Heading3"/>
      </w:pPr>
      <w:bookmarkStart w:id="28" w:name="_Toc427232201"/>
      <w:r w:rsidRPr="008751DC">
        <w:t xml:space="preserve">Drug </w:t>
      </w:r>
      <w:r>
        <w:t>s</w:t>
      </w:r>
      <w:r w:rsidRPr="008751DC">
        <w:t>ubstance</w:t>
      </w:r>
      <w:r>
        <w:t xml:space="preserve"> (active ingredient)</w:t>
      </w:r>
      <w:bookmarkEnd w:id="26"/>
      <w:bookmarkEnd w:id="27"/>
      <w:bookmarkEnd w:id="28"/>
    </w:p>
    <w:p w:rsidR="00AC281A" w:rsidRDefault="00AC281A" w:rsidP="00AC281A">
      <w:r>
        <w:t xml:space="preserve">All details relating to the manufacture, control and storage of the </w:t>
      </w:r>
      <w:proofErr w:type="spellStart"/>
      <w:r>
        <w:t>tafluprost</w:t>
      </w:r>
      <w:proofErr w:type="spellEnd"/>
      <w:r>
        <w:t xml:space="preserve"> are as for the currently registered monotherapy </w:t>
      </w:r>
      <w:proofErr w:type="spellStart"/>
      <w:r>
        <w:t>Saflutan</w:t>
      </w:r>
      <w:proofErr w:type="spellEnd"/>
      <w:r>
        <w:t xml:space="preserve"> eye drops.</w:t>
      </w:r>
    </w:p>
    <w:p w:rsidR="00AC281A" w:rsidRDefault="00AC281A" w:rsidP="00AC281A">
      <w:r>
        <w:t xml:space="preserve">The details of the </w:t>
      </w:r>
      <w:proofErr w:type="spellStart"/>
      <w:r>
        <w:t>timolol</w:t>
      </w:r>
      <w:proofErr w:type="spellEnd"/>
      <w:r>
        <w:t xml:space="preserve"> maleate are new to this submission. The material is controlled to the B</w:t>
      </w:r>
      <w:r w:rsidR="00744C71">
        <w:t>ritish Pharmacopeia (BP)</w:t>
      </w:r>
      <w:r>
        <w:t>/</w:t>
      </w:r>
      <w:r w:rsidR="00744C71">
        <w:t>Eur</w:t>
      </w:r>
      <w:r w:rsidR="00D05A5B">
        <w:t>o</w:t>
      </w:r>
      <w:r w:rsidR="00744C71">
        <w:t>pean Pharmacop</w:t>
      </w:r>
      <w:r w:rsidR="00D05A5B">
        <w:t>o</w:t>
      </w:r>
      <w:r w:rsidR="00744C71">
        <w:t>eia</w:t>
      </w:r>
      <w:r>
        <w:t xml:space="preserve"> </w:t>
      </w:r>
      <w:r w:rsidR="00744C71">
        <w:t xml:space="preserve">(EP) </w:t>
      </w:r>
      <w:r>
        <w:t xml:space="preserve">monograph for </w:t>
      </w:r>
      <w:proofErr w:type="spellStart"/>
      <w:r>
        <w:t>timolol</w:t>
      </w:r>
      <w:proofErr w:type="spellEnd"/>
      <w:r>
        <w:t xml:space="preserve"> maleate with additional tests for residual solvents and microbial quality. This is adequate for this product.</w:t>
      </w:r>
    </w:p>
    <w:p w:rsidR="0078024B" w:rsidRDefault="00744C71" w:rsidP="00744C71">
      <w:r>
        <w:t xml:space="preserve">The chemical structure of </w:t>
      </w:r>
      <w:proofErr w:type="spellStart"/>
      <w:r>
        <w:t>Taflup</w:t>
      </w:r>
      <w:r w:rsidR="00D05A5B">
        <w:t>ro</w:t>
      </w:r>
      <w:r>
        <w:t>st</w:t>
      </w:r>
      <w:proofErr w:type="spellEnd"/>
      <w:r>
        <w:t xml:space="preserve"> and </w:t>
      </w:r>
      <w:proofErr w:type="spellStart"/>
      <w:r>
        <w:t>timolol</w:t>
      </w:r>
      <w:proofErr w:type="spellEnd"/>
      <w:r>
        <w:t xml:space="preserve"> are shown in Figure 1 below.</w:t>
      </w:r>
    </w:p>
    <w:p w:rsidR="00744C71" w:rsidRPr="006F7773" w:rsidRDefault="00744C71" w:rsidP="006F7773">
      <w:pPr>
        <w:pStyle w:val="FigureTitle"/>
      </w:pPr>
      <w:r w:rsidRPr="006F7773">
        <w:t>Figure 1: Chemical structure of active ingredients</w:t>
      </w:r>
    </w:p>
    <w:p w:rsidR="0078024B" w:rsidRDefault="0078024B" w:rsidP="00B2653D">
      <w:r>
        <w:rPr>
          <w:noProof/>
          <w:lang w:eastAsia="en-AU"/>
        </w:rPr>
        <w:drawing>
          <wp:inline distT="0" distB="0" distL="0" distR="0" wp14:anchorId="49A7CFF4" wp14:editId="45E1995C">
            <wp:extent cx="3169461" cy="2507484"/>
            <wp:effectExtent l="0" t="0" r="0" b="7620"/>
            <wp:docPr id="1" name="Picture 1" descr="Figure 1: Chemical structure of active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lum bright="-20000" contrast="40000"/>
                      <a:extLst>
                        <a:ext uri="{28A0092B-C50C-407E-A947-70E740481C1C}">
                          <a14:useLocalDpi xmlns:a14="http://schemas.microsoft.com/office/drawing/2010/main" val="0"/>
                        </a:ext>
                      </a:extLst>
                    </a:blip>
                    <a:srcRect l="1692" t="6170" r="16016" b="3044"/>
                    <a:stretch/>
                  </pic:blipFill>
                  <pic:spPr bwMode="auto">
                    <a:xfrm>
                      <a:off x="0" y="0"/>
                      <a:ext cx="3173458" cy="2510646"/>
                    </a:xfrm>
                    <a:prstGeom prst="rect">
                      <a:avLst/>
                    </a:prstGeom>
                    <a:noFill/>
                    <a:ln>
                      <a:noFill/>
                    </a:ln>
                    <a:extLst>
                      <a:ext uri="{53640926-AAD7-44D8-BBD7-CCE9431645EC}">
                        <a14:shadowObscured xmlns:a14="http://schemas.microsoft.com/office/drawing/2010/main"/>
                      </a:ext>
                    </a:extLst>
                  </pic:spPr>
                </pic:pic>
              </a:graphicData>
            </a:graphic>
          </wp:inline>
        </w:drawing>
      </w:r>
    </w:p>
    <w:p w:rsidR="008E7846" w:rsidRDefault="008E7846" w:rsidP="008E7846">
      <w:pPr>
        <w:pStyle w:val="Heading3"/>
      </w:pPr>
      <w:bookmarkStart w:id="29" w:name="_Toc247691508"/>
      <w:bookmarkStart w:id="30" w:name="_Toc314842490"/>
      <w:bookmarkStart w:id="31" w:name="_Toc427232202"/>
      <w:r w:rsidRPr="008751DC">
        <w:t xml:space="preserve">Drug </w:t>
      </w:r>
      <w:r>
        <w:t>p</w:t>
      </w:r>
      <w:r w:rsidRPr="008751DC">
        <w:t>roduct</w:t>
      </w:r>
      <w:bookmarkEnd w:id="29"/>
      <w:bookmarkEnd w:id="30"/>
      <w:bookmarkEnd w:id="31"/>
    </w:p>
    <w:p w:rsidR="00AC281A" w:rsidRDefault="00AC281A" w:rsidP="00AC281A">
      <w:r>
        <w:t>The product contains no unusual excipients for this dosage form. The base solution (</w:t>
      </w:r>
      <w:r w:rsidRPr="00744C71">
        <w:t xml:space="preserve">which is closely related to the base solution of the monotherapy </w:t>
      </w:r>
      <w:proofErr w:type="spellStart"/>
      <w:r w:rsidRPr="00744C71">
        <w:t>Saflutan</w:t>
      </w:r>
      <w:proofErr w:type="spellEnd"/>
      <w:r w:rsidRPr="00744C71">
        <w:t xml:space="preserve"> eye drops</w:t>
      </w:r>
      <w:r>
        <w:t xml:space="preserve">) contains </w:t>
      </w:r>
      <w:proofErr w:type="spellStart"/>
      <w:r>
        <w:t>polysorbate</w:t>
      </w:r>
      <w:proofErr w:type="spellEnd"/>
      <w:r>
        <w:t xml:space="preserve"> 80 as a solubilising agent, disodium </w:t>
      </w:r>
      <w:proofErr w:type="spellStart"/>
      <w:r>
        <w:t>edetate</w:t>
      </w:r>
      <w:proofErr w:type="spellEnd"/>
      <w:r>
        <w:t xml:space="preserve"> as a </w:t>
      </w:r>
      <w:proofErr w:type="spellStart"/>
      <w:r>
        <w:t>chelator</w:t>
      </w:r>
      <w:proofErr w:type="spellEnd"/>
      <w:r>
        <w:t>, disodium phosphate as a buffering agent, water as the solvent and glycerol to make it isotonic. During manufacture the pH is adjusted to 6.2</w:t>
      </w:r>
      <w:r w:rsidR="00744C71">
        <w:t xml:space="preserve"> to </w:t>
      </w:r>
      <w:r>
        <w:t>6.6 and it is unpreserved.</w:t>
      </w:r>
    </w:p>
    <w:p w:rsidR="00AC281A" w:rsidRDefault="00AC281A" w:rsidP="00AC281A">
      <w:r>
        <w:t xml:space="preserve">Manufacture is typical for an eye drop solution but involves no </w:t>
      </w:r>
      <w:r w:rsidRPr="00744C71">
        <w:t xml:space="preserve">terminal sterilisation step. Thus, the drug substance solution is sterilised by filtration and filled into the </w:t>
      </w:r>
      <w:r w:rsidR="00744C71" w:rsidRPr="00744C71">
        <w:t>low density polyethylene (</w:t>
      </w:r>
      <w:r w:rsidRPr="00744C71">
        <w:t>LDPE</w:t>
      </w:r>
      <w:r w:rsidR="00744C71" w:rsidRPr="00744C71">
        <w:t>)</w:t>
      </w:r>
      <w:r w:rsidRPr="00744C71">
        <w:t xml:space="preserve"> ampoules using a blow-fill-seal operation. This operation</w:t>
      </w:r>
      <w:r>
        <w:t xml:space="preserve"> means that</w:t>
      </w:r>
      <w:r w:rsidR="008534DB">
        <w:t xml:space="preserve"> the ampoules are also sterile.</w:t>
      </w:r>
    </w:p>
    <w:p w:rsidR="00AC281A" w:rsidRDefault="00AC281A" w:rsidP="00744C71">
      <w:r>
        <w:t xml:space="preserve">The Microbiology Section </w:t>
      </w:r>
      <w:r w:rsidR="00744C71">
        <w:t xml:space="preserve">at the TGA </w:t>
      </w:r>
      <w:r>
        <w:t>has stated that the microbiological and st</w:t>
      </w:r>
      <w:r w:rsidR="008534DB">
        <w:t>erility aspects are acceptable.</w:t>
      </w:r>
    </w:p>
    <w:p w:rsidR="00AC281A" w:rsidRDefault="00AC281A" w:rsidP="00AC281A">
      <w:r>
        <w:lastRenderedPageBreak/>
        <w:t>The manufacture gives 10 ampoules linked together and these are packed into an aluminium laminated pouch. The starter pack includes one pouch and the commercial pack 3 pouches.</w:t>
      </w:r>
    </w:p>
    <w:p w:rsidR="00AC281A" w:rsidRDefault="00AC281A" w:rsidP="00744C71">
      <w:r>
        <w:t xml:space="preserve">There are no </w:t>
      </w:r>
      <w:proofErr w:type="spellStart"/>
      <w:r>
        <w:t>compendial</w:t>
      </w:r>
      <w:proofErr w:type="spellEnd"/>
      <w:r>
        <w:t xml:space="preserve"> monographs for the product but the specifications for the product ensure the BP/EP general requirements for eye drops are met. The chemistry and physical tests and limits within the specifications and where required the release limits are tighter than the expiry limits t</w:t>
      </w:r>
      <w:r w:rsidR="008534DB">
        <w:t>o allow for changes on storage.</w:t>
      </w:r>
    </w:p>
    <w:p w:rsidR="00AC281A" w:rsidRDefault="00AC281A" w:rsidP="00AC281A">
      <w:r>
        <w:t>The specifications also include a test and limits for sterility that was acceptable to the Microbiology Section</w:t>
      </w:r>
      <w:r w:rsidR="00744C71">
        <w:t xml:space="preserve"> at TGA</w:t>
      </w:r>
      <w:r>
        <w:t>.</w:t>
      </w:r>
    </w:p>
    <w:p w:rsidR="00AC281A" w:rsidRDefault="00AC281A" w:rsidP="00AC281A">
      <w:r>
        <w:t>In relation to the shelf life, data was included to support an unopened shelf life of 3 years when stored at 2</w:t>
      </w:r>
      <w:r w:rsidR="00744C71">
        <w:t xml:space="preserve"> to </w:t>
      </w:r>
      <w:r>
        <w:t>8ºC (refrigerate do not freeze) and an in-use shelf life of 4 weeks (28 days) when stored below 25ºC and returned into the laminate pouch.</w:t>
      </w:r>
    </w:p>
    <w:p w:rsidR="00AC281A" w:rsidRDefault="00AC281A" w:rsidP="00AC281A">
      <w:r>
        <w:t>The PI and labels have been finalised with respect to</w:t>
      </w:r>
      <w:r w:rsidR="008534DB">
        <w:t xml:space="preserve"> chemistry and quality control.</w:t>
      </w:r>
    </w:p>
    <w:p w:rsidR="008E7846" w:rsidRDefault="008E7846" w:rsidP="008E7846">
      <w:pPr>
        <w:pStyle w:val="Heading3"/>
      </w:pPr>
      <w:bookmarkStart w:id="32" w:name="_Toc314842491"/>
      <w:bookmarkStart w:id="33" w:name="_Toc427232203"/>
      <w:r>
        <w:t>Biopharmaceutics</w:t>
      </w:r>
      <w:bookmarkEnd w:id="32"/>
      <w:bookmarkEnd w:id="33"/>
    </w:p>
    <w:p w:rsidR="00AC281A" w:rsidRPr="006B43DA" w:rsidRDefault="00AC281A" w:rsidP="00AC281A">
      <w:bookmarkStart w:id="34" w:name="_Toc314842492"/>
      <w:r>
        <w:t xml:space="preserve">This product is for ocular use and is intended to act without systemic absorption. As a consequence no bioavailability data were required to be submitted (and none were provided). However it must be noted that the individual components of this fixed dose combination product may </w:t>
      </w:r>
      <w:r w:rsidRPr="006B43DA">
        <w:t>be differently absorbed into the eye and systemically compared to when given as monotherapies.</w:t>
      </w:r>
    </w:p>
    <w:p w:rsidR="008E7846" w:rsidRDefault="008E7846" w:rsidP="008E7846">
      <w:pPr>
        <w:pStyle w:val="Heading3"/>
      </w:pPr>
      <w:bookmarkStart w:id="35" w:name="_Toc427232204"/>
      <w:r>
        <w:t>Advisory committee considerations</w:t>
      </w:r>
      <w:bookmarkEnd w:id="34"/>
      <w:bookmarkEnd w:id="35"/>
    </w:p>
    <w:p w:rsidR="00AC281A" w:rsidRDefault="00AC281A" w:rsidP="00AC281A">
      <w:bookmarkStart w:id="36" w:name="_Toc247691509"/>
      <w:bookmarkStart w:id="37" w:name="_Toc314842493"/>
      <w:r>
        <w:t xml:space="preserve">Given that there were no issues with the chemistry, manufacturing and control aspects of the submission and there were no bioavailability data, details relating to this submission were not </w:t>
      </w:r>
      <w:r w:rsidRPr="00744C71">
        <w:t xml:space="preserve">presented to </w:t>
      </w:r>
      <w:r w:rsidR="00744C71" w:rsidRPr="00744C71">
        <w:t>Pharmaceutical Subcommittee (</w:t>
      </w:r>
      <w:r w:rsidRPr="00744C71">
        <w:t>PSC</w:t>
      </w:r>
      <w:r w:rsidR="00744C71">
        <w:t>)</w:t>
      </w:r>
      <w:r w:rsidR="008534DB">
        <w:t>.</w:t>
      </w:r>
    </w:p>
    <w:p w:rsidR="008E7846" w:rsidRPr="008751DC" w:rsidRDefault="008E7846" w:rsidP="008E7846">
      <w:pPr>
        <w:pStyle w:val="Heading3"/>
      </w:pPr>
      <w:bookmarkStart w:id="38" w:name="_Toc427232205"/>
      <w:r>
        <w:t>Quality s</w:t>
      </w:r>
      <w:r w:rsidRPr="008751DC">
        <w:t>ummary</w:t>
      </w:r>
      <w:r>
        <w:t xml:space="preserve"> and conclusions</w:t>
      </w:r>
      <w:bookmarkEnd w:id="36"/>
      <w:bookmarkEnd w:id="37"/>
      <w:bookmarkEnd w:id="38"/>
    </w:p>
    <w:p w:rsidR="00AC281A" w:rsidRDefault="00AC281A" w:rsidP="00AC281A">
      <w:r>
        <w:t>Approval of the registration of the proposed product can be recommended in relation to chemistry, manufacturing and control.</w:t>
      </w:r>
    </w:p>
    <w:p w:rsidR="008E7846" w:rsidRDefault="008E7846" w:rsidP="008E7846">
      <w:pPr>
        <w:pStyle w:val="Heading2"/>
      </w:pPr>
      <w:bookmarkStart w:id="39" w:name="_Toc196046439"/>
      <w:bookmarkStart w:id="40" w:name="_Toc247691510"/>
      <w:bookmarkStart w:id="41" w:name="_Toc314842494"/>
      <w:bookmarkStart w:id="42" w:name="_Toc427232206"/>
      <w:r>
        <w:t>III. Nonclinical</w:t>
      </w:r>
      <w:bookmarkEnd w:id="39"/>
      <w:r>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427232207"/>
      <w:r>
        <w:t>Introduction</w:t>
      </w:r>
      <w:bookmarkEnd w:id="43"/>
      <w:bookmarkEnd w:id="44"/>
      <w:bookmarkEnd w:id="45"/>
    </w:p>
    <w:p w:rsidR="00AC281A" w:rsidRDefault="00744C71" w:rsidP="00AC281A">
      <w:pPr>
        <w:rPr>
          <w:color w:val="1B3315" w:themeColor="accent6" w:themeShade="BF"/>
        </w:rPr>
      </w:pPr>
      <w:r>
        <w:t>The nonclinical submission</w:t>
      </w:r>
      <w:r w:rsidR="00AC281A">
        <w:t xml:space="preserve"> contained studies on pharmacokinetics and repeat-dose toxicity. The scope of the nonclinical program is in accordance with the </w:t>
      </w:r>
      <w:r>
        <w:t xml:space="preserve">TGA adopted EU guideline </w:t>
      </w:r>
      <w:proofErr w:type="spellStart"/>
      <w:r w:rsidR="00AC281A">
        <w:rPr>
          <w:i/>
        </w:rPr>
        <w:t>Guideline</w:t>
      </w:r>
      <w:proofErr w:type="spellEnd"/>
      <w:r w:rsidR="00AC281A">
        <w:rPr>
          <w:i/>
        </w:rPr>
        <w:t xml:space="preserve"> on the Nonclinical Development of Fixed Combinations of Medicinal Products (EMEA/CHMP/SWP/258498/2005)</w:t>
      </w:r>
      <w:r w:rsidR="00AC281A">
        <w:t>.</w:t>
      </w:r>
    </w:p>
    <w:p w:rsidR="008E7846" w:rsidRDefault="008E7846" w:rsidP="008E7846">
      <w:pPr>
        <w:pStyle w:val="Heading3"/>
      </w:pPr>
      <w:bookmarkStart w:id="46" w:name="_Toc247691512"/>
      <w:bookmarkStart w:id="47" w:name="_Toc314842496"/>
      <w:bookmarkStart w:id="48" w:name="_Toc427232208"/>
      <w:r w:rsidRPr="00020030">
        <w:t>Pharmacology</w:t>
      </w:r>
      <w:bookmarkEnd w:id="46"/>
      <w:bookmarkEnd w:id="47"/>
      <w:bookmarkEnd w:id="48"/>
    </w:p>
    <w:p w:rsidR="00AC281A" w:rsidRDefault="00AC281A" w:rsidP="00AC281A">
      <w:pPr>
        <w:rPr>
          <w:kern w:val="16"/>
        </w:rPr>
      </w:pPr>
      <w:r>
        <w:t xml:space="preserve">No nonclinical </w:t>
      </w:r>
      <w:proofErr w:type="spellStart"/>
      <w:r>
        <w:t>pharmacodynamic</w:t>
      </w:r>
      <w:proofErr w:type="spellEnd"/>
      <w:r>
        <w:t xml:space="preserve"> studies with the combination were submitted. This combination of pharmacological classes (a prostaglandin F</w:t>
      </w:r>
      <w:r w:rsidR="00744C71">
        <w:t>2-alpha</w:t>
      </w:r>
      <w:r>
        <w:t xml:space="preserve"> analogue and a </w:t>
      </w:r>
      <w:r w:rsidR="00744C71">
        <w:t>beta</w:t>
      </w:r>
      <w:r>
        <w:noBreakHyphen/>
      </w:r>
      <w:proofErr w:type="spellStart"/>
      <w:r>
        <w:t>adrenoceptor</w:t>
      </w:r>
      <w:proofErr w:type="spellEnd"/>
      <w:r>
        <w:t xml:space="preserve"> antagonist) for the proposed indication is not novel.</w:t>
      </w:r>
    </w:p>
    <w:p w:rsidR="008E7846" w:rsidRDefault="008E7846" w:rsidP="008E7846">
      <w:pPr>
        <w:pStyle w:val="Heading3"/>
      </w:pPr>
      <w:bookmarkStart w:id="49" w:name="_Toc247691513"/>
      <w:bookmarkStart w:id="50" w:name="_Toc314842497"/>
      <w:bookmarkStart w:id="51" w:name="_Toc427232209"/>
      <w:r>
        <w:lastRenderedPageBreak/>
        <w:t>Pharmacokinetics</w:t>
      </w:r>
      <w:bookmarkEnd w:id="49"/>
      <w:bookmarkEnd w:id="50"/>
      <w:bookmarkEnd w:id="51"/>
    </w:p>
    <w:p w:rsidR="00AC281A" w:rsidRDefault="00AC281A" w:rsidP="00AC281A">
      <w:pPr>
        <w:rPr>
          <w:kern w:val="16"/>
        </w:rPr>
      </w:pPr>
      <w:bookmarkStart w:id="52" w:name="_Toc247691514"/>
      <w:bookmarkStart w:id="53" w:name="_Toc314842498"/>
      <w:r>
        <w:t xml:space="preserve">Corneal penetration of </w:t>
      </w:r>
      <w:proofErr w:type="spellStart"/>
      <w:r>
        <w:t>tafluprost</w:t>
      </w:r>
      <w:proofErr w:type="spellEnd"/>
      <w:r>
        <w:t xml:space="preserve"> was seen to be comparable or slightly lower (</w:t>
      </w:r>
      <w:r w:rsidR="00744C71">
        <w:t xml:space="preserve">≤ </w:t>
      </w:r>
      <w:r>
        <w:t xml:space="preserve">9%), and that of </w:t>
      </w:r>
      <w:proofErr w:type="spellStart"/>
      <w:r>
        <w:t>timolol</w:t>
      </w:r>
      <w:proofErr w:type="spellEnd"/>
      <w:r>
        <w:t xml:space="preserve"> also slightly lower (</w:t>
      </w:r>
      <w:r w:rsidR="00744C71">
        <w:t xml:space="preserve">approximately </w:t>
      </w:r>
      <w:r>
        <w:t xml:space="preserve">20%), with topical ocular administration of </w:t>
      </w:r>
      <w:r>
        <w:rPr>
          <w:kern w:val="2"/>
        </w:rPr>
        <w:t xml:space="preserve">the combination formulation </w:t>
      </w:r>
      <w:r>
        <w:t xml:space="preserve">in rabbits </w:t>
      </w:r>
      <w:r w:rsidR="00744C71">
        <w:t>compared to that of</w:t>
      </w:r>
      <w:r>
        <w:t xml:space="preserve"> administration of either agent singly. Systemic exposure data in monkeys showed no obvious or consistent pharmacokinetic interaction. Similar or slightly lower systemic exposure in humans with the combination </w:t>
      </w:r>
      <w:r w:rsidR="00474E1A">
        <w:t>compared to</w:t>
      </w:r>
      <w:r>
        <w:t xml:space="preserve"> either agent as monotherapy is indicated by data reported in the </w:t>
      </w:r>
      <w:r w:rsidR="00474E1A">
        <w:t xml:space="preserve">sponsor’s </w:t>
      </w:r>
      <w:r>
        <w:t>Clinical Overview.</w:t>
      </w:r>
    </w:p>
    <w:p w:rsidR="001B5C90" w:rsidRDefault="008E7846" w:rsidP="001B5C90">
      <w:pPr>
        <w:pStyle w:val="Heading3"/>
      </w:pPr>
      <w:bookmarkStart w:id="54" w:name="_Toc427232210"/>
      <w:r>
        <w:t>Toxicology</w:t>
      </w:r>
      <w:bookmarkEnd w:id="52"/>
      <w:bookmarkEnd w:id="53"/>
      <w:bookmarkEnd w:id="54"/>
    </w:p>
    <w:p w:rsidR="00AC281A" w:rsidRDefault="00AC281A" w:rsidP="00AC281A">
      <w:pPr>
        <w:rPr>
          <w:kern w:val="16"/>
        </w:rPr>
      </w:pPr>
      <w:bookmarkStart w:id="55" w:name="_Toc247691515"/>
      <w:bookmarkStart w:id="56" w:name="_Toc314842499"/>
      <w:r>
        <w:t xml:space="preserve">A </w:t>
      </w:r>
      <w:r w:rsidR="00474E1A">
        <w:t>Good Laboratory Practice (</w:t>
      </w:r>
      <w:r>
        <w:t>GLP</w:t>
      </w:r>
      <w:r w:rsidR="00474E1A">
        <w:t xml:space="preserve">) </w:t>
      </w:r>
      <w:r>
        <w:t>compliant, 3</w:t>
      </w:r>
      <w:r w:rsidR="00474E1A">
        <w:t xml:space="preserve"> </w:t>
      </w:r>
      <w:r>
        <w:t xml:space="preserve">month repeat-dose toxicity study was conducted with </w:t>
      </w:r>
      <w:r w:rsidR="00474E1A">
        <w:t xml:space="preserve">a combination of </w:t>
      </w:r>
      <w:proofErr w:type="spellStart"/>
      <w:r>
        <w:t>tafluprost</w:t>
      </w:r>
      <w:proofErr w:type="spellEnd"/>
      <w:r>
        <w:t xml:space="preserve"> and </w:t>
      </w:r>
      <w:proofErr w:type="spellStart"/>
      <w:r>
        <w:t>timolol</w:t>
      </w:r>
      <w:proofErr w:type="spellEnd"/>
      <w:r>
        <w:t xml:space="preserve"> in in </w:t>
      </w:r>
      <w:proofErr w:type="spellStart"/>
      <w:r w:rsidR="00474E1A">
        <w:t>C</w:t>
      </w:r>
      <w:r>
        <w:t>ynomolgus</w:t>
      </w:r>
      <w:proofErr w:type="spellEnd"/>
      <w:r>
        <w:t xml:space="preserve"> monkeys. The duration of the study and the use of a single species </w:t>
      </w:r>
      <w:r w:rsidR="00474E1A">
        <w:t>are</w:t>
      </w:r>
      <w:r>
        <w:t xml:space="preserve"> consistent with the </w:t>
      </w:r>
      <w:r w:rsidR="00474E1A">
        <w:t>relevant TGA adopted EU guideline</w:t>
      </w:r>
      <w:r w:rsidR="002E7FB3">
        <w:t>.</w:t>
      </w:r>
      <w:r w:rsidR="00474E1A">
        <w:rPr>
          <w:rStyle w:val="FootnoteReference"/>
        </w:rPr>
        <w:footnoteReference w:id="2"/>
      </w:r>
      <w:r>
        <w:t xml:space="preserve"> Administration was by the clinical route (topical ocular; 30 </w:t>
      </w:r>
      <w:proofErr w:type="spellStart"/>
      <w:r>
        <w:t>μL</w:t>
      </w:r>
      <w:proofErr w:type="spellEnd"/>
      <w:r>
        <w:t>)</w:t>
      </w:r>
      <w:r w:rsidR="00474E1A">
        <w:t>,</w:t>
      </w:r>
      <w:r>
        <w:t xml:space="preserve"> twice daily (</w:t>
      </w:r>
      <w:r w:rsidR="00474E1A">
        <w:t>compared to</w:t>
      </w:r>
      <w:r>
        <w:t xml:space="preserve"> once daily dosing in patients) to one eye only at either the proposed clinical strength of the active ingredients (0.0015%/0.5% </w:t>
      </w:r>
      <w:proofErr w:type="spellStart"/>
      <w:r>
        <w:t>tafluprost</w:t>
      </w:r>
      <w:proofErr w:type="spellEnd"/>
      <w:r>
        <w:t>/</w:t>
      </w:r>
      <w:proofErr w:type="spellStart"/>
      <w:r>
        <w:t>timolol</w:t>
      </w:r>
      <w:proofErr w:type="spellEnd"/>
      <w:r>
        <w:t>) or at a strength 3</w:t>
      </w:r>
      <w:r w:rsidR="00474E1A">
        <w:t xml:space="preserve"> </w:t>
      </w:r>
      <w:r>
        <w:t>times higher</w:t>
      </w:r>
      <w:r w:rsidR="00474E1A">
        <w:t xml:space="preserve"> than the clinical strength. P</w:t>
      </w:r>
      <w:r>
        <w:t>arallel single</w:t>
      </w:r>
      <w:r w:rsidR="00474E1A">
        <w:t xml:space="preserve"> </w:t>
      </w:r>
      <w:r>
        <w:t>agent groups were included in the study. Full formulation details were not provided but the limited information presented supports that the proposed clinical formulation was not used (</w:t>
      </w:r>
      <w:r w:rsidR="00474E1A">
        <w:t>that is,</w:t>
      </w:r>
      <w:r>
        <w:t xml:space="preserve"> test items contained the preservative </w:t>
      </w:r>
      <w:proofErr w:type="spellStart"/>
      <w:r>
        <w:t>benzalkonium</w:t>
      </w:r>
      <w:proofErr w:type="spellEnd"/>
      <w:r>
        <w:t xml:space="preserve"> chloride). Routine histopathological examination was limited to ocular tissues only</w:t>
      </w:r>
      <w:r w:rsidR="00474E1A">
        <w:t>. T</w:t>
      </w:r>
      <w:r>
        <w:t>his is considered to be acceptable given the lack of obvious systemic toxicity in the study plus previous nonclinical studies with the single agents that raise no particular concerns.</w:t>
      </w:r>
    </w:p>
    <w:p w:rsidR="00AC281A" w:rsidRDefault="00AC281A" w:rsidP="00AC281A">
      <w:r>
        <w:t xml:space="preserve">Plasma </w:t>
      </w:r>
      <w:r w:rsidR="00474E1A">
        <w:t>area under the plasma concentration versus time curve (</w:t>
      </w:r>
      <w:r>
        <w:t>AUC</w:t>
      </w:r>
      <w:r w:rsidR="00474E1A">
        <w:t>)</w:t>
      </w:r>
      <w:r>
        <w:t xml:space="preserve"> values for </w:t>
      </w:r>
      <w:proofErr w:type="spellStart"/>
      <w:r>
        <w:t>tafluprost</w:t>
      </w:r>
      <w:proofErr w:type="spellEnd"/>
      <w:r>
        <w:t xml:space="preserve"> acid (active metabolite) and </w:t>
      </w:r>
      <w:proofErr w:type="spellStart"/>
      <w:r>
        <w:t>timolol</w:t>
      </w:r>
      <w:proofErr w:type="spellEnd"/>
      <w:r>
        <w:t xml:space="preserve"> in monkeys at the high-dose level were </w:t>
      </w:r>
      <w:r w:rsidR="00474E1A">
        <w:t>approximately 1</w:t>
      </w:r>
      <w:r>
        <w:t>2</w:t>
      </w:r>
      <w:r w:rsidR="00474E1A">
        <w:t xml:space="preserve"> to </w:t>
      </w:r>
      <w:r>
        <w:t>60-times higher than anticipated in patients.</w:t>
      </w:r>
    </w:p>
    <w:p w:rsidR="00AC281A" w:rsidRDefault="00AC281A" w:rsidP="00AC281A">
      <w:r>
        <w:t xml:space="preserve">Notable findings in monkeys were limited to darkening of treated eyes (attributable to </w:t>
      </w:r>
      <w:proofErr w:type="spellStart"/>
      <w:r>
        <w:t>tafluprost</w:t>
      </w:r>
      <w:proofErr w:type="spellEnd"/>
      <w:r>
        <w:t>) and a suggestion of a reduction in intraocular pressure with the two drugs alone or in combination</w:t>
      </w:r>
      <w:r w:rsidR="00474E1A">
        <w:t>-</w:t>
      </w:r>
      <w:r>
        <w:t xml:space="preserve"> the expected pharmacological effect. The lack of a clear effect on intraocular pressure may reflect that the animals were ocular normotensive.</w:t>
      </w:r>
    </w:p>
    <w:p w:rsidR="00AC281A" w:rsidRDefault="00AC281A" w:rsidP="00AC281A">
      <w:r>
        <w:t xml:space="preserve">One of the pharmacokinetic studies in rabbits conducted with the clinical formulation included gross examination of ocular tolerance. Transient mild conjunctival redness was seen with the combination, occurring more frequently </w:t>
      </w:r>
      <w:r w:rsidR="00474E1A">
        <w:t>than the</w:t>
      </w:r>
      <w:r>
        <w:t xml:space="preserve"> single-agent </w:t>
      </w:r>
      <w:proofErr w:type="spellStart"/>
      <w:r>
        <w:t>timolol</w:t>
      </w:r>
      <w:proofErr w:type="spellEnd"/>
      <w:r>
        <w:t xml:space="preserve"> but less frequently </w:t>
      </w:r>
      <w:r w:rsidR="00474E1A">
        <w:t>than the</w:t>
      </w:r>
      <w:r>
        <w:t xml:space="preserve"> single-agent </w:t>
      </w:r>
      <w:proofErr w:type="spellStart"/>
      <w:r>
        <w:t>tafluprost</w:t>
      </w:r>
      <w:proofErr w:type="spellEnd"/>
      <w:r>
        <w:t>.</w:t>
      </w:r>
    </w:p>
    <w:p w:rsidR="00AC281A" w:rsidRDefault="00AC281A" w:rsidP="00AC281A">
      <w:pPr>
        <w:pStyle w:val="Heading4"/>
        <w:rPr>
          <w:szCs w:val="24"/>
        </w:rPr>
      </w:pPr>
      <w:r>
        <w:t>Pregnancy classification</w:t>
      </w:r>
    </w:p>
    <w:p w:rsidR="00AC281A" w:rsidRDefault="00AC281A" w:rsidP="00AC281A">
      <w:r>
        <w:t>The sponsor has proposed Pregnancy Category C</w:t>
      </w:r>
      <w:r w:rsidR="00474E1A">
        <w:rPr>
          <w:rStyle w:val="FootnoteReference"/>
        </w:rPr>
        <w:footnoteReference w:id="3"/>
      </w:r>
      <w:r>
        <w:t>. This is appropriate based on the existing categories for single</w:t>
      </w:r>
      <w:r w:rsidR="00474E1A">
        <w:t xml:space="preserve"> </w:t>
      </w:r>
      <w:r>
        <w:t xml:space="preserve">agent </w:t>
      </w:r>
      <w:proofErr w:type="spellStart"/>
      <w:r>
        <w:t>tafluprost</w:t>
      </w:r>
      <w:proofErr w:type="spellEnd"/>
      <w:r>
        <w:t xml:space="preserve"> and </w:t>
      </w:r>
      <w:proofErr w:type="spellStart"/>
      <w:r>
        <w:t>timolol</w:t>
      </w:r>
      <w:proofErr w:type="spellEnd"/>
      <w:r>
        <w:t xml:space="preserve"> products (B3</w:t>
      </w:r>
      <w:r w:rsidR="00474E1A">
        <w:rPr>
          <w:rStyle w:val="FootnoteReference"/>
        </w:rPr>
        <w:footnoteReference w:id="4"/>
      </w:r>
      <w:r>
        <w:t xml:space="preserve"> and C, respectively).</w:t>
      </w:r>
    </w:p>
    <w:p w:rsidR="008E7846" w:rsidRDefault="008E7846" w:rsidP="008E7846">
      <w:pPr>
        <w:pStyle w:val="Heading3"/>
      </w:pPr>
      <w:bookmarkStart w:id="57" w:name="_Toc427232211"/>
      <w:r>
        <w:lastRenderedPageBreak/>
        <w:t>Nonclinical summary and conclusions</w:t>
      </w:r>
      <w:bookmarkEnd w:id="55"/>
      <w:bookmarkEnd w:id="56"/>
      <w:bookmarkEnd w:id="57"/>
    </w:p>
    <w:p w:rsidR="00AC281A" w:rsidRDefault="00AC281A" w:rsidP="00AC281A">
      <w:pPr>
        <w:pStyle w:val="ListBullet"/>
      </w:pPr>
      <w:bookmarkStart w:id="58" w:name="_Toc196046462"/>
      <w:bookmarkStart w:id="59" w:name="_Toc247691516"/>
      <w:bookmarkStart w:id="60" w:name="_Toc314842500"/>
      <w:bookmarkStart w:id="61" w:name="_Toc163441353"/>
      <w:bookmarkStart w:id="62" w:name="_Toc163441348"/>
      <w:r>
        <w:t xml:space="preserve">The strengths and resultant doses of the two active ingredients in </w:t>
      </w:r>
      <w:proofErr w:type="spellStart"/>
      <w:r w:rsidR="00AF5D28">
        <w:t>Taptiqom</w:t>
      </w:r>
      <w:proofErr w:type="spellEnd"/>
      <w:r>
        <w:t xml:space="preserve"> are in line with that approved for related single</w:t>
      </w:r>
      <w:r w:rsidR="00474E1A">
        <w:t xml:space="preserve"> </w:t>
      </w:r>
      <w:r>
        <w:t>agent products.</w:t>
      </w:r>
    </w:p>
    <w:p w:rsidR="00AC281A" w:rsidRDefault="00474E1A" w:rsidP="00AC281A">
      <w:pPr>
        <w:pStyle w:val="ListBullet"/>
      </w:pPr>
      <w:r>
        <w:t>The nonclinical submission</w:t>
      </w:r>
      <w:r w:rsidR="00AC281A">
        <w:t xml:space="preserve"> contained studies on pharmacokinetics and repeat-dose toxicity. There were no major deficiencies in the data package.</w:t>
      </w:r>
    </w:p>
    <w:p w:rsidR="00AC281A" w:rsidRDefault="00AC281A" w:rsidP="00AC281A">
      <w:pPr>
        <w:pStyle w:val="ListBullet"/>
      </w:pPr>
      <w:r>
        <w:t>No nonclinical efficacy study with the combination was submitted.</w:t>
      </w:r>
    </w:p>
    <w:p w:rsidR="00AC281A" w:rsidRDefault="00AC281A" w:rsidP="00AC281A">
      <w:pPr>
        <w:pStyle w:val="ListBullet"/>
      </w:pPr>
      <w:r>
        <w:t xml:space="preserve">The ocular absorption of </w:t>
      </w:r>
      <w:proofErr w:type="spellStart"/>
      <w:r>
        <w:t>tafluprost</w:t>
      </w:r>
      <w:proofErr w:type="spellEnd"/>
      <w:r>
        <w:t xml:space="preserve"> and </w:t>
      </w:r>
      <w:proofErr w:type="spellStart"/>
      <w:r>
        <w:t>timolol</w:t>
      </w:r>
      <w:proofErr w:type="spellEnd"/>
      <w:r>
        <w:t xml:space="preserve"> was comparable or slightly lower with co</w:t>
      </w:r>
      <w:r>
        <w:noBreakHyphen/>
        <w:t xml:space="preserve">administration </w:t>
      </w:r>
      <w:r w:rsidR="00474E1A">
        <w:t xml:space="preserve">compared to that of </w:t>
      </w:r>
      <w:r>
        <w:t>dosing with each agent alone in rabbits. No systemic pharmacokinetic interaction was evident in monkeys.</w:t>
      </w:r>
    </w:p>
    <w:p w:rsidR="00AC281A" w:rsidRDefault="00AC281A" w:rsidP="00AC281A">
      <w:pPr>
        <w:pStyle w:val="ListBullet"/>
      </w:pPr>
      <w:r>
        <w:t xml:space="preserve">No novel or exacerbated toxicity was observed with the combination </w:t>
      </w:r>
      <w:r w:rsidR="00474E1A">
        <w:t>compared to that of</w:t>
      </w:r>
      <w:r>
        <w:t xml:space="preserve"> the single agents in a 3</w:t>
      </w:r>
      <w:r w:rsidR="00474E1A">
        <w:t xml:space="preserve"> </w:t>
      </w:r>
      <w:r>
        <w:t>month study in monkeys involving twice daily dosing with eye drops containing the drugs at the proposed clinical strength or 3</w:t>
      </w:r>
      <w:r w:rsidR="00474E1A">
        <w:t xml:space="preserve"> </w:t>
      </w:r>
      <w:r>
        <w:t>times higher</w:t>
      </w:r>
      <w:r w:rsidR="00474E1A">
        <w:t xml:space="preserve"> than the proposed clinical strength</w:t>
      </w:r>
      <w:r>
        <w:t>. Acceptable ocular tolerance was shown in a study in rabbits conducted with the commercial formulation.</w:t>
      </w:r>
    </w:p>
    <w:p w:rsidR="00AC281A" w:rsidRDefault="00AC281A" w:rsidP="00AC281A">
      <w:pPr>
        <w:pStyle w:val="ListBullet"/>
      </w:pPr>
      <w:r>
        <w:t xml:space="preserve">There are no nonclinical objections to the registration of </w:t>
      </w:r>
      <w:proofErr w:type="spellStart"/>
      <w:r w:rsidR="00AF5D28">
        <w:t>Taptiqom</w:t>
      </w:r>
      <w:proofErr w:type="spellEnd"/>
      <w:r>
        <w:t xml:space="preserve"> for the proposed indications. </w:t>
      </w:r>
      <w:r w:rsidR="00474E1A">
        <w:t xml:space="preserve">Revisions to the </w:t>
      </w:r>
      <w:r>
        <w:t xml:space="preserve">draft </w:t>
      </w:r>
      <w:r w:rsidR="00474E1A">
        <w:t xml:space="preserve">PI were recommended but these are beyond the scope of this </w:t>
      </w:r>
      <w:proofErr w:type="spellStart"/>
      <w:r w:rsidR="00474E1A">
        <w:t>AusPAR</w:t>
      </w:r>
      <w:proofErr w:type="spellEnd"/>
      <w:r w:rsidR="00474E1A">
        <w:t>.</w:t>
      </w:r>
      <w:r w:rsidR="008E7846">
        <w:t xml:space="preserve"> </w:t>
      </w:r>
    </w:p>
    <w:p w:rsidR="008E7846" w:rsidRPr="00254787" w:rsidRDefault="00760A38" w:rsidP="00AC281A">
      <w:pPr>
        <w:pStyle w:val="Heading2"/>
      </w:pPr>
      <w:bookmarkStart w:id="63" w:name="_Toc427232212"/>
      <w:r>
        <w:t xml:space="preserve">IV. </w:t>
      </w:r>
      <w:r w:rsidR="008E7846" w:rsidRPr="00254787">
        <w:t>Clinical</w:t>
      </w:r>
      <w:bookmarkEnd w:id="58"/>
      <w:r w:rsidR="008E7846">
        <w:t xml:space="preserve"> </w:t>
      </w:r>
      <w:r w:rsidR="003A7F6C">
        <w:t>f</w:t>
      </w:r>
      <w:r w:rsidR="008E7846">
        <w:t>indings</w:t>
      </w:r>
      <w:bookmarkEnd w:id="59"/>
      <w:bookmarkEnd w:id="60"/>
      <w:bookmarkEnd w:id="63"/>
    </w:p>
    <w:p w:rsidR="00C80137" w:rsidRDefault="00C80137" w:rsidP="00D425BB">
      <w:bookmarkStart w:id="64"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5" w:name="_Toc247691517"/>
      <w:bookmarkStart w:id="66" w:name="_Toc314842501"/>
      <w:bookmarkStart w:id="67" w:name="_Toc427232213"/>
      <w:r w:rsidRPr="00254787">
        <w:t>Introduction</w:t>
      </w:r>
      <w:bookmarkEnd w:id="64"/>
      <w:bookmarkEnd w:id="65"/>
      <w:bookmarkEnd w:id="66"/>
      <w:bookmarkEnd w:id="67"/>
    </w:p>
    <w:p w:rsidR="00605AD4" w:rsidRDefault="00605AD4" w:rsidP="00605AD4">
      <w:pPr>
        <w:pStyle w:val="Heading4"/>
      </w:pPr>
      <w:bookmarkStart w:id="68" w:name="_Toc196046464"/>
      <w:bookmarkStart w:id="69" w:name="_Toc247691518"/>
      <w:bookmarkStart w:id="70" w:name="_Toc314842502"/>
      <w:r w:rsidRPr="00605AD4">
        <w:t>Clinical Rationale</w:t>
      </w:r>
    </w:p>
    <w:p w:rsidR="0078024B" w:rsidRDefault="0078024B" w:rsidP="00CD013E">
      <w:pPr>
        <w:rPr>
          <w:szCs w:val="24"/>
          <w:lang w:val="en-US"/>
        </w:rPr>
      </w:pPr>
      <w:r>
        <w:rPr>
          <w:lang w:val="en-US"/>
        </w:rPr>
        <w:t xml:space="preserve">The </w:t>
      </w:r>
      <w:r w:rsidR="00CD013E">
        <w:rPr>
          <w:lang w:val="en-US"/>
        </w:rPr>
        <w:t>s</w:t>
      </w:r>
      <w:r>
        <w:rPr>
          <w:lang w:val="en-US"/>
        </w:rPr>
        <w:t>ponsor states the rationale for the new fixed dose combination product to be:</w:t>
      </w:r>
    </w:p>
    <w:p w:rsidR="0078024B" w:rsidRPr="00CD013E" w:rsidRDefault="0078024B" w:rsidP="00CD013E">
      <w:pPr>
        <w:ind w:left="720"/>
        <w:rPr>
          <w:i/>
          <w:lang w:val="en-US"/>
        </w:rPr>
      </w:pPr>
      <w:r w:rsidRPr="00CD013E">
        <w:rPr>
          <w:i/>
          <w:lang w:val="en-US"/>
        </w:rPr>
        <w:t>Options for the treatment of glaucoma include: a non-selective beta-</w:t>
      </w:r>
      <w:proofErr w:type="spellStart"/>
      <w:r w:rsidRPr="00CD013E">
        <w:rPr>
          <w:i/>
          <w:lang w:val="en-US"/>
        </w:rPr>
        <w:t>adrenoceptor</w:t>
      </w:r>
      <w:proofErr w:type="spellEnd"/>
      <w:r w:rsidRPr="00CD013E">
        <w:rPr>
          <w:i/>
          <w:lang w:val="en-US"/>
        </w:rPr>
        <w:t xml:space="preserve"> blocking agent such as </w:t>
      </w:r>
      <w:proofErr w:type="spellStart"/>
      <w:r w:rsidRPr="00CD013E">
        <w:rPr>
          <w:i/>
          <w:lang w:val="en-US"/>
        </w:rPr>
        <w:t>timolol</w:t>
      </w:r>
      <w:proofErr w:type="spellEnd"/>
      <w:r w:rsidRPr="00CD013E">
        <w:rPr>
          <w:i/>
          <w:lang w:val="en-US"/>
        </w:rPr>
        <w:t xml:space="preserve">, carbonic anhydrase inhibitor such as </w:t>
      </w:r>
      <w:proofErr w:type="spellStart"/>
      <w:r w:rsidRPr="00CD013E">
        <w:rPr>
          <w:i/>
          <w:lang w:val="en-US"/>
        </w:rPr>
        <w:t>dorzolamide</w:t>
      </w:r>
      <w:proofErr w:type="spellEnd"/>
      <w:r w:rsidRPr="00CD013E">
        <w:rPr>
          <w:i/>
          <w:lang w:val="en-US"/>
        </w:rPr>
        <w:t xml:space="preserve"> and prostaglandin analogues such as </w:t>
      </w:r>
      <w:proofErr w:type="spellStart"/>
      <w:r w:rsidRPr="00CD013E">
        <w:rPr>
          <w:i/>
          <w:lang w:val="en-US"/>
        </w:rPr>
        <w:t>tafluprost</w:t>
      </w:r>
      <w:proofErr w:type="spellEnd"/>
      <w:r w:rsidRPr="00CD013E">
        <w:rPr>
          <w:i/>
          <w:lang w:val="en-US"/>
        </w:rPr>
        <w:t xml:space="preserve">, </w:t>
      </w:r>
      <w:proofErr w:type="spellStart"/>
      <w:r w:rsidRPr="00CD013E">
        <w:rPr>
          <w:i/>
          <w:lang w:val="en-US"/>
        </w:rPr>
        <w:t>latanoprost</w:t>
      </w:r>
      <w:proofErr w:type="spellEnd"/>
      <w:r w:rsidRPr="00CD013E">
        <w:rPr>
          <w:i/>
          <w:lang w:val="en-US"/>
        </w:rPr>
        <w:t xml:space="preserve">, </w:t>
      </w:r>
      <w:proofErr w:type="spellStart"/>
      <w:r w:rsidRPr="00CD013E">
        <w:rPr>
          <w:i/>
          <w:lang w:val="en-US"/>
        </w:rPr>
        <w:t>travaprost</w:t>
      </w:r>
      <w:proofErr w:type="spellEnd"/>
      <w:r w:rsidRPr="00CD013E">
        <w:rPr>
          <w:i/>
          <w:lang w:val="en-US"/>
        </w:rPr>
        <w:t xml:space="preserve"> and </w:t>
      </w:r>
      <w:proofErr w:type="spellStart"/>
      <w:r w:rsidRPr="00CD013E">
        <w:rPr>
          <w:i/>
          <w:lang w:val="en-US"/>
        </w:rPr>
        <w:t>bimatoprost</w:t>
      </w:r>
      <w:proofErr w:type="spellEnd"/>
      <w:r w:rsidRPr="00CD013E">
        <w:rPr>
          <w:i/>
          <w:lang w:val="en-US"/>
        </w:rPr>
        <w:t xml:space="preserve"> as individual agents.</w:t>
      </w:r>
      <w:r w:rsidR="00516F60">
        <w:rPr>
          <w:i/>
          <w:lang w:val="en-US"/>
        </w:rPr>
        <w:t xml:space="preserve"> </w:t>
      </w:r>
      <w:r w:rsidRPr="00CD013E">
        <w:rPr>
          <w:i/>
          <w:lang w:val="en-US"/>
        </w:rPr>
        <w:t>Where the IOP reduction by a single agent has not been considered clinically adequate, combinations have been used since the individual products act via different mechanisms of action to illicit the IOP lowering effect.</w:t>
      </w:r>
      <w:r w:rsidR="00516F60">
        <w:rPr>
          <w:i/>
          <w:lang w:val="en-US"/>
        </w:rPr>
        <w:t xml:space="preserve"> </w:t>
      </w:r>
      <w:r w:rsidRPr="00CD013E">
        <w:rPr>
          <w:i/>
          <w:lang w:val="en-US"/>
        </w:rPr>
        <w:t xml:space="preserve">It is generally believed that prostaglandins reduce IOP by increasing </w:t>
      </w:r>
      <w:proofErr w:type="spellStart"/>
      <w:r w:rsidRPr="00CD013E">
        <w:rPr>
          <w:i/>
          <w:lang w:val="en-US"/>
        </w:rPr>
        <w:t>uveoscleral</w:t>
      </w:r>
      <w:proofErr w:type="spellEnd"/>
      <w:r w:rsidRPr="00CD013E">
        <w:rPr>
          <w:i/>
          <w:lang w:val="en-US"/>
        </w:rPr>
        <w:t xml:space="preserve"> outflow of aqueous </w:t>
      </w:r>
      <w:proofErr w:type="spellStart"/>
      <w:r w:rsidRPr="00CD013E">
        <w:rPr>
          <w:i/>
          <w:lang w:val="en-US"/>
        </w:rPr>
        <w:t>humour</w:t>
      </w:r>
      <w:proofErr w:type="spellEnd"/>
      <w:r w:rsidRPr="00CD013E">
        <w:rPr>
          <w:i/>
          <w:lang w:val="en-US"/>
        </w:rPr>
        <w:t xml:space="preserve"> and </w:t>
      </w:r>
      <w:proofErr w:type="spellStart"/>
      <w:r w:rsidRPr="00CD013E">
        <w:rPr>
          <w:i/>
          <w:lang w:val="en-US"/>
        </w:rPr>
        <w:t>timolol</w:t>
      </w:r>
      <w:proofErr w:type="spellEnd"/>
      <w:r w:rsidRPr="00CD013E">
        <w:rPr>
          <w:i/>
          <w:lang w:val="en-US"/>
        </w:rPr>
        <w:t xml:space="preserve"> reduces the aqueous formation.</w:t>
      </w:r>
      <w:r w:rsidR="00516F60">
        <w:rPr>
          <w:i/>
          <w:lang w:val="en-US"/>
        </w:rPr>
        <w:t xml:space="preserve"> </w:t>
      </w:r>
      <w:r w:rsidRPr="00CD013E">
        <w:rPr>
          <w:i/>
          <w:lang w:val="en-US"/>
        </w:rPr>
        <w:t>The combination of a beta-</w:t>
      </w:r>
      <w:proofErr w:type="spellStart"/>
      <w:r w:rsidRPr="00CD013E">
        <w:rPr>
          <w:i/>
          <w:lang w:val="en-US"/>
        </w:rPr>
        <w:t>adrenoceptor</w:t>
      </w:r>
      <w:proofErr w:type="spellEnd"/>
      <w:r w:rsidRPr="00CD013E">
        <w:rPr>
          <w:i/>
          <w:lang w:val="en-US"/>
        </w:rPr>
        <w:t xml:space="preserve"> blocking agent and a prostaglandin as proposed in this new combination is not uncommon.</w:t>
      </w:r>
      <w:r w:rsidR="00516F60">
        <w:rPr>
          <w:i/>
          <w:lang w:val="en-US"/>
        </w:rPr>
        <w:t xml:space="preserve"> </w:t>
      </w:r>
      <w:r w:rsidRPr="00CD013E">
        <w:rPr>
          <w:i/>
          <w:lang w:val="en-US"/>
        </w:rPr>
        <w:t xml:space="preserve">At present there are already similar combinations that are registered on the ARTG: </w:t>
      </w:r>
      <w:proofErr w:type="spellStart"/>
      <w:r w:rsidRPr="00CD013E">
        <w:rPr>
          <w:i/>
          <w:lang w:val="en-US"/>
        </w:rPr>
        <w:t>latanoprost</w:t>
      </w:r>
      <w:proofErr w:type="spellEnd"/>
      <w:r w:rsidRPr="00CD013E">
        <w:rPr>
          <w:i/>
          <w:lang w:val="en-US"/>
        </w:rPr>
        <w:t xml:space="preserve"> + </w:t>
      </w:r>
      <w:proofErr w:type="spellStart"/>
      <w:r w:rsidRPr="00CD013E">
        <w:rPr>
          <w:i/>
          <w:lang w:val="en-US"/>
        </w:rPr>
        <w:t>timolol</w:t>
      </w:r>
      <w:proofErr w:type="spellEnd"/>
      <w:r w:rsidRPr="00CD013E">
        <w:rPr>
          <w:i/>
          <w:lang w:val="en-US"/>
        </w:rPr>
        <w:t xml:space="preserve"> as </w:t>
      </w:r>
      <w:proofErr w:type="spellStart"/>
      <w:r w:rsidRPr="00CD013E">
        <w:rPr>
          <w:i/>
          <w:lang w:val="en-US"/>
        </w:rPr>
        <w:t>Xalacom</w:t>
      </w:r>
      <w:proofErr w:type="spellEnd"/>
      <w:r w:rsidRPr="00CD013E">
        <w:rPr>
          <w:i/>
          <w:lang w:val="en-US"/>
        </w:rPr>
        <w:t xml:space="preserve"> (AUST R 80311) and </w:t>
      </w:r>
      <w:proofErr w:type="spellStart"/>
      <w:r w:rsidRPr="00CD013E">
        <w:rPr>
          <w:i/>
          <w:lang w:val="en-US"/>
        </w:rPr>
        <w:t>Latanocom</w:t>
      </w:r>
      <w:proofErr w:type="spellEnd"/>
      <w:r w:rsidRPr="00CD013E">
        <w:rPr>
          <w:i/>
          <w:lang w:val="en-US"/>
        </w:rPr>
        <w:t xml:space="preserve"> (AUST R 183346); </w:t>
      </w:r>
      <w:proofErr w:type="spellStart"/>
      <w:r w:rsidRPr="00CD013E">
        <w:rPr>
          <w:i/>
          <w:lang w:val="en-US"/>
        </w:rPr>
        <w:t>travoprost</w:t>
      </w:r>
      <w:proofErr w:type="spellEnd"/>
      <w:r w:rsidRPr="00CD013E">
        <w:rPr>
          <w:i/>
          <w:lang w:val="en-US"/>
        </w:rPr>
        <w:t xml:space="preserve"> + </w:t>
      </w:r>
      <w:proofErr w:type="spellStart"/>
      <w:r w:rsidRPr="00CD013E">
        <w:rPr>
          <w:i/>
          <w:lang w:val="en-US"/>
        </w:rPr>
        <w:t>timolol</w:t>
      </w:r>
      <w:proofErr w:type="spellEnd"/>
      <w:r w:rsidRPr="00CD013E">
        <w:rPr>
          <w:i/>
          <w:lang w:val="en-US"/>
        </w:rPr>
        <w:t xml:space="preserve"> as </w:t>
      </w:r>
      <w:proofErr w:type="spellStart"/>
      <w:r w:rsidRPr="00CD013E">
        <w:rPr>
          <w:i/>
          <w:lang w:val="en-US"/>
        </w:rPr>
        <w:t>Duotrav</w:t>
      </w:r>
      <w:proofErr w:type="spellEnd"/>
      <w:r w:rsidRPr="00CD013E">
        <w:rPr>
          <w:i/>
          <w:lang w:val="en-US"/>
        </w:rPr>
        <w:t xml:space="preserve"> (AUST R 125607, 177772); and </w:t>
      </w:r>
      <w:proofErr w:type="spellStart"/>
      <w:r w:rsidRPr="00CD013E">
        <w:rPr>
          <w:i/>
          <w:lang w:val="en-US"/>
        </w:rPr>
        <w:t>bimatoprost</w:t>
      </w:r>
      <w:proofErr w:type="spellEnd"/>
      <w:r w:rsidRPr="00CD013E">
        <w:rPr>
          <w:i/>
          <w:lang w:val="en-US"/>
        </w:rPr>
        <w:t xml:space="preserve"> + </w:t>
      </w:r>
      <w:proofErr w:type="spellStart"/>
      <w:r w:rsidRPr="00CD013E">
        <w:rPr>
          <w:i/>
          <w:lang w:val="en-US"/>
        </w:rPr>
        <w:t>timolol</w:t>
      </w:r>
      <w:proofErr w:type="spellEnd"/>
      <w:r w:rsidRPr="00CD013E">
        <w:rPr>
          <w:i/>
          <w:lang w:val="en-US"/>
        </w:rPr>
        <w:t xml:space="preserve"> as </w:t>
      </w:r>
      <w:proofErr w:type="spellStart"/>
      <w:r w:rsidRPr="00CD013E">
        <w:rPr>
          <w:i/>
          <w:lang w:val="en-US"/>
        </w:rPr>
        <w:t>Ganfort</w:t>
      </w:r>
      <w:proofErr w:type="spellEnd"/>
      <w:r w:rsidRPr="00CD013E">
        <w:rPr>
          <w:i/>
          <w:lang w:val="en-US"/>
        </w:rPr>
        <w:t xml:space="preserve"> (AUST R 147830).</w:t>
      </w:r>
      <w:r w:rsidR="00516F60">
        <w:rPr>
          <w:i/>
          <w:lang w:val="en-US"/>
        </w:rPr>
        <w:t xml:space="preserve"> </w:t>
      </w:r>
      <w:r w:rsidRPr="00CD013E">
        <w:rPr>
          <w:i/>
          <w:lang w:val="en-US"/>
        </w:rPr>
        <w:t>The concentrations used in the combination products are generally the same as those used in the individual mono-component products.</w:t>
      </w:r>
    </w:p>
    <w:p w:rsidR="0078024B" w:rsidRPr="00CD013E" w:rsidRDefault="0078024B" w:rsidP="00CD013E">
      <w:pPr>
        <w:ind w:left="720"/>
        <w:rPr>
          <w:i/>
          <w:kern w:val="16"/>
          <w:lang w:eastAsia="en-AU"/>
        </w:rPr>
      </w:pPr>
      <w:r w:rsidRPr="00CD013E">
        <w:rPr>
          <w:i/>
          <w:lang w:val="en-US"/>
        </w:rPr>
        <w:t xml:space="preserve">A single container with a fixed combination of </w:t>
      </w:r>
      <w:proofErr w:type="spellStart"/>
      <w:r w:rsidRPr="00CD013E">
        <w:rPr>
          <w:i/>
          <w:lang w:val="en-US"/>
        </w:rPr>
        <w:t>tafluprost</w:t>
      </w:r>
      <w:proofErr w:type="spellEnd"/>
      <w:r w:rsidRPr="00CD013E">
        <w:rPr>
          <w:i/>
          <w:lang w:val="en-US"/>
        </w:rPr>
        <w:t xml:space="preserve"> and </w:t>
      </w:r>
      <w:proofErr w:type="spellStart"/>
      <w:r w:rsidRPr="00CD013E">
        <w:rPr>
          <w:i/>
          <w:lang w:val="en-US"/>
        </w:rPr>
        <w:t>timolol</w:t>
      </w:r>
      <w:proofErr w:type="spellEnd"/>
      <w:r w:rsidRPr="00CD013E">
        <w:rPr>
          <w:i/>
          <w:lang w:val="en-US"/>
        </w:rPr>
        <w:t xml:space="preserve"> has multiple advantages.</w:t>
      </w:r>
      <w:r w:rsidR="00516F60">
        <w:rPr>
          <w:i/>
          <w:lang w:val="en-US"/>
        </w:rPr>
        <w:t xml:space="preserve"> </w:t>
      </w:r>
      <w:r w:rsidRPr="00CD013E">
        <w:rPr>
          <w:i/>
          <w:lang w:val="en-US"/>
        </w:rPr>
        <w:t>First, the well-known 'washout' effect resulting in decreased efficacy of the combination will be reduced; this occurs when a second topical drop is administered to the eye within five minutes of the first administered drop causing a washout loss of the latter.</w:t>
      </w:r>
      <w:r w:rsidR="00516F60">
        <w:rPr>
          <w:i/>
          <w:lang w:val="en-US"/>
        </w:rPr>
        <w:t xml:space="preserve"> </w:t>
      </w:r>
      <w:r w:rsidRPr="00CD013E">
        <w:rPr>
          <w:i/>
          <w:lang w:val="en-US"/>
        </w:rPr>
        <w:t xml:space="preserve">Second, by reducing the number of daily drops administered from three to one, patient compliance is expected to improve due to a </w:t>
      </w:r>
      <w:r w:rsidRPr="00CD013E">
        <w:rPr>
          <w:i/>
          <w:lang w:val="en-US"/>
        </w:rPr>
        <w:lastRenderedPageBreak/>
        <w:t>simplified drug regimen.</w:t>
      </w:r>
      <w:r w:rsidR="00516F60">
        <w:rPr>
          <w:i/>
          <w:lang w:val="en-US"/>
        </w:rPr>
        <w:t xml:space="preserve"> </w:t>
      </w:r>
      <w:r w:rsidRPr="00CD013E">
        <w:rPr>
          <w:i/>
          <w:lang w:val="en-US"/>
        </w:rPr>
        <w:t>Reducing the number of daily drops a glaucoma patient must administer may improve compliance.</w:t>
      </w:r>
      <w:r w:rsidR="00516F60">
        <w:rPr>
          <w:i/>
          <w:lang w:val="en-US"/>
        </w:rPr>
        <w:t xml:space="preserve"> </w:t>
      </w:r>
      <w:r w:rsidRPr="00CD013E">
        <w:rPr>
          <w:i/>
          <w:lang w:val="en-US"/>
        </w:rPr>
        <w:t xml:space="preserve">Poor compliance with topical medications in glaucoma patients is associated with elevated </w:t>
      </w:r>
      <w:proofErr w:type="spellStart"/>
      <w:r w:rsidRPr="00CD013E">
        <w:rPr>
          <w:i/>
          <w:lang w:val="en-US"/>
        </w:rPr>
        <w:t>lOP</w:t>
      </w:r>
      <w:proofErr w:type="spellEnd"/>
      <w:r w:rsidRPr="00CD013E">
        <w:rPr>
          <w:i/>
          <w:lang w:val="en-US"/>
        </w:rPr>
        <w:t xml:space="preserve"> and progressive disease.</w:t>
      </w:r>
    </w:p>
    <w:p w:rsidR="00605AD4" w:rsidRDefault="00605AD4" w:rsidP="00605AD4">
      <w:pPr>
        <w:pStyle w:val="Heading4"/>
      </w:pPr>
      <w:r w:rsidRPr="00605AD4">
        <w:t>Contents of the clinical dossier</w:t>
      </w:r>
    </w:p>
    <w:p w:rsidR="0078024B" w:rsidRDefault="0078024B" w:rsidP="00CD013E">
      <w:pPr>
        <w:pStyle w:val="Heading5"/>
      </w:pPr>
      <w:bookmarkStart w:id="71" w:name="_Toc384234520"/>
      <w:bookmarkStart w:id="72" w:name="_Toc290846234"/>
      <w:r>
        <w:t>Scope of the clinical dossier</w:t>
      </w:r>
      <w:bookmarkEnd w:id="71"/>
      <w:bookmarkEnd w:id="72"/>
    </w:p>
    <w:p w:rsidR="0078024B" w:rsidRDefault="0078024B" w:rsidP="00CD013E">
      <w:pPr>
        <w:rPr>
          <w:szCs w:val="24"/>
        </w:rPr>
      </w:pPr>
      <w:r>
        <w:t>The submission contained the following clinical information:</w:t>
      </w:r>
    </w:p>
    <w:p w:rsidR="0078024B" w:rsidRDefault="0078024B" w:rsidP="00CD013E">
      <w:pPr>
        <w:pStyle w:val="ListBullet"/>
      </w:pPr>
      <w:r>
        <w:t>One clinical pharmacology study that provided pharmacokinetic data.</w:t>
      </w:r>
    </w:p>
    <w:p w:rsidR="0078024B" w:rsidRDefault="0078024B" w:rsidP="00CD013E">
      <w:pPr>
        <w:pStyle w:val="ListBullet"/>
      </w:pPr>
      <w:r>
        <w:t>Two pivotal efficacy/safety studies.</w:t>
      </w:r>
    </w:p>
    <w:p w:rsidR="0078024B" w:rsidRDefault="0078024B" w:rsidP="00CD013E">
      <w:pPr>
        <w:pStyle w:val="ListBullet"/>
      </w:pPr>
      <w:r>
        <w:t>Four other efficacy/safety studies using a related product in a Japanese population (DE-111).</w:t>
      </w:r>
    </w:p>
    <w:p w:rsidR="00605AD4" w:rsidRDefault="00605AD4" w:rsidP="00CD013E">
      <w:pPr>
        <w:pStyle w:val="Heading4"/>
      </w:pPr>
      <w:r w:rsidRPr="00CD013E">
        <w:t>Paediatric</w:t>
      </w:r>
      <w:r w:rsidRPr="00605AD4">
        <w:t xml:space="preserve"> data</w:t>
      </w:r>
    </w:p>
    <w:p w:rsidR="0078024B" w:rsidRDefault="0078024B" w:rsidP="00CD013E">
      <w:pPr>
        <w:rPr>
          <w:szCs w:val="24"/>
          <w:lang w:val="en-US"/>
        </w:rPr>
      </w:pPr>
      <w:r>
        <w:t>The submission did not include paediatric data.</w:t>
      </w:r>
      <w:r w:rsidR="00516F60">
        <w:t xml:space="preserve"> </w:t>
      </w:r>
      <w:r>
        <w:t xml:space="preserve">The </w:t>
      </w:r>
      <w:r w:rsidR="00CD013E">
        <w:t>s</w:t>
      </w:r>
      <w:r>
        <w:t xml:space="preserve">ponsor has been granted a waiver for a Paediatric Investigation Plan: </w:t>
      </w:r>
      <w:r>
        <w:rPr>
          <w:lang w:val="en-US"/>
        </w:rPr>
        <w:t>EMEA-002116-PIP01-12.</w:t>
      </w:r>
      <w:r w:rsidR="00516F60">
        <w:rPr>
          <w:lang w:val="en-US"/>
        </w:rPr>
        <w:t xml:space="preserve"> </w:t>
      </w:r>
      <w:r>
        <w:rPr>
          <w:lang w:val="en-US"/>
        </w:rPr>
        <w:t xml:space="preserve">The waiver covers all subsets of the </w:t>
      </w:r>
      <w:proofErr w:type="spellStart"/>
      <w:r>
        <w:rPr>
          <w:lang w:val="en-US"/>
        </w:rPr>
        <w:t>paediatric</w:t>
      </w:r>
      <w:proofErr w:type="spellEnd"/>
      <w:r>
        <w:rPr>
          <w:lang w:val="en-US"/>
        </w:rPr>
        <w:t xml:space="preserve"> population from birth to &lt;18 years of age.</w:t>
      </w:r>
      <w:r w:rsidR="00516F60">
        <w:rPr>
          <w:lang w:val="en-US"/>
        </w:rPr>
        <w:t xml:space="preserve"> </w:t>
      </w:r>
      <w:r>
        <w:rPr>
          <w:lang w:val="en-US"/>
        </w:rPr>
        <w:t xml:space="preserve">The waiver was granted </w:t>
      </w:r>
      <w:r w:rsidR="00CD013E">
        <w:rPr>
          <w:lang w:val="en-US"/>
        </w:rPr>
        <w:t>‘</w:t>
      </w:r>
      <w:r w:rsidRPr="00CD013E">
        <w:rPr>
          <w:i/>
          <w:lang w:val="en-US"/>
        </w:rPr>
        <w:t>on the grounds that the specific medicinal product does not represent a significant therapeutic benefit over existing treatments</w:t>
      </w:r>
      <w:r w:rsidR="00CD013E" w:rsidRPr="00CD013E">
        <w:rPr>
          <w:i/>
          <w:lang w:val="en-US"/>
        </w:rPr>
        <w:t>’</w:t>
      </w:r>
      <w:r>
        <w:rPr>
          <w:lang w:val="en-US"/>
        </w:rPr>
        <w:t>.</w:t>
      </w:r>
    </w:p>
    <w:p w:rsidR="00605AD4" w:rsidRPr="00CD013E" w:rsidRDefault="00605AD4" w:rsidP="00CD013E">
      <w:pPr>
        <w:pStyle w:val="Heading4"/>
      </w:pPr>
      <w:r w:rsidRPr="00605AD4">
        <w:t>Good clinical practice</w:t>
      </w:r>
    </w:p>
    <w:p w:rsidR="0078024B" w:rsidRDefault="0078024B" w:rsidP="00CD013E">
      <w:pPr>
        <w:rPr>
          <w:szCs w:val="24"/>
        </w:rPr>
      </w:pPr>
      <w:bookmarkStart w:id="73" w:name="_Toc241374282"/>
      <w:r>
        <w:t xml:space="preserve">The clinical data presented in the submission were stated to have been, and appeared to have been, obtained using </w:t>
      </w:r>
      <w:r w:rsidR="00CD013E">
        <w:t>Good Clinical Practice (</w:t>
      </w:r>
      <w:r>
        <w:t>GCP</w:t>
      </w:r>
      <w:r w:rsidR="00CD013E">
        <w:t>)</w:t>
      </w:r>
      <w:r>
        <w:t>.</w:t>
      </w:r>
      <w:bookmarkEnd w:id="73"/>
    </w:p>
    <w:p w:rsidR="008E7846" w:rsidRPr="00254787" w:rsidRDefault="008E7846" w:rsidP="00605AD4">
      <w:pPr>
        <w:pStyle w:val="Heading3"/>
      </w:pPr>
      <w:bookmarkStart w:id="74" w:name="_Toc427232214"/>
      <w:r w:rsidRPr="00254787">
        <w:t>Pharmacokinetics</w:t>
      </w:r>
      <w:bookmarkEnd w:id="61"/>
      <w:bookmarkEnd w:id="68"/>
      <w:bookmarkEnd w:id="69"/>
      <w:bookmarkEnd w:id="70"/>
      <w:bookmarkEnd w:id="74"/>
    </w:p>
    <w:p w:rsidR="00605AD4" w:rsidRPr="00CD013E" w:rsidRDefault="00605AD4" w:rsidP="00CD013E">
      <w:pPr>
        <w:pStyle w:val="Heading4"/>
      </w:pPr>
      <w:r>
        <w:t>Studies</w:t>
      </w:r>
      <w:r w:rsidR="00577439">
        <w:t xml:space="preserve"> providing pharmacokinetic data</w:t>
      </w:r>
    </w:p>
    <w:p w:rsidR="0078024B" w:rsidRDefault="00CD013E" w:rsidP="00CD013E">
      <w:pPr>
        <w:rPr>
          <w:szCs w:val="24"/>
        </w:rPr>
      </w:pPr>
      <w:r>
        <w:t>Table 2</w:t>
      </w:r>
      <w:r w:rsidR="0078024B">
        <w:t xml:space="preserve"> shows the studies relating to each pharmacokinetic topic.</w:t>
      </w:r>
    </w:p>
    <w:p w:rsidR="0078024B" w:rsidRPr="00A66F1B" w:rsidRDefault="0078024B" w:rsidP="00B2653D">
      <w:pPr>
        <w:pStyle w:val="TableTitle"/>
      </w:pPr>
      <w:bookmarkStart w:id="75" w:name="_Ref272426277"/>
      <w:bookmarkStart w:id="76" w:name="_Toc290888900"/>
      <w:proofErr w:type="gramStart"/>
      <w:r w:rsidRPr="00A66F1B">
        <w:t xml:space="preserve">Table </w:t>
      </w:r>
      <w:r w:rsidR="00CD013E" w:rsidRPr="00A66F1B">
        <w:t>2:</w:t>
      </w:r>
      <w:bookmarkEnd w:id="75"/>
      <w:r w:rsidRPr="00A66F1B">
        <w:t xml:space="preserve"> </w:t>
      </w:r>
      <w:r w:rsidRPr="00B2653D">
        <w:t>Submitted</w:t>
      </w:r>
      <w:r w:rsidRPr="00A66F1B">
        <w:t xml:space="preserve"> pharmacokinetic studies.</w:t>
      </w:r>
      <w:bookmarkEnd w:id="76"/>
      <w:proofErr w:type="gramEnd"/>
    </w:p>
    <w:tbl>
      <w:tblPr>
        <w:tblStyle w:val="TableTGAblue"/>
        <w:tblW w:w="7368" w:type="dxa"/>
        <w:tblLayout w:type="fixed"/>
        <w:tblLook w:val="04A0" w:firstRow="1" w:lastRow="0" w:firstColumn="1" w:lastColumn="0" w:noHBand="0" w:noVBand="1"/>
        <w:tblDescription w:val="Table 2: Submitted pharmacokinetic studies"/>
      </w:tblPr>
      <w:tblGrid>
        <w:gridCol w:w="1985"/>
        <w:gridCol w:w="3258"/>
        <w:gridCol w:w="2125"/>
      </w:tblGrid>
      <w:tr w:rsidR="00CD013E" w:rsidTr="005801E5">
        <w:trPr>
          <w:cnfStyle w:val="100000000000" w:firstRow="1" w:lastRow="0" w:firstColumn="0" w:lastColumn="0" w:oddVBand="0" w:evenVBand="0" w:oddHBand="0" w:evenHBand="0" w:firstRowFirstColumn="0" w:firstRowLastColumn="0" w:lastRowFirstColumn="0" w:lastRowLastColumn="0"/>
        </w:trPr>
        <w:tc>
          <w:tcPr>
            <w:tcW w:w="1985" w:type="dxa"/>
            <w:hideMark/>
          </w:tcPr>
          <w:p w:rsidR="00CD013E" w:rsidRPr="00CD013E" w:rsidRDefault="00CD013E" w:rsidP="005801E5">
            <w:r w:rsidRPr="00CD013E">
              <w:t>PK topic</w:t>
            </w:r>
          </w:p>
        </w:tc>
        <w:tc>
          <w:tcPr>
            <w:tcW w:w="3258" w:type="dxa"/>
            <w:hideMark/>
          </w:tcPr>
          <w:p w:rsidR="00CD013E" w:rsidRPr="00CD013E" w:rsidRDefault="00CD013E" w:rsidP="005801E5">
            <w:r w:rsidRPr="00CD013E">
              <w:t>Subtopic</w:t>
            </w:r>
          </w:p>
        </w:tc>
        <w:tc>
          <w:tcPr>
            <w:tcW w:w="2125" w:type="dxa"/>
            <w:hideMark/>
          </w:tcPr>
          <w:p w:rsidR="00CD013E" w:rsidRPr="00CD013E" w:rsidRDefault="00CD013E" w:rsidP="005801E5">
            <w:r w:rsidRPr="00CD013E">
              <w:t>Study ID</w:t>
            </w:r>
          </w:p>
        </w:tc>
      </w:tr>
      <w:tr w:rsidR="00CD013E" w:rsidTr="005801E5">
        <w:tc>
          <w:tcPr>
            <w:tcW w:w="1985" w:type="dxa"/>
            <w:vMerge w:val="restart"/>
            <w:hideMark/>
          </w:tcPr>
          <w:p w:rsidR="00CD013E" w:rsidRPr="00CD013E" w:rsidRDefault="00CD013E" w:rsidP="005801E5">
            <w:r w:rsidRPr="00CD013E">
              <w:t>PK interactions</w:t>
            </w:r>
          </w:p>
        </w:tc>
        <w:tc>
          <w:tcPr>
            <w:tcW w:w="3258" w:type="dxa"/>
            <w:hideMark/>
          </w:tcPr>
          <w:p w:rsidR="00CD013E" w:rsidRPr="00CD013E" w:rsidRDefault="00CD013E" w:rsidP="005801E5">
            <w:proofErr w:type="spellStart"/>
            <w:r w:rsidRPr="00CD013E">
              <w:t>Tafluprost</w:t>
            </w:r>
            <w:proofErr w:type="spellEnd"/>
            <w:r w:rsidRPr="00CD013E">
              <w:t xml:space="preserve"> and </w:t>
            </w:r>
            <w:proofErr w:type="spellStart"/>
            <w:r w:rsidRPr="00CD013E">
              <w:t>Timolol</w:t>
            </w:r>
            <w:proofErr w:type="spellEnd"/>
          </w:p>
        </w:tc>
        <w:tc>
          <w:tcPr>
            <w:tcW w:w="2125" w:type="dxa"/>
            <w:hideMark/>
          </w:tcPr>
          <w:p w:rsidR="00CD013E" w:rsidRPr="00CD013E" w:rsidRDefault="00CD013E" w:rsidP="005801E5">
            <w:r w:rsidRPr="00CD013E">
              <w:t>Study 201150</w:t>
            </w:r>
          </w:p>
        </w:tc>
      </w:tr>
      <w:tr w:rsidR="00CD013E" w:rsidTr="005801E5">
        <w:tc>
          <w:tcPr>
            <w:tcW w:w="1985" w:type="dxa"/>
            <w:vMerge/>
            <w:hideMark/>
          </w:tcPr>
          <w:p w:rsidR="00CD013E" w:rsidRPr="00CD013E" w:rsidRDefault="00CD013E" w:rsidP="005801E5">
            <w:pPr>
              <w:rPr>
                <w:kern w:val="16"/>
              </w:rPr>
            </w:pPr>
          </w:p>
        </w:tc>
        <w:tc>
          <w:tcPr>
            <w:tcW w:w="3258" w:type="dxa"/>
            <w:hideMark/>
          </w:tcPr>
          <w:p w:rsidR="00CD013E" w:rsidRPr="00CD013E" w:rsidRDefault="00CD013E" w:rsidP="005801E5">
            <w:proofErr w:type="spellStart"/>
            <w:r w:rsidRPr="00CD013E">
              <w:t>Tafluprost</w:t>
            </w:r>
            <w:proofErr w:type="spellEnd"/>
            <w:r w:rsidRPr="00CD013E">
              <w:t xml:space="preserve"> and </w:t>
            </w:r>
            <w:proofErr w:type="spellStart"/>
            <w:r w:rsidRPr="00CD013E">
              <w:t>Timolol</w:t>
            </w:r>
            <w:proofErr w:type="spellEnd"/>
          </w:p>
        </w:tc>
        <w:tc>
          <w:tcPr>
            <w:tcW w:w="2125" w:type="dxa"/>
            <w:hideMark/>
          </w:tcPr>
          <w:p w:rsidR="00CD013E" w:rsidRPr="00CD013E" w:rsidRDefault="00CD013E" w:rsidP="005801E5">
            <w:r w:rsidRPr="00CD013E">
              <w:t>Study 01111002</w:t>
            </w:r>
          </w:p>
        </w:tc>
      </w:tr>
    </w:tbl>
    <w:p w:rsidR="0078024B" w:rsidRDefault="0078024B" w:rsidP="00CD013E">
      <w:r>
        <w:t>Neither of the pharmacokinetic studies had deficiencies that excluded their results from consideration.</w:t>
      </w:r>
    </w:p>
    <w:p w:rsidR="00605AD4" w:rsidRDefault="00605AD4" w:rsidP="00CD013E">
      <w:pPr>
        <w:pStyle w:val="Heading4"/>
      </w:pPr>
      <w:r>
        <w:t>Evaluator’s conclusions on pharmacokinetics</w:t>
      </w:r>
    </w:p>
    <w:p w:rsidR="0078024B" w:rsidRDefault="0078024B" w:rsidP="00CD013E">
      <w:pPr>
        <w:rPr>
          <w:szCs w:val="24"/>
        </w:rPr>
      </w:pPr>
      <w:r>
        <w:t xml:space="preserve">Both </w:t>
      </w:r>
      <w:proofErr w:type="spellStart"/>
      <w:r>
        <w:t>tafluprost</w:t>
      </w:r>
      <w:proofErr w:type="spellEnd"/>
      <w:r>
        <w:t xml:space="preserve"> and </w:t>
      </w:r>
      <w:proofErr w:type="spellStart"/>
      <w:r>
        <w:t>timolol</w:t>
      </w:r>
      <w:proofErr w:type="spellEnd"/>
      <w:r>
        <w:t xml:space="preserve"> have low systemic bioavailability when administered by the ocular route.</w:t>
      </w:r>
      <w:r w:rsidR="00516F60">
        <w:t xml:space="preserve"> </w:t>
      </w:r>
      <w:r>
        <w:t>Neither compound influenced the PK of the other.</w:t>
      </w:r>
    </w:p>
    <w:p w:rsidR="008E7846" w:rsidRPr="00CD013E" w:rsidRDefault="008E7846" w:rsidP="00CD013E">
      <w:pPr>
        <w:pStyle w:val="Heading3"/>
      </w:pPr>
      <w:bookmarkStart w:id="77" w:name="_Toc196046481"/>
      <w:bookmarkStart w:id="78" w:name="_Toc247691520"/>
      <w:bookmarkStart w:id="79" w:name="_Toc314842503"/>
      <w:bookmarkStart w:id="80" w:name="_Toc427232215"/>
      <w:r w:rsidRPr="00254787">
        <w:lastRenderedPageBreak/>
        <w:t>Pharmacodynamics</w:t>
      </w:r>
      <w:bookmarkEnd w:id="62"/>
      <w:bookmarkEnd w:id="77"/>
      <w:bookmarkEnd w:id="78"/>
      <w:bookmarkEnd w:id="79"/>
      <w:bookmarkEnd w:id="80"/>
    </w:p>
    <w:p w:rsidR="00605AD4" w:rsidRPr="00CD013E" w:rsidRDefault="00605AD4" w:rsidP="00CD013E">
      <w:pPr>
        <w:pStyle w:val="Heading4"/>
      </w:pPr>
      <w:r>
        <w:t xml:space="preserve">Studies providing </w:t>
      </w:r>
      <w:proofErr w:type="spellStart"/>
      <w:r>
        <w:t>pharmacodynamic</w:t>
      </w:r>
      <w:proofErr w:type="spellEnd"/>
      <w:r>
        <w:t xml:space="preserve"> data</w:t>
      </w:r>
    </w:p>
    <w:p w:rsidR="0078024B" w:rsidRDefault="00CD013E" w:rsidP="00CD013E">
      <w:pPr>
        <w:rPr>
          <w:szCs w:val="24"/>
        </w:rPr>
      </w:pPr>
      <w:r>
        <w:t>Table 3</w:t>
      </w:r>
      <w:r w:rsidR="0078024B">
        <w:t xml:space="preserve"> shows the studies relating to each </w:t>
      </w:r>
      <w:proofErr w:type="spellStart"/>
      <w:r w:rsidR="0078024B">
        <w:t>pharmacodynamic</w:t>
      </w:r>
      <w:proofErr w:type="spellEnd"/>
      <w:r w:rsidR="0078024B">
        <w:t xml:space="preserve"> topic.</w:t>
      </w:r>
    </w:p>
    <w:p w:rsidR="0078024B" w:rsidRPr="004253C0" w:rsidRDefault="0078024B" w:rsidP="00B2653D">
      <w:pPr>
        <w:pStyle w:val="TableTitle"/>
      </w:pPr>
      <w:bookmarkStart w:id="81" w:name="_Ref269985397"/>
      <w:bookmarkStart w:id="82" w:name="_Toc290888902"/>
      <w:proofErr w:type="gramStart"/>
      <w:r w:rsidRPr="004253C0">
        <w:t>Table 2</w:t>
      </w:r>
      <w:bookmarkEnd w:id="81"/>
      <w:r w:rsidRPr="004253C0">
        <w:t>.</w:t>
      </w:r>
      <w:proofErr w:type="gramEnd"/>
      <w:r w:rsidRPr="004253C0">
        <w:t xml:space="preserve"> </w:t>
      </w:r>
      <w:proofErr w:type="gramStart"/>
      <w:r w:rsidRPr="004253C0">
        <w:t xml:space="preserve">Submitted </w:t>
      </w:r>
      <w:proofErr w:type="spellStart"/>
      <w:r w:rsidRPr="004253C0">
        <w:t>pharmacodynamic</w:t>
      </w:r>
      <w:proofErr w:type="spellEnd"/>
      <w:r w:rsidRPr="004253C0">
        <w:t xml:space="preserve"> studies.</w:t>
      </w:r>
      <w:bookmarkEnd w:id="82"/>
      <w:proofErr w:type="gramEnd"/>
    </w:p>
    <w:tbl>
      <w:tblPr>
        <w:tblStyle w:val="TableTGAblue"/>
        <w:tblW w:w="7510" w:type="dxa"/>
        <w:tblLayout w:type="fixed"/>
        <w:tblLook w:val="04A0" w:firstRow="1" w:lastRow="0" w:firstColumn="1" w:lastColumn="0" w:noHBand="0" w:noVBand="1"/>
        <w:tblDescription w:val="Table 2. Submitted pharmacodynamic studies."/>
      </w:tblPr>
      <w:tblGrid>
        <w:gridCol w:w="2694"/>
        <w:gridCol w:w="2691"/>
        <w:gridCol w:w="2125"/>
      </w:tblGrid>
      <w:tr w:rsidR="00CD013E" w:rsidTr="005801E5">
        <w:trPr>
          <w:cnfStyle w:val="100000000000" w:firstRow="1" w:lastRow="0" w:firstColumn="0" w:lastColumn="0" w:oddVBand="0" w:evenVBand="0" w:oddHBand="0" w:evenHBand="0" w:firstRowFirstColumn="0" w:firstRowLastColumn="0" w:lastRowFirstColumn="0" w:lastRowLastColumn="0"/>
        </w:trPr>
        <w:tc>
          <w:tcPr>
            <w:tcW w:w="2694" w:type="dxa"/>
            <w:hideMark/>
          </w:tcPr>
          <w:p w:rsidR="00CD013E" w:rsidRPr="00CD013E" w:rsidRDefault="00CD013E" w:rsidP="005801E5">
            <w:r w:rsidRPr="00CD013E">
              <w:t>PD Topic</w:t>
            </w:r>
          </w:p>
        </w:tc>
        <w:tc>
          <w:tcPr>
            <w:tcW w:w="2691" w:type="dxa"/>
            <w:hideMark/>
          </w:tcPr>
          <w:p w:rsidR="00CD013E" w:rsidRPr="00CD013E" w:rsidRDefault="00CD013E" w:rsidP="005801E5">
            <w:r w:rsidRPr="00CD013E">
              <w:t>Subtopic</w:t>
            </w:r>
          </w:p>
        </w:tc>
        <w:tc>
          <w:tcPr>
            <w:tcW w:w="2125" w:type="dxa"/>
            <w:hideMark/>
          </w:tcPr>
          <w:p w:rsidR="00CD013E" w:rsidRPr="00CD013E" w:rsidRDefault="00CD013E" w:rsidP="005801E5">
            <w:r w:rsidRPr="00CD013E">
              <w:t>Study ID</w:t>
            </w:r>
          </w:p>
        </w:tc>
      </w:tr>
      <w:tr w:rsidR="00CD013E" w:rsidTr="005801E5">
        <w:tc>
          <w:tcPr>
            <w:tcW w:w="2694" w:type="dxa"/>
            <w:hideMark/>
          </w:tcPr>
          <w:p w:rsidR="00CD013E" w:rsidRPr="00CD013E" w:rsidRDefault="00CD013E" w:rsidP="005801E5">
            <w:r w:rsidRPr="00CD013E">
              <w:t>Primary Pharmacology</w:t>
            </w:r>
          </w:p>
        </w:tc>
        <w:tc>
          <w:tcPr>
            <w:tcW w:w="2691" w:type="dxa"/>
            <w:hideMark/>
          </w:tcPr>
          <w:p w:rsidR="00CD013E" w:rsidRPr="00CD013E" w:rsidRDefault="00CD013E" w:rsidP="005801E5">
            <w:r w:rsidRPr="00CD013E">
              <w:t>Effect on IOP</w:t>
            </w:r>
          </w:p>
        </w:tc>
        <w:tc>
          <w:tcPr>
            <w:tcW w:w="2125" w:type="dxa"/>
            <w:hideMark/>
          </w:tcPr>
          <w:p w:rsidR="00CD013E" w:rsidRPr="00CD013E" w:rsidRDefault="00CD013E" w:rsidP="005801E5">
            <w:r w:rsidRPr="00CD013E">
              <w:t>Study 201150</w:t>
            </w:r>
          </w:p>
        </w:tc>
      </w:tr>
    </w:tbl>
    <w:p w:rsidR="0078024B" w:rsidRDefault="0078024B" w:rsidP="00CD013E">
      <w:r>
        <w:t xml:space="preserve">None of the </w:t>
      </w:r>
      <w:proofErr w:type="spellStart"/>
      <w:r>
        <w:t>pharmacodynamic</w:t>
      </w:r>
      <w:proofErr w:type="spellEnd"/>
      <w:r>
        <w:t xml:space="preserve"> studies had deficiencies that excluded their results from consideration.</w:t>
      </w:r>
    </w:p>
    <w:p w:rsidR="00605AD4" w:rsidRDefault="00605AD4" w:rsidP="00CD013E">
      <w:pPr>
        <w:pStyle w:val="Heading4"/>
      </w:pPr>
      <w:r>
        <w:t xml:space="preserve">Evaluator’s </w:t>
      </w:r>
      <w:r w:rsidRPr="00CD013E">
        <w:t>conclusions</w:t>
      </w:r>
      <w:r>
        <w:t xml:space="preserve"> on pharmacodynamics</w:t>
      </w:r>
    </w:p>
    <w:p w:rsidR="0078024B" w:rsidRDefault="0078024B" w:rsidP="00CD013E">
      <w:pPr>
        <w:rPr>
          <w:szCs w:val="24"/>
        </w:rPr>
      </w:pPr>
      <w:proofErr w:type="spellStart"/>
      <w:r>
        <w:t>Tafluprost</w:t>
      </w:r>
      <w:proofErr w:type="spellEnd"/>
      <w:r>
        <w:t xml:space="preserve"> and </w:t>
      </w:r>
      <w:proofErr w:type="spellStart"/>
      <w:r>
        <w:t>timolol</w:t>
      </w:r>
      <w:proofErr w:type="spellEnd"/>
      <w:r>
        <w:t xml:space="preserve"> in combination have an additive </w:t>
      </w:r>
      <w:proofErr w:type="spellStart"/>
      <w:r>
        <w:t>pharmacodynamic</w:t>
      </w:r>
      <w:proofErr w:type="spellEnd"/>
      <w:r>
        <w:t xml:space="preserve"> effect.</w:t>
      </w:r>
    </w:p>
    <w:p w:rsidR="008E7846" w:rsidRPr="00CD013E" w:rsidRDefault="00605AD4" w:rsidP="00CD013E">
      <w:pPr>
        <w:pStyle w:val="Heading3"/>
      </w:pPr>
      <w:bookmarkStart w:id="83" w:name="_Toc427232216"/>
      <w:r>
        <w:t>Dosage selection for the pivotal studies</w:t>
      </w:r>
      <w:bookmarkEnd w:id="83"/>
    </w:p>
    <w:p w:rsidR="0078024B" w:rsidRDefault="00CD013E" w:rsidP="0078024B">
      <w:pPr>
        <w:rPr>
          <w:rFonts w:ascii="Times New Roman" w:hAnsi="Times New Roman"/>
          <w:sz w:val="24"/>
        </w:rPr>
      </w:pPr>
      <w:r>
        <w:t>The doses used in the p</w:t>
      </w:r>
      <w:r w:rsidR="0078024B" w:rsidRPr="00CD013E">
        <w:t xml:space="preserve">ivotal studies were selected on the basis of the approved dosing for </w:t>
      </w:r>
      <w:proofErr w:type="spellStart"/>
      <w:r w:rsidR="0078024B" w:rsidRPr="00CD013E">
        <w:t>tafluprost</w:t>
      </w:r>
      <w:proofErr w:type="spellEnd"/>
      <w:r w:rsidR="0078024B" w:rsidRPr="00CD013E">
        <w:t xml:space="preserve"> and </w:t>
      </w:r>
      <w:proofErr w:type="spellStart"/>
      <w:r w:rsidR="0078024B" w:rsidRPr="00CD013E">
        <w:t>timolol</w:t>
      </w:r>
      <w:proofErr w:type="spellEnd"/>
      <w:r w:rsidR="0078024B" w:rsidRPr="00CD013E">
        <w:t xml:space="preserve"> as individual treatments</w:t>
      </w:r>
      <w:r w:rsidR="0078024B">
        <w:rPr>
          <w:rFonts w:ascii="Times New Roman" w:hAnsi="Times New Roman"/>
          <w:sz w:val="24"/>
        </w:rPr>
        <w:t>.</w:t>
      </w:r>
    </w:p>
    <w:p w:rsidR="008E7846" w:rsidRPr="00254787" w:rsidRDefault="008E7846" w:rsidP="008E7846">
      <w:pPr>
        <w:pStyle w:val="Heading3"/>
      </w:pPr>
      <w:bookmarkStart w:id="84" w:name="_Toc163441372"/>
      <w:bookmarkStart w:id="85" w:name="_Toc196046485"/>
      <w:bookmarkStart w:id="86" w:name="_Toc247691521"/>
      <w:bookmarkStart w:id="87" w:name="_Toc314842504"/>
      <w:bookmarkStart w:id="88" w:name="_Toc427232217"/>
      <w:r w:rsidRPr="00254787">
        <w:t>Efficacy</w:t>
      </w:r>
      <w:bookmarkEnd w:id="84"/>
      <w:bookmarkEnd w:id="85"/>
      <w:bookmarkEnd w:id="86"/>
      <w:bookmarkEnd w:id="87"/>
      <w:bookmarkEnd w:id="88"/>
    </w:p>
    <w:p w:rsidR="00605AD4" w:rsidRDefault="00605AD4" w:rsidP="00CD013E">
      <w:pPr>
        <w:pStyle w:val="Heading4"/>
      </w:pPr>
      <w:bookmarkStart w:id="89" w:name="_Toc184439992"/>
      <w:bookmarkStart w:id="90" w:name="_Toc184440279"/>
      <w:bookmarkStart w:id="91" w:name="_Toc184444657"/>
      <w:bookmarkStart w:id="92" w:name="_Toc196046487"/>
      <w:r>
        <w:t xml:space="preserve">Studies providing efficacy </w:t>
      </w:r>
      <w:r w:rsidRPr="00CD013E">
        <w:t>data</w:t>
      </w:r>
    </w:p>
    <w:p w:rsidR="0078024B" w:rsidRPr="00CD013E" w:rsidRDefault="00CD013E" w:rsidP="00CD013E">
      <w:r w:rsidRPr="00CD013E">
        <w:t>Two pivotal efficacy/safety studies were submitted and evaluated. Four supportive studies were also included.</w:t>
      </w:r>
    </w:p>
    <w:p w:rsidR="0078024B" w:rsidRPr="00F65D5B" w:rsidRDefault="00605AD4" w:rsidP="00F65D5B">
      <w:pPr>
        <w:pStyle w:val="Heading4"/>
      </w:pPr>
      <w:r w:rsidRPr="00F65D5B">
        <w:t>Evaluator’s conclusions on efficacy</w:t>
      </w:r>
      <w:bookmarkStart w:id="93" w:name="_Toc384234561"/>
      <w:bookmarkStart w:id="94" w:name="_Toc290846282"/>
      <w:bookmarkStart w:id="95" w:name="_Toc272414657"/>
      <w:bookmarkStart w:id="96" w:name="_Ref271126605"/>
      <w:r w:rsidR="0078024B" w:rsidRPr="00F65D5B">
        <w:t xml:space="preserve"> for reduction of IOP</w:t>
      </w:r>
      <w:bookmarkEnd w:id="93"/>
      <w:bookmarkEnd w:id="94"/>
      <w:bookmarkEnd w:id="95"/>
      <w:bookmarkEnd w:id="96"/>
    </w:p>
    <w:p w:rsidR="0078024B" w:rsidRDefault="00AF5D28" w:rsidP="00CD013E">
      <w:pPr>
        <w:rPr>
          <w:lang w:val="en-US"/>
        </w:rPr>
      </w:pPr>
      <w:proofErr w:type="spellStart"/>
      <w:r>
        <w:rPr>
          <w:lang w:val="en-US"/>
        </w:rPr>
        <w:t>Taptiqom</w:t>
      </w:r>
      <w:proofErr w:type="spellEnd"/>
      <w:r w:rsidR="00CD013E">
        <w:rPr>
          <w:lang w:val="en-US"/>
        </w:rPr>
        <w:t xml:space="preserve"> </w:t>
      </w:r>
      <w:r w:rsidR="0078024B">
        <w:rPr>
          <w:lang w:val="en-US"/>
        </w:rPr>
        <w:t>(</w:t>
      </w:r>
      <w:proofErr w:type="spellStart"/>
      <w:r w:rsidR="0078024B">
        <w:rPr>
          <w:bCs/>
          <w:lang w:val="en-US"/>
        </w:rPr>
        <w:t>tafluprost</w:t>
      </w:r>
      <w:proofErr w:type="spellEnd"/>
      <w:r w:rsidR="0078024B">
        <w:rPr>
          <w:bCs/>
          <w:lang w:val="en-US"/>
        </w:rPr>
        <w:t xml:space="preserve"> 15 micrograms/mL and </w:t>
      </w:r>
      <w:proofErr w:type="spellStart"/>
      <w:r w:rsidR="0078024B">
        <w:rPr>
          <w:bCs/>
          <w:lang w:val="en-US"/>
        </w:rPr>
        <w:t>timolol</w:t>
      </w:r>
      <w:proofErr w:type="spellEnd"/>
      <w:r w:rsidR="0078024B">
        <w:rPr>
          <w:bCs/>
          <w:lang w:val="en-US"/>
        </w:rPr>
        <w:t xml:space="preserve"> [as maleate] 5 mg/mL)</w:t>
      </w:r>
      <w:r w:rsidR="0078024B">
        <w:t xml:space="preserve"> was superior to either active component administered as monotherapy and non-inferior to both active components administered concomitantly.</w:t>
      </w:r>
      <w:r w:rsidR="00516F60">
        <w:t xml:space="preserve"> </w:t>
      </w:r>
      <w:r w:rsidR="0078024B">
        <w:t xml:space="preserve">In comparison with </w:t>
      </w:r>
      <w:proofErr w:type="spellStart"/>
      <w:r w:rsidR="0078024B">
        <w:t>timolol</w:t>
      </w:r>
      <w:proofErr w:type="spellEnd"/>
      <w:r w:rsidR="0078024B">
        <w:t xml:space="preserve"> as monotherapy </w:t>
      </w:r>
      <w:r w:rsidR="00B7229C">
        <w:t xml:space="preserve">(TM) </w:t>
      </w:r>
      <w:r w:rsidR="0078024B">
        <w:t xml:space="preserve">the mean difference (95% </w:t>
      </w:r>
      <w:r w:rsidR="00CD013E">
        <w:t xml:space="preserve">Confidence </w:t>
      </w:r>
      <w:r w:rsidR="00CD013E" w:rsidRPr="00B7229C">
        <w:t>Interval (</w:t>
      </w:r>
      <w:r w:rsidR="0078024B" w:rsidRPr="00B7229C">
        <w:t>CI</w:t>
      </w:r>
      <w:r w:rsidR="00CD013E" w:rsidRPr="00B7229C">
        <w:t>)</w:t>
      </w:r>
      <w:r w:rsidR="0078024B" w:rsidRPr="00B7229C">
        <w:t>), FDC - TM, in change from baseline in average diurnal IOP at 3 months was -0.885 (-1.745 to -0.044</w:t>
      </w:r>
      <w:r w:rsidR="0078024B">
        <w:t>), p = 0.044.</w:t>
      </w:r>
      <w:r w:rsidR="00516F60">
        <w:t xml:space="preserve"> </w:t>
      </w:r>
      <w:r w:rsidR="0078024B">
        <w:t xml:space="preserve">In comparison with </w:t>
      </w:r>
      <w:proofErr w:type="spellStart"/>
      <w:r w:rsidR="0078024B">
        <w:t>tafluprost</w:t>
      </w:r>
      <w:proofErr w:type="spellEnd"/>
      <w:r w:rsidR="0078024B">
        <w:t xml:space="preserve"> as monotherapy </w:t>
      </w:r>
      <w:r w:rsidR="00B7229C">
        <w:t xml:space="preserve">(TM) </w:t>
      </w:r>
      <w:r w:rsidR="0078024B">
        <w:t>the mean difference (95% CI), FDC - TM, in change from baseline in average diurnal IOP at 3 months was -1.516 (-2.044 to -0.988), p &lt;0.001.</w:t>
      </w:r>
      <w:r w:rsidR="00516F60">
        <w:t xml:space="preserve"> </w:t>
      </w:r>
      <w:r w:rsidR="0078024B">
        <w:t xml:space="preserve">In comparison with </w:t>
      </w:r>
      <w:proofErr w:type="spellStart"/>
      <w:r w:rsidR="0078024B">
        <w:t>timolol</w:t>
      </w:r>
      <w:proofErr w:type="spellEnd"/>
      <w:r w:rsidR="0078024B">
        <w:t xml:space="preserve"> and </w:t>
      </w:r>
      <w:proofErr w:type="spellStart"/>
      <w:r w:rsidR="0078024B">
        <w:t>tafluprost</w:t>
      </w:r>
      <w:proofErr w:type="spellEnd"/>
      <w:r w:rsidR="0078024B">
        <w:t xml:space="preserve"> administered concomitantly the treatment difference in IOP at Month 6 was </w:t>
      </w:r>
      <w:r w:rsidR="0078024B">
        <w:rPr>
          <w:lang w:val="en-US"/>
        </w:rPr>
        <w:t>0.308 (-0.194 to 0.810) mmHg.</w:t>
      </w:r>
    </w:p>
    <w:p w:rsidR="0078024B" w:rsidRDefault="0078024B" w:rsidP="00CD013E">
      <w:pPr>
        <w:rPr>
          <w:lang w:val="en-US"/>
        </w:rPr>
      </w:pPr>
      <w:r>
        <w:rPr>
          <w:lang w:val="en-US"/>
        </w:rPr>
        <w:t>The secondary efficacy outcome measures supported the primary efficacy outcome measures.</w:t>
      </w:r>
      <w:r w:rsidR="00516F60">
        <w:rPr>
          <w:lang w:val="en-US"/>
        </w:rPr>
        <w:t xml:space="preserve"> </w:t>
      </w:r>
      <w:r>
        <w:rPr>
          <w:lang w:val="en-US"/>
        </w:rPr>
        <w:t xml:space="preserve">The data from a similar product (preservative containing FDC </w:t>
      </w:r>
      <w:proofErr w:type="spellStart"/>
      <w:r>
        <w:rPr>
          <w:lang w:val="en-US"/>
        </w:rPr>
        <w:t>tafluprost</w:t>
      </w:r>
      <w:proofErr w:type="spellEnd"/>
      <w:r>
        <w:rPr>
          <w:lang w:val="en-US"/>
        </w:rPr>
        <w:t xml:space="preserve"> 0.0015% and </w:t>
      </w:r>
      <w:proofErr w:type="spellStart"/>
      <w:r>
        <w:rPr>
          <w:lang w:val="en-US"/>
        </w:rPr>
        <w:t>timolol</w:t>
      </w:r>
      <w:proofErr w:type="spellEnd"/>
      <w:r>
        <w:rPr>
          <w:lang w:val="en-US"/>
        </w:rPr>
        <w:t xml:space="preserve"> 0.5%) were also supportive of the pivotal studies.</w:t>
      </w:r>
    </w:p>
    <w:p w:rsidR="0078024B" w:rsidRPr="0078024B" w:rsidRDefault="0078024B" w:rsidP="00CD013E">
      <w:r>
        <w:rPr>
          <w:lang w:val="en-US"/>
        </w:rPr>
        <w:t>The criterion for non-inferiority was clinically significant and the statistical analysis was appropriate.</w:t>
      </w:r>
      <w:r w:rsidR="00516F60">
        <w:rPr>
          <w:lang w:val="en-US"/>
        </w:rPr>
        <w:t xml:space="preserve"> </w:t>
      </w:r>
      <w:r>
        <w:rPr>
          <w:lang w:val="en-US"/>
        </w:rPr>
        <w:t>The population included in the pivotal studies was similar to the patient population intended for marketing in Australia.</w:t>
      </w:r>
    </w:p>
    <w:p w:rsidR="008E7846" w:rsidRDefault="008E7846" w:rsidP="008E7846">
      <w:pPr>
        <w:pStyle w:val="Heading3"/>
      </w:pPr>
      <w:bookmarkStart w:id="97" w:name="_Toc163441378"/>
      <w:bookmarkStart w:id="98" w:name="_Toc196046495"/>
      <w:bookmarkStart w:id="99" w:name="_Toc247691522"/>
      <w:bookmarkStart w:id="100" w:name="_Toc314842505"/>
      <w:bookmarkStart w:id="101" w:name="_Toc427232218"/>
      <w:bookmarkEnd w:id="89"/>
      <w:bookmarkEnd w:id="90"/>
      <w:bookmarkEnd w:id="91"/>
      <w:bookmarkEnd w:id="92"/>
      <w:r w:rsidRPr="002E238E">
        <w:lastRenderedPageBreak/>
        <w:t>Safety</w:t>
      </w:r>
      <w:bookmarkEnd w:id="97"/>
      <w:bookmarkEnd w:id="98"/>
      <w:bookmarkEnd w:id="99"/>
      <w:bookmarkEnd w:id="100"/>
      <w:bookmarkEnd w:id="101"/>
    </w:p>
    <w:p w:rsidR="00605AD4" w:rsidRPr="00CD013E" w:rsidRDefault="00605AD4" w:rsidP="00CD013E">
      <w:pPr>
        <w:pStyle w:val="Heading4"/>
      </w:pPr>
      <w:bookmarkStart w:id="102" w:name="_Toc247691524"/>
      <w:bookmarkStart w:id="103" w:name="_Toc314842508"/>
      <w:bookmarkStart w:id="104" w:name="_Toc196046504"/>
      <w:bookmarkStart w:id="105" w:name="_Toc163441390"/>
      <w:r w:rsidRPr="00605AD4">
        <w:t>Studies providing safety data</w:t>
      </w:r>
    </w:p>
    <w:p w:rsidR="009B1884" w:rsidRDefault="009B1884" w:rsidP="009B1884">
      <w:pPr>
        <w:rPr>
          <w:szCs w:val="24"/>
        </w:rPr>
      </w:pPr>
      <w:bookmarkStart w:id="106" w:name="_Ref268776745"/>
      <w:r>
        <w:t>There were no pivotal studies that assessed safety as a primary outcome.</w:t>
      </w:r>
    </w:p>
    <w:p w:rsidR="0078024B" w:rsidRDefault="00CD013E" w:rsidP="009B1884">
      <w:pPr>
        <w:rPr>
          <w:szCs w:val="24"/>
        </w:rPr>
      </w:pPr>
      <w:r>
        <w:t>T</w:t>
      </w:r>
      <w:r w:rsidR="0078024B">
        <w:t>wo pivotal studies, one PK study and four supportive studies</w:t>
      </w:r>
      <w:r w:rsidR="009B1884">
        <w:t xml:space="preserve"> provided evaluable safety data</w:t>
      </w:r>
      <w:r w:rsidR="0078024B">
        <w:t>.</w:t>
      </w:r>
    </w:p>
    <w:bookmarkEnd w:id="106"/>
    <w:p w:rsidR="0078024B" w:rsidRDefault="0078024B" w:rsidP="009B1884">
      <w:r>
        <w:t>In the pivotal efficacy studies, the following safety data were collected:</w:t>
      </w:r>
    </w:p>
    <w:p w:rsidR="0078024B" w:rsidRDefault="009B1884" w:rsidP="009B1884">
      <w:pPr>
        <w:pStyle w:val="ListBullet"/>
      </w:pPr>
      <w:r>
        <w:t>Adverse events (</w:t>
      </w:r>
      <w:r w:rsidR="0078024B">
        <w:t>AEs</w:t>
      </w:r>
      <w:r>
        <w:t>)</w:t>
      </w:r>
    </w:p>
    <w:p w:rsidR="0078024B" w:rsidRDefault="0078024B" w:rsidP="009B1884">
      <w:pPr>
        <w:pStyle w:val="ListBullet"/>
      </w:pPr>
      <w:r>
        <w:t>Ocular safety measures and local tolerability</w:t>
      </w:r>
    </w:p>
    <w:p w:rsidR="0078024B" w:rsidRDefault="0078024B" w:rsidP="009B1884">
      <w:pPr>
        <w:pStyle w:val="ListBullet"/>
      </w:pPr>
      <w:r>
        <w:t>Laboratory tests</w:t>
      </w:r>
    </w:p>
    <w:p w:rsidR="0078024B" w:rsidRDefault="0078024B" w:rsidP="009B1884">
      <w:pPr>
        <w:pStyle w:val="ListBullet"/>
      </w:pPr>
      <w:r>
        <w:t>Vital signs</w:t>
      </w:r>
    </w:p>
    <w:p w:rsidR="00605AD4" w:rsidRDefault="00605AD4" w:rsidP="00605AD4">
      <w:pPr>
        <w:pStyle w:val="Heading4"/>
      </w:pPr>
      <w:r w:rsidRPr="00605AD4">
        <w:t>Patient exposure</w:t>
      </w:r>
    </w:p>
    <w:p w:rsidR="0078024B" w:rsidRDefault="00516F60" w:rsidP="009B1884">
      <w:pPr>
        <w:pStyle w:val="ListBullet"/>
        <w:rPr>
          <w:szCs w:val="24"/>
        </w:rPr>
      </w:pPr>
      <w:r>
        <w:t xml:space="preserve">In </w:t>
      </w:r>
      <w:r w:rsidR="0078024B">
        <w:t>Study 201150, there were 14 healthy volunteers treated with FDC once daily for 8 days.</w:t>
      </w:r>
    </w:p>
    <w:p w:rsidR="0078024B" w:rsidRDefault="0078024B" w:rsidP="009B1884">
      <w:pPr>
        <w:pStyle w:val="ListBullet"/>
      </w:pPr>
      <w:r>
        <w:t>In Study 01111002, 16 healthy Japanese male volunteers were exposed to DE-111 for one week.</w:t>
      </w:r>
    </w:p>
    <w:p w:rsidR="0078024B" w:rsidRDefault="0078024B" w:rsidP="009B1884">
      <w:pPr>
        <w:pStyle w:val="ListBullet"/>
      </w:pPr>
      <w:r>
        <w:t>In Study 201050, there were 283 subjects treated for up to 6 months with FDC.</w:t>
      </w:r>
    </w:p>
    <w:p w:rsidR="0078024B" w:rsidRDefault="0078024B" w:rsidP="009B1884">
      <w:pPr>
        <w:pStyle w:val="ListBullet"/>
      </w:pPr>
      <w:r>
        <w:t>In Study 201051, there were 201 subjects exposed to FDC for up to 6 months.</w:t>
      </w:r>
      <w:r w:rsidR="00516F60">
        <w:t xml:space="preserve"> </w:t>
      </w:r>
      <w:r>
        <w:t>There were 198 subjects treated in the left eye and 192 in the right eye.</w:t>
      </w:r>
    </w:p>
    <w:p w:rsidR="0078024B" w:rsidRDefault="0078024B" w:rsidP="009B1884">
      <w:pPr>
        <w:pStyle w:val="ListBullet"/>
      </w:pPr>
      <w:r>
        <w:t>In Study 01111004, there were 161 subjects exposed to DE-111 for up to 4 weeks.</w:t>
      </w:r>
    </w:p>
    <w:p w:rsidR="0078024B" w:rsidRDefault="0078024B" w:rsidP="009B1884">
      <w:pPr>
        <w:pStyle w:val="ListBullet"/>
      </w:pPr>
      <w:r>
        <w:t>In Study 01111005 (Module 5, Section 5.3.5.4), summarized in Table 1.2.3, there were 82 subjects treated with DE-111 for up to 4 weeks.</w:t>
      </w:r>
    </w:p>
    <w:p w:rsidR="0078024B" w:rsidRDefault="0078024B" w:rsidP="009B1884">
      <w:pPr>
        <w:pStyle w:val="ListBullet"/>
      </w:pPr>
      <w:r>
        <w:t>In Study 01111006, there were 136 subjects exposed to DE-111 for up to 52 weeks, with 115 exposed for &gt;180 days.</w:t>
      </w:r>
    </w:p>
    <w:p w:rsidR="00605AD4" w:rsidRDefault="00605AD4" w:rsidP="00605AD4">
      <w:pPr>
        <w:pStyle w:val="Heading4"/>
      </w:pPr>
      <w:proofErr w:type="spellStart"/>
      <w:r w:rsidRPr="00605AD4">
        <w:t>Postmarketing</w:t>
      </w:r>
      <w:proofErr w:type="spellEnd"/>
      <w:r w:rsidRPr="00605AD4">
        <w:t xml:space="preserve"> data</w:t>
      </w:r>
    </w:p>
    <w:p w:rsidR="0078024B" w:rsidRDefault="0078024B" w:rsidP="009B1884">
      <w:pPr>
        <w:rPr>
          <w:szCs w:val="24"/>
        </w:rPr>
      </w:pPr>
      <w:r>
        <w:t xml:space="preserve">No </w:t>
      </w:r>
      <w:proofErr w:type="spellStart"/>
      <w:r>
        <w:t>postmarketing</w:t>
      </w:r>
      <w:proofErr w:type="spellEnd"/>
      <w:r>
        <w:t xml:space="preserve"> data were included in the submission.</w:t>
      </w:r>
    </w:p>
    <w:p w:rsidR="00605AD4" w:rsidRDefault="00605AD4" w:rsidP="00605AD4">
      <w:pPr>
        <w:pStyle w:val="Heading4"/>
      </w:pPr>
      <w:r w:rsidRPr="00605AD4">
        <w:t>Evaluator’s conclusions on safety</w:t>
      </w:r>
    </w:p>
    <w:p w:rsidR="0078024B" w:rsidRDefault="0078024B" w:rsidP="009B1884">
      <w:pPr>
        <w:rPr>
          <w:szCs w:val="24"/>
        </w:rPr>
      </w:pPr>
      <w:r>
        <w:t>The safety profile of the FDC combination product is similar to that for the individual products administered concomitantly.</w:t>
      </w:r>
      <w:r w:rsidR="00516F60">
        <w:t xml:space="preserve"> </w:t>
      </w:r>
      <w:r>
        <w:t>The adverse event profile for the FDC reflects that of the individual components.</w:t>
      </w:r>
      <w:r w:rsidR="00516F60">
        <w:t xml:space="preserve"> </w:t>
      </w:r>
      <w:r>
        <w:t>The safety data did not identify any new safety issue as a result of concomitant administration.</w:t>
      </w:r>
    </w:p>
    <w:p w:rsidR="0078024B" w:rsidRDefault="0078024B" w:rsidP="009B1884">
      <w:r>
        <w:t xml:space="preserve">The majority of AEs were ophthalmic (ocular hyperaemia, eyelash lengthening, </w:t>
      </w:r>
      <w:proofErr w:type="gramStart"/>
      <w:r>
        <w:t>eyelid</w:t>
      </w:r>
      <w:proofErr w:type="gramEnd"/>
      <w:r>
        <w:t xml:space="preserve"> discolouration).</w:t>
      </w:r>
      <w:r w:rsidR="00516F60">
        <w:t xml:space="preserve"> </w:t>
      </w:r>
      <w:r>
        <w:t xml:space="preserve">There were few </w:t>
      </w:r>
      <w:r w:rsidR="009B1884">
        <w:t>serious AEs (</w:t>
      </w:r>
      <w:r>
        <w:t>SAEs</w:t>
      </w:r>
      <w:r w:rsidR="009B1884">
        <w:t>)</w:t>
      </w:r>
      <w:r>
        <w:t xml:space="preserve"> and no deaths during the development program.</w:t>
      </w:r>
    </w:p>
    <w:p w:rsidR="00605AD4" w:rsidRPr="00605AD4" w:rsidRDefault="00605AD4" w:rsidP="00605AD4">
      <w:pPr>
        <w:pStyle w:val="Heading3"/>
        <w:rPr>
          <w:rFonts w:eastAsia="Cambria"/>
        </w:rPr>
      </w:pPr>
      <w:bookmarkStart w:id="107" w:name="_Toc427232219"/>
      <w:r w:rsidRPr="00605AD4">
        <w:rPr>
          <w:rFonts w:eastAsia="Cambria"/>
        </w:rPr>
        <w:t xml:space="preserve">First </w:t>
      </w:r>
      <w:r w:rsidR="004F038A">
        <w:rPr>
          <w:rFonts w:eastAsia="Cambria"/>
        </w:rPr>
        <w:t>r</w:t>
      </w:r>
      <w:r w:rsidRPr="00605AD4">
        <w:rPr>
          <w:rFonts w:eastAsia="Cambria"/>
        </w:rPr>
        <w:t xml:space="preserve">ound </w:t>
      </w:r>
      <w:r w:rsidR="004F038A">
        <w:rPr>
          <w:rFonts w:eastAsia="Cambria"/>
        </w:rPr>
        <w:t>b</w:t>
      </w:r>
      <w:r w:rsidRPr="00605AD4">
        <w:rPr>
          <w:rFonts w:eastAsia="Cambria"/>
        </w:rPr>
        <w:t>enefit-</w:t>
      </w:r>
      <w:r w:rsidR="004F038A">
        <w:rPr>
          <w:rFonts w:eastAsia="Cambria"/>
        </w:rPr>
        <w:t>r</w:t>
      </w:r>
      <w:r w:rsidRPr="00605AD4">
        <w:rPr>
          <w:rFonts w:eastAsia="Cambria"/>
        </w:rPr>
        <w:t xml:space="preserve">isk </w:t>
      </w:r>
      <w:r w:rsidR="004F038A">
        <w:rPr>
          <w:rFonts w:eastAsia="Cambria"/>
        </w:rPr>
        <w:t>a</w:t>
      </w:r>
      <w:r w:rsidRPr="00605AD4">
        <w:rPr>
          <w:rFonts w:eastAsia="Cambria"/>
        </w:rPr>
        <w:t>ssessment</w:t>
      </w:r>
      <w:bookmarkEnd w:id="107"/>
    </w:p>
    <w:p w:rsidR="00605AD4" w:rsidRDefault="00605AD4" w:rsidP="009B1884">
      <w:pPr>
        <w:pStyle w:val="Heading4"/>
      </w:pPr>
      <w:r w:rsidRPr="00605AD4">
        <w:t xml:space="preserve">First </w:t>
      </w:r>
      <w:r w:rsidRPr="009B1884">
        <w:t>round</w:t>
      </w:r>
      <w:r w:rsidRPr="00605AD4">
        <w:t xml:space="preserve"> assessment of benefits</w:t>
      </w:r>
    </w:p>
    <w:p w:rsidR="0078024B" w:rsidRDefault="00AF5D28" w:rsidP="009B1884">
      <w:pPr>
        <w:rPr>
          <w:szCs w:val="24"/>
          <w:lang w:val="en-US"/>
        </w:rPr>
      </w:pPr>
      <w:proofErr w:type="spellStart"/>
      <w:r>
        <w:rPr>
          <w:lang w:val="en-US"/>
        </w:rPr>
        <w:t>Taptiqom</w:t>
      </w:r>
      <w:proofErr w:type="spellEnd"/>
      <w:r w:rsidR="009B1884">
        <w:rPr>
          <w:lang w:val="en-US"/>
        </w:rPr>
        <w:t xml:space="preserve"> </w:t>
      </w:r>
      <w:r w:rsidR="0078024B">
        <w:rPr>
          <w:lang w:val="en-US"/>
        </w:rPr>
        <w:t>(</w:t>
      </w:r>
      <w:proofErr w:type="spellStart"/>
      <w:r w:rsidR="0078024B">
        <w:rPr>
          <w:bCs/>
          <w:lang w:val="en-US"/>
        </w:rPr>
        <w:t>tafluprost</w:t>
      </w:r>
      <w:proofErr w:type="spellEnd"/>
      <w:r w:rsidR="0078024B">
        <w:rPr>
          <w:bCs/>
          <w:lang w:val="en-US"/>
        </w:rPr>
        <w:t xml:space="preserve"> 15 micrograms/mL and </w:t>
      </w:r>
      <w:proofErr w:type="spellStart"/>
      <w:r w:rsidR="0078024B">
        <w:rPr>
          <w:bCs/>
          <w:lang w:val="en-US"/>
        </w:rPr>
        <w:t>timolol</w:t>
      </w:r>
      <w:proofErr w:type="spellEnd"/>
      <w:r w:rsidR="0078024B">
        <w:rPr>
          <w:bCs/>
          <w:lang w:val="en-US"/>
        </w:rPr>
        <w:t xml:space="preserve"> [as maleate] 5 mg/mL)</w:t>
      </w:r>
      <w:r w:rsidR="0078024B">
        <w:t xml:space="preserve"> was superior to either active component administered as monotherapy, and non-inferior to both active </w:t>
      </w:r>
      <w:r w:rsidR="0078024B">
        <w:lastRenderedPageBreak/>
        <w:t>components administered concomitantly.</w:t>
      </w:r>
      <w:r w:rsidR="00516F60">
        <w:t xml:space="preserve"> </w:t>
      </w:r>
      <w:r w:rsidR="0078024B">
        <w:t xml:space="preserve">In comparison with </w:t>
      </w:r>
      <w:proofErr w:type="spellStart"/>
      <w:r w:rsidR="0078024B">
        <w:t>timolol</w:t>
      </w:r>
      <w:proofErr w:type="spellEnd"/>
      <w:r w:rsidR="0078024B">
        <w:t xml:space="preserve"> as monotherapy the mean difference (95% CI), FDC - TM, in change from baseline in average diurnal IOP at 3 months was -0.885 (-1.745 to -0.044), p = 0.044.</w:t>
      </w:r>
      <w:r w:rsidR="00516F60">
        <w:t xml:space="preserve"> </w:t>
      </w:r>
      <w:r w:rsidR="0078024B">
        <w:t xml:space="preserve">In comparison with </w:t>
      </w:r>
      <w:proofErr w:type="spellStart"/>
      <w:r w:rsidR="0078024B">
        <w:t>tafluprost</w:t>
      </w:r>
      <w:proofErr w:type="spellEnd"/>
      <w:r w:rsidR="0078024B">
        <w:t xml:space="preserve"> as monotherapy the mean difference (95% CI), FDC - TM, in change from baseline in average diurnal IOP at 3 months was -1.516 (-2.044 to -0.988), p &lt;0.001.</w:t>
      </w:r>
      <w:r w:rsidR="00516F60">
        <w:t xml:space="preserve"> </w:t>
      </w:r>
      <w:r w:rsidR="0078024B">
        <w:t xml:space="preserve">In comparison with </w:t>
      </w:r>
      <w:proofErr w:type="spellStart"/>
      <w:r w:rsidR="0078024B">
        <w:t>timolol</w:t>
      </w:r>
      <w:proofErr w:type="spellEnd"/>
      <w:r w:rsidR="0078024B">
        <w:t xml:space="preserve"> and </w:t>
      </w:r>
      <w:proofErr w:type="spellStart"/>
      <w:r w:rsidR="0078024B">
        <w:t>tafluprost</w:t>
      </w:r>
      <w:proofErr w:type="spellEnd"/>
      <w:r w:rsidR="0078024B">
        <w:t xml:space="preserve"> administered concomitantly the treatment difference in IOP at Month 6 was </w:t>
      </w:r>
      <w:r w:rsidR="0078024B">
        <w:rPr>
          <w:lang w:val="en-US"/>
        </w:rPr>
        <w:t>0.308 (-0.194 to 0.810) mmHg.</w:t>
      </w:r>
    </w:p>
    <w:p w:rsidR="0078024B" w:rsidRDefault="0078024B" w:rsidP="009B1884">
      <w:pPr>
        <w:rPr>
          <w:lang w:val="en-US"/>
        </w:rPr>
      </w:pPr>
      <w:r>
        <w:rPr>
          <w:lang w:val="en-US"/>
        </w:rPr>
        <w:t>The secondary efficacy outcome measures supported the primary efficacy outcome measures.</w:t>
      </w:r>
      <w:r w:rsidR="00516F60">
        <w:rPr>
          <w:lang w:val="en-US"/>
        </w:rPr>
        <w:t xml:space="preserve"> </w:t>
      </w:r>
      <w:r>
        <w:rPr>
          <w:lang w:val="en-US"/>
        </w:rPr>
        <w:t xml:space="preserve">The data from a similar product, preservative containing FDC </w:t>
      </w:r>
      <w:proofErr w:type="spellStart"/>
      <w:r>
        <w:rPr>
          <w:lang w:val="en-US"/>
        </w:rPr>
        <w:t>tafluprost</w:t>
      </w:r>
      <w:proofErr w:type="spellEnd"/>
      <w:r>
        <w:rPr>
          <w:lang w:val="en-US"/>
        </w:rPr>
        <w:t xml:space="preserve"> 0.0015% and </w:t>
      </w:r>
      <w:proofErr w:type="spellStart"/>
      <w:r>
        <w:rPr>
          <w:lang w:val="en-US"/>
        </w:rPr>
        <w:t>timolol</w:t>
      </w:r>
      <w:proofErr w:type="spellEnd"/>
      <w:r>
        <w:rPr>
          <w:lang w:val="en-US"/>
        </w:rPr>
        <w:t xml:space="preserve"> 0.5%, were also supportive of the pivotal studies.</w:t>
      </w:r>
    </w:p>
    <w:p w:rsidR="0078024B" w:rsidRDefault="0078024B" w:rsidP="009B1884">
      <w:pPr>
        <w:rPr>
          <w:lang w:val="en-US"/>
        </w:rPr>
      </w:pPr>
      <w:r>
        <w:rPr>
          <w:lang w:val="en-US"/>
        </w:rPr>
        <w:t>The criterion for non-inferiority was clinically significant and the statistical analysis was appropriate.</w:t>
      </w:r>
      <w:r w:rsidR="00516F60">
        <w:rPr>
          <w:lang w:val="en-US"/>
        </w:rPr>
        <w:t xml:space="preserve"> </w:t>
      </w:r>
      <w:r>
        <w:rPr>
          <w:lang w:val="en-US"/>
        </w:rPr>
        <w:t>The population included in the pivotal studies was similar to the patient population intended for marketing in Australia.</w:t>
      </w:r>
    </w:p>
    <w:p w:rsidR="0078024B" w:rsidRDefault="0078024B" w:rsidP="0078024B">
      <w:pPr>
        <w:pStyle w:val="Heading4"/>
        <w:rPr>
          <w:sz w:val="24"/>
        </w:rPr>
      </w:pPr>
      <w:bookmarkStart w:id="108" w:name="_Toc384234589"/>
      <w:bookmarkStart w:id="109" w:name="_Toc290846332"/>
      <w:bookmarkStart w:id="110" w:name="_Toc272414694"/>
      <w:bookmarkStart w:id="111" w:name="_Ref272160964"/>
      <w:bookmarkStart w:id="112" w:name="_Toc241374334"/>
      <w:bookmarkStart w:id="113" w:name="_Toc236802596"/>
      <w:r>
        <w:t>First round assessment of risks</w:t>
      </w:r>
      <w:bookmarkEnd w:id="108"/>
      <w:bookmarkEnd w:id="109"/>
      <w:bookmarkEnd w:id="110"/>
      <w:bookmarkEnd w:id="111"/>
      <w:bookmarkEnd w:id="112"/>
      <w:bookmarkEnd w:id="113"/>
    </w:p>
    <w:p w:rsidR="0078024B" w:rsidRDefault="0078024B" w:rsidP="009B1884">
      <w:pPr>
        <w:rPr>
          <w:szCs w:val="24"/>
        </w:rPr>
      </w:pPr>
      <w:r>
        <w:t>The safety profile of the FDC combination product is similar to that for the individual products administered concomitantly.</w:t>
      </w:r>
      <w:r w:rsidR="00516F60">
        <w:t xml:space="preserve"> </w:t>
      </w:r>
      <w:r>
        <w:t>The adverse event profile for the FDC reflects that of the individual components.</w:t>
      </w:r>
      <w:r w:rsidR="00516F60">
        <w:t xml:space="preserve"> </w:t>
      </w:r>
      <w:r>
        <w:t>The safety data did not identify any new safety issue as a result of concomitant administration.</w:t>
      </w:r>
    </w:p>
    <w:p w:rsidR="0078024B" w:rsidRDefault="0078024B" w:rsidP="009B1884">
      <w:r>
        <w:t>The majority of AEs were ophthalmic (ocular hyperaemia, eyelash lengthening</w:t>
      </w:r>
      <w:r w:rsidR="009B1884">
        <w:t xml:space="preserve"> and</w:t>
      </w:r>
      <w:r>
        <w:t xml:space="preserve"> eyelid discolouration).</w:t>
      </w:r>
      <w:r w:rsidR="00516F60">
        <w:t xml:space="preserve"> </w:t>
      </w:r>
      <w:r>
        <w:t>There were few SAEs and no deaths during the development program.</w:t>
      </w:r>
    </w:p>
    <w:p w:rsidR="0078024B" w:rsidRDefault="0078024B" w:rsidP="009B1884">
      <w:pPr>
        <w:pStyle w:val="Heading4"/>
      </w:pPr>
      <w:bookmarkStart w:id="114" w:name="_Toc384234590"/>
      <w:bookmarkStart w:id="115" w:name="_Toc290846333"/>
      <w:bookmarkStart w:id="116" w:name="_Toc272414695"/>
      <w:bookmarkStart w:id="117" w:name="_Toc241374335"/>
      <w:bookmarkStart w:id="118" w:name="_Toc236802597"/>
      <w:r>
        <w:t>First round assessment of benefit-risk balance</w:t>
      </w:r>
      <w:bookmarkEnd w:id="114"/>
      <w:bookmarkEnd w:id="115"/>
      <w:bookmarkEnd w:id="116"/>
      <w:bookmarkEnd w:id="117"/>
      <w:bookmarkEnd w:id="118"/>
    </w:p>
    <w:p w:rsidR="0078024B" w:rsidRPr="0078024B" w:rsidRDefault="0078024B" w:rsidP="009B1884">
      <w:r>
        <w:t xml:space="preserve">The benefit-risk balance of </w:t>
      </w:r>
      <w:proofErr w:type="spellStart"/>
      <w:r w:rsidR="00AF5D28">
        <w:rPr>
          <w:lang w:val="en-US"/>
        </w:rPr>
        <w:t>Taptiqom</w:t>
      </w:r>
      <w:proofErr w:type="spellEnd"/>
      <w:r w:rsidR="009B1884">
        <w:rPr>
          <w:lang w:val="en-US"/>
        </w:rPr>
        <w:t xml:space="preserve"> </w:t>
      </w:r>
      <w:r>
        <w:rPr>
          <w:lang w:val="en-US"/>
        </w:rPr>
        <w:t>(</w:t>
      </w:r>
      <w:proofErr w:type="spellStart"/>
      <w:r>
        <w:rPr>
          <w:bCs/>
          <w:lang w:val="en-US"/>
        </w:rPr>
        <w:t>tafluprost</w:t>
      </w:r>
      <w:proofErr w:type="spellEnd"/>
      <w:r>
        <w:rPr>
          <w:bCs/>
          <w:lang w:val="en-US"/>
        </w:rPr>
        <w:t xml:space="preserve"> 15 micrograms/mL and </w:t>
      </w:r>
      <w:proofErr w:type="spellStart"/>
      <w:r>
        <w:rPr>
          <w:bCs/>
          <w:lang w:val="en-US"/>
        </w:rPr>
        <w:t>timolol</w:t>
      </w:r>
      <w:proofErr w:type="spellEnd"/>
      <w:r>
        <w:rPr>
          <w:bCs/>
          <w:lang w:val="en-US"/>
        </w:rPr>
        <w:t xml:space="preserve"> [as maleate] 5 mg/mL),</w:t>
      </w:r>
      <w:r>
        <w:t xml:space="preserve"> given the proposed usage, is favourable.</w:t>
      </w:r>
    </w:p>
    <w:p w:rsidR="00605AD4" w:rsidRPr="00605AD4" w:rsidRDefault="00605AD4" w:rsidP="00605AD4">
      <w:pPr>
        <w:pStyle w:val="Heading3"/>
        <w:rPr>
          <w:rFonts w:eastAsia="Cambria"/>
        </w:rPr>
      </w:pPr>
      <w:bookmarkStart w:id="119" w:name="_Toc427232220"/>
      <w:r w:rsidRPr="00605AD4">
        <w:rPr>
          <w:rFonts w:eastAsia="Cambria"/>
        </w:rPr>
        <w:t xml:space="preserve">First </w:t>
      </w:r>
      <w:r w:rsidR="004F038A">
        <w:rPr>
          <w:rFonts w:eastAsia="Cambria"/>
        </w:rPr>
        <w:t>r</w:t>
      </w:r>
      <w:r w:rsidRPr="00605AD4">
        <w:rPr>
          <w:rFonts w:eastAsia="Cambria"/>
        </w:rPr>
        <w:t xml:space="preserve">ound </w:t>
      </w:r>
      <w:r w:rsidR="004F038A">
        <w:rPr>
          <w:rFonts w:eastAsia="Cambria"/>
        </w:rPr>
        <w:t>r</w:t>
      </w:r>
      <w:r w:rsidRPr="00605AD4">
        <w:rPr>
          <w:rFonts w:eastAsia="Cambria"/>
        </w:rPr>
        <w:t xml:space="preserve">ecommendation </w:t>
      </w:r>
      <w:r w:rsidR="004F038A">
        <w:rPr>
          <w:rFonts w:eastAsia="Cambria"/>
        </w:rPr>
        <w:t>r</w:t>
      </w:r>
      <w:r w:rsidRPr="00605AD4">
        <w:rPr>
          <w:rFonts w:eastAsia="Cambria"/>
        </w:rPr>
        <w:t xml:space="preserve">egarding </w:t>
      </w:r>
      <w:r w:rsidR="004F038A">
        <w:rPr>
          <w:rFonts w:eastAsia="Cambria"/>
        </w:rPr>
        <w:t>a</w:t>
      </w:r>
      <w:r w:rsidRPr="00605AD4">
        <w:rPr>
          <w:rFonts w:eastAsia="Cambria"/>
        </w:rPr>
        <w:t>uthorisation</w:t>
      </w:r>
      <w:bookmarkEnd w:id="119"/>
    </w:p>
    <w:p w:rsidR="0078024B" w:rsidRDefault="0078024B" w:rsidP="009B1884">
      <w:pPr>
        <w:rPr>
          <w:lang w:val="en-US"/>
        </w:rPr>
      </w:pPr>
      <w:r>
        <w:rPr>
          <w:lang w:val="en-US"/>
        </w:rPr>
        <w:t xml:space="preserve">The </w:t>
      </w:r>
      <w:r w:rsidR="009B1884">
        <w:rPr>
          <w:lang w:val="en-US"/>
        </w:rPr>
        <w:t>clinical e</w:t>
      </w:r>
      <w:r>
        <w:rPr>
          <w:lang w:val="en-US"/>
        </w:rPr>
        <w:t xml:space="preserve">valuator would have no objection to the approval of </w:t>
      </w:r>
      <w:proofErr w:type="spellStart"/>
      <w:r w:rsidR="00AF5D28">
        <w:rPr>
          <w:lang w:val="en-US"/>
        </w:rPr>
        <w:t>Taptiqom</w:t>
      </w:r>
      <w:proofErr w:type="spellEnd"/>
      <w:r w:rsidR="009B1884">
        <w:rPr>
          <w:lang w:val="en-US"/>
        </w:rPr>
        <w:t xml:space="preserve"> </w:t>
      </w:r>
      <w:r>
        <w:rPr>
          <w:lang w:val="en-US"/>
        </w:rPr>
        <w:t>(</w:t>
      </w:r>
      <w:proofErr w:type="spellStart"/>
      <w:r>
        <w:rPr>
          <w:lang w:val="en-US"/>
        </w:rPr>
        <w:t>tafluprost</w:t>
      </w:r>
      <w:proofErr w:type="spellEnd"/>
      <w:r>
        <w:rPr>
          <w:lang w:val="en-US"/>
        </w:rPr>
        <w:t xml:space="preserve"> 15 micrograms/mL and </w:t>
      </w:r>
      <w:proofErr w:type="spellStart"/>
      <w:r>
        <w:rPr>
          <w:lang w:val="en-US"/>
        </w:rPr>
        <w:t>timolol</w:t>
      </w:r>
      <w:proofErr w:type="spellEnd"/>
      <w:r>
        <w:rPr>
          <w:lang w:val="en-US"/>
        </w:rPr>
        <w:t xml:space="preserve"> [as maleate] 5 mg/mL) for the indication of:</w:t>
      </w:r>
    </w:p>
    <w:p w:rsidR="0078024B" w:rsidRDefault="00AF5D28" w:rsidP="009B1884">
      <w:pPr>
        <w:ind w:left="720"/>
      </w:pPr>
      <w:proofErr w:type="spellStart"/>
      <w:r>
        <w:rPr>
          <w:i/>
          <w:iCs/>
          <w:lang w:val="en-US"/>
        </w:rPr>
        <w:t>Taptiqom</w:t>
      </w:r>
      <w:proofErr w:type="spellEnd"/>
      <w:r w:rsidR="009B1884">
        <w:rPr>
          <w:i/>
          <w:iCs/>
          <w:lang w:val="en-US"/>
        </w:rPr>
        <w:t xml:space="preserve"> </w:t>
      </w:r>
      <w:r w:rsidR="0078024B">
        <w:rPr>
          <w:i/>
          <w:iCs/>
          <w:lang w:val="en-US"/>
        </w:rPr>
        <w:t>is indicated for the reduction of intraocular pressure (IOP) in adult patients with open angle glaucoma or ocular hypertension when concomitant therapy is appropriate.</w:t>
      </w:r>
    </w:p>
    <w:p w:rsidR="00605AD4" w:rsidRPr="00605AD4" w:rsidRDefault="00605AD4" w:rsidP="00605AD4">
      <w:pPr>
        <w:pStyle w:val="Heading3"/>
        <w:rPr>
          <w:rFonts w:eastAsia="Cambria"/>
        </w:rPr>
      </w:pPr>
      <w:bookmarkStart w:id="120" w:name="_Toc427232221"/>
      <w:r w:rsidRPr="00605AD4">
        <w:rPr>
          <w:rFonts w:eastAsia="Cambria"/>
        </w:rPr>
        <w:t xml:space="preserve">Clinical </w:t>
      </w:r>
      <w:r w:rsidR="004F038A">
        <w:rPr>
          <w:rFonts w:eastAsia="Cambria"/>
        </w:rPr>
        <w:t>q</w:t>
      </w:r>
      <w:r w:rsidRPr="00605AD4">
        <w:rPr>
          <w:rFonts w:eastAsia="Cambria"/>
        </w:rPr>
        <w:t>uestions</w:t>
      </w:r>
      <w:bookmarkEnd w:id="120"/>
    </w:p>
    <w:p w:rsidR="00605AD4" w:rsidRPr="00605AD4" w:rsidRDefault="0078024B" w:rsidP="00605AD4">
      <w:r>
        <w:t>No questions were raised by the clinical evaluator.</w:t>
      </w:r>
    </w:p>
    <w:p w:rsidR="00605AD4" w:rsidRPr="00605AD4" w:rsidRDefault="00605AD4" w:rsidP="00605AD4">
      <w:pPr>
        <w:pStyle w:val="Heading3"/>
        <w:rPr>
          <w:rFonts w:eastAsia="Cambria"/>
        </w:rPr>
      </w:pPr>
      <w:bookmarkStart w:id="121" w:name="_Toc427232222"/>
      <w:r w:rsidRPr="00605AD4">
        <w:rPr>
          <w:rFonts w:eastAsia="Cambria"/>
        </w:rPr>
        <w:t xml:space="preserve">Second </w:t>
      </w:r>
      <w:r w:rsidR="004F038A">
        <w:rPr>
          <w:rFonts w:eastAsia="Cambria"/>
        </w:rPr>
        <w:t>r</w:t>
      </w:r>
      <w:r w:rsidRPr="00605AD4">
        <w:rPr>
          <w:rFonts w:eastAsia="Cambria"/>
        </w:rPr>
        <w:t xml:space="preserve">ound </w:t>
      </w:r>
      <w:r w:rsidR="004F038A">
        <w:rPr>
          <w:rFonts w:eastAsia="Cambria"/>
        </w:rPr>
        <w:t>e</w:t>
      </w:r>
      <w:r w:rsidRPr="00605AD4">
        <w:rPr>
          <w:rFonts w:eastAsia="Cambria"/>
        </w:rPr>
        <w:t>valuation of clinical data submitted in response to questions</w:t>
      </w:r>
      <w:bookmarkEnd w:id="121"/>
    </w:p>
    <w:p w:rsidR="00605AD4" w:rsidRPr="00605AD4" w:rsidRDefault="0078024B" w:rsidP="00605AD4">
      <w:r>
        <w:t>No second round evaluation was required.</w:t>
      </w:r>
    </w:p>
    <w:p w:rsidR="008E7846" w:rsidRPr="00E41208" w:rsidRDefault="008E7846" w:rsidP="00546154">
      <w:pPr>
        <w:pStyle w:val="Heading2"/>
      </w:pPr>
      <w:bookmarkStart w:id="122" w:name="_Toc427232223"/>
      <w:r w:rsidRPr="00E41208">
        <w:lastRenderedPageBreak/>
        <w:t xml:space="preserve">V. Pharmacovigilance </w:t>
      </w:r>
      <w:r>
        <w:t>f</w:t>
      </w:r>
      <w:r w:rsidRPr="00E41208">
        <w:t>indings</w:t>
      </w:r>
      <w:bookmarkEnd w:id="102"/>
      <w:bookmarkEnd w:id="103"/>
      <w:bookmarkEnd w:id="122"/>
    </w:p>
    <w:p w:rsidR="008E7846" w:rsidRDefault="00386150" w:rsidP="008E7846">
      <w:pPr>
        <w:pStyle w:val="Heading3"/>
        <w:rPr>
          <w:lang w:eastAsia="en-AU"/>
        </w:rPr>
      </w:pPr>
      <w:bookmarkStart w:id="123" w:name="_Toc247691526"/>
      <w:bookmarkStart w:id="124" w:name="_Toc314842509"/>
      <w:bookmarkStart w:id="125" w:name="_Toc427232224"/>
      <w:r>
        <w:rPr>
          <w:lang w:eastAsia="en-AU"/>
        </w:rPr>
        <w:t>Risk m</w:t>
      </w:r>
      <w:r w:rsidR="008E7846">
        <w:rPr>
          <w:lang w:eastAsia="en-AU"/>
        </w:rPr>
        <w:t xml:space="preserve">anagement </w:t>
      </w:r>
      <w:r>
        <w:rPr>
          <w:lang w:eastAsia="en-AU"/>
        </w:rPr>
        <w:t>p</w:t>
      </w:r>
      <w:r w:rsidR="008E7846">
        <w:rPr>
          <w:lang w:eastAsia="en-AU"/>
        </w:rPr>
        <w:t>lan</w:t>
      </w:r>
      <w:bookmarkEnd w:id="123"/>
      <w:bookmarkEnd w:id="124"/>
      <w:bookmarkEnd w:id="125"/>
    </w:p>
    <w:p w:rsidR="008E7846" w:rsidRDefault="006B43DA" w:rsidP="0078024B">
      <w:pPr>
        <w:rPr>
          <w:lang w:eastAsia="en-AU"/>
        </w:rPr>
      </w:pPr>
      <w:r>
        <w:rPr>
          <w:lang w:eastAsia="en-AU"/>
        </w:rPr>
        <w:t xml:space="preserve">The sponsor submitted the EU </w:t>
      </w:r>
      <w:r w:rsidR="008E7846">
        <w:rPr>
          <w:lang w:eastAsia="en-AU"/>
        </w:rPr>
        <w:t>Risk Management Plan</w:t>
      </w:r>
      <w:r w:rsidR="006F25B8">
        <w:rPr>
          <w:lang w:eastAsia="en-AU"/>
        </w:rPr>
        <w:t xml:space="preserve"> </w:t>
      </w:r>
      <w:r>
        <w:rPr>
          <w:lang w:eastAsia="en-AU"/>
        </w:rPr>
        <w:t>(</w:t>
      </w:r>
      <w:r w:rsidR="0078024B">
        <w:t>EU-RMP</w:t>
      </w:r>
      <w:r>
        <w:t>)</w:t>
      </w:r>
      <w:r w:rsidR="0078024B">
        <w:t xml:space="preserve">, </w:t>
      </w:r>
      <w:r w:rsidR="003D253A">
        <w:rPr>
          <w:iCs/>
        </w:rPr>
        <w:t xml:space="preserve">Version 1 (dated </w:t>
      </w:r>
      <w:r w:rsidR="003D253A">
        <w:t xml:space="preserve">29 April 2013) with </w:t>
      </w:r>
      <w:r w:rsidR="003D253A">
        <w:rPr>
          <w:iCs/>
        </w:rPr>
        <w:t>an undated Australian Specific Annex (ASA)</w:t>
      </w:r>
      <w:r w:rsidR="009B1884">
        <w:t>,</w:t>
      </w:r>
      <w:r w:rsidR="008E7846" w:rsidRPr="006F25B8">
        <w:t xml:space="preserve"> </w:t>
      </w:r>
      <w:r w:rsidR="008E7846">
        <w:rPr>
          <w:lang w:eastAsia="en-AU"/>
        </w:rPr>
        <w:t>which w</w:t>
      </w:r>
      <w:r w:rsidR="008B3C5F">
        <w:rPr>
          <w:lang w:eastAsia="en-AU"/>
        </w:rPr>
        <w:t>ere</w:t>
      </w:r>
      <w:r w:rsidR="008E7846">
        <w:rPr>
          <w:lang w:eastAsia="en-AU"/>
        </w:rPr>
        <w:t xml:space="preserve"> reviewed by the TGA’s </w:t>
      </w:r>
      <w:r w:rsidR="0078024B">
        <w:rPr>
          <w:lang w:eastAsia="en-AU"/>
        </w:rPr>
        <w:t>Post-Market Surveillance Branch</w:t>
      </w:r>
      <w:r w:rsidR="008E7846">
        <w:rPr>
          <w:lang w:eastAsia="en-AU"/>
        </w:rPr>
        <w:t xml:space="preserve"> (</w:t>
      </w:r>
      <w:r w:rsidR="0078024B">
        <w:rPr>
          <w:lang w:eastAsia="en-AU"/>
        </w:rPr>
        <w:t>PMSB</w:t>
      </w:r>
      <w:r w:rsidR="008E7846">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8B3C5F">
        <w:rPr>
          <w:lang w:eastAsia="en-AU"/>
        </w:rPr>
        <w:t>3</w:t>
      </w:r>
      <w:r>
        <w:rPr>
          <w:lang w:eastAsia="en-AU"/>
        </w:rPr>
        <w:t>.</w:t>
      </w:r>
    </w:p>
    <w:p w:rsidR="00100957" w:rsidRPr="00100957" w:rsidRDefault="008B3C5F" w:rsidP="00B2653D">
      <w:pPr>
        <w:pStyle w:val="TableTitle"/>
      </w:pPr>
      <w:r w:rsidRPr="00100957">
        <w:t xml:space="preserve">Table 3: </w:t>
      </w:r>
      <w:r w:rsidRPr="00B2653D">
        <w:t>Summary</w:t>
      </w:r>
      <w:r w:rsidRPr="00100957">
        <w:t xml:space="preserve"> of ongoing safety concerns</w:t>
      </w:r>
    </w:p>
    <w:p w:rsidR="00A94D18" w:rsidRDefault="00A94D18" w:rsidP="00B2653D">
      <w:pPr>
        <w:rPr>
          <w:lang w:eastAsia="en-AU"/>
        </w:rPr>
      </w:pPr>
      <w:r>
        <w:rPr>
          <w:noProof/>
          <w:lang w:eastAsia="en-AU"/>
        </w:rPr>
        <w:drawing>
          <wp:inline distT="0" distB="0" distL="0" distR="0" wp14:anchorId="32DE0CB2" wp14:editId="0B99C8A8">
            <wp:extent cx="4124325" cy="2609850"/>
            <wp:effectExtent l="0" t="0" r="9525" b="0"/>
            <wp:docPr id="2" name="Picture 2" descr="Table 3: Summary of ongoing safety concern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BEBA8EAE-BF5A-486C-A8C5-ECC9F3942E4B}">
                          <a14:imgProps xmlns:a14="http://schemas.microsoft.com/office/drawing/2010/main">
                            <a14:imgLayer r:embed="rId18">
                              <a14:imgEffect>
                                <a14:brightnessContrast contrast="-40000"/>
                              </a14:imgEffect>
                            </a14:imgLayer>
                          </a14:imgProps>
                        </a:ext>
                      </a:extLst>
                    </a:blip>
                    <a:stretch>
                      <a:fillRect/>
                    </a:stretch>
                  </pic:blipFill>
                  <pic:spPr>
                    <a:xfrm>
                      <a:off x="0" y="0"/>
                      <a:ext cx="4127492" cy="2611854"/>
                    </a:xfrm>
                    <a:prstGeom prst="rect">
                      <a:avLst/>
                    </a:prstGeom>
                  </pic:spPr>
                </pic:pic>
              </a:graphicData>
            </a:graphic>
          </wp:inline>
        </w:drawing>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A94D18" w:rsidRDefault="00A94D18" w:rsidP="008B3C5F">
      <w:r>
        <w:t>The sponsor proposes routine pharmacovigilance activities to monitor all the specified ongoing safety concerns.</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A94D18" w:rsidRDefault="00A94D18" w:rsidP="008B3C5F">
      <w:bookmarkStart w:id="126" w:name="_Toc247691527"/>
      <w:r>
        <w:t>The sponsor has concluded that routine risk minimisation activities for all the specified ongoing safety concerns are sufficient.</w:t>
      </w:r>
    </w:p>
    <w:p w:rsidR="00A94D18" w:rsidRDefault="006F25B8" w:rsidP="0078024B">
      <w:pPr>
        <w:pStyle w:val="Heading4"/>
        <w:rPr>
          <w:lang w:eastAsia="en-AU"/>
        </w:rPr>
      </w:pPr>
      <w:r w:rsidRPr="006F25B8">
        <w:rPr>
          <w:lang w:eastAsia="en-AU"/>
        </w:rPr>
        <w:t>Reconciliation of issues outlined in the RMP report</w:t>
      </w:r>
    </w:p>
    <w:p w:rsidR="006F25B8" w:rsidRDefault="0078024B" w:rsidP="00A94D18">
      <w:pPr>
        <w:rPr>
          <w:lang w:eastAsia="en-AU"/>
        </w:rPr>
      </w:pPr>
      <w:r>
        <w:rPr>
          <w:lang w:eastAsia="en-AU"/>
        </w:rPr>
        <w:t>T</w:t>
      </w:r>
      <w:r w:rsidR="006F25B8">
        <w:rPr>
          <w:lang w:eastAsia="en-AU"/>
        </w:rPr>
        <w:t xml:space="preserve">able </w:t>
      </w:r>
      <w:r w:rsidR="008B3C5F">
        <w:rPr>
          <w:lang w:eastAsia="en-AU"/>
        </w:rPr>
        <w:t>4</w:t>
      </w:r>
      <w:r w:rsidR="006F25B8">
        <w:rPr>
          <w:lang w:eastAsia="en-AU"/>
        </w:rPr>
        <w:t xml:space="preserve"> summarises the </w:t>
      </w:r>
      <w:r w:rsidR="008B3C5F">
        <w:rPr>
          <w:lang w:eastAsia="en-AU"/>
        </w:rPr>
        <w:t>PMSB</w:t>
      </w:r>
      <w:r w:rsidR="006F25B8">
        <w:rPr>
          <w:lang w:eastAsia="en-AU"/>
        </w:rPr>
        <w:t xml:space="preserve">’s first round evaluation of the RMP, the sponsor’s responses to issues raised by the </w:t>
      </w:r>
      <w:r w:rsidR="008B3C5F">
        <w:rPr>
          <w:lang w:eastAsia="en-AU"/>
        </w:rPr>
        <w:t>PMSB</w:t>
      </w:r>
      <w:r w:rsidR="006F25B8">
        <w:rPr>
          <w:lang w:eastAsia="en-AU"/>
        </w:rPr>
        <w:t xml:space="preserve"> and the </w:t>
      </w:r>
      <w:r w:rsidR="008B3C5F">
        <w:rPr>
          <w:lang w:eastAsia="en-AU"/>
        </w:rPr>
        <w:t>PMSB</w:t>
      </w:r>
      <w:r w:rsidR="006F25B8">
        <w:rPr>
          <w:lang w:eastAsia="en-AU"/>
        </w:rPr>
        <w:t>’s evaluation of the sponsor’s responses.</w:t>
      </w:r>
    </w:p>
    <w:p w:rsidR="00C63DC0" w:rsidRPr="00100957" w:rsidRDefault="0078024B" w:rsidP="00B2653D">
      <w:pPr>
        <w:pStyle w:val="TableTitle"/>
      </w:pPr>
      <w:r w:rsidRPr="00100957">
        <w:lastRenderedPageBreak/>
        <w:t xml:space="preserve">Table </w:t>
      </w:r>
      <w:r w:rsidR="008B3C5F" w:rsidRPr="00100957">
        <w:t>4:</w:t>
      </w:r>
      <w:r w:rsidRPr="00100957">
        <w:t xml:space="preserve"> </w:t>
      </w:r>
      <w:r w:rsidR="00C63DC0" w:rsidRPr="00100957">
        <w:t>Reconciliation of issues outlined in the RMP report</w:t>
      </w:r>
    </w:p>
    <w:tbl>
      <w:tblPr>
        <w:tblStyle w:val="TableTGAblue"/>
        <w:tblW w:w="4818" w:type="pct"/>
        <w:tblLayout w:type="fixed"/>
        <w:tblLook w:val="04A0" w:firstRow="1" w:lastRow="0" w:firstColumn="1" w:lastColumn="0" w:noHBand="0" w:noVBand="1"/>
      </w:tblPr>
      <w:tblGrid>
        <w:gridCol w:w="2733"/>
        <w:gridCol w:w="3193"/>
        <w:gridCol w:w="2477"/>
      </w:tblGrid>
      <w:tr w:rsidR="00C63DC0" w:rsidRPr="00107999" w:rsidTr="005801E5">
        <w:trPr>
          <w:cnfStyle w:val="100000000000" w:firstRow="1" w:lastRow="0" w:firstColumn="0" w:lastColumn="0" w:oddVBand="0" w:evenVBand="0" w:oddHBand="0" w:evenHBand="0" w:firstRowFirstColumn="0" w:firstRowLastColumn="0" w:lastRowFirstColumn="0" w:lastRowLastColumn="0"/>
        </w:trPr>
        <w:tc>
          <w:tcPr>
            <w:tcW w:w="1626" w:type="pct"/>
            <w:noWrap/>
          </w:tcPr>
          <w:p w:rsidR="00C63DC0" w:rsidRPr="00C63DC0" w:rsidRDefault="00C63DC0" w:rsidP="005801E5">
            <w:r w:rsidRPr="00C63DC0">
              <w:t>Recommendation in RMP evaluation report</w:t>
            </w:r>
          </w:p>
        </w:tc>
        <w:tc>
          <w:tcPr>
            <w:tcW w:w="1900" w:type="pct"/>
            <w:noWrap/>
          </w:tcPr>
          <w:p w:rsidR="00C63DC0" w:rsidRPr="00C63DC0" w:rsidRDefault="00C63DC0" w:rsidP="005801E5">
            <w:r w:rsidRPr="00C63DC0">
              <w:t>Sponsor’s response</w:t>
            </w:r>
          </w:p>
        </w:tc>
        <w:tc>
          <w:tcPr>
            <w:tcW w:w="1474" w:type="pct"/>
            <w:noWrap/>
          </w:tcPr>
          <w:p w:rsidR="00C63DC0" w:rsidRPr="00C63DC0" w:rsidRDefault="008D2EE7" w:rsidP="005801E5">
            <w:r>
              <w:t>PMSB</w:t>
            </w:r>
            <w:r w:rsidR="00C63DC0" w:rsidRPr="00C63DC0">
              <w:t xml:space="preserve"> evaluator’s comment</w:t>
            </w:r>
          </w:p>
        </w:tc>
      </w:tr>
      <w:tr w:rsidR="00C63DC0" w:rsidRPr="00107999" w:rsidTr="005801E5">
        <w:trPr>
          <w:trHeight w:val="2699"/>
        </w:trPr>
        <w:tc>
          <w:tcPr>
            <w:tcW w:w="1626" w:type="pct"/>
            <w:noWrap/>
          </w:tcPr>
          <w:p w:rsidR="00C63DC0" w:rsidRPr="00C63DC0" w:rsidRDefault="00C63DC0" w:rsidP="005801E5">
            <w:r>
              <w:t xml:space="preserve">1. </w:t>
            </w:r>
            <w:r w:rsidRPr="00C63DC0">
              <w:t>The pagination stated in the ‘Table of Contents’ of the ASA needs to be corrected when this document is next updated. It is also suggested that appropriate document control be applied to the ASA.</w:t>
            </w:r>
          </w:p>
        </w:tc>
        <w:tc>
          <w:tcPr>
            <w:tcW w:w="1900" w:type="pct"/>
            <w:noWrap/>
          </w:tcPr>
          <w:p w:rsidR="00C63DC0" w:rsidRPr="00C63DC0" w:rsidRDefault="00C63DC0" w:rsidP="005801E5">
            <w:r w:rsidRPr="00C63DC0">
              <w:t>The sponsor states:</w:t>
            </w:r>
            <w:r w:rsidRPr="00C63DC0">
              <w:rPr>
                <w:i/>
              </w:rPr>
              <w:t xml:space="preserve"> </w:t>
            </w:r>
            <w:r w:rsidR="00AF5D28">
              <w:rPr>
                <w:i/>
              </w:rPr>
              <w:t>‘</w:t>
            </w:r>
            <w:r w:rsidRPr="00C63DC0">
              <w:rPr>
                <w:i/>
              </w:rPr>
              <w:t xml:space="preserve">No change has been made to the ASA initially submitted to the </w:t>
            </w:r>
            <w:proofErr w:type="gramStart"/>
            <w:r w:rsidRPr="00C63DC0">
              <w:rPr>
                <w:i/>
              </w:rPr>
              <w:t>TGA,</w:t>
            </w:r>
            <w:proofErr w:type="gramEnd"/>
            <w:r w:rsidRPr="00C63DC0">
              <w:rPr>
                <w:i/>
              </w:rPr>
              <w:t xml:space="preserve"> therefore the ASA Table of Content does not need to be updated.</w:t>
            </w:r>
            <w:r w:rsidR="00AF5D28">
              <w:rPr>
                <w:i/>
              </w:rPr>
              <w:t>’</w:t>
            </w:r>
          </w:p>
        </w:tc>
        <w:tc>
          <w:tcPr>
            <w:tcW w:w="1474" w:type="pct"/>
            <w:noWrap/>
          </w:tcPr>
          <w:p w:rsidR="00C63DC0" w:rsidRPr="00C63DC0" w:rsidRDefault="00C63DC0" w:rsidP="005801E5">
            <w:r w:rsidRPr="00C63DC0">
              <w:t>Unfortunately it appears the sponsor has not checked the pagination in the ‘Table of Contents’ of the ASA and not identified the observed inconsistencies.</w:t>
            </w:r>
            <w:r w:rsidR="00AF5D28">
              <w:t xml:space="preserve"> </w:t>
            </w:r>
            <w:r w:rsidRPr="00C63DC0">
              <w:t>Consequently this issue remains outstanding and a corrected ASA, which should be appropriately version controlled and dated, must be provided to the TGA for review before this application is approved.</w:t>
            </w:r>
          </w:p>
        </w:tc>
      </w:tr>
      <w:tr w:rsidR="00C63DC0" w:rsidRPr="00107999" w:rsidTr="005801E5">
        <w:trPr>
          <w:trHeight w:val="3093"/>
        </w:trPr>
        <w:tc>
          <w:tcPr>
            <w:tcW w:w="1626" w:type="pct"/>
            <w:noWrap/>
          </w:tcPr>
          <w:p w:rsidR="00C63DC0" w:rsidRPr="00C63DC0" w:rsidRDefault="00C63DC0" w:rsidP="005801E5">
            <w:r>
              <w:rPr>
                <w:color w:val="000000"/>
              </w:rPr>
              <w:t xml:space="preserve">2. </w:t>
            </w:r>
            <w:r w:rsidRPr="00C63DC0">
              <w:rPr>
                <w:color w:val="000000"/>
              </w:rPr>
              <w:t xml:space="preserve">Safety considerations may be raised by the nonclinical and clinical evaluators through the </w:t>
            </w:r>
            <w:r>
              <w:rPr>
                <w:color w:val="000000"/>
              </w:rPr>
              <w:t xml:space="preserve">TGA’s </w:t>
            </w:r>
            <w:r w:rsidRPr="00C63DC0">
              <w:rPr>
                <w:color w:val="000000"/>
              </w:rPr>
              <w:t xml:space="preserve">consolidated </w:t>
            </w:r>
            <w:r>
              <w:rPr>
                <w:color w:val="000000"/>
              </w:rPr>
              <w:t>request for further information</w:t>
            </w:r>
            <w:r w:rsidRPr="00C63DC0">
              <w:rPr>
                <w:color w:val="000000"/>
              </w:rPr>
              <w:t xml:space="preserve"> and/or the Nonclinical and Clinical Evaluation Reports respectively. It is important to ensure that the information provided in response to these include</w:t>
            </w:r>
            <w:r w:rsidR="00AA6A57">
              <w:rPr>
                <w:color w:val="000000"/>
              </w:rPr>
              <w:t>s</w:t>
            </w:r>
            <w:r w:rsidRPr="00C63DC0">
              <w:rPr>
                <w:color w:val="000000"/>
              </w:rPr>
              <w:t xml:space="preserve"> a consideration of the relevance for the Risk Management Plan, and any specific information needed to address this issue in the RMP.</w:t>
            </w:r>
            <w:r w:rsidRPr="00C63DC0">
              <w:t xml:space="preserve"> </w:t>
            </w:r>
            <w:r w:rsidRPr="00C63DC0">
              <w:rPr>
                <w:bCs/>
                <w:color w:val="000000"/>
              </w:rPr>
              <w:t xml:space="preserve">For any safety considerations so raised, </w:t>
            </w:r>
            <w:r w:rsidRPr="00C63DC0">
              <w:t>the sponsor should</w:t>
            </w:r>
            <w:r w:rsidRPr="00C63DC0">
              <w:rPr>
                <w:bCs/>
                <w:color w:val="000000"/>
              </w:rPr>
              <w:t xml:space="preserve"> provide information that is </w:t>
            </w:r>
            <w:r w:rsidRPr="00C63DC0">
              <w:rPr>
                <w:bCs/>
                <w:color w:val="000000"/>
              </w:rPr>
              <w:lastRenderedPageBreak/>
              <w:t>relevant and necessary to address the issue in the RMP.</w:t>
            </w:r>
          </w:p>
        </w:tc>
        <w:tc>
          <w:tcPr>
            <w:tcW w:w="1900" w:type="pct"/>
            <w:noWrap/>
          </w:tcPr>
          <w:p w:rsidR="00C63DC0" w:rsidRPr="00C63DC0" w:rsidRDefault="00C63DC0" w:rsidP="005801E5">
            <w:pPr>
              <w:rPr>
                <w:rFonts w:eastAsia="MS Mincho"/>
              </w:rPr>
            </w:pPr>
            <w:r w:rsidRPr="00C63DC0">
              <w:lastRenderedPageBreak/>
              <w:t>The sponsor makes no specific response to this recommendation.</w:t>
            </w:r>
          </w:p>
        </w:tc>
        <w:tc>
          <w:tcPr>
            <w:tcW w:w="1474" w:type="pct"/>
            <w:noWrap/>
          </w:tcPr>
          <w:p w:rsidR="00C63DC0" w:rsidRPr="00C63DC0" w:rsidRDefault="00C63DC0" w:rsidP="005801E5">
            <w:r w:rsidRPr="00C63DC0">
              <w:rPr>
                <w:rFonts w:eastAsia="MS Mincho" w:cs="Imago-Book"/>
              </w:rPr>
              <w:t xml:space="preserve">The </w:t>
            </w:r>
            <w:r w:rsidRPr="00C63DC0">
              <w:rPr>
                <w:color w:val="000000"/>
              </w:rPr>
              <w:t xml:space="preserve">nonclinical and clinical evaluators </w:t>
            </w:r>
            <w:r w:rsidRPr="00C63DC0">
              <w:rPr>
                <w:rFonts w:eastAsia="MS Mincho" w:cs="Imago-Book"/>
              </w:rPr>
              <w:t xml:space="preserve">did not raise any additional </w:t>
            </w:r>
            <w:r w:rsidR="00577439">
              <w:rPr>
                <w:color w:val="000000"/>
              </w:rPr>
              <w:t>safety considerations.</w:t>
            </w:r>
          </w:p>
        </w:tc>
      </w:tr>
      <w:tr w:rsidR="00C63DC0" w:rsidRPr="00107999" w:rsidTr="005801E5">
        <w:trPr>
          <w:trHeight w:val="1084"/>
        </w:trPr>
        <w:tc>
          <w:tcPr>
            <w:tcW w:w="1626" w:type="pct"/>
            <w:noWrap/>
          </w:tcPr>
          <w:p w:rsidR="00C63DC0" w:rsidRPr="00C63DC0" w:rsidRDefault="00C63DC0" w:rsidP="005801E5">
            <w:r>
              <w:lastRenderedPageBreak/>
              <w:t xml:space="preserve">3. </w:t>
            </w:r>
            <w:r w:rsidRPr="00C63DC0">
              <w:t xml:space="preserve">In comparison to what was previously accepted for </w:t>
            </w:r>
            <w:proofErr w:type="spellStart"/>
            <w:r w:rsidRPr="00C63DC0">
              <w:t>Saflutan</w:t>
            </w:r>
            <w:proofErr w:type="spellEnd"/>
            <w:r w:rsidRPr="00C63DC0">
              <w:t>, the following material differences are observed in the summary of the Ongoing Safety Concerns:</w:t>
            </w:r>
          </w:p>
          <w:p w:rsidR="00C63DC0" w:rsidRPr="00C63DC0" w:rsidRDefault="00C63DC0" w:rsidP="005801E5">
            <w:r w:rsidRPr="00C63DC0">
              <w:t>The important potential risk: ‘</w:t>
            </w:r>
            <w:proofErr w:type="spellStart"/>
            <w:r w:rsidRPr="00C63DC0">
              <w:t>Embryotoxicity</w:t>
            </w:r>
            <w:proofErr w:type="spellEnd"/>
            <w:r w:rsidRPr="00C63DC0">
              <w:t>’ has been deleted.</w:t>
            </w:r>
          </w:p>
          <w:p w:rsidR="00C63DC0" w:rsidRPr="00C63DC0" w:rsidRDefault="00C63DC0" w:rsidP="005801E5">
            <w:r w:rsidRPr="00C63DC0">
              <w:t xml:space="preserve">The important potential risk: ‘Possible drug interaction; combination of </w:t>
            </w:r>
            <w:proofErr w:type="spellStart"/>
            <w:r w:rsidRPr="00C63DC0">
              <w:t>tafluprost</w:t>
            </w:r>
            <w:proofErr w:type="spellEnd"/>
            <w:r w:rsidRPr="00C63DC0">
              <w:t xml:space="preserve"> and other prostaglandin analogues’ </w:t>
            </w:r>
            <w:proofErr w:type="gramStart"/>
            <w:r w:rsidRPr="00C63DC0">
              <w:t>has</w:t>
            </w:r>
            <w:proofErr w:type="gramEnd"/>
            <w:r w:rsidRPr="00C63DC0">
              <w:t xml:space="preserve"> not been included as an ongoing safety concern.</w:t>
            </w:r>
          </w:p>
          <w:p w:rsidR="00C63DC0" w:rsidRPr="00C63DC0" w:rsidRDefault="00C63DC0" w:rsidP="005801E5">
            <w:r w:rsidRPr="00C63DC0">
              <w:t xml:space="preserve">The important missing information: ‘Patients with </w:t>
            </w:r>
            <w:proofErr w:type="spellStart"/>
            <w:r w:rsidRPr="00C63DC0">
              <w:t>aphakia</w:t>
            </w:r>
            <w:proofErr w:type="spellEnd"/>
            <w:r w:rsidRPr="00C63DC0">
              <w:t xml:space="preserve">’, ‘Patients with </w:t>
            </w:r>
            <w:proofErr w:type="spellStart"/>
            <w:r w:rsidRPr="00C63DC0">
              <w:t>neovascular</w:t>
            </w:r>
            <w:proofErr w:type="spellEnd"/>
            <w:r w:rsidRPr="00C63DC0">
              <w:t xml:space="preserve">, angle-closure, narrow angle, </w:t>
            </w:r>
            <w:proofErr w:type="spellStart"/>
            <w:r w:rsidRPr="00C63DC0">
              <w:t>psuedoexfoliative</w:t>
            </w:r>
            <w:proofErr w:type="spellEnd"/>
            <w:r w:rsidRPr="00C63DC0">
              <w:t xml:space="preserve"> or congenital glaucoma’ &amp; ‘Patients wearing contact lenses’ have not been included as ongoing safety </w:t>
            </w:r>
            <w:r w:rsidRPr="00C63DC0">
              <w:lastRenderedPageBreak/>
              <w:t>concerns.</w:t>
            </w:r>
          </w:p>
          <w:p w:rsidR="00C63DC0" w:rsidRPr="00C63DC0" w:rsidRDefault="00C63DC0" w:rsidP="005801E5">
            <w:r w:rsidRPr="00C63DC0">
              <w:t>No explanation appears to have been provided for these differences.</w:t>
            </w:r>
            <w:r w:rsidR="00AF5D28">
              <w:t xml:space="preserve"> </w:t>
            </w:r>
            <w:r w:rsidRPr="00C63DC0">
              <w:t>Notwithstanding the evaluation of the nonclinical and clinical aspects of the SS, it is recommended that the sponsor should provide compelling justification for these deletions/omissions.</w:t>
            </w:r>
            <w:r w:rsidR="00AF5D28">
              <w:t xml:space="preserve"> </w:t>
            </w:r>
            <w:r w:rsidRPr="00C63DC0">
              <w:t>Alternatively i</w:t>
            </w:r>
            <w:r w:rsidRPr="00C63DC0">
              <w:rPr>
                <w:iCs/>
              </w:rPr>
              <w:t xml:space="preserve">f the sponsor decides </w:t>
            </w:r>
            <w:r w:rsidRPr="00C63DC0">
              <w:t xml:space="preserve">to include these ongoing safety concerns in Australia for </w:t>
            </w:r>
            <w:proofErr w:type="spellStart"/>
            <w:r w:rsidR="00AF5D28">
              <w:rPr>
                <w:bCs/>
              </w:rPr>
              <w:t>Taptiqom</w:t>
            </w:r>
            <w:proofErr w:type="spellEnd"/>
            <w:r w:rsidRPr="00C63DC0">
              <w:rPr>
                <w:bCs/>
              </w:rPr>
              <w:t>,</w:t>
            </w:r>
            <w:r w:rsidRPr="00C63DC0">
              <w:t xml:space="preserve"> then </w:t>
            </w:r>
            <w:r w:rsidRPr="00C63DC0">
              <w:rPr>
                <w:iCs/>
              </w:rPr>
              <w:t xml:space="preserve">consideration must be given as to what </w:t>
            </w:r>
            <w:r w:rsidRPr="00C63DC0">
              <w:t>pharmacovigilance and risk minimisation activities will be proposed for them and the ASA should be revised accordingly.</w:t>
            </w:r>
          </w:p>
        </w:tc>
        <w:tc>
          <w:tcPr>
            <w:tcW w:w="1900" w:type="pct"/>
            <w:noWrap/>
          </w:tcPr>
          <w:p w:rsidR="00C63DC0" w:rsidRPr="00C63DC0" w:rsidRDefault="00C63DC0" w:rsidP="005801E5">
            <w:r w:rsidRPr="00C63DC0">
              <w:lastRenderedPageBreak/>
              <w:t xml:space="preserve">The sponsor concedes: </w:t>
            </w:r>
            <w:r w:rsidR="00AF5D28">
              <w:rPr>
                <w:i/>
              </w:rPr>
              <w:t>‘</w:t>
            </w:r>
            <w:proofErr w:type="spellStart"/>
            <w:r w:rsidRPr="00C63DC0">
              <w:rPr>
                <w:i/>
              </w:rPr>
              <w:t>Embryotoxicity</w:t>
            </w:r>
            <w:proofErr w:type="spellEnd"/>
            <w:r w:rsidRPr="00C63DC0">
              <w:rPr>
                <w:i/>
              </w:rPr>
              <w:t xml:space="preserve"> has been seen in animal testing with </w:t>
            </w:r>
            <w:proofErr w:type="spellStart"/>
            <w:r w:rsidRPr="00C63DC0">
              <w:rPr>
                <w:i/>
              </w:rPr>
              <w:t>tafluprost</w:t>
            </w:r>
            <w:proofErr w:type="spellEnd"/>
            <w:r w:rsidRPr="00C63DC0">
              <w:rPr>
                <w:i/>
              </w:rPr>
              <w:t>.</w:t>
            </w:r>
            <w:r w:rsidR="00AF5D28">
              <w:rPr>
                <w:i/>
              </w:rPr>
              <w:t>’</w:t>
            </w:r>
            <w:r w:rsidR="00AF5D28">
              <w:t xml:space="preserve"> </w:t>
            </w:r>
            <w:r w:rsidRPr="00C63DC0">
              <w:t xml:space="preserve">However, then states: </w:t>
            </w:r>
            <w:r w:rsidR="00AF5D28">
              <w:rPr>
                <w:i/>
              </w:rPr>
              <w:t>‘</w:t>
            </w:r>
            <w:r w:rsidRPr="00C63DC0">
              <w:rPr>
                <w:i/>
              </w:rPr>
              <w:t xml:space="preserve">After reassessing the risks for </w:t>
            </w:r>
            <w:proofErr w:type="spellStart"/>
            <w:r w:rsidRPr="00C63DC0">
              <w:rPr>
                <w:i/>
              </w:rPr>
              <w:t>tafluprost</w:t>
            </w:r>
            <w:proofErr w:type="spellEnd"/>
            <w:r w:rsidRPr="00C63DC0">
              <w:rPr>
                <w:i/>
              </w:rPr>
              <w:t xml:space="preserve">, </w:t>
            </w:r>
            <w:proofErr w:type="spellStart"/>
            <w:r w:rsidRPr="00C63DC0">
              <w:rPr>
                <w:i/>
              </w:rPr>
              <w:t>embryotoxicity</w:t>
            </w:r>
            <w:proofErr w:type="spellEnd"/>
            <w:r w:rsidRPr="00C63DC0">
              <w:rPr>
                <w:i/>
              </w:rPr>
              <w:t xml:space="preserve"> was not considered anymore as an important potential risk for humans</w:t>
            </w:r>
            <w:r w:rsidR="00AF5D28">
              <w:rPr>
                <w:i/>
              </w:rPr>
              <w:t>’</w:t>
            </w:r>
            <w:r w:rsidRPr="00C63DC0">
              <w:t xml:space="preserve"> without providing detail of any such reassessment or new evidence.</w:t>
            </w:r>
          </w:p>
          <w:p w:rsidR="00C63DC0" w:rsidRPr="00C63DC0" w:rsidRDefault="00C63DC0" w:rsidP="005801E5">
            <w:pPr>
              <w:rPr>
                <w:i/>
              </w:rPr>
            </w:pPr>
            <w:r w:rsidRPr="00C63DC0">
              <w:t xml:space="preserve">The sponsor states that the important potential risk: ‘Possible drug interaction; combination of </w:t>
            </w:r>
            <w:proofErr w:type="spellStart"/>
            <w:r w:rsidRPr="00C63DC0">
              <w:t>tafluprost</w:t>
            </w:r>
            <w:proofErr w:type="spellEnd"/>
            <w:r w:rsidRPr="00C63DC0">
              <w:t xml:space="preserve"> and other prostaglandin analogues’ </w:t>
            </w:r>
            <w:r w:rsidR="00AF5D28">
              <w:rPr>
                <w:i/>
              </w:rPr>
              <w:t>‘</w:t>
            </w:r>
            <w:r w:rsidRPr="00C63DC0">
              <w:rPr>
                <w:i/>
              </w:rPr>
              <w:t xml:space="preserve">is mentioned as an important potential risk only in the </w:t>
            </w:r>
            <w:proofErr w:type="spellStart"/>
            <w:r w:rsidRPr="00C63DC0">
              <w:rPr>
                <w:i/>
              </w:rPr>
              <w:t>tafluprost</w:t>
            </w:r>
            <w:proofErr w:type="spellEnd"/>
            <w:r w:rsidRPr="00C63DC0">
              <w:rPr>
                <w:i/>
              </w:rPr>
              <w:t xml:space="preserve"> RMP and it is not in line with the </w:t>
            </w:r>
            <w:proofErr w:type="spellStart"/>
            <w:r w:rsidRPr="00C63DC0">
              <w:rPr>
                <w:i/>
              </w:rPr>
              <w:t>tafluprost</w:t>
            </w:r>
            <w:proofErr w:type="spellEnd"/>
            <w:r w:rsidRPr="00C63DC0">
              <w:rPr>
                <w:i/>
              </w:rPr>
              <w:t xml:space="preserve"> EU </w:t>
            </w:r>
            <w:proofErr w:type="spellStart"/>
            <w:r w:rsidRPr="00C63DC0">
              <w:rPr>
                <w:i/>
              </w:rPr>
              <w:t>SmPC</w:t>
            </w:r>
            <w:proofErr w:type="spellEnd"/>
            <w:r w:rsidRPr="00C63DC0">
              <w:rPr>
                <w:i/>
              </w:rPr>
              <w:t xml:space="preserve">: </w:t>
            </w:r>
            <w:r w:rsidR="00AF5D28">
              <w:rPr>
                <w:i/>
              </w:rPr>
              <w:t>‘</w:t>
            </w:r>
            <w:r w:rsidRPr="00C63DC0">
              <w:rPr>
                <w:i/>
              </w:rPr>
              <w:t xml:space="preserve">No interactions are anticipated in humans, since systemic concentrations of </w:t>
            </w:r>
            <w:proofErr w:type="spellStart"/>
            <w:r w:rsidRPr="00C63DC0">
              <w:rPr>
                <w:i/>
              </w:rPr>
              <w:t>tafluprost</w:t>
            </w:r>
            <w:proofErr w:type="spellEnd"/>
            <w:r w:rsidRPr="00C63DC0">
              <w:rPr>
                <w:i/>
              </w:rPr>
              <w:t xml:space="preserve"> are extremely low following ocular dosing. Therefore, specific interaction studies with other medicinal products have not been performed with </w:t>
            </w:r>
            <w:proofErr w:type="spellStart"/>
            <w:r w:rsidRPr="00C63DC0">
              <w:rPr>
                <w:i/>
              </w:rPr>
              <w:t>tafluprost</w:t>
            </w:r>
            <w:proofErr w:type="spellEnd"/>
            <w:r w:rsidRPr="00C63DC0">
              <w:rPr>
                <w:i/>
              </w:rPr>
              <w:t>.</w:t>
            </w:r>
            <w:r w:rsidR="00577439">
              <w:rPr>
                <w:i/>
              </w:rPr>
              <w:t>’</w:t>
            </w:r>
          </w:p>
          <w:p w:rsidR="00C63DC0" w:rsidRPr="00C63DC0" w:rsidRDefault="00C63DC0" w:rsidP="005801E5">
            <w:pPr>
              <w:rPr>
                <w:rFonts w:eastAsia="TimesNewRomanPSMT" w:cs="TimesNewRomanPSMT"/>
              </w:rPr>
            </w:pPr>
            <w:r w:rsidRPr="00C63DC0">
              <w:t xml:space="preserve">The sponsor states: </w:t>
            </w:r>
            <w:r w:rsidR="00AF5D28">
              <w:rPr>
                <w:i/>
              </w:rPr>
              <w:t>‘</w:t>
            </w:r>
            <w:proofErr w:type="spellStart"/>
            <w:r w:rsidRPr="00C63DC0">
              <w:rPr>
                <w:rFonts w:eastAsia="MS Mincho" w:cs="Calibri"/>
                <w:i/>
                <w:color w:val="000000"/>
              </w:rPr>
              <w:t>Tafluprost</w:t>
            </w:r>
            <w:proofErr w:type="spellEnd"/>
            <w:r w:rsidRPr="00C63DC0">
              <w:rPr>
                <w:rFonts w:eastAsia="MS Mincho" w:cs="Calibri"/>
                <w:i/>
                <w:color w:val="000000"/>
              </w:rPr>
              <w:t xml:space="preserve"> EU </w:t>
            </w:r>
            <w:proofErr w:type="spellStart"/>
            <w:r w:rsidRPr="00C63DC0">
              <w:rPr>
                <w:rFonts w:eastAsia="MS Mincho" w:cs="Calibri"/>
                <w:i/>
                <w:color w:val="000000"/>
              </w:rPr>
              <w:t>SmPC</w:t>
            </w:r>
            <w:proofErr w:type="spellEnd"/>
            <w:r w:rsidRPr="00C63DC0">
              <w:rPr>
                <w:rFonts w:eastAsia="MS Mincho" w:cs="Calibri"/>
                <w:i/>
                <w:color w:val="000000"/>
              </w:rPr>
              <w:t xml:space="preserve"> (</w:t>
            </w:r>
            <w:r w:rsidR="00AF5D28">
              <w:rPr>
                <w:rFonts w:eastAsia="MS Mincho" w:cs="Calibri"/>
                <w:i/>
                <w:color w:val="000000"/>
              </w:rPr>
              <w:t>‘</w:t>
            </w:r>
            <w:r w:rsidRPr="00C63DC0">
              <w:rPr>
                <w:rFonts w:eastAsia="MS Mincho" w:cs="Calibri"/>
                <w:i/>
                <w:color w:val="000000"/>
              </w:rPr>
              <w:t xml:space="preserve">There is no experience with </w:t>
            </w:r>
            <w:proofErr w:type="spellStart"/>
            <w:r w:rsidRPr="00C63DC0">
              <w:rPr>
                <w:rFonts w:eastAsia="MS Mincho" w:cs="Calibri"/>
                <w:i/>
                <w:color w:val="000000"/>
              </w:rPr>
              <w:t>tafluprost</w:t>
            </w:r>
            <w:proofErr w:type="spellEnd"/>
            <w:r w:rsidRPr="00C63DC0">
              <w:rPr>
                <w:rFonts w:eastAsia="MS Mincho" w:cs="Calibri"/>
                <w:i/>
                <w:color w:val="000000"/>
              </w:rPr>
              <w:t xml:space="preserve"> in </w:t>
            </w:r>
            <w:proofErr w:type="spellStart"/>
            <w:r w:rsidRPr="00C63DC0">
              <w:rPr>
                <w:rFonts w:eastAsia="MS Mincho" w:cs="Calibri"/>
                <w:i/>
                <w:color w:val="000000"/>
              </w:rPr>
              <w:t>neovascular</w:t>
            </w:r>
            <w:proofErr w:type="spellEnd"/>
            <w:r w:rsidRPr="00C63DC0">
              <w:rPr>
                <w:rFonts w:eastAsia="MS Mincho" w:cs="Calibri"/>
                <w:i/>
                <w:color w:val="000000"/>
              </w:rPr>
              <w:t xml:space="preserve">, angle-closure, narrow-angle </w:t>
            </w:r>
            <w:r w:rsidRPr="00C63DC0">
              <w:rPr>
                <w:rFonts w:eastAsia="MS Mincho" w:cs="Calibri"/>
                <w:i/>
                <w:color w:val="000000"/>
              </w:rPr>
              <w:lastRenderedPageBreak/>
              <w:t xml:space="preserve">or congenital glaucoma. There is only limited experience with </w:t>
            </w:r>
            <w:proofErr w:type="spellStart"/>
            <w:r w:rsidRPr="00C63DC0">
              <w:rPr>
                <w:rFonts w:eastAsia="MS Mincho" w:cs="Calibri"/>
                <w:i/>
                <w:color w:val="000000"/>
              </w:rPr>
              <w:t>tafluprost</w:t>
            </w:r>
            <w:proofErr w:type="spellEnd"/>
            <w:r w:rsidRPr="00C63DC0">
              <w:rPr>
                <w:rFonts w:eastAsia="MS Mincho" w:cs="Calibri"/>
                <w:i/>
                <w:color w:val="000000"/>
              </w:rPr>
              <w:t xml:space="preserve"> in </w:t>
            </w:r>
            <w:proofErr w:type="spellStart"/>
            <w:r w:rsidRPr="00C63DC0">
              <w:rPr>
                <w:rFonts w:eastAsia="MS Mincho" w:cs="Calibri"/>
                <w:i/>
                <w:color w:val="000000"/>
              </w:rPr>
              <w:t>aphakic</w:t>
            </w:r>
            <w:proofErr w:type="spellEnd"/>
            <w:r w:rsidRPr="00C63DC0">
              <w:rPr>
                <w:rFonts w:eastAsia="MS Mincho" w:cs="Calibri"/>
                <w:i/>
                <w:color w:val="000000"/>
              </w:rPr>
              <w:t xml:space="preserve"> patients and in </w:t>
            </w:r>
            <w:proofErr w:type="spellStart"/>
            <w:r w:rsidRPr="00C63DC0">
              <w:rPr>
                <w:rFonts w:eastAsia="MS Mincho" w:cs="Calibri"/>
                <w:i/>
                <w:color w:val="000000"/>
              </w:rPr>
              <w:t>pigmentary</w:t>
            </w:r>
            <w:proofErr w:type="spellEnd"/>
            <w:r w:rsidRPr="00C63DC0">
              <w:rPr>
                <w:rFonts w:eastAsia="MS Mincho" w:cs="Calibri"/>
                <w:i/>
                <w:color w:val="000000"/>
              </w:rPr>
              <w:t xml:space="preserve"> or </w:t>
            </w:r>
            <w:proofErr w:type="spellStart"/>
            <w:r w:rsidRPr="00C63DC0">
              <w:rPr>
                <w:rFonts w:eastAsia="MS Mincho" w:cs="Calibri"/>
                <w:i/>
                <w:color w:val="000000"/>
              </w:rPr>
              <w:t>pseudoexfoliative</w:t>
            </w:r>
            <w:proofErr w:type="spellEnd"/>
            <w:r w:rsidRPr="00C63DC0">
              <w:rPr>
                <w:rFonts w:eastAsia="MS Mincho" w:cs="Calibri"/>
                <w:i/>
                <w:color w:val="000000"/>
              </w:rPr>
              <w:t xml:space="preserve"> glaucoma</w:t>
            </w:r>
            <w:r w:rsidR="00AF5D28">
              <w:rPr>
                <w:rFonts w:eastAsia="MS Mincho" w:cs="Calibri"/>
                <w:i/>
                <w:color w:val="000000"/>
              </w:rPr>
              <w:t>’</w:t>
            </w:r>
            <w:r w:rsidRPr="00C63DC0">
              <w:rPr>
                <w:rFonts w:eastAsia="MS Mincho" w:cs="Calibri"/>
                <w:i/>
                <w:color w:val="000000"/>
              </w:rPr>
              <w:t xml:space="preserve">) and RMP are in line with each other. The statement was mistakenly left out from </w:t>
            </w:r>
            <w:proofErr w:type="spellStart"/>
            <w:r w:rsidR="00AF5D28">
              <w:rPr>
                <w:rFonts w:eastAsia="MS Mincho" w:cs="Calibri"/>
                <w:i/>
                <w:color w:val="000000"/>
              </w:rPr>
              <w:t>Taptiqom</w:t>
            </w:r>
            <w:proofErr w:type="spellEnd"/>
            <w:r w:rsidRPr="00C63DC0">
              <w:rPr>
                <w:rFonts w:eastAsia="MS Mincho" w:cs="Calibri"/>
                <w:i/>
                <w:color w:val="000000"/>
              </w:rPr>
              <w:t xml:space="preserve"> RMP and will be considered as missing information. </w:t>
            </w:r>
            <w:proofErr w:type="spellStart"/>
            <w:r w:rsidR="00AF5D28">
              <w:rPr>
                <w:rFonts w:eastAsia="MS Mincho" w:cs="Calibri"/>
                <w:i/>
                <w:color w:val="000000"/>
              </w:rPr>
              <w:t>Taptiqom</w:t>
            </w:r>
            <w:proofErr w:type="spellEnd"/>
            <w:r w:rsidRPr="00C63DC0">
              <w:rPr>
                <w:rFonts w:eastAsia="MS Mincho" w:cs="Calibri"/>
                <w:i/>
                <w:color w:val="000000"/>
              </w:rPr>
              <w:t xml:space="preserve"> RMP will be corrected accordingly.</w:t>
            </w:r>
            <w:r w:rsidR="00AF5D28">
              <w:rPr>
                <w:rFonts w:eastAsia="MS Mincho" w:cs="Calibri"/>
                <w:i/>
                <w:color w:val="000000"/>
              </w:rPr>
              <w:t xml:space="preserve"> </w:t>
            </w:r>
            <w:r w:rsidRPr="00C63DC0">
              <w:rPr>
                <w:rFonts w:eastAsia="MS Mincho" w:cs="Calibri"/>
                <w:i/>
                <w:color w:val="000000"/>
              </w:rPr>
              <w:t xml:space="preserve">Since the Australian PI is consistent with the EU </w:t>
            </w:r>
            <w:proofErr w:type="spellStart"/>
            <w:r w:rsidRPr="00C63DC0">
              <w:rPr>
                <w:rFonts w:eastAsia="MS Mincho" w:cs="Calibri"/>
                <w:i/>
                <w:color w:val="000000"/>
              </w:rPr>
              <w:t>SmPC</w:t>
            </w:r>
            <w:proofErr w:type="spellEnd"/>
            <w:r w:rsidRPr="00C63DC0">
              <w:rPr>
                <w:rFonts w:eastAsia="MS Mincho" w:cs="Calibri"/>
                <w:i/>
                <w:color w:val="000000"/>
              </w:rPr>
              <w:t>, and this statement will be included in the EU RMP, the ASA will not be updated. We provide an assurance that an updated RMP will be provided to the TGA at the next opportunity.</w:t>
            </w:r>
            <w:r w:rsidR="00AF5D28">
              <w:rPr>
                <w:rFonts w:eastAsia="MS Mincho" w:cs="Calibri"/>
                <w:i/>
                <w:color w:val="000000"/>
              </w:rPr>
              <w:t>’</w:t>
            </w:r>
          </w:p>
        </w:tc>
        <w:tc>
          <w:tcPr>
            <w:tcW w:w="1474" w:type="pct"/>
            <w:noWrap/>
          </w:tcPr>
          <w:p w:rsidR="00C63DC0" w:rsidRPr="00C63DC0" w:rsidRDefault="00C63DC0" w:rsidP="005801E5">
            <w:r w:rsidRPr="00C63DC0">
              <w:lastRenderedPageBreak/>
              <w:t xml:space="preserve">This response is considered inadequate. </w:t>
            </w:r>
            <w:r w:rsidRPr="00C63DC0">
              <w:rPr>
                <w:rFonts w:eastAsia="MS Mincho" w:cs="Calibri"/>
                <w:color w:val="000000"/>
              </w:rPr>
              <w:t>Consequently this issue remains outstanding (</w:t>
            </w:r>
            <w:r w:rsidRPr="00C63DC0">
              <w:t>see ‘Outstanding issues’).</w:t>
            </w:r>
          </w:p>
          <w:p w:rsidR="00C63DC0" w:rsidRPr="00C63DC0" w:rsidRDefault="00C63DC0" w:rsidP="005801E5">
            <w:r w:rsidRPr="00C63DC0">
              <w:t>This possible drug interaction is in the context of reports of paradoxical elevations in intraocular pressure.</w:t>
            </w:r>
            <w:r w:rsidR="00AF5D28">
              <w:t xml:space="preserve"> </w:t>
            </w:r>
            <w:r w:rsidRPr="00C63DC0">
              <w:t xml:space="preserve">Consequently the sponsor’s reassessment of this risk is considered inadequate and </w:t>
            </w:r>
            <w:r w:rsidRPr="00C63DC0">
              <w:rPr>
                <w:rFonts w:eastAsia="MS Mincho" w:cs="Calibri"/>
                <w:color w:val="000000"/>
              </w:rPr>
              <w:t>this issue remains outstanding (</w:t>
            </w:r>
            <w:r w:rsidRPr="00C63DC0">
              <w:t>see ‘Outstanding issues’).</w:t>
            </w:r>
          </w:p>
          <w:p w:rsidR="00C63DC0" w:rsidRPr="00C63DC0" w:rsidRDefault="00C63DC0" w:rsidP="005801E5">
            <w:r w:rsidRPr="00C63DC0">
              <w:rPr>
                <w:rFonts w:eastAsia="MS Mincho" w:cs="Calibri"/>
                <w:color w:val="000000"/>
              </w:rPr>
              <w:t xml:space="preserve">In general this response is acceptable, except for the absence of any comment on </w:t>
            </w:r>
            <w:r w:rsidRPr="00C63DC0">
              <w:t xml:space="preserve">the </w:t>
            </w:r>
            <w:r w:rsidRPr="00C63DC0">
              <w:rPr>
                <w:bCs/>
              </w:rPr>
              <w:t xml:space="preserve">important missing information: ‘Patients wearing contact lenses’ and the </w:t>
            </w:r>
            <w:r w:rsidRPr="00C63DC0">
              <w:rPr>
                <w:rFonts w:eastAsia="MS Mincho" w:cs="Calibri"/>
                <w:color w:val="000000"/>
              </w:rPr>
              <w:t>sponsor’s refusal to amend the ASA accordingly.</w:t>
            </w:r>
            <w:r w:rsidR="00AF5D28">
              <w:rPr>
                <w:rFonts w:eastAsia="MS Mincho" w:cs="Calibri"/>
                <w:color w:val="000000"/>
              </w:rPr>
              <w:t xml:space="preserve"> </w:t>
            </w:r>
            <w:r w:rsidRPr="00C63DC0">
              <w:rPr>
                <w:rFonts w:eastAsia="MS Mincho" w:cs="Calibri"/>
                <w:color w:val="000000"/>
              </w:rPr>
              <w:lastRenderedPageBreak/>
              <w:t xml:space="preserve">Consequently this issue remains outstanding until </w:t>
            </w:r>
            <w:r w:rsidRPr="00C63DC0">
              <w:t xml:space="preserve">the important missing information: ‘Patients with </w:t>
            </w:r>
            <w:proofErr w:type="spellStart"/>
            <w:r w:rsidRPr="00C63DC0">
              <w:t>aphakia</w:t>
            </w:r>
            <w:proofErr w:type="spellEnd"/>
            <w:r w:rsidRPr="00C63DC0">
              <w:t xml:space="preserve">’, ‘Patients with </w:t>
            </w:r>
            <w:proofErr w:type="spellStart"/>
            <w:r w:rsidRPr="00C63DC0">
              <w:t>neovascular</w:t>
            </w:r>
            <w:proofErr w:type="spellEnd"/>
            <w:r w:rsidRPr="00C63DC0">
              <w:t xml:space="preserve">, angle-closure, narrow angle, </w:t>
            </w:r>
            <w:proofErr w:type="spellStart"/>
            <w:r w:rsidRPr="00C63DC0">
              <w:t>psuedoexfoliative</w:t>
            </w:r>
            <w:proofErr w:type="spellEnd"/>
            <w:r w:rsidRPr="00C63DC0">
              <w:t xml:space="preserve"> or congenital glaucoma’ &amp; ‘Patients wearing contact lenses’ are included as ongoing safety concerns as reflected in a revised ASA </w:t>
            </w:r>
            <w:r w:rsidRPr="00C63DC0">
              <w:rPr>
                <w:bCs/>
              </w:rPr>
              <w:t xml:space="preserve">and </w:t>
            </w:r>
            <w:r w:rsidRPr="00C63DC0">
              <w:rPr>
                <w:iCs/>
              </w:rPr>
              <w:t xml:space="preserve">consideration given as to what </w:t>
            </w:r>
            <w:r w:rsidRPr="00C63DC0">
              <w:t>pharmacovigilance and risk minimisation activi</w:t>
            </w:r>
            <w:r w:rsidR="00577439">
              <w:t>ties will be proposed for them.</w:t>
            </w:r>
          </w:p>
        </w:tc>
      </w:tr>
      <w:tr w:rsidR="00C63DC0" w:rsidRPr="00107999" w:rsidTr="005801E5">
        <w:trPr>
          <w:trHeight w:val="1720"/>
        </w:trPr>
        <w:tc>
          <w:tcPr>
            <w:tcW w:w="1626" w:type="pct"/>
            <w:noWrap/>
          </w:tcPr>
          <w:p w:rsidR="00C63DC0" w:rsidRPr="00C63DC0" w:rsidRDefault="00AF5D28" w:rsidP="005801E5">
            <w:r>
              <w:lastRenderedPageBreak/>
              <w:t xml:space="preserve">4. </w:t>
            </w:r>
            <w:r w:rsidR="00C63DC0" w:rsidRPr="00C63DC0">
              <w:t>At this time there are no objections to the pharmacovigilance activities proposed by the sponsor.</w:t>
            </w:r>
            <w:r>
              <w:t xml:space="preserve"> </w:t>
            </w:r>
            <w:r w:rsidR="00C63DC0" w:rsidRPr="00C63DC0">
              <w:t>Nevertheless the ASA may need to be revised if additional ongoing safety concerns are included.</w:t>
            </w:r>
          </w:p>
        </w:tc>
        <w:tc>
          <w:tcPr>
            <w:tcW w:w="1900" w:type="pct"/>
            <w:noWrap/>
          </w:tcPr>
          <w:p w:rsidR="00C63DC0" w:rsidRPr="00C63DC0" w:rsidRDefault="00C63DC0" w:rsidP="005801E5">
            <w:r w:rsidRPr="00C63DC0">
              <w:t>The sponsor makes no specific response to this recommendation, but has declined to include any additional ongoing safety concerns.</w:t>
            </w:r>
          </w:p>
        </w:tc>
        <w:tc>
          <w:tcPr>
            <w:tcW w:w="1474" w:type="pct"/>
            <w:noWrap/>
          </w:tcPr>
          <w:p w:rsidR="00C63DC0" w:rsidRPr="00C63DC0" w:rsidRDefault="00C63DC0" w:rsidP="005801E5">
            <w:r w:rsidRPr="00C63DC0">
              <w:t>As discussed above the refusal to include any additional ongoing safety concerns is considered inadequate.</w:t>
            </w:r>
            <w:r w:rsidR="00AF5D28">
              <w:t xml:space="preserve"> </w:t>
            </w:r>
            <w:r w:rsidRPr="00C63DC0">
              <w:rPr>
                <w:rFonts w:eastAsia="MS Mincho" w:cs="Calibri"/>
                <w:color w:val="000000"/>
              </w:rPr>
              <w:t xml:space="preserve">An adequately revised ASA should be submitted for review </w:t>
            </w:r>
            <w:r w:rsidRPr="00C63DC0">
              <w:t>before this application is approved.</w:t>
            </w:r>
            <w:r w:rsidR="00AF5D28">
              <w:t xml:space="preserve"> </w:t>
            </w:r>
            <w:r w:rsidRPr="00C63DC0">
              <w:t xml:space="preserve">In addition this table should be re-titled ‘Summary of the Australian Risk Management Plan’, as it refers to both pharmacovigilance and risk </w:t>
            </w:r>
            <w:r w:rsidRPr="00C63DC0">
              <w:lastRenderedPageBreak/>
              <w:t>minimisation activities.</w:t>
            </w:r>
          </w:p>
        </w:tc>
      </w:tr>
      <w:tr w:rsidR="00C63DC0" w:rsidRPr="00107999" w:rsidTr="005801E5">
        <w:trPr>
          <w:trHeight w:val="1673"/>
        </w:trPr>
        <w:tc>
          <w:tcPr>
            <w:tcW w:w="1626" w:type="pct"/>
            <w:noWrap/>
          </w:tcPr>
          <w:p w:rsidR="00C63DC0" w:rsidRPr="00C63DC0" w:rsidRDefault="00AF5D28" w:rsidP="005801E5">
            <w:r>
              <w:lastRenderedPageBreak/>
              <w:t xml:space="preserve">5. </w:t>
            </w:r>
            <w:r w:rsidR="00C63DC0" w:rsidRPr="00C63DC0">
              <w:t>At this time the specified ongoing safety concerns would not appear to warrant additional risk minimisation activities, therefore the sponsor’s conclusion that routine risk minimisation activities for all the specified ongoing safety concerns are sufficient is acceptable.</w:t>
            </w:r>
          </w:p>
        </w:tc>
        <w:tc>
          <w:tcPr>
            <w:tcW w:w="1900" w:type="pct"/>
            <w:noWrap/>
          </w:tcPr>
          <w:p w:rsidR="00C63DC0" w:rsidRPr="00C63DC0" w:rsidRDefault="00C63DC0" w:rsidP="005801E5">
            <w:pPr>
              <w:rPr>
                <w:rFonts w:eastAsia="TimesNewRoman" w:cs="TimesNewRoman"/>
              </w:rPr>
            </w:pPr>
            <w:r w:rsidRPr="00C63DC0">
              <w:t>The sponsor makes no specific response to this recommendation.</w:t>
            </w:r>
          </w:p>
        </w:tc>
        <w:tc>
          <w:tcPr>
            <w:tcW w:w="1474" w:type="pct"/>
            <w:noWrap/>
          </w:tcPr>
          <w:p w:rsidR="00C63DC0" w:rsidRPr="00C63DC0" w:rsidRDefault="008D2EE7" w:rsidP="005801E5">
            <w:r w:rsidRPr="00C63DC0">
              <w:t>N</w:t>
            </w:r>
            <w:r>
              <w:t xml:space="preserve">ot applicable </w:t>
            </w:r>
          </w:p>
        </w:tc>
      </w:tr>
      <w:tr w:rsidR="00C63DC0" w:rsidRPr="00107999" w:rsidTr="005801E5">
        <w:trPr>
          <w:trHeight w:val="1084"/>
        </w:trPr>
        <w:tc>
          <w:tcPr>
            <w:tcW w:w="1626" w:type="pct"/>
            <w:noWrap/>
          </w:tcPr>
          <w:p w:rsidR="00C63DC0" w:rsidRPr="00C63DC0" w:rsidRDefault="00AF5D28" w:rsidP="005801E5">
            <w:r>
              <w:t xml:space="preserve">6. </w:t>
            </w:r>
            <w:r w:rsidR="00C63DC0" w:rsidRPr="00C63DC0">
              <w:t xml:space="preserve">At this time the </w:t>
            </w:r>
            <w:r w:rsidR="00C63DC0" w:rsidRPr="00C63DC0">
              <w:rPr>
                <w:rFonts w:eastAsia="TimesNewRoman"/>
              </w:rPr>
              <w:t xml:space="preserve">sponsor’s handling of the potential for medication errors </w:t>
            </w:r>
            <w:r w:rsidR="00C63DC0" w:rsidRPr="00C63DC0">
              <w:t>using routine pharmacovigilance and risk minimisation activities is acceptable.</w:t>
            </w:r>
          </w:p>
        </w:tc>
        <w:tc>
          <w:tcPr>
            <w:tcW w:w="1900" w:type="pct"/>
            <w:noWrap/>
          </w:tcPr>
          <w:p w:rsidR="00C63DC0" w:rsidRPr="00C63DC0" w:rsidRDefault="00C63DC0" w:rsidP="005801E5">
            <w:r w:rsidRPr="00C63DC0">
              <w:t>The sponsor makes no specific response to this recommendation.</w:t>
            </w:r>
          </w:p>
        </w:tc>
        <w:tc>
          <w:tcPr>
            <w:tcW w:w="1474" w:type="pct"/>
            <w:noWrap/>
          </w:tcPr>
          <w:p w:rsidR="00C63DC0" w:rsidRPr="00C63DC0" w:rsidRDefault="008D2EE7" w:rsidP="005801E5">
            <w:pPr>
              <w:rPr>
                <w:rFonts w:eastAsia="MS Mincho"/>
              </w:rPr>
            </w:pPr>
            <w:r>
              <w:rPr>
                <w:rFonts w:eastAsia="MS Mincho"/>
              </w:rPr>
              <w:t>Not applicable</w:t>
            </w:r>
          </w:p>
        </w:tc>
      </w:tr>
      <w:tr w:rsidR="00C63DC0" w:rsidRPr="00107999" w:rsidTr="005801E5">
        <w:trPr>
          <w:trHeight w:val="1578"/>
        </w:trPr>
        <w:tc>
          <w:tcPr>
            <w:tcW w:w="1626" w:type="pct"/>
            <w:noWrap/>
          </w:tcPr>
          <w:p w:rsidR="00C63DC0" w:rsidRPr="00C63DC0" w:rsidRDefault="00AF5D28" w:rsidP="005801E5">
            <w:r>
              <w:t xml:space="preserve">7. </w:t>
            </w:r>
            <w:r w:rsidR="00C63DC0" w:rsidRPr="00C63DC0">
              <w:t>At this time the sponsor’s proposed application of routine risk minimisation activities would appear to be reasonable and therefore generally acceptable.</w:t>
            </w:r>
            <w:r>
              <w:t xml:space="preserve"> </w:t>
            </w:r>
            <w:r w:rsidR="00C63DC0" w:rsidRPr="00C63DC0">
              <w:t>Nevertheless</w:t>
            </w:r>
            <w:r>
              <w:t>,</w:t>
            </w:r>
            <w:r w:rsidR="00C63DC0" w:rsidRPr="00C63DC0">
              <w:t xml:space="preserve"> the ASA may need to be revised if additional ongoi</w:t>
            </w:r>
            <w:r>
              <w:t>ng safety concerns are included</w:t>
            </w:r>
            <w:r w:rsidR="00C63DC0" w:rsidRPr="00C63DC0">
              <w:t>.</w:t>
            </w:r>
            <w:r>
              <w:t xml:space="preserve"> </w:t>
            </w:r>
            <w:r w:rsidR="00C63DC0" w:rsidRPr="00C63DC0">
              <w:t xml:space="preserve">Furthermore as per the </w:t>
            </w:r>
            <w:r w:rsidR="00C63DC0" w:rsidRPr="00C63DC0">
              <w:rPr>
                <w:i/>
              </w:rPr>
              <w:t xml:space="preserve">Risk Management Plan (RMP) Questions and Answers (Version 1.3, </w:t>
            </w:r>
            <w:r w:rsidR="00C63DC0" w:rsidRPr="00C63DC0">
              <w:rPr>
                <w:i/>
              </w:rPr>
              <w:lastRenderedPageBreak/>
              <w:t>October 2012)</w:t>
            </w:r>
            <w:r w:rsidR="00C63DC0" w:rsidRPr="00C63DC0">
              <w:t xml:space="preserve"> as found on the TGA website, these guidelines state: </w:t>
            </w:r>
            <w:r>
              <w:rPr>
                <w:i/>
              </w:rPr>
              <w:t>‘</w:t>
            </w:r>
            <w:r w:rsidR="00C63DC0" w:rsidRPr="00C63DC0">
              <w:rPr>
                <w:i/>
              </w:rPr>
              <w:t>The ASA should identify any differences between the EU-RMP and the local implementation of risk management activities, for example: any differences between the risk minimisation activities undertaken as reflected in the content of the EU Summary of Product Characteristics (</w:t>
            </w:r>
            <w:proofErr w:type="spellStart"/>
            <w:r w:rsidR="00C63DC0" w:rsidRPr="00C63DC0">
              <w:rPr>
                <w:i/>
              </w:rPr>
              <w:t>SmPC</w:t>
            </w:r>
            <w:proofErr w:type="spellEnd"/>
            <w:r w:rsidR="00C63DC0" w:rsidRPr="00C63DC0">
              <w:rPr>
                <w:i/>
              </w:rPr>
              <w:t>) and the proposed Australian Product Information (PI), and the reasons for the difference.</w:t>
            </w:r>
            <w:r>
              <w:rPr>
                <w:i/>
              </w:rPr>
              <w:t xml:space="preserve"> </w:t>
            </w:r>
            <w:r w:rsidR="00C63DC0" w:rsidRPr="00C63DC0">
              <w:rPr>
                <w:i/>
                <w:lang w:val="en"/>
              </w:rPr>
              <w:t>This will allow the TGA to assess the appropriateness of the proposed RMP in the Australian environment.</w:t>
            </w:r>
            <w:r>
              <w:rPr>
                <w:i/>
                <w:lang w:val="en"/>
              </w:rPr>
              <w:t>’</w:t>
            </w:r>
            <w:r>
              <w:rPr>
                <w:lang w:val="en"/>
              </w:rPr>
              <w:t xml:space="preserve"> </w:t>
            </w:r>
            <w:r w:rsidR="00C63DC0" w:rsidRPr="00C63DC0">
              <w:t>Consequently the sponsor</w:t>
            </w:r>
            <w:r w:rsidR="00C63DC0" w:rsidRPr="00C63DC0">
              <w:rPr>
                <w:color w:val="000000"/>
              </w:rPr>
              <w:t xml:space="preserve"> should </w:t>
            </w:r>
            <w:r w:rsidR="00C63DC0" w:rsidRPr="00C63DC0">
              <w:t xml:space="preserve">identify and provide reasons for any differences between the risk minimisation activities undertaken as reflected in the content of the EU </w:t>
            </w:r>
            <w:proofErr w:type="spellStart"/>
            <w:r w:rsidR="00C63DC0" w:rsidRPr="00C63DC0">
              <w:t>SmPC</w:t>
            </w:r>
            <w:proofErr w:type="spellEnd"/>
            <w:r w:rsidR="00C63DC0" w:rsidRPr="00C63DC0">
              <w:t xml:space="preserve"> and the proposed Australian PI in a revised ASA.</w:t>
            </w:r>
          </w:p>
        </w:tc>
        <w:tc>
          <w:tcPr>
            <w:tcW w:w="1900" w:type="pct"/>
            <w:noWrap/>
          </w:tcPr>
          <w:p w:rsidR="00C63DC0" w:rsidRPr="00C63DC0" w:rsidRDefault="00C63DC0" w:rsidP="005801E5">
            <w:r w:rsidRPr="00C63DC0">
              <w:lastRenderedPageBreak/>
              <w:t xml:space="preserve">The sponsor states: </w:t>
            </w:r>
            <w:r w:rsidR="00AF5D28">
              <w:rPr>
                <w:i/>
              </w:rPr>
              <w:t>‘</w:t>
            </w:r>
            <w:r w:rsidRPr="00C63DC0">
              <w:rPr>
                <w:i/>
              </w:rPr>
              <w:t xml:space="preserve">The differences between the PI and the </w:t>
            </w:r>
            <w:proofErr w:type="spellStart"/>
            <w:r w:rsidRPr="00C63DC0">
              <w:rPr>
                <w:i/>
              </w:rPr>
              <w:t>SmPC</w:t>
            </w:r>
            <w:proofErr w:type="spellEnd"/>
            <w:r w:rsidRPr="00C63DC0">
              <w:rPr>
                <w:i/>
              </w:rPr>
              <w:t xml:space="preserve"> are minor and have no impact on the level of safety profile as described in the RMP and ASA. Therefore no change has been made to the ASA.</w:t>
            </w:r>
            <w:r w:rsidR="00AF5D28">
              <w:rPr>
                <w:i/>
              </w:rPr>
              <w:t>’</w:t>
            </w:r>
          </w:p>
        </w:tc>
        <w:tc>
          <w:tcPr>
            <w:tcW w:w="1474" w:type="pct"/>
            <w:noWrap/>
          </w:tcPr>
          <w:p w:rsidR="00C63DC0" w:rsidRPr="00C63DC0" w:rsidRDefault="00C63DC0" w:rsidP="005801E5">
            <w:pPr>
              <w:rPr>
                <w:rFonts w:eastAsia="MS Mincho"/>
              </w:rPr>
            </w:pPr>
            <w:r w:rsidRPr="00C63DC0">
              <w:t>This is not entirely satisfactory.</w:t>
            </w:r>
            <w:r w:rsidR="00AF5D28">
              <w:t xml:space="preserve"> </w:t>
            </w:r>
            <w:r w:rsidRPr="00C63DC0">
              <w:t xml:space="preserve">Consequently it is recommended that the ASA should include a risk minimisation activities table, which compares the actual content and wording of the current EU </w:t>
            </w:r>
            <w:proofErr w:type="spellStart"/>
            <w:r w:rsidRPr="00C63DC0">
              <w:t>SmPC</w:t>
            </w:r>
            <w:proofErr w:type="spellEnd"/>
            <w:r w:rsidRPr="00C63DC0">
              <w:t xml:space="preserve"> and the proposed Australian PI &amp; CMI for all of the specified ongo</w:t>
            </w:r>
            <w:r w:rsidR="00577439">
              <w:t xml:space="preserve">ing safety concerns and missing </w:t>
            </w:r>
            <w:r w:rsidRPr="00C63DC0">
              <w:lastRenderedPageBreak/>
              <w:t>information.</w:t>
            </w:r>
            <w:r w:rsidR="00AF5D28">
              <w:t xml:space="preserve"> </w:t>
            </w:r>
            <w:r w:rsidRPr="00C63DC0">
              <w:t xml:space="preserve">This table should identify and provide reasons for any observed differences </w:t>
            </w:r>
            <w:r w:rsidRPr="00C63DC0">
              <w:rPr>
                <w:rFonts w:eastAsia="MS Mincho" w:cs="ArialMT"/>
              </w:rPr>
              <w:t xml:space="preserve">particularly where it appears the EU </w:t>
            </w:r>
            <w:proofErr w:type="spellStart"/>
            <w:r w:rsidRPr="00C63DC0">
              <w:rPr>
                <w:rFonts w:eastAsia="MS Mincho" w:cs="ArialMT"/>
              </w:rPr>
              <w:t>SmPC</w:t>
            </w:r>
            <w:proofErr w:type="spellEnd"/>
            <w:r w:rsidRPr="00C63DC0">
              <w:rPr>
                <w:rFonts w:eastAsia="MS Mincho" w:cs="ArialMT"/>
              </w:rPr>
              <w:t xml:space="preserve"> is more restrictive.</w:t>
            </w:r>
            <w:r w:rsidR="00AF5D28">
              <w:rPr>
                <w:rFonts w:eastAsia="MS Mincho" w:cs="ArialMT"/>
              </w:rPr>
              <w:t xml:space="preserve"> </w:t>
            </w:r>
            <w:r w:rsidRPr="00C63DC0">
              <w:t xml:space="preserve">The TGA can then validate the sponsor’s assertion that there </w:t>
            </w:r>
            <w:proofErr w:type="gramStart"/>
            <w:r w:rsidRPr="00C63DC0">
              <w:t>are</w:t>
            </w:r>
            <w:proofErr w:type="gramEnd"/>
            <w:r w:rsidRPr="00C63DC0">
              <w:t xml:space="preserve"> no material differences between the routine risk minimisation activities undertaken in Europe compared to Australia.</w:t>
            </w:r>
            <w:r w:rsidR="00AF5D28">
              <w:t xml:space="preserve"> </w:t>
            </w:r>
            <w:r w:rsidRPr="00C63DC0">
              <w:t>An</w:t>
            </w:r>
            <w:r w:rsidRPr="00C63DC0">
              <w:rPr>
                <w:rFonts w:eastAsia="MS Mincho" w:cs="Calibri"/>
                <w:color w:val="000000"/>
              </w:rPr>
              <w:t xml:space="preserve"> adequately revised ASA should be submitted for review </w:t>
            </w:r>
            <w:r w:rsidRPr="00C63DC0">
              <w:t>before this application is approved.</w:t>
            </w:r>
          </w:p>
        </w:tc>
      </w:tr>
    </w:tbl>
    <w:p w:rsidR="008E7846" w:rsidRDefault="008E7846" w:rsidP="00C63DC0">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78024B" w:rsidRDefault="0078024B" w:rsidP="0078024B">
      <w:bookmarkStart w:id="127" w:name="_Toc314842510"/>
      <w:r>
        <w:t>It is considered that the sponsor’s response to the TGA</w:t>
      </w:r>
      <w:r w:rsidR="008B3C5F">
        <w:t>’s</w:t>
      </w:r>
      <w:r>
        <w:t xml:space="preserve"> </w:t>
      </w:r>
      <w:r w:rsidR="006B43DA">
        <w:t xml:space="preserve">consolidated </w:t>
      </w:r>
      <w:r w:rsidR="008B3C5F">
        <w:t>r</w:t>
      </w:r>
      <w:r>
        <w:t xml:space="preserve">equest </w:t>
      </w:r>
      <w:r w:rsidR="008B3C5F">
        <w:t xml:space="preserve">for further information </w:t>
      </w:r>
      <w:r>
        <w:t xml:space="preserve">has not adequately addressed all of the issues identified in </w:t>
      </w:r>
      <w:r w:rsidR="008B3C5F">
        <w:t xml:space="preserve">the RMP evaluation report (see </w:t>
      </w:r>
      <w:r>
        <w:t>below)</w:t>
      </w:r>
      <w:r w:rsidR="006B43DA">
        <w:t>.</w:t>
      </w:r>
    </w:p>
    <w:p w:rsidR="0078024B" w:rsidRDefault="0078024B" w:rsidP="008B3C5F">
      <w:pPr>
        <w:pStyle w:val="Heading5"/>
      </w:pPr>
      <w:r>
        <w:lastRenderedPageBreak/>
        <w:t>Outstanding issues</w:t>
      </w:r>
    </w:p>
    <w:p w:rsidR="00C63DC0" w:rsidRPr="00C63DC0" w:rsidRDefault="00C63DC0" w:rsidP="00C63DC0">
      <w:pPr>
        <w:pStyle w:val="Heading6"/>
      </w:pPr>
      <w:bookmarkStart w:id="128" w:name="_Toc314842512"/>
      <w:bookmarkEnd w:id="104"/>
      <w:bookmarkEnd w:id="126"/>
      <w:bookmarkEnd w:id="127"/>
      <w:r w:rsidRPr="00C63DC0">
        <w:t>Issues in relation to t</w:t>
      </w:r>
      <w:r w:rsidR="00577439">
        <w:t>he RMP</w:t>
      </w:r>
    </w:p>
    <w:p w:rsidR="00C63DC0" w:rsidRDefault="00C63DC0" w:rsidP="00C63DC0">
      <w:r>
        <w:t>The sponsor was advised to correct the pagination in the ‘Table of Contents’ of the ASA and to apply appropriate document control to the ASA.</w:t>
      </w:r>
      <w:r w:rsidR="00AF5D28">
        <w:t xml:space="preserve"> </w:t>
      </w:r>
      <w:r>
        <w:t xml:space="preserve">The sponsor states: </w:t>
      </w:r>
      <w:r w:rsidR="00AF5D28">
        <w:rPr>
          <w:i/>
        </w:rPr>
        <w:t>‘</w:t>
      </w:r>
      <w:r>
        <w:rPr>
          <w:i/>
        </w:rPr>
        <w:t xml:space="preserve">No change has been made to the ASA initially submitted to the </w:t>
      </w:r>
      <w:proofErr w:type="gramStart"/>
      <w:r>
        <w:rPr>
          <w:i/>
        </w:rPr>
        <w:t>TGA,</w:t>
      </w:r>
      <w:proofErr w:type="gramEnd"/>
      <w:r>
        <w:rPr>
          <w:i/>
        </w:rPr>
        <w:t xml:space="preserve"> therefore the ASA Table of Content does not need to be updated.</w:t>
      </w:r>
      <w:r w:rsidR="00AF5D28">
        <w:rPr>
          <w:i/>
        </w:rPr>
        <w:t>’</w:t>
      </w:r>
      <w:r w:rsidR="00AF5D28">
        <w:t xml:space="preserve"> </w:t>
      </w:r>
      <w:r>
        <w:t>Unfortunately it appears the sponsor has not checked the pagination in the ‘Table of Contents’ of the ASA and not identified the observed inconsistencies.</w:t>
      </w:r>
      <w:r w:rsidR="00AF5D28">
        <w:t xml:space="preserve"> </w:t>
      </w:r>
      <w:r>
        <w:t>Consequently this issue remains outstanding and a corrected ASA, which should be appropriately version controlled and dated, must be provided to the TGA for review before this application is approved.</w:t>
      </w:r>
    </w:p>
    <w:p w:rsidR="00C63DC0" w:rsidRDefault="00C63DC0" w:rsidP="00C63DC0">
      <w:r>
        <w:t xml:space="preserve">The sponsor was asked to provide compelling justification for the deletions/omissions from the summary of the Ongoing Safety Concerns in comparison to what was previously accepted for </w:t>
      </w:r>
      <w:proofErr w:type="spellStart"/>
      <w:r w:rsidR="00AF5D28">
        <w:t>Saflutan</w:t>
      </w:r>
      <w:proofErr w:type="spellEnd"/>
      <w:r>
        <w:t>.</w:t>
      </w:r>
      <w:r w:rsidR="00AF5D28">
        <w:t xml:space="preserve"> </w:t>
      </w:r>
      <w:r>
        <w:t>Alternatively i</w:t>
      </w:r>
      <w:r>
        <w:rPr>
          <w:iCs/>
        </w:rPr>
        <w:t xml:space="preserve">f the sponsor decided </w:t>
      </w:r>
      <w:r>
        <w:t xml:space="preserve">to include these ongoing safety concerns in Australia for </w:t>
      </w:r>
      <w:proofErr w:type="spellStart"/>
      <w:r w:rsidR="00AF5D28">
        <w:t>Taptiqom</w:t>
      </w:r>
      <w:proofErr w:type="spellEnd"/>
      <w:r>
        <w:rPr>
          <w:bCs/>
        </w:rPr>
        <w:t>,</w:t>
      </w:r>
      <w:r>
        <w:t xml:space="preserve"> then </w:t>
      </w:r>
      <w:r>
        <w:rPr>
          <w:iCs/>
        </w:rPr>
        <w:t xml:space="preserve">consideration must be given as to what </w:t>
      </w:r>
      <w:r>
        <w:t>pharmacovigilance and risk minimisation activities will be proposed for them and the ASA should be revised accordingly.</w:t>
      </w:r>
      <w:r w:rsidR="00AF5D28">
        <w:t xml:space="preserve"> </w:t>
      </w:r>
      <w:r>
        <w:t>The sponsor has responded as follows:</w:t>
      </w:r>
    </w:p>
    <w:p w:rsidR="00C63DC0" w:rsidRDefault="00C63DC0" w:rsidP="00C63DC0">
      <w:pPr>
        <w:pStyle w:val="ListBullet"/>
      </w:pPr>
      <w:r>
        <w:t>In regard to the important potential risk: ‘</w:t>
      </w:r>
      <w:proofErr w:type="spellStart"/>
      <w:r>
        <w:t>Embryotoxicity</w:t>
      </w:r>
      <w:proofErr w:type="spellEnd"/>
      <w:r>
        <w:t xml:space="preserve">’, the sponsor concedes: </w:t>
      </w:r>
      <w:r w:rsidR="00AF5D28">
        <w:t>‘</w:t>
      </w:r>
      <w:proofErr w:type="spellStart"/>
      <w:r w:rsidRPr="00AF5D28">
        <w:rPr>
          <w:i/>
        </w:rPr>
        <w:t>Embryotoxicity</w:t>
      </w:r>
      <w:proofErr w:type="spellEnd"/>
      <w:r w:rsidRPr="00AF5D28">
        <w:rPr>
          <w:i/>
        </w:rPr>
        <w:t xml:space="preserve"> has been seen in animal testing with </w:t>
      </w:r>
      <w:proofErr w:type="spellStart"/>
      <w:r w:rsidRPr="00AF5D28">
        <w:rPr>
          <w:i/>
        </w:rPr>
        <w:t>tafluprost</w:t>
      </w:r>
      <w:proofErr w:type="spellEnd"/>
      <w:r>
        <w:t>.</w:t>
      </w:r>
      <w:r w:rsidR="00AF5D28">
        <w:t xml:space="preserve">’ </w:t>
      </w:r>
      <w:r>
        <w:t xml:space="preserve">However, then states: </w:t>
      </w:r>
      <w:r w:rsidR="00AF5D28">
        <w:t>‘</w:t>
      </w:r>
      <w:r w:rsidRPr="00AF5D28">
        <w:rPr>
          <w:i/>
        </w:rPr>
        <w:t xml:space="preserve">After reassessing the risks for </w:t>
      </w:r>
      <w:proofErr w:type="spellStart"/>
      <w:r w:rsidRPr="00AF5D28">
        <w:rPr>
          <w:i/>
        </w:rPr>
        <w:t>tafluprost</w:t>
      </w:r>
      <w:proofErr w:type="spellEnd"/>
      <w:r w:rsidRPr="00AF5D28">
        <w:rPr>
          <w:i/>
        </w:rPr>
        <w:t xml:space="preserve">, </w:t>
      </w:r>
      <w:proofErr w:type="spellStart"/>
      <w:r w:rsidRPr="00AF5D28">
        <w:rPr>
          <w:i/>
        </w:rPr>
        <w:t>embryotoxicity</w:t>
      </w:r>
      <w:proofErr w:type="spellEnd"/>
      <w:r w:rsidRPr="00AF5D28">
        <w:rPr>
          <w:i/>
        </w:rPr>
        <w:t xml:space="preserve"> was not considered anymore as an important potential risk for humans</w:t>
      </w:r>
      <w:r w:rsidR="00AF5D28" w:rsidRPr="00AF5D28">
        <w:rPr>
          <w:i/>
        </w:rPr>
        <w:t>’</w:t>
      </w:r>
      <w:r>
        <w:t xml:space="preserve"> without providing detail of any such reassessment or new evidence.</w:t>
      </w:r>
      <w:r w:rsidR="00AF5D28">
        <w:t xml:space="preserve"> </w:t>
      </w:r>
      <w:r>
        <w:t>This response is considered inadequate and it is recommended that the important potential risk: ‘</w:t>
      </w:r>
      <w:proofErr w:type="spellStart"/>
      <w:r>
        <w:t>Embryotoxicity</w:t>
      </w:r>
      <w:proofErr w:type="spellEnd"/>
      <w:r>
        <w:t>’</w:t>
      </w:r>
      <w:r>
        <w:rPr>
          <w:rFonts w:eastAsia="TimesNewRoman"/>
          <w:color w:val="000000"/>
        </w:rPr>
        <w:t xml:space="preserve"> should be included as a new ongoing safety concern for </w:t>
      </w:r>
      <w:proofErr w:type="spellStart"/>
      <w:proofErr w:type="gramStart"/>
      <w:r w:rsidR="00AF5D28">
        <w:rPr>
          <w:bCs/>
        </w:rPr>
        <w:t>Taptiqom</w:t>
      </w:r>
      <w:proofErr w:type="spellEnd"/>
      <w:r>
        <w:rPr>
          <w:bCs/>
        </w:rPr>
        <w:t>,</w:t>
      </w:r>
      <w:proofErr w:type="gramEnd"/>
      <w:r>
        <w:rPr>
          <w:bCs/>
        </w:rPr>
        <w:t xml:space="preserve"> and </w:t>
      </w:r>
      <w:r>
        <w:rPr>
          <w:iCs/>
        </w:rPr>
        <w:t xml:space="preserve">consideration given as to what </w:t>
      </w:r>
      <w:r>
        <w:t>pharmacovigilance and risk minimisation activities will be proposed for it.</w:t>
      </w:r>
      <w:r w:rsidR="00AF5D28">
        <w:t xml:space="preserve"> </w:t>
      </w:r>
      <w:r>
        <w:t>These changes need only be reflected in a revised ASA before this application is approved.</w:t>
      </w:r>
    </w:p>
    <w:p w:rsidR="00C63DC0" w:rsidRDefault="00C63DC0" w:rsidP="00C63DC0">
      <w:pPr>
        <w:pStyle w:val="ListBullet"/>
      </w:pPr>
      <w:r>
        <w:t xml:space="preserve">In regard to the important potential risk: ‘Possible drug interaction; combination of </w:t>
      </w:r>
      <w:proofErr w:type="spellStart"/>
      <w:r>
        <w:t>tafluprost</w:t>
      </w:r>
      <w:proofErr w:type="spellEnd"/>
      <w:r>
        <w:t xml:space="preserve"> and other prostaglandin analogues’, the sponsor states this ongoing safety concern </w:t>
      </w:r>
      <w:r w:rsidR="00AF5D28">
        <w:t>‘</w:t>
      </w:r>
      <w:r w:rsidRPr="00AF5D28">
        <w:rPr>
          <w:i/>
        </w:rPr>
        <w:t xml:space="preserve">is mentioned as an important potential risk only in the </w:t>
      </w:r>
      <w:proofErr w:type="spellStart"/>
      <w:r w:rsidRPr="00AF5D28">
        <w:rPr>
          <w:i/>
        </w:rPr>
        <w:t>tafluprost</w:t>
      </w:r>
      <w:proofErr w:type="spellEnd"/>
      <w:r w:rsidRPr="00AF5D28">
        <w:rPr>
          <w:i/>
        </w:rPr>
        <w:t xml:space="preserve"> RMP and it is not in line with the </w:t>
      </w:r>
      <w:proofErr w:type="spellStart"/>
      <w:r w:rsidRPr="00AF5D28">
        <w:rPr>
          <w:i/>
        </w:rPr>
        <w:t>tafluprost</w:t>
      </w:r>
      <w:proofErr w:type="spellEnd"/>
      <w:r w:rsidRPr="00AF5D28">
        <w:rPr>
          <w:i/>
        </w:rPr>
        <w:t xml:space="preserve"> EU </w:t>
      </w:r>
      <w:proofErr w:type="spellStart"/>
      <w:r w:rsidRPr="00AF5D28">
        <w:rPr>
          <w:i/>
        </w:rPr>
        <w:t>SmPC</w:t>
      </w:r>
      <w:proofErr w:type="spellEnd"/>
      <w:r>
        <w:t xml:space="preserve">: </w:t>
      </w:r>
      <w:r w:rsidR="00AF5D28">
        <w:t>‘</w:t>
      </w:r>
      <w:r w:rsidRPr="00AF5D28">
        <w:rPr>
          <w:i/>
        </w:rPr>
        <w:t xml:space="preserve">No interactions are anticipated in humans, since systemic concentrations of </w:t>
      </w:r>
      <w:proofErr w:type="spellStart"/>
      <w:r w:rsidRPr="00AF5D28">
        <w:rPr>
          <w:i/>
        </w:rPr>
        <w:t>tafluprost</w:t>
      </w:r>
      <w:proofErr w:type="spellEnd"/>
      <w:r w:rsidRPr="00AF5D28">
        <w:rPr>
          <w:i/>
        </w:rPr>
        <w:t xml:space="preserve"> are extremely low following ocular dosing. Therefore, specific interaction studies with other medicinal products have not been performed with </w:t>
      </w:r>
      <w:proofErr w:type="spellStart"/>
      <w:r w:rsidRPr="00AF5D28">
        <w:rPr>
          <w:i/>
        </w:rPr>
        <w:t>tafluprost</w:t>
      </w:r>
      <w:proofErr w:type="spellEnd"/>
      <w:r w:rsidRPr="00AF5D28">
        <w:rPr>
          <w:i/>
        </w:rPr>
        <w:t>.</w:t>
      </w:r>
      <w:r w:rsidR="00AF5D28">
        <w:t xml:space="preserve">’ </w:t>
      </w:r>
      <w:r>
        <w:t>However, this possible drug interaction is in the context of reports of paradoxical elevations in intraocular pressure.</w:t>
      </w:r>
      <w:r w:rsidR="00AF5D28">
        <w:t xml:space="preserve"> </w:t>
      </w:r>
      <w:r>
        <w:t xml:space="preserve">Consequently the sponsor’s reassessment of this risk is considered inadequate and it is recommended that the important potential risk: ‘Possible drug interaction; combination of </w:t>
      </w:r>
      <w:proofErr w:type="spellStart"/>
      <w:r>
        <w:t>tafluprost</w:t>
      </w:r>
      <w:proofErr w:type="spellEnd"/>
      <w:r>
        <w:t xml:space="preserve"> and other prostaglandin analogues’, </w:t>
      </w:r>
      <w:r>
        <w:rPr>
          <w:rFonts w:eastAsia="TimesNewRoman"/>
          <w:color w:val="000000"/>
        </w:rPr>
        <w:t xml:space="preserve">should be included as a new ongoing safety concern for </w:t>
      </w:r>
      <w:proofErr w:type="spellStart"/>
      <w:r w:rsidR="00AF5D28">
        <w:rPr>
          <w:bCs/>
        </w:rPr>
        <w:t>Taptiqom</w:t>
      </w:r>
      <w:proofErr w:type="spellEnd"/>
      <w:r>
        <w:rPr>
          <w:bCs/>
        </w:rPr>
        <w:t xml:space="preserve">, and </w:t>
      </w:r>
      <w:r>
        <w:rPr>
          <w:iCs/>
        </w:rPr>
        <w:t xml:space="preserve">consideration given as to what </w:t>
      </w:r>
      <w:r>
        <w:t>pharmacovigilance and risk minimisation activities will be proposed for it.</w:t>
      </w:r>
      <w:r w:rsidR="00AF5D28">
        <w:t xml:space="preserve"> </w:t>
      </w:r>
      <w:r>
        <w:t>These changes need only be reflected in a revised ASA befor</w:t>
      </w:r>
      <w:r w:rsidR="00577439">
        <w:t>e this application is approved.</w:t>
      </w:r>
    </w:p>
    <w:p w:rsidR="00C63DC0" w:rsidRDefault="00C63DC0" w:rsidP="00C63DC0">
      <w:pPr>
        <w:pStyle w:val="ListBullet"/>
      </w:pPr>
      <w:r>
        <w:t xml:space="preserve">In regard to the </w:t>
      </w:r>
      <w:r>
        <w:rPr>
          <w:bCs/>
        </w:rPr>
        <w:t xml:space="preserve">important missing information: ‘Patients with </w:t>
      </w:r>
      <w:proofErr w:type="spellStart"/>
      <w:r>
        <w:rPr>
          <w:bCs/>
        </w:rPr>
        <w:t>aphakia</w:t>
      </w:r>
      <w:proofErr w:type="spellEnd"/>
      <w:r>
        <w:rPr>
          <w:bCs/>
        </w:rPr>
        <w:t xml:space="preserve">’, ‘Patients with </w:t>
      </w:r>
      <w:proofErr w:type="spellStart"/>
      <w:r>
        <w:rPr>
          <w:bCs/>
        </w:rPr>
        <w:t>neovascular</w:t>
      </w:r>
      <w:proofErr w:type="spellEnd"/>
      <w:r>
        <w:rPr>
          <w:bCs/>
        </w:rPr>
        <w:t xml:space="preserve">, angle closure, narrow angle, </w:t>
      </w:r>
      <w:proofErr w:type="spellStart"/>
      <w:r>
        <w:rPr>
          <w:bCs/>
        </w:rPr>
        <w:t>pseudoexfoliative</w:t>
      </w:r>
      <w:proofErr w:type="spellEnd"/>
      <w:r>
        <w:rPr>
          <w:bCs/>
        </w:rPr>
        <w:t xml:space="preserve"> or congenital glaucoma’ &amp; ‘Patients wearing contact lenses’,</w:t>
      </w:r>
      <w:r>
        <w:t xml:space="preserve"> the sponsor states: </w:t>
      </w:r>
      <w:r w:rsidR="00AF5D28">
        <w:t>‘</w:t>
      </w:r>
      <w:proofErr w:type="spellStart"/>
      <w:r>
        <w:rPr>
          <w:rFonts w:eastAsia="MS Mincho" w:cs="Calibri"/>
          <w:color w:val="000000"/>
          <w:lang w:eastAsia="en-AU"/>
        </w:rPr>
        <w:t>Tafluprost</w:t>
      </w:r>
      <w:proofErr w:type="spellEnd"/>
      <w:r>
        <w:rPr>
          <w:rFonts w:eastAsia="MS Mincho" w:cs="Calibri"/>
          <w:color w:val="000000"/>
          <w:lang w:eastAsia="en-AU"/>
        </w:rPr>
        <w:t xml:space="preserve"> EU </w:t>
      </w:r>
      <w:proofErr w:type="spellStart"/>
      <w:r>
        <w:rPr>
          <w:rFonts w:eastAsia="MS Mincho" w:cs="Calibri"/>
          <w:color w:val="000000"/>
          <w:lang w:eastAsia="en-AU"/>
        </w:rPr>
        <w:t>SmPC</w:t>
      </w:r>
      <w:proofErr w:type="spellEnd"/>
      <w:r>
        <w:rPr>
          <w:rFonts w:eastAsia="MS Mincho" w:cs="Calibri"/>
          <w:color w:val="000000"/>
          <w:lang w:eastAsia="en-AU"/>
        </w:rPr>
        <w:t xml:space="preserve"> (</w:t>
      </w:r>
      <w:r w:rsidR="00AF5D28">
        <w:rPr>
          <w:rFonts w:eastAsia="MS Mincho" w:cs="Calibri"/>
          <w:color w:val="000000"/>
          <w:lang w:eastAsia="en-AU"/>
        </w:rPr>
        <w:t>‘</w:t>
      </w:r>
      <w:r w:rsidRPr="00AF5D28">
        <w:rPr>
          <w:rFonts w:eastAsia="MS Mincho" w:cs="Calibri"/>
          <w:i/>
          <w:color w:val="000000"/>
          <w:lang w:eastAsia="en-AU"/>
        </w:rPr>
        <w:t xml:space="preserve">There is no experience with </w:t>
      </w:r>
      <w:proofErr w:type="spellStart"/>
      <w:r w:rsidRPr="00AF5D28">
        <w:rPr>
          <w:rFonts w:eastAsia="MS Mincho" w:cs="Calibri"/>
          <w:i/>
          <w:color w:val="000000"/>
          <w:lang w:eastAsia="en-AU"/>
        </w:rPr>
        <w:t>tafluprost</w:t>
      </w:r>
      <w:proofErr w:type="spellEnd"/>
      <w:r w:rsidRPr="00AF5D28">
        <w:rPr>
          <w:rFonts w:eastAsia="MS Mincho" w:cs="Calibri"/>
          <w:i/>
          <w:color w:val="000000"/>
          <w:lang w:eastAsia="en-AU"/>
        </w:rPr>
        <w:t xml:space="preserve"> in </w:t>
      </w:r>
      <w:proofErr w:type="spellStart"/>
      <w:r w:rsidRPr="00AF5D28">
        <w:rPr>
          <w:rFonts w:eastAsia="MS Mincho" w:cs="Calibri"/>
          <w:i/>
          <w:color w:val="000000"/>
          <w:lang w:eastAsia="en-AU"/>
        </w:rPr>
        <w:t>neovascular</w:t>
      </w:r>
      <w:proofErr w:type="spellEnd"/>
      <w:r w:rsidRPr="00AF5D28">
        <w:rPr>
          <w:rFonts w:eastAsia="MS Mincho" w:cs="Calibri"/>
          <w:i/>
          <w:color w:val="000000"/>
          <w:lang w:eastAsia="en-AU"/>
        </w:rPr>
        <w:t xml:space="preserve">, angle-closure, narrow-angle or congenital glaucoma. There is only limited experience with </w:t>
      </w:r>
      <w:proofErr w:type="spellStart"/>
      <w:r w:rsidRPr="00AF5D28">
        <w:rPr>
          <w:rFonts w:eastAsia="MS Mincho" w:cs="Calibri"/>
          <w:i/>
          <w:color w:val="000000"/>
          <w:lang w:eastAsia="en-AU"/>
        </w:rPr>
        <w:t>tafluprost</w:t>
      </w:r>
      <w:proofErr w:type="spellEnd"/>
      <w:r w:rsidRPr="00AF5D28">
        <w:rPr>
          <w:rFonts w:eastAsia="MS Mincho" w:cs="Calibri"/>
          <w:i/>
          <w:color w:val="000000"/>
          <w:lang w:eastAsia="en-AU"/>
        </w:rPr>
        <w:t xml:space="preserve"> in </w:t>
      </w:r>
      <w:proofErr w:type="spellStart"/>
      <w:r w:rsidRPr="00AF5D28">
        <w:rPr>
          <w:rFonts w:eastAsia="MS Mincho" w:cs="Calibri"/>
          <w:i/>
          <w:color w:val="000000"/>
          <w:lang w:eastAsia="en-AU"/>
        </w:rPr>
        <w:t>aphakic</w:t>
      </w:r>
      <w:proofErr w:type="spellEnd"/>
      <w:r w:rsidRPr="00AF5D28">
        <w:rPr>
          <w:rFonts w:eastAsia="MS Mincho" w:cs="Calibri"/>
          <w:i/>
          <w:color w:val="000000"/>
          <w:lang w:eastAsia="en-AU"/>
        </w:rPr>
        <w:t xml:space="preserve"> patients and in </w:t>
      </w:r>
      <w:proofErr w:type="spellStart"/>
      <w:r w:rsidRPr="00AF5D28">
        <w:rPr>
          <w:rFonts w:eastAsia="MS Mincho" w:cs="Calibri"/>
          <w:i/>
          <w:color w:val="000000"/>
          <w:lang w:eastAsia="en-AU"/>
        </w:rPr>
        <w:t>pigmentary</w:t>
      </w:r>
      <w:proofErr w:type="spellEnd"/>
      <w:r w:rsidRPr="00AF5D28">
        <w:rPr>
          <w:rFonts w:eastAsia="MS Mincho" w:cs="Calibri"/>
          <w:i/>
          <w:color w:val="000000"/>
          <w:lang w:eastAsia="en-AU"/>
        </w:rPr>
        <w:t xml:space="preserve"> or </w:t>
      </w:r>
      <w:proofErr w:type="spellStart"/>
      <w:r w:rsidRPr="00AF5D28">
        <w:rPr>
          <w:rFonts w:eastAsia="MS Mincho" w:cs="Calibri"/>
          <w:i/>
          <w:color w:val="000000"/>
          <w:lang w:eastAsia="en-AU"/>
        </w:rPr>
        <w:t>pseudoexfoliative</w:t>
      </w:r>
      <w:proofErr w:type="spellEnd"/>
      <w:r w:rsidRPr="00AF5D28">
        <w:rPr>
          <w:rFonts w:eastAsia="MS Mincho" w:cs="Calibri"/>
          <w:i/>
          <w:color w:val="000000"/>
          <w:lang w:eastAsia="en-AU"/>
        </w:rPr>
        <w:t xml:space="preserve"> glaucoma</w:t>
      </w:r>
      <w:r w:rsidR="00AF5D28" w:rsidRPr="00AF5D28">
        <w:rPr>
          <w:rFonts w:eastAsia="MS Mincho" w:cs="Calibri"/>
          <w:i/>
          <w:color w:val="000000"/>
          <w:lang w:eastAsia="en-AU"/>
        </w:rPr>
        <w:t>’</w:t>
      </w:r>
      <w:r w:rsidRPr="00AF5D28">
        <w:rPr>
          <w:rFonts w:eastAsia="MS Mincho" w:cs="Calibri"/>
          <w:i/>
          <w:color w:val="000000"/>
          <w:lang w:eastAsia="en-AU"/>
        </w:rPr>
        <w:t xml:space="preserve">) and RMP are in line with each other. The statement was mistakenly left out from </w:t>
      </w:r>
      <w:proofErr w:type="spellStart"/>
      <w:r w:rsidR="00AF5D28" w:rsidRPr="00AF5D28">
        <w:rPr>
          <w:rFonts w:eastAsia="MS Mincho" w:cs="Calibri"/>
          <w:i/>
          <w:color w:val="000000"/>
          <w:lang w:eastAsia="en-AU"/>
        </w:rPr>
        <w:t>Taptiqom</w:t>
      </w:r>
      <w:proofErr w:type="spellEnd"/>
      <w:r w:rsidRPr="00AF5D28">
        <w:rPr>
          <w:rFonts w:eastAsia="MS Mincho" w:cs="Calibri"/>
          <w:i/>
          <w:color w:val="000000"/>
          <w:lang w:eastAsia="en-AU"/>
        </w:rPr>
        <w:t xml:space="preserve"> RMP and will be considered as missing information. </w:t>
      </w:r>
      <w:proofErr w:type="spellStart"/>
      <w:r w:rsidR="00AF5D28" w:rsidRPr="00AF5D28">
        <w:rPr>
          <w:rFonts w:eastAsia="MS Mincho" w:cs="Calibri"/>
          <w:i/>
          <w:color w:val="000000"/>
          <w:lang w:eastAsia="en-AU"/>
        </w:rPr>
        <w:t>Taptiqom</w:t>
      </w:r>
      <w:proofErr w:type="spellEnd"/>
      <w:r w:rsidRPr="00AF5D28">
        <w:rPr>
          <w:rFonts w:eastAsia="MS Mincho" w:cs="Calibri"/>
          <w:i/>
          <w:color w:val="000000"/>
          <w:lang w:eastAsia="en-AU"/>
        </w:rPr>
        <w:t xml:space="preserve"> RMP will be corrected accordingly.</w:t>
      </w:r>
      <w:r w:rsidR="00AF5D28" w:rsidRPr="00AF5D28">
        <w:rPr>
          <w:rFonts w:eastAsia="MS Mincho" w:cs="Calibri"/>
          <w:i/>
          <w:color w:val="000000"/>
          <w:lang w:eastAsia="en-AU"/>
        </w:rPr>
        <w:t xml:space="preserve"> </w:t>
      </w:r>
      <w:r w:rsidRPr="00AF5D28">
        <w:rPr>
          <w:rFonts w:eastAsia="MS Mincho" w:cs="Calibri"/>
          <w:i/>
          <w:color w:val="000000"/>
          <w:lang w:eastAsia="en-AU"/>
        </w:rPr>
        <w:t xml:space="preserve">Since the Australian PI is consistent with the EU </w:t>
      </w:r>
      <w:proofErr w:type="spellStart"/>
      <w:r w:rsidRPr="00AF5D28">
        <w:rPr>
          <w:rFonts w:eastAsia="MS Mincho" w:cs="Calibri"/>
          <w:i/>
          <w:color w:val="000000"/>
          <w:lang w:eastAsia="en-AU"/>
        </w:rPr>
        <w:t>SmPC</w:t>
      </w:r>
      <w:proofErr w:type="spellEnd"/>
      <w:r w:rsidRPr="00AF5D28">
        <w:rPr>
          <w:rFonts w:eastAsia="MS Mincho" w:cs="Calibri"/>
          <w:i/>
          <w:color w:val="000000"/>
          <w:lang w:eastAsia="en-AU"/>
        </w:rPr>
        <w:t>, and this statement will be included in the EU RMP, the ASA will not be updated. We provide an assurance that an updated RMP will be provided to the TGA at the next opportunity</w:t>
      </w:r>
      <w:r>
        <w:rPr>
          <w:rFonts w:eastAsia="MS Mincho" w:cs="Calibri"/>
          <w:color w:val="000000"/>
          <w:lang w:eastAsia="en-AU"/>
        </w:rPr>
        <w:t>.</w:t>
      </w:r>
      <w:r w:rsidR="00AF5D28">
        <w:rPr>
          <w:rFonts w:eastAsia="MS Mincho" w:cs="Calibri"/>
          <w:color w:val="000000"/>
          <w:lang w:eastAsia="en-AU"/>
        </w:rPr>
        <w:t xml:space="preserve">’ </w:t>
      </w:r>
      <w:r>
        <w:rPr>
          <w:rFonts w:eastAsia="MS Mincho" w:cs="Calibri"/>
          <w:color w:val="000000"/>
          <w:lang w:eastAsia="en-AU"/>
        </w:rPr>
        <w:t xml:space="preserve">In general this response is acceptable, except for the absence of any comment on </w:t>
      </w:r>
      <w:r>
        <w:t xml:space="preserve">the </w:t>
      </w:r>
      <w:r>
        <w:rPr>
          <w:bCs/>
        </w:rPr>
        <w:t xml:space="preserve">important missing information: ‘Patients wearing </w:t>
      </w:r>
      <w:r>
        <w:rPr>
          <w:bCs/>
        </w:rPr>
        <w:lastRenderedPageBreak/>
        <w:t xml:space="preserve">contact lenses’ and the </w:t>
      </w:r>
      <w:r>
        <w:rPr>
          <w:rFonts w:eastAsia="MS Mincho" w:cs="Calibri"/>
          <w:color w:val="000000"/>
          <w:lang w:eastAsia="en-AU"/>
        </w:rPr>
        <w:t>sponsor’s refusal to amend the ASA accordingly.</w:t>
      </w:r>
      <w:r w:rsidR="00AF5D28">
        <w:rPr>
          <w:rFonts w:eastAsia="MS Mincho" w:cs="Calibri"/>
          <w:color w:val="000000"/>
          <w:lang w:eastAsia="en-AU"/>
        </w:rPr>
        <w:t xml:space="preserve"> </w:t>
      </w:r>
      <w:r>
        <w:rPr>
          <w:rFonts w:eastAsia="MS Mincho" w:cs="Calibri"/>
          <w:color w:val="000000"/>
          <w:lang w:eastAsia="en-AU"/>
        </w:rPr>
        <w:t xml:space="preserve">Consequently this issue remains outstanding until </w:t>
      </w:r>
      <w:r>
        <w:t xml:space="preserve">the important missing information: ‘Patients with </w:t>
      </w:r>
      <w:proofErr w:type="spellStart"/>
      <w:r>
        <w:t>aphakia</w:t>
      </w:r>
      <w:proofErr w:type="spellEnd"/>
      <w:r>
        <w:t xml:space="preserve">’, ‘Patients with </w:t>
      </w:r>
      <w:proofErr w:type="spellStart"/>
      <w:r>
        <w:t>neovascular</w:t>
      </w:r>
      <w:proofErr w:type="spellEnd"/>
      <w:r>
        <w:t xml:space="preserve">, angle-closure, narrow angle, </w:t>
      </w:r>
      <w:proofErr w:type="spellStart"/>
      <w:r>
        <w:t>psuedoexfoliative</w:t>
      </w:r>
      <w:proofErr w:type="spellEnd"/>
      <w:r>
        <w:t xml:space="preserve"> or congenital glaucoma’ &amp; ‘Patients wearing contact lenses’ are included as ongoing safety concerns as reflected in a revised ASA </w:t>
      </w:r>
      <w:r>
        <w:rPr>
          <w:bCs/>
        </w:rPr>
        <w:t xml:space="preserve">and </w:t>
      </w:r>
      <w:r>
        <w:rPr>
          <w:iCs/>
        </w:rPr>
        <w:t xml:space="preserve">consideration given as to what </w:t>
      </w:r>
      <w:r>
        <w:t>pharmacovigilance and risk minimisation activities will be proposed for them.</w:t>
      </w:r>
    </w:p>
    <w:p w:rsidR="00C63DC0" w:rsidRDefault="00C63DC0" w:rsidP="00C63DC0">
      <w:r>
        <w:t>The sponsor was advised that Table 1– ‘Summary of the Australian Risk Minimisation Plan’ of the ASA may need to be revised if additional ongoing safety concerns are included.</w:t>
      </w:r>
      <w:r w:rsidR="00AF5D28">
        <w:t xml:space="preserve"> </w:t>
      </w:r>
      <w:r>
        <w:t>As mentioned above the sponsor has declined to do so.</w:t>
      </w:r>
      <w:r w:rsidR="00AF5D28">
        <w:t xml:space="preserve"> </w:t>
      </w:r>
      <w:r>
        <w:t>However, as discussed above this is considered inadequate.</w:t>
      </w:r>
      <w:r w:rsidR="00AF5D28">
        <w:t xml:space="preserve"> </w:t>
      </w:r>
      <w:r>
        <w:t>C</w:t>
      </w:r>
      <w:r>
        <w:rPr>
          <w:rFonts w:eastAsia="MS Mincho" w:cs="Calibri"/>
          <w:color w:val="000000"/>
          <w:lang w:eastAsia="en-AU"/>
        </w:rPr>
        <w:t xml:space="preserve">onsequently this remains an outstanding issue and an adequately revised ASA should be submitted for review </w:t>
      </w:r>
      <w:r>
        <w:t>before this application is approved.</w:t>
      </w:r>
      <w:r w:rsidR="00AF5D28">
        <w:t xml:space="preserve"> </w:t>
      </w:r>
      <w:r>
        <w:t>In addition this table should be re-titled ‘Summary of the Australian Risk Management Plan’, as it refers to both pharmacovigilance and risk minimisation activities.</w:t>
      </w:r>
    </w:p>
    <w:p w:rsidR="00C63DC0" w:rsidRDefault="00C63DC0" w:rsidP="00C63DC0">
      <w:r>
        <w:t>The sponsor</w:t>
      </w:r>
      <w:r>
        <w:rPr>
          <w:color w:val="000000"/>
        </w:rPr>
        <w:t xml:space="preserve"> was asked to </w:t>
      </w:r>
      <w:r>
        <w:t xml:space="preserve">identify and provide reasons for any differences between the risk minimisation activities undertaken as reflected in the content of the EU </w:t>
      </w:r>
      <w:proofErr w:type="spellStart"/>
      <w:r>
        <w:t>SmPC</w:t>
      </w:r>
      <w:proofErr w:type="spellEnd"/>
      <w:r>
        <w:t xml:space="preserve"> and the proposed Australian PI in a revised ASA.</w:t>
      </w:r>
      <w:r w:rsidR="00AF5D28">
        <w:t xml:space="preserve"> </w:t>
      </w:r>
      <w:r>
        <w:t xml:space="preserve">The sponsor states: </w:t>
      </w:r>
      <w:r w:rsidR="00AF5D28">
        <w:rPr>
          <w:i/>
        </w:rPr>
        <w:t>‘</w:t>
      </w:r>
      <w:r>
        <w:rPr>
          <w:i/>
        </w:rPr>
        <w:t xml:space="preserve">The differences between the PI and the </w:t>
      </w:r>
      <w:proofErr w:type="spellStart"/>
      <w:r>
        <w:rPr>
          <w:i/>
        </w:rPr>
        <w:t>SmPC</w:t>
      </w:r>
      <w:proofErr w:type="spellEnd"/>
      <w:r>
        <w:rPr>
          <w:i/>
        </w:rPr>
        <w:t xml:space="preserve"> are minor and have no impact on the level of safety profile as described in the RMP and ASA. Therefore no change has been made to the ASA.</w:t>
      </w:r>
      <w:r w:rsidR="00AF5D28">
        <w:rPr>
          <w:i/>
        </w:rPr>
        <w:t>’</w:t>
      </w:r>
      <w:r w:rsidR="00AF5D28">
        <w:t xml:space="preserve"> </w:t>
      </w:r>
      <w:r>
        <w:t>This is not entirely satisfactory.</w:t>
      </w:r>
      <w:r w:rsidR="00AF5D28">
        <w:t xml:space="preserve"> </w:t>
      </w:r>
      <w:r>
        <w:t xml:space="preserve">Consequently it is recommended that the ASA should include a risk minimisation activities table, which compares the actual content and wording of the current EU </w:t>
      </w:r>
      <w:proofErr w:type="spellStart"/>
      <w:r>
        <w:t>SmPC</w:t>
      </w:r>
      <w:proofErr w:type="spellEnd"/>
      <w:r>
        <w:t xml:space="preserve"> and the proposed Australian PI &amp; CMI for all of the specified ongoing safety concerns and missing information.</w:t>
      </w:r>
      <w:r w:rsidR="00AF5D28">
        <w:t xml:space="preserve"> </w:t>
      </w:r>
      <w:r>
        <w:t xml:space="preserve">This table should identify and provide reasons for any observed differences </w:t>
      </w:r>
      <w:r>
        <w:rPr>
          <w:rFonts w:eastAsia="MS Mincho" w:cs="ArialMT"/>
        </w:rPr>
        <w:t xml:space="preserve">particularly where it appears the EU </w:t>
      </w:r>
      <w:proofErr w:type="spellStart"/>
      <w:r>
        <w:rPr>
          <w:rFonts w:eastAsia="MS Mincho" w:cs="ArialMT"/>
        </w:rPr>
        <w:t>SmPC</w:t>
      </w:r>
      <w:proofErr w:type="spellEnd"/>
      <w:r>
        <w:rPr>
          <w:rFonts w:eastAsia="MS Mincho" w:cs="ArialMT"/>
        </w:rPr>
        <w:t xml:space="preserve"> is more restrictive.</w:t>
      </w:r>
      <w:r w:rsidR="00AF5D28">
        <w:rPr>
          <w:rFonts w:eastAsia="MS Mincho" w:cs="ArialMT"/>
        </w:rPr>
        <w:t xml:space="preserve"> </w:t>
      </w:r>
      <w:r>
        <w:t xml:space="preserve">The TGA can then validate the sponsor’s assertion that there </w:t>
      </w:r>
      <w:proofErr w:type="gramStart"/>
      <w:r>
        <w:t>are</w:t>
      </w:r>
      <w:proofErr w:type="gramEnd"/>
      <w:r>
        <w:t xml:space="preserve"> no material differences between the routine risk minimisation activities undertaken in Europe compared to Australia.</w:t>
      </w:r>
      <w:r w:rsidR="00AF5D28">
        <w:t xml:space="preserve"> </w:t>
      </w:r>
      <w:r>
        <w:t>An</w:t>
      </w:r>
      <w:r>
        <w:rPr>
          <w:rFonts w:eastAsia="MS Mincho" w:cs="Calibri"/>
          <w:color w:val="000000"/>
          <w:lang w:eastAsia="en-AU"/>
        </w:rPr>
        <w:t xml:space="preserve"> adequately revised ASA should be submitted for review </w:t>
      </w:r>
      <w:r>
        <w:t>before this application is approved.</w:t>
      </w:r>
    </w:p>
    <w:p w:rsidR="00C63DC0" w:rsidRPr="00100957" w:rsidRDefault="00C63DC0" w:rsidP="00100957">
      <w:pPr>
        <w:pStyle w:val="Heading5"/>
      </w:pPr>
      <w:r w:rsidRPr="00100957">
        <w:t xml:space="preserve">Advice from the </w:t>
      </w:r>
      <w:r w:rsidRPr="00100957">
        <w:rPr>
          <w:rStyle w:val="st1"/>
        </w:rPr>
        <w:t>Advisory Committee on the Safety of Medicines (ACSOM)</w:t>
      </w:r>
    </w:p>
    <w:p w:rsidR="00C63DC0" w:rsidRDefault="00C63DC0" w:rsidP="00C63DC0">
      <w:pPr>
        <w:spacing w:before="100" w:beforeAutospacing="1" w:after="100" w:afterAutospacing="1" w:line="240" w:lineRule="auto"/>
        <w:rPr>
          <w:rFonts w:asciiTheme="minorHAnsi" w:hAnsiTheme="minorHAnsi"/>
        </w:rPr>
      </w:pPr>
      <w:r>
        <w:rPr>
          <w:rFonts w:asciiTheme="minorHAnsi" w:hAnsiTheme="minorHAnsi"/>
        </w:rPr>
        <w:t>ACSOM advice was not sought for this submission.</w:t>
      </w:r>
    </w:p>
    <w:p w:rsidR="00C63DC0" w:rsidRDefault="00C63DC0" w:rsidP="00C63DC0">
      <w:pPr>
        <w:pStyle w:val="Heading5"/>
      </w:pPr>
      <w:r>
        <w:t>Suggested wording for conditions of registration</w:t>
      </w:r>
    </w:p>
    <w:p w:rsidR="00C63DC0" w:rsidRDefault="00C63DC0" w:rsidP="00C63DC0">
      <w:pPr>
        <w:pStyle w:val="Heading6"/>
      </w:pPr>
      <w:r>
        <w:t>RMP</w:t>
      </w:r>
    </w:p>
    <w:p w:rsidR="00C63DC0" w:rsidRDefault="00C63DC0" w:rsidP="00C63DC0">
      <w:pPr>
        <w:rPr>
          <w:iCs/>
        </w:rPr>
      </w:pPr>
      <w:r>
        <w:t>No wording can be suggested until the ASA has been adequately and appropriately revised and updated (see above).</w:t>
      </w:r>
    </w:p>
    <w:p w:rsidR="008D2EE7" w:rsidRPr="00792A32" w:rsidRDefault="008D2EE7" w:rsidP="008D2EE7">
      <w:pPr>
        <w:pStyle w:val="Heading2"/>
      </w:pPr>
      <w:bookmarkStart w:id="129" w:name="_Toc42723222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9"/>
    </w:p>
    <w:p w:rsidR="008D2EE7" w:rsidRDefault="008D2EE7" w:rsidP="008D2EE7">
      <w:bookmarkStart w:id="130" w:name="_Toc247691528"/>
      <w:r>
        <w:t xml:space="preserve">The submission was summarised in the following </w:t>
      </w:r>
      <w:r w:rsidRPr="00EF5C48">
        <w:t xml:space="preserve">Delegate’s </w:t>
      </w:r>
      <w:r>
        <w:t>overview</w:t>
      </w:r>
      <w:r w:rsidRPr="00EF5C48">
        <w:t xml:space="preserve"> and recommendation</w:t>
      </w:r>
      <w:r>
        <w:t>s:</w:t>
      </w:r>
    </w:p>
    <w:p w:rsidR="008D2EE7" w:rsidRPr="00301CC7" w:rsidRDefault="008D2EE7" w:rsidP="008D2EE7">
      <w:pPr>
        <w:pStyle w:val="Heading3"/>
      </w:pPr>
      <w:bookmarkStart w:id="131" w:name="_Toc314842511"/>
      <w:bookmarkStart w:id="132" w:name="_Toc427232226"/>
      <w:r>
        <w:t>Quality</w:t>
      </w:r>
      <w:bookmarkEnd w:id="130"/>
      <w:bookmarkEnd w:id="131"/>
      <w:bookmarkEnd w:id="132"/>
    </w:p>
    <w:p w:rsidR="008D2EE7" w:rsidRPr="000A1BD6" w:rsidRDefault="008D2EE7" w:rsidP="008D2EE7">
      <w:r w:rsidRPr="000A1BD6">
        <w:t>The pharmaceutical chemistry evaluator had no objections to registration.</w:t>
      </w:r>
    </w:p>
    <w:p w:rsidR="008D2EE7" w:rsidRPr="006B43DA" w:rsidRDefault="008D2EE7" w:rsidP="008D2EE7">
      <w:pPr>
        <w:pStyle w:val="ListBullet"/>
        <w:numPr>
          <w:ilvl w:val="0"/>
          <w:numId w:val="0"/>
        </w:numPr>
      </w:pPr>
      <w:r w:rsidRPr="006B43DA">
        <w:t>The product is for ocular use and is intended to act without systemic absorption; therefore, no bioavailability data were required and none were submitted.</w:t>
      </w:r>
    </w:p>
    <w:p w:rsidR="008D2EE7" w:rsidRPr="006B43DA" w:rsidRDefault="008D2EE7" w:rsidP="008D2EE7">
      <w:pPr>
        <w:pStyle w:val="ListBullet"/>
        <w:numPr>
          <w:ilvl w:val="0"/>
          <w:numId w:val="0"/>
        </w:numPr>
      </w:pPr>
      <w:r w:rsidRPr="006B43DA">
        <w:t>The product contains no unusual excipients for this dosage form.</w:t>
      </w:r>
    </w:p>
    <w:p w:rsidR="008D2EE7" w:rsidRPr="006B43DA" w:rsidRDefault="008D2EE7" w:rsidP="008D2EE7">
      <w:pPr>
        <w:pStyle w:val="ListBullet"/>
        <w:numPr>
          <w:ilvl w:val="0"/>
          <w:numId w:val="0"/>
        </w:numPr>
      </w:pPr>
      <w:r w:rsidRPr="006B43DA">
        <w:t>The Microbiology Section at the TGA has stated that the microbiological and sterility aspects are acceptable.</w:t>
      </w:r>
    </w:p>
    <w:p w:rsidR="008E7846" w:rsidRDefault="008E7846" w:rsidP="000A1BD6">
      <w:pPr>
        <w:pStyle w:val="Heading3"/>
      </w:pPr>
      <w:bookmarkStart w:id="133" w:name="_Toc427232227"/>
      <w:r>
        <w:lastRenderedPageBreak/>
        <w:t>Nonclinical</w:t>
      </w:r>
      <w:bookmarkEnd w:id="128"/>
      <w:bookmarkEnd w:id="133"/>
    </w:p>
    <w:p w:rsidR="000A1BD6" w:rsidRDefault="000A1BD6" w:rsidP="000A1BD6">
      <w:r>
        <w:t>The nonclinical evaluator had no objections to registration.</w:t>
      </w:r>
    </w:p>
    <w:p w:rsidR="000A1BD6" w:rsidRDefault="000A1BD6" w:rsidP="00301CC7">
      <w:pPr>
        <w:pStyle w:val="ListBullet"/>
      </w:pPr>
      <w:r>
        <w:t xml:space="preserve">The ocular absorption of </w:t>
      </w:r>
      <w:proofErr w:type="spellStart"/>
      <w:r>
        <w:t>tafluprost</w:t>
      </w:r>
      <w:proofErr w:type="spellEnd"/>
      <w:r>
        <w:t xml:space="preserve"> and </w:t>
      </w:r>
      <w:proofErr w:type="spellStart"/>
      <w:r>
        <w:t>timolol</w:t>
      </w:r>
      <w:proofErr w:type="spellEnd"/>
      <w:r>
        <w:t xml:space="preserve"> was comparable or slightly lower with co-administration </w:t>
      </w:r>
      <w:r w:rsidR="006B43DA">
        <w:t>compared to</w:t>
      </w:r>
      <w:r>
        <w:t xml:space="preserve"> dosing with each agent alone in rabbits. No systemic pharmacokinetic interaction was evident in monkeys.</w:t>
      </w:r>
    </w:p>
    <w:p w:rsidR="008E7846" w:rsidRDefault="000A1BD6" w:rsidP="00301CC7">
      <w:pPr>
        <w:pStyle w:val="ListBullet"/>
      </w:pPr>
      <w:r>
        <w:t xml:space="preserve">No novel or exacerbated toxicity was observed with the combination </w:t>
      </w:r>
      <w:r w:rsidR="006B43DA">
        <w:t>compared to</w:t>
      </w:r>
      <w:r>
        <w:t xml:space="preserve"> the single agents in a 3</w:t>
      </w:r>
      <w:r w:rsidR="006B43DA">
        <w:t xml:space="preserve"> </w:t>
      </w:r>
      <w:r>
        <w:t>month study in monkeys involving twice daily dosing with eye drops containing the drugs at the proposed clinical strength or 3-times higher. Acceptable ocular tolerance was shown in a study in rabbits conducted with the commercial formulation.</w:t>
      </w:r>
    </w:p>
    <w:p w:rsidR="008E7846" w:rsidRDefault="008E7846" w:rsidP="008E7846">
      <w:pPr>
        <w:pStyle w:val="Heading3"/>
      </w:pPr>
      <w:bookmarkStart w:id="134" w:name="_Toc247691530"/>
      <w:bookmarkStart w:id="135" w:name="_Toc314842513"/>
      <w:bookmarkStart w:id="136" w:name="_Toc427232228"/>
      <w:r>
        <w:t>Clinical</w:t>
      </w:r>
      <w:bookmarkEnd w:id="134"/>
      <w:bookmarkEnd w:id="135"/>
      <w:bookmarkEnd w:id="136"/>
    </w:p>
    <w:p w:rsidR="000A1BD6" w:rsidRDefault="000A1BD6" w:rsidP="00301CC7">
      <w:bookmarkStart w:id="137" w:name="_Toc314842514"/>
      <w:r>
        <w:t>The clinical evaluator had no objections to registration.</w:t>
      </w:r>
    </w:p>
    <w:p w:rsidR="000A1BD6" w:rsidRDefault="000A1BD6" w:rsidP="00301CC7">
      <w:pPr>
        <w:pStyle w:val="Heading4"/>
      </w:pPr>
      <w:r>
        <w:t xml:space="preserve">Pharmacokinetic and </w:t>
      </w:r>
      <w:proofErr w:type="spellStart"/>
      <w:r>
        <w:t>pharmacodynamic</w:t>
      </w:r>
      <w:proofErr w:type="spellEnd"/>
      <w:r>
        <w:t xml:space="preserve"> studies</w:t>
      </w:r>
    </w:p>
    <w:p w:rsidR="007B6132" w:rsidRDefault="000A1BD6" w:rsidP="00301CC7">
      <w:r>
        <w:t xml:space="preserve">Both </w:t>
      </w:r>
      <w:proofErr w:type="spellStart"/>
      <w:r>
        <w:t>tafluprost</w:t>
      </w:r>
      <w:proofErr w:type="spellEnd"/>
      <w:r>
        <w:t xml:space="preserve"> and </w:t>
      </w:r>
      <w:proofErr w:type="spellStart"/>
      <w:r>
        <w:t>timolol</w:t>
      </w:r>
      <w:proofErr w:type="spellEnd"/>
      <w:r>
        <w:t xml:space="preserve"> have low systemic bioavailability when given as eye drops. Neither compound influences the PK of the other. In combination, the two products have an additive </w:t>
      </w:r>
      <w:proofErr w:type="spellStart"/>
      <w:r w:rsidR="00301CC7">
        <w:t>pharmacodynamic</w:t>
      </w:r>
      <w:proofErr w:type="spellEnd"/>
      <w:r>
        <w:t xml:space="preserve"> effec</w:t>
      </w:r>
      <w:r w:rsidR="00301CC7">
        <w:t>t</w:t>
      </w:r>
      <w:r>
        <w:t>.</w:t>
      </w:r>
    </w:p>
    <w:p w:rsidR="000A1BD6" w:rsidRPr="00301CC7" w:rsidRDefault="000A1BD6" w:rsidP="00301CC7">
      <w:pPr>
        <w:pStyle w:val="Heading4"/>
      </w:pPr>
      <w:r w:rsidRPr="00301CC7">
        <w:rPr>
          <w:rStyle w:val="Heading5Char"/>
          <w:rFonts w:eastAsia="Cambria"/>
          <w:b/>
          <w:bCs/>
          <w:i w:val="0"/>
          <w:color w:val="auto"/>
        </w:rPr>
        <w:t>Phase</w:t>
      </w:r>
      <w:r w:rsidR="00301CC7">
        <w:rPr>
          <w:rStyle w:val="Heading5Char"/>
          <w:rFonts w:eastAsia="Cambria"/>
          <w:b/>
          <w:bCs/>
          <w:i w:val="0"/>
          <w:color w:val="auto"/>
        </w:rPr>
        <w:t xml:space="preserve"> III </w:t>
      </w:r>
      <w:r w:rsidRPr="00301CC7">
        <w:rPr>
          <w:rStyle w:val="Heading5Char"/>
          <w:rFonts w:eastAsia="Cambria"/>
          <w:b/>
          <w:bCs/>
          <w:i w:val="0"/>
          <w:color w:val="auto"/>
        </w:rPr>
        <w:t>studies (efficacy)</w:t>
      </w:r>
    </w:p>
    <w:p w:rsidR="000A1BD6" w:rsidRDefault="000A1BD6" w:rsidP="000A1BD6">
      <w:r w:rsidRPr="00301CC7">
        <w:rPr>
          <w:b/>
          <w:i/>
        </w:rPr>
        <w:t>Study 201050</w:t>
      </w:r>
      <w:r w:rsidR="00301CC7">
        <w:t xml:space="preserve"> was</w:t>
      </w:r>
      <w:r>
        <w:t xml:space="preserve"> </w:t>
      </w:r>
      <w:r w:rsidR="00301CC7">
        <w:t xml:space="preserve">conducted at </w:t>
      </w:r>
      <w:r>
        <w:t>60 centres in 10 countries (Belgium, Estonia, Finland, Germany, Israel, Italy, Netherlands, Poland, Russia</w:t>
      </w:r>
      <w:r w:rsidR="00301CC7">
        <w:t xml:space="preserve"> and</w:t>
      </w:r>
      <w:r>
        <w:t xml:space="preserve"> United Kingdom) </w:t>
      </w:r>
      <w:r w:rsidR="00301CC7">
        <w:t xml:space="preserve">between </w:t>
      </w:r>
      <w:r>
        <w:t>Feb</w:t>
      </w:r>
      <w:r w:rsidR="00301CC7">
        <w:t>ruary</w:t>
      </w:r>
      <w:r>
        <w:t xml:space="preserve"> 2011</w:t>
      </w:r>
      <w:r w:rsidR="00301CC7">
        <w:t xml:space="preserve"> and </w:t>
      </w:r>
      <w:r>
        <w:t>Sep</w:t>
      </w:r>
      <w:r w:rsidR="00301CC7">
        <w:t xml:space="preserve">tember </w:t>
      </w:r>
      <w:r>
        <w:t>2012</w:t>
      </w:r>
      <w:r w:rsidR="00301CC7">
        <w:t xml:space="preserve">. See Table 4 below for </w:t>
      </w:r>
      <w:r w:rsidR="006B43DA">
        <w:t xml:space="preserve">study design </w:t>
      </w:r>
      <w:r w:rsidR="00301CC7">
        <w:t>details.</w:t>
      </w:r>
    </w:p>
    <w:p w:rsidR="00301CC7" w:rsidRPr="008D411B" w:rsidRDefault="00301CC7" w:rsidP="00B2653D">
      <w:pPr>
        <w:pStyle w:val="TableTitle"/>
      </w:pPr>
      <w:r w:rsidRPr="00B2653D">
        <w:t>Table</w:t>
      </w:r>
      <w:r w:rsidRPr="008D411B">
        <w:t xml:space="preserve"> 4: Study 201050design</w:t>
      </w:r>
    </w:p>
    <w:p w:rsidR="00301CC7" w:rsidRDefault="000A1BD6" w:rsidP="00B2653D">
      <w:r>
        <w:rPr>
          <w:noProof/>
          <w:lang w:eastAsia="en-AU"/>
        </w:rPr>
        <w:drawing>
          <wp:inline distT="0" distB="0" distL="0" distR="0" wp14:anchorId="0F21D6B9" wp14:editId="203736AC">
            <wp:extent cx="4860757" cy="1993804"/>
            <wp:effectExtent l="0" t="0" r="0" b="6985"/>
            <wp:docPr id="4" name="Picture 4" descr="Table 4: Study 201050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Lst>
                    </a:blip>
                    <a:srcRect l="2483" t="1" b="4475"/>
                    <a:stretch/>
                  </pic:blipFill>
                  <pic:spPr bwMode="auto">
                    <a:xfrm>
                      <a:off x="0" y="0"/>
                      <a:ext cx="4857895" cy="1992630"/>
                    </a:xfrm>
                    <a:prstGeom prst="rect">
                      <a:avLst/>
                    </a:prstGeom>
                    <a:ln>
                      <a:noFill/>
                    </a:ln>
                    <a:extLst>
                      <a:ext uri="{53640926-AAD7-44D8-BBD7-CCE9431645EC}">
                        <a14:shadowObscured xmlns:a14="http://schemas.microsoft.com/office/drawing/2010/main"/>
                      </a:ext>
                    </a:extLst>
                  </pic:spPr>
                </pic:pic>
              </a:graphicData>
            </a:graphic>
          </wp:inline>
        </w:drawing>
      </w:r>
    </w:p>
    <w:p w:rsidR="000A1BD6" w:rsidRDefault="000A1BD6" w:rsidP="00301CC7">
      <w:r w:rsidRPr="000A1BD6">
        <w:t>Ocular diagnosis and medical history were similar across the treatment groups. About 60% of study participants were women; the age range was 23</w:t>
      </w:r>
      <w:r w:rsidR="00301CC7">
        <w:t xml:space="preserve"> to </w:t>
      </w:r>
      <w:r w:rsidRPr="000A1BD6">
        <w:t>87 years.</w:t>
      </w:r>
      <w:r w:rsidR="00301CC7">
        <w:t xml:space="preserve"> Results are summarised </w:t>
      </w:r>
      <w:r w:rsidR="006B43DA">
        <w:t xml:space="preserve">in the Table 5 </w:t>
      </w:r>
      <w:r w:rsidR="00301CC7">
        <w:t>below.</w:t>
      </w:r>
    </w:p>
    <w:p w:rsidR="00301CC7" w:rsidRDefault="00301CC7" w:rsidP="00B2653D">
      <w:pPr>
        <w:pStyle w:val="TableTitle"/>
      </w:pPr>
      <w:r>
        <w:lastRenderedPageBreak/>
        <w:t xml:space="preserve">Table 5: Study 201050 </w:t>
      </w:r>
      <w:r w:rsidRPr="00B2653D">
        <w:t>results</w:t>
      </w:r>
    </w:p>
    <w:p w:rsidR="000A1BD6" w:rsidRDefault="000A1BD6" w:rsidP="00B2653D">
      <w:r>
        <w:rPr>
          <w:noProof/>
          <w:lang w:eastAsia="en-AU"/>
        </w:rPr>
        <w:drawing>
          <wp:inline distT="0" distB="0" distL="0" distR="0" wp14:anchorId="5100113B" wp14:editId="0AA1E1F3">
            <wp:extent cx="4819506" cy="1553793"/>
            <wp:effectExtent l="0" t="0" r="635" b="8890"/>
            <wp:docPr id="5" name="Picture 5" descr="Table 5: Study 201050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BEBA8EAE-BF5A-486C-A8C5-ECC9F3942E4B}">
                          <a14:imgProps xmlns:a14="http://schemas.microsoft.com/office/drawing/2010/main">
                            <a14:imgLayer r:embed="rId22">
                              <a14:imgEffect>
                                <a14:sharpenSoften amount="50000"/>
                              </a14:imgEffect>
                            </a14:imgLayer>
                          </a14:imgProps>
                        </a:ext>
                      </a:extLst>
                    </a:blip>
                    <a:srcRect l="2231" t="10835" b="4730"/>
                    <a:stretch/>
                  </pic:blipFill>
                  <pic:spPr bwMode="auto">
                    <a:xfrm>
                      <a:off x="0" y="0"/>
                      <a:ext cx="4814535" cy="1552190"/>
                    </a:xfrm>
                    <a:prstGeom prst="rect">
                      <a:avLst/>
                    </a:prstGeom>
                    <a:ln>
                      <a:noFill/>
                    </a:ln>
                    <a:extLst>
                      <a:ext uri="{53640926-AAD7-44D8-BBD7-CCE9431645EC}">
                        <a14:shadowObscured xmlns:a14="http://schemas.microsoft.com/office/drawing/2010/main"/>
                      </a:ext>
                    </a:extLst>
                  </pic:spPr>
                </pic:pic>
              </a:graphicData>
            </a:graphic>
          </wp:inline>
        </w:drawing>
      </w:r>
    </w:p>
    <w:p w:rsidR="000A1BD6" w:rsidRDefault="000A1BD6" w:rsidP="00301CC7">
      <w:r w:rsidRPr="00301CC7">
        <w:rPr>
          <w:b/>
          <w:i/>
        </w:rPr>
        <w:t>Study 201051</w:t>
      </w:r>
      <w:r w:rsidR="00301CC7">
        <w:t xml:space="preserve"> was conducted at </w:t>
      </w:r>
      <w:r>
        <w:t>35 centres in 7 countries (Austria, Bulgaria, Czech Republic, Hungary, Latvia, Portugal</w:t>
      </w:r>
      <w:r w:rsidR="00301CC7">
        <w:t xml:space="preserve"> and</w:t>
      </w:r>
      <w:r>
        <w:t xml:space="preserve"> Spain)</w:t>
      </w:r>
      <w:r w:rsidR="00301CC7">
        <w:t xml:space="preserve"> between March 2011 and May 2012.</w:t>
      </w:r>
      <w:r w:rsidR="006B43DA">
        <w:t xml:space="preserve"> The study design is summarised in Table 6 below.</w:t>
      </w:r>
    </w:p>
    <w:p w:rsidR="00301CC7" w:rsidRDefault="00301CC7" w:rsidP="00B2653D">
      <w:pPr>
        <w:pStyle w:val="TableTitle"/>
      </w:pPr>
      <w:r>
        <w:t xml:space="preserve">Table 6: Study 201051 </w:t>
      </w:r>
      <w:r w:rsidRPr="00B2653D">
        <w:t>design</w:t>
      </w:r>
    </w:p>
    <w:p w:rsidR="00301CC7" w:rsidRDefault="00301CC7" w:rsidP="00B2653D">
      <w:r>
        <w:rPr>
          <w:noProof/>
          <w:lang w:eastAsia="en-AU"/>
        </w:rPr>
        <w:drawing>
          <wp:inline distT="0" distB="0" distL="0" distR="0" wp14:anchorId="79D7CE8A" wp14:editId="671B6C95">
            <wp:extent cx="4475531" cy="1801299"/>
            <wp:effectExtent l="0" t="0" r="1270" b="8890"/>
            <wp:docPr id="3" name="Picture 3" descr="Table 6: Study 201051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810"/>
                    <a:stretch/>
                  </pic:blipFill>
                  <pic:spPr bwMode="auto">
                    <a:xfrm>
                      <a:off x="0" y="0"/>
                      <a:ext cx="4488270" cy="1806426"/>
                    </a:xfrm>
                    <a:prstGeom prst="rect">
                      <a:avLst/>
                    </a:prstGeom>
                    <a:ln>
                      <a:noFill/>
                    </a:ln>
                    <a:extLst>
                      <a:ext uri="{53640926-AAD7-44D8-BBD7-CCE9431645EC}">
                        <a14:shadowObscured xmlns:a14="http://schemas.microsoft.com/office/drawing/2010/main"/>
                      </a:ext>
                    </a:extLst>
                  </pic:spPr>
                </pic:pic>
              </a:graphicData>
            </a:graphic>
          </wp:inline>
        </w:drawing>
      </w:r>
    </w:p>
    <w:p w:rsidR="000A1BD6" w:rsidRDefault="000A1BD6" w:rsidP="000A1BD6">
      <w:r w:rsidRPr="000A1BD6">
        <w:t>Ocular diagnosis and medical history were similar across the treatment groups. About 60% of study participants were women</w:t>
      </w:r>
      <w:r w:rsidR="00301CC7">
        <w:t xml:space="preserve"> and</w:t>
      </w:r>
      <w:r w:rsidRPr="000A1BD6">
        <w:t xml:space="preserve"> the age range was 19</w:t>
      </w:r>
      <w:r w:rsidR="00301CC7">
        <w:t xml:space="preserve"> to </w:t>
      </w:r>
      <w:r w:rsidRPr="000A1BD6">
        <w:t>85 years.</w:t>
      </w:r>
      <w:r w:rsidR="00301CC7">
        <w:t xml:space="preserve"> The following table summarises the results.</w:t>
      </w:r>
    </w:p>
    <w:p w:rsidR="00301CC7" w:rsidRDefault="00301CC7" w:rsidP="00301CC7">
      <w:pPr>
        <w:pStyle w:val="TableTitle"/>
      </w:pPr>
      <w:r>
        <w:t xml:space="preserve">Table 7: Study </w:t>
      </w:r>
      <w:r w:rsidRPr="00B2653D">
        <w:t>201051</w:t>
      </w:r>
      <w:r>
        <w:t xml:space="preserve"> results</w:t>
      </w:r>
    </w:p>
    <w:p w:rsidR="000A1BD6" w:rsidRDefault="000A1BD6" w:rsidP="00B2653D">
      <w:r>
        <w:rPr>
          <w:noProof/>
          <w:lang w:eastAsia="en-AU"/>
        </w:rPr>
        <w:drawing>
          <wp:inline distT="0" distB="0" distL="0" distR="0" wp14:anchorId="709F4302" wp14:editId="28DAA727">
            <wp:extent cx="4487614" cy="1155031"/>
            <wp:effectExtent l="0" t="0" r="0" b="7620"/>
            <wp:docPr id="8" name="Picture 8" descr="Table 7: Study 201051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BEBA8EAE-BF5A-486C-A8C5-ECC9F3942E4B}">
                          <a14:imgProps xmlns:a14="http://schemas.microsoft.com/office/drawing/2010/main">
                            <a14:imgLayer r:embed="rId25">
                              <a14:imgEffect>
                                <a14:sharpenSoften amount="50000"/>
                              </a14:imgEffect>
                            </a14:imgLayer>
                          </a14:imgProps>
                        </a:ext>
                      </a:extLst>
                    </a:blip>
                    <a:srcRect l="1509" t="11881" b="4950"/>
                    <a:stretch/>
                  </pic:blipFill>
                  <pic:spPr bwMode="auto">
                    <a:xfrm>
                      <a:off x="0" y="0"/>
                      <a:ext cx="4493632" cy="1156580"/>
                    </a:xfrm>
                    <a:prstGeom prst="rect">
                      <a:avLst/>
                    </a:prstGeom>
                    <a:ln>
                      <a:noFill/>
                    </a:ln>
                    <a:extLst>
                      <a:ext uri="{53640926-AAD7-44D8-BBD7-CCE9431645EC}">
                        <a14:shadowObscured xmlns:a14="http://schemas.microsoft.com/office/drawing/2010/main"/>
                      </a:ext>
                    </a:extLst>
                  </pic:spPr>
                </pic:pic>
              </a:graphicData>
            </a:graphic>
          </wp:inline>
        </w:drawing>
      </w:r>
    </w:p>
    <w:p w:rsidR="000A1BD6" w:rsidRDefault="000A1BD6" w:rsidP="00301CC7">
      <w:pPr>
        <w:pStyle w:val="Heading4"/>
      </w:pPr>
      <w:r>
        <w:t>Safety</w:t>
      </w:r>
    </w:p>
    <w:p w:rsidR="000A1BD6" w:rsidRDefault="000A1BD6" w:rsidP="000A1BD6">
      <w:r>
        <w:t>No new safety issues were identified for this FDC. The safety profile is similar to that for the mono products administered concomitantly.</w:t>
      </w:r>
    </w:p>
    <w:p w:rsidR="00301CC7" w:rsidRDefault="007B6132" w:rsidP="00555280">
      <w:pPr>
        <w:pStyle w:val="Heading4"/>
      </w:pPr>
      <w:r w:rsidRPr="007B6132">
        <w:t>Clinical evaluator’s recommendation</w:t>
      </w:r>
    </w:p>
    <w:p w:rsidR="00301CC7" w:rsidRDefault="00301CC7" w:rsidP="00301CC7">
      <w:pPr>
        <w:rPr>
          <w:lang w:val="en-US"/>
        </w:rPr>
      </w:pPr>
      <w:r>
        <w:rPr>
          <w:lang w:val="en-US"/>
        </w:rPr>
        <w:t xml:space="preserve">The clinical evaluator would have no objection to the approval of </w:t>
      </w:r>
      <w:proofErr w:type="spellStart"/>
      <w:r w:rsidR="00AF5D28">
        <w:rPr>
          <w:lang w:val="en-US"/>
        </w:rPr>
        <w:t>Taptiqom</w:t>
      </w:r>
      <w:proofErr w:type="spellEnd"/>
      <w:r>
        <w:rPr>
          <w:lang w:val="en-US"/>
        </w:rPr>
        <w:t xml:space="preserve"> (</w:t>
      </w:r>
      <w:proofErr w:type="spellStart"/>
      <w:r>
        <w:rPr>
          <w:lang w:val="en-US"/>
        </w:rPr>
        <w:t>tafluprost</w:t>
      </w:r>
      <w:proofErr w:type="spellEnd"/>
      <w:r>
        <w:rPr>
          <w:lang w:val="en-US"/>
        </w:rPr>
        <w:t xml:space="preserve"> 15 micrograms/mL and </w:t>
      </w:r>
      <w:proofErr w:type="spellStart"/>
      <w:r>
        <w:rPr>
          <w:lang w:val="en-US"/>
        </w:rPr>
        <w:t>timolol</w:t>
      </w:r>
      <w:proofErr w:type="spellEnd"/>
      <w:r>
        <w:rPr>
          <w:lang w:val="en-US"/>
        </w:rPr>
        <w:t xml:space="preserve"> [as maleate] 5 mg/mL) for the indication of:</w:t>
      </w:r>
    </w:p>
    <w:p w:rsidR="00301CC7" w:rsidRDefault="00AF5D28" w:rsidP="00301CC7">
      <w:pPr>
        <w:ind w:left="720"/>
      </w:pPr>
      <w:proofErr w:type="spellStart"/>
      <w:r>
        <w:rPr>
          <w:i/>
          <w:iCs/>
          <w:lang w:val="en-US"/>
        </w:rPr>
        <w:t>Taptiqom</w:t>
      </w:r>
      <w:proofErr w:type="spellEnd"/>
      <w:r w:rsidR="00301CC7">
        <w:rPr>
          <w:i/>
          <w:iCs/>
          <w:lang w:val="en-US"/>
        </w:rPr>
        <w:t xml:space="preserve"> is indicated for the reduction of intraocular pressure (IOP) in adult patients with open angle glaucoma or ocular hypertension when concomitant therapy is appropriate.</w:t>
      </w:r>
    </w:p>
    <w:p w:rsidR="008E7846" w:rsidRDefault="00386150" w:rsidP="00301CC7">
      <w:pPr>
        <w:pStyle w:val="Heading4"/>
        <w:rPr>
          <w:lang w:eastAsia="en-AU"/>
        </w:rPr>
      </w:pPr>
      <w:r>
        <w:rPr>
          <w:lang w:eastAsia="en-AU"/>
        </w:rPr>
        <w:lastRenderedPageBreak/>
        <w:t>Risk m</w:t>
      </w:r>
      <w:r w:rsidR="008E7846">
        <w:rPr>
          <w:lang w:eastAsia="en-AU"/>
        </w:rPr>
        <w:t xml:space="preserve">anagement </w:t>
      </w:r>
      <w:r>
        <w:rPr>
          <w:lang w:eastAsia="en-AU"/>
        </w:rPr>
        <w:t>p</w:t>
      </w:r>
      <w:r w:rsidR="008E7846">
        <w:rPr>
          <w:lang w:eastAsia="en-AU"/>
        </w:rPr>
        <w:t>lan</w:t>
      </w:r>
      <w:bookmarkEnd w:id="137"/>
    </w:p>
    <w:p w:rsidR="000A1BD6" w:rsidRDefault="000A1BD6" w:rsidP="000A1BD6">
      <w:r>
        <w:t>Important identified risks, important potential risks and missing information are a combination of those for the mono products.</w:t>
      </w:r>
    </w:p>
    <w:p w:rsidR="008E7846" w:rsidRDefault="00AA0ED0" w:rsidP="008E7846">
      <w:pPr>
        <w:pStyle w:val="Heading3"/>
      </w:pPr>
      <w:bookmarkStart w:id="138" w:name="_Toc247691531"/>
      <w:bookmarkStart w:id="139" w:name="_Toc314842515"/>
      <w:bookmarkStart w:id="140" w:name="_Toc427232229"/>
      <w:bookmarkStart w:id="141" w:name="_Toc196046505"/>
      <w:bookmarkStart w:id="142" w:name="_Toc196046949"/>
      <w:r>
        <w:t>Risk-benefit a</w:t>
      </w:r>
      <w:r w:rsidR="008E7846">
        <w:t>nalysis</w:t>
      </w:r>
      <w:bookmarkEnd w:id="138"/>
      <w:bookmarkEnd w:id="139"/>
      <w:bookmarkEnd w:id="140"/>
    </w:p>
    <w:p w:rsidR="000A1BD6" w:rsidRPr="00301CC7" w:rsidRDefault="00D23139" w:rsidP="00301CC7">
      <w:pPr>
        <w:pStyle w:val="Heading4"/>
      </w:pPr>
      <w:r w:rsidRPr="00D23139">
        <w:t xml:space="preserve">Delegate’s considerations </w:t>
      </w:r>
    </w:p>
    <w:p w:rsidR="000A1BD6" w:rsidRDefault="000A1BD6" w:rsidP="00301CC7">
      <w:r>
        <w:t>The FDC is more effective in reducing intraocular pressure than each of the two mono products alone and is non-inferior to concomitant use of the mono products. The FDC product does not pose any new safety concerns over those posed by concomitant use of the two mono products.</w:t>
      </w:r>
    </w:p>
    <w:p w:rsidR="000A1BD6" w:rsidRDefault="000A1BD6" w:rsidP="00FC34B6">
      <w:pPr>
        <w:pStyle w:val="Heading4"/>
      </w:pPr>
      <w:r>
        <w:t xml:space="preserve">Additional information required from sponsor prior to </w:t>
      </w:r>
      <w:r w:rsidR="00516F60">
        <w:t xml:space="preserve">the </w:t>
      </w:r>
      <w:r w:rsidR="00FC34B6">
        <w:t>Advisory Committee on Prescr</w:t>
      </w:r>
      <w:r w:rsidR="00577439">
        <w:t>iption Medicines (ACPM) meeting</w:t>
      </w:r>
    </w:p>
    <w:p w:rsidR="000A1BD6" w:rsidRDefault="000A1BD6" w:rsidP="00FC34B6">
      <w:pPr>
        <w:pStyle w:val="ListBullet"/>
      </w:pPr>
      <w:r>
        <w:t xml:space="preserve">Update the </w:t>
      </w:r>
      <w:r w:rsidR="006B43DA">
        <w:t>overseas</w:t>
      </w:r>
      <w:r>
        <w:t xml:space="preserve"> registration status.</w:t>
      </w:r>
    </w:p>
    <w:p w:rsidR="000A1BD6" w:rsidRDefault="000A1BD6" w:rsidP="00FC34B6">
      <w:pPr>
        <w:pStyle w:val="ListBullet"/>
      </w:pPr>
      <w:r>
        <w:t xml:space="preserve">Provide the latest version of the </w:t>
      </w:r>
      <w:r w:rsidR="00FC34B6">
        <w:t>EU Summary of Product Characteristics (</w:t>
      </w:r>
      <w:proofErr w:type="spellStart"/>
      <w:r>
        <w:t>SmPC</w:t>
      </w:r>
      <w:proofErr w:type="spellEnd"/>
      <w:r w:rsidR="00FC34B6">
        <w:t>)</w:t>
      </w:r>
      <w:r>
        <w:t xml:space="preserve"> negotiated with the EMA.</w:t>
      </w:r>
    </w:p>
    <w:p w:rsidR="000A1BD6" w:rsidRDefault="000A1BD6" w:rsidP="00FC34B6">
      <w:pPr>
        <w:pStyle w:val="ListBullet"/>
      </w:pPr>
      <w:r>
        <w:t>Provide the EMA evaluation report.</w:t>
      </w:r>
    </w:p>
    <w:p w:rsidR="00D23139" w:rsidRPr="00FC34B6" w:rsidRDefault="00D23139" w:rsidP="00FC34B6">
      <w:pPr>
        <w:pStyle w:val="Heading4"/>
      </w:pPr>
      <w:r w:rsidRPr="00D23139">
        <w:t>Proposed action</w:t>
      </w:r>
    </w:p>
    <w:p w:rsidR="00FC34B6" w:rsidRDefault="00FC34B6" w:rsidP="00FC34B6">
      <w:r>
        <w:t>The Delegate</w:t>
      </w:r>
      <w:r w:rsidR="000A1BD6" w:rsidRPr="000A1BD6">
        <w:t xml:space="preserve"> ha</w:t>
      </w:r>
      <w:r>
        <w:t>d</w:t>
      </w:r>
      <w:r w:rsidR="000A1BD6" w:rsidRPr="000A1BD6">
        <w:t xml:space="preserve"> no reason to say, at this time, that the application for the FDC product </w:t>
      </w:r>
      <w:proofErr w:type="spellStart"/>
      <w:r w:rsidR="00AF5D28">
        <w:t>Taptiqom</w:t>
      </w:r>
      <w:proofErr w:type="spellEnd"/>
      <w:r w:rsidRPr="000A1BD6">
        <w:t xml:space="preserve"> </w:t>
      </w:r>
      <w:r w:rsidR="000A1BD6" w:rsidRPr="000A1BD6">
        <w:t>should not be approved for registration.</w:t>
      </w:r>
    </w:p>
    <w:p w:rsidR="00FC34B6" w:rsidRDefault="00FC34B6" w:rsidP="00FC34B6">
      <w:pPr>
        <w:pStyle w:val="Heading5"/>
      </w:pPr>
      <w:r>
        <w:t>Conditions of registration</w:t>
      </w:r>
    </w:p>
    <w:p w:rsidR="00FC34B6" w:rsidRDefault="00FC34B6" w:rsidP="00FC34B6">
      <w:r>
        <w:t xml:space="preserve">Implement the latest EU-RMP with the latest updated </w:t>
      </w:r>
      <w:r w:rsidR="006B43DA">
        <w:t>ASA</w:t>
      </w:r>
      <w:r>
        <w:t>.</w:t>
      </w:r>
    </w:p>
    <w:p w:rsidR="00D23139" w:rsidRDefault="00D23139" w:rsidP="00D23139">
      <w:pPr>
        <w:pStyle w:val="Heading4"/>
      </w:pPr>
      <w:r w:rsidRPr="00D23139">
        <w:t>Request for ACPM advice</w:t>
      </w:r>
    </w:p>
    <w:p w:rsidR="000A1BD6" w:rsidRPr="000A1BD6" w:rsidRDefault="000A1BD6" w:rsidP="005C322B">
      <w:pPr>
        <w:pStyle w:val="Numberbullet0"/>
        <w:numPr>
          <w:ilvl w:val="0"/>
          <w:numId w:val="0"/>
        </w:numPr>
      </w:pPr>
      <w:r w:rsidRPr="000A1BD6">
        <w:t>Is the ACPM satisfied that efficacy and safety have been satisfactorily established for this FDC</w:t>
      </w:r>
      <w:r w:rsidR="00271180">
        <w:t>?</w:t>
      </w:r>
    </w:p>
    <w:p w:rsidR="00D23139" w:rsidRDefault="00D23139" w:rsidP="00FC34B6">
      <w:pPr>
        <w:pStyle w:val="Heading4"/>
      </w:pPr>
      <w:r w:rsidRPr="00D23139">
        <w:t xml:space="preserve">Response from </w:t>
      </w:r>
      <w:r w:rsidR="00FC34B6" w:rsidRPr="00FC34B6">
        <w:t>s</w:t>
      </w:r>
      <w:r w:rsidRPr="00FC34B6">
        <w:t>ponsor</w:t>
      </w:r>
    </w:p>
    <w:p w:rsidR="00580E6B" w:rsidRDefault="00580E6B" w:rsidP="00580E6B">
      <w:r>
        <w:t xml:space="preserve">Merck Sharp &amp; </w:t>
      </w:r>
      <w:proofErr w:type="spellStart"/>
      <w:r>
        <w:t>Dohme</w:t>
      </w:r>
      <w:proofErr w:type="spellEnd"/>
      <w:r>
        <w:t xml:space="preserve"> (MSD) concurs with the recommendation of the TGA Delegate that </w:t>
      </w:r>
      <w:proofErr w:type="spellStart"/>
      <w:r w:rsidR="00AF5D28">
        <w:t>Taptiqom</w:t>
      </w:r>
      <w:proofErr w:type="spellEnd"/>
      <w:r>
        <w:t xml:space="preserve">, a new fixed dose combination (FDC) product containing the already registered active ingredients </w:t>
      </w:r>
      <w:proofErr w:type="spellStart"/>
      <w:r>
        <w:t>tafluprost</w:t>
      </w:r>
      <w:proofErr w:type="spellEnd"/>
      <w:r>
        <w:t xml:space="preserve"> and </w:t>
      </w:r>
      <w:proofErr w:type="spellStart"/>
      <w:r>
        <w:t>timolol</w:t>
      </w:r>
      <w:proofErr w:type="spellEnd"/>
      <w:r>
        <w:t>, can be registered. Other similar ophthalmic combinations of a prostaglandin and a beta blocker are already registered.</w:t>
      </w:r>
    </w:p>
    <w:p w:rsidR="00580E6B" w:rsidRDefault="00580E6B" w:rsidP="00580E6B">
      <w:r>
        <w:t>Based on the feedback from the Delegate to align the indication to be consistent with other similar fixed dose combination products, the following indication is proposed.</w:t>
      </w:r>
    </w:p>
    <w:p w:rsidR="00580E6B" w:rsidRPr="00580E6B" w:rsidRDefault="00AF5D28" w:rsidP="00580E6B">
      <w:pPr>
        <w:ind w:left="720"/>
        <w:rPr>
          <w:i/>
        </w:rPr>
      </w:pPr>
      <w:proofErr w:type="spellStart"/>
      <w:r>
        <w:rPr>
          <w:i/>
        </w:rPr>
        <w:t>Taptiqom</w:t>
      </w:r>
      <w:proofErr w:type="spellEnd"/>
      <w:r w:rsidR="00580E6B" w:rsidRPr="00580E6B">
        <w:rPr>
          <w:i/>
        </w:rPr>
        <w:t xml:space="preserve"> is indicated for the reduction of intraocular pressure (IOP) in adult patients with open angle glaucoma or ocular hypertension who are insufficiently responsive to beta blockers or prostaglandin analogues and require a combination therapy.</w:t>
      </w:r>
    </w:p>
    <w:p w:rsidR="00580E6B" w:rsidRDefault="00580E6B" w:rsidP="00FC34B6">
      <w:r>
        <w:t xml:space="preserve">The clinical efficacy and safety studies considered that this was a combination of two already registered products that would be used at the same approved doses as the monotherapy product. The primary aim was to demonstrate that the fixed dose combination of </w:t>
      </w:r>
      <w:proofErr w:type="spellStart"/>
      <w:r>
        <w:t>tafluprost</w:t>
      </w:r>
      <w:proofErr w:type="spellEnd"/>
      <w:r>
        <w:t xml:space="preserve"> and </w:t>
      </w:r>
      <w:proofErr w:type="spellStart"/>
      <w:r>
        <w:t>timolol</w:t>
      </w:r>
      <w:proofErr w:type="spellEnd"/>
      <w:r>
        <w:t xml:space="preserve"> was superior in lowering </w:t>
      </w:r>
      <w:r w:rsidR="006B43DA">
        <w:t xml:space="preserve">IOP </w:t>
      </w:r>
      <w:r>
        <w:t xml:space="preserve">compared with the individual components. In addition it was shown that IOP lowering effect of the FDC given </w:t>
      </w:r>
      <w:r>
        <w:lastRenderedPageBreak/>
        <w:t>once daily was non‐inferior to the effect provided by the components given concomitantly (</w:t>
      </w:r>
      <w:proofErr w:type="spellStart"/>
      <w:r>
        <w:t>tafluprost</w:t>
      </w:r>
      <w:proofErr w:type="spellEnd"/>
      <w:r>
        <w:t xml:space="preserve"> once daily </w:t>
      </w:r>
      <w:r w:rsidR="006B43DA">
        <w:t>plus</w:t>
      </w:r>
      <w:r>
        <w:t xml:space="preserve"> </w:t>
      </w:r>
      <w:proofErr w:type="spellStart"/>
      <w:r>
        <w:t>timolol</w:t>
      </w:r>
      <w:proofErr w:type="spellEnd"/>
      <w:r>
        <w:t xml:space="preserve"> twice daily). The conclusion reached by the Delegate is that </w:t>
      </w:r>
      <w:r w:rsidR="00FC34B6">
        <w:t>‘</w:t>
      </w:r>
      <w:r w:rsidRPr="00FC34B6">
        <w:rPr>
          <w:i/>
        </w:rPr>
        <w:t>the FDC is more effective in reducing intraocular pressure than each of the two mono products alone and is non‐inferior to concomitant use of the mono products. The FDC product does not pose any new safety concerns over those posed by concomitant use of the two mono products</w:t>
      </w:r>
      <w:r>
        <w:t>.</w:t>
      </w:r>
      <w:r w:rsidR="00FC34B6">
        <w:t>’</w:t>
      </w:r>
      <w:r>
        <w:t xml:space="preserve"> The putative advantage of the FDC of </w:t>
      </w:r>
      <w:proofErr w:type="spellStart"/>
      <w:r>
        <w:t>tafluprost</w:t>
      </w:r>
      <w:proofErr w:type="spellEnd"/>
      <w:r>
        <w:t xml:space="preserve"> and </w:t>
      </w:r>
      <w:proofErr w:type="spellStart"/>
      <w:r>
        <w:t>timolol</w:t>
      </w:r>
      <w:proofErr w:type="spellEnd"/>
      <w:r>
        <w:t xml:space="preserve"> is to reduce the washout effect of administering multiple drops to the eye and to increase compliance. This product is also preservative free.</w:t>
      </w:r>
    </w:p>
    <w:p w:rsidR="00580E6B" w:rsidRDefault="00580E6B" w:rsidP="00FC34B6">
      <w:r>
        <w:t xml:space="preserve">Proposed changes to the </w:t>
      </w:r>
      <w:r w:rsidR="00FC34B6">
        <w:t>PI</w:t>
      </w:r>
      <w:r>
        <w:t xml:space="preserve"> have been addressed and outstanding matters related to the RMP will be addressed directly with the Delegate.</w:t>
      </w:r>
    </w:p>
    <w:p w:rsidR="008E7846" w:rsidRDefault="008E7846" w:rsidP="008E7846">
      <w:pPr>
        <w:pStyle w:val="Heading4"/>
      </w:pPr>
      <w:r>
        <w:t>Advisory Committee Considerations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580E6B" w:rsidRPr="007C48E5" w:rsidRDefault="00580E6B" w:rsidP="00580E6B">
      <w:pPr>
        <w:rPr>
          <w:rFonts w:cs="Calibri"/>
          <w:bCs/>
        </w:rPr>
      </w:pPr>
      <w:r w:rsidRPr="007C48E5">
        <w:rPr>
          <w:rFonts w:cs="Calibri"/>
          <w:bCs/>
        </w:rPr>
        <w:t xml:space="preserve">The submission seeks to register a </w:t>
      </w:r>
      <w:r w:rsidRPr="007C48E5">
        <w:rPr>
          <w:rFonts w:cs="Calibri"/>
          <w:bCs/>
          <w:noProof/>
        </w:rPr>
        <w:t>new combination of active ingredients</w:t>
      </w:r>
      <w:r w:rsidRPr="007C48E5">
        <w:rPr>
          <w:rFonts w:cs="Calibri"/>
          <w:bCs/>
        </w:rPr>
        <w:t xml:space="preserve"> for currently registered products.</w:t>
      </w:r>
    </w:p>
    <w:p w:rsidR="00580E6B" w:rsidRPr="00750421" w:rsidRDefault="00580E6B" w:rsidP="00580E6B">
      <w:pPr>
        <w:spacing w:line="240" w:lineRule="auto"/>
        <w:rPr>
          <w:rFonts w:eastAsia="Times New Roman" w:cs="Arial"/>
          <w:lang w:eastAsia="en-AU"/>
        </w:rPr>
      </w:pPr>
      <w:r w:rsidRPr="00750421">
        <w:rPr>
          <w:rFonts w:eastAsia="Times New Roman" w:cs="Arial"/>
          <w:lang w:eastAsia="en-AU"/>
        </w:rPr>
        <w:t xml:space="preserve">The ACPM resolved to recommend to the TGA </w:t>
      </w:r>
      <w:r w:rsidR="00FC34B6">
        <w:rPr>
          <w:rFonts w:eastAsia="Times New Roman" w:cs="Arial"/>
          <w:lang w:eastAsia="en-AU"/>
        </w:rPr>
        <w:t>D</w:t>
      </w:r>
      <w:r w:rsidRPr="00750421">
        <w:rPr>
          <w:rFonts w:eastAsia="Times New Roman" w:cs="Arial"/>
          <w:lang w:eastAsia="en-AU"/>
        </w:rPr>
        <w:t>elegate of t</w:t>
      </w:r>
      <w:r w:rsidR="00577439">
        <w:rPr>
          <w:rFonts w:eastAsia="Times New Roman" w:cs="Arial"/>
          <w:lang w:eastAsia="en-AU"/>
        </w:rPr>
        <w:t>he Minister and Secretary that:</w:t>
      </w:r>
    </w:p>
    <w:p w:rsidR="00580E6B" w:rsidRPr="005C713B" w:rsidRDefault="00580E6B" w:rsidP="00580E6B">
      <w:pPr>
        <w:spacing w:line="240" w:lineRule="auto"/>
        <w:rPr>
          <w:rFonts w:eastAsia="Times New Roman" w:cs="Calibri"/>
          <w:b/>
          <w:color w:val="000000"/>
          <w:lang w:eastAsia="en-AU"/>
        </w:rPr>
      </w:pPr>
      <w:r w:rsidRPr="00750421">
        <w:rPr>
          <w:rFonts w:eastAsia="Times New Roman" w:cs="Calibri"/>
          <w:color w:val="000000"/>
          <w:lang w:eastAsia="en-AU"/>
        </w:rPr>
        <w:t xml:space="preserve">The ACPM, taking into account the submitted evidence of efficacy, safety and quality, agreed with the </w:t>
      </w:r>
      <w:r w:rsidR="00FC34B6">
        <w:rPr>
          <w:rFonts w:eastAsia="Times New Roman" w:cs="Calibri"/>
          <w:color w:val="000000"/>
          <w:lang w:eastAsia="en-AU"/>
        </w:rPr>
        <w:t>D</w:t>
      </w:r>
      <w:r w:rsidRPr="00750421">
        <w:rPr>
          <w:rFonts w:eastAsia="Times New Roman" w:cs="Calibri"/>
          <w:color w:val="000000"/>
          <w:lang w:eastAsia="en-AU"/>
        </w:rPr>
        <w:t xml:space="preserve">elegate and considered </w:t>
      </w:r>
      <w:proofErr w:type="spellStart"/>
      <w:r w:rsidR="00AF5D28">
        <w:rPr>
          <w:rFonts w:eastAsia="Times New Roman"/>
          <w:bCs/>
          <w:lang w:eastAsia="en-AU"/>
        </w:rPr>
        <w:t>Taptiqom</w:t>
      </w:r>
      <w:proofErr w:type="spellEnd"/>
      <w:r w:rsidR="00FC34B6" w:rsidRPr="00750421">
        <w:rPr>
          <w:rFonts w:eastAsia="Times New Roman"/>
          <w:bCs/>
          <w:lang w:eastAsia="en-AU"/>
        </w:rPr>
        <w:t xml:space="preserve"> </w:t>
      </w:r>
      <w:r w:rsidRPr="00750421">
        <w:rPr>
          <w:rFonts w:eastAsia="Times New Roman"/>
          <w:bCs/>
          <w:lang w:eastAsia="en-AU"/>
        </w:rPr>
        <w:t>15/5</w:t>
      </w:r>
      <w:r w:rsidRPr="00750421">
        <w:rPr>
          <w:rFonts w:eastAsia="Times New Roman"/>
          <w:lang w:eastAsia="en-AU"/>
        </w:rPr>
        <w:t xml:space="preserve"> </w:t>
      </w:r>
      <w:r w:rsidRPr="00750421">
        <w:rPr>
          <w:rFonts w:eastAsia="Times New Roman"/>
          <w:bCs/>
          <w:lang w:eastAsia="en-AU"/>
        </w:rPr>
        <w:t xml:space="preserve">eye drops, solution containing </w:t>
      </w:r>
      <w:proofErr w:type="spellStart"/>
      <w:r w:rsidRPr="00750421">
        <w:rPr>
          <w:rFonts w:eastAsia="Times New Roman"/>
          <w:bCs/>
          <w:lang w:eastAsia="en-AU"/>
        </w:rPr>
        <w:t>tafluprost</w:t>
      </w:r>
      <w:proofErr w:type="spellEnd"/>
      <w:r w:rsidRPr="00750421">
        <w:rPr>
          <w:rFonts w:eastAsia="Times New Roman"/>
          <w:bCs/>
          <w:lang w:eastAsia="en-AU"/>
        </w:rPr>
        <w:t xml:space="preserve"> 15 µ</w:t>
      </w:r>
      <w:r w:rsidR="005F0303">
        <w:rPr>
          <w:rFonts w:eastAsia="Times New Roman"/>
          <w:bCs/>
          <w:lang w:eastAsia="en-AU"/>
        </w:rPr>
        <w:t>g</w:t>
      </w:r>
      <w:r w:rsidRPr="00750421">
        <w:rPr>
          <w:rFonts w:eastAsia="Times New Roman"/>
          <w:bCs/>
          <w:lang w:eastAsia="en-AU"/>
        </w:rPr>
        <w:t xml:space="preserve">/mL and </w:t>
      </w:r>
      <w:proofErr w:type="spellStart"/>
      <w:r w:rsidRPr="00750421">
        <w:rPr>
          <w:rFonts w:eastAsia="Times New Roman"/>
          <w:bCs/>
          <w:lang w:eastAsia="en-AU"/>
        </w:rPr>
        <w:t>timolol</w:t>
      </w:r>
      <w:proofErr w:type="spellEnd"/>
      <w:r w:rsidRPr="00750421">
        <w:rPr>
          <w:rFonts w:eastAsia="Times New Roman"/>
          <w:bCs/>
          <w:lang w:eastAsia="en-AU"/>
        </w:rPr>
        <w:t xml:space="preserve"> (as maleate) 5 mg/mL </w:t>
      </w:r>
      <w:r w:rsidRPr="00750421">
        <w:rPr>
          <w:rFonts w:eastAsia="Times New Roman" w:cs="Calibri"/>
          <w:color w:val="000000"/>
          <w:lang w:eastAsia="en-AU"/>
        </w:rPr>
        <w:t>to have an overall positive benefit–risk profile for the indication</w:t>
      </w:r>
      <w:r>
        <w:rPr>
          <w:rFonts w:eastAsia="Times New Roman" w:cs="Calibri"/>
          <w:b/>
          <w:color w:val="000000"/>
          <w:lang w:eastAsia="en-AU"/>
        </w:rPr>
        <w:t>:</w:t>
      </w:r>
    </w:p>
    <w:p w:rsidR="00580E6B" w:rsidRPr="00FC34B6" w:rsidRDefault="00AF5D28" w:rsidP="00580E6B">
      <w:pPr>
        <w:adjustRightInd w:val="0"/>
        <w:snapToGrid w:val="0"/>
        <w:ind w:left="720"/>
        <w:rPr>
          <w:rFonts w:eastAsia="MS Mincho"/>
          <w:bCs/>
          <w:i/>
          <w:lang w:eastAsia="ja-JP"/>
        </w:rPr>
      </w:pPr>
      <w:proofErr w:type="spellStart"/>
      <w:r>
        <w:rPr>
          <w:rFonts w:eastAsia="MS Mincho"/>
          <w:bCs/>
          <w:i/>
          <w:lang w:eastAsia="ja-JP"/>
        </w:rPr>
        <w:t>Taptiqom</w:t>
      </w:r>
      <w:proofErr w:type="spellEnd"/>
      <w:r w:rsidR="00FC34B6" w:rsidRPr="00FC34B6">
        <w:rPr>
          <w:rFonts w:eastAsia="MS Mincho"/>
          <w:bCs/>
          <w:i/>
          <w:lang w:eastAsia="ja-JP"/>
        </w:rPr>
        <w:t xml:space="preserve"> </w:t>
      </w:r>
      <w:r w:rsidR="00580E6B" w:rsidRPr="00FC34B6">
        <w:rPr>
          <w:rFonts w:eastAsia="MS Mincho"/>
          <w:bCs/>
          <w:i/>
          <w:lang w:eastAsia="ja-JP"/>
        </w:rPr>
        <w:t>is indicated for the reduction of intraocular pressure (IOP) in adult patients with open angle glaucoma or ocular hypertension who are insufficiently responsive to beta blockers or prostaglandin analogues and require a combination therapy.</w:t>
      </w:r>
    </w:p>
    <w:p w:rsidR="00580E6B" w:rsidRPr="005B2482" w:rsidRDefault="00580E6B" w:rsidP="00FC34B6">
      <w:pPr>
        <w:pStyle w:val="Heading5"/>
        <w:rPr>
          <w:lang w:eastAsia="en-AU"/>
        </w:rPr>
      </w:pPr>
      <w:r w:rsidRPr="00C3367D">
        <w:rPr>
          <w:lang w:eastAsia="en-AU"/>
        </w:rPr>
        <w:t>Prop</w:t>
      </w:r>
      <w:r>
        <w:rPr>
          <w:lang w:eastAsia="en-AU"/>
        </w:rPr>
        <w:t>osed conditions of registration</w:t>
      </w:r>
    </w:p>
    <w:p w:rsidR="00580E6B" w:rsidRPr="005B2482" w:rsidRDefault="00580E6B" w:rsidP="00FC34B6">
      <w:pPr>
        <w:pStyle w:val="ListBullet"/>
        <w:rPr>
          <w:lang w:eastAsia="ja-JP"/>
        </w:rPr>
      </w:pPr>
      <w:r w:rsidRPr="005B2482">
        <w:rPr>
          <w:lang w:eastAsia="ja-JP"/>
        </w:rPr>
        <w:t xml:space="preserve">Negotiation of Product Information and Consumer Medicines Information </w:t>
      </w:r>
      <w:r w:rsidR="00577439">
        <w:rPr>
          <w:lang w:eastAsia="ja-JP"/>
        </w:rPr>
        <w:t>to the satisfaction of the TGA.</w:t>
      </w:r>
    </w:p>
    <w:p w:rsidR="00580E6B" w:rsidRDefault="00580E6B" w:rsidP="00FC34B6">
      <w:pPr>
        <w:pStyle w:val="ListBullet"/>
        <w:rPr>
          <w:lang w:eastAsia="ja-JP"/>
        </w:rPr>
      </w:pPr>
      <w:r>
        <w:rPr>
          <w:lang w:eastAsia="ja-JP"/>
        </w:rPr>
        <w:t>S</w:t>
      </w:r>
      <w:r w:rsidRPr="005B2482">
        <w:rPr>
          <w:lang w:eastAsia="ja-JP"/>
        </w:rPr>
        <w:t>atisfactory implementation of the Risk Management Plan most recently negotiated by the TGA.</w:t>
      </w:r>
    </w:p>
    <w:p w:rsidR="00580E6B" w:rsidRPr="001F3C72" w:rsidRDefault="00580E6B" w:rsidP="00FC34B6">
      <w:pPr>
        <w:pStyle w:val="Heading5"/>
        <w:rPr>
          <w:u w:val="single"/>
          <w:lang w:eastAsia="en-AU"/>
        </w:rPr>
      </w:pPr>
      <w:r w:rsidRPr="00C3367D">
        <w:rPr>
          <w:lang w:eastAsia="en-AU"/>
        </w:rPr>
        <w:t>Proposed Product Information (PI)/Consumer Medicine Information (CMI) amendments:</w:t>
      </w:r>
    </w:p>
    <w:p w:rsidR="00580E6B" w:rsidRPr="00750421" w:rsidRDefault="00580E6B" w:rsidP="00FC34B6">
      <w:pPr>
        <w:pStyle w:val="ListBullet"/>
        <w:rPr>
          <w:lang w:eastAsia="ja-JP"/>
        </w:rPr>
      </w:pPr>
      <w:r>
        <w:rPr>
          <w:lang w:eastAsia="ja-JP"/>
        </w:rPr>
        <w:t>The recommendation to occlude tear ducts after instillation be emphasised</w:t>
      </w:r>
    </w:p>
    <w:p w:rsidR="00580E6B" w:rsidRPr="00750421" w:rsidRDefault="00580E6B" w:rsidP="00FC34B6">
      <w:pPr>
        <w:pStyle w:val="ListBullet"/>
        <w:rPr>
          <w:rFonts w:eastAsia="Times New Roman"/>
          <w:szCs w:val="24"/>
          <w:lang w:eastAsia="en-AU"/>
        </w:rPr>
      </w:pPr>
      <w:r>
        <w:rPr>
          <w:rFonts w:eastAsia="Times New Roman"/>
          <w:szCs w:val="24"/>
          <w:lang w:eastAsia="en-AU"/>
        </w:rPr>
        <w:t xml:space="preserve">Amendment of the CMI under ‘additional side effects </w:t>
      </w:r>
      <w:proofErr w:type="spellStart"/>
      <w:r>
        <w:rPr>
          <w:rFonts w:eastAsia="Times New Roman"/>
          <w:szCs w:val="24"/>
          <w:lang w:eastAsia="en-AU"/>
        </w:rPr>
        <w:t>timolol</w:t>
      </w:r>
      <w:proofErr w:type="spellEnd"/>
      <w:r>
        <w:rPr>
          <w:rFonts w:eastAsia="Times New Roman"/>
          <w:szCs w:val="24"/>
          <w:lang w:eastAsia="en-AU"/>
        </w:rPr>
        <w:t xml:space="preserve"> maleate’ the ACPM recommended ‘slowing of your heart rate’ and ‘shortness of breath’ be moved up to the 2</w:t>
      </w:r>
      <w:r w:rsidRPr="00693E17">
        <w:rPr>
          <w:rFonts w:eastAsia="Times New Roman"/>
          <w:szCs w:val="24"/>
          <w:vertAlign w:val="superscript"/>
          <w:lang w:eastAsia="en-AU"/>
        </w:rPr>
        <w:t>nd</w:t>
      </w:r>
      <w:r>
        <w:rPr>
          <w:rFonts w:eastAsia="Times New Roman"/>
          <w:szCs w:val="24"/>
          <w:lang w:eastAsia="en-AU"/>
        </w:rPr>
        <w:t xml:space="preserve"> and 3</w:t>
      </w:r>
      <w:r w:rsidRPr="00693E17">
        <w:rPr>
          <w:rFonts w:eastAsia="Times New Roman"/>
          <w:szCs w:val="24"/>
          <w:vertAlign w:val="superscript"/>
          <w:lang w:eastAsia="en-AU"/>
        </w:rPr>
        <w:t>rd</w:t>
      </w:r>
      <w:r>
        <w:rPr>
          <w:rFonts w:eastAsia="Times New Roman"/>
          <w:szCs w:val="24"/>
          <w:lang w:eastAsia="en-AU"/>
        </w:rPr>
        <w:t xml:space="preserve"> line.</w:t>
      </w:r>
    </w:p>
    <w:p w:rsidR="00580E6B" w:rsidRPr="00C3367D" w:rsidRDefault="00580E6B" w:rsidP="00B559CC">
      <w:pPr>
        <w:pStyle w:val="Heading5"/>
        <w:rPr>
          <w:rFonts w:eastAsia="MS Mincho"/>
          <w:highlight w:val="yellow"/>
          <w:lang w:eastAsia="ja-JP"/>
        </w:rPr>
      </w:pPr>
      <w:r>
        <w:rPr>
          <w:rFonts w:eastAsia="MS Mincho"/>
          <w:lang w:eastAsia="ja-JP"/>
        </w:rPr>
        <w:t>Specific Advice</w:t>
      </w:r>
    </w:p>
    <w:p w:rsidR="00580E6B" w:rsidRPr="005C713B" w:rsidRDefault="00580E6B" w:rsidP="00580E6B">
      <w:pPr>
        <w:spacing w:line="240" w:lineRule="auto"/>
        <w:rPr>
          <w:rFonts w:eastAsia="Times New Roman"/>
          <w:b/>
          <w:bCs/>
          <w:iCs/>
          <w:szCs w:val="24"/>
          <w:highlight w:val="yellow"/>
          <w:lang w:eastAsia="en-AU"/>
        </w:rPr>
      </w:pPr>
      <w:r>
        <w:rPr>
          <w:rFonts w:eastAsia="Times New Roman" w:cs="Arial"/>
          <w:szCs w:val="24"/>
          <w:lang w:eastAsia="en-AU"/>
        </w:rPr>
        <w:t xml:space="preserve">The ACPM advised, </w:t>
      </w:r>
      <w:r w:rsidRPr="00750421">
        <w:rPr>
          <w:rFonts w:eastAsia="Times New Roman" w:cs="Arial"/>
          <w:szCs w:val="24"/>
          <w:lang w:eastAsia="en-AU"/>
        </w:rPr>
        <w:t xml:space="preserve">in response to the </w:t>
      </w:r>
      <w:r w:rsidR="00FC34B6">
        <w:rPr>
          <w:rFonts w:eastAsia="Times New Roman" w:cs="Arial"/>
          <w:szCs w:val="24"/>
          <w:lang w:eastAsia="en-AU"/>
        </w:rPr>
        <w:t>D</w:t>
      </w:r>
      <w:r w:rsidRPr="00750421">
        <w:rPr>
          <w:rFonts w:eastAsia="Times New Roman" w:cs="Arial"/>
          <w:szCs w:val="24"/>
          <w:lang w:eastAsia="en-AU"/>
        </w:rPr>
        <w:t>elegate’s specific question</w:t>
      </w:r>
      <w:r>
        <w:rPr>
          <w:rFonts w:eastAsia="Times New Roman" w:cs="Arial"/>
          <w:szCs w:val="24"/>
          <w:lang w:eastAsia="en-AU"/>
        </w:rPr>
        <w:t xml:space="preserve"> on this submission, that it was </w:t>
      </w:r>
      <w:r w:rsidRPr="00750421">
        <w:rPr>
          <w:rFonts w:eastAsia="MS Mincho"/>
          <w:bCs/>
          <w:iCs/>
          <w:lang w:eastAsia="ja-JP"/>
        </w:rPr>
        <w:t>satisfi</w:t>
      </w:r>
      <w:r>
        <w:rPr>
          <w:rFonts w:eastAsia="MS Mincho"/>
          <w:bCs/>
          <w:iCs/>
          <w:lang w:eastAsia="ja-JP"/>
        </w:rPr>
        <w:t>ed that efficacy and safety had</w:t>
      </w:r>
      <w:r w:rsidRPr="00750421">
        <w:rPr>
          <w:rFonts w:eastAsia="MS Mincho"/>
          <w:bCs/>
          <w:iCs/>
          <w:lang w:eastAsia="ja-JP"/>
        </w:rPr>
        <w:t xml:space="preserve"> been satisfac</w:t>
      </w:r>
      <w:r>
        <w:rPr>
          <w:rFonts w:eastAsia="MS Mincho"/>
          <w:bCs/>
          <w:iCs/>
          <w:lang w:eastAsia="ja-JP"/>
        </w:rPr>
        <w:t>torily established for this fixed dose combination.</w:t>
      </w:r>
    </w:p>
    <w:p w:rsidR="008E7846" w:rsidRPr="002E238E" w:rsidRDefault="008E7846" w:rsidP="008E7846">
      <w:pPr>
        <w:pStyle w:val="Heading3"/>
      </w:pPr>
      <w:bookmarkStart w:id="143" w:name="_Toc247691532"/>
      <w:bookmarkStart w:id="144" w:name="_Toc314842516"/>
      <w:bookmarkStart w:id="145" w:name="_Toc427232230"/>
      <w:bookmarkEnd w:id="105"/>
      <w:bookmarkEnd w:id="141"/>
      <w:bookmarkEnd w:id="142"/>
      <w:r>
        <w:t>Outcome</w:t>
      </w:r>
      <w:bookmarkEnd w:id="143"/>
      <w:bookmarkEnd w:id="144"/>
      <w:bookmarkEnd w:id="145"/>
    </w:p>
    <w:p w:rsidR="000A1BD6" w:rsidRPr="005B4838" w:rsidRDefault="00FC34B6" w:rsidP="005B4838">
      <w:bookmarkStart w:id="146" w:name="_Toc247691533"/>
      <w:bookmarkStart w:id="147" w:name="_Toc314842517"/>
      <w:r>
        <w:t>The sponsor</w:t>
      </w:r>
      <w:r w:rsidR="000A1BD6" w:rsidRPr="005B4838">
        <w:t xml:space="preserve"> formally requested in </w:t>
      </w:r>
      <w:r>
        <w:t>their</w:t>
      </w:r>
      <w:r w:rsidR="000A1BD6" w:rsidRPr="005B4838">
        <w:t xml:space="preserve"> pre-ACPM response dated 14 November 2014 that the proposed trade name </w:t>
      </w:r>
      <w:proofErr w:type="spellStart"/>
      <w:r w:rsidR="00AF5D28">
        <w:t>Taptiqom</w:t>
      </w:r>
      <w:proofErr w:type="spellEnd"/>
      <w:r w:rsidR="000A1BD6" w:rsidRPr="005B4838">
        <w:t xml:space="preserve"> be changed to</w:t>
      </w:r>
      <w:r w:rsidR="00516F60">
        <w:t xml:space="preserve"> </w:t>
      </w:r>
      <w:proofErr w:type="spellStart"/>
      <w:r w:rsidR="00AF5D28">
        <w:t>Taptiqom</w:t>
      </w:r>
      <w:proofErr w:type="spellEnd"/>
      <w:r w:rsidRPr="005B4838">
        <w:t xml:space="preserve"> </w:t>
      </w:r>
      <w:r w:rsidR="000A1BD6" w:rsidRPr="005B4838">
        <w:t>15/5 to reflect the strengths of the two active ingredients in the product</w:t>
      </w:r>
      <w:r w:rsidR="00516F60">
        <w:t>.</w:t>
      </w:r>
    </w:p>
    <w:p w:rsidR="00FC34B6" w:rsidRPr="005B4838" w:rsidRDefault="00FC34B6" w:rsidP="00516F60">
      <w:r w:rsidRPr="005B4838">
        <w:lastRenderedPageBreak/>
        <w:t xml:space="preserve">Based on a review of quality, safety and efficacy, TGA approved the registration of </w:t>
      </w:r>
      <w:proofErr w:type="spellStart"/>
      <w:r w:rsidR="00AF5D28">
        <w:t>Taptiqom</w:t>
      </w:r>
      <w:proofErr w:type="spellEnd"/>
      <w:r w:rsidRPr="005B4838">
        <w:t xml:space="preserve"> 15/5 </w:t>
      </w:r>
      <w:proofErr w:type="spellStart"/>
      <w:r w:rsidRPr="005B4838">
        <w:t>ta</w:t>
      </w:r>
      <w:r w:rsidR="005F0303">
        <w:t>fl</w:t>
      </w:r>
      <w:r w:rsidRPr="005B4838">
        <w:t>uprost</w:t>
      </w:r>
      <w:proofErr w:type="spellEnd"/>
      <w:r w:rsidRPr="005B4838">
        <w:t xml:space="preserve"> 15 microgram/</w:t>
      </w:r>
      <w:r w:rsidR="00516F60">
        <w:t>m</w:t>
      </w:r>
      <w:r w:rsidRPr="005B4838">
        <w:t xml:space="preserve">L and </w:t>
      </w:r>
      <w:proofErr w:type="spellStart"/>
      <w:r w:rsidRPr="005B4838">
        <w:t>timolol</w:t>
      </w:r>
      <w:proofErr w:type="spellEnd"/>
      <w:r w:rsidRPr="005B4838">
        <w:t xml:space="preserve"> (as maleate) 5 </w:t>
      </w:r>
      <w:r w:rsidR="00516F60">
        <w:t>m</w:t>
      </w:r>
      <w:r w:rsidRPr="005B4838">
        <w:t>g/</w:t>
      </w:r>
      <w:r w:rsidR="00516F60">
        <w:t>m</w:t>
      </w:r>
      <w:r w:rsidRPr="005B4838">
        <w:t>L</w:t>
      </w:r>
      <w:r w:rsidR="00516F60">
        <w:t xml:space="preserve"> </w:t>
      </w:r>
      <w:r w:rsidRPr="005B4838">
        <w:t>single dose eye drop solution ampoule, indicated for:</w:t>
      </w:r>
    </w:p>
    <w:p w:rsidR="000A1BD6" w:rsidRPr="00516F60" w:rsidRDefault="00AF5D28" w:rsidP="00516F60">
      <w:pPr>
        <w:ind w:left="720"/>
        <w:rPr>
          <w:i/>
        </w:rPr>
      </w:pPr>
      <w:proofErr w:type="spellStart"/>
      <w:r>
        <w:rPr>
          <w:i/>
        </w:rPr>
        <w:t>Taptiqom</w:t>
      </w:r>
      <w:proofErr w:type="spellEnd"/>
      <w:r w:rsidR="00744C71" w:rsidRPr="00516F60">
        <w:rPr>
          <w:i/>
        </w:rPr>
        <w:t xml:space="preserve"> </w:t>
      </w:r>
      <w:r w:rsidR="000A1BD6" w:rsidRPr="00516F60">
        <w:rPr>
          <w:i/>
        </w:rPr>
        <w:t>15/5 is indicated for the reduction of intraocular pressure (lop) in adult</w:t>
      </w:r>
      <w:r w:rsidR="00744C71" w:rsidRPr="00516F60">
        <w:rPr>
          <w:i/>
        </w:rPr>
        <w:t xml:space="preserve"> </w:t>
      </w:r>
      <w:r w:rsidR="000A1BD6" w:rsidRPr="00516F60">
        <w:rPr>
          <w:i/>
        </w:rPr>
        <w:t>patients with open angle glaucoma or ocular hypertension who are insufficiently responsive to beta blockers or prostaglandin analogues and require a combination therapy</w:t>
      </w:r>
      <w:r w:rsidR="00744C71" w:rsidRPr="00516F60">
        <w:rPr>
          <w:i/>
        </w:rPr>
        <w:t>.</w:t>
      </w:r>
    </w:p>
    <w:p w:rsidR="00D23139" w:rsidRPr="00D23139" w:rsidRDefault="00D23139" w:rsidP="00D23139">
      <w:pPr>
        <w:pStyle w:val="Heading4"/>
      </w:pPr>
      <w:r w:rsidRPr="00D23139">
        <w:t>Specific conditions of registration applying to these goods</w:t>
      </w:r>
    </w:p>
    <w:p w:rsidR="00D23139" w:rsidRPr="00D23139" w:rsidRDefault="000A1BD6" w:rsidP="005B4838">
      <w:r>
        <w:t xml:space="preserve">The </w:t>
      </w:r>
      <w:proofErr w:type="spellStart"/>
      <w:r w:rsidR="00AF5D28">
        <w:t>Taptiqom</w:t>
      </w:r>
      <w:proofErr w:type="spellEnd"/>
      <w:r>
        <w:t xml:space="preserve"> 15/5 </w:t>
      </w:r>
      <w:r w:rsidR="005B4838">
        <w:t>(</w:t>
      </w:r>
      <w:proofErr w:type="spellStart"/>
      <w:r w:rsidR="005B4838">
        <w:t>taflu</w:t>
      </w:r>
      <w:r>
        <w:t>prost</w:t>
      </w:r>
      <w:proofErr w:type="spellEnd"/>
      <w:r>
        <w:t>/</w:t>
      </w:r>
      <w:proofErr w:type="spellStart"/>
      <w:r>
        <w:t>timolol</w:t>
      </w:r>
      <w:proofErr w:type="spellEnd"/>
      <w:r>
        <w:t xml:space="preserve"> maleate) EU Risk Management Plan (RMP),</w:t>
      </w:r>
      <w:r w:rsidR="005B4838">
        <w:t xml:space="preserve"> </w:t>
      </w:r>
      <w:r>
        <w:t>Version 1 dated 29 April2013 with Australian Specific Annex Version 1.1, dated</w:t>
      </w:r>
      <w:r w:rsidR="005B4838">
        <w:t xml:space="preserve"> </w:t>
      </w:r>
      <w:r>
        <w:t>January 2015, and any subsequent revisions, as agreed with the TGA will be</w:t>
      </w:r>
      <w:r w:rsidR="005B4838">
        <w:t xml:space="preserve"> </w:t>
      </w:r>
      <w:r>
        <w:t>implemented in Australia.</w:t>
      </w:r>
    </w:p>
    <w:p w:rsidR="008E7846" w:rsidRDefault="00A80B5B" w:rsidP="00D23139">
      <w:pPr>
        <w:pStyle w:val="Heading2"/>
      </w:pPr>
      <w:bookmarkStart w:id="148" w:name="_Toc427232231"/>
      <w:proofErr w:type="gramStart"/>
      <w:r>
        <w:t>Attachment 1.</w:t>
      </w:r>
      <w:proofErr w:type="gramEnd"/>
      <w:r>
        <w:t xml:space="preserve"> </w:t>
      </w:r>
      <w:r w:rsidR="008E7846">
        <w:t xml:space="preserve">Product </w:t>
      </w:r>
      <w:r w:rsidR="004F038A">
        <w:t>i</w:t>
      </w:r>
      <w:r w:rsidR="008E7846">
        <w:t>nformation</w:t>
      </w:r>
      <w:bookmarkEnd w:id="146"/>
      <w:bookmarkEnd w:id="147"/>
      <w:bookmarkEnd w:id="148"/>
    </w:p>
    <w:p w:rsidR="00C80137" w:rsidRDefault="002B3624" w:rsidP="00C80137">
      <w:pPr>
        <w:rPr>
          <w:color w:val="000000"/>
          <w:lang w:eastAsia="en-AU"/>
        </w:rPr>
      </w:pPr>
      <w:r w:rsidRPr="002B3624">
        <w:t xml:space="preserve">The Product Information approved for </w:t>
      </w:r>
      <w:proofErr w:type="spellStart"/>
      <w:r w:rsidR="00AF5D28">
        <w:t>Taptiqom</w:t>
      </w:r>
      <w:proofErr w:type="spellEnd"/>
      <w:r w:rsidR="00580E6B">
        <w:t xml:space="preserve"> </w:t>
      </w:r>
      <w:r w:rsidR="00516F60">
        <w:t>15/5</w:t>
      </w:r>
      <w:r w:rsidR="005F0303">
        <w:t xml:space="preserve"> </w:t>
      </w:r>
      <w:r w:rsidRPr="002B3624">
        <w:t xml:space="preserve">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26" w:history="1">
        <w:r w:rsidR="00383221">
          <w:rPr>
            <w:rStyle w:val="Hyperlink"/>
          </w:rPr>
          <w:t>https://www.tga.gov.au/product-information-pi</w:t>
        </w:r>
      </w:hyperlink>
      <w:r w:rsidRPr="002B3624">
        <w:t>&gt;</w:t>
      </w:r>
      <w:r w:rsidR="00580E6B">
        <w:t>.</w:t>
      </w:r>
    </w:p>
    <w:p w:rsidR="001C32CD" w:rsidRDefault="00C80137" w:rsidP="00516F60">
      <w:pPr>
        <w:pStyle w:val="Heading2"/>
        <w:rPr>
          <w:lang w:eastAsia="ja-JP"/>
        </w:rPr>
      </w:pPr>
      <w:bookmarkStart w:id="149" w:name="_Toc427232232"/>
      <w:proofErr w:type="gramStart"/>
      <w:r>
        <w:rPr>
          <w:lang w:eastAsia="en-AU"/>
        </w:rPr>
        <w:t>Attachment 2.</w:t>
      </w:r>
      <w:proofErr w:type="gramEnd"/>
      <w:r w:rsidR="00A80B5B">
        <w:rPr>
          <w:lang w:eastAsia="en-AU"/>
        </w:rPr>
        <w:t xml:space="preserve"> </w:t>
      </w:r>
      <w:r>
        <w:rPr>
          <w:lang w:eastAsia="en-AU"/>
        </w:rPr>
        <w:t xml:space="preserve">Extract from the </w:t>
      </w:r>
      <w:r w:rsidR="004F038A">
        <w:rPr>
          <w:lang w:eastAsia="en-AU"/>
        </w:rPr>
        <w:t>c</w:t>
      </w:r>
      <w:r>
        <w:rPr>
          <w:lang w:eastAsia="en-AU"/>
        </w:rPr>
        <w:t xml:space="preserve">linical </w:t>
      </w:r>
      <w:r w:rsidR="004F038A">
        <w:rPr>
          <w:lang w:eastAsia="en-AU"/>
        </w:rPr>
        <w:t>e</w:t>
      </w:r>
      <w:r>
        <w:rPr>
          <w:lang w:eastAsia="en-AU"/>
        </w:rPr>
        <w:t xml:space="preserve">valuation </w:t>
      </w:r>
      <w:r w:rsidR="004F038A">
        <w:rPr>
          <w:lang w:eastAsia="en-AU"/>
        </w:rPr>
        <w:t>r</w:t>
      </w:r>
      <w:r>
        <w:rPr>
          <w:lang w:eastAsia="en-AU"/>
        </w:rPr>
        <w:t>eport</w:t>
      </w:r>
      <w:bookmarkEnd w:id="149"/>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31" w:history="1">
              <w:r w:rsidRPr="004C239D">
                <w:rPr>
                  <w:rStyle w:val="Hyperlink"/>
                </w:rPr>
                <w:t>info@tga.gov.au</w:t>
              </w:r>
            </w:hyperlink>
            <w:r w:rsidR="00516F60">
              <w:t xml:space="preserve"> </w:t>
            </w:r>
            <w:r w:rsidRPr="00487162">
              <w:t>Phone: 1800 020 653</w:t>
            </w:r>
            <w:r w:rsidR="00516F60">
              <w:t xml:space="preserve"> </w:t>
            </w:r>
            <w:r w:rsidRPr="00487162">
              <w:t>Fax: 02 6232 8605</w:t>
            </w:r>
          </w:p>
          <w:p w:rsidR="001C32CD" w:rsidRPr="004C239D" w:rsidRDefault="00A312CB" w:rsidP="00A05FA4">
            <w:pPr>
              <w:pStyle w:val="Address"/>
              <w:spacing w:line="260" w:lineRule="atLeast"/>
              <w:rPr>
                <w:b/>
                <w:color w:val="0000FF"/>
                <w:u w:val="single"/>
              </w:rPr>
            </w:pPr>
            <w:hyperlink r:id="rId32" w:history="1">
              <w:r w:rsidR="004F47D6">
                <w:rPr>
                  <w:rStyle w:val="Hyperlink"/>
                  <w:b/>
                </w:rPr>
                <w:t>https://www.tga.gov.au</w:t>
              </w:r>
            </w:hyperlink>
          </w:p>
        </w:tc>
      </w:tr>
    </w:tbl>
    <w:p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3D" w:rsidRDefault="00B2653D" w:rsidP="00C40A36">
      <w:pPr>
        <w:spacing w:after="0"/>
      </w:pPr>
      <w:r>
        <w:separator/>
      </w:r>
    </w:p>
  </w:endnote>
  <w:endnote w:type="continuationSeparator" w:id="0">
    <w:p w:rsidR="00B2653D" w:rsidRDefault="00B2653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mago-Book">
    <w:altName w:val="MS Gothic"/>
    <w:panose1 w:val="00000000000000000000"/>
    <w:charset w:val="00"/>
    <w:family w:val="swiss"/>
    <w:notTrueType/>
    <w:pitch w:val="default"/>
    <w:sig w:usb0="00000003"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ＭＳ 明朝"/>
    <w:panose1 w:val="00000000000000000000"/>
    <w:charset w:val="00"/>
    <w:family w:val="roman"/>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1701"/>
    </w:tblGrid>
    <w:tr w:rsidR="00B2653D" w:rsidRPr="00487162" w:rsidTr="005801E5">
      <w:trPr>
        <w:trHeight w:val="269"/>
      </w:trPr>
      <w:tc>
        <w:tcPr>
          <w:tcW w:w="7938" w:type="dxa"/>
          <w:tcMar>
            <w:top w:w="142" w:type="dxa"/>
            <w:bottom w:w="0" w:type="dxa"/>
          </w:tcMar>
        </w:tcPr>
        <w:p w:rsidR="00B2653D" w:rsidRPr="00AC281A" w:rsidRDefault="00B2653D" w:rsidP="005C322B">
          <w:pPr>
            <w:pStyle w:val="Footer"/>
            <w:rPr>
              <w:rFonts w:asciiTheme="minorHAnsi" w:hAnsiTheme="minorHAnsi"/>
              <w:szCs w:val="17"/>
            </w:rPr>
          </w:pPr>
          <w:proofErr w:type="spellStart"/>
          <w:r w:rsidRPr="00AC281A">
            <w:rPr>
              <w:rFonts w:asciiTheme="minorHAnsi" w:hAnsiTheme="minorHAnsi"/>
              <w:szCs w:val="17"/>
            </w:rPr>
            <w:t>AusPAR</w:t>
          </w:r>
          <w:proofErr w:type="spellEnd"/>
          <w:r w:rsidRPr="00AC281A">
            <w:rPr>
              <w:rFonts w:asciiTheme="minorHAnsi" w:hAnsiTheme="minorHAnsi"/>
              <w:szCs w:val="17"/>
            </w:rPr>
            <w:t xml:space="preserve"> </w:t>
          </w:r>
          <w:proofErr w:type="spellStart"/>
          <w:r w:rsidRPr="00AC281A">
            <w:rPr>
              <w:rFonts w:asciiTheme="minorHAnsi" w:hAnsiTheme="minorHAnsi" w:cs="Calibri"/>
              <w:szCs w:val="17"/>
            </w:rPr>
            <w:t>Taptiqom</w:t>
          </w:r>
          <w:proofErr w:type="spellEnd"/>
          <w:r w:rsidRPr="00AC281A">
            <w:rPr>
              <w:rFonts w:asciiTheme="minorHAnsi" w:hAnsiTheme="minorHAnsi" w:cs="Calibri"/>
              <w:szCs w:val="17"/>
            </w:rPr>
            <w:t xml:space="preserve"> 15/5 </w:t>
          </w:r>
          <w:proofErr w:type="spellStart"/>
          <w:r w:rsidRPr="00AC281A">
            <w:rPr>
              <w:rFonts w:asciiTheme="minorHAnsi" w:hAnsiTheme="minorHAnsi" w:cs="Calibri"/>
              <w:szCs w:val="17"/>
            </w:rPr>
            <w:t>Tafluprost</w:t>
          </w:r>
          <w:proofErr w:type="spellEnd"/>
          <w:r>
            <w:rPr>
              <w:rFonts w:asciiTheme="minorHAnsi" w:hAnsiTheme="minorHAnsi" w:cs="Calibri"/>
              <w:szCs w:val="17"/>
            </w:rPr>
            <w:t>/</w:t>
          </w:r>
          <w:proofErr w:type="spellStart"/>
          <w:r>
            <w:rPr>
              <w:rFonts w:asciiTheme="minorHAnsi" w:hAnsiTheme="minorHAnsi" w:cs="Calibri"/>
              <w:szCs w:val="17"/>
            </w:rPr>
            <w:t>Timolol</w:t>
          </w:r>
          <w:proofErr w:type="spellEnd"/>
          <w:r w:rsidRPr="00AC281A">
            <w:rPr>
              <w:rFonts w:asciiTheme="minorHAnsi" w:hAnsiTheme="minorHAnsi" w:cs="Calibri"/>
              <w:szCs w:val="17"/>
            </w:rPr>
            <w:t xml:space="preserve"> </w:t>
          </w:r>
          <w:r w:rsidRPr="00AC281A">
            <w:rPr>
              <w:rFonts w:asciiTheme="minorHAnsi" w:hAnsiTheme="minorHAnsi"/>
              <w:szCs w:val="17"/>
            </w:rPr>
            <w:t xml:space="preserve">Merck Sharp &amp; </w:t>
          </w:r>
          <w:proofErr w:type="spellStart"/>
          <w:r w:rsidRPr="00AC281A">
            <w:rPr>
              <w:rFonts w:asciiTheme="minorHAnsi" w:hAnsiTheme="minorHAnsi"/>
              <w:szCs w:val="17"/>
            </w:rPr>
            <w:t>Dohme</w:t>
          </w:r>
          <w:proofErr w:type="spellEnd"/>
          <w:r w:rsidRPr="00AC281A">
            <w:rPr>
              <w:rFonts w:asciiTheme="minorHAnsi" w:hAnsiTheme="minorHAnsi"/>
              <w:szCs w:val="17"/>
            </w:rPr>
            <w:t xml:space="preserve"> (Australia) Pty Ltd PM-2013-03652-1-5 </w:t>
          </w:r>
          <w:r>
            <w:rPr>
              <w:rFonts w:asciiTheme="minorHAnsi" w:hAnsiTheme="minorHAnsi"/>
              <w:szCs w:val="17"/>
            </w:rPr>
            <w:t>Final 28 July 2015</w:t>
          </w:r>
        </w:p>
      </w:tc>
      <w:tc>
        <w:tcPr>
          <w:tcW w:w="1701" w:type="dxa"/>
          <w:tcMar>
            <w:top w:w="142" w:type="dxa"/>
            <w:bottom w:w="0" w:type="dxa"/>
          </w:tcMar>
        </w:tcPr>
        <w:p w:rsidR="00B2653D" w:rsidRPr="00487162" w:rsidRDefault="00B2653D" w:rsidP="00DB750B">
          <w:pPr>
            <w:pStyle w:val="Footer"/>
            <w:jc w:val="right"/>
          </w:pPr>
          <w:r w:rsidRPr="00487162">
            <w:t xml:space="preserve">Page </w:t>
          </w:r>
          <w:r>
            <w:fldChar w:fldCharType="begin"/>
          </w:r>
          <w:r>
            <w:instrText xml:space="preserve"> PAGE  \* Arabic </w:instrText>
          </w:r>
          <w:r>
            <w:fldChar w:fldCharType="separate"/>
          </w:r>
          <w:r w:rsidR="00A312CB">
            <w:rPr>
              <w:noProof/>
            </w:rPr>
            <w:t>4</w:t>
          </w:r>
          <w:r>
            <w:fldChar w:fldCharType="end"/>
          </w:r>
          <w:r w:rsidRPr="00487162">
            <w:t xml:space="preserve"> of </w:t>
          </w:r>
          <w:fldSimple w:instr=" NUMPAGES  \* Arabic ">
            <w:r w:rsidR="00A312CB">
              <w:rPr>
                <w:noProof/>
              </w:rPr>
              <w:t>30</w:t>
            </w:r>
          </w:fldSimple>
        </w:p>
      </w:tc>
    </w:tr>
  </w:tbl>
  <w:p w:rsidR="00B2653D" w:rsidRDefault="00B2653D"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2653D" w:rsidRPr="00487162" w:rsidTr="00E45619">
      <w:trPr>
        <w:trHeight w:val="269"/>
      </w:trPr>
      <w:tc>
        <w:tcPr>
          <w:tcW w:w="4519" w:type="dxa"/>
          <w:tcBorders>
            <w:top w:val="single" w:sz="4" w:space="0" w:color="auto"/>
          </w:tcBorders>
          <w:tcMar>
            <w:top w:w="142" w:type="dxa"/>
            <w:bottom w:w="0" w:type="dxa"/>
          </w:tcMar>
        </w:tcPr>
        <w:p w:rsidR="00B2653D" w:rsidRPr="00487162" w:rsidRDefault="00B2653D" w:rsidP="00FE1DEE">
          <w:pPr>
            <w:pStyle w:val="Footer"/>
          </w:pPr>
          <w:r w:rsidRPr="00487162">
            <w:t>Document title, Part #, Section # - Section title</w:t>
          </w:r>
        </w:p>
        <w:p w:rsidR="00B2653D" w:rsidRPr="00487162" w:rsidRDefault="00B2653D" w:rsidP="00FE1DEE">
          <w:pPr>
            <w:pStyle w:val="Footer"/>
          </w:pPr>
          <w:r w:rsidRPr="00487162">
            <w:t>V1.0 October 2010</w:t>
          </w:r>
        </w:p>
      </w:tc>
      <w:tc>
        <w:tcPr>
          <w:tcW w:w="4342" w:type="dxa"/>
          <w:tcBorders>
            <w:top w:val="single" w:sz="4" w:space="0" w:color="auto"/>
          </w:tcBorders>
          <w:tcMar>
            <w:top w:w="142" w:type="dxa"/>
            <w:bottom w:w="0" w:type="dxa"/>
          </w:tcMar>
        </w:tcPr>
        <w:p w:rsidR="00B2653D" w:rsidRPr="00487162" w:rsidRDefault="00B2653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B2653D" w:rsidRDefault="00B26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Pr="001C32CD" w:rsidRDefault="00B2653D"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2653D" w:rsidTr="0010601F">
      <w:trPr>
        <w:trHeight w:val="108"/>
      </w:trPr>
      <w:tc>
        <w:tcPr>
          <w:tcW w:w="8875" w:type="dxa"/>
          <w:gridSpan w:val="2"/>
          <w:tcBorders>
            <w:bottom w:val="single" w:sz="4" w:space="0" w:color="auto"/>
          </w:tcBorders>
          <w:tcMar>
            <w:right w:w="284" w:type="dxa"/>
          </w:tcMar>
        </w:tcPr>
        <w:p w:rsidR="00B2653D" w:rsidRDefault="00B2653D" w:rsidP="006E08B3">
          <w:pPr>
            <w:pStyle w:val="Heading3"/>
          </w:pPr>
          <w:r>
            <w:t>Copyright</w:t>
          </w:r>
        </w:p>
        <w:p w:rsidR="00B2653D" w:rsidRDefault="00B2653D" w:rsidP="006E08B3">
          <w:r>
            <w:rPr>
              <w:rFonts w:cs="Arial"/>
            </w:rPr>
            <w:t>©</w:t>
          </w:r>
          <w:r>
            <w:t xml:space="preserve"> Commonwealth of Australia [add year]</w:t>
          </w:r>
        </w:p>
        <w:p w:rsidR="00B2653D" w:rsidRDefault="00B2653D" w:rsidP="006E08B3"/>
        <w:p w:rsidR="00B2653D" w:rsidRDefault="00B2653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2653D" w:rsidRDefault="00B2653D" w:rsidP="006E08B3"/>
        <w:p w:rsidR="00B2653D" w:rsidRDefault="00B2653D" w:rsidP="006E08B3">
          <w:pPr>
            <w:pStyle w:val="Heading3"/>
          </w:pPr>
          <w:r>
            <w:t>Confidentiality</w:t>
          </w:r>
        </w:p>
        <w:p w:rsidR="00B2653D" w:rsidRDefault="00B2653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2653D" w:rsidRDefault="00B2653D" w:rsidP="006E08B3"/>
        <w:p w:rsidR="00B2653D" w:rsidRDefault="00B2653D" w:rsidP="006E08B3">
          <w:r>
            <w:t>For submission made by individuals, all personal details, other than your name, will be removed from your submission before it is published on the TGA’s Internet site.</w:t>
          </w:r>
        </w:p>
        <w:p w:rsidR="00B2653D" w:rsidRDefault="00B2653D" w:rsidP="006E08B3"/>
        <w:p w:rsidR="00B2653D" w:rsidRDefault="00B2653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2653D" w:rsidTr="0010601F">
      <w:trPr>
        <w:trHeight w:val="417"/>
      </w:trPr>
      <w:tc>
        <w:tcPr>
          <w:tcW w:w="4519" w:type="dxa"/>
          <w:tcBorders>
            <w:top w:val="single" w:sz="4" w:space="0" w:color="auto"/>
          </w:tcBorders>
          <w:tcMar>
            <w:top w:w="142" w:type="dxa"/>
            <w:bottom w:w="0" w:type="dxa"/>
          </w:tcMar>
        </w:tcPr>
        <w:p w:rsidR="00B2653D" w:rsidRDefault="00B2653D" w:rsidP="006E08B3">
          <w:r>
            <w:t>Document title, Part #, Section # - Section title</w:t>
          </w:r>
        </w:p>
        <w:p w:rsidR="00B2653D" w:rsidRDefault="00B2653D" w:rsidP="006E08B3">
          <w:r>
            <w:t>V1.0 October 2010</w:t>
          </w:r>
        </w:p>
      </w:tc>
      <w:tc>
        <w:tcPr>
          <w:tcW w:w="4356" w:type="dxa"/>
          <w:tcBorders>
            <w:top w:val="single" w:sz="4" w:space="0" w:color="auto"/>
          </w:tcBorders>
          <w:tcMar>
            <w:top w:w="142" w:type="dxa"/>
            <w:bottom w:w="0" w:type="dxa"/>
          </w:tcMar>
        </w:tcPr>
        <w:p w:rsidR="00B2653D" w:rsidRDefault="00B2653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B2653D" w:rsidRDefault="00B265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3D" w:rsidRDefault="00B2653D" w:rsidP="00C40A36">
      <w:pPr>
        <w:spacing w:after="0"/>
      </w:pPr>
      <w:r>
        <w:separator/>
      </w:r>
    </w:p>
  </w:footnote>
  <w:footnote w:type="continuationSeparator" w:id="0">
    <w:p w:rsidR="00B2653D" w:rsidRDefault="00B2653D" w:rsidP="00C40A36">
      <w:pPr>
        <w:spacing w:after="0"/>
      </w:pPr>
      <w:r>
        <w:continuationSeparator/>
      </w:r>
    </w:p>
  </w:footnote>
  <w:footnote w:id="1">
    <w:p w:rsidR="00B2653D" w:rsidRDefault="00B2653D" w:rsidP="00BC1575">
      <w:pPr>
        <w:pStyle w:val="FootnoteText"/>
      </w:pPr>
      <w:r>
        <w:rPr>
          <w:rStyle w:val="FootnoteReference"/>
        </w:rPr>
        <w:footnoteRef/>
      </w:r>
      <w:r>
        <w:t xml:space="preserve"> The sponsor</w:t>
      </w:r>
      <w:r w:rsidRPr="005B4838">
        <w:t xml:space="preserve"> formally requested in </w:t>
      </w:r>
      <w:r>
        <w:t>their</w:t>
      </w:r>
      <w:r w:rsidRPr="005B4838">
        <w:t xml:space="preserve"> pre-ACPM response dated 14 November 2014 that the proposed trade name </w:t>
      </w:r>
      <w:proofErr w:type="spellStart"/>
      <w:r w:rsidRPr="005B4838">
        <w:t>T</w:t>
      </w:r>
      <w:r>
        <w:t>aptiqom</w:t>
      </w:r>
      <w:proofErr w:type="spellEnd"/>
      <w:r w:rsidRPr="005B4838">
        <w:t xml:space="preserve"> be changed to</w:t>
      </w:r>
      <w:r>
        <w:t xml:space="preserve"> </w:t>
      </w:r>
      <w:proofErr w:type="spellStart"/>
      <w:r w:rsidRPr="005B4838">
        <w:t>Taptiqom</w:t>
      </w:r>
      <w:proofErr w:type="spellEnd"/>
      <w:r w:rsidRPr="005B4838">
        <w:t xml:space="preserve"> 15/5 to reflect the strengths of the two active ingredients in the product</w:t>
      </w:r>
      <w:r>
        <w:t>.</w:t>
      </w:r>
    </w:p>
  </w:footnote>
  <w:footnote w:id="2">
    <w:p w:rsidR="00B2653D" w:rsidRPr="002E7FB3" w:rsidRDefault="00B2653D" w:rsidP="00E716A8">
      <w:pPr>
        <w:pStyle w:val="FootnoteText"/>
      </w:pPr>
      <w:r w:rsidRPr="002E7FB3">
        <w:rPr>
          <w:rStyle w:val="FootnoteReference"/>
          <w:szCs w:val="18"/>
        </w:rPr>
        <w:footnoteRef/>
      </w:r>
      <w:r w:rsidRPr="002E7FB3">
        <w:t xml:space="preserve"> Guideline of the Nonclinical Development of Fixed Combinations of Medicinal Products (EMEA/CHMP/SWP/258498/2005)</w:t>
      </w:r>
    </w:p>
  </w:footnote>
  <w:footnote w:id="3">
    <w:p w:rsidR="00B2653D" w:rsidRPr="006B43DA" w:rsidRDefault="00B2653D" w:rsidP="00E716A8">
      <w:pPr>
        <w:pStyle w:val="FootnoteText"/>
        <w:rPr>
          <w:b/>
          <w:lang w:val="en"/>
        </w:rPr>
      </w:pPr>
      <w:r w:rsidRPr="002E7FB3">
        <w:rPr>
          <w:rStyle w:val="FootnoteReference"/>
          <w:rFonts w:asciiTheme="minorHAnsi" w:hAnsiTheme="minorHAnsi"/>
          <w:szCs w:val="18"/>
        </w:rPr>
        <w:footnoteRef/>
      </w:r>
      <w:r w:rsidRPr="00BC1575">
        <w:rPr>
          <w:rStyle w:val="FootnoteTextChar"/>
        </w:rPr>
        <w:t xml:space="preserve"> </w:t>
      </w:r>
      <w:r w:rsidRPr="002E7FB3">
        <w:rPr>
          <w:lang w:val="en"/>
        </w:rPr>
        <w:t>Category C: 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4">
    <w:p w:rsidR="00B2653D" w:rsidRPr="002E7FB3" w:rsidRDefault="00B2653D" w:rsidP="00E716A8">
      <w:pPr>
        <w:pStyle w:val="FootnoteText"/>
        <w:rPr>
          <w:b/>
          <w:lang w:val="en"/>
        </w:rPr>
      </w:pPr>
      <w:r w:rsidRPr="002E7FB3">
        <w:rPr>
          <w:rStyle w:val="FootnoteReference"/>
          <w:rFonts w:asciiTheme="minorHAnsi" w:hAnsiTheme="minorHAnsi"/>
          <w:szCs w:val="18"/>
        </w:rPr>
        <w:footnoteRef/>
      </w:r>
      <w:r w:rsidRPr="002E7FB3">
        <w:t xml:space="preserve"> </w:t>
      </w:r>
      <w:r w:rsidRPr="002E7FB3">
        <w:rPr>
          <w:lang w:val="en"/>
        </w:rPr>
        <w:t>Category B3: Drugs which have been taken by only a limited number of pregnant women and women of childbearing age, without an increase in the frequency of malformation or other direct or indirect harmful effects on the human fetus having been observed.</w:t>
      </w:r>
    </w:p>
    <w:p w:rsidR="00B2653D" w:rsidRPr="002E7FB3" w:rsidRDefault="00B2653D" w:rsidP="00E716A8">
      <w:pPr>
        <w:pStyle w:val="FootnoteText"/>
        <w:rPr>
          <w:rFonts w:ascii="Verdana" w:hAnsi="Verdana"/>
          <w:szCs w:val="18"/>
          <w:lang w:val="en"/>
        </w:rPr>
      </w:pPr>
      <w:r w:rsidRPr="002E7FB3">
        <w:rPr>
          <w:rFonts w:asciiTheme="minorHAnsi" w:hAnsiTheme="minorHAnsi"/>
          <w:szCs w:val="18"/>
          <w:lang w:val="en"/>
        </w:rPr>
        <w:t>Studies in animals have shown evidence of an increased occurrence of fetal damage, the significance of which is considered uncertain in humans.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pPr>
      <w:rPr>
        <w:noProof/>
        <w:lang w:eastAsia="en-AU"/>
      </w:rPr>
    </w:pPr>
    <w:r w:rsidRPr="00347824">
      <w:rPr>
        <w:noProof/>
        <w:lang w:eastAsia="en-AU"/>
      </w:rPr>
      <w:drawing>
        <wp:anchor distT="0" distB="0" distL="114300" distR="114300" simplePos="0" relativeHeight="251659264" behindDoc="1" locked="0" layoutInCell="1" allowOverlap="1" wp14:anchorId="4955DDE3" wp14:editId="7E2E35D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2653D" w:rsidRDefault="00B2653D" w:rsidP="00593AD1">
    <w:pPr>
      <w:pStyle w:val="HeaderNoLine"/>
    </w:pPr>
    <w:r>
      <w:rPr>
        <w:noProof/>
        <w:lang w:eastAsia="en-AU"/>
      </w:rPr>
      <w:drawing>
        <wp:inline distT="0" distB="0" distL="0" distR="0" wp14:anchorId="4DD453EB" wp14:editId="65A43DE7">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3D" w:rsidRDefault="00B2653D" w:rsidP="006E08B3">
    <w:r>
      <w:t>Therapeutic Goods Administration</w:t>
    </w:r>
  </w:p>
  <w:p w:rsidR="00B2653D" w:rsidRDefault="00B2653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70812E"/>
    <w:lvl w:ilvl="0">
      <w:start w:val="1"/>
      <w:numFmt w:val="decimal"/>
      <w:lvlText w:val="%1."/>
      <w:lvlJc w:val="left"/>
      <w:pPr>
        <w:tabs>
          <w:tab w:val="num" w:pos="1492"/>
        </w:tabs>
        <w:ind w:left="1492" w:hanging="360"/>
      </w:pPr>
    </w:lvl>
  </w:abstractNum>
  <w:abstractNum w:abstractNumId="1">
    <w:nsid w:val="FFFFFF7D"/>
    <w:multiLevelType w:val="singleLevel"/>
    <w:tmpl w:val="D9FC525A"/>
    <w:lvl w:ilvl="0">
      <w:start w:val="1"/>
      <w:numFmt w:val="decimal"/>
      <w:lvlText w:val="%1."/>
      <w:lvlJc w:val="left"/>
      <w:pPr>
        <w:tabs>
          <w:tab w:val="num" w:pos="1209"/>
        </w:tabs>
        <w:ind w:left="1209" w:hanging="360"/>
      </w:pPr>
    </w:lvl>
  </w:abstractNum>
  <w:abstractNum w:abstractNumId="2">
    <w:nsid w:val="FFFFFF7E"/>
    <w:multiLevelType w:val="singleLevel"/>
    <w:tmpl w:val="C012F146"/>
    <w:lvl w:ilvl="0">
      <w:start w:val="1"/>
      <w:numFmt w:val="decimal"/>
      <w:lvlText w:val="%1."/>
      <w:lvlJc w:val="left"/>
      <w:pPr>
        <w:tabs>
          <w:tab w:val="num" w:pos="926"/>
        </w:tabs>
        <w:ind w:left="926" w:hanging="360"/>
      </w:pPr>
    </w:lvl>
  </w:abstractNum>
  <w:abstractNum w:abstractNumId="3">
    <w:nsid w:val="FFFFFF7F"/>
    <w:multiLevelType w:val="singleLevel"/>
    <w:tmpl w:val="1EA2ABD8"/>
    <w:lvl w:ilvl="0">
      <w:start w:val="1"/>
      <w:numFmt w:val="decimal"/>
      <w:lvlText w:val="%1."/>
      <w:lvlJc w:val="left"/>
      <w:pPr>
        <w:tabs>
          <w:tab w:val="num" w:pos="643"/>
        </w:tabs>
        <w:ind w:left="643" w:hanging="360"/>
      </w:pPr>
    </w:lvl>
  </w:abstractNum>
  <w:abstractNum w:abstractNumId="4">
    <w:nsid w:val="FFFFFF80"/>
    <w:multiLevelType w:val="singleLevel"/>
    <w:tmpl w:val="BE16E5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52D9D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F2CC0158"/>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2AE2908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A56A6382">
      <w:start w:val="1"/>
      <w:numFmt w:val="bullet"/>
      <w:lvlText w:val=""/>
      <w:lvlJc w:val="left"/>
      <w:pPr>
        <w:tabs>
          <w:tab w:val="num" w:pos="1724"/>
        </w:tabs>
        <w:ind w:left="1724" w:hanging="360"/>
      </w:pPr>
      <w:rPr>
        <w:rFonts w:ascii="Symbol" w:hAnsi="Symbol" w:hint="default"/>
        <w:sz w:val="24"/>
        <w:szCs w:val="24"/>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1">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11"/>
  </w:num>
  <w:num w:numId="6">
    <w:abstractNumId w:val="9"/>
  </w:num>
  <w:num w:numId="7">
    <w:abstractNumId w:val="10"/>
  </w:num>
  <w:num w:numId="8">
    <w:abstractNumId w:val="5"/>
  </w:num>
  <w:num w:numId="9">
    <w:abstractNumId w:val="4"/>
  </w:num>
  <w:num w:numId="10">
    <w:abstractNumId w:val="6"/>
  </w:num>
  <w:num w:numId="11">
    <w:abstractNumId w:val="3"/>
  </w:num>
  <w:num w:numId="12">
    <w:abstractNumId w:val="2"/>
  </w:num>
  <w:num w:numId="13">
    <w:abstractNumId w:val="1"/>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1A"/>
    <w:rsid w:val="00002031"/>
    <w:rsid w:val="00004734"/>
    <w:rsid w:val="00006B22"/>
    <w:rsid w:val="0001276A"/>
    <w:rsid w:val="00017D61"/>
    <w:rsid w:val="000246AE"/>
    <w:rsid w:val="00025C67"/>
    <w:rsid w:val="00044772"/>
    <w:rsid w:val="0005559E"/>
    <w:rsid w:val="000604D6"/>
    <w:rsid w:val="000734D8"/>
    <w:rsid w:val="00077775"/>
    <w:rsid w:val="00090471"/>
    <w:rsid w:val="00096AA7"/>
    <w:rsid w:val="000A1BD6"/>
    <w:rsid w:val="000A3AED"/>
    <w:rsid w:val="000B3532"/>
    <w:rsid w:val="000B3A75"/>
    <w:rsid w:val="000C00C2"/>
    <w:rsid w:val="000C690F"/>
    <w:rsid w:val="000D1295"/>
    <w:rsid w:val="000D391B"/>
    <w:rsid w:val="000D3D6D"/>
    <w:rsid w:val="000D4FC7"/>
    <w:rsid w:val="000E6196"/>
    <w:rsid w:val="000F4869"/>
    <w:rsid w:val="000F5B42"/>
    <w:rsid w:val="000F6E6F"/>
    <w:rsid w:val="00100957"/>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94D80"/>
    <w:rsid w:val="001A2158"/>
    <w:rsid w:val="001A525F"/>
    <w:rsid w:val="001B09F9"/>
    <w:rsid w:val="001B5C90"/>
    <w:rsid w:val="001B6448"/>
    <w:rsid w:val="001C32CD"/>
    <w:rsid w:val="001D2984"/>
    <w:rsid w:val="001E07CF"/>
    <w:rsid w:val="001E59F1"/>
    <w:rsid w:val="001F3624"/>
    <w:rsid w:val="001F49EB"/>
    <w:rsid w:val="001F6CBA"/>
    <w:rsid w:val="00201D4E"/>
    <w:rsid w:val="002076C9"/>
    <w:rsid w:val="00220B8A"/>
    <w:rsid w:val="002257F3"/>
    <w:rsid w:val="00233456"/>
    <w:rsid w:val="002339A5"/>
    <w:rsid w:val="00257848"/>
    <w:rsid w:val="0027084A"/>
    <w:rsid w:val="00271180"/>
    <w:rsid w:val="00286434"/>
    <w:rsid w:val="00286C59"/>
    <w:rsid w:val="00291957"/>
    <w:rsid w:val="002942D1"/>
    <w:rsid w:val="0029501A"/>
    <w:rsid w:val="002A3721"/>
    <w:rsid w:val="002B1638"/>
    <w:rsid w:val="002B3624"/>
    <w:rsid w:val="002E40B3"/>
    <w:rsid w:val="002E4C9A"/>
    <w:rsid w:val="002E7FB3"/>
    <w:rsid w:val="002F11F8"/>
    <w:rsid w:val="002F3F56"/>
    <w:rsid w:val="002F44B5"/>
    <w:rsid w:val="00301CC7"/>
    <w:rsid w:val="00311AC0"/>
    <w:rsid w:val="0032583B"/>
    <w:rsid w:val="00327883"/>
    <w:rsid w:val="00335504"/>
    <w:rsid w:val="00347824"/>
    <w:rsid w:val="00350567"/>
    <w:rsid w:val="003521E8"/>
    <w:rsid w:val="003728F3"/>
    <w:rsid w:val="0037496E"/>
    <w:rsid w:val="00383221"/>
    <w:rsid w:val="00386150"/>
    <w:rsid w:val="003874CE"/>
    <w:rsid w:val="00390900"/>
    <w:rsid w:val="003A7F6C"/>
    <w:rsid w:val="003B4D60"/>
    <w:rsid w:val="003B7E39"/>
    <w:rsid w:val="003C58DC"/>
    <w:rsid w:val="003D1E62"/>
    <w:rsid w:val="003D253A"/>
    <w:rsid w:val="003E0B99"/>
    <w:rsid w:val="003E2486"/>
    <w:rsid w:val="003E3208"/>
    <w:rsid w:val="003F0B04"/>
    <w:rsid w:val="0040134E"/>
    <w:rsid w:val="004253C0"/>
    <w:rsid w:val="004334C7"/>
    <w:rsid w:val="00440044"/>
    <w:rsid w:val="00440A2D"/>
    <w:rsid w:val="004564A7"/>
    <w:rsid w:val="004617BF"/>
    <w:rsid w:val="00463658"/>
    <w:rsid w:val="004637A0"/>
    <w:rsid w:val="004722CC"/>
    <w:rsid w:val="00474E1A"/>
    <w:rsid w:val="004936E4"/>
    <w:rsid w:val="00494E60"/>
    <w:rsid w:val="00497487"/>
    <w:rsid w:val="004A4EEB"/>
    <w:rsid w:val="004A7390"/>
    <w:rsid w:val="004B7B76"/>
    <w:rsid w:val="004C239D"/>
    <w:rsid w:val="004C2DCA"/>
    <w:rsid w:val="004C61D2"/>
    <w:rsid w:val="004F038A"/>
    <w:rsid w:val="004F0C4A"/>
    <w:rsid w:val="004F0F38"/>
    <w:rsid w:val="004F47D6"/>
    <w:rsid w:val="00501921"/>
    <w:rsid w:val="00516F60"/>
    <w:rsid w:val="00530354"/>
    <w:rsid w:val="0053625B"/>
    <w:rsid w:val="005434C6"/>
    <w:rsid w:val="00543B39"/>
    <w:rsid w:val="00546154"/>
    <w:rsid w:val="00550096"/>
    <w:rsid w:val="00555280"/>
    <w:rsid w:val="00557FF9"/>
    <w:rsid w:val="005711D5"/>
    <w:rsid w:val="00573443"/>
    <w:rsid w:val="00576378"/>
    <w:rsid w:val="00577130"/>
    <w:rsid w:val="00577439"/>
    <w:rsid w:val="00577945"/>
    <w:rsid w:val="00577E38"/>
    <w:rsid w:val="005801E5"/>
    <w:rsid w:val="00580E6B"/>
    <w:rsid w:val="00585322"/>
    <w:rsid w:val="005857C6"/>
    <w:rsid w:val="00592F6E"/>
    <w:rsid w:val="00593AD1"/>
    <w:rsid w:val="005A68B6"/>
    <w:rsid w:val="005B4838"/>
    <w:rsid w:val="005C322B"/>
    <w:rsid w:val="005C5570"/>
    <w:rsid w:val="005C79A4"/>
    <w:rsid w:val="005D5442"/>
    <w:rsid w:val="005F0303"/>
    <w:rsid w:val="005F2F6E"/>
    <w:rsid w:val="00603F32"/>
    <w:rsid w:val="00605AD4"/>
    <w:rsid w:val="006203B9"/>
    <w:rsid w:val="00625A6E"/>
    <w:rsid w:val="00632398"/>
    <w:rsid w:val="00640FC3"/>
    <w:rsid w:val="00642020"/>
    <w:rsid w:val="0065337B"/>
    <w:rsid w:val="0065419D"/>
    <w:rsid w:val="006604D8"/>
    <w:rsid w:val="00664A5B"/>
    <w:rsid w:val="0066735C"/>
    <w:rsid w:val="006763D2"/>
    <w:rsid w:val="00680C08"/>
    <w:rsid w:val="006931B1"/>
    <w:rsid w:val="006933AC"/>
    <w:rsid w:val="006A15C0"/>
    <w:rsid w:val="006B43DA"/>
    <w:rsid w:val="006C3E2A"/>
    <w:rsid w:val="006C642F"/>
    <w:rsid w:val="006D03E5"/>
    <w:rsid w:val="006D5D3E"/>
    <w:rsid w:val="006E08B3"/>
    <w:rsid w:val="006F17AC"/>
    <w:rsid w:val="006F25B8"/>
    <w:rsid w:val="006F572E"/>
    <w:rsid w:val="006F7773"/>
    <w:rsid w:val="007046D6"/>
    <w:rsid w:val="00705DB0"/>
    <w:rsid w:val="00722B57"/>
    <w:rsid w:val="00730F8A"/>
    <w:rsid w:val="00735A8C"/>
    <w:rsid w:val="0074253D"/>
    <w:rsid w:val="0074429B"/>
    <w:rsid w:val="00744C71"/>
    <w:rsid w:val="00760A38"/>
    <w:rsid w:val="007615BC"/>
    <w:rsid w:val="00762F05"/>
    <w:rsid w:val="007652FF"/>
    <w:rsid w:val="00770EF1"/>
    <w:rsid w:val="00773EF7"/>
    <w:rsid w:val="00774E1D"/>
    <w:rsid w:val="007765D8"/>
    <w:rsid w:val="0077675A"/>
    <w:rsid w:val="0078024B"/>
    <w:rsid w:val="00780355"/>
    <w:rsid w:val="007819FD"/>
    <w:rsid w:val="00785721"/>
    <w:rsid w:val="00793A59"/>
    <w:rsid w:val="007B6132"/>
    <w:rsid w:val="007B6E9F"/>
    <w:rsid w:val="007C1216"/>
    <w:rsid w:val="007C1AF7"/>
    <w:rsid w:val="00805D27"/>
    <w:rsid w:val="00821776"/>
    <w:rsid w:val="008321F5"/>
    <w:rsid w:val="00832369"/>
    <w:rsid w:val="00834660"/>
    <w:rsid w:val="00836BC2"/>
    <w:rsid w:val="0085156D"/>
    <w:rsid w:val="008534DB"/>
    <w:rsid w:val="0085641B"/>
    <w:rsid w:val="00857136"/>
    <w:rsid w:val="00885B11"/>
    <w:rsid w:val="00886D15"/>
    <w:rsid w:val="00887DD8"/>
    <w:rsid w:val="00891BA9"/>
    <w:rsid w:val="00896018"/>
    <w:rsid w:val="008960DD"/>
    <w:rsid w:val="0089635C"/>
    <w:rsid w:val="008A2B9D"/>
    <w:rsid w:val="008A3D9F"/>
    <w:rsid w:val="008A5E0B"/>
    <w:rsid w:val="008A6D59"/>
    <w:rsid w:val="008B294B"/>
    <w:rsid w:val="008B3C5F"/>
    <w:rsid w:val="008B4B03"/>
    <w:rsid w:val="008B596F"/>
    <w:rsid w:val="008C159F"/>
    <w:rsid w:val="008C1623"/>
    <w:rsid w:val="008C1850"/>
    <w:rsid w:val="008C51A9"/>
    <w:rsid w:val="008D2EE7"/>
    <w:rsid w:val="008D411B"/>
    <w:rsid w:val="008E7846"/>
    <w:rsid w:val="008F02E5"/>
    <w:rsid w:val="008F1CCC"/>
    <w:rsid w:val="008F2967"/>
    <w:rsid w:val="008F6943"/>
    <w:rsid w:val="00902A21"/>
    <w:rsid w:val="00920330"/>
    <w:rsid w:val="009219D7"/>
    <w:rsid w:val="00922D53"/>
    <w:rsid w:val="00923B70"/>
    <w:rsid w:val="00924482"/>
    <w:rsid w:val="00930237"/>
    <w:rsid w:val="00940A89"/>
    <w:rsid w:val="00946EA5"/>
    <w:rsid w:val="00963C08"/>
    <w:rsid w:val="0098585A"/>
    <w:rsid w:val="009A4CED"/>
    <w:rsid w:val="009A690D"/>
    <w:rsid w:val="009B1884"/>
    <w:rsid w:val="009B1D12"/>
    <w:rsid w:val="009B416B"/>
    <w:rsid w:val="009C4BD5"/>
    <w:rsid w:val="009D7B77"/>
    <w:rsid w:val="009E0BB0"/>
    <w:rsid w:val="009E3FBB"/>
    <w:rsid w:val="009F769C"/>
    <w:rsid w:val="00A04F85"/>
    <w:rsid w:val="00A05FA4"/>
    <w:rsid w:val="00A102E4"/>
    <w:rsid w:val="00A12C42"/>
    <w:rsid w:val="00A14DF7"/>
    <w:rsid w:val="00A312CB"/>
    <w:rsid w:val="00A3246D"/>
    <w:rsid w:val="00A36FA7"/>
    <w:rsid w:val="00A44DDB"/>
    <w:rsid w:val="00A475B7"/>
    <w:rsid w:val="00A47AF7"/>
    <w:rsid w:val="00A47C3E"/>
    <w:rsid w:val="00A50226"/>
    <w:rsid w:val="00A60BAD"/>
    <w:rsid w:val="00A66F1B"/>
    <w:rsid w:val="00A80B5B"/>
    <w:rsid w:val="00A84E36"/>
    <w:rsid w:val="00A94D18"/>
    <w:rsid w:val="00A964D1"/>
    <w:rsid w:val="00A96ECC"/>
    <w:rsid w:val="00AA0ED0"/>
    <w:rsid w:val="00AA6A57"/>
    <w:rsid w:val="00AC281A"/>
    <w:rsid w:val="00AC2B40"/>
    <w:rsid w:val="00AC2BB2"/>
    <w:rsid w:val="00AC2C3C"/>
    <w:rsid w:val="00AC2D16"/>
    <w:rsid w:val="00AC512D"/>
    <w:rsid w:val="00AD0083"/>
    <w:rsid w:val="00AD3935"/>
    <w:rsid w:val="00AE65EB"/>
    <w:rsid w:val="00AE67A7"/>
    <w:rsid w:val="00AF1D94"/>
    <w:rsid w:val="00AF5D28"/>
    <w:rsid w:val="00AF60C5"/>
    <w:rsid w:val="00B009C6"/>
    <w:rsid w:val="00B01548"/>
    <w:rsid w:val="00B13EBD"/>
    <w:rsid w:val="00B21D29"/>
    <w:rsid w:val="00B25034"/>
    <w:rsid w:val="00B2653D"/>
    <w:rsid w:val="00B33588"/>
    <w:rsid w:val="00B33863"/>
    <w:rsid w:val="00B37D17"/>
    <w:rsid w:val="00B4175E"/>
    <w:rsid w:val="00B452CE"/>
    <w:rsid w:val="00B54C25"/>
    <w:rsid w:val="00B559CC"/>
    <w:rsid w:val="00B7229C"/>
    <w:rsid w:val="00B76B91"/>
    <w:rsid w:val="00B77EB1"/>
    <w:rsid w:val="00B811C6"/>
    <w:rsid w:val="00B855B0"/>
    <w:rsid w:val="00B92E08"/>
    <w:rsid w:val="00BC1575"/>
    <w:rsid w:val="00BC622A"/>
    <w:rsid w:val="00BE0A78"/>
    <w:rsid w:val="00BE79F0"/>
    <w:rsid w:val="00BF046D"/>
    <w:rsid w:val="00BF1190"/>
    <w:rsid w:val="00BF5D04"/>
    <w:rsid w:val="00C1164D"/>
    <w:rsid w:val="00C15FA9"/>
    <w:rsid w:val="00C16861"/>
    <w:rsid w:val="00C346AB"/>
    <w:rsid w:val="00C404A6"/>
    <w:rsid w:val="00C40A36"/>
    <w:rsid w:val="00C41243"/>
    <w:rsid w:val="00C44419"/>
    <w:rsid w:val="00C45854"/>
    <w:rsid w:val="00C45E7B"/>
    <w:rsid w:val="00C471B1"/>
    <w:rsid w:val="00C6316B"/>
    <w:rsid w:val="00C634A9"/>
    <w:rsid w:val="00C63DC0"/>
    <w:rsid w:val="00C64586"/>
    <w:rsid w:val="00C70D53"/>
    <w:rsid w:val="00C73D0B"/>
    <w:rsid w:val="00C772FF"/>
    <w:rsid w:val="00C80137"/>
    <w:rsid w:val="00C801AF"/>
    <w:rsid w:val="00C80256"/>
    <w:rsid w:val="00C9747E"/>
    <w:rsid w:val="00CB6BC0"/>
    <w:rsid w:val="00CC1B7C"/>
    <w:rsid w:val="00CC727F"/>
    <w:rsid w:val="00CD013E"/>
    <w:rsid w:val="00CF15C3"/>
    <w:rsid w:val="00CF2B6F"/>
    <w:rsid w:val="00CF2F3E"/>
    <w:rsid w:val="00CF58B6"/>
    <w:rsid w:val="00D0062D"/>
    <w:rsid w:val="00D017ED"/>
    <w:rsid w:val="00D040D3"/>
    <w:rsid w:val="00D04C65"/>
    <w:rsid w:val="00D05A5B"/>
    <w:rsid w:val="00D201D2"/>
    <w:rsid w:val="00D224FE"/>
    <w:rsid w:val="00D23139"/>
    <w:rsid w:val="00D3336B"/>
    <w:rsid w:val="00D425BB"/>
    <w:rsid w:val="00D6493E"/>
    <w:rsid w:val="00D7195D"/>
    <w:rsid w:val="00D7301E"/>
    <w:rsid w:val="00D83AE1"/>
    <w:rsid w:val="00D855D4"/>
    <w:rsid w:val="00D93466"/>
    <w:rsid w:val="00DA1124"/>
    <w:rsid w:val="00DA4B44"/>
    <w:rsid w:val="00DB6124"/>
    <w:rsid w:val="00DB750B"/>
    <w:rsid w:val="00DB75B7"/>
    <w:rsid w:val="00DC6E02"/>
    <w:rsid w:val="00DE02AE"/>
    <w:rsid w:val="00DF1D7F"/>
    <w:rsid w:val="00DF4BE4"/>
    <w:rsid w:val="00E02FB4"/>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16A8"/>
    <w:rsid w:val="00E7344E"/>
    <w:rsid w:val="00EB0798"/>
    <w:rsid w:val="00EB40AD"/>
    <w:rsid w:val="00EB586E"/>
    <w:rsid w:val="00EB5FC8"/>
    <w:rsid w:val="00EC7A85"/>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65D5B"/>
    <w:rsid w:val="00F80E40"/>
    <w:rsid w:val="00F848D9"/>
    <w:rsid w:val="00FA5B82"/>
    <w:rsid w:val="00FA639E"/>
    <w:rsid w:val="00FC25E4"/>
    <w:rsid w:val="00FC34B6"/>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F777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78024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B2653D"/>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6F7773"/>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6F7773"/>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B2653D"/>
    <w:pPr>
      <w:keepNext/>
      <w:keepLines/>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6F7773"/>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6F7773"/>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styleId="BodyText">
    <w:name w:val="Body Text"/>
    <w:basedOn w:val="Normal"/>
    <w:link w:val="BodyTextChar"/>
    <w:semiHidden/>
    <w:unhideWhenUsed/>
    <w:rsid w:val="00AC281A"/>
    <w:pPr>
      <w:spacing w:before="0" w:after="0" w:line="240" w:lineRule="auto"/>
    </w:pPr>
    <w:rPr>
      <w:rFonts w:ascii="Times New Roman" w:eastAsia="Times New Roman" w:hAnsi="Times New Roman"/>
      <w:b/>
      <w:sz w:val="24"/>
      <w:szCs w:val="20"/>
      <w:lang w:eastAsia="en-AU"/>
    </w:rPr>
  </w:style>
  <w:style w:type="character" w:customStyle="1" w:styleId="BodyTextChar">
    <w:name w:val="Body Text Char"/>
    <w:basedOn w:val="DefaultParagraphFont"/>
    <w:link w:val="BodyText"/>
    <w:semiHidden/>
    <w:rsid w:val="00AC281A"/>
    <w:rPr>
      <w:rFonts w:ascii="Times New Roman" w:eastAsia="Times New Roman" w:hAnsi="Times New Roman" w:cs="Times New Roman"/>
      <w:b/>
      <w:sz w:val="24"/>
      <w:szCs w:val="20"/>
      <w:lang w:eastAsia="en-AU"/>
    </w:rPr>
  </w:style>
  <w:style w:type="character" w:customStyle="1" w:styleId="StandardChar">
    <w:name w:val="Standard Char"/>
    <w:basedOn w:val="DefaultParagraphFont"/>
    <w:link w:val="Standard"/>
    <w:locked/>
    <w:rsid w:val="00AC281A"/>
    <w:rPr>
      <w:rFonts w:ascii="Cambria" w:eastAsia="Times New Roman" w:hAnsi="Cambria" w:cs="Times New Roman"/>
      <w:kern w:val="16"/>
      <w:szCs w:val="24"/>
    </w:rPr>
  </w:style>
  <w:style w:type="paragraph" w:customStyle="1" w:styleId="Standard">
    <w:name w:val="Standard"/>
    <w:basedOn w:val="Normal"/>
    <w:link w:val="StandardChar"/>
    <w:rsid w:val="00AC281A"/>
    <w:pPr>
      <w:snapToGrid w:val="0"/>
      <w:spacing w:before="0" w:after="200" w:line="252" w:lineRule="auto"/>
    </w:pPr>
    <w:rPr>
      <w:rFonts w:eastAsia="Times New Roman"/>
      <w:kern w:val="16"/>
      <w:szCs w:val="24"/>
    </w:rPr>
  </w:style>
  <w:style w:type="paragraph" w:customStyle="1" w:styleId="AssessmentSection">
    <w:name w:val="Assessment Section"/>
    <w:basedOn w:val="Normal"/>
    <w:next w:val="Standard"/>
    <w:rsid w:val="00AC281A"/>
    <w:pPr>
      <w:keepNext/>
      <w:snapToGrid w:val="0"/>
      <w:spacing w:before="0" w:after="110" w:line="252" w:lineRule="auto"/>
      <w:outlineLvl w:val="1"/>
    </w:pPr>
    <w:rPr>
      <w:rFonts w:eastAsia="Times New Roman"/>
      <w:b/>
      <w:kern w:val="16"/>
      <w:szCs w:val="24"/>
    </w:rPr>
  </w:style>
  <w:style w:type="character" w:customStyle="1" w:styleId="WhiteSpaceChar">
    <w:name w:val="White Space Char"/>
    <w:basedOn w:val="DefaultParagraphFont"/>
    <w:link w:val="WhiteSpace"/>
    <w:locked/>
    <w:rsid w:val="00AC281A"/>
    <w:rPr>
      <w:rFonts w:ascii="Cambria" w:eastAsia="Times New Roman" w:hAnsi="Cambria" w:cs="Times New Roman"/>
      <w:kern w:val="16"/>
      <w:sz w:val="16"/>
      <w:szCs w:val="16"/>
    </w:rPr>
  </w:style>
  <w:style w:type="paragraph" w:customStyle="1" w:styleId="WhiteSpace">
    <w:name w:val="White Space"/>
    <w:basedOn w:val="Standard"/>
    <w:link w:val="WhiteSpaceChar"/>
    <w:rsid w:val="00AC281A"/>
    <w:pPr>
      <w:spacing w:after="0"/>
    </w:pPr>
    <w:rPr>
      <w:sz w:val="16"/>
      <w:szCs w:val="16"/>
    </w:rPr>
  </w:style>
  <w:style w:type="paragraph" w:customStyle="1" w:styleId="AssessmentSubsection2">
    <w:name w:val="Assessment Subsection 2"/>
    <w:basedOn w:val="Normal"/>
    <w:next w:val="Standard"/>
    <w:rsid w:val="00AC281A"/>
    <w:pPr>
      <w:keepNext/>
      <w:snapToGrid w:val="0"/>
      <w:spacing w:before="0" w:after="110" w:line="252" w:lineRule="auto"/>
      <w:outlineLvl w:val="3"/>
    </w:pPr>
    <w:rPr>
      <w:rFonts w:eastAsia="Times New Roman"/>
      <w:i/>
      <w:kern w:val="16"/>
      <w:szCs w:val="24"/>
    </w:rPr>
  </w:style>
  <w:style w:type="paragraph" w:customStyle="1" w:styleId="Bulletpoint">
    <w:name w:val="Bullet point"/>
    <w:basedOn w:val="Normal"/>
    <w:rsid w:val="00AC281A"/>
    <w:pPr>
      <w:numPr>
        <w:numId w:val="5"/>
      </w:numPr>
      <w:tabs>
        <w:tab w:val="clear" w:pos="369"/>
        <w:tab w:val="left" w:pos="397"/>
        <w:tab w:val="num" w:pos="511"/>
      </w:tabs>
      <w:snapToGrid w:val="0"/>
      <w:spacing w:before="0" w:after="180" w:line="252" w:lineRule="auto"/>
      <w:ind w:left="397" w:firstLine="0"/>
    </w:pPr>
    <w:rPr>
      <w:rFonts w:eastAsia="Times New Roman"/>
      <w:kern w:val="16"/>
      <w:szCs w:val="24"/>
    </w:rPr>
  </w:style>
  <w:style w:type="paragraph" w:customStyle="1" w:styleId="Bullet1">
    <w:name w:val="Bullet 1"/>
    <w:basedOn w:val="Normal"/>
    <w:rsid w:val="0078024B"/>
    <w:pPr>
      <w:numPr>
        <w:numId w:val="6"/>
      </w:numPr>
      <w:spacing w:after="0" w:line="240" w:lineRule="auto"/>
    </w:pPr>
    <w:rPr>
      <w:rFonts w:eastAsia="Times New Roman"/>
      <w:kern w:val="24"/>
      <w:szCs w:val="24"/>
      <w:lang w:eastAsia="en-AU"/>
    </w:rPr>
  </w:style>
  <w:style w:type="paragraph" w:customStyle="1" w:styleId="Bullet2">
    <w:name w:val="Bullet 2"/>
    <w:basedOn w:val="Bullet1"/>
    <w:rsid w:val="0078024B"/>
    <w:pPr>
      <w:numPr>
        <w:numId w:val="7"/>
      </w:numPr>
    </w:pPr>
  </w:style>
  <w:style w:type="character" w:customStyle="1" w:styleId="Heading8Char">
    <w:name w:val="Heading 8 Char"/>
    <w:basedOn w:val="DefaultParagraphFont"/>
    <w:link w:val="Heading8"/>
    <w:uiPriority w:val="9"/>
    <w:semiHidden/>
    <w:rsid w:val="0078024B"/>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78024B"/>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78024B"/>
  </w:style>
  <w:style w:type="paragraph" w:customStyle="1" w:styleId="Default">
    <w:name w:val="Default"/>
    <w:rsid w:val="00A94D1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Emphasis">
    <w:name w:val="Emphasis"/>
    <w:basedOn w:val="DefaultParagraphFont"/>
    <w:uiPriority w:val="20"/>
    <w:qFormat/>
    <w:rsid w:val="00744C71"/>
    <w:rPr>
      <w:b/>
      <w:bCs/>
      <w:i w:val="0"/>
      <w:iCs w:val="0"/>
    </w:rPr>
  </w:style>
  <w:style w:type="character" w:customStyle="1" w:styleId="st">
    <w:name w:val="st"/>
    <w:basedOn w:val="DefaultParagraphFont"/>
    <w:rsid w:val="00744C71"/>
  </w:style>
  <w:style w:type="paragraph" w:styleId="NormalWeb">
    <w:name w:val="Normal (Web)"/>
    <w:basedOn w:val="Normal"/>
    <w:uiPriority w:val="99"/>
    <w:unhideWhenUsed/>
    <w:rsid w:val="00474E1A"/>
    <w:pPr>
      <w:spacing w:before="240" w:after="240"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F777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78024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B2653D"/>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6F7773"/>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6F7773"/>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B2653D"/>
    <w:pPr>
      <w:keepNext/>
      <w:keepLines/>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6F7773"/>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6F7773"/>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styleId="BodyText">
    <w:name w:val="Body Text"/>
    <w:basedOn w:val="Normal"/>
    <w:link w:val="BodyTextChar"/>
    <w:semiHidden/>
    <w:unhideWhenUsed/>
    <w:rsid w:val="00AC281A"/>
    <w:pPr>
      <w:spacing w:before="0" w:after="0" w:line="240" w:lineRule="auto"/>
    </w:pPr>
    <w:rPr>
      <w:rFonts w:ascii="Times New Roman" w:eastAsia="Times New Roman" w:hAnsi="Times New Roman"/>
      <w:b/>
      <w:sz w:val="24"/>
      <w:szCs w:val="20"/>
      <w:lang w:eastAsia="en-AU"/>
    </w:rPr>
  </w:style>
  <w:style w:type="character" w:customStyle="1" w:styleId="BodyTextChar">
    <w:name w:val="Body Text Char"/>
    <w:basedOn w:val="DefaultParagraphFont"/>
    <w:link w:val="BodyText"/>
    <w:semiHidden/>
    <w:rsid w:val="00AC281A"/>
    <w:rPr>
      <w:rFonts w:ascii="Times New Roman" w:eastAsia="Times New Roman" w:hAnsi="Times New Roman" w:cs="Times New Roman"/>
      <w:b/>
      <w:sz w:val="24"/>
      <w:szCs w:val="20"/>
      <w:lang w:eastAsia="en-AU"/>
    </w:rPr>
  </w:style>
  <w:style w:type="character" w:customStyle="1" w:styleId="StandardChar">
    <w:name w:val="Standard Char"/>
    <w:basedOn w:val="DefaultParagraphFont"/>
    <w:link w:val="Standard"/>
    <w:locked/>
    <w:rsid w:val="00AC281A"/>
    <w:rPr>
      <w:rFonts w:ascii="Cambria" w:eastAsia="Times New Roman" w:hAnsi="Cambria" w:cs="Times New Roman"/>
      <w:kern w:val="16"/>
      <w:szCs w:val="24"/>
    </w:rPr>
  </w:style>
  <w:style w:type="paragraph" w:customStyle="1" w:styleId="Standard">
    <w:name w:val="Standard"/>
    <w:basedOn w:val="Normal"/>
    <w:link w:val="StandardChar"/>
    <w:rsid w:val="00AC281A"/>
    <w:pPr>
      <w:snapToGrid w:val="0"/>
      <w:spacing w:before="0" w:after="200" w:line="252" w:lineRule="auto"/>
    </w:pPr>
    <w:rPr>
      <w:rFonts w:eastAsia="Times New Roman"/>
      <w:kern w:val="16"/>
      <w:szCs w:val="24"/>
    </w:rPr>
  </w:style>
  <w:style w:type="paragraph" w:customStyle="1" w:styleId="AssessmentSection">
    <w:name w:val="Assessment Section"/>
    <w:basedOn w:val="Normal"/>
    <w:next w:val="Standard"/>
    <w:rsid w:val="00AC281A"/>
    <w:pPr>
      <w:keepNext/>
      <w:snapToGrid w:val="0"/>
      <w:spacing w:before="0" w:after="110" w:line="252" w:lineRule="auto"/>
      <w:outlineLvl w:val="1"/>
    </w:pPr>
    <w:rPr>
      <w:rFonts w:eastAsia="Times New Roman"/>
      <w:b/>
      <w:kern w:val="16"/>
      <w:szCs w:val="24"/>
    </w:rPr>
  </w:style>
  <w:style w:type="character" w:customStyle="1" w:styleId="WhiteSpaceChar">
    <w:name w:val="White Space Char"/>
    <w:basedOn w:val="DefaultParagraphFont"/>
    <w:link w:val="WhiteSpace"/>
    <w:locked/>
    <w:rsid w:val="00AC281A"/>
    <w:rPr>
      <w:rFonts w:ascii="Cambria" w:eastAsia="Times New Roman" w:hAnsi="Cambria" w:cs="Times New Roman"/>
      <w:kern w:val="16"/>
      <w:sz w:val="16"/>
      <w:szCs w:val="16"/>
    </w:rPr>
  </w:style>
  <w:style w:type="paragraph" w:customStyle="1" w:styleId="WhiteSpace">
    <w:name w:val="White Space"/>
    <w:basedOn w:val="Standard"/>
    <w:link w:val="WhiteSpaceChar"/>
    <w:rsid w:val="00AC281A"/>
    <w:pPr>
      <w:spacing w:after="0"/>
    </w:pPr>
    <w:rPr>
      <w:sz w:val="16"/>
      <w:szCs w:val="16"/>
    </w:rPr>
  </w:style>
  <w:style w:type="paragraph" w:customStyle="1" w:styleId="AssessmentSubsection2">
    <w:name w:val="Assessment Subsection 2"/>
    <w:basedOn w:val="Normal"/>
    <w:next w:val="Standard"/>
    <w:rsid w:val="00AC281A"/>
    <w:pPr>
      <w:keepNext/>
      <w:snapToGrid w:val="0"/>
      <w:spacing w:before="0" w:after="110" w:line="252" w:lineRule="auto"/>
      <w:outlineLvl w:val="3"/>
    </w:pPr>
    <w:rPr>
      <w:rFonts w:eastAsia="Times New Roman"/>
      <w:i/>
      <w:kern w:val="16"/>
      <w:szCs w:val="24"/>
    </w:rPr>
  </w:style>
  <w:style w:type="paragraph" w:customStyle="1" w:styleId="Bulletpoint">
    <w:name w:val="Bullet point"/>
    <w:basedOn w:val="Normal"/>
    <w:rsid w:val="00AC281A"/>
    <w:pPr>
      <w:numPr>
        <w:numId w:val="5"/>
      </w:numPr>
      <w:tabs>
        <w:tab w:val="clear" w:pos="369"/>
        <w:tab w:val="left" w:pos="397"/>
        <w:tab w:val="num" w:pos="511"/>
      </w:tabs>
      <w:snapToGrid w:val="0"/>
      <w:spacing w:before="0" w:after="180" w:line="252" w:lineRule="auto"/>
      <w:ind w:left="397" w:firstLine="0"/>
    </w:pPr>
    <w:rPr>
      <w:rFonts w:eastAsia="Times New Roman"/>
      <w:kern w:val="16"/>
      <w:szCs w:val="24"/>
    </w:rPr>
  </w:style>
  <w:style w:type="paragraph" w:customStyle="1" w:styleId="Bullet1">
    <w:name w:val="Bullet 1"/>
    <w:basedOn w:val="Normal"/>
    <w:rsid w:val="0078024B"/>
    <w:pPr>
      <w:numPr>
        <w:numId w:val="6"/>
      </w:numPr>
      <w:spacing w:after="0" w:line="240" w:lineRule="auto"/>
    </w:pPr>
    <w:rPr>
      <w:rFonts w:eastAsia="Times New Roman"/>
      <w:kern w:val="24"/>
      <w:szCs w:val="24"/>
      <w:lang w:eastAsia="en-AU"/>
    </w:rPr>
  </w:style>
  <w:style w:type="paragraph" w:customStyle="1" w:styleId="Bullet2">
    <w:name w:val="Bullet 2"/>
    <w:basedOn w:val="Bullet1"/>
    <w:rsid w:val="0078024B"/>
    <w:pPr>
      <w:numPr>
        <w:numId w:val="7"/>
      </w:numPr>
    </w:pPr>
  </w:style>
  <w:style w:type="character" w:customStyle="1" w:styleId="Heading8Char">
    <w:name w:val="Heading 8 Char"/>
    <w:basedOn w:val="DefaultParagraphFont"/>
    <w:link w:val="Heading8"/>
    <w:uiPriority w:val="9"/>
    <w:semiHidden/>
    <w:rsid w:val="0078024B"/>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78024B"/>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78024B"/>
  </w:style>
  <w:style w:type="paragraph" w:customStyle="1" w:styleId="Default">
    <w:name w:val="Default"/>
    <w:rsid w:val="00A94D1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Emphasis">
    <w:name w:val="Emphasis"/>
    <w:basedOn w:val="DefaultParagraphFont"/>
    <w:uiPriority w:val="20"/>
    <w:qFormat/>
    <w:rsid w:val="00744C71"/>
    <w:rPr>
      <w:b/>
      <w:bCs/>
      <w:i w:val="0"/>
      <w:iCs w:val="0"/>
    </w:rPr>
  </w:style>
  <w:style w:type="character" w:customStyle="1" w:styleId="st">
    <w:name w:val="st"/>
    <w:basedOn w:val="DefaultParagraphFont"/>
    <w:rsid w:val="00744C71"/>
  </w:style>
  <w:style w:type="paragraph" w:styleId="NormalWeb">
    <w:name w:val="Normal (Web)"/>
    <w:basedOn w:val="Normal"/>
    <w:uiPriority w:val="99"/>
    <w:unhideWhenUsed/>
    <w:rsid w:val="00474E1A"/>
    <w:pPr>
      <w:spacing w:before="240" w:after="240"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154">
      <w:bodyDiv w:val="1"/>
      <w:marLeft w:val="0"/>
      <w:marRight w:val="0"/>
      <w:marTop w:val="0"/>
      <w:marBottom w:val="0"/>
      <w:divBdr>
        <w:top w:val="none" w:sz="0" w:space="0" w:color="auto"/>
        <w:left w:val="none" w:sz="0" w:space="0" w:color="auto"/>
        <w:bottom w:val="none" w:sz="0" w:space="0" w:color="auto"/>
        <w:right w:val="none" w:sz="0" w:space="0" w:color="auto"/>
      </w:divBdr>
    </w:div>
    <w:div w:id="77097348">
      <w:bodyDiv w:val="1"/>
      <w:marLeft w:val="0"/>
      <w:marRight w:val="0"/>
      <w:marTop w:val="0"/>
      <w:marBottom w:val="0"/>
      <w:divBdr>
        <w:top w:val="none" w:sz="0" w:space="0" w:color="auto"/>
        <w:left w:val="none" w:sz="0" w:space="0" w:color="auto"/>
        <w:bottom w:val="none" w:sz="0" w:space="0" w:color="auto"/>
        <w:right w:val="none" w:sz="0" w:space="0" w:color="auto"/>
      </w:divBdr>
    </w:div>
    <w:div w:id="110980082">
      <w:bodyDiv w:val="1"/>
      <w:marLeft w:val="0"/>
      <w:marRight w:val="0"/>
      <w:marTop w:val="0"/>
      <w:marBottom w:val="0"/>
      <w:divBdr>
        <w:top w:val="none" w:sz="0" w:space="0" w:color="auto"/>
        <w:left w:val="none" w:sz="0" w:space="0" w:color="auto"/>
        <w:bottom w:val="none" w:sz="0" w:space="0" w:color="auto"/>
        <w:right w:val="none" w:sz="0" w:space="0" w:color="auto"/>
      </w:divBdr>
    </w:div>
    <w:div w:id="160585007">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287398009">
      <w:bodyDiv w:val="1"/>
      <w:marLeft w:val="0"/>
      <w:marRight w:val="0"/>
      <w:marTop w:val="0"/>
      <w:marBottom w:val="0"/>
      <w:divBdr>
        <w:top w:val="none" w:sz="0" w:space="0" w:color="auto"/>
        <w:left w:val="none" w:sz="0" w:space="0" w:color="auto"/>
        <w:bottom w:val="none" w:sz="0" w:space="0" w:color="auto"/>
        <w:right w:val="none" w:sz="0" w:space="0" w:color="auto"/>
      </w:divBdr>
    </w:div>
    <w:div w:id="348066595">
      <w:bodyDiv w:val="1"/>
      <w:marLeft w:val="0"/>
      <w:marRight w:val="0"/>
      <w:marTop w:val="0"/>
      <w:marBottom w:val="0"/>
      <w:divBdr>
        <w:top w:val="none" w:sz="0" w:space="0" w:color="auto"/>
        <w:left w:val="none" w:sz="0" w:space="0" w:color="auto"/>
        <w:bottom w:val="none" w:sz="0" w:space="0" w:color="auto"/>
        <w:right w:val="none" w:sz="0" w:space="0" w:color="auto"/>
      </w:divBdr>
    </w:div>
    <w:div w:id="397634502">
      <w:bodyDiv w:val="1"/>
      <w:marLeft w:val="0"/>
      <w:marRight w:val="0"/>
      <w:marTop w:val="0"/>
      <w:marBottom w:val="0"/>
      <w:divBdr>
        <w:top w:val="none" w:sz="0" w:space="0" w:color="auto"/>
        <w:left w:val="none" w:sz="0" w:space="0" w:color="auto"/>
        <w:bottom w:val="none" w:sz="0" w:space="0" w:color="auto"/>
        <w:right w:val="none" w:sz="0" w:space="0" w:color="auto"/>
      </w:divBdr>
    </w:div>
    <w:div w:id="426078012">
      <w:bodyDiv w:val="1"/>
      <w:marLeft w:val="0"/>
      <w:marRight w:val="0"/>
      <w:marTop w:val="0"/>
      <w:marBottom w:val="0"/>
      <w:divBdr>
        <w:top w:val="none" w:sz="0" w:space="0" w:color="auto"/>
        <w:left w:val="none" w:sz="0" w:space="0" w:color="auto"/>
        <w:bottom w:val="none" w:sz="0" w:space="0" w:color="auto"/>
        <w:right w:val="none" w:sz="0" w:space="0" w:color="auto"/>
      </w:divBdr>
    </w:div>
    <w:div w:id="514074585">
      <w:bodyDiv w:val="1"/>
      <w:marLeft w:val="0"/>
      <w:marRight w:val="0"/>
      <w:marTop w:val="0"/>
      <w:marBottom w:val="0"/>
      <w:divBdr>
        <w:top w:val="none" w:sz="0" w:space="0" w:color="auto"/>
        <w:left w:val="none" w:sz="0" w:space="0" w:color="auto"/>
        <w:bottom w:val="none" w:sz="0" w:space="0" w:color="auto"/>
        <w:right w:val="none" w:sz="0" w:space="0" w:color="auto"/>
      </w:divBdr>
    </w:div>
    <w:div w:id="569317493">
      <w:bodyDiv w:val="1"/>
      <w:marLeft w:val="0"/>
      <w:marRight w:val="0"/>
      <w:marTop w:val="0"/>
      <w:marBottom w:val="0"/>
      <w:divBdr>
        <w:top w:val="none" w:sz="0" w:space="0" w:color="auto"/>
        <w:left w:val="none" w:sz="0" w:space="0" w:color="auto"/>
        <w:bottom w:val="none" w:sz="0" w:space="0" w:color="auto"/>
        <w:right w:val="none" w:sz="0" w:space="0" w:color="auto"/>
      </w:divBdr>
    </w:div>
    <w:div w:id="574435660">
      <w:bodyDiv w:val="1"/>
      <w:marLeft w:val="0"/>
      <w:marRight w:val="0"/>
      <w:marTop w:val="0"/>
      <w:marBottom w:val="0"/>
      <w:divBdr>
        <w:top w:val="none" w:sz="0" w:space="0" w:color="auto"/>
        <w:left w:val="none" w:sz="0" w:space="0" w:color="auto"/>
        <w:bottom w:val="none" w:sz="0" w:space="0" w:color="auto"/>
        <w:right w:val="none" w:sz="0" w:space="0" w:color="auto"/>
      </w:divBdr>
    </w:div>
    <w:div w:id="596065673">
      <w:bodyDiv w:val="1"/>
      <w:marLeft w:val="0"/>
      <w:marRight w:val="0"/>
      <w:marTop w:val="0"/>
      <w:marBottom w:val="0"/>
      <w:divBdr>
        <w:top w:val="none" w:sz="0" w:space="0" w:color="auto"/>
        <w:left w:val="none" w:sz="0" w:space="0" w:color="auto"/>
        <w:bottom w:val="none" w:sz="0" w:space="0" w:color="auto"/>
        <w:right w:val="none" w:sz="0" w:space="0" w:color="auto"/>
      </w:divBdr>
    </w:div>
    <w:div w:id="627661165">
      <w:bodyDiv w:val="1"/>
      <w:marLeft w:val="0"/>
      <w:marRight w:val="0"/>
      <w:marTop w:val="0"/>
      <w:marBottom w:val="0"/>
      <w:divBdr>
        <w:top w:val="none" w:sz="0" w:space="0" w:color="auto"/>
        <w:left w:val="none" w:sz="0" w:space="0" w:color="auto"/>
        <w:bottom w:val="none" w:sz="0" w:space="0" w:color="auto"/>
        <w:right w:val="none" w:sz="0" w:space="0" w:color="auto"/>
      </w:divBdr>
    </w:div>
    <w:div w:id="641616174">
      <w:bodyDiv w:val="1"/>
      <w:marLeft w:val="0"/>
      <w:marRight w:val="0"/>
      <w:marTop w:val="0"/>
      <w:marBottom w:val="0"/>
      <w:divBdr>
        <w:top w:val="none" w:sz="0" w:space="0" w:color="auto"/>
        <w:left w:val="none" w:sz="0" w:space="0" w:color="auto"/>
        <w:bottom w:val="none" w:sz="0" w:space="0" w:color="auto"/>
        <w:right w:val="none" w:sz="0" w:space="0" w:color="auto"/>
      </w:divBdr>
    </w:div>
    <w:div w:id="667707185">
      <w:bodyDiv w:val="1"/>
      <w:marLeft w:val="0"/>
      <w:marRight w:val="0"/>
      <w:marTop w:val="0"/>
      <w:marBottom w:val="0"/>
      <w:divBdr>
        <w:top w:val="none" w:sz="0" w:space="0" w:color="auto"/>
        <w:left w:val="none" w:sz="0" w:space="0" w:color="auto"/>
        <w:bottom w:val="none" w:sz="0" w:space="0" w:color="auto"/>
        <w:right w:val="none" w:sz="0" w:space="0" w:color="auto"/>
      </w:divBdr>
    </w:div>
    <w:div w:id="756093869">
      <w:bodyDiv w:val="1"/>
      <w:marLeft w:val="0"/>
      <w:marRight w:val="0"/>
      <w:marTop w:val="0"/>
      <w:marBottom w:val="0"/>
      <w:divBdr>
        <w:top w:val="none" w:sz="0" w:space="0" w:color="auto"/>
        <w:left w:val="none" w:sz="0" w:space="0" w:color="auto"/>
        <w:bottom w:val="none" w:sz="0" w:space="0" w:color="auto"/>
        <w:right w:val="none" w:sz="0" w:space="0" w:color="auto"/>
      </w:divBdr>
    </w:div>
    <w:div w:id="780032424">
      <w:bodyDiv w:val="1"/>
      <w:marLeft w:val="0"/>
      <w:marRight w:val="0"/>
      <w:marTop w:val="0"/>
      <w:marBottom w:val="0"/>
      <w:divBdr>
        <w:top w:val="none" w:sz="0" w:space="0" w:color="auto"/>
        <w:left w:val="none" w:sz="0" w:space="0" w:color="auto"/>
        <w:bottom w:val="none" w:sz="0" w:space="0" w:color="auto"/>
        <w:right w:val="none" w:sz="0" w:space="0" w:color="auto"/>
      </w:divBdr>
    </w:div>
    <w:div w:id="812258232">
      <w:bodyDiv w:val="1"/>
      <w:marLeft w:val="0"/>
      <w:marRight w:val="0"/>
      <w:marTop w:val="0"/>
      <w:marBottom w:val="0"/>
      <w:divBdr>
        <w:top w:val="none" w:sz="0" w:space="0" w:color="auto"/>
        <w:left w:val="none" w:sz="0" w:space="0" w:color="auto"/>
        <w:bottom w:val="none" w:sz="0" w:space="0" w:color="auto"/>
        <w:right w:val="none" w:sz="0" w:space="0" w:color="auto"/>
      </w:divBdr>
    </w:div>
    <w:div w:id="1050301072">
      <w:bodyDiv w:val="1"/>
      <w:marLeft w:val="0"/>
      <w:marRight w:val="0"/>
      <w:marTop w:val="0"/>
      <w:marBottom w:val="0"/>
      <w:divBdr>
        <w:top w:val="none" w:sz="0" w:space="0" w:color="auto"/>
        <w:left w:val="none" w:sz="0" w:space="0" w:color="auto"/>
        <w:bottom w:val="none" w:sz="0" w:space="0" w:color="auto"/>
        <w:right w:val="none" w:sz="0" w:space="0" w:color="auto"/>
      </w:divBdr>
    </w:div>
    <w:div w:id="1121533798">
      <w:bodyDiv w:val="1"/>
      <w:marLeft w:val="0"/>
      <w:marRight w:val="0"/>
      <w:marTop w:val="0"/>
      <w:marBottom w:val="0"/>
      <w:divBdr>
        <w:top w:val="none" w:sz="0" w:space="0" w:color="auto"/>
        <w:left w:val="none" w:sz="0" w:space="0" w:color="auto"/>
        <w:bottom w:val="none" w:sz="0" w:space="0" w:color="auto"/>
        <w:right w:val="none" w:sz="0" w:space="0" w:color="auto"/>
      </w:divBdr>
    </w:div>
    <w:div w:id="1157266710">
      <w:bodyDiv w:val="1"/>
      <w:marLeft w:val="0"/>
      <w:marRight w:val="0"/>
      <w:marTop w:val="0"/>
      <w:marBottom w:val="0"/>
      <w:divBdr>
        <w:top w:val="none" w:sz="0" w:space="0" w:color="auto"/>
        <w:left w:val="none" w:sz="0" w:space="0" w:color="auto"/>
        <w:bottom w:val="none" w:sz="0" w:space="0" w:color="auto"/>
        <w:right w:val="none" w:sz="0" w:space="0" w:color="auto"/>
      </w:divBdr>
    </w:div>
    <w:div w:id="1176844142">
      <w:bodyDiv w:val="1"/>
      <w:marLeft w:val="0"/>
      <w:marRight w:val="0"/>
      <w:marTop w:val="0"/>
      <w:marBottom w:val="0"/>
      <w:divBdr>
        <w:top w:val="none" w:sz="0" w:space="0" w:color="auto"/>
        <w:left w:val="none" w:sz="0" w:space="0" w:color="auto"/>
        <w:bottom w:val="none" w:sz="0" w:space="0" w:color="auto"/>
        <w:right w:val="none" w:sz="0" w:space="0" w:color="auto"/>
      </w:divBdr>
    </w:div>
    <w:div w:id="1238439229">
      <w:bodyDiv w:val="1"/>
      <w:marLeft w:val="0"/>
      <w:marRight w:val="0"/>
      <w:marTop w:val="0"/>
      <w:marBottom w:val="0"/>
      <w:divBdr>
        <w:top w:val="none" w:sz="0" w:space="0" w:color="auto"/>
        <w:left w:val="none" w:sz="0" w:space="0" w:color="auto"/>
        <w:bottom w:val="none" w:sz="0" w:space="0" w:color="auto"/>
        <w:right w:val="none" w:sz="0" w:space="0" w:color="auto"/>
      </w:divBdr>
    </w:div>
    <w:div w:id="1308590049">
      <w:bodyDiv w:val="1"/>
      <w:marLeft w:val="0"/>
      <w:marRight w:val="0"/>
      <w:marTop w:val="0"/>
      <w:marBottom w:val="0"/>
      <w:divBdr>
        <w:top w:val="none" w:sz="0" w:space="0" w:color="auto"/>
        <w:left w:val="none" w:sz="0" w:space="0" w:color="auto"/>
        <w:bottom w:val="none" w:sz="0" w:space="0" w:color="auto"/>
        <w:right w:val="none" w:sz="0" w:space="0" w:color="auto"/>
      </w:divBdr>
    </w:div>
    <w:div w:id="1326741373">
      <w:bodyDiv w:val="1"/>
      <w:marLeft w:val="0"/>
      <w:marRight w:val="0"/>
      <w:marTop w:val="0"/>
      <w:marBottom w:val="0"/>
      <w:divBdr>
        <w:top w:val="none" w:sz="0" w:space="0" w:color="auto"/>
        <w:left w:val="none" w:sz="0" w:space="0" w:color="auto"/>
        <w:bottom w:val="none" w:sz="0" w:space="0" w:color="auto"/>
        <w:right w:val="none" w:sz="0" w:space="0" w:color="auto"/>
      </w:divBdr>
      <w:divsChild>
        <w:div w:id="1153721053">
          <w:marLeft w:val="0"/>
          <w:marRight w:val="0"/>
          <w:marTop w:val="0"/>
          <w:marBottom w:val="0"/>
          <w:divBdr>
            <w:top w:val="none" w:sz="0" w:space="0" w:color="auto"/>
            <w:left w:val="none" w:sz="0" w:space="0" w:color="auto"/>
            <w:bottom w:val="none" w:sz="0" w:space="0" w:color="auto"/>
            <w:right w:val="none" w:sz="0" w:space="0" w:color="auto"/>
          </w:divBdr>
          <w:divsChild>
            <w:div w:id="1238905764">
              <w:marLeft w:val="0"/>
              <w:marRight w:val="0"/>
              <w:marTop w:val="0"/>
              <w:marBottom w:val="0"/>
              <w:divBdr>
                <w:top w:val="none" w:sz="0" w:space="0" w:color="auto"/>
                <w:left w:val="none" w:sz="0" w:space="0" w:color="auto"/>
                <w:bottom w:val="none" w:sz="0" w:space="0" w:color="auto"/>
                <w:right w:val="none" w:sz="0" w:space="0" w:color="auto"/>
              </w:divBdr>
              <w:divsChild>
                <w:div w:id="866410521">
                  <w:marLeft w:val="0"/>
                  <w:marRight w:val="0"/>
                  <w:marTop w:val="0"/>
                  <w:marBottom w:val="0"/>
                  <w:divBdr>
                    <w:top w:val="none" w:sz="0" w:space="0" w:color="auto"/>
                    <w:left w:val="none" w:sz="0" w:space="0" w:color="auto"/>
                    <w:bottom w:val="none" w:sz="0" w:space="0" w:color="auto"/>
                    <w:right w:val="none" w:sz="0" w:space="0" w:color="auto"/>
                  </w:divBdr>
                  <w:divsChild>
                    <w:div w:id="1281494789">
                      <w:marLeft w:val="0"/>
                      <w:marRight w:val="0"/>
                      <w:marTop w:val="0"/>
                      <w:marBottom w:val="0"/>
                      <w:divBdr>
                        <w:top w:val="none" w:sz="0" w:space="0" w:color="auto"/>
                        <w:left w:val="none" w:sz="0" w:space="0" w:color="auto"/>
                        <w:bottom w:val="none" w:sz="0" w:space="0" w:color="auto"/>
                        <w:right w:val="none" w:sz="0" w:space="0" w:color="auto"/>
                      </w:divBdr>
                      <w:divsChild>
                        <w:div w:id="1381394214">
                          <w:marLeft w:val="0"/>
                          <w:marRight w:val="0"/>
                          <w:marTop w:val="0"/>
                          <w:marBottom w:val="0"/>
                          <w:divBdr>
                            <w:top w:val="none" w:sz="0" w:space="0" w:color="auto"/>
                            <w:left w:val="none" w:sz="0" w:space="0" w:color="auto"/>
                            <w:bottom w:val="none" w:sz="0" w:space="0" w:color="auto"/>
                            <w:right w:val="none" w:sz="0" w:space="0" w:color="auto"/>
                          </w:divBdr>
                          <w:divsChild>
                            <w:div w:id="14041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04950">
      <w:bodyDiv w:val="1"/>
      <w:marLeft w:val="0"/>
      <w:marRight w:val="0"/>
      <w:marTop w:val="0"/>
      <w:marBottom w:val="0"/>
      <w:divBdr>
        <w:top w:val="none" w:sz="0" w:space="0" w:color="auto"/>
        <w:left w:val="none" w:sz="0" w:space="0" w:color="auto"/>
        <w:bottom w:val="none" w:sz="0" w:space="0" w:color="auto"/>
        <w:right w:val="none" w:sz="0" w:space="0" w:color="auto"/>
      </w:divBdr>
    </w:div>
    <w:div w:id="1355224915">
      <w:bodyDiv w:val="1"/>
      <w:marLeft w:val="0"/>
      <w:marRight w:val="0"/>
      <w:marTop w:val="0"/>
      <w:marBottom w:val="0"/>
      <w:divBdr>
        <w:top w:val="none" w:sz="0" w:space="0" w:color="auto"/>
        <w:left w:val="none" w:sz="0" w:space="0" w:color="auto"/>
        <w:bottom w:val="none" w:sz="0" w:space="0" w:color="auto"/>
        <w:right w:val="none" w:sz="0" w:space="0" w:color="auto"/>
      </w:divBdr>
    </w:div>
    <w:div w:id="1406878977">
      <w:bodyDiv w:val="1"/>
      <w:marLeft w:val="0"/>
      <w:marRight w:val="0"/>
      <w:marTop w:val="0"/>
      <w:marBottom w:val="0"/>
      <w:divBdr>
        <w:top w:val="none" w:sz="0" w:space="0" w:color="auto"/>
        <w:left w:val="none" w:sz="0" w:space="0" w:color="auto"/>
        <w:bottom w:val="none" w:sz="0" w:space="0" w:color="auto"/>
        <w:right w:val="none" w:sz="0" w:space="0" w:color="auto"/>
      </w:divBdr>
    </w:div>
    <w:div w:id="1428620878">
      <w:bodyDiv w:val="1"/>
      <w:marLeft w:val="0"/>
      <w:marRight w:val="0"/>
      <w:marTop w:val="0"/>
      <w:marBottom w:val="0"/>
      <w:divBdr>
        <w:top w:val="none" w:sz="0" w:space="0" w:color="auto"/>
        <w:left w:val="none" w:sz="0" w:space="0" w:color="auto"/>
        <w:bottom w:val="none" w:sz="0" w:space="0" w:color="auto"/>
        <w:right w:val="none" w:sz="0" w:space="0" w:color="auto"/>
      </w:divBdr>
    </w:div>
    <w:div w:id="1455320537">
      <w:bodyDiv w:val="1"/>
      <w:marLeft w:val="0"/>
      <w:marRight w:val="0"/>
      <w:marTop w:val="0"/>
      <w:marBottom w:val="0"/>
      <w:divBdr>
        <w:top w:val="none" w:sz="0" w:space="0" w:color="auto"/>
        <w:left w:val="none" w:sz="0" w:space="0" w:color="auto"/>
        <w:bottom w:val="none" w:sz="0" w:space="0" w:color="auto"/>
        <w:right w:val="none" w:sz="0" w:space="0" w:color="auto"/>
      </w:divBdr>
    </w:div>
    <w:div w:id="1494444934">
      <w:bodyDiv w:val="1"/>
      <w:marLeft w:val="0"/>
      <w:marRight w:val="0"/>
      <w:marTop w:val="0"/>
      <w:marBottom w:val="0"/>
      <w:divBdr>
        <w:top w:val="none" w:sz="0" w:space="0" w:color="auto"/>
        <w:left w:val="none" w:sz="0" w:space="0" w:color="auto"/>
        <w:bottom w:val="none" w:sz="0" w:space="0" w:color="auto"/>
        <w:right w:val="none" w:sz="0" w:space="0" w:color="auto"/>
      </w:divBdr>
    </w:div>
    <w:div w:id="1526746636">
      <w:bodyDiv w:val="1"/>
      <w:marLeft w:val="0"/>
      <w:marRight w:val="0"/>
      <w:marTop w:val="0"/>
      <w:marBottom w:val="0"/>
      <w:divBdr>
        <w:top w:val="none" w:sz="0" w:space="0" w:color="auto"/>
        <w:left w:val="none" w:sz="0" w:space="0" w:color="auto"/>
        <w:bottom w:val="none" w:sz="0" w:space="0" w:color="auto"/>
        <w:right w:val="none" w:sz="0" w:space="0" w:color="auto"/>
      </w:divBdr>
    </w:div>
    <w:div w:id="1533496132">
      <w:bodyDiv w:val="1"/>
      <w:marLeft w:val="0"/>
      <w:marRight w:val="0"/>
      <w:marTop w:val="0"/>
      <w:marBottom w:val="0"/>
      <w:divBdr>
        <w:top w:val="none" w:sz="0" w:space="0" w:color="auto"/>
        <w:left w:val="none" w:sz="0" w:space="0" w:color="auto"/>
        <w:bottom w:val="none" w:sz="0" w:space="0" w:color="auto"/>
        <w:right w:val="none" w:sz="0" w:space="0" w:color="auto"/>
      </w:divBdr>
    </w:div>
    <w:div w:id="1623461589">
      <w:bodyDiv w:val="1"/>
      <w:marLeft w:val="0"/>
      <w:marRight w:val="0"/>
      <w:marTop w:val="0"/>
      <w:marBottom w:val="0"/>
      <w:divBdr>
        <w:top w:val="none" w:sz="0" w:space="0" w:color="auto"/>
        <w:left w:val="none" w:sz="0" w:space="0" w:color="auto"/>
        <w:bottom w:val="none" w:sz="0" w:space="0" w:color="auto"/>
        <w:right w:val="none" w:sz="0" w:space="0" w:color="auto"/>
      </w:divBdr>
    </w:div>
    <w:div w:id="1630428141">
      <w:bodyDiv w:val="1"/>
      <w:marLeft w:val="0"/>
      <w:marRight w:val="0"/>
      <w:marTop w:val="0"/>
      <w:marBottom w:val="0"/>
      <w:divBdr>
        <w:top w:val="none" w:sz="0" w:space="0" w:color="auto"/>
        <w:left w:val="none" w:sz="0" w:space="0" w:color="auto"/>
        <w:bottom w:val="none" w:sz="0" w:space="0" w:color="auto"/>
        <w:right w:val="none" w:sz="0" w:space="0" w:color="auto"/>
      </w:divBdr>
      <w:divsChild>
        <w:div w:id="1068459241">
          <w:marLeft w:val="0"/>
          <w:marRight w:val="0"/>
          <w:marTop w:val="0"/>
          <w:marBottom w:val="0"/>
          <w:divBdr>
            <w:top w:val="none" w:sz="0" w:space="0" w:color="auto"/>
            <w:left w:val="none" w:sz="0" w:space="0" w:color="auto"/>
            <w:bottom w:val="none" w:sz="0" w:space="0" w:color="auto"/>
            <w:right w:val="none" w:sz="0" w:space="0" w:color="auto"/>
          </w:divBdr>
          <w:divsChild>
            <w:div w:id="140999026">
              <w:marLeft w:val="0"/>
              <w:marRight w:val="0"/>
              <w:marTop w:val="0"/>
              <w:marBottom w:val="0"/>
              <w:divBdr>
                <w:top w:val="none" w:sz="0" w:space="0" w:color="auto"/>
                <w:left w:val="none" w:sz="0" w:space="0" w:color="auto"/>
                <w:bottom w:val="none" w:sz="0" w:space="0" w:color="auto"/>
                <w:right w:val="none" w:sz="0" w:space="0" w:color="auto"/>
              </w:divBdr>
              <w:divsChild>
                <w:div w:id="2045711265">
                  <w:marLeft w:val="0"/>
                  <w:marRight w:val="0"/>
                  <w:marTop w:val="0"/>
                  <w:marBottom w:val="0"/>
                  <w:divBdr>
                    <w:top w:val="none" w:sz="0" w:space="0" w:color="auto"/>
                    <w:left w:val="none" w:sz="0" w:space="0" w:color="auto"/>
                    <w:bottom w:val="none" w:sz="0" w:space="0" w:color="auto"/>
                    <w:right w:val="none" w:sz="0" w:space="0" w:color="auto"/>
                  </w:divBdr>
                  <w:divsChild>
                    <w:div w:id="706876931">
                      <w:marLeft w:val="0"/>
                      <w:marRight w:val="0"/>
                      <w:marTop w:val="0"/>
                      <w:marBottom w:val="0"/>
                      <w:divBdr>
                        <w:top w:val="none" w:sz="0" w:space="0" w:color="auto"/>
                        <w:left w:val="none" w:sz="0" w:space="0" w:color="auto"/>
                        <w:bottom w:val="none" w:sz="0" w:space="0" w:color="auto"/>
                        <w:right w:val="none" w:sz="0" w:space="0" w:color="auto"/>
                      </w:divBdr>
                      <w:divsChild>
                        <w:div w:id="12613198">
                          <w:marLeft w:val="0"/>
                          <w:marRight w:val="0"/>
                          <w:marTop w:val="0"/>
                          <w:marBottom w:val="0"/>
                          <w:divBdr>
                            <w:top w:val="none" w:sz="0" w:space="0" w:color="auto"/>
                            <w:left w:val="none" w:sz="0" w:space="0" w:color="auto"/>
                            <w:bottom w:val="none" w:sz="0" w:space="0" w:color="auto"/>
                            <w:right w:val="none" w:sz="0" w:space="0" w:color="auto"/>
                          </w:divBdr>
                          <w:divsChild>
                            <w:div w:id="1803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561682">
      <w:bodyDiv w:val="1"/>
      <w:marLeft w:val="0"/>
      <w:marRight w:val="0"/>
      <w:marTop w:val="0"/>
      <w:marBottom w:val="0"/>
      <w:divBdr>
        <w:top w:val="none" w:sz="0" w:space="0" w:color="auto"/>
        <w:left w:val="none" w:sz="0" w:space="0" w:color="auto"/>
        <w:bottom w:val="none" w:sz="0" w:space="0" w:color="auto"/>
        <w:right w:val="none" w:sz="0" w:space="0" w:color="auto"/>
      </w:divBdr>
    </w:div>
    <w:div w:id="1743336430">
      <w:bodyDiv w:val="1"/>
      <w:marLeft w:val="0"/>
      <w:marRight w:val="0"/>
      <w:marTop w:val="0"/>
      <w:marBottom w:val="0"/>
      <w:divBdr>
        <w:top w:val="none" w:sz="0" w:space="0" w:color="auto"/>
        <w:left w:val="none" w:sz="0" w:space="0" w:color="auto"/>
        <w:bottom w:val="none" w:sz="0" w:space="0" w:color="auto"/>
        <w:right w:val="none" w:sz="0" w:space="0" w:color="auto"/>
      </w:divBdr>
    </w:div>
    <w:div w:id="1752654516">
      <w:bodyDiv w:val="1"/>
      <w:marLeft w:val="0"/>
      <w:marRight w:val="0"/>
      <w:marTop w:val="0"/>
      <w:marBottom w:val="0"/>
      <w:divBdr>
        <w:top w:val="none" w:sz="0" w:space="0" w:color="auto"/>
        <w:left w:val="none" w:sz="0" w:space="0" w:color="auto"/>
        <w:bottom w:val="none" w:sz="0" w:space="0" w:color="auto"/>
        <w:right w:val="none" w:sz="0" w:space="0" w:color="auto"/>
      </w:divBdr>
    </w:div>
    <w:div w:id="1829783693">
      <w:bodyDiv w:val="1"/>
      <w:marLeft w:val="0"/>
      <w:marRight w:val="0"/>
      <w:marTop w:val="0"/>
      <w:marBottom w:val="0"/>
      <w:divBdr>
        <w:top w:val="none" w:sz="0" w:space="0" w:color="auto"/>
        <w:left w:val="none" w:sz="0" w:space="0" w:color="auto"/>
        <w:bottom w:val="none" w:sz="0" w:space="0" w:color="auto"/>
        <w:right w:val="none" w:sz="0" w:space="0" w:color="auto"/>
      </w:divBdr>
    </w:div>
    <w:div w:id="1838762446">
      <w:bodyDiv w:val="1"/>
      <w:marLeft w:val="0"/>
      <w:marRight w:val="0"/>
      <w:marTop w:val="0"/>
      <w:marBottom w:val="0"/>
      <w:divBdr>
        <w:top w:val="none" w:sz="0" w:space="0" w:color="auto"/>
        <w:left w:val="none" w:sz="0" w:space="0" w:color="auto"/>
        <w:bottom w:val="none" w:sz="0" w:space="0" w:color="auto"/>
        <w:right w:val="none" w:sz="0" w:space="0" w:color="auto"/>
      </w:divBdr>
    </w:div>
    <w:div w:id="1909686148">
      <w:bodyDiv w:val="1"/>
      <w:marLeft w:val="0"/>
      <w:marRight w:val="0"/>
      <w:marTop w:val="0"/>
      <w:marBottom w:val="0"/>
      <w:divBdr>
        <w:top w:val="none" w:sz="0" w:space="0" w:color="auto"/>
        <w:left w:val="none" w:sz="0" w:space="0" w:color="auto"/>
        <w:bottom w:val="none" w:sz="0" w:space="0" w:color="auto"/>
        <w:right w:val="none" w:sz="0" w:space="0" w:color="auto"/>
      </w:divBdr>
    </w:div>
    <w:div w:id="1930843673">
      <w:bodyDiv w:val="1"/>
      <w:marLeft w:val="0"/>
      <w:marRight w:val="0"/>
      <w:marTop w:val="0"/>
      <w:marBottom w:val="0"/>
      <w:divBdr>
        <w:top w:val="none" w:sz="0" w:space="0" w:color="auto"/>
        <w:left w:val="none" w:sz="0" w:space="0" w:color="auto"/>
        <w:bottom w:val="none" w:sz="0" w:space="0" w:color="auto"/>
        <w:right w:val="none" w:sz="0" w:space="0" w:color="auto"/>
      </w:divBdr>
    </w:div>
    <w:div w:id="2068599828">
      <w:bodyDiv w:val="1"/>
      <w:marLeft w:val="0"/>
      <w:marRight w:val="0"/>
      <w:marTop w:val="0"/>
      <w:marBottom w:val="0"/>
      <w:divBdr>
        <w:top w:val="none" w:sz="0" w:space="0" w:color="auto"/>
        <w:left w:val="none" w:sz="0" w:space="0" w:color="auto"/>
        <w:bottom w:val="none" w:sz="0" w:space="0" w:color="auto"/>
        <w:right w:val="none" w:sz="0" w:space="0" w:color="auto"/>
      </w:divBdr>
    </w:div>
    <w:div w:id="2094742219">
      <w:bodyDiv w:val="1"/>
      <w:marLeft w:val="0"/>
      <w:marRight w:val="0"/>
      <w:marTop w:val="0"/>
      <w:marBottom w:val="0"/>
      <w:divBdr>
        <w:top w:val="none" w:sz="0" w:space="0" w:color="auto"/>
        <w:left w:val="none" w:sz="0" w:space="0" w:color="auto"/>
        <w:bottom w:val="none" w:sz="0" w:space="0" w:color="auto"/>
        <w:right w:val="none" w:sz="0" w:space="0" w:color="auto"/>
      </w:divBdr>
    </w:div>
    <w:div w:id="2135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hdphoto" Target="media/hdphoto1.wdp"/><Relationship Id="rId26" Type="http://schemas.openxmlformats.org/officeDocument/2006/relationships/hyperlink" Target="https://www.tga.gov.au/product-information-p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microsoft.com/office/2007/relationships/hdphoto" Target="media/hdphoto4.wdp"/><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microsoft.com/office/2007/relationships/hdphoto" Target="media/hdphoto2.wdp"/><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image" Target="media/image8.png"/><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png"/><Relationship Id="rId22" Type="http://schemas.microsoft.com/office/2007/relationships/hdphoto" Target="media/hdphoto3.wdp"/><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096\R12%20926607%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3D993-781E-432E-B730-E8F5EA80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template(2).DOTX</Template>
  <TotalTime>89</TotalTime>
  <Pages>30</Pages>
  <Words>8526</Words>
  <Characters>49116</Characters>
  <Application>Microsoft Office Word</Application>
  <DocSecurity>0</DocSecurity>
  <Lines>1327</Lines>
  <Paragraphs>538</Paragraphs>
  <ScaleCrop>false</ScaleCrop>
  <HeadingPairs>
    <vt:vector size="2" baseType="variant">
      <vt:variant>
        <vt:lpstr>Title</vt:lpstr>
      </vt:variant>
      <vt:variant>
        <vt:i4>1</vt:i4>
      </vt:variant>
    </vt:vector>
  </HeadingPairs>
  <TitlesOfParts>
    <vt:vector size="1" baseType="lpstr">
      <vt:lpstr>Australian Public Assessment Report for Tafluprost/Timolol</vt:lpstr>
    </vt:vector>
  </TitlesOfParts>
  <Company>Department of Health Therapeutic Goods Administration</Company>
  <LinksUpToDate>false</LinksUpToDate>
  <CharactersWithSpaces>57104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Tafluprost/Timolol</dc:title>
  <dc:subject>prescription medicine regulation</dc:subject>
  <dc:creator>Therapeutic Goods Administration</dc:creator>
  <cp:keywords>auspar, prescription, medicine, assessment, regulation, australia, tafluprost, timolol, merck, sharp, dohme</cp:keywords>
  <cp:lastModifiedBy>Norton, Daniel</cp:lastModifiedBy>
  <cp:revision>18</cp:revision>
  <cp:lastPrinted>2010-12-20T22:59:00Z</cp:lastPrinted>
  <dcterms:created xsi:type="dcterms:W3CDTF">2015-07-28T00:21:00Z</dcterms:created>
  <dcterms:modified xsi:type="dcterms:W3CDTF">2015-08-18T01:24:00Z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