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38C" w:rsidRPr="00A1638C" w:rsidRDefault="00A1638C" w:rsidP="00A1638C">
      <w:pPr>
        <w:spacing w:before="240" w:after="240" w:line="240" w:lineRule="auto"/>
        <w:jc w:val="center"/>
        <w:outlineLvl w:val="0"/>
        <w:rPr>
          <w:rFonts w:ascii="Arial" w:eastAsia="Times New Roman" w:hAnsi="Arial" w:cs="Arial"/>
          <w:b/>
          <w:bCs/>
          <w:caps/>
          <w:kern w:val="28"/>
          <w:sz w:val="28"/>
          <w:szCs w:val="32"/>
        </w:rPr>
      </w:pPr>
      <w:r w:rsidRPr="00A1638C">
        <w:rPr>
          <w:rFonts w:ascii="Arial" w:eastAsia="Times New Roman" w:hAnsi="Arial" w:cs="Arial"/>
          <w:b/>
          <w:bCs/>
          <w:caps/>
          <w:kern w:val="28"/>
          <w:sz w:val="28"/>
          <w:szCs w:val="32"/>
        </w:rPr>
        <w:t>PRODUCT INFORMATION</w:t>
      </w:r>
    </w:p>
    <w:p w:rsidR="00A1638C" w:rsidRPr="00A1638C" w:rsidRDefault="00A1638C" w:rsidP="00A1638C">
      <w:pPr>
        <w:spacing w:after="60" w:line="240" w:lineRule="auto"/>
        <w:jc w:val="center"/>
        <w:outlineLvl w:val="1"/>
        <w:rPr>
          <w:rFonts w:ascii="Arial" w:eastAsia="Times New Roman" w:hAnsi="Arial" w:cs="Arial"/>
          <w:b/>
          <w:caps/>
          <w:sz w:val="24"/>
          <w:szCs w:val="24"/>
        </w:rPr>
      </w:pPr>
      <w:r w:rsidRPr="00A1638C">
        <w:rPr>
          <w:rFonts w:ascii="Arial" w:eastAsia="Times New Roman" w:hAnsi="Arial" w:cs="Arial"/>
          <w:b/>
          <w:caps/>
          <w:sz w:val="24"/>
          <w:szCs w:val="24"/>
        </w:rPr>
        <w:t xml:space="preserve">TAPTIQOM </w:t>
      </w:r>
      <w:r w:rsidR="002279BD">
        <w:rPr>
          <w:rFonts w:ascii="Arial" w:eastAsia="Times New Roman" w:hAnsi="Arial" w:cs="Arial"/>
          <w:b/>
          <w:caps/>
          <w:sz w:val="24"/>
          <w:szCs w:val="24"/>
        </w:rPr>
        <w:t>15/5</w:t>
      </w:r>
    </w:p>
    <w:p w:rsidR="00A1638C" w:rsidRP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NAME OF THE MEDICINE</w:t>
      </w:r>
    </w:p>
    <w:p w:rsidR="00A1638C" w:rsidRPr="00A1638C" w:rsidRDefault="00A1638C" w:rsidP="00A1638C">
      <w:pPr>
        <w:spacing w:after="60" w:line="240" w:lineRule="auto"/>
        <w:jc w:val="both"/>
        <w:rPr>
          <w:rFonts w:ascii="Arial" w:eastAsia="Times New Roman" w:hAnsi="Arial" w:cs="Times New Roman"/>
          <w:szCs w:val="20"/>
        </w:rPr>
      </w:pPr>
      <w:proofErr w:type="spellStart"/>
      <w:r w:rsidRPr="00A1638C">
        <w:rPr>
          <w:rFonts w:ascii="Arial" w:eastAsia="Times New Roman" w:hAnsi="Arial" w:cs="Times New Roman"/>
          <w:szCs w:val="20"/>
        </w:rPr>
        <w:t>Tafluprost</w:t>
      </w:r>
      <w:proofErr w:type="spellEnd"/>
      <w:r w:rsidRPr="00A1638C">
        <w:rPr>
          <w:rFonts w:ascii="Arial" w:eastAsia="Times New Roman" w:hAnsi="Arial" w:cs="Times New Roman"/>
          <w:szCs w:val="20"/>
        </w:rPr>
        <w:t xml:space="preserve"> / </w:t>
      </w:r>
      <w:proofErr w:type="spellStart"/>
      <w:r w:rsidRPr="00A1638C">
        <w:rPr>
          <w:rFonts w:ascii="Arial" w:eastAsia="Times New Roman" w:hAnsi="Arial" w:cs="Times New Roman"/>
          <w:szCs w:val="20"/>
        </w:rPr>
        <w:t>timolol</w:t>
      </w:r>
      <w:proofErr w:type="spellEnd"/>
    </w:p>
    <w:p w:rsidR="00A1638C" w:rsidRPr="00A1638C" w:rsidRDefault="00A1638C" w:rsidP="00A1638C">
      <w:pPr>
        <w:keepNext/>
        <w:spacing w:before="240" w:after="120" w:line="240" w:lineRule="auto"/>
        <w:jc w:val="both"/>
        <w:outlineLvl w:val="1"/>
        <w:rPr>
          <w:rFonts w:ascii="Arial" w:eastAsia="Times New Roman" w:hAnsi="Arial" w:cs="Arial"/>
          <w:b/>
          <w:bCs/>
          <w:iCs/>
          <w:lang w:val="en-US"/>
        </w:rPr>
      </w:pPr>
      <w:r w:rsidRPr="00A1638C">
        <w:rPr>
          <w:rFonts w:ascii="Arial" w:eastAsia="Times New Roman" w:hAnsi="Arial" w:cs="Arial"/>
          <w:b/>
          <w:bCs/>
          <w:iCs/>
          <w:lang w:val="en-US"/>
        </w:rPr>
        <w:t>Chemical Structure</w:t>
      </w:r>
    </w:p>
    <w:p w:rsidR="00A1638C" w:rsidRPr="00A1638C" w:rsidRDefault="00A1638C" w:rsidP="00A1638C">
      <w:pPr>
        <w:spacing w:after="60" w:line="240" w:lineRule="auto"/>
        <w:jc w:val="both"/>
        <w:rPr>
          <w:rFonts w:ascii="Arial" w:eastAsia="Times New Roman" w:hAnsi="Arial" w:cs="Times New Roman"/>
          <w:szCs w:val="20"/>
          <w:u w:val="single"/>
        </w:rPr>
      </w:pPr>
      <w:r w:rsidRPr="00A1638C">
        <w:rPr>
          <w:rFonts w:ascii="Arial" w:eastAsia="Times New Roman" w:hAnsi="Arial" w:cs="Times New Roman"/>
          <w:szCs w:val="20"/>
          <w:u w:val="single"/>
        </w:rPr>
        <w:t>Tafluprost</w:t>
      </w:r>
    </w:p>
    <w:p w:rsidR="00A1638C" w:rsidRPr="00A1638C" w:rsidRDefault="00A1638C" w:rsidP="00A1638C">
      <w:pPr>
        <w:spacing w:after="60" w:line="240" w:lineRule="auto"/>
        <w:jc w:val="both"/>
        <w:rPr>
          <w:rFonts w:ascii="Arial" w:eastAsia="Times New Roman" w:hAnsi="Arial" w:cs="Times New Roman"/>
          <w:szCs w:val="20"/>
        </w:rPr>
      </w:pPr>
      <w:r>
        <w:rPr>
          <w:rFonts w:ascii="Arial" w:eastAsia="Times New Roman" w:hAnsi="Arial" w:cs="Times New Roman"/>
          <w:noProof/>
          <w:szCs w:val="20"/>
          <w:lang w:eastAsia="en-AU"/>
        </w:rPr>
        <w:drawing>
          <wp:inline distT="0" distB="0" distL="0" distR="0" wp14:anchorId="3E2EDA3F" wp14:editId="267784AC">
            <wp:extent cx="2998739" cy="16476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9">
                      <a:lum bright="-20000" contrast="40000"/>
                      <a:extLst>
                        <a:ext uri="{28A0092B-C50C-407E-A947-70E740481C1C}">
                          <a14:useLocalDpi xmlns:a14="http://schemas.microsoft.com/office/drawing/2010/main" val="0"/>
                        </a:ext>
                      </a:extLst>
                    </a:blip>
                    <a:srcRect r="1344" b="2551"/>
                    <a:stretch/>
                  </pic:blipFill>
                  <pic:spPr bwMode="auto">
                    <a:xfrm>
                      <a:off x="0" y="0"/>
                      <a:ext cx="3007025" cy="1652199"/>
                    </a:xfrm>
                    <a:prstGeom prst="rect">
                      <a:avLst/>
                    </a:prstGeom>
                    <a:noFill/>
                    <a:ln>
                      <a:noFill/>
                    </a:ln>
                    <a:extLst>
                      <a:ext uri="{53640926-AAD7-44D8-BBD7-CCE9431645EC}">
                        <a14:shadowObscured xmlns:a14="http://schemas.microsoft.com/office/drawing/2010/main"/>
                      </a:ext>
                    </a:extLst>
                  </pic:spPr>
                </pic:pic>
              </a:graphicData>
            </a:graphic>
          </wp:inline>
        </w:drawing>
      </w:r>
    </w:p>
    <w:p w:rsidR="00A1638C" w:rsidRPr="00A1638C" w:rsidRDefault="00A1638C" w:rsidP="00A1638C">
      <w:pPr>
        <w:spacing w:after="60" w:line="240" w:lineRule="auto"/>
        <w:jc w:val="both"/>
        <w:rPr>
          <w:rFonts w:ascii="Arial" w:eastAsia="Times New Roman" w:hAnsi="Arial" w:cs="Times New Roman"/>
          <w:szCs w:val="20"/>
        </w:rPr>
      </w:pPr>
    </w:p>
    <w:p w:rsidR="00A1638C" w:rsidRPr="00A1638C" w:rsidRDefault="00A1638C" w:rsidP="00A1638C">
      <w:pPr>
        <w:spacing w:after="60" w:line="240" w:lineRule="auto"/>
        <w:jc w:val="both"/>
        <w:rPr>
          <w:rFonts w:ascii="Arial" w:eastAsia="Times New Roman" w:hAnsi="Arial" w:cs="Times New Roman"/>
          <w:szCs w:val="20"/>
          <w:u w:val="single"/>
        </w:rPr>
      </w:pPr>
      <w:r w:rsidRPr="00A1638C">
        <w:rPr>
          <w:rFonts w:ascii="Arial" w:eastAsia="Times New Roman" w:hAnsi="Arial" w:cs="Times New Roman"/>
          <w:szCs w:val="20"/>
          <w:u w:val="single"/>
        </w:rPr>
        <w:t>Timolol maleate</w:t>
      </w:r>
    </w:p>
    <w:p w:rsidR="00A1638C" w:rsidRPr="00A1638C" w:rsidRDefault="00A1638C" w:rsidP="00A1638C">
      <w:pPr>
        <w:spacing w:after="60" w:line="240" w:lineRule="auto"/>
        <w:jc w:val="both"/>
        <w:rPr>
          <w:rFonts w:ascii="Arial" w:eastAsia="Times New Roman" w:hAnsi="Arial" w:cs="Times New Roman"/>
          <w:szCs w:val="20"/>
        </w:rPr>
      </w:pPr>
    </w:p>
    <w:p w:rsidR="00A1638C" w:rsidRPr="00A1638C" w:rsidRDefault="00A1638C" w:rsidP="00A1638C">
      <w:pPr>
        <w:spacing w:after="60" w:line="240" w:lineRule="auto"/>
        <w:jc w:val="both"/>
        <w:rPr>
          <w:rFonts w:ascii="Arial" w:eastAsia="Times New Roman" w:hAnsi="Arial" w:cs="Times New Roman"/>
          <w:szCs w:val="20"/>
        </w:rPr>
      </w:pPr>
      <w:r>
        <w:rPr>
          <w:rFonts w:ascii="Arial" w:eastAsia="Times New Roman" w:hAnsi="Arial" w:cs="Times New Roman"/>
          <w:noProof/>
          <w:szCs w:val="20"/>
          <w:lang w:eastAsia="en-AU"/>
        </w:rPr>
        <w:drawing>
          <wp:inline distT="0" distB="0" distL="0" distR="0" wp14:anchorId="52296F88" wp14:editId="1AA8A553">
            <wp:extent cx="4876800" cy="14001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6800" cy="1400175"/>
                    </a:xfrm>
                    <a:prstGeom prst="rect">
                      <a:avLst/>
                    </a:prstGeom>
                    <a:noFill/>
                    <a:ln>
                      <a:noFill/>
                    </a:ln>
                  </pic:spPr>
                </pic:pic>
              </a:graphicData>
            </a:graphic>
          </wp:inline>
        </w:drawing>
      </w:r>
    </w:p>
    <w:p w:rsidR="00A1638C" w:rsidRPr="00A1638C" w:rsidRDefault="00A1638C" w:rsidP="00A1638C">
      <w:pPr>
        <w:spacing w:after="60" w:line="240" w:lineRule="auto"/>
        <w:jc w:val="both"/>
        <w:rPr>
          <w:rFonts w:ascii="Arial" w:eastAsia="Times New Roman" w:hAnsi="Arial" w:cs="Times New Roman"/>
          <w:szCs w:val="20"/>
        </w:rPr>
      </w:pPr>
    </w:p>
    <w:p w:rsidR="00A1638C" w:rsidRPr="00A1638C" w:rsidRDefault="00A1638C" w:rsidP="00A1638C">
      <w:pPr>
        <w:keepNext/>
        <w:spacing w:before="240" w:after="120" w:line="240" w:lineRule="auto"/>
        <w:jc w:val="both"/>
        <w:outlineLvl w:val="1"/>
        <w:rPr>
          <w:rFonts w:ascii="Arial" w:eastAsia="Times New Roman" w:hAnsi="Arial" w:cs="Arial"/>
          <w:b/>
          <w:bCs/>
          <w:iCs/>
          <w:lang w:val="en-US"/>
        </w:rPr>
      </w:pPr>
      <w:r w:rsidRPr="00A1638C">
        <w:rPr>
          <w:rFonts w:ascii="Arial" w:eastAsia="Times New Roman" w:hAnsi="Arial" w:cs="Arial"/>
          <w:b/>
          <w:bCs/>
          <w:iCs/>
          <w:lang w:val="en-US"/>
        </w:rPr>
        <w:t>CAS Numbers</w:t>
      </w:r>
    </w:p>
    <w:p w:rsidR="00A1638C" w:rsidRPr="00A1638C" w:rsidRDefault="00A1638C" w:rsidP="00A1638C">
      <w:pPr>
        <w:spacing w:after="60" w:line="240" w:lineRule="auto"/>
        <w:jc w:val="both"/>
        <w:rPr>
          <w:rFonts w:ascii="Arial" w:eastAsia="Times New Roman" w:hAnsi="Arial" w:cs="Times New Roman"/>
          <w:szCs w:val="20"/>
        </w:rPr>
      </w:pPr>
      <w:proofErr w:type="spellStart"/>
      <w:r w:rsidRPr="00A1638C">
        <w:rPr>
          <w:rFonts w:ascii="Arial" w:eastAsia="Times New Roman" w:hAnsi="Arial" w:cs="Times New Roman"/>
          <w:szCs w:val="20"/>
        </w:rPr>
        <w:t>Tafluprost</w:t>
      </w:r>
      <w:proofErr w:type="spellEnd"/>
      <w:r w:rsidRPr="00A1638C">
        <w:rPr>
          <w:rFonts w:ascii="Arial" w:eastAsia="Times New Roman" w:hAnsi="Arial" w:cs="Times New Roman"/>
          <w:szCs w:val="20"/>
        </w:rPr>
        <w:t>: 209860-87-7</w:t>
      </w:r>
    </w:p>
    <w:p w:rsidR="00A1638C" w:rsidRPr="00A1638C" w:rsidRDefault="00A1638C" w:rsidP="00A1638C">
      <w:pPr>
        <w:spacing w:after="60" w:line="240" w:lineRule="auto"/>
        <w:jc w:val="both"/>
        <w:rPr>
          <w:rFonts w:ascii="Arial" w:eastAsia="Times New Roman" w:hAnsi="Arial" w:cs="Times New Roman"/>
          <w:szCs w:val="20"/>
        </w:rPr>
      </w:pPr>
      <w:proofErr w:type="spellStart"/>
      <w:r w:rsidRPr="00A1638C">
        <w:rPr>
          <w:rFonts w:ascii="Arial" w:eastAsia="Times New Roman" w:hAnsi="Arial" w:cs="Times New Roman"/>
          <w:szCs w:val="20"/>
        </w:rPr>
        <w:t>Timolol</w:t>
      </w:r>
      <w:proofErr w:type="spellEnd"/>
      <w:r w:rsidRPr="00A1638C">
        <w:rPr>
          <w:rFonts w:ascii="Arial" w:eastAsia="Times New Roman" w:hAnsi="Arial" w:cs="Times New Roman"/>
          <w:szCs w:val="20"/>
        </w:rPr>
        <w:t>: 26921-17-5</w:t>
      </w:r>
    </w:p>
    <w:p w:rsidR="00481C14"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Description</w:t>
      </w:r>
    </w:p>
    <w:p w:rsidR="0022257E" w:rsidRPr="0022257E" w:rsidRDefault="0022257E" w:rsidP="0022257E">
      <w:pPr>
        <w:spacing w:after="60" w:line="240" w:lineRule="atLeast"/>
        <w:jc w:val="both"/>
        <w:rPr>
          <w:rFonts w:ascii="Arial" w:eastAsia="Times New Roman" w:hAnsi="Arial" w:cs="Times New Roman"/>
          <w:szCs w:val="20"/>
        </w:rPr>
      </w:pPr>
      <w:proofErr w:type="gramStart"/>
      <w:r w:rsidRPr="0022257E">
        <w:rPr>
          <w:rFonts w:ascii="Arial" w:eastAsia="Times New Roman" w:hAnsi="Arial" w:cs="Times New Roman"/>
          <w:szCs w:val="20"/>
        </w:rPr>
        <w:t>A clear, colourless solution.</w:t>
      </w:r>
      <w:proofErr w:type="gramEnd"/>
    </w:p>
    <w:p w:rsidR="0022257E" w:rsidRPr="0022257E" w:rsidRDefault="0022257E" w:rsidP="0022257E">
      <w:pPr>
        <w:spacing w:before="120" w:after="60" w:line="240" w:lineRule="auto"/>
        <w:jc w:val="both"/>
        <w:rPr>
          <w:rFonts w:ascii="Arial" w:eastAsia="Times New Roman" w:hAnsi="Arial" w:cs="Times New Roman"/>
          <w:i/>
          <w:szCs w:val="20"/>
          <w:u w:val="single"/>
        </w:rPr>
      </w:pPr>
      <w:r w:rsidRPr="0022257E">
        <w:rPr>
          <w:rFonts w:ascii="Arial" w:eastAsia="Times New Roman" w:hAnsi="Arial" w:cs="Times New Roman"/>
          <w:i/>
          <w:szCs w:val="20"/>
          <w:u w:val="single"/>
        </w:rPr>
        <w:t>Tafluprost</w:t>
      </w:r>
    </w:p>
    <w:p w:rsidR="0022257E" w:rsidRPr="0022257E" w:rsidRDefault="0022257E" w:rsidP="0022257E">
      <w:pPr>
        <w:spacing w:after="60" w:line="240" w:lineRule="atLeast"/>
        <w:jc w:val="both"/>
        <w:rPr>
          <w:rFonts w:ascii="Arial" w:eastAsia="Times New Roman" w:hAnsi="Arial" w:cs="Times New Roman"/>
          <w:szCs w:val="20"/>
        </w:rPr>
      </w:pPr>
      <w:r w:rsidRPr="0022257E">
        <w:rPr>
          <w:rFonts w:ascii="Arial" w:eastAsia="Times New Roman" w:hAnsi="Arial" w:cs="Times New Roman"/>
          <w:szCs w:val="20"/>
        </w:rPr>
        <w:t>The chemical name for tafluprost is 1-methylethyl (5Z)-7[(1R, 2R, 3R, 5S)-2-[(1E)-3</w:t>
      </w:r>
      <w:proofErr w:type="gramStart"/>
      <w:r w:rsidRPr="0022257E">
        <w:rPr>
          <w:rFonts w:ascii="Arial" w:eastAsia="Times New Roman" w:hAnsi="Arial" w:cs="Times New Roman"/>
          <w:szCs w:val="20"/>
        </w:rPr>
        <w:t>,3</w:t>
      </w:r>
      <w:proofErr w:type="gramEnd"/>
      <w:r w:rsidRPr="0022257E">
        <w:rPr>
          <w:rFonts w:ascii="Arial" w:eastAsia="Times New Roman" w:hAnsi="Arial" w:cs="Times New Roman"/>
          <w:szCs w:val="20"/>
        </w:rPr>
        <w:t>-difluoro-4-phenoxy-1-butenyl]-3,5-dihydroxycyclopentyl]-5-heptenoate. The empirical formula of tafluprost is C</w:t>
      </w:r>
      <w:r w:rsidRPr="005B5A41">
        <w:rPr>
          <w:rFonts w:ascii="Arial" w:eastAsia="Times New Roman" w:hAnsi="Arial" w:cs="Times New Roman"/>
          <w:szCs w:val="20"/>
          <w:vertAlign w:val="subscript"/>
        </w:rPr>
        <w:t>25</w:t>
      </w:r>
      <w:r w:rsidRPr="0022257E">
        <w:rPr>
          <w:rFonts w:ascii="Arial" w:eastAsia="Times New Roman" w:hAnsi="Arial" w:cs="Times New Roman"/>
          <w:szCs w:val="20"/>
        </w:rPr>
        <w:t>H</w:t>
      </w:r>
      <w:r w:rsidRPr="005B5A41">
        <w:rPr>
          <w:rFonts w:ascii="Arial" w:eastAsia="Times New Roman" w:hAnsi="Arial" w:cs="Times New Roman"/>
          <w:szCs w:val="20"/>
          <w:vertAlign w:val="subscript"/>
        </w:rPr>
        <w:t>34</w:t>
      </w:r>
      <w:r w:rsidRPr="0022257E">
        <w:rPr>
          <w:rFonts w:ascii="Arial" w:eastAsia="Times New Roman" w:hAnsi="Arial" w:cs="Times New Roman"/>
          <w:szCs w:val="20"/>
        </w:rPr>
        <w:t>F</w:t>
      </w:r>
      <w:r w:rsidRPr="005B5A41">
        <w:rPr>
          <w:rFonts w:ascii="Arial" w:eastAsia="Times New Roman" w:hAnsi="Arial" w:cs="Times New Roman"/>
          <w:szCs w:val="20"/>
          <w:vertAlign w:val="subscript"/>
        </w:rPr>
        <w:t>2</w:t>
      </w:r>
      <w:r w:rsidRPr="0022257E">
        <w:rPr>
          <w:rFonts w:ascii="Arial" w:eastAsia="Times New Roman" w:hAnsi="Arial" w:cs="Times New Roman"/>
          <w:szCs w:val="20"/>
        </w:rPr>
        <w:t>O</w:t>
      </w:r>
      <w:r w:rsidRPr="005B5A41">
        <w:rPr>
          <w:rFonts w:ascii="Arial" w:eastAsia="Times New Roman" w:hAnsi="Arial" w:cs="Times New Roman"/>
          <w:szCs w:val="20"/>
          <w:vertAlign w:val="subscript"/>
        </w:rPr>
        <w:t>5</w:t>
      </w:r>
      <w:r w:rsidRPr="0022257E">
        <w:rPr>
          <w:rFonts w:ascii="Arial" w:eastAsia="Times New Roman" w:hAnsi="Arial" w:cs="Times New Roman"/>
          <w:szCs w:val="20"/>
        </w:rPr>
        <w:t xml:space="preserve"> and its molecular weight is 452.53.</w:t>
      </w:r>
    </w:p>
    <w:p w:rsidR="0022257E" w:rsidRPr="0022257E" w:rsidRDefault="0022257E" w:rsidP="0022257E">
      <w:pPr>
        <w:spacing w:after="60" w:line="240" w:lineRule="atLeast"/>
        <w:jc w:val="both"/>
        <w:rPr>
          <w:rFonts w:ascii="Arial" w:eastAsia="Times New Roman" w:hAnsi="Arial" w:cs="Times New Roman"/>
          <w:szCs w:val="20"/>
        </w:rPr>
      </w:pPr>
      <w:r w:rsidRPr="0022257E">
        <w:rPr>
          <w:rFonts w:ascii="Arial" w:eastAsia="Times New Roman" w:hAnsi="Arial" w:cs="Times New Roman"/>
          <w:szCs w:val="20"/>
        </w:rPr>
        <w:t>Tafluprost is a colo</w:t>
      </w:r>
      <w:r>
        <w:rPr>
          <w:rFonts w:ascii="Arial" w:eastAsia="Times New Roman" w:hAnsi="Arial" w:cs="Times New Roman"/>
          <w:szCs w:val="20"/>
        </w:rPr>
        <w:t>u</w:t>
      </w:r>
      <w:r w:rsidRPr="0022257E">
        <w:rPr>
          <w:rFonts w:ascii="Arial" w:eastAsia="Times New Roman" w:hAnsi="Arial" w:cs="Times New Roman"/>
          <w:szCs w:val="20"/>
        </w:rPr>
        <w:t>rless to light yellow viscous liquid that is practically insoluble in water.</w:t>
      </w:r>
    </w:p>
    <w:p w:rsidR="0022257E" w:rsidRPr="0022257E" w:rsidRDefault="0022257E" w:rsidP="0022257E">
      <w:pPr>
        <w:spacing w:after="60" w:line="240" w:lineRule="atLeast"/>
        <w:jc w:val="both"/>
        <w:rPr>
          <w:rFonts w:ascii="Arial" w:eastAsia="Times New Roman" w:hAnsi="Arial" w:cs="Times New Roman"/>
          <w:szCs w:val="20"/>
        </w:rPr>
      </w:pPr>
    </w:p>
    <w:p w:rsidR="005B5A41" w:rsidRPr="0022257E" w:rsidRDefault="005B5A41" w:rsidP="005B5A41">
      <w:pPr>
        <w:spacing w:before="120" w:after="60" w:line="240" w:lineRule="auto"/>
        <w:jc w:val="both"/>
        <w:rPr>
          <w:rFonts w:ascii="Arial" w:eastAsia="Times New Roman" w:hAnsi="Arial" w:cs="Times New Roman"/>
          <w:i/>
          <w:szCs w:val="20"/>
          <w:u w:val="single"/>
        </w:rPr>
      </w:pPr>
      <w:proofErr w:type="spellStart"/>
      <w:r w:rsidRPr="0022257E">
        <w:rPr>
          <w:rFonts w:ascii="Arial" w:eastAsia="Times New Roman" w:hAnsi="Arial" w:cs="Times New Roman"/>
          <w:i/>
          <w:szCs w:val="20"/>
          <w:u w:val="single"/>
        </w:rPr>
        <w:t>Timolol</w:t>
      </w:r>
      <w:proofErr w:type="spellEnd"/>
      <w:r w:rsidR="00187E18">
        <w:rPr>
          <w:rFonts w:ascii="Arial" w:eastAsia="Times New Roman" w:hAnsi="Arial" w:cs="Times New Roman"/>
          <w:i/>
          <w:szCs w:val="20"/>
          <w:u w:val="single"/>
        </w:rPr>
        <w:t xml:space="preserve"> maleate</w:t>
      </w:r>
    </w:p>
    <w:p w:rsidR="0022257E" w:rsidRPr="0022257E" w:rsidRDefault="0022257E" w:rsidP="005B5A41">
      <w:pPr>
        <w:spacing w:after="60" w:line="240" w:lineRule="atLeast"/>
        <w:jc w:val="both"/>
        <w:rPr>
          <w:rFonts w:ascii="Arial" w:eastAsia="Times New Roman" w:hAnsi="Arial" w:cs="Times New Roman"/>
          <w:szCs w:val="20"/>
        </w:rPr>
      </w:pPr>
      <w:r w:rsidRPr="0022257E">
        <w:rPr>
          <w:rFonts w:ascii="Arial" w:eastAsia="Times New Roman" w:hAnsi="Arial" w:cs="Times New Roman"/>
          <w:szCs w:val="20"/>
        </w:rPr>
        <w:lastRenderedPageBreak/>
        <w:t xml:space="preserve">Timolol maleate is a </w:t>
      </w:r>
      <w:r w:rsidR="005B5A41">
        <w:rPr>
          <w:rFonts w:ascii="Arial" w:eastAsia="Times New Roman" w:hAnsi="Arial" w:cs="Times New Roman"/>
          <w:szCs w:val="20"/>
        </w:rPr>
        <w:t>beta</w:t>
      </w:r>
      <w:r w:rsidR="005B5A41" w:rsidRPr="0022257E">
        <w:rPr>
          <w:rFonts w:ascii="Arial" w:eastAsia="Times New Roman" w:hAnsi="Arial" w:cs="Times New Roman"/>
          <w:szCs w:val="20"/>
        </w:rPr>
        <w:t>-</w:t>
      </w:r>
      <w:r w:rsidRPr="0022257E">
        <w:rPr>
          <w:rFonts w:ascii="Arial" w:eastAsia="Times New Roman" w:hAnsi="Arial" w:cs="Times New Roman"/>
          <w:szCs w:val="20"/>
        </w:rPr>
        <w:t>adrenergic receptor blocking agent. The chemical name is (S)-1-[(1</w:t>
      </w:r>
      <w:proofErr w:type="gramStart"/>
      <w:r w:rsidRPr="0022257E">
        <w:rPr>
          <w:rFonts w:ascii="Arial" w:eastAsia="Times New Roman" w:hAnsi="Arial" w:cs="Times New Roman"/>
          <w:szCs w:val="20"/>
        </w:rPr>
        <w:t>,1</w:t>
      </w:r>
      <w:proofErr w:type="gramEnd"/>
      <w:r w:rsidRPr="0022257E">
        <w:rPr>
          <w:rFonts w:ascii="Arial" w:eastAsia="Times New Roman" w:hAnsi="Arial" w:cs="Times New Roman"/>
          <w:szCs w:val="20"/>
        </w:rPr>
        <w:t xml:space="preserve">-dimethylethyl)amino]-3-[[4-(4-morpholinyl) -1,2,5- thiadiazol-3-yl] oxy]-2-propanol (Z)-2-butenedioate(1:1) (salt). Timolol maleate possesses an asymmetric carbon atom in the structure and is provided as the </w:t>
      </w:r>
      <w:proofErr w:type="spellStart"/>
      <w:r w:rsidRPr="0022257E">
        <w:rPr>
          <w:rFonts w:ascii="Arial" w:eastAsia="Times New Roman" w:hAnsi="Arial" w:cs="Times New Roman"/>
          <w:szCs w:val="20"/>
        </w:rPr>
        <w:t>levo</w:t>
      </w:r>
      <w:proofErr w:type="spellEnd"/>
      <w:r w:rsidRPr="0022257E">
        <w:rPr>
          <w:rFonts w:ascii="Arial" w:eastAsia="Times New Roman" w:hAnsi="Arial" w:cs="Times New Roman"/>
          <w:szCs w:val="20"/>
        </w:rPr>
        <w:t xml:space="preserve"> isomer. The empirical formula is C</w:t>
      </w:r>
      <w:r w:rsidRPr="0022257E">
        <w:rPr>
          <w:rFonts w:ascii="Arial" w:eastAsia="Times New Roman" w:hAnsi="Arial" w:cs="Times New Roman"/>
          <w:szCs w:val="20"/>
          <w:vertAlign w:val="subscript"/>
        </w:rPr>
        <w:t>13</w:t>
      </w:r>
      <w:r w:rsidRPr="0022257E">
        <w:rPr>
          <w:rFonts w:ascii="Arial" w:eastAsia="Times New Roman" w:hAnsi="Arial" w:cs="Times New Roman"/>
          <w:szCs w:val="20"/>
        </w:rPr>
        <w:t>H</w:t>
      </w:r>
      <w:r w:rsidRPr="0022257E">
        <w:rPr>
          <w:rFonts w:ascii="Arial" w:eastAsia="Times New Roman" w:hAnsi="Arial" w:cs="Times New Roman"/>
          <w:szCs w:val="20"/>
          <w:vertAlign w:val="subscript"/>
        </w:rPr>
        <w:t>24</w:t>
      </w:r>
      <w:r w:rsidRPr="0022257E">
        <w:rPr>
          <w:rFonts w:ascii="Arial" w:eastAsia="Times New Roman" w:hAnsi="Arial" w:cs="Times New Roman"/>
          <w:szCs w:val="20"/>
        </w:rPr>
        <w:t>N</w:t>
      </w:r>
      <w:r w:rsidRPr="0022257E">
        <w:rPr>
          <w:rFonts w:ascii="Arial" w:eastAsia="Times New Roman" w:hAnsi="Arial" w:cs="Times New Roman"/>
          <w:szCs w:val="20"/>
          <w:vertAlign w:val="subscript"/>
        </w:rPr>
        <w:t>4</w:t>
      </w:r>
      <w:r w:rsidRPr="0022257E">
        <w:rPr>
          <w:rFonts w:ascii="Arial" w:eastAsia="Times New Roman" w:hAnsi="Arial" w:cs="Times New Roman"/>
          <w:szCs w:val="20"/>
        </w:rPr>
        <w:t>0</w:t>
      </w:r>
      <w:r w:rsidRPr="0022257E">
        <w:rPr>
          <w:rFonts w:ascii="Arial" w:eastAsia="Times New Roman" w:hAnsi="Arial" w:cs="Times New Roman"/>
          <w:szCs w:val="20"/>
          <w:vertAlign w:val="subscript"/>
        </w:rPr>
        <w:t>3</w:t>
      </w:r>
      <w:r w:rsidRPr="0022257E">
        <w:rPr>
          <w:rFonts w:ascii="Arial" w:eastAsia="Times New Roman" w:hAnsi="Arial" w:cs="Times New Roman"/>
          <w:szCs w:val="20"/>
        </w:rPr>
        <w:t>S•C</w:t>
      </w:r>
      <w:r w:rsidRPr="0022257E">
        <w:rPr>
          <w:rFonts w:ascii="Arial" w:eastAsia="Times New Roman" w:hAnsi="Arial" w:cs="Times New Roman"/>
          <w:szCs w:val="20"/>
          <w:vertAlign w:val="subscript"/>
        </w:rPr>
        <w:t>4</w:t>
      </w:r>
      <w:r w:rsidRPr="0022257E">
        <w:rPr>
          <w:rFonts w:ascii="Arial" w:eastAsia="Times New Roman" w:hAnsi="Arial" w:cs="Times New Roman"/>
          <w:szCs w:val="20"/>
        </w:rPr>
        <w:t>H</w:t>
      </w:r>
      <w:r w:rsidRPr="0022257E">
        <w:rPr>
          <w:rFonts w:ascii="Arial" w:eastAsia="Times New Roman" w:hAnsi="Arial" w:cs="Times New Roman"/>
          <w:szCs w:val="20"/>
          <w:vertAlign w:val="subscript"/>
        </w:rPr>
        <w:t>4</w:t>
      </w:r>
      <w:r w:rsidRPr="0022257E">
        <w:rPr>
          <w:rFonts w:ascii="Arial" w:eastAsia="Times New Roman" w:hAnsi="Arial" w:cs="Times New Roman"/>
          <w:szCs w:val="20"/>
        </w:rPr>
        <w:t>0</w:t>
      </w:r>
      <w:r w:rsidRPr="0022257E">
        <w:rPr>
          <w:rFonts w:ascii="Arial" w:eastAsia="Times New Roman" w:hAnsi="Arial" w:cs="Times New Roman"/>
          <w:szCs w:val="20"/>
          <w:vertAlign w:val="subscript"/>
        </w:rPr>
        <w:t>4</w:t>
      </w:r>
      <w:r w:rsidR="000C58C6">
        <w:rPr>
          <w:rFonts w:ascii="Arial" w:eastAsia="Times New Roman" w:hAnsi="Arial" w:cs="Times New Roman"/>
          <w:szCs w:val="20"/>
        </w:rPr>
        <w:t>.</w:t>
      </w:r>
    </w:p>
    <w:p w:rsidR="0022257E" w:rsidRPr="0022257E" w:rsidRDefault="0022257E" w:rsidP="0022257E">
      <w:pPr>
        <w:spacing w:after="60" w:line="240" w:lineRule="atLeast"/>
        <w:jc w:val="both"/>
        <w:rPr>
          <w:rFonts w:ascii="Arial" w:eastAsia="Times New Roman" w:hAnsi="Arial" w:cs="Times New Roman"/>
          <w:szCs w:val="20"/>
        </w:rPr>
      </w:pPr>
      <w:r w:rsidRPr="0022257E">
        <w:rPr>
          <w:rFonts w:ascii="Arial" w:eastAsia="Times New Roman" w:hAnsi="Arial" w:cs="Times New Roman"/>
          <w:szCs w:val="20"/>
        </w:rPr>
        <w:t xml:space="preserve">Timolol maleate has a molecular weight of 432.50. It is a white, </w:t>
      </w:r>
      <w:proofErr w:type="spellStart"/>
      <w:r w:rsidRPr="0022257E">
        <w:rPr>
          <w:rFonts w:ascii="Arial" w:eastAsia="Times New Roman" w:hAnsi="Arial" w:cs="Times New Roman"/>
          <w:szCs w:val="20"/>
        </w:rPr>
        <w:t>odorless</w:t>
      </w:r>
      <w:proofErr w:type="spellEnd"/>
      <w:r w:rsidRPr="0022257E">
        <w:rPr>
          <w:rFonts w:ascii="Arial" w:eastAsia="Times New Roman" w:hAnsi="Arial" w:cs="Times New Roman"/>
          <w:szCs w:val="20"/>
        </w:rPr>
        <w:t xml:space="preserve">, crystalline powder which is soluble in water, methanol, and alcohol. </w:t>
      </w:r>
      <w:r w:rsidR="002279BD">
        <w:rPr>
          <w:rFonts w:ascii="Arial" w:eastAsia="Times New Roman" w:hAnsi="Arial" w:cs="Times New Roman"/>
          <w:szCs w:val="20"/>
        </w:rPr>
        <w:t>Timolol maleate</w:t>
      </w:r>
      <w:r w:rsidR="002279BD" w:rsidRPr="0022257E">
        <w:rPr>
          <w:rFonts w:ascii="Arial" w:eastAsia="Times New Roman" w:hAnsi="Arial" w:cs="Times New Roman"/>
          <w:szCs w:val="20"/>
        </w:rPr>
        <w:t xml:space="preserve"> </w:t>
      </w:r>
      <w:r w:rsidRPr="0022257E">
        <w:rPr>
          <w:rFonts w:ascii="Arial" w:eastAsia="Times New Roman" w:hAnsi="Arial" w:cs="Times New Roman"/>
          <w:szCs w:val="20"/>
        </w:rPr>
        <w:t>is stable at room temperature.</w:t>
      </w:r>
    </w:p>
    <w:p w:rsidR="005B5A41" w:rsidRPr="005B5A41" w:rsidRDefault="005B5A41" w:rsidP="005B5A41">
      <w:pPr>
        <w:keepNext/>
        <w:spacing w:before="240" w:after="120" w:line="240" w:lineRule="auto"/>
        <w:jc w:val="both"/>
        <w:outlineLvl w:val="1"/>
        <w:rPr>
          <w:rFonts w:ascii="Arial" w:eastAsia="Times New Roman" w:hAnsi="Arial" w:cs="Arial"/>
          <w:b/>
          <w:bCs/>
          <w:iCs/>
          <w:lang w:val="en-US"/>
        </w:rPr>
      </w:pPr>
      <w:r w:rsidRPr="005B5A41">
        <w:rPr>
          <w:rFonts w:ascii="Arial" w:eastAsia="Times New Roman" w:hAnsi="Arial" w:cs="Arial"/>
          <w:b/>
          <w:bCs/>
          <w:iCs/>
          <w:lang w:val="en-US"/>
        </w:rPr>
        <w:t>Qualitative and Quantitative Composition</w:t>
      </w:r>
    </w:p>
    <w:p w:rsidR="005B5A41" w:rsidRPr="0022257E" w:rsidRDefault="005B5A41" w:rsidP="005B5A41">
      <w:pPr>
        <w:spacing w:after="60" w:line="240" w:lineRule="atLeast"/>
        <w:jc w:val="both"/>
        <w:rPr>
          <w:rFonts w:ascii="Arial" w:eastAsia="Times New Roman" w:hAnsi="Arial" w:cs="Times New Roman"/>
          <w:szCs w:val="20"/>
        </w:rPr>
      </w:pPr>
      <w:r w:rsidRPr="0022257E">
        <w:rPr>
          <w:rFonts w:ascii="Arial" w:eastAsia="Times New Roman" w:hAnsi="Arial" w:cs="Times New Roman"/>
          <w:szCs w:val="20"/>
        </w:rPr>
        <w:t>One m</w:t>
      </w:r>
      <w:r>
        <w:rPr>
          <w:rFonts w:ascii="Arial" w:eastAsia="Times New Roman" w:hAnsi="Arial" w:cs="Times New Roman"/>
          <w:szCs w:val="20"/>
        </w:rPr>
        <w:t>il</w:t>
      </w:r>
      <w:r w:rsidRPr="0022257E">
        <w:rPr>
          <w:rFonts w:ascii="Arial" w:eastAsia="Times New Roman" w:hAnsi="Arial" w:cs="Times New Roman"/>
          <w:szCs w:val="20"/>
        </w:rPr>
        <w:t>l</w:t>
      </w:r>
      <w:r>
        <w:rPr>
          <w:rFonts w:ascii="Arial" w:eastAsia="Times New Roman" w:hAnsi="Arial" w:cs="Times New Roman"/>
          <w:szCs w:val="20"/>
        </w:rPr>
        <w:t>ilitre</w:t>
      </w:r>
      <w:r w:rsidRPr="0022257E">
        <w:rPr>
          <w:rFonts w:ascii="Arial" w:eastAsia="Times New Roman" w:hAnsi="Arial" w:cs="Times New Roman"/>
          <w:szCs w:val="20"/>
        </w:rPr>
        <w:t xml:space="preserve"> solution contains: tafluprost 15 micrograms and timolol (as maleate) 5 mg.</w:t>
      </w:r>
    </w:p>
    <w:p w:rsidR="0022257E" w:rsidRPr="0022257E" w:rsidRDefault="0022257E" w:rsidP="0022257E">
      <w:pPr>
        <w:pStyle w:val="Heading2"/>
      </w:pPr>
      <w:r w:rsidRPr="0022257E">
        <w:t>List of excipients</w:t>
      </w:r>
    </w:p>
    <w:p w:rsidR="0022257E" w:rsidRPr="0022257E" w:rsidRDefault="0022257E" w:rsidP="0022257E">
      <w:pPr>
        <w:spacing w:after="60" w:line="240" w:lineRule="atLeast"/>
        <w:jc w:val="both"/>
        <w:rPr>
          <w:rFonts w:ascii="Arial" w:eastAsia="Times New Roman" w:hAnsi="Arial" w:cs="Times New Roman"/>
          <w:szCs w:val="20"/>
        </w:rPr>
      </w:pPr>
      <w:r w:rsidRPr="0022257E">
        <w:rPr>
          <w:rFonts w:ascii="Arial" w:eastAsia="Times New Roman" w:hAnsi="Arial" w:cs="Times New Roman"/>
          <w:szCs w:val="20"/>
        </w:rPr>
        <w:t>Glycerol</w:t>
      </w:r>
      <w:r w:rsidR="005B5A41">
        <w:rPr>
          <w:rFonts w:ascii="Arial" w:eastAsia="Times New Roman" w:hAnsi="Arial" w:cs="Times New Roman"/>
          <w:szCs w:val="20"/>
        </w:rPr>
        <w:t xml:space="preserve">, </w:t>
      </w:r>
      <w:r w:rsidRPr="0022257E">
        <w:rPr>
          <w:rFonts w:ascii="Arial" w:eastAsia="Times New Roman" w:hAnsi="Arial" w:cs="Times New Roman"/>
          <w:szCs w:val="20"/>
        </w:rPr>
        <w:t xml:space="preserve">Disodium phosphate </w:t>
      </w:r>
      <w:proofErr w:type="spellStart"/>
      <w:r w:rsidRPr="0022257E">
        <w:rPr>
          <w:rFonts w:ascii="Arial" w:eastAsia="Times New Roman" w:hAnsi="Arial" w:cs="Times New Roman"/>
          <w:szCs w:val="20"/>
        </w:rPr>
        <w:t>dodecahydrate</w:t>
      </w:r>
      <w:proofErr w:type="spellEnd"/>
      <w:r w:rsidR="005B5A41">
        <w:rPr>
          <w:rFonts w:ascii="Arial" w:eastAsia="Times New Roman" w:hAnsi="Arial" w:cs="Times New Roman"/>
          <w:szCs w:val="20"/>
        </w:rPr>
        <w:t xml:space="preserve">, </w:t>
      </w:r>
      <w:r w:rsidRPr="0022257E">
        <w:rPr>
          <w:rFonts w:ascii="Arial" w:eastAsia="Times New Roman" w:hAnsi="Arial" w:cs="Times New Roman"/>
          <w:szCs w:val="20"/>
        </w:rPr>
        <w:t xml:space="preserve">Disodium </w:t>
      </w:r>
      <w:proofErr w:type="spellStart"/>
      <w:r w:rsidRPr="0022257E">
        <w:rPr>
          <w:rFonts w:ascii="Arial" w:eastAsia="Times New Roman" w:hAnsi="Arial" w:cs="Times New Roman"/>
          <w:szCs w:val="20"/>
        </w:rPr>
        <w:t>edetate</w:t>
      </w:r>
      <w:proofErr w:type="spellEnd"/>
      <w:r w:rsidR="005B5A41">
        <w:rPr>
          <w:rFonts w:ascii="Arial" w:eastAsia="Times New Roman" w:hAnsi="Arial" w:cs="Times New Roman"/>
          <w:szCs w:val="20"/>
        </w:rPr>
        <w:t xml:space="preserve">, </w:t>
      </w:r>
      <w:proofErr w:type="spellStart"/>
      <w:r w:rsidRPr="0022257E">
        <w:rPr>
          <w:rFonts w:ascii="Arial" w:eastAsia="Times New Roman" w:hAnsi="Arial" w:cs="Times New Roman"/>
          <w:szCs w:val="20"/>
        </w:rPr>
        <w:t>Polysorbate</w:t>
      </w:r>
      <w:proofErr w:type="spellEnd"/>
      <w:r w:rsidRPr="0022257E">
        <w:rPr>
          <w:rFonts w:ascii="Arial" w:eastAsia="Times New Roman" w:hAnsi="Arial" w:cs="Times New Roman"/>
          <w:szCs w:val="20"/>
        </w:rPr>
        <w:t> 80</w:t>
      </w:r>
      <w:r w:rsidR="005B5A41">
        <w:rPr>
          <w:rFonts w:ascii="Arial" w:eastAsia="Times New Roman" w:hAnsi="Arial" w:cs="Times New Roman"/>
          <w:szCs w:val="20"/>
        </w:rPr>
        <w:t xml:space="preserve">, </w:t>
      </w:r>
      <w:r w:rsidRPr="0022257E">
        <w:rPr>
          <w:rFonts w:ascii="Arial" w:eastAsia="Times New Roman" w:hAnsi="Arial" w:cs="Times New Roman"/>
          <w:szCs w:val="20"/>
        </w:rPr>
        <w:t>Hydrochloric acid and/or sodium hydroxide for pH adjustment</w:t>
      </w:r>
      <w:r w:rsidR="005B5A41">
        <w:rPr>
          <w:rFonts w:ascii="Arial" w:eastAsia="Times New Roman" w:hAnsi="Arial" w:cs="Times New Roman"/>
          <w:szCs w:val="20"/>
        </w:rPr>
        <w:t xml:space="preserve">, </w:t>
      </w:r>
      <w:r>
        <w:rPr>
          <w:rFonts w:ascii="Arial" w:eastAsia="Times New Roman" w:hAnsi="Arial" w:cs="Times New Roman"/>
          <w:szCs w:val="20"/>
        </w:rPr>
        <w:t>Water for injections</w:t>
      </w:r>
      <w:r w:rsidR="00187E18">
        <w:rPr>
          <w:rFonts w:ascii="Arial" w:eastAsia="Times New Roman" w:hAnsi="Arial" w:cs="Times New Roman"/>
          <w:szCs w:val="20"/>
        </w:rPr>
        <w:t>.</w:t>
      </w:r>
    </w:p>
    <w:p w:rsidR="00A1638C" w:rsidRP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Pharmacology</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TAPTIQOM </w:t>
      </w:r>
      <w:r w:rsidR="00187E18">
        <w:rPr>
          <w:rFonts w:ascii="Arial" w:eastAsia="Times New Roman" w:hAnsi="Arial" w:cs="Times New Roman"/>
          <w:szCs w:val="20"/>
        </w:rPr>
        <w:t xml:space="preserve">15/5 </w:t>
      </w:r>
      <w:r w:rsidRPr="005E118E">
        <w:rPr>
          <w:rFonts w:ascii="Arial" w:eastAsia="Times New Roman" w:hAnsi="Arial" w:cs="Times New Roman"/>
          <w:szCs w:val="20"/>
        </w:rPr>
        <w:t>is a fixed combin</w:t>
      </w:r>
      <w:r w:rsidR="007638C6">
        <w:rPr>
          <w:rFonts w:ascii="Arial" w:eastAsia="Times New Roman" w:hAnsi="Arial" w:cs="Times New Roman"/>
          <w:szCs w:val="20"/>
        </w:rPr>
        <w:t>ation of two active ingredients:</w:t>
      </w:r>
      <w:r w:rsidRPr="005E118E">
        <w:rPr>
          <w:rFonts w:ascii="Arial" w:eastAsia="Times New Roman" w:hAnsi="Arial" w:cs="Times New Roman"/>
          <w:szCs w:val="20"/>
        </w:rPr>
        <w:t xml:space="preserve"> tafluprost, a prostaglandin analogue, and timolol maleate, a beta blocker. These two components of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lower intraocular pressure (IOP) by complementary mechanisms of action and the combined effect results in additional IOP reduction compared to either compound alone.</w:t>
      </w:r>
    </w:p>
    <w:p w:rsidR="005E118E" w:rsidRPr="005E118E" w:rsidRDefault="005E118E" w:rsidP="005E118E">
      <w:pPr>
        <w:pStyle w:val="Heading2"/>
      </w:pPr>
      <w:bookmarkStart w:id="0" w:name="_Toc364317882"/>
      <w:r w:rsidRPr="005E118E">
        <w:t>Mechanism of Action</w:t>
      </w:r>
      <w:bookmarkEnd w:id="0"/>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Tafluprost</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Tafluprost is a fluorinated analogue of prostaglandin F2α. Tafluprost acid, the biologically active metabolite of tafluprost, is a highly potent and selective agonist of the human </w:t>
      </w:r>
      <w:proofErr w:type="spellStart"/>
      <w:r w:rsidRPr="005E118E">
        <w:rPr>
          <w:rFonts w:ascii="Arial" w:eastAsia="Times New Roman" w:hAnsi="Arial" w:cs="Times New Roman"/>
          <w:szCs w:val="20"/>
        </w:rPr>
        <w:t>prostanoid</w:t>
      </w:r>
      <w:proofErr w:type="spellEnd"/>
      <w:r w:rsidRPr="005E118E">
        <w:rPr>
          <w:rFonts w:ascii="Arial" w:eastAsia="Times New Roman" w:hAnsi="Arial" w:cs="Times New Roman"/>
          <w:szCs w:val="20"/>
        </w:rPr>
        <w:t xml:space="preserve"> FP receptor. </w:t>
      </w: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xml:space="preserve"> acid has</w:t>
      </w:r>
      <w:r w:rsidR="00F714AC">
        <w:rPr>
          <w:rFonts w:ascii="Arial" w:eastAsia="Times New Roman" w:hAnsi="Arial" w:cs="Times New Roman"/>
          <w:szCs w:val="20"/>
        </w:rPr>
        <w:t xml:space="preserve"> </w:t>
      </w:r>
      <w:r w:rsidR="00F714AC" w:rsidRPr="00F714AC">
        <w:rPr>
          <w:rFonts w:ascii="Arial" w:eastAsia="Times New Roman" w:hAnsi="Arial" w:cs="Times New Roman"/>
          <w:szCs w:val="20"/>
        </w:rPr>
        <w:t>sub-</w:t>
      </w:r>
      <w:proofErr w:type="spellStart"/>
      <w:r w:rsidR="00F714AC" w:rsidRPr="00F714AC">
        <w:rPr>
          <w:rFonts w:ascii="Arial" w:eastAsia="Times New Roman" w:hAnsi="Arial" w:cs="Times New Roman"/>
          <w:szCs w:val="20"/>
        </w:rPr>
        <w:t>nanomolar</w:t>
      </w:r>
      <w:proofErr w:type="spellEnd"/>
      <w:r w:rsidR="00F714AC" w:rsidRPr="00F714AC">
        <w:rPr>
          <w:rFonts w:ascii="Arial" w:eastAsia="Times New Roman" w:hAnsi="Arial" w:cs="Times New Roman"/>
          <w:szCs w:val="20"/>
        </w:rPr>
        <w:t xml:space="preserve"> affinity for the FP receptor (K</w:t>
      </w:r>
      <w:r w:rsidR="00F714AC" w:rsidRPr="00187E18">
        <w:rPr>
          <w:rFonts w:ascii="Arial" w:eastAsia="Times New Roman" w:hAnsi="Arial" w:cs="Times New Roman"/>
          <w:szCs w:val="20"/>
          <w:vertAlign w:val="subscript"/>
        </w:rPr>
        <w:t>i</w:t>
      </w:r>
      <w:r w:rsidR="00F714AC" w:rsidRPr="00F714AC">
        <w:rPr>
          <w:rFonts w:ascii="Arial" w:eastAsia="Times New Roman" w:hAnsi="Arial" w:cs="Times New Roman"/>
          <w:szCs w:val="20"/>
        </w:rPr>
        <w:t xml:space="preserve">, 0.4 </w:t>
      </w:r>
      <w:proofErr w:type="spellStart"/>
      <w:r w:rsidR="00F714AC" w:rsidRPr="00F714AC">
        <w:rPr>
          <w:rFonts w:ascii="Arial" w:eastAsia="Times New Roman" w:hAnsi="Arial" w:cs="Times New Roman"/>
          <w:szCs w:val="20"/>
        </w:rPr>
        <w:t>nM</w:t>
      </w:r>
      <w:proofErr w:type="spellEnd"/>
      <w:r w:rsidR="00F714AC" w:rsidRPr="00F714AC">
        <w:rPr>
          <w:rFonts w:ascii="Arial" w:eastAsia="Times New Roman" w:hAnsi="Arial" w:cs="Times New Roman"/>
          <w:szCs w:val="20"/>
        </w:rPr>
        <w:t>)</w:t>
      </w:r>
      <w:r w:rsidR="00F714AC">
        <w:rPr>
          <w:rFonts w:ascii="Arial" w:eastAsia="Times New Roman" w:hAnsi="Arial" w:cs="Times New Roman"/>
          <w:szCs w:val="20"/>
        </w:rPr>
        <w:t>,</w:t>
      </w:r>
      <w:r w:rsidRPr="005E118E">
        <w:rPr>
          <w:rFonts w:ascii="Arial" w:eastAsia="Times New Roman" w:hAnsi="Arial" w:cs="Times New Roman"/>
          <w:szCs w:val="20"/>
        </w:rPr>
        <w:t xml:space="preserve"> 12-fold higher than</w:t>
      </w:r>
      <w:r w:rsidR="00F714AC">
        <w:rPr>
          <w:rFonts w:ascii="Arial" w:eastAsia="Times New Roman" w:hAnsi="Arial" w:cs="Times New Roman"/>
          <w:szCs w:val="20"/>
        </w:rPr>
        <w:t xml:space="preserve"> that of</w:t>
      </w:r>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latanoprost</w:t>
      </w:r>
      <w:proofErr w:type="spellEnd"/>
      <w:r w:rsidR="00F714AC">
        <w:rPr>
          <w:rFonts w:ascii="Arial" w:eastAsia="Times New Roman" w:hAnsi="Arial" w:cs="Times New Roman"/>
          <w:szCs w:val="20"/>
        </w:rPr>
        <w:t xml:space="preserve"> acid</w:t>
      </w:r>
      <w:r w:rsidRPr="005E118E">
        <w:rPr>
          <w:rFonts w:ascii="Arial" w:eastAsia="Times New Roman" w:hAnsi="Arial" w:cs="Times New Roman"/>
          <w:szCs w:val="20"/>
        </w:rPr>
        <w:t>.</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Reduction of the intraocular pressure in humans starts about 2 to 4 hours after administration and maximum effect is reached 12 hours after instillation. The effect is maintained for at least 24 hours.</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Pharmacodynamic studies in monkeys indicate that tafluprost reduces intraocular pressure by increasing the </w:t>
      </w:r>
      <w:proofErr w:type="spellStart"/>
      <w:r w:rsidRPr="005E118E">
        <w:rPr>
          <w:rFonts w:ascii="Arial" w:eastAsia="Times New Roman" w:hAnsi="Arial" w:cs="Times New Roman"/>
          <w:szCs w:val="20"/>
        </w:rPr>
        <w:t>uveoscleral</w:t>
      </w:r>
      <w:proofErr w:type="spellEnd"/>
      <w:r w:rsidRPr="005E118E">
        <w:rPr>
          <w:rFonts w:ascii="Arial" w:eastAsia="Times New Roman" w:hAnsi="Arial" w:cs="Times New Roman"/>
          <w:szCs w:val="20"/>
        </w:rPr>
        <w:t xml:space="preserve"> outflow of aqueous humo</w:t>
      </w:r>
      <w:r w:rsidR="00EA023C">
        <w:rPr>
          <w:rFonts w:ascii="Arial" w:eastAsia="Times New Roman" w:hAnsi="Arial" w:cs="Times New Roman"/>
          <w:szCs w:val="20"/>
        </w:rPr>
        <w:t>u</w:t>
      </w:r>
      <w:r w:rsidRPr="005E118E">
        <w:rPr>
          <w:rFonts w:ascii="Arial" w:eastAsia="Times New Roman" w:hAnsi="Arial" w:cs="Times New Roman"/>
          <w:szCs w:val="20"/>
        </w:rPr>
        <w:t>r.</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Timolol maleate</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Timolol maleate is a nonselective </w:t>
      </w:r>
      <w:r w:rsidRPr="005E118E">
        <w:rPr>
          <w:rFonts w:ascii="Arial" w:eastAsia="Times New Roman" w:hAnsi="Arial" w:cs="Times New Roman"/>
          <w:szCs w:val="20"/>
        </w:rPr>
        <w:sym w:font="Symbol" w:char="F062"/>
      </w:r>
      <w:r w:rsidRPr="005E118E">
        <w:rPr>
          <w:rFonts w:ascii="Arial" w:eastAsia="Times New Roman" w:hAnsi="Arial" w:cs="Times New Roman"/>
          <w:szCs w:val="20"/>
        </w:rPr>
        <w:t>-adrenergic receptor blocking agent that does not have significant intrinsic sympathomimetic, direct myocardial depressant, or local an</w:t>
      </w:r>
      <w:r w:rsidR="00187E18">
        <w:rPr>
          <w:rFonts w:ascii="Arial" w:eastAsia="Times New Roman" w:hAnsi="Arial" w:cs="Times New Roman"/>
          <w:szCs w:val="20"/>
        </w:rPr>
        <w:t>a</w:t>
      </w:r>
      <w:r w:rsidRPr="005E118E">
        <w:rPr>
          <w:rFonts w:ascii="Arial" w:eastAsia="Times New Roman" w:hAnsi="Arial" w:cs="Times New Roman"/>
          <w:szCs w:val="20"/>
        </w:rPr>
        <w:t>esthetic (membrane-stabili</w:t>
      </w:r>
      <w:r w:rsidR="00A53483">
        <w:rPr>
          <w:rFonts w:ascii="Arial" w:eastAsia="Times New Roman" w:hAnsi="Arial" w:cs="Times New Roman"/>
          <w:szCs w:val="20"/>
        </w:rPr>
        <w:t>s</w:t>
      </w:r>
      <w:r w:rsidRPr="005E118E">
        <w:rPr>
          <w:rFonts w:ascii="Arial" w:eastAsia="Times New Roman" w:hAnsi="Arial" w:cs="Times New Roman"/>
          <w:szCs w:val="20"/>
        </w:rPr>
        <w:t xml:space="preserve">ing) activity. Timolol maleate combines reversibly with a part of the cell membrane, the </w:t>
      </w:r>
      <w:r w:rsidRPr="005E118E">
        <w:rPr>
          <w:rFonts w:ascii="Arial" w:eastAsia="Times New Roman" w:hAnsi="Arial" w:cs="Times New Roman"/>
          <w:szCs w:val="20"/>
        </w:rPr>
        <w:sym w:font="Symbol" w:char="F062"/>
      </w:r>
      <w:r w:rsidRPr="005E118E">
        <w:rPr>
          <w:rFonts w:ascii="Arial" w:eastAsia="Times New Roman" w:hAnsi="Arial" w:cs="Times New Roman"/>
          <w:szCs w:val="20"/>
        </w:rPr>
        <w:t xml:space="preserve">-adrenergic receptor, and thus inhibits the usual biologic response that would occur with stimulation of that receptor. This specific competitive antagonism blocks stimulation of the </w:t>
      </w:r>
      <w:r w:rsidRPr="005E118E">
        <w:rPr>
          <w:rFonts w:ascii="Arial" w:eastAsia="Times New Roman" w:hAnsi="Arial" w:cs="Times New Roman"/>
          <w:szCs w:val="20"/>
        </w:rPr>
        <w:sym w:font="Symbol" w:char="F062"/>
      </w:r>
      <w:r w:rsidRPr="005E118E">
        <w:rPr>
          <w:rFonts w:ascii="Arial" w:eastAsia="Times New Roman" w:hAnsi="Arial" w:cs="Times New Roman"/>
          <w:szCs w:val="20"/>
        </w:rPr>
        <w:t xml:space="preserve">-adrenergic receptors by </w:t>
      </w:r>
      <w:proofErr w:type="spellStart"/>
      <w:r w:rsidRPr="005E118E">
        <w:rPr>
          <w:rFonts w:ascii="Arial" w:eastAsia="Times New Roman" w:hAnsi="Arial" w:cs="Times New Roman"/>
          <w:szCs w:val="20"/>
        </w:rPr>
        <w:t>catecholamines</w:t>
      </w:r>
      <w:proofErr w:type="spellEnd"/>
      <w:r w:rsidRPr="005E118E">
        <w:rPr>
          <w:rFonts w:ascii="Arial" w:eastAsia="Times New Roman" w:hAnsi="Arial" w:cs="Times New Roman"/>
          <w:szCs w:val="20"/>
        </w:rPr>
        <w:t xml:space="preserve"> having </w:t>
      </w:r>
      <w:r w:rsidRPr="005E118E">
        <w:rPr>
          <w:rFonts w:ascii="Arial" w:eastAsia="Times New Roman" w:hAnsi="Arial" w:cs="Times New Roman"/>
          <w:szCs w:val="20"/>
        </w:rPr>
        <w:sym w:font="Symbol" w:char="F062"/>
      </w:r>
      <w:r w:rsidRPr="005E118E">
        <w:rPr>
          <w:rFonts w:ascii="Arial" w:eastAsia="Times New Roman" w:hAnsi="Arial" w:cs="Times New Roman"/>
          <w:szCs w:val="20"/>
        </w:rPr>
        <w:t>-adrenergic stimulating (agonist) activity, whether these originate from an endogenous or exogenous source. Reversal of this blockade can be accomplished by increasing the concentration of the agonist, which will restore the usual biologic response.</w:t>
      </w:r>
    </w:p>
    <w:p w:rsidR="005E118E" w:rsidRPr="005E118E" w:rsidRDefault="00F714AC" w:rsidP="005E118E">
      <w:pPr>
        <w:spacing w:after="60" w:line="240" w:lineRule="atLeast"/>
        <w:jc w:val="both"/>
        <w:rPr>
          <w:rFonts w:ascii="Arial" w:eastAsia="Times New Roman" w:hAnsi="Arial" w:cs="Times New Roman"/>
          <w:szCs w:val="20"/>
        </w:rPr>
      </w:pPr>
      <w:r w:rsidRPr="00F714AC">
        <w:rPr>
          <w:rFonts w:ascii="Arial" w:eastAsia="Times New Roman" w:hAnsi="Arial" w:cs="Times New Roman"/>
          <w:szCs w:val="20"/>
        </w:rPr>
        <w:t>The precise mechanism of action of timolol in lowering intraocular pressure is not clearly established at this time.</w:t>
      </w:r>
      <w:r>
        <w:rPr>
          <w:rFonts w:ascii="Arial" w:eastAsia="Times New Roman" w:hAnsi="Arial" w:cs="Times New Roman"/>
          <w:szCs w:val="20"/>
        </w:rPr>
        <w:t xml:space="preserve"> </w:t>
      </w:r>
      <w:r w:rsidR="005E118E" w:rsidRPr="005E118E">
        <w:rPr>
          <w:rFonts w:ascii="Arial" w:eastAsia="Times New Roman" w:hAnsi="Arial" w:cs="Times New Roman"/>
          <w:szCs w:val="20"/>
        </w:rPr>
        <w:t xml:space="preserve">Pharmacodynamic studies in rabbits and monkeys indicate that timolol </w:t>
      </w:r>
      <w:r w:rsidR="007A2F14">
        <w:rPr>
          <w:rFonts w:ascii="Arial" w:eastAsia="Times New Roman" w:hAnsi="Arial" w:cs="Times New Roman"/>
          <w:szCs w:val="20"/>
        </w:rPr>
        <w:t xml:space="preserve">mainly </w:t>
      </w:r>
      <w:r w:rsidR="005E118E" w:rsidRPr="005E118E">
        <w:rPr>
          <w:rFonts w:ascii="Arial" w:eastAsia="Times New Roman" w:hAnsi="Arial" w:cs="Times New Roman"/>
          <w:szCs w:val="20"/>
        </w:rPr>
        <w:t>reduces intraocular pressure by reducing the formation of aqueous humo</w:t>
      </w:r>
      <w:r w:rsidR="0005286A">
        <w:rPr>
          <w:rFonts w:ascii="Arial" w:eastAsia="Times New Roman" w:hAnsi="Arial" w:cs="Times New Roman"/>
          <w:szCs w:val="20"/>
        </w:rPr>
        <w:t>u</w:t>
      </w:r>
      <w:r w:rsidR="005E118E" w:rsidRPr="005E118E">
        <w:rPr>
          <w:rFonts w:ascii="Arial" w:eastAsia="Times New Roman" w:hAnsi="Arial" w:cs="Times New Roman"/>
          <w:szCs w:val="20"/>
        </w:rPr>
        <w:t>r</w:t>
      </w:r>
      <w:r w:rsidR="0005286A">
        <w:rPr>
          <w:rFonts w:ascii="Arial" w:eastAsia="Times New Roman" w:hAnsi="Arial" w:cs="Times New Roman"/>
          <w:szCs w:val="20"/>
        </w:rPr>
        <w:t>.</w:t>
      </w:r>
    </w:p>
    <w:p w:rsidR="007638C6" w:rsidRDefault="007638C6">
      <w:pPr>
        <w:rPr>
          <w:rFonts w:ascii="Arial" w:eastAsia="Times New Roman" w:hAnsi="Arial" w:cs="Arial"/>
          <w:b/>
          <w:bCs/>
          <w:iCs/>
          <w:lang w:val="en-US"/>
        </w:rPr>
      </w:pPr>
      <w:bookmarkStart w:id="1" w:name="_Toc364317883"/>
      <w:r>
        <w:br w:type="page"/>
      </w:r>
    </w:p>
    <w:p w:rsidR="005E118E" w:rsidRPr="005E118E" w:rsidRDefault="005E118E" w:rsidP="005E118E">
      <w:pPr>
        <w:pStyle w:val="Heading2"/>
      </w:pPr>
      <w:r w:rsidRPr="005E118E">
        <w:lastRenderedPageBreak/>
        <w:t>Pharmacodynamics</w:t>
      </w:r>
      <w:bookmarkEnd w:id="1"/>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Tafluprost</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Tafluprost in clinical doses has not been found to have any significant pharmacological effects on the cardiovascular system.</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Timolol maleate</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Beta-adrenergic receptor blockade reduces cardiac output in both healthy subjects and patients with heart disease. In patients with severe impairment of myocardial function </w:t>
      </w:r>
      <w:r w:rsidR="00E16DC8">
        <w:rPr>
          <w:rFonts w:ascii="Arial" w:eastAsia="Times New Roman" w:hAnsi="Arial" w:cs="Times New Roman"/>
          <w:szCs w:val="20"/>
        </w:rPr>
        <w:t>beta</w:t>
      </w:r>
      <w:r w:rsidR="00E16DC8" w:rsidRPr="005E118E">
        <w:rPr>
          <w:rFonts w:ascii="Arial" w:eastAsia="Times New Roman" w:hAnsi="Arial" w:cs="Times New Roman"/>
          <w:szCs w:val="20"/>
        </w:rPr>
        <w:t>-</w:t>
      </w:r>
      <w:r w:rsidRPr="005E118E">
        <w:rPr>
          <w:rFonts w:ascii="Arial" w:eastAsia="Times New Roman" w:hAnsi="Arial" w:cs="Times New Roman"/>
          <w:szCs w:val="20"/>
        </w:rPr>
        <w:t>adrenergic receptor blockade may inhibit the stimulatory effect of the sympathetic nervous system necessary to maintain adequate cardiac function.</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Beta-adrenergic receptor blockade in the bronchi and bronchioles results in increased airway resistance from unopposed parasympathetic activity. Such an effect in patients with asthma or other </w:t>
      </w:r>
      <w:proofErr w:type="spellStart"/>
      <w:r w:rsidRPr="005E118E">
        <w:rPr>
          <w:rFonts w:ascii="Arial" w:eastAsia="Times New Roman" w:hAnsi="Arial" w:cs="Times New Roman"/>
          <w:szCs w:val="20"/>
        </w:rPr>
        <w:t>bronchospastic</w:t>
      </w:r>
      <w:proofErr w:type="spellEnd"/>
      <w:r w:rsidRPr="005E118E">
        <w:rPr>
          <w:rFonts w:ascii="Arial" w:eastAsia="Times New Roman" w:hAnsi="Arial" w:cs="Times New Roman"/>
          <w:szCs w:val="20"/>
        </w:rPr>
        <w:t xml:space="preserve"> conditions is potentially dangerous.</w:t>
      </w:r>
    </w:p>
    <w:p w:rsidR="005E118E" w:rsidRPr="005E118E" w:rsidRDefault="005E118E" w:rsidP="005E118E">
      <w:pPr>
        <w:pStyle w:val="Heading2"/>
      </w:pPr>
      <w:r w:rsidRPr="005E118E">
        <w:t xml:space="preserve">Pharmacokinetics </w:t>
      </w:r>
    </w:p>
    <w:p w:rsidR="005E118E" w:rsidRPr="005E118E" w:rsidRDefault="005E118E" w:rsidP="005E118E">
      <w:pPr>
        <w:pStyle w:val="Body"/>
        <w:spacing w:before="240" w:after="120"/>
        <w:ind w:firstLine="0"/>
        <w:rPr>
          <w:rFonts w:cs="Arial"/>
          <w:b/>
          <w:sz w:val="22"/>
        </w:rPr>
      </w:pPr>
      <w:r w:rsidRPr="005E118E">
        <w:rPr>
          <w:rFonts w:cs="Arial"/>
          <w:b/>
          <w:sz w:val="22"/>
        </w:rPr>
        <w:t>Absorption</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Plasma concentrations of tafluprost acid and timolol were investigated in healthy volunteers after single and repeated ocular dosing for eight days of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(once daily), 0.0015% tafluprost (once daily) and 0.5% timolol (twice daily). Tafluprost acid plasma concentrations peaked at 10 minutes after dosing and declined below the lower limit of detection </w:t>
      </w:r>
      <w:proofErr w:type="gramStart"/>
      <w:r w:rsidRPr="005E118E">
        <w:rPr>
          <w:rFonts w:ascii="Arial" w:eastAsia="Times New Roman" w:hAnsi="Arial" w:cs="Times New Roman"/>
          <w:szCs w:val="20"/>
        </w:rPr>
        <w:t>(10</w:t>
      </w:r>
      <w:r w:rsidR="00D54B7C">
        <w:rPr>
          <w:rFonts w:ascii="Arial" w:eastAsia="Times New Roman" w:hAnsi="Arial" w:cs="Times New Roman"/>
          <w:szCs w:val="20"/>
        </w:rPr>
        <w:t> </w:t>
      </w:r>
      <w:proofErr w:type="spellStart"/>
      <w:r w:rsidRPr="005E118E">
        <w:rPr>
          <w:rFonts w:ascii="Arial" w:eastAsia="Times New Roman" w:hAnsi="Arial" w:cs="Times New Roman"/>
          <w:szCs w:val="20"/>
        </w:rPr>
        <w:t>pg</w:t>
      </w:r>
      <w:proofErr w:type="spellEnd"/>
      <w:r w:rsidRPr="005E118E">
        <w:rPr>
          <w:rFonts w:ascii="Arial" w:eastAsia="Times New Roman" w:hAnsi="Arial" w:cs="Times New Roman"/>
          <w:szCs w:val="20"/>
        </w:rPr>
        <w:t>/m</w:t>
      </w:r>
      <w:r w:rsidR="00E16DC8">
        <w:rPr>
          <w:rFonts w:ascii="Arial" w:eastAsia="Times New Roman" w:hAnsi="Arial" w:cs="Times New Roman"/>
          <w:szCs w:val="20"/>
        </w:rPr>
        <w:t>L</w:t>
      </w:r>
      <w:r w:rsidRPr="005E118E">
        <w:rPr>
          <w:rFonts w:ascii="Arial" w:eastAsia="Times New Roman" w:hAnsi="Arial" w:cs="Times New Roman"/>
          <w:szCs w:val="20"/>
        </w:rPr>
        <w:t>)</w:t>
      </w:r>
      <w:proofErr w:type="gramEnd"/>
      <w:r w:rsidRPr="005E118E">
        <w:rPr>
          <w:rFonts w:ascii="Arial" w:eastAsia="Times New Roman" w:hAnsi="Arial" w:cs="Times New Roman"/>
          <w:szCs w:val="20"/>
        </w:rPr>
        <w:t xml:space="preserve"> before 30 minutes after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dosing. Accumulation of tafluprost acid was negligible and the tafluprost acid mean AUC</w:t>
      </w:r>
      <w:r w:rsidRPr="00D54B7C">
        <w:rPr>
          <w:rFonts w:ascii="Arial" w:eastAsia="Times New Roman" w:hAnsi="Arial" w:cs="Times New Roman"/>
          <w:szCs w:val="20"/>
          <w:vertAlign w:val="subscript"/>
        </w:rPr>
        <w:t>0-last</w:t>
      </w:r>
      <w:r w:rsidRPr="005E118E">
        <w:rPr>
          <w:rFonts w:ascii="Arial" w:eastAsia="Times New Roman" w:hAnsi="Arial" w:cs="Times New Roman"/>
          <w:szCs w:val="20"/>
        </w:rPr>
        <w:t xml:space="preserve"> (monotherapy: 4.45</w:t>
      </w:r>
      <w:r w:rsidR="00D54B7C">
        <w:rPr>
          <w:rFonts w:ascii="Arial" w:eastAsia="Times New Roman" w:hAnsi="Arial" w:cs="Times New Roman"/>
          <w:szCs w:val="20"/>
        </w:rPr>
        <w:t xml:space="preserve"> </w:t>
      </w:r>
      <w:r w:rsidRPr="005E118E">
        <w:rPr>
          <w:rFonts w:ascii="Arial" w:eastAsia="Times New Roman" w:hAnsi="Arial" w:cs="Times New Roman"/>
          <w:szCs w:val="20"/>
        </w:rPr>
        <w:t>±</w:t>
      </w:r>
      <w:r w:rsidR="00D54B7C">
        <w:rPr>
          <w:rFonts w:ascii="Arial" w:eastAsia="Times New Roman" w:hAnsi="Arial" w:cs="Times New Roman"/>
          <w:szCs w:val="20"/>
        </w:rPr>
        <w:t xml:space="preserve"> </w:t>
      </w:r>
      <w:r w:rsidRPr="005E118E">
        <w:rPr>
          <w:rFonts w:ascii="Arial" w:eastAsia="Times New Roman" w:hAnsi="Arial" w:cs="Times New Roman"/>
          <w:szCs w:val="20"/>
        </w:rPr>
        <w:t>2.57 </w:t>
      </w:r>
      <w:proofErr w:type="spellStart"/>
      <w:r w:rsidRPr="005E118E">
        <w:rPr>
          <w:rFonts w:ascii="Arial" w:eastAsia="Times New Roman" w:hAnsi="Arial" w:cs="Times New Roman"/>
          <w:szCs w:val="20"/>
        </w:rPr>
        <w:t>pg·h</w:t>
      </w:r>
      <w:proofErr w:type="spellEnd"/>
      <w:r w:rsidRPr="005E118E">
        <w:rPr>
          <w:rFonts w:ascii="Arial" w:eastAsia="Times New Roman" w:hAnsi="Arial" w:cs="Times New Roman"/>
          <w:szCs w:val="20"/>
        </w:rPr>
        <w:t>/m</w:t>
      </w:r>
      <w:r w:rsidR="00BC6596">
        <w:rPr>
          <w:rFonts w:ascii="Arial" w:eastAsia="Times New Roman" w:hAnsi="Arial" w:cs="Times New Roman"/>
          <w:szCs w:val="20"/>
        </w:rPr>
        <w:t>L</w:t>
      </w:r>
      <w:r w:rsidRPr="005E118E">
        <w:rPr>
          <w:rFonts w:ascii="Arial" w:eastAsia="Times New Roman" w:hAnsi="Arial" w:cs="Times New Roman"/>
          <w:szCs w:val="20"/>
        </w:rPr>
        <w:t>;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3.60</w:t>
      </w:r>
      <w:r w:rsidR="00D54B7C">
        <w:rPr>
          <w:rFonts w:ascii="Arial" w:eastAsia="Times New Roman" w:hAnsi="Arial" w:cs="Times New Roman"/>
          <w:szCs w:val="20"/>
        </w:rPr>
        <w:t xml:space="preserve"> </w:t>
      </w:r>
      <w:r w:rsidRPr="005E118E">
        <w:rPr>
          <w:rFonts w:ascii="Arial" w:eastAsia="Times New Roman" w:hAnsi="Arial" w:cs="Times New Roman"/>
          <w:szCs w:val="20"/>
        </w:rPr>
        <w:t>±</w:t>
      </w:r>
      <w:r w:rsidR="00D54B7C">
        <w:rPr>
          <w:rFonts w:ascii="Arial" w:eastAsia="Times New Roman" w:hAnsi="Arial" w:cs="Times New Roman"/>
          <w:szCs w:val="20"/>
        </w:rPr>
        <w:t xml:space="preserve"> </w:t>
      </w:r>
      <w:r w:rsidRPr="005E118E">
        <w:rPr>
          <w:rFonts w:ascii="Arial" w:eastAsia="Times New Roman" w:hAnsi="Arial" w:cs="Times New Roman"/>
          <w:szCs w:val="20"/>
        </w:rPr>
        <w:t>3.70 </w:t>
      </w:r>
      <w:proofErr w:type="spellStart"/>
      <w:r w:rsidRPr="005E118E">
        <w:rPr>
          <w:rFonts w:ascii="Arial" w:eastAsia="Times New Roman" w:hAnsi="Arial" w:cs="Times New Roman"/>
          <w:szCs w:val="20"/>
        </w:rPr>
        <w:t>pg·h</w:t>
      </w:r>
      <w:proofErr w:type="spellEnd"/>
      <w:r w:rsidRPr="005E118E">
        <w:rPr>
          <w:rFonts w:ascii="Arial" w:eastAsia="Times New Roman" w:hAnsi="Arial" w:cs="Times New Roman"/>
          <w:szCs w:val="20"/>
        </w:rPr>
        <w:t>/m</w:t>
      </w:r>
      <w:r w:rsidR="00BC6596">
        <w:rPr>
          <w:rFonts w:ascii="Arial" w:eastAsia="Times New Roman" w:hAnsi="Arial" w:cs="Times New Roman"/>
          <w:szCs w:val="20"/>
        </w:rPr>
        <w:t>L</w:t>
      </w:r>
      <w:r w:rsidRPr="005E118E">
        <w:rPr>
          <w:rFonts w:ascii="Arial" w:eastAsia="Times New Roman" w:hAnsi="Arial" w:cs="Times New Roman"/>
          <w:szCs w:val="20"/>
        </w:rPr>
        <w:t>) and the mean C</w:t>
      </w:r>
      <w:r w:rsidRPr="00BC6596">
        <w:rPr>
          <w:rFonts w:ascii="Arial" w:eastAsia="Times New Roman" w:hAnsi="Arial" w:cs="Times New Roman"/>
          <w:szCs w:val="20"/>
          <w:vertAlign w:val="subscript"/>
        </w:rPr>
        <w:t>max</w:t>
      </w:r>
      <w:r w:rsidRPr="005E118E">
        <w:rPr>
          <w:rFonts w:ascii="Arial" w:eastAsia="Times New Roman" w:hAnsi="Arial" w:cs="Times New Roman"/>
          <w:szCs w:val="20"/>
        </w:rPr>
        <w:t xml:space="preserve"> (monotherapy: 23.9</w:t>
      </w:r>
      <w:r w:rsidR="00D54B7C">
        <w:rPr>
          <w:rFonts w:ascii="Arial" w:eastAsia="Times New Roman" w:hAnsi="Arial" w:cs="Times New Roman"/>
          <w:szCs w:val="20"/>
        </w:rPr>
        <w:t xml:space="preserve"> </w:t>
      </w:r>
      <w:r w:rsidRPr="005E118E">
        <w:rPr>
          <w:rFonts w:ascii="Arial" w:eastAsia="Times New Roman" w:hAnsi="Arial" w:cs="Times New Roman"/>
          <w:szCs w:val="20"/>
        </w:rPr>
        <w:t>±</w:t>
      </w:r>
      <w:r w:rsidR="00D54B7C">
        <w:rPr>
          <w:rFonts w:ascii="Arial" w:eastAsia="Times New Roman" w:hAnsi="Arial" w:cs="Times New Roman"/>
          <w:szCs w:val="20"/>
        </w:rPr>
        <w:t xml:space="preserve"> </w:t>
      </w:r>
      <w:r w:rsidRPr="005E118E">
        <w:rPr>
          <w:rFonts w:ascii="Arial" w:eastAsia="Times New Roman" w:hAnsi="Arial" w:cs="Times New Roman"/>
          <w:szCs w:val="20"/>
        </w:rPr>
        <w:t>11.8 </w:t>
      </w:r>
      <w:proofErr w:type="spellStart"/>
      <w:r w:rsidRPr="005E118E">
        <w:rPr>
          <w:rFonts w:ascii="Arial" w:eastAsia="Times New Roman" w:hAnsi="Arial" w:cs="Times New Roman"/>
          <w:szCs w:val="20"/>
        </w:rPr>
        <w:t>pg</w:t>
      </w:r>
      <w:proofErr w:type="spellEnd"/>
      <w:r w:rsidRPr="005E118E">
        <w:rPr>
          <w:rFonts w:ascii="Arial" w:eastAsia="Times New Roman" w:hAnsi="Arial" w:cs="Times New Roman"/>
          <w:szCs w:val="20"/>
        </w:rPr>
        <w:t>/m</w:t>
      </w:r>
      <w:r w:rsidR="00BC6596">
        <w:rPr>
          <w:rFonts w:ascii="Arial" w:eastAsia="Times New Roman" w:hAnsi="Arial" w:cs="Times New Roman"/>
          <w:szCs w:val="20"/>
        </w:rPr>
        <w:t>L</w:t>
      </w:r>
      <w:r w:rsidRPr="005E118E">
        <w:rPr>
          <w:rFonts w:ascii="Arial" w:eastAsia="Times New Roman" w:hAnsi="Arial" w:cs="Times New Roman"/>
          <w:szCs w:val="20"/>
        </w:rPr>
        <w:t>;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18.7</w:t>
      </w:r>
      <w:r w:rsidR="00D54B7C">
        <w:rPr>
          <w:rFonts w:ascii="Arial" w:eastAsia="Times New Roman" w:hAnsi="Arial" w:cs="Times New Roman"/>
          <w:szCs w:val="20"/>
        </w:rPr>
        <w:t xml:space="preserve"> </w:t>
      </w:r>
      <w:r w:rsidRPr="005E118E">
        <w:rPr>
          <w:rFonts w:ascii="Arial" w:eastAsia="Times New Roman" w:hAnsi="Arial" w:cs="Times New Roman"/>
          <w:szCs w:val="20"/>
        </w:rPr>
        <w:t>±</w:t>
      </w:r>
      <w:r w:rsidR="00D54B7C">
        <w:rPr>
          <w:rFonts w:ascii="Arial" w:eastAsia="Times New Roman" w:hAnsi="Arial" w:cs="Times New Roman"/>
          <w:szCs w:val="20"/>
        </w:rPr>
        <w:t xml:space="preserve"> </w:t>
      </w:r>
      <w:r w:rsidRPr="005E118E">
        <w:rPr>
          <w:rFonts w:ascii="Arial" w:eastAsia="Times New Roman" w:hAnsi="Arial" w:cs="Times New Roman"/>
          <w:szCs w:val="20"/>
        </w:rPr>
        <w:t>11.9 </w:t>
      </w:r>
      <w:proofErr w:type="spellStart"/>
      <w:r w:rsidRPr="005E118E">
        <w:rPr>
          <w:rFonts w:ascii="Arial" w:eastAsia="Times New Roman" w:hAnsi="Arial" w:cs="Times New Roman"/>
          <w:szCs w:val="20"/>
        </w:rPr>
        <w:t>pg</w:t>
      </w:r>
      <w:proofErr w:type="spellEnd"/>
      <w:r w:rsidRPr="005E118E">
        <w:rPr>
          <w:rFonts w:ascii="Arial" w:eastAsia="Times New Roman" w:hAnsi="Arial" w:cs="Times New Roman"/>
          <w:szCs w:val="20"/>
        </w:rPr>
        <w:t>/m</w:t>
      </w:r>
      <w:r w:rsidR="00BC6596">
        <w:rPr>
          <w:rFonts w:ascii="Arial" w:eastAsia="Times New Roman" w:hAnsi="Arial" w:cs="Times New Roman"/>
          <w:szCs w:val="20"/>
        </w:rPr>
        <w:t>L</w:t>
      </w:r>
      <w:r w:rsidRPr="005E118E">
        <w:rPr>
          <w:rFonts w:ascii="Arial" w:eastAsia="Times New Roman" w:hAnsi="Arial" w:cs="Times New Roman"/>
          <w:szCs w:val="20"/>
        </w:rPr>
        <w:t>) were both slightly lower with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as compared to tafluprost monotherapy on Day 8. Timolol plasma concentrations peaked at median T</w:t>
      </w:r>
      <w:r w:rsidRPr="00BC6596">
        <w:rPr>
          <w:rFonts w:ascii="Arial" w:eastAsia="Times New Roman" w:hAnsi="Arial" w:cs="Times New Roman"/>
          <w:szCs w:val="20"/>
          <w:vertAlign w:val="subscript"/>
        </w:rPr>
        <w:t>max</w:t>
      </w:r>
      <w:r w:rsidRPr="005E118E">
        <w:rPr>
          <w:rFonts w:ascii="Arial" w:eastAsia="Times New Roman" w:hAnsi="Arial" w:cs="Times New Roman"/>
          <w:szCs w:val="20"/>
        </w:rPr>
        <w:t xml:space="preserve"> values of 15 and 37.5 minutes after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dosing on Days 1 and 8, respectively. The Day 8 timolol mean AUC</w:t>
      </w:r>
      <w:r w:rsidRPr="00D54B7C">
        <w:rPr>
          <w:rFonts w:ascii="Arial" w:eastAsia="Times New Roman" w:hAnsi="Arial" w:cs="Times New Roman"/>
          <w:szCs w:val="20"/>
          <w:vertAlign w:val="subscript"/>
        </w:rPr>
        <w:t>0-last</w:t>
      </w:r>
      <w:r w:rsidRPr="005E118E">
        <w:rPr>
          <w:rFonts w:ascii="Arial" w:eastAsia="Times New Roman" w:hAnsi="Arial" w:cs="Times New Roman"/>
          <w:szCs w:val="20"/>
        </w:rPr>
        <w:t xml:space="preserve"> (monotherapy: 5750</w:t>
      </w:r>
      <w:r w:rsidR="00D54B7C">
        <w:rPr>
          <w:rFonts w:ascii="Arial" w:eastAsia="Times New Roman" w:hAnsi="Arial" w:cs="Times New Roman"/>
          <w:szCs w:val="20"/>
        </w:rPr>
        <w:t xml:space="preserve"> </w:t>
      </w:r>
      <w:r w:rsidRPr="005E118E">
        <w:rPr>
          <w:rFonts w:ascii="Arial" w:eastAsia="Times New Roman" w:hAnsi="Arial" w:cs="Times New Roman"/>
          <w:szCs w:val="20"/>
        </w:rPr>
        <w:t>±</w:t>
      </w:r>
      <w:r w:rsidR="00D54B7C">
        <w:rPr>
          <w:rFonts w:ascii="Arial" w:eastAsia="Times New Roman" w:hAnsi="Arial" w:cs="Times New Roman"/>
          <w:szCs w:val="20"/>
        </w:rPr>
        <w:t xml:space="preserve"> </w:t>
      </w:r>
      <w:r w:rsidRPr="005E118E">
        <w:rPr>
          <w:rFonts w:ascii="Arial" w:eastAsia="Times New Roman" w:hAnsi="Arial" w:cs="Times New Roman"/>
          <w:szCs w:val="20"/>
        </w:rPr>
        <w:t>2440 </w:t>
      </w:r>
      <w:proofErr w:type="spellStart"/>
      <w:r w:rsidRPr="005E118E">
        <w:rPr>
          <w:rFonts w:ascii="Arial" w:eastAsia="Times New Roman" w:hAnsi="Arial" w:cs="Times New Roman"/>
          <w:szCs w:val="20"/>
        </w:rPr>
        <w:t>pg·h</w:t>
      </w:r>
      <w:proofErr w:type="spellEnd"/>
      <w:r w:rsidRPr="005E118E">
        <w:rPr>
          <w:rFonts w:ascii="Arial" w:eastAsia="Times New Roman" w:hAnsi="Arial" w:cs="Times New Roman"/>
          <w:szCs w:val="20"/>
        </w:rPr>
        <w:t>/m</w:t>
      </w:r>
      <w:r w:rsidR="00E16DC8">
        <w:rPr>
          <w:rFonts w:ascii="Arial" w:eastAsia="Times New Roman" w:hAnsi="Arial" w:cs="Times New Roman"/>
          <w:szCs w:val="20"/>
        </w:rPr>
        <w:t>L</w:t>
      </w:r>
      <w:r w:rsidRPr="005E118E">
        <w:rPr>
          <w:rFonts w:ascii="Arial" w:eastAsia="Times New Roman" w:hAnsi="Arial" w:cs="Times New Roman"/>
          <w:szCs w:val="20"/>
        </w:rPr>
        <w:t>;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w:t>
      </w:r>
      <w:r w:rsidR="00E16DC8">
        <w:rPr>
          <w:rFonts w:ascii="Arial" w:eastAsia="Times New Roman" w:hAnsi="Arial" w:cs="Times New Roman"/>
          <w:szCs w:val="20"/>
        </w:rPr>
        <w:t xml:space="preserve"> </w:t>
      </w:r>
      <w:r w:rsidRPr="005E118E">
        <w:rPr>
          <w:rFonts w:ascii="Arial" w:eastAsia="Times New Roman" w:hAnsi="Arial" w:cs="Times New Roman"/>
          <w:szCs w:val="20"/>
        </w:rPr>
        <w:t>4560</w:t>
      </w:r>
      <w:r w:rsidR="00D54B7C">
        <w:rPr>
          <w:rFonts w:ascii="Arial" w:eastAsia="Times New Roman" w:hAnsi="Arial" w:cs="Times New Roman"/>
          <w:szCs w:val="20"/>
        </w:rPr>
        <w:t xml:space="preserve"> </w:t>
      </w:r>
      <w:r w:rsidRPr="005E118E">
        <w:rPr>
          <w:rFonts w:ascii="Arial" w:eastAsia="Times New Roman" w:hAnsi="Arial" w:cs="Times New Roman"/>
          <w:szCs w:val="20"/>
        </w:rPr>
        <w:t>±</w:t>
      </w:r>
      <w:r w:rsidR="00D54B7C">
        <w:rPr>
          <w:rFonts w:ascii="Arial" w:eastAsia="Times New Roman" w:hAnsi="Arial" w:cs="Times New Roman"/>
          <w:szCs w:val="20"/>
        </w:rPr>
        <w:t xml:space="preserve"> </w:t>
      </w:r>
      <w:r w:rsidRPr="005E118E">
        <w:rPr>
          <w:rFonts w:ascii="Arial" w:eastAsia="Times New Roman" w:hAnsi="Arial" w:cs="Times New Roman"/>
          <w:szCs w:val="20"/>
        </w:rPr>
        <w:t>2980 </w:t>
      </w:r>
      <w:proofErr w:type="spellStart"/>
      <w:r w:rsidRPr="005E118E">
        <w:rPr>
          <w:rFonts w:ascii="Arial" w:eastAsia="Times New Roman" w:hAnsi="Arial" w:cs="Times New Roman"/>
          <w:szCs w:val="20"/>
        </w:rPr>
        <w:t>pg·h</w:t>
      </w:r>
      <w:proofErr w:type="spellEnd"/>
      <w:r w:rsidRPr="005E118E">
        <w:rPr>
          <w:rFonts w:ascii="Arial" w:eastAsia="Times New Roman" w:hAnsi="Arial" w:cs="Times New Roman"/>
          <w:szCs w:val="20"/>
        </w:rPr>
        <w:t>/m</w:t>
      </w:r>
      <w:r w:rsidR="00E16DC8">
        <w:rPr>
          <w:rFonts w:ascii="Arial" w:eastAsia="Times New Roman" w:hAnsi="Arial" w:cs="Times New Roman"/>
          <w:szCs w:val="20"/>
        </w:rPr>
        <w:t>L</w:t>
      </w:r>
      <w:r w:rsidRPr="005E118E">
        <w:rPr>
          <w:rFonts w:ascii="Arial" w:eastAsia="Times New Roman" w:hAnsi="Arial" w:cs="Times New Roman"/>
          <w:szCs w:val="20"/>
        </w:rPr>
        <w:t>) and the mean C</w:t>
      </w:r>
      <w:r w:rsidRPr="00BC6596">
        <w:rPr>
          <w:rFonts w:ascii="Arial" w:eastAsia="Times New Roman" w:hAnsi="Arial" w:cs="Times New Roman"/>
          <w:szCs w:val="20"/>
          <w:vertAlign w:val="subscript"/>
        </w:rPr>
        <w:t>max</w:t>
      </w:r>
      <w:r w:rsidRPr="005E118E">
        <w:rPr>
          <w:rFonts w:ascii="Arial" w:eastAsia="Times New Roman" w:hAnsi="Arial" w:cs="Times New Roman"/>
          <w:szCs w:val="20"/>
        </w:rPr>
        <w:t xml:space="preserve"> (monotherapy: 1100 ± 550 </w:t>
      </w:r>
      <w:proofErr w:type="spellStart"/>
      <w:r w:rsidRPr="005E118E">
        <w:rPr>
          <w:rFonts w:ascii="Arial" w:eastAsia="Times New Roman" w:hAnsi="Arial" w:cs="Times New Roman"/>
          <w:szCs w:val="20"/>
        </w:rPr>
        <w:t>pg</w:t>
      </w:r>
      <w:proofErr w:type="spellEnd"/>
      <w:r w:rsidRPr="005E118E">
        <w:rPr>
          <w:rFonts w:ascii="Arial" w:eastAsia="Times New Roman" w:hAnsi="Arial" w:cs="Times New Roman"/>
          <w:szCs w:val="20"/>
        </w:rPr>
        <w:t>/m</w:t>
      </w:r>
      <w:r w:rsidR="00E16DC8">
        <w:rPr>
          <w:rFonts w:ascii="Arial" w:eastAsia="Times New Roman" w:hAnsi="Arial" w:cs="Times New Roman"/>
          <w:szCs w:val="20"/>
        </w:rPr>
        <w:t>L</w:t>
      </w:r>
      <w:r w:rsidRPr="005E118E">
        <w:rPr>
          <w:rFonts w:ascii="Arial" w:eastAsia="Times New Roman" w:hAnsi="Arial" w:cs="Times New Roman"/>
          <w:szCs w:val="20"/>
        </w:rPr>
        <w:t>;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840 ± 520 </w:t>
      </w:r>
      <w:proofErr w:type="spellStart"/>
      <w:r w:rsidRPr="005E118E">
        <w:rPr>
          <w:rFonts w:ascii="Arial" w:eastAsia="Times New Roman" w:hAnsi="Arial" w:cs="Times New Roman"/>
          <w:szCs w:val="20"/>
        </w:rPr>
        <w:t>pg</w:t>
      </w:r>
      <w:proofErr w:type="spellEnd"/>
      <w:r w:rsidRPr="005E118E">
        <w:rPr>
          <w:rFonts w:ascii="Arial" w:eastAsia="Times New Roman" w:hAnsi="Arial" w:cs="Times New Roman"/>
          <w:szCs w:val="20"/>
        </w:rPr>
        <w:t>/m</w:t>
      </w:r>
      <w:r w:rsidR="00E16DC8">
        <w:rPr>
          <w:rFonts w:ascii="Arial" w:eastAsia="Times New Roman" w:hAnsi="Arial" w:cs="Times New Roman"/>
          <w:szCs w:val="20"/>
        </w:rPr>
        <w:t>L</w:t>
      </w:r>
      <w:r w:rsidRPr="005E118E">
        <w:rPr>
          <w:rFonts w:ascii="Arial" w:eastAsia="Times New Roman" w:hAnsi="Arial" w:cs="Times New Roman"/>
          <w:szCs w:val="20"/>
        </w:rPr>
        <w:t>) were both somewhat lower with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compared to </w:t>
      </w:r>
      <w:proofErr w:type="spellStart"/>
      <w:r w:rsidRPr="005E118E">
        <w:rPr>
          <w:rFonts w:ascii="Arial" w:eastAsia="Times New Roman" w:hAnsi="Arial" w:cs="Times New Roman"/>
          <w:szCs w:val="20"/>
        </w:rPr>
        <w:t>timolol</w:t>
      </w:r>
      <w:proofErr w:type="spellEnd"/>
      <w:r w:rsidRPr="005E118E">
        <w:rPr>
          <w:rFonts w:ascii="Arial" w:eastAsia="Times New Roman" w:hAnsi="Arial" w:cs="Times New Roman"/>
          <w:szCs w:val="20"/>
        </w:rPr>
        <w:t xml:space="preserve"> monotherapy. The lower plasma </w:t>
      </w:r>
      <w:proofErr w:type="spellStart"/>
      <w:r w:rsidRPr="005E118E">
        <w:rPr>
          <w:rFonts w:ascii="Arial" w:eastAsia="Times New Roman" w:hAnsi="Arial" w:cs="Times New Roman"/>
          <w:szCs w:val="20"/>
        </w:rPr>
        <w:t>timolol</w:t>
      </w:r>
      <w:proofErr w:type="spellEnd"/>
      <w:r w:rsidRPr="005E118E">
        <w:rPr>
          <w:rFonts w:ascii="Arial" w:eastAsia="Times New Roman" w:hAnsi="Arial" w:cs="Times New Roman"/>
          <w:szCs w:val="20"/>
        </w:rPr>
        <w:t xml:space="preserve"> exposure with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appears to be due to once-daily dosing for TAPTIQOM</w:t>
      </w:r>
      <w:r w:rsidR="00187E18">
        <w:rPr>
          <w:rFonts w:ascii="Arial" w:eastAsia="Times New Roman" w:hAnsi="Arial" w:cs="Times New Roman"/>
          <w:szCs w:val="20"/>
        </w:rPr>
        <w:t xml:space="preserve"> 15/5</w:t>
      </w:r>
      <w:r w:rsidRPr="005E118E">
        <w:rPr>
          <w:rFonts w:ascii="Arial" w:eastAsia="Times New Roman" w:hAnsi="Arial" w:cs="Times New Roman"/>
          <w:szCs w:val="20"/>
        </w:rPr>
        <w:t xml:space="preserve"> versus twice daily dosing with </w:t>
      </w:r>
      <w:proofErr w:type="spellStart"/>
      <w:r w:rsidRPr="005E118E">
        <w:rPr>
          <w:rFonts w:ascii="Arial" w:eastAsia="Times New Roman" w:hAnsi="Arial" w:cs="Times New Roman"/>
          <w:szCs w:val="20"/>
        </w:rPr>
        <w:t>timolol</w:t>
      </w:r>
      <w:proofErr w:type="spellEnd"/>
      <w:r w:rsidRPr="005E118E">
        <w:rPr>
          <w:rFonts w:ascii="Arial" w:eastAsia="Times New Roman" w:hAnsi="Arial" w:cs="Times New Roman"/>
          <w:szCs w:val="20"/>
        </w:rPr>
        <w:t xml:space="preserve"> monotherapy.</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Tafluprost and timolol are absorbed through the cornea. In rabbits, corneal penetration of </w:t>
      </w: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xml:space="preserve"> from TAPTIQOM</w:t>
      </w:r>
      <w:r w:rsidR="0001148C">
        <w:rPr>
          <w:rFonts w:ascii="Arial" w:eastAsia="Times New Roman" w:hAnsi="Arial" w:cs="Times New Roman"/>
          <w:szCs w:val="20"/>
        </w:rPr>
        <w:t xml:space="preserve"> 15/5</w:t>
      </w:r>
      <w:r w:rsidRPr="005E118E">
        <w:rPr>
          <w:rFonts w:ascii="Arial" w:eastAsia="Times New Roman" w:hAnsi="Arial" w:cs="Times New Roman"/>
          <w:szCs w:val="20"/>
        </w:rPr>
        <w:t xml:space="preserve"> was similar to that of </w:t>
      </w: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monopreparation</w:t>
      </w:r>
      <w:proofErr w:type="spellEnd"/>
      <w:r w:rsidRPr="005E118E">
        <w:rPr>
          <w:rFonts w:ascii="Arial" w:eastAsia="Times New Roman" w:hAnsi="Arial" w:cs="Times New Roman"/>
          <w:szCs w:val="20"/>
        </w:rPr>
        <w:t xml:space="preserve"> after a single instillation while the penetration of timolol was slightly less from the TAPTIQOM</w:t>
      </w:r>
      <w:r w:rsidR="0001148C">
        <w:rPr>
          <w:rFonts w:ascii="Arial" w:eastAsia="Times New Roman" w:hAnsi="Arial" w:cs="Times New Roman"/>
          <w:szCs w:val="20"/>
        </w:rPr>
        <w:t xml:space="preserve"> 15/5</w:t>
      </w:r>
      <w:r w:rsidRPr="005E118E">
        <w:rPr>
          <w:rFonts w:ascii="Arial" w:eastAsia="Times New Roman" w:hAnsi="Arial" w:cs="Times New Roman"/>
          <w:szCs w:val="20"/>
        </w:rPr>
        <w:t xml:space="preserve"> compared to </w:t>
      </w:r>
      <w:proofErr w:type="spellStart"/>
      <w:r w:rsidRPr="005E118E">
        <w:rPr>
          <w:rFonts w:ascii="Arial" w:eastAsia="Times New Roman" w:hAnsi="Arial" w:cs="Times New Roman"/>
          <w:szCs w:val="20"/>
        </w:rPr>
        <w:t>timolol</w:t>
      </w:r>
      <w:proofErr w:type="spellEnd"/>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monopreparation</w:t>
      </w:r>
      <w:proofErr w:type="spellEnd"/>
      <w:r w:rsidRPr="005E118E">
        <w:rPr>
          <w:rFonts w:ascii="Arial" w:eastAsia="Times New Roman" w:hAnsi="Arial" w:cs="Times New Roman"/>
          <w:szCs w:val="20"/>
        </w:rPr>
        <w:t>. For tafluprost acid, AUC</w:t>
      </w:r>
      <w:r w:rsidRPr="00D54B7C">
        <w:rPr>
          <w:rFonts w:ascii="Arial" w:eastAsia="Times New Roman" w:hAnsi="Arial" w:cs="Times New Roman"/>
          <w:szCs w:val="20"/>
          <w:vertAlign w:val="subscript"/>
        </w:rPr>
        <w:t>4h</w:t>
      </w:r>
      <w:r w:rsidRPr="005E118E">
        <w:rPr>
          <w:rFonts w:ascii="Arial" w:eastAsia="Times New Roman" w:hAnsi="Arial" w:cs="Times New Roman"/>
          <w:szCs w:val="20"/>
        </w:rPr>
        <w:t xml:space="preserve"> </w:t>
      </w:r>
      <w:r w:rsidR="007A2F14">
        <w:rPr>
          <w:rFonts w:ascii="Arial" w:eastAsia="Times New Roman" w:hAnsi="Arial" w:cs="Times New Roman"/>
          <w:szCs w:val="20"/>
        </w:rPr>
        <w:t xml:space="preserve">in aqueous humour </w:t>
      </w:r>
      <w:r w:rsidRPr="005E118E">
        <w:rPr>
          <w:rFonts w:ascii="Arial" w:eastAsia="Times New Roman" w:hAnsi="Arial" w:cs="Times New Roman"/>
          <w:szCs w:val="20"/>
        </w:rPr>
        <w:t>was 7.5 </w:t>
      </w:r>
      <w:proofErr w:type="spellStart"/>
      <w:r w:rsidRPr="005E118E">
        <w:rPr>
          <w:rFonts w:ascii="Arial" w:eastAsia="Times New Roman" w:hAnsi="Arial" w:cs="Times New Roman"/>
          <w:szCs w:val="20"/>
        </w:rPr>
        <w:t>ng·h</w:t>
      </w:r>
      <w:proofErr w:type="spellEnd"/>
      <w:r w:rsidRPr="005E118E">
        <w:rPr>
          <w:rFonts w:ascii="Arial" w:eastAsia="Times New Roman" w:hAnsi="Arial" w:cs="Times New Roman"/>
          <w:szCs w:val="20"/>
        </w:rPr>
        <w:t>/m</w:t>
      </w:r>
      <w:r w:rsidR="00BC6596">
        <w:rPr>
          <w:rFonts w:ascii="Arial" w:eastAsia="Times New Roman" w:hAnsi="Arial" w:cs="Times New Roman"/>
          <w:szCs w:val="20"/>
        </w:rPr>
        <w:t>L</w:t>
      </w:r>
      <w:r w:rsidRPr="005E118E">
        <w:rPr>
          <w:rFonts w:ascii="Arial" w:eastAsia="Times New Roman" w:hAnsi="Arial" w:cs="Times New Roman"/>
          <w:szCs w:val="20"/>
        </w:rPr>
        <w:t xml:space="preserve"> following administration of TAPTIQOM</w:t>
      </w:r>
      <w:r w:rsidR="0001148C">
        <w:rPr>
          <w:rFonts w:ascii="Arial" w:eastAsia="Times New Roman" w:hAnsi="Arial" w:cs="Times New Roman"/>
          <w:szCs w:val="20"/>
        </w:rPr>
        <w:t xml:space="preserve"> 15/5</w:t>
      </w:r>
      <w:r w:rsidRPr="005E118E" w:rsidDel="00422850">
        <w:rPr>
          <w:rFonts w:ascii="Arial" w:eastAsia="Times New Roman" w:hAnsi="Arial" w:cs="Times New Roman"/>
          <w:szCs w:val="20"/>
        </w:rPr>
        <w:t xml:space="preserve"> </w:t>
      </w:r>
      <w:r w:rsidRPr="005E118E">
        <w:rPr>
          <w:rFonts w:ascii="Arial" w:eastAsia="Times New Roman" w:hAnsi="Arial" w:cs="Times New Roman"/>
          <w:szCs w:val="20"/>
        </w:rPr>
        <w:t>and 7.7 </w:t>
      </w:r>
      <w:proofErr w:type="spellStart"/>
      <w:r w:rsidRPr="005E118E">
        <w:rPr>
          <w:rFonts w:ascii="Arial" w:eastAsia="Times New Roman" w:hAnsi="Arial" w:cs="Times New Roman"/>
          <w:szCs w:val="20"/>
        </w:rPr>
        <w:t>ng·h</w:t>
      </w:r>
      <w:proofErr w:type="spellEnd"/>
      <w:r w:rsidRPr="005E118E">
        <w:rPr>
          <w:rFonts w:ascii="Arial" w:eastAsia="Times New Roman" w:hAnsi="Arial" w:cs="Times New Roman"/>
          <w:szCs w:val="20"/>
        </w:rPr>
        <w:t>/m</w:t>
      </w:r>
      <w:r w:rsidR="00BC6596">
        <w:rPr>
          <w:rFonts w:ascii="Arial" w:eastAsia="Times New Roman" w:hAnsi="Arial" w:cs="Times New Roman"/>
          <w:szCs w:val="20"/>
        </w:rPr>
        <w:t>L</w:t>
      </w:r>
      <w:r w:rsidRPr="005E118E">
        <w:rPr>
          <w:rFonts w:ascii="Arial" w:eastAsia="Times New Roman" w:hAnsi="Arial" w:cs="Times New Roman"/>
          <w:szCs w:val="20"/>
        </w:rPr>
        <w:t xml:space="preserve"> following administration of </w:t>
      </w: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monopreparation</w:t>
      </w:r>
      <w:proofErr w:type="spellEnd"/>
      <w:r w:rsidRPr="005E118E">
        <w:rPr>
          <w:rFonts w:ascii="Arial" w:eastAsia="Times New Roman" w:hAnsi="Arial" w:cs="Times New Roman"/>
          <w:szCs w:val="20"/>
        </w:rPr>
        <w:t>. For timolol, AUC</w:t>
      </w:r>
      <w:r w:rsidRPr="00D54B7C">
        <w:rPr>
          <w:rFonts w:ascii="Arial" w:eastAsia="Times New Roman" w:hAnsi="Arial" w:cs="Times New Roman"/>
          <w:szCs w:val="20"/>
          <w:vertAlign w:val="subscript"/>
        </w:rPr>
        <w:t>4h</w:t>
      </w:r>
      <w:r w:rsidRPr="005E118E">
        <w:rPr>
          <w:rFonts w:ascii="Arial" w:eastAsia="Times New Roman" w:hAnsi="Arial" w:cs="Times New Roman"/>
          <w:szCs w:val="20"/>
        </w:rPr>
        <w:t xml:space="preserve"> was 585 </w:t>
      </w:r>
      <w:proofErr w:type="spellStart"/>
      <w:r w:rsidRPr="005E118E">
        <w:rPr>
          <w:rFonts w:ascii="Arial" w:eastAsia="Times New Roman" w:hAnsi="Arial" w:cs="Times New Roman"/>
          <w:szCs w:val="20"/>
        </w:rPr>
        <w:t>ng·h</w:t>
      </w:r>
      <w:proofErr w:type="spellEnd"/>
      <w:r w:rsidRPr="005E118E">
        <w:rPr>
          <w:rFonts w:ascii="Arial" w:eastAsia="Times New Roman" w:hAnsi="Arial" w:cs="Times New Roman"/>
          <w:szCs w:val="20"/>
        </w:rPr>
        <w:t>/m</w:t>
      </w:r>
      <w:r w:rsidR="00E16DC8">
        <w:rPr>
          <w:rFonts w:ascii="Arial" w:eastAsia="Times New Roman" w:hAnsi="Arial" w:cs="Times New Roman"/>
          <w:szCs w:val="20"/>
        </w:rPr>
        <w:t>L</w:t>
      </w:r>
      <w:r w:rsidRPr="005E118E">
        <w:rPr>
          <w:rFonts w:ascii="Arial" w:eastAsia="Times New Roman" w:hAnsi="Arial" w:cs="Times New Roman"/>
          <w:szCs w:val="20"/>
        </w:rPr>
        <w:t xml:space="preserve"> and 737 </w:t>
      </w:r>
      <w:proofErr w:type="spellStart"/>
      <w:r w:rsidRPr="005E118E">
        <w:rPr>
          <w:rFonts w:ascii="Arial" w:eastAsia="Times New Roman" w:hAnsi="Arial" w:cs="Times New Roman"/>
          <w:szCs w:val="20"/>
        </w:rPr>
        <w:t>ng·h</w:t>
      </w:r>
      <w:proofErr w:type="spellEnd"/>
      <w:r w:rsidRPr="005E118E">
        <w:rPr>
          <w:rFonts w:ascii="Arial" w:eastAsia="Times New Roman" w:hAnsi="Arial" w:cs="Times New Roman"/>
          <w:szCs w:val="20"/>
        </w:rPr>
        <w:t>/m</w:t>
      </w:r>
      <w:r w:rsidR="00BC6596">
        <w:rPr>
          <w:rFonts w:ascii="Arial" w:eastAsia="Times New Roman" w:hAnsi="Arial" w:cs="Times New Roman"/>
          <w:szCs w:val="20"/>
        </w:rPr>
        <w:t>L</w:t>
      </w:r>
      <w:r w:rsidRPr="005E118E">
        <w:rPr>
          <w:rFonts w:ascii="Arial" w:eastAsia="Times New Roman" w:hAnsi="Arial" w:cs="Times New Roman"/>
          <w:szCs w:val="20"/>
        </w:rPr>
        <w:t xml:space="preserve"> following administration of TAPTIQOM</w:t>
      </w:r>
      <w:r w:rsidR="0001148C">
        <w:rPr>
          <w:rFonts w:ascii="Arial" w:eastAsia="Times New Roman" w:hAnsi="Arial" w:cs="Times New Roman"/>
          <w:szCs w:val="20"/>
        </w:rPr>
        <w:t xml:space="preserve"> 15/5</w:t>
      </w:r>
      <w:r w:rsidRPr="005E118E">
        <w:rPr>
          <w:rFonts w:ascii="Arial" w:eastAsia="Times New Roman" w:hAnsi="Arial" w:cs="Times New Roman"/>
          <w:szCs w:val="20"/>
        </w:rPr>
        <w:t xml:space="preserve"> and </w:t>
      </w:r>
      <w:proofErr w:type="spellStart"/>
      <w:r w:rsidRPr="005E118E">
        <w:rPr>
          <w:rFonts w:ascii="Arial" w:eastAsia="Times New Roman" w:hAnsi="Arial" w:cs="Times New Roman"/>
          <w:szCs w:val="20"/>
        </w:rPr>
        <w:t>timolol</w:t>
      </w:r>
      <w:proofErr w:type="spellEnd"/>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monopreparation</w:t>
      </w:r>
      <w:proofErr w:type="spellEnd"/>
      <w:r w:rsidRPr="005E118E">
        <w:rPr>
          <w:rFonts w:ascii="Arial" w:eastAsia="Times New Roman" w:hAnsi="Arial" w:cs="Times New Roman"/>
          <w:szCs w:val="20"/>
        </w:rPr>
        <w:t>, re</w:t>
      </w:r>
      <w:r w:rsidR="00011931">
        <w:rPr>
          <w:rFonts w:ascii="Arial" w:eastAsia="Times New Roman" w:hAnsi="Arial" w:cs="Times New Roman"/>
          <w:szCs w:val="20"/>
        </w:rPr>
        <w:t>s</w:t>
      </w:r>
      <w:r w:rsidRPr="005E118E">
        <w:rPr>
          <w:rFonts w:ascii="Arial" w:eastAsia="Times New Roman" w:hAnsi="Arial" w:cs="Times New Roman"/>
          <w:szCs w:val="20"/>
        </w:rPr>
        <w:t xml:space="preserve">pectively. </w:t>
      </w:r>
      <w:proofErr w:type="spellStart"/>
      <w:r w:rsidRPr="005E118E">
        <w:rPr>
          <w:rFonts w:ascii="Arial" w:eastAsia="Times New Roman" w:hAnsi="Arial" w:cs="Times New Roman"/>
          <w:szCs w:val="20"/>
        </w:rPr>
        <w:t>T</w:t>
      </w:r>
      <w:r w:rsidRPr="00BC6596">
        <w:rPr>
          <w:rFonts w:ascii="Arial" w:eastAsia="Times New Roman" w:hAnsi="Arial" w:cs="Times New Roman"/>
          <w:szCs w:val="20"/>
          <w:vertAlign w:val="subscript"/>
        </w:rPr>
        <w:t>max</w:t>
      </w:r>
      <w:proofErr w:type="spellEnd"/>
      <w:r w:rsidRPr="005E118E">
        <w:rPr>
          <w:rFonts w:ascii="Arial" w:eastAsia="Times New Roman" w:hAnsi="Arial" w:cs="Times New Roman"/>
          <w:szCs w:val="20"/>
        </w:rPr>
        <w:t xml:space="preserve"> for </w:t>
      </w: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xml:space="preserve"> acid </w:t>
      </w:r>
      <w:r w:rsidR="007A2F14">
        <w:rPr>
          <w:rFonts w:ascii="Arial" w:eastAsia="Times New Roman" w:hAnsi="Arial" w:cs="Times New Roman"/>
          <w:szCs w:val="20"/>
        </w:rPr>
        <w:t xml:space="preserve">in aqueous humour </w:t>
      </w:r>
      <w:r w:rsidRPr="005E118E">
        <w:rPr>
          <w:rFonts w:ascii="Arial" w:eastAsia="Times New Roman" w:hAnsi="Arial" w:cs="Times New Roman"/>
          <w:szCs w:val="20"/>
        </w:rPr>
        <w:t>was 60 min for both TAPTIQOM</w:t>
      </w:r>
      <w:r w:rsidR="0001148C">
        <w:rPr>
          <w:rFonts w:ascii="Arial" w:eastAsia="Times New Roman" w:hAnsi="Arial" w:cs="Times New Roman"/>
          <w:szCs w:val="20"/>
        </w:rPr>
        <w:t xml:space="preserve"> 15/5</w:t>
      </w:r>
      <w:r w:rsidRPr="005E118E">
        <w:rPr>
          <w:rFonts w:ascii="Arial" w:eastAsia="Times New Roman" w:hAnsi="Arial" w:cs="Times New Roman"/>
          <w:szCs w:val="20"/>
        </w:rPr>
        <w:t xml:space="preserve"> and </w:t>
      </w: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monopreparation</w:t>
      </w:r>
      <w:proofErr w:type="spellEnd"/>
      <w:r w:rsidRPr="005E118E">
        <w:rPr>
          <w:rFonts w:ascii="Arial" w:eastAsia="Times New Roman" w:hAnsi="Arial" w:cs="Times New Roman"/>
          <w:szCs w:val="20"/>
        </w:rPr>
        <w:t xml:space="preserve">, while for </w:t>
      </w:r>
      <w:proofErr w:type="spellStart"/>
      <w:r w:rsidRPr="005E118E">
        <w:rPr>
          <w:rFonts w:ascii="Arial" w:eastAsia="Times New Roman" w:hAnsi="Arial" w:cs="Times New Roman"/>
          <w:szCs w:val="20"/>
        </w:rPr>
        <w:t>timolol</w:t>
      </w:r>
      <w:proofErr w:type="spellEnd"/>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T</w:t>
      </w:r>
      <w:r w:rsidRPr="00BC6596">
        <w:rPr>
          <w:rFonts w:ascii="Arial" w:eastAsia="Times New Roman" w:hAnsi="Arial" w:cs="Times New Roman"/>
          <w:szCs w:val="20"/>
          <w:vertAlign w:val="subscript"/>
        </w:rPr>
        <w:t>max</w:t>
      </w:r>
      <w:proofErr w:type="spellEnd"/>
      <w:r w:rsidRPr="005E118E">
        <w:rPr>
          <w:rFonts w:ascii="Arial" w:eastAsia="Times New Roman" w:hAnsi="Arial" w:cs="Times New Roman"/>
          <w:szCs w:val="20"/>
        </w:rPr>
        <w:t xml:space="preserve"> was 60 min for TAPTIQOM</w:t>
      </w:r>
      <w:r w:rsidR="0001148C">
        <w:rPr>
          <w:rFonts w:ascii="Arial" w:eastAsia="Times New Roman" w:hAnsi="Arial" w:cs="Times New Roman"/>
          <w:szCs w:val="20"/>
        </w:rPr>
        <w:t xml:space="preserve"> 15/5</w:t>
      </w:r>
      <w:r w:rsidRPr="005E118E">
        <w:rPr>
          <w:rFonts w:ascii="Arial" w:eastAsia="Times New Roman" w:hAnsi="Arial" w:cs="Times New Roman"/>
          <w:szCs w:val="20"/>
        </w:rPr>
        <w:t xml:space="preserve"> and 30 min for </w:t>
      </w:r>
      <w:proofErr w:type="spellStart"/>
      <w:r w:rsidRPr="005E118E">
        <w:rPr>
          <w:rFonts w:ascii="Arial" w:eastAsia="Times New Roman" w:hAnsi="Arial" w:cs="Times New Roman"/>
          <w:szCs w:val="20"/>
        </w:rPr>
        <w:t>timolol</w:t>
      </w:r>
      <w:proofErr w:type="spellEnd"/>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monopreparation</w:t>
      </w:r>
      <w:proofErr w:type="spellEnd"/>
      <w:r w:rsidRPr="005E118E">
        <w:rPr>
          <w:rFonts w:ascii="Arial" w:eastAsia="Times New Roman" w:hAnsi="Arial" w:cs="Times New Roman"/>
          <w:szCs w:val="20"/>
        </w:rPr>
        <w:t>.</w:t>
      </w:r>
    </w:p>
    <w:p w:rsidR="005E118E" w:rsidRPr="005E118E" w:rsidRDefault="005E118E" w:rsidP="005E118E">
      <w:pPr>
        <w:pStyle w:val="Body"/>
        <w:spacing w:before="240" w:after="120"/>
        <w:ind w:firstLine="0"/>
        <w:rPr>
          <w:rFonts w:cs="Arial"/>
          <w:b/>
          <w:sz w:val="22"/>
        </w:rPr>
      </w:pPr>
      <w:r w:rsidRPr="005E118E">
        <w:rPr>
          <w:rFonts w:cs="Arial"/>
          <w:b/>
          <w:sz w:val="22"/>
        </w:rPr>
        <w:t>Distribution</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Tafluprost</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After topical administration of 1</w:t>
      </w:r>
      <w:r w:rsidR="00C60C7B">
        <w:rPr>
          <w:rFonts w:ascii="Arial" w:eastAsia="Times New Roman" w:hAnsi="Arial" w:cs="Times New Roman"/>
          <w:szCs w:val="20"/>
        </w:rPr>
        <w:t xml:space="preserve"> </w:t>
      </w:r>
      <w:r w:rsidR="00C60C7B" w:rsidRPr="00C60C7B">
        <w:rPr>
          <w:rFonts w:ascii="Arial" w:eastAsia="Times New Roman" w:hAnsi="Arial" w:cs="Times New Roman"/>
          <w:szCs w:val="20"/>
        </w:rPr>
        <w:t xml:space="preserve">µg </w:t>
      </w:r>
      <w:r w:rsidR="00C60C7B" w:rsidRPr="00C60C7B">
        <w:rPr>
          <w:rFonts w:ascii="Arial" w:eastAsia="Times New Roman" w:hAnsi="Arial" w:cs="Times New Roman"/>
          <w:szCs w:val="20"/>
          <w:vertAlign w:val="superscript"/>
        </w:rPr>
        <w:t>3</w:t>
      </w:r>
      <w:r w:rsidR="00C60C7B" w:rsidRPr="00C60C7B">
        <w:rPr>
          <w:rFonts w:ascii="Arial" w:eastAsia="Times New Roman" w:hAnsi="Arial" w:cs="Times New Roman"/>
          <w:szCs w:val="20"/>
        </w:rPr>
        <w:t>H-tafluprost on the monkey eye, the maximum radioactivity in the aqueous humo</w:t>
      </w:r>
      <w:r w:rsidR="000C2DA1">
        <w:rPr>
          <w:rFonts w:ascii="Arial" w:eastAsia="Times New Roman" w:hAnsi="Arial" w:cs="Times New Roman"/>
          <w:szCs w:val="20"/>
        </w:rPr>
        <w:t>u</w:t>
      </w:r>
      <w:r w:rsidR="00C60C7B" w:rsidRPr="00C60C7B">
        <w:rPr>
          <w:rFonts w:ascii="Arial" w:eastAsia="Times New Roman" w:hAnsi="Arial" w:cs="Times New Roman"/>
          <w:szCs w:val="20"/>
        </w:rPr>
        <w:t>r was detected at 2 hours</w:t>
      </w:r>
      <w:r w:rsidR="00C60C7B">
        <w:rPr>
          <w:rFonts w:ascii="Arial" w:eastAsia="Times New Roman" w:hAnsi="Arial" w:cs="Times New Roman"/>
          <w:szCs w:val="20"/>
        </w:rPr>
        <w:t xml:space="preserve"> (</w:t>
      </w:r>
      <w:r w:rsidRPr="005E118E">
        <w:rPr>
          <w:rFonts w:ascii="Arial" w:eastAsia="Times New Roman" w:hAnsi="Arial" w:cs="Times New Roman"/>
          <w:szCs w:val="20"/>
        </w:rPr>
        <w:t xml:space="preserve">21-30 ng equivalents/mL) and declined to 0.3-0.4 ng equivalents/mL at 24 hours. The binding of tafluprost acid to human serum albumin </w:t>
      </w:r>
      <w:r w:rsidRPr="00EB5C01">
        <w:rPr>
          <w:rFonts w:ascii="Arial" w:eastAsia="Times New Roman" w:hAnsi="Arial" w:cs="Times New Roman"/>
          <w:i/>
          <w:szCs w:val="20"/>
        </w:rPr>
        <w:t>in vitro</w:t>
      </w:r>
      <w:r w:rsidRPr="005E118E">
        <w:rPr>
          <w:rFonts w:ascii="Arial" w:eastAsia="Times New Roman" w:hAnsi="Arial" w:cs="Times New Roman"/>
          <w:szCs w:val="20"/>
        </w:rPr>
        <w:t xml:space="preserve"> was 99% at 500 ng/m</w:t>
      </w:r>
      <w:r w:rsidR="00E16DC8">
        <w:rPr>
          <w:rFonts w:ascii="Arial" w:eastAsia="Times New Roman" w:hAnsi="Arial" w:cs="Times New Roman"/>
          <w:szCs w:val="20"/>
        </w:rPr>
        <w:t>L</w:t>
      </w:r>
      <w:r w:rsidRPr="005E118E">
        <w:rPr>
          <w:rFonts w:ascii="Arial" w:eastAsia="Times New Roman" w:hAnsi="Arial" w:cs="Times New Roman"/>
          <w:szCs w:val="20"/>
        </w:rPr>
        <w:t xml:space="preserve"> </w:t>
      </w: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xml:space="preserve"> acid.</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proofErr w:type="spellStart"/>
      <w:r w:rsidRPr="005E118E">
        <w:rPr>
          <w:rFonts w:ascii="Arial" w:eastAsia="Times New Roman" w:hAnsi="Arial" w:cs="Arial"/>
          <w:i/>
          <w:szCs w:val="20"/>
          <w:u w:val="single"/>
        </w:rPr>
        <w:lastRenderedPageBreak/>
        <w:t>Timolol</w:t>
      </w:r>
      <w:proofErr w:type="spellEnd"/>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The peak level of timolol-related radioactivity in the aqueous humo</w:t>
      </w:r>
      <w:r w:rsidR="007025A4">
        <w:rPr>
          <w:rFonts w:ascii="Arial" w:eastAsia="Times New Roman" w:hAnsi="Arial" w:cs="Times New Roman"/>
          <w:szCs w:val="20"/>
        </w:rPr>
        <w:t>u</w:t>
      </w:r>
      <w:r w:rsidRPr="005E118E">
        <w:rPr>
          <w:rFonts w:ascii="Arial" w:eastAsia="Times New Roman" w:hAnsi="Arial" w:cs="Times New Roman"/>
          <w:szCs w:val="20"/>
        </w:rPr>
        <w:t xml:space="preserve">r was reached after 30 minutes following a single </w:t>
      </w:r>
      <w:r w:rsidR="007A2F14">
        <w:rPr>
          <w:rFonts w:ascii="Arial" w:eastAsia="Times New Roman" w:hAnsi="Arial" w:cs="Times New Roman"/>
          <w:szCs w:val="20"/>
        </w:rPr>
        <w:t xml:space="preserve">topical ocular </w:t>
      </w:r>
      <w:r w:rsidRPr="005E118E">
        <w:rPr>
          <w:rFonts w:ascii="Arial" w:eastAsia="Times New Roman" w:hAnsi="Arial" w:cs="Times New Roman"/>
          <w:szCs w:val="20"/>
        </w:rPr>
        <w:t xml:space="preserve">application of </w:t>
      </w:r>
      <w:r w:rsidRPr="00146DF5">
        <w:rPr>
          <w:rFonts w:ascii="Arial" w:eastAsia="Times New Roman" w:hAnsi="Arial" w:cs="Times New Roman"/>
          <w:szCs w:val="20"/>
          <w:vertAlign w:val="superscript"/>
        </w:rPr>
        <w:t>3</w:t>
      </w:r>
      <w:r w:rsidRPr="005E118E">
        <w:rPr>
          <w:rFonts w:ascii="Arial" w:eastAsia="Times New Roman" w:hAnsi="Arial" w:cs="Times New Roman"/>
          <w:szCs w:val="20"/>
        </w:rPr>
        <w:t>H-radiolabell</w:t>
      </w:r>
      <w:r w:rsidR="00146DF5">
        <w:rPr>
          <w:rFonts w:ascii="Arial" w:eastAsia="Times New Roman" w:hAnsi="Arial" w:cs="Times New Roman"/>
          <w:szCs w:val="20"/>
        </w:rPr>
        <w:t>ed timolol (0.5% solution</w:t>
      </w:r>
      <w:r w:rsidRPr="005E118E">
        <w:rPr>
          <w:rFonts w:ascii="Arial" w:eastAsia="Times New Roman" w:hAnsi="Arial" w:cs="Times New Roman"/>
          <w:szCs w:val="20"/>
        </w:rPr>
        <w:t>) in rabbits.</w:t>
      </w:r>
    </w:p>
    <w:p w:rsidR="005E118E" w:rsidRPr="005E118E" w:rsidRDefault="005E118E" w:rsidP="005E118E">
      <w:pPr>
        <w:pStyle w:val="Body"/>
        <w:spacing w:before="240" w:after="120"/>
        <w:ind w:firstLine="0"/>
        <w:rPr>
          <w:rFonts w:cs="Arial"/>
          <w:b/>
          <w:sz w:val="22"/>
        </w:rPr>
      </w:pPr>
      <w:r w:rsidRPr="005E118E">
        <w:rPr>
          <w:rFonts w:cs="Arial"/>
          <w:b/>
          <w:sz w:val="22"/>
        </w:rPr>
        <w:t>Metabolism</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Tafluprost</w:t>
      </w:r>
    </w:p>
    <w:p w:rsidR="005E118E" w:rsidRPr="005E118E" w:rsidRDefault="005E118E" w:rsidP="005E118E">
      <w:pPr>
        <w:spacing w:after="60" w:line="240" w:lineRule="atLeast"/>
        <w:jc w:val="both"/>
        <w:rPr>
          <w:rFonts w:ascii="Arial" w:eastAsia="Times New Roman" w:hAnsi="Arial" w:cs="Times New Roman"/>
          <w:szCs w:val="20"/>
        </w:rPr>
      </w:pPr>
      <w:proofErr w:type="spellStart"/>
      <w:r w:rsidRPr="005E118E">
        <w:rPr>
          <w:rFonts w:ascii="Arial" w:eastAsia="Times New Roman" w:hAnsi="Arial" w:cs="Times New Roman"/>
          <w:szCs w:val="20"/>
        </w:rPr>
        <w:t>Tafluprost</w:t>
      </w:r>
      <w:proofErr w:type="spellEnd"/>
      <w:r w:rsidRPr="005E118E">
        <w:rPr>
          <w:rFonts w:ascii="Arial" w:eastAsia="Times New Roman" w:hAnsi="Arial" w:cs="Times New Roman"/>
          <w:szCs w:val="20"/>
        </w:rPr>
        <w:t>, an ester prodrug, is hydroly</w:t>
      </w:r>
      <w:r w:rsidR="0073586F">
        <w:rPr>
          <w:rFonts w:ascii="Arial" w:eastAsia="Times New Roman" w:hAnsi="Arial" w:cs="Times New Roman"/>
          <w:szCs w:val="20"/>
        </w:rPr>
        <w:t>s</w:t>
      </w:r>
      <w:r w:rsidRPr="005E118E">
        <w:rPr>
          <w:rFonts w:ascii="Arial" w:eastAsia="Times New Roman" w:hAnsi="Arial" w:cs="Times New Roman"/>
          <w:szCs w:val="20"/>
        </w:rPr>
        <w:t xml:space="preserve">ed to its biologically active acid metabolite in the eye. The principal metabolic pathway of tafluprost in human, which was tested </w:t>
      </w:r>
      <w:r w:rsidRPr="0073586F">
        <w:rPr>
          <w:rFonts w:ascii="Arial" w:eastAsia="Times New Roman" w:hAnsi="Arial" w:cs="Times New Roman"/>
          <w:i/>
          <w:szCs w:val="20"/>
        </w:rPr>
        <w:t>in vitro</w:t>
      </w:r>
      <w:r w:rsidR="007A2F14">
        <w:rPr>
          <w:rFonts w:ascii="Arial" w:eastAsia="Times New Roman" w:hAnsi="Arial" w:cs="Times New Roman"/>
          <w:i/>
          <w:szCs w:val="20"/>
        </w:rPr>
        <w:t xml:space="preserve"> </w:t>
      </w:r>
      <w:r w:rsidR="007A2F14">
        <w:rPr>
          <w:rFonts w:ascii="Arial" w:eastAsia="Times New Roman" w:hAnsi="Arial" w:cs="Times New Roman"/>
          <w:szCs w:val="20"/>
        </w:rPr>
        <w:t>in hepatocytes</w:t>
      </w:r>
      <w:r w:rsidRPr="005E118E">
        <w:rPr>
          <w:rFonts w:ascii="Arial" w:eastAsia="Times New Roman" w:hAnsi="Arial" w:cs="Times New Roman"/>
          <w:szCs w:val="20"/>
        </w:rPr>
        <w:t>, is the hydrolysis to the pharmacologically active metabolite, tafluprost acid, which is further metaboli</w:t>
      </w:r>
      <w:r w:rsidR="0073586F">
        <w:rPr>
          <w:rFonts w:ascii="Arial" w:eastAsia="Times New Roman" w:hAnsi="Arial" w:cs="Times New Roman"/>
          <w:szCs w:val="20"/>
        </w:rPr>
        <w:t>s</w:t>
      </w:r>
      <w:r w:rsidRPr="005E118E">
        <w:rPr>
          <w:rFonts w:ascii="Arial" w:eastAsia="Times New Roman" w:hAnsi="Arial" w:cs="Times New Roman"/>
          <w:szCs w:val="20"/>
        </w:rPr>
        <w:t xml:space="preserve">ed by </w:t>
      </w:r>
      <w:proofErr w:type="spellStart"/>
      <w:r w:rsidRPr="005E118E">
        <w:rPr>
          <w:rFonts w:ascii="Arial" w:eastAsia="Times New Roman" w:hAnsi="Arial" w:cs="Times New Roman"/>
          <w:szCs w:val="20"/>
        </w:rPr>
        <w:t>glucuronidation</w:t>
      </w:r>
      <w:proofErr w:type="spellEnd"/>
      <w:r w:rsidRPr="005E118E">
        <w:rPr>
          <w:rFonts w:ascii="Arial" w:eastAsia="Times New Roman" w:hAnsi="Arial" w:cs="Times New Roman"/>
          <w:szCs w:val="20"/>
        </w:rPr>
        <w:t xml:space="preserve"> or beta-oxidation. Products of beta-oxidation, 1</w:t>
      </w:r>
      <w:proofErr w:type="gramStart"/>
      <w:r w:rsidRPr="005E118E">
        <w:rPr>
          <w:rFonts w:ascii="Arial" w:eastAsia="Times New Roman" w:hAnsi="Arial" w:cs="Times New Roman"/>
          <w:szCs w:val="20"/>
        </w:rPr>
        <w:t>,2</w:t>
      </w:r>
      <w:proofErr w:type="gramEnd"/>
      <w:r w:rsidRPr="005E118E">
        <w:rPr>
          <w:rFonts w:ascii="Arial" w:eastAsia="Times New Roman" w:hAnsi="Arial" w:cs="Times New Roman"/>
          <w:szCs w:val="20"/>
        </w:rPr>
        <w:t xml:space="preserve">-dinor and 1,2,3,4-tetranor tafluprost acids, may be </w:t>
      </w:r>
      <w:proofErr w:type="spellStart"/>
      <w:r w:rsidRPr="005E118E">
        <w:rPr>
          <w:rFonts w:ascii="Arial" w:eastAsia="Times New Roman" w:hAnsi="Arial" w:cs="Times New Roman"/>
          <w:szCs w:val="20"/>
        </w:rPr>
        <w:t>glucuronidated</w:t>
      </w:r>
      <w:proofErr w:type="spellEnd"/>
      <w:r w:rsidRPr="005E118E">
        <w:rPr>
          <w:rFonts w:ascii="Arial" w:eastAsia="Times New Roman" w:hAnsi="Arial" w:cs="Times New Roman"/>
          <w:szCs w:val="20"/>
        </w:rPr>
        <w:t xml:space="preserve"> or </w:t>
      </w:r>
      <w:proofErr w:type="spellStart"/>
      <w:r w:rsidRPr="005E118E">
        <w:rPr>
          <w:rFonts w:ascii="Arial" w:eastAsia="Times New Roman" w:hAnsi="Arial" w:cs="Times New Roman"/>
          <w:szCs w:val="20"/>
        </w:rPr>
        <w:t>hydroxylated</w:t>
      </w:r>
      <w:proofErr w:type="spellEnd"/>
      <w:r w:rsidRPr="005E118E">
        <w:rPr>
          <w:rFonts w:ascii="Arial" w:eastAsia="Times New Roman" w:hAnsi="Arial" w:cs="Times New Roman"/>
          <w:szCs w:val="20"/>
        </w:rPr>
        <w:t xml:space="preserve">. Cytochrome P450 (CYP) enzymes are not involved in the metabolism of tafluprost acid. Based on the study in rabbit corneal tissue and with purified enzymes, the main esterase responsible for the ester hydrolysis to tafluprost acid is carboxyl esterase. </w:t>
      </w:r>
      <w:proofErr w:type="spellStart"/>
      <w:r w:rsidRPr="005E118E">
        <w:rPr>
          <w:rFonts w:ascii="Arial" w:eastAsia="Times New Roman" w:hAnsi="Arial" w:cs="Times New Roman"/>
          <w:szCs w:val="20"/>
        </w:rPr>
        <w:t>Buty</w:t>
      </w:r>
      <w:r w:rsidR="006A5AA6">
        <w:rPr>
          <w:rFonts w:ascii="Arial" w:eastAsia="Times New Roman" w:hAnsi="Arial" w:cs="Times New Roman"/>
          <w:szCs w:val="20"/>
        </w:rPr>
        <w:t>ry</w:t>
      </w:r>
      <w:r w:rsidRPr="005E118E">
        <w:rPr>
          <w:rFonts w:ascii="Arial" w:eastAsia="Times New Roman" w:hAnsi="Arial" w:cs="Times New Roman"/>
          <w:szCs w:val="20"/>
        </w:rPr>
        <w:t>lcholine</w:t>
      </w:r>
      <w:proofErr w:type="spellEnd"/>
      <w:r w:rsidRPr="005E118E">
        <w:rPr>
          <w:rFonts w:ascii="Arial" w:eastAsia="Times New Roman" w:hAnsi="Arial" w:cs="Times New Roman"/>
          <w:szCs w:val="20"/>
        </w:rPr>
        <w:t xml:space="preserve"> esterase but not acetylcholine esterase may also contribute to the hydrolysis.</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Timolol</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Timolol is metaboli</w:t>
      </w:r>
      <w:r w:rsidR="00D46BD2">
        <w:rPr>
          <w:rFonts w:ascii="Arial" w:eastAsia="Times New Roman" w:hAnsi="Arial" w:cs="Times New Roman"/>
          <w:szCs w:val="20"/>
        </w:rPr>
        <w:t>s</w:t>
      </w:r>
      <w:r w:rsidRPr="005E118E">
        <w:rPr>
          <w:rFonts w:ascii="Arial" w:eastAsia="Times New Roman" w:hAnsi="Arial" w:cs="Times New Roman"/>
          <w:szCs w:val="20"/>
        </w:rPr>
        <w:t>ed in the liver primarily by CYP2D6 enzyme</w:t>
      </w:r>
      <w:r w:rsidR="006A5AA6">
        <w:rPr>
          <w:rFonts w:ascii="Arial" w:eastAsia="Times New Roman" w:hAnsi="Arial" w:cs="Times New Roman"/>
          <w:szCs w:val="20"/>
        </w:rPr>
        <w:t>. Timolol and its metabolites</w:t>
      </w:r>
      <w:r w:rsidRPr="005E118E">
        <w:rPr>
          <w:rFonts w:ascii="Arial" w:eastAsia="Times New Roman" w:hAnsi="Arial" w:cs="Times New Roman"/>
          <w:szCs w:val="20"/>
        </w:rPr>
        <w:t xml:space="preserve"> are excreted primarily through the kidneys.</w:t>
      </w:r>
    </w:p>
    <w:p w:rsidR="005E118E" w:rsidRPr="005E118E" w:rsidRDefault="005E118E" w:rsidP="005E118E">
      <w:pPr>
        <w:pStyle w:val="Body"/>
        <w:spacing w:before="240" w:after="120"/>
        <w:ind w:firstLine="0"/>
        <w:rPr>
          <w:rFonts w:cs="Arial"/>
          <w:b/>
          <w:sz w:val="22"/>
        </w:rPr>
      </w:pPr>
      <w:r w:rsidRPr="005E118E">
        <w:rPr>
          <w:rFonts w:cs="Arial"/>
          <w:b/>
          <w:sz w:val="22"/>
        </w:rPr>
        <w:t>Elimination</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Tafluprost</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 xml:space="preserve">In two clinical studies, mean tafluprost acid metabolite concentrations fell below the limit of quantification in plasma </w:t>
      </w:r>
      <w:proofErr w:type="gramStart"/>
      <w:r w:rsidRPr="005E118E">
        <w:rPr>
          <w:rFonts w:ascii="Arial" w:eastAsia="Times New Roman" w:hAnsi="Arial" w:cs="Times New Roman"/>
          <w:szCs w:val="20"/>
        </w:rPr>
        <w:t>(10 </w:t>
      </w:r>
      <w:proofErr w:type="spellStart"/>
      <w:r w:rsidRPr="005E118E">
        <w:rPr>
          <w:rFonts w:ascii="Arial" w:eastAsia="Times New Roman" w:hAnsi="Arial" w:cs="Times New Roman"/>
          <w:szCs w:val="20"/>
        </w:rPr>
        <w:t>pg</w:t>
      </w:r>
      <w:proofErr w:type="spellEnd"/>
      <w:r w:rsidRPr="005E118E">
        <w:rPr>
          <w:rFonts w:ascii="Arial" w:eastAsia="Times New Roman" w:hAnsi="Arial" w:cs="Times New Roman"/>
          <w:szCs w:val="20"/>
        </w:rPr>
        <w:t>/mL)</w:t>
      </w:r>
      <w:proofErr w:type="gramEnd"/>
      <w:r w:rsidRPr="005E118E">
        <w:rPr>
          <w:rFonts w:ascii="Arial" w:eastAsia="Times New Roman" w:hAnsi="Arial" w:cs="Times New Roman"/>
          <w:szCs w:val="20"/>
        </w:rPr>
        <w:t xml:space="preserve"> 30 minutes after administration, indicating rapid elimination.</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Timolol</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Apparent elimination half-life from the human plasma is about 4 hours.</w:t>
      </w:r>
    </w:p>
    <w:p w:rsidR="005E118E" w:rsidRPr="005E118E" w:rsidRDefault="005E118E" w:rsidP="005E118E">
      <w:pPr>
        <w:pStyle w:val="Body"/>
        <w:spacing w:before="240" w:after="120"/>
        <w:ind w:firstLine="0"/>
        <w:rPr>
          <w:rFonts w:cs="Arial"/>
          <w:b/>
          <w:sz w:val="22"/>
        </w:rPr>
      </w:pPr>
      <w:r w:rsidRPr="005E118E">
        <w:rPr>
          <w:rFonts w:cs="Arial"/>
          <w:b/>
          <w:sz w:val="22"/>
        </w:rPr>
        <w:t>Special Populations</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Renal Insufficiency</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TAPTIQOM</w:t>
      </w:r>
      <w:r w:rsidR="00BB419E">
        <w:rPr>
          <w:rFonts w:ascii="Arial" w:eastAsia="Times New Roman" w:hAnsi="Arial" w:cs="Times New Roman"/>
          <w:szCs w:val="20"/>
        </w:rPr>
        <w:t xml:space="preserve"> 15/5</w:t>
      </w:r>
      <w:r w:rsidRPr="005E118E">
        <w:rPr>
          <w:rFonts w:ascii="Arial" w:eastAsia="Times New Roman" w:hAnsi="Arial" w:cs="Times New Roman"/>
          <w:szCs w:val="20"/>
        </w:rPr>
        <w:t xml:space="preserve"> has not been studied in patients with renal insufficiency and should therefore be used with caution in such patients.</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Hepatic Insufficiency</w:t>
      </w:r>
    </w:p>
    <w:p w:rsidR="005E118E"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TAPTIQOM</w:t>
      </w:r>
      <w:r w:rsidR="00BB419E">
        <w:rPr>
          <w:rFonts w:ascii="Arial" w:eastAsia="Times New Roman" w:hAnsi="Arial" w:cs="Times New Roman"/>
          <w:szCs w:val="20"/>
        </w:rPr>
        <w:t xml:space="preserve"> 15/5</w:t>
      </w:r>
      <w:r w:rsidRPr="005E118E">
        <w:rPr>
          <w:rFonts w:ascii="Arial" w:eastAsia="Times New Roman" w:hAnsi="Arial" w:cs="Times New Roman"/>
          <w:szCs w:val="20"/>
        </w:rPr>
        <w:t xml:space="preserve"> has not been studied in patients with hepatic insufficiency and should therefore be used with caution in such patients.</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Pulmonary Insufficiency</w:t>
      </w:r>
    </w:p>
    <w:p w:rsidR="00A1638C" w:rsidRPr="005E118E" w:rsidRDefault="005E118E" w:rsidP="005E118E">
      <w:pPr>
        <w:spacing w:after="60" w:line="240" w:lineRule="atLeast"/>
        <w:jc w:val="both"/>
        <w:rPr>
          <w:rFonts w:ascii="Arial" w:eastAsia="Times New Roman" w:hAnsi="Arial" w:cs="Times New Roman"/>
          <w:szCs w:val="20"/>
        </w:rPr>
      </w:pPr>
      <w:r w:rsidRPr="005E118E">
        <w:rPr>
          <w:rFonts w:ascii="Arial" w:eastAsia="Times New Roman" w:hAnsi="Arial" w:cs="Times New Roman"/>
          <w:szCs w:val="20"/>
        </w:rPr>
        <w:t>TAPTIQOM</w:t>
      </w:r>
      <w:r w:rsidR="00BB419E">
        <w:rPr>
          <w:rFonts w:ascii="Arial" w:eastAsia="Times New Roman" w:hAnsi="Arial" w:cs="Times New Roman"/>
          <w:szCs w:val="20"/>
        </w:rPr>
        <w:t xml:space="preserve"> 15/5</w:t>
      </w:r>
      <w:r w:rsidRPr="005E118E">
        <w:rPr>
          <w:rFonts w:ascii="Arial" w:eastAsia="Times New Roman" w:hAnsi="Arial" w:cs="Times New Roman"/>
          <w:szCs w:val="20"/>
        </w:rPr>
        <w:t xml:space="preserve"> has not been systematically studied in patients with pulmonary insufficiency and should therefore be used with caution in such patients.</w:t>
      </w:r>
    </w:p>
    <w:p w:rsidR="00A1638C" w:rsidRP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Clinical Trials</w:t>
      </w:r>
    </w:p>
    <w:p w:rsidR="005E118E" w:rsidRPr="005E118E" w:rsidRDefault="005E118E" w:rsidP="005E118E">
      <w:pPr>
        <w:spacing w:after="60" w:line="240" w:lineRule="auto"/>
        <w:jc w:val="both"/>
        <w:rPr>
          <w:rFonts w:ascii="Arial" w:eastAsia="Times New Roman" w:hAnsi="Arial" w:cs="Arial"/>
          <w:szCs w:val="20"/>
        </w:rPr>
      </w:pPr>
      <w:r w:rsidRPr="005E118E">
        <w:rPr>
          <w:rFonts w:ascii="Arial" w:eastAsia="Times New Roman" w:hAnsi="Arial" w:cs="Arial"/>
          <w:szCs w:val="20"/>
        </w:rPr>
        <w:t>In a 6-month study (n=400) in patients with open-angle glaucoma or ocular hypertension and mean untreated IOPs between 24-26 mmHg, the IOP lowering effect of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(once daily in the morning) was compared to concomitant administration of 0.0015% tafluprost (once daily in the morning) and 0.5% timolol (twice daily).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was </w:t>
      </w:r>
      <w:r w:rsidRPr="005E118E">
        <w:rPr>
          <w:rFonts w:ascii="Arial" w:eastAsia="Times New Roman" w:hAnsi="Arial" w:cs="Arial"/>
          <w:szCs w:val="20"/>
        </w:rPr>
        <w:lastRenderedPageBreak/>
        <w:t xml:space="preserve">non-inferior to the effect of concomitantly used 0.0015% </w:t>
      </w:r>
      <w:proofErr w:type="spellStart"/>
      <w:r w:rsidRPr="005E118E">
        <w:rPr>
          <w:rFonts w:ascii="Arial" w:eastAsia="Times New Roman" w:hAnsi="Arial" w:cs="Arial"/>
          <w:szCs w:val="20"/>
        </w:rPr>
        <w:t>tafluprost</w:t>
      </w:r>
      <w:proofErr w:type="spellEnd"/>
      <w:r w:rsidRPr="005E118E">
        <w:rPr>
          <w:rFonts w:ascii="Arial" w:eastAsia="Times New Roman" w:hAnsi="Arial" w:cs="Arial"/>
          <w:szCs w:val="20"/>
        </w:rPr>
        <w:t xml:space="preserve"> and 0.5% </w:t>
      </w:r>
      <w:proofErr w:type="spellStart"/>
      <w:r w:rsidRPr="005E118E">
        <w:rPr>
          <w:rFonts w:ascii="Arial" w:eastAsia="Times New Roman" w:hAnsi="Arial" w:cs="Arial"/>
          <w:szCs w:val="20"/>
        </w:rPr>
        <w:t>timolol</w:t>
      </w:r>
      <w:proofErr w:type="spellEnd"/>
      <w:r w:rsidRPr="005E118E">
        <w:rPr>
          <w:rFonts w:ascii="Arial" w:eastAsia="Times New Roman" w:hAnsi="Arial" w:cs="Arial"/>
          <w:szCs w:val="20"/>
        </w:rPr>
        <w:t xml:space="preserve"> at </w:t>
      </w:r>
      <w:proofErr w:type="spellStart"/>
      <w:r w:rsidRPr="005E118E">
        <w:rPr>
          <w:rFonts w:ascii="Arial" w:eastAsia="Times New Roman" w:hAnsi="Arial" w:cs="Arial"/>
          <w:szCs w:val="20"/>
        </w:rPr>
        <w:t>all time</w:t>
      </w:r>
      <w:proofErr w:type="spellEnd"/>
      <w:r w:rsidRPr="005E118E">
        <w:rPr>
          <w:rFonts w:ascii="Arial" w:eastAsia="Times New Roman" w:hAnsi="Arial" w:cs="Arial"/>
          <w:szCs w:val="20"/>
        </w:rPr>
        <w:t xml:space="preserve"> points and visits with the generally used non-inferiority margin of 1.5 mmHg. The mean diurnal IOP decrease from baseline was 8 mmHg in both arms at the primary endpoint of 6 months (decreases ranging between 7 to 9 mmHg in both arms at the different time points during the day over the study visits).</w:t>
      </w:r>
    </w:p>
    <w:p w:rsidR="005E118E" w:rsidRPr="005E118E" w:rsidRDefault="005E118E" w:rsidP="005E118E">
      <w:pPr>
        <w:spacing w:after="60" w:line="240" w:lineRule="auto"/>
        <w:jc w:val="both"/>
        <w:rPr>
          <w:rFonts w:ascii="Arial" w:eastAsia="Times New Roman" w:hAnsi="Arial" w:cs="Arial"/>
          <w:szCs w:val="20"/>
        </w:rPr>
      </w:pPr>
      <w:r w:rsidRPr="005E118E">
        <w:rPr>
          <w:rFonts w:ascii="Arial" w:eastAsia="Times New Roman" w:hAnsi="Arial" w:cs="Arial"/>
          <w:szCs w:val="20"/>
        </w:rPr>
        <w:t>Another 6-month study (n=564) compared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with the respective monotherapies in patients with open-angle glaucoma or ocular hypertension and mean untreated IOPs between 26-27 mmHg. Patients insufficiently controlled either with 0.0015% tafluprost (IOP 20 mmHg or greater on treatment) or 0.5% timolol (IOP 22 mmHg or greater on treatment) were randomized to be treated with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or the same monotherapy. The mean diurnal IOP reduction of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was statistically superior to that of tafluprost given once daily in the morning or timolol given twice daily, at visits 6 weeks, 3 months (primary efficacy endpoint) and 6 months. The mean diurnal IOP decrease from baseline of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at 3 months was 9 mmHg, in comparison to 7 mmHg observed for both monotherapies. IOP decreases with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at the different time points during the day over the visits ranged between 8 to 9 mmHg in the tafluprost monotherapy comp</w:t>
      </w:r>
      <w:r w:rsidR="007638C6">
        <w:rPr>
          <w:rFonts w:ascii="Arial" w:eastAsia="Times New Roman" w:hAnsi="Arial" w:cs="Arial"/>
          <w:szCs w:val="20"/>
        </w:rPr>
        <w:t>arison group and between 7 to 9 </w:t>
      </w:r>
      <w:r w:rsidRPr="005E118E">
        <w:rPr>
          <w:rFonts w:ascii="Arial" w:eastAsia="Times New Roman" w:hAnsi="Arial" w:cs="Arial"/>
          <w:szCs w:val="20"/>
        </w:rPr>
        <w:t>mmHg in the timolol monotherapy comparison group.</w:t>
      </w:r>
    </w:p>
    <w:p w:rsidR="00A1638C" w:rsidRPr="005E118E" w:rsidRDefault="005E118E" w:rsidP="005E118E">
      <w:pPr>
        <w:spacing w:after="60" w:line="240" w:lineRule="auto"/>
        <w:jc w:val="both"/>
        <w:rPr>
          <w:rFonts w:ascii="Arial" w:eastAsia="Times New Roman" w:hAnsi="Arial" w:cs="Arial"/>
          <w:szCs w:val="20"/>
        </w:rPr>
      </w:pPr>
      <w:r w:rsidRPr="005E118E">
        <w:rPr>
          <w:rFonts w:ascii="Arial" w:eastAsia="Times New Roman" w:hAnsi="Arial" w:cs="Arial"/>
          <w:szCs w:val="20"/>
        </w:rPr>
        <w:t>Combined data from TAPTIQOM</w:t>
      </w:r>
      <w:r w:rsidR="00BB419E">
        <w:rPr>
          <w:rFonts w:ascii="Arial" w:eastAsia="Times New Roman" w:hAnsi="Arial" w:cs="Arial"/>
          <w:szCs w:val="20"/>
        </w:rPr>
        <w:t xml:space="preserve"> 15/5</w:t>
      </w:r>
      <w:r w:rsidRPr="005E118E">
        <w:rPr>
          <w:rFonts w:ascii="Arial" w:eastAsia="Times New Roman" w:hAnsi="Arial" w:cs="Arial"/>
          <w:szCs w:val="20"/>
        </w:rPr>
        <w:t xml:space="preserve"> patients with high baseline IOP of 26 mmHg (mean diurnal) or above in these two pivotal studies (n=168) showed that the mean diurnal reduction in the IOP was 10 mmHg at the primary end point (3 or 6 months) ranging between 9 and 12 mmHg at the different time points during the day.</w:t>
      </w:r>
    </w:p>
    <w:p w:rsid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Indications</w:t>
      </w:r>
    </w:p>
    <w:p w:rsidR="00011931" w:rsidRPr="00011931" w:rsidRDefault="00011931" w:rsidP="00011931">
      <w:pPr>
        <w:spacing w:after="60" w:line="240" w:lineRule="auto"/>
        <w:jc w:val="both"/>
        <w:rPr>
          <w:rFonts w:ascii="Arial" w:eastAsia="Times New Roman" w:hAnsi="Arial" w:cs="Arial"/>
          <w:szCs w:val="20"/>
        </w:rPr>
      </w:pPr>
      <w:r w:rsidRPr="00011931">
        <w:rPr>
          <w:rFonts w:ascii="Arial" w:eastAsia="Times New Roman" w:hAnsi="Arial" w:cs="Arial"/>
          <w:szCs w:val="20"/>
        </w:rPr>
        <w:t>TAPTIQOM</w:t>
      </w:r>
      <w:r w:rsidR="00BB419E">
        <w:rPr>
          <w:rFonts w:ascii="Arial" w:eastAsia="Times New Roman" w:hAnsi="Arial" w:cs="Arial"/>
          <w:szCs w:val="20"/>
        </w:rPr>
        <w:t xml:space="preserve"> 15/5</w:t>
      </w:r>
      <w:r w:rsidRPr="00011931">
        <w:rPr>
          <w:rFonts w:ascii="Arial" w:eastAsia="Times New Roman" w:hAnsi="Arial" w:cs="Arial"/>
          <w:szCs w:val="20"/>
        </w:rPr>
        <w:t xml:space="preserve"> is indicated for the reduction of intraocular pressure (IOP) in adult patients with open angle glaucoma or ocular hypertension </w:t>
      </w:r>
      <w:r w:rsidR="00404C93">
        <w:rPr>
          <w:rFonts w:ascii="Arial" w:eastAsia="Times New Roman" w:hAnsi="Arial" w:cs="Arial"/>
          <w:szCs w:val="20"/>
        </w:rPr>
        <w:t xml:space="preserve">who are </w:t>
      </w:r>
      <w:r w:rsidR="00404C93" w:rsidRPr="00404C93">
        <w:rPr>
          <w:rFonts w:ascii="Arial" w:eastAsia="Times New Roman" w:hAnsi="Arial" w:cs="Arial"/>
          <w:szCs w:val="20"/>
        </w:rPr>
        <w:t xml:space="preserve">insufficiently responsive to </w:t>
      </w:r>
      <w:r w:rsidR="00404C93">
        <w:rPr>
          <w:rFonts w:ascii="Arial" w:eastAsia="Times New Roman" w:hAnsi="Arial" w:cs="Arial"/>
          <w:szCs w:val="20"/>
        </w:rPr>
        <w:t>beta blockers or prostaglandin analogues and require a combination therapy</w:t>
      </w:r>
      <w:r w:rsidRPr="00011931">
        <w:rPr>
          <w:rFonts w:ascii="Arial" w:eastAsia="Times New Roman" w:hAnsi="Arial" w:cs="Arial"/>
          <w:szCs w:val="20"/>
        </w:rPr>
        <w:t>.</w:t>
      </w:r>
    </w:p>
    <w:p w:rsid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Contraindications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TAPTIQOM</w:t>
      </w:r>
      <w:r w:rsidR="00BB419E">
        <w:rPr>
          <w:rFonts w:ascii="Arial" w:eastAsia="Times New Roman" w:hAnsi="Arial" w:cs="Arial"/>
          <w:szCs w:val="20"/>
        </w:rPr>
        <w:t xml:space="preserve"> 15/5</w:t>
      </w:r>
      <w:r w:rsidRPr="00A1638C">
        <w:rPr>
          <w:rFonts w:ascii="Arial" w:eastAsia="Times New Roman" w:hAnsi="Arial" w:cs="Arial"/>
          <w:szCs w:val="20"/>
        </w:rPr>
        <w:t xml:space="preserve"> is contraindicated in patients with hypersensitivity to the active substances or to any of the excipients.</w:t>
      </w:r>
    </w:p>
    <w:p w:rsidR="00A1638C" w:rsidRPr="00A1638C" w:rsidRDefault="00A1638C" w:rsidP="00A1638C">
      <w:pPr>
        <w:spacing w:after="60" w:line="240" w:lineRule="auto"/>
        <w:jc w:val="both"/>
        <w:rPr>
          <w:rFonts w:ascii="Arial" w:eastAsia="Times New Roman" w:hAnsi="Arial" w:cs="Arial"/>
          <w:szCs w:val="20"/>
        </w:rPr>
      </w:pPr>
      <w:proofErr w:type="gramStart"/>
      <w:r w:rsidRPr="00A1638C">
        <w:rPr>
          <w:rFonts w:ascii="Arial" w:eastAsia="Times New Roman" w:hAnsi="Arial" w:cs="Arial"/>
          <w:szCs w:val="20"/>
        </w:rPr>
        <w:t>Reactive airway disease, bronchospasm</w:t>
      </w:r>
      <w:r>
        <w:rPr>
          <w:rFonts w:ascii="Arial" w:eastAsia="Times New Roman" w:hAnsi="Arial" w:cs="Arial"/>
          <w:szCs w:val="20"/>
        </w:rPr>
        <w:t>,</w:t>
      </w:r>
      <w:r w:rsidRPr="00A1638C">
        <w:rPr>
          <w:rFonts w:ascii="Arial" w:eastAsia="Times New Roman" w:hAnsi="Arial" w:cs="Arial"/>
          <w:szCs w:val="20"/>
        </w:rPr>
        <w:t xml:space="preserve"> bronchial asthma or </w:t>
      </w:r>
      <w:r>
        <w:rPr>
          <w:rFonts w:ascii="Arial" w:eastAsia="Times New Roman" w:hAnsi="Arial" w:cs="Arial"/>
          <w:szCs w:val="20"/>
        </w:rPr>
        <w:t xml:space="preserve">with </w:t>
      </w:r>
      <w:r w:rsidRPr="00A1638C">
        <w:rPr>
          <w:rFonts w:ascii="Arial" w:eastAsia="Times New Roman" w:hAnsi="Arial" w:cs="Arial"/>
          <w:szCs w:val="20"/>
        </w:rPr>
        <w:t>a history of bronchial asthma, or severe chronic obstructive pulmonary disease.</w:t>
      </w:r>
      <w:proofErr w:type="gramEnd"/>
    </w:p>
    <w:p w:rsidR="00A1638C" w:rsidRDefault="00A1638C" w:rsidP="00A1638C">
      <w:pPr>
        <w:spacing w:after="60" w:line="240" w:lineRule="auto"/>
        <w:jc w:val="both"/>
        <w:rPr>
          <w:rFonts w:ascii="Arial" w:eastAsia="Times New Roman" w:hAnsi="Arial" w:cs="Arial"/>
          <w:szCs w:val="20"/>
        </w:rPr>
      </w:pPr>
      <w:proofErr w:type="gramStart"/>
      <w:r w:rsidRPr="00A1638C">
        <w:rPr>
          <w:rFonts w:ascii="Arial" w:eastAsia="Times New Roman" w:hAnsi="Arial" w:cs="Arial"/>
          <w:szCs w:val="20"/>
        </w:rPr>
        <w:t>Sinus bradycardia; sino-atrial block; second or third degree atrioventricular block; overt cardiac failure; cardiogenic shock.</w:t>
      </w:r>
      <w:proofErr w:type="gramEnd"/>
    </w:p>
    <w:p w:rsidR="00A1638C" w:rsidRP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Precautions</w:t>
      </w:r>
    </w:p>
    <w:p w:rsidR="00A1638C" w:rsidRPr="00A1638C" w:rsidRDefault="00A1638C" w:rsidP="00A1638C">
      <w:pPr>
        <w:pStyle w:val="Heading2"/>
      </w:pPr>
      <w:r w:rsidRPr="00A1638C">
        <w:t>Systemic effects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 xml:space="preserve">Like other topically applied ophthalmic agents, tafluprost and timolol are absorbed systemically. Due to the beta-adrenergic component timolol, the same types of cardiovascular, pulmonary and other adverse reactions as seen with systemic beta-adrenergic blocking agents may occur. </w:t>
      </w:r>
      <w:proofErr w:type="gramStart"/>
      <w:r w:rsidRPr="00A1638C">
        <w:rPr>
          <w:rFonts w:ascii="Arial" w:eastAsia="Times New Roman" w:hAnsi="Arial" w:cs="Arial"/>
          <w:szCs w:val="20"/>
        </w:rPr>
        <w:t>Incidence of systemic adverse drug reactions (ADRs) after topical ophthalmic administration is lower than for systemic administration.</w:t>
      </w:r>
      <w:proofErr w:type="gramEnd"/>
      <w:r w:rsidRPr="00A1638C">
        <w:rPr>
          <w:rFonts w:ascii="Arial" w:eastAsia="Times New Roman" w:hAnsi="Arial" w:cs="Arial"/>
          <w:szCs w:val="20"/>
        </w:rPr>
        <w:t xml:space="preserve"> To reduce the systemic absorption, see </w:t>
      </w:r>
      <w:r>
        <w:rPr>
          <w:rFonts w:ascii="Arial" w:eastAsia="Times New Roman" w:hAnsi="Arial" w:cs="Arial"/>
          <w:szCs w:val="20"/>
        </w:rPr>
        <w:t>DOSAGE AND ADMINISTRATION</w:t>
      </w:r>
      <w:r w:rsidRPr="00A1638C">
        <w:rPr>
          <w:rFonts w:ascii="Arial" w:eastAsia="Times New Roman" w:hAnsi="Arial" w:cs="Arial"/>
          <w:szCs w:val="20"/>
        </w:rPr>
        <w:t>.</w:t>
      </w:r>
    </w:p>
    <w:p w:rsidR="00A1638C" w:rsidRPr="00A1638C" w:rsidRDefault="00A1638C" w:rsidP="00A1638C">
      <w:pPr>
        <w:pStyle w:val="Heading2"/>
      </w:pPr>
      <w:r w:rsidRPr="00A1638C">
        <w:t>Cardiac disorders</w:t>
      </w:r>
    </w:p>
    <w:p w:rsidR="00026D60" w:rsidRPr="00026D60" w:rsidRDefault="00026D60" w:rsidP="00026D60">
      <w:pPr>
        <w:autoSpaceDE w:val="0"/>
        <w:autoSpaceDN w:val="0"/>
        <w:adjustRightInd w:val="0"/>
        <w:rPr>
          <w:rFonts w:ascii="Arial" w:hAnsi="Arial" w:cs="Arial"/>
          <w:iCs/>
          <w:lang w:val="en-US"/>
        </w:rPr>
      </w:pPr>
      <w:r w:rsidRPr="00026D60">
        <w:rPr>
          <w:rFonts w:ascii="Arial" w:hAnsi="Arial" w:cs="Arial"/>
          <w:iCs/>
          <w:lang w:val="en-US"/>
        </w:rPr>
        <w:t xml:space="preserve">In patients with cardiovascular diseases (e.g. coronary heart disease, </w:t>
      </w:r>
      <w:proofErr w:type="spellStart"/>
      <w:r w:rsidRPr="00026D60">
        <w:rPr>
          <w:rFonts w:ascii="Arial" w:hAnsi="Arial" w:cs="Arial"/>
          <w:iCs/>
          <w:lang w:val="en-US"/>
        </w:rPr>
        <w:t>Prinzmetal's</w:t>
      </w:r>
      <w:proofErr w:type="spellEnd"/>
      <w:r w:rsidRPr="00026D60">
        <w:rPr>
          <w:rFonts w:ascii="Arial" w:hAnsi="Arial" w:cs="Arial"/>
          <w:iCs/>
          <w:lang w:val="en-US"/>
        </w:rPr>
        <w:t xml:space="preserve"> angina and cardiac failure) and hypotension, therapy with beta-blockers should be critically assessed and the therapy with other active substances should be considered. Patients with </w:t>
      </w:r>
      <w:r w:rsidRPr="00026D60">
        <w:rPr>
          <w:rFonts w:ascii="Arial" w:hAnsi="Arial" w:cs="Arial"/>
          <w:iCs/>
          <w:lang w:val="en-US"/>
        </w:rPr>
        <w:lastRenderedPageBreak/>
        <w:t>cardiovascular diseases should be watched for signs of deterioration of these diseases and of advers</w:t>
      </w:r>
      <w:r w:rsidR="00987518">
        <w:rPr>
          <w:rFonts w:ascii="Arial" w:hAnsi="Arial" w:cs="Arial"/>
          <w:iCs/>
          <w:lang w:val="en-US"/>
        </w:rPr>
        <w:t>e reactions.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Due to its negative effect on conduction time, beta-blockers should only be given with caution to patients with first degree heart block.</w:t>
      </w:r>
    </w:p>
    <w:p w:rsidR="00A1638C" w:rsidRPr="00A1638C" w:rsidRDefault="00A1638C" w:rsidP="00A1638C">
      <w:pPr>
        <w:pStyle w:val="Heading2"/>
      </w:pPr>
      <w:r w:rsidRPr="00A1638C">
        <w:t>Vascular disorders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Patients with severe peripheral circulatory disturbance/disorders (i.e. severe forms of Raynaud's disease or Raynaud's syndrome) should be treated with caution.</w:t>
      </w:r>
    </w:p>
    <w:p w:rsidR="00A1638C" w:rsidRPr="00A1638C" w:rsidRDefault="00A1638C" w:rsidP="00A1638C">
      <w:pPr>
        <w:pStyle w:val="Heading2"/>
      </w:pPr>
      <w:r w:rsidRPr="00A1638C">
        <w:t>Respiratory disorders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Respiratory reactions, including death due to bronchospasm in patients with asthma have been reported following administration of some ophthalmic beta-blockers. TAPTIQOM</w:t>
      </w:r>
      <w:r w:rsidR="008C13FB">
        <w:rPr>
          <w:rFonts w:ascii="Arial" w:eastAsia="Times New Roman" w:hAnsi="Arial" w:cs="Arial"/>
          <w:szCs w:val="20"/>
        </w:rPr>
        <w:t xml:space="preserve"> 15/5</w:t>
      </w:r>
      <w:r w:rsidRPr="00A1638C">
        <w:rPr>
          <w:rFonts w:ascii="Arial" w:eastAsia="Times New Roman" w:hAnsi="Arial" w:cs="Arial"/>
          <w:szCs w:val="20"/>
        </w:rPr>
        <w:t xml:space="preserve"> should be used with caution, in patients with mild/moderate chronic obstructive pulmonary disease (COPD) and only if the potential benefit outweighs the potential risk.</w:t>
      </w:r>
    </w:p>
    <w:p w:rsidR="00A1638C" w:rsidRPr="00A1638C" w:rsidRDefault="00A1638C" w:rsidP="00A1638C">
      <w:pPr>
        <w:pStyle w:val="Heading2"/>
      </w:pPr>
      <w:proofErr w:type="spellStart"/>
      <w:r w:rsidRPr="00A1638C">
        <w:t>Hypoglyc</w:t>
      </w:r>
      <w:r w:rsidR="00011931">
        <w:t>a</w:t>
      </w:r>
      <w:r w:rsidRPr="00A1638C">
        <w:t>emia</w:t>
      </w:r>
      <w:proofErr w:type="spellEnd"/>
      <w:r w:rsidRPr="00A1638C">
        <w:t>/diabetes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Beta-adrenergic blocking agents should be administered with caution in patients subject to spontaneous hypoglyc</w:t>
      </w:r>
      <w:r w:rsidR="00011931">
        <w:rPr>
          <w:rFonts w:ascii="Arial" w:eastAsia="Times New Roman" w:hAnsi="Arial" w:cs="Arial"/>
          <w:szCs w:val="20"/>
        </w:rPr>
        <w:t>a</w:t>
      </w:r>
      <w:r w:rsidRPr="00A1638C">
        <w:rPr>
          <w:rFonts w:ascii="Arial" w:eastAsia="Times New Roman" w:hAnsi="Arial" w:cs="Arial"/>
          <w:szCs w:val="20"/>
        </w:rPr>
        <w:t>emia or to diabetic patients (especially those with labile diabetes) who are receiving insulin or oral hypoglyc</w:t>
      </w:r>
      <w:r w:rsidR="00011931">
        <w:rPr>
          <w:rFonts w:ascii="Arial" w:eastAsia="Times New Roman" w:hAnsi="Arial" w:cs="Arial"/>
          <w:szCs w:val="20"/>
        </w:rPr>
        <w:t>a</w:t>
      </w:r>
      <w:r w:rsidRPr="00A1638C">
        <w:rPr>
          <w:rFonts w:ascii="Arial" w:eastAsia="Times New Roman" w:hAnsi="Arial" w:cs="Arial"/>
          <w:szCs w:val="20"/>
        </w:rPr>
        <w:t>emic agents. Beta-adrenergic blocking agents may mask the signs and symptoms of acute hypoglyc</w:t>
      </w:r>
      <w:r w:rsidR="00011931">
        <w:rPr>
          <w:rFonts w:ascii="Arial" w:eastAsia="Times New Roman" w:hAnsi="Arial" w:cs="Arial"/>
          <w:szCs w:val="20"/>
        </w:rPr>
        <w:t>a</w:t>
      </w:r>
      <w:r w:rsidRPr="00A1638C">
        <w:rPr>
          <w:rFonts w:ascii="Arial" w:eastAsia="Times New Roman" w:hAnsi="Arial" w:cs="Arial"/>
          <w:szCs w:val="20"/>
        </w:rPr>
        <w:t>emia.</w:t>
      </w:r>
    </w:p>
    <w:p w:rsidR="001323FE" w:rsidRPr="00A1638C" w:rsidRDefault="001323FE" w:rsidP="001323FE">
      <w:pPr>
        <w:pStyle w:val="Heading2"/>
      </w:pPr>
      <w:r w:rsidRPr="00A1638C">
        <w:t>Hyp</w:t>
      </w:r>
      <w:r>
        <w:t>erthyroidism</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Beta-adrenergic blocking agents may mask certain clinical signs of hyperthyroidism (e.g., tachycardia). Patients suspected of developing thyrotoxicosis should be managed carefully to avoid abrupt withdrawal of beta-adrenergic blocking agents which might precipitate a thyroid storm.</w:t>
      </w:r>
    </w:p>
    <w:p w:rsidR="00A1638C" w:rsidRPr="00A1638C" w:rsidRDefault="00A1638C" w:rsidP="00A1638C">
      <w:pPr>
        <w:pStyle w:val="Heading2"/>
      </w:pPr>
      <w:r w:rsidRPr="00A1638C">
        <w:t>Other beta-blocking agents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The effect on intra-ocular pressure or the known effects of systemic beta-blockade may be potentiated when TAPTIQOM</w:t>
      </w:r>
      <w:r w:rsidR="008C13FB">
        <w:rPr>
          <w:rFonts w:ascii="Arial" w:eastAsia="Times New Roman" w:hAnsi="Arial" w:cs="Arial"/>
          <w:szCs w:val="20"/>
        </w:rPr>
        <w:t xml:space="preserve"> 15/5</w:t>
      </w:r>
      <w:r w:rsidRPr="00A1638C">
        <w:rPr>
          <w:rFonts w:ascii="Arial" w:eastAsia="Times New Roman" w:hAnsi="Arial" w:cs="Arial"/>
          <w:szCs w:val="20"/>
        </w:rPr>
        <w:t xml:space="preserve"> is given to the patients already receiving a systemic beta-blocking agent. The response of these patients should be closely observed. The use of two topical </w:t>
      </w:r>
      <w:r>
        <w:rPr>
          <w:rFonts w:ascii="Arial" w:eastAsia="Times New Roman" w:hAnsi="Arial" w:cs="Arial"/>
          <w:szCs w:val="20"/>
        </w:rPr>
        <w:t>beta</w:t>
      </w:r>
      <w:r w:rsidRPr="00A1638C">
        <w:rPr>
          <w:rFonts w:ascii="Arial" w:eastAsia="Times New Roman" w:hAnsi="Arial" w:cs="Arial"/>
          <w:szCs w:val="20"/>
        </w:rPr>
        <w:t>-adrenergic blocking agents is not recommended.</w:t>
      </w:r>
    </w:p>
    <w:p w:rsidR="00A1638C" w:rsidRPr="00A1638C" w:rsidRDefault="00A1638C" w:rsidP="00A1638C">
      <w:pPr>
        <w:pStyle w:val="Heading2"/>
      </w:pPr>
      <w:r w:rsidRPr="00A1638C">
        <w:t>Angle-closure glaucoma</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 xml:space="preserve">In patients with angle-closure glaucoma, the immediate objective of treatment is to reopen the angle. This requires constricting the pupil with a </w:t>
      </w:r>
      <w:proofErr w:type="spellStart"/>
      <w:r w:rsidRPr="00A1638C">
        <w:rPr>
          <w:rFonts w:ascii="Arial" w:eastAsia="Times New Roman" w:hAnsi="Arial" w:cs="Arial"/>
          <w:szCs w:val="20"/>
        </w:rPr>
        <w:t>miotic</w:t>
      </w:r>
      <w:proofErr w:type="spellEnd"/>
      <w:r w:rsidRPr="00A1638C">
        <w:rPr>
          <w:rFonts w:ascii="Arial" w:eastAsia="Times New Roman" w:hAnsi="Arial" w:cs="Arial"/>
          <w:szCs w:val="20"/>
        </w:rPr>
        <w:t xml:space="preserve">. Timolol has little or no effect on the pupil. When timolol is used to reduce elevated intraocular pressure in angle-closure glaucoma it should be used with a </w:t>
      </w:r>
      <w:proofErr w:type="spellStart"/>
      <w:r w:rsidRPr="00A1638C">
        <w:rPr>
          <w:rFonts w:ascii="Arial" w:eastAsia="Times New Roman" w:hAnsi="Arial" w:cs="Arial"/>
          <w:szCs w:val="20"/>
        </w:rPr>
        <w:t>miotic</w:t>
      </w:r>
      <w:proofErr w:type="spellEnd"/>
      <w:r w:rsidRPr="00A1638C">
        <w:rPr>
          <w:rFonts w:ascii="Arial" w:eastAsia="Times New Roman" w:hAnsi="Arial" w:cs="Arial"/>
          <w:szCs w:val="20"/>
        </w:rPr>
        <w:t xml:space="preserve"> and not alone.</w:t>
      </w:r>
    </w:p>
    <w:p w:rsidR="00A1638C" w:rsidRPr="00A1638C" w:rsidRDefault="00A1638C" w:rsidP="00A1638C">
      <w:pPr>
        <w:pStyle w:val="Heading2"/>
      </w:pPr>
      <w:r w:rsidRPr="00A1638C">
        <w:t>Anaphylactic reactions:</w:t>
      </w:r>
    </w:p>
    <w:p w:rsidR="00A1638C" w:rsidRPr="00A1638C" w:rsidRDefault="00A1638C" w:rsidP="00A1638C">
      <w:pPr>
        <w:spacing w:after="60" w:line="240" w:lineRule="auto"/>
        <w:jc w:val="both"/>
        <w:rPr>
          <w:rFonts w:ascii="Arial" w:eastAsia="Times New Roman" w:hAnsi="Arial" w:cs="Arial"/>
          <w:szCs w:val="20"/>
        </w:rPr>
      </w:pPr>
      <w:r>
        <w:rPr>
          <w:rFonts w:ascii="Arial" w:eastAsia="Times New Roman" w:hAnsi="Arial" w:cs="Arial"/>
          <w:szCs w:val="20"/>
        </w:rPr>
        <w:t>While taking beta</w:t>
      </w:r>
      <w:r w:rsidRPr="00A1638C">
        <w:rPr>
          <w:rFonts w:ascii="Arial" w:eastAsia="Times New Roman" w:hAnsi="Arial" w:cs="Arial"/>
          <w:szCs w:val="20"/>
        </w:rPr>
        <w:t>-blockers, patients with a history of atopy or a history of severe anaphylactic reaction to a variety of allergens may be more reactive to repeated challenge</w:t>
      </w:r>
      <w:r w:rsidR="00EB5C01">
        <w:rPr>
          <w:rFonts w:ascii="Arial" w:eastAsia="Times New Roman" w:hAnsi="Arial" w:cs="Arial"/>
          <w:szCs w:val="20"/>
        </w:rPr>
        <w:t xml:space="preserve"> </w:t>
      </w:r>
      <w:r w:rsidRPr="00A1638C">
        <w:rPr>
          <w:rFonts w:ascii="Arial" w:eastAsia="Times New Roman" w:hAnsi="Arial" w:cs="Arial"/>
          <w:szCs w:val="20"/>
        </w:rPr>
        <w:t xml:space="preserve">with such allergens, </w:t>
      </w:r>
      <w:proofErr w:type="gramStart"/>
      <w:r w:rsidRPr="00A1638C">
        <w:rPr>
          <w:rFonts w:ascii="Arial" w:eastAsia="Times New Roman" w:hAnsi="Arial" w:cs="Arial"/>
          <w:szCs w:val="20"/>
        </w:rPr>
        <w:t>either accidental</w:t>
      </w:r>
      <w:proofErr w:type="gramEnd"/>
      <w:r w:rsidRPr="00A1638C">
        <w:rPr>
          <w:rFonts w:ascii="Arial" w:eastAsia="Times New Roman" w:hAnsi="Arial" w:cs="Arial"/>
          <w:szCs w:val="20"/>
        </w:rPr>
        <w:t>, diagnostic, or therapeutic. Such patients may be unresponsive to the usual doses of epinephrine used to treat anaphylactic reactions.</w:t>
      </w:r>
    </w:p>
    <w:p w:rsidR="00A1638C" w:rsidRPr="00A1638C" w:rsidRDefault="00A1638C" w:rsidP="00A1638C">
      <w:pPr>
        <w:pStyle w:val="Heading2"/>
      </w:pPr>
      <w:r w:rsidRPr="00A1638C">
        <w:t>Choroidal detachment</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Choroidal detachment has been reported with administration of aqueous suppressant therapy (e.g. timolol, acetazolamide) after filtration procedures.</w:t>
      </w:r>
    </w:p>
    <w:p w:rsidR="00A1638C" w:rsidRPr="00A1638C" w:rsidRDefault="00A1638C" w:rsidP="00A1638C">
      <w:pPr>
        <w:pStyle w:val="Heading2"/>
      </w:pPr>
      <w:r w:rsidRPr="00A1638C">
        <w:lastRenderedPageBreak/>
        <w:t xml:space="preserve">Surgical </w:t>
      </w:r>
      <w:proofErr w:type="spellStart"/>
      <w:r w:rsidRPr="00A1638C">
        <w:t>anaesthesia</w:t>
      </w:r>
      <w:proofErr w:type="spellEnd"/>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The necessity or desirability of withdrawal of beta-adrenergic blocking agents prior to major surgery is controversial. If necessary during surgery, the effects of beta-adrenergic blocking agents may be reversed by sufficient doses of adrenergic agonists.</w:t>
      </w:r>
    </w:p>
    <w:p w:rsidR="00A1638C" w:rsidRPr="00A1638C" w:rsidRDefault="00A1638C" w:rsidP="00A1638C">
      <w:pPr>
        <w:pStyle w:val="Heading2"/>
      </w:pPr>
      <w:r w:rsidRPr="00A1638C">
        <w:t>Other</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Before treatment is initiated, patients should be informed of the possibility of eyelash growth, darkening of the eyelid skin and increased iris pigmentation which are related to tafluprost therapy. Some of these changes may be permanent, and may lead to differences in appearance between the eyes when only one eye is treated.</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The change in iris pigmentation occurs slowly and may not be noticeable for several months. The change in eye colo</w:t>
      </w:r>
      <w:r>
        <w:rPr>
          <w:rFonts w:ascii="Arial" w:eastAsia="Times New Roman" w:hAnsi="Arial" w:cs="Arial"/>
          <w:szCs w:val="20"/>
        </w:rPr>
        <w:t>u</w:t>
      </w:r>
      <w:r w:rsidRPr="00A1638C">
        <w:rPr>
          <w:rFonts w:ascii="Arial" w:eastAsia="Times New Roman" w:hAnsi="Arial" w:cs="Arial"/>
          <w:szCs w:val="20"/>
        </w:rPr>
        <w:t>r has predominantly been seen in patients with mixed colo</w:t>
      </w:r>
      <w:r>
        <w:rPr>
          <w:rFonts w:ascii="Arial" w:eastAsia="Times New Roman" w:hAnsi="Arial" w:cs="Arial"/>
          <w:szCs w:val="20"/>
        </w:rPr>
        <w:t>u</w:t>
      </w:r>
      <w:r w:rsidRPr="00A1638C">
        <w:rPr>
          <w:rFonts w:ascii="Arial" w:eastAsia="Times New Roman" w:hAnsi="Arial" w:cs="Arial"/>
          <w:szCs w:val="20"/>
        </w:rPr>
        <w:t>red irises, e.g., blue-brown, grey-brown, yellow-brown and green-brown. Unilateral treatment can result in permanent heterochromia.</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 xml:space="preserve">There is no experience with </w:t>
      </w:r>
      <w:proofErr w:type="spellStart"/>
      <w:r w:rsidRPr="00A1638C">
        <w:rPr>
          <w:rFonts w:ascii="Arial" w:eastAsia="Times New Roman" w:hAnsi="Arial" w:cs="Arial"/>
          <w:szCs w:val="20"/>
        </w:rPr>
        <w:t>tafluprost</w:t>
      </w:r>
      <w:proofErr w:type="spellEnd"/>
      <w:r w:rsidRPr="00A1638C">
        <w:rPr>
          <w:rFonts w:ascii="Arial" w:eastAsia="Times New Roman" w:hAnsi="Arial" w:cs="Arial"/>
          <w:szCs w:val="20"/>
        </w:rPr>
        <w:t xml:space="preserve"> in </w:t>
      </w:r>
      <w:proofErr w:type="spellStart"/>
      <w:r w:rsidRPr="00A1638C">
        <w:rPr>
          <w:rFonts w:ascii="Arial" w:eastAsia="Times New Roman" w:hAnsi="Arial" w:cs="Arial"/>
          <w:szCs w:val="20"/>
        </w:rPr>
        <w:t>neovascular</w:t>
      </w:r>
      <w:proofErr w:type="spellEnd"/>
      <w:r w:rsidRPr="00A1638C">
        <w:rPr>
          <w:rFonts w:ascii="Arial" w:eastAsia="Times New Roman" w:hAnsi="Arial" w:cs="Arial"/>
          <w:szCs w:val="20"/>
        </w:rPr>
        <w:t xml:space="preserve">, angle-closure, narrow-angle or congenital glaucoma. There is only limited experience with </w:t>
      </w:r>
      <w:proofErr w:type="spellStart"/>
      <w:r w:rsidRPr="00A1638C">
        <w:rPr>
          <w:rFonts w:ascii="Arial" w:eastAsia="Times New Roman" w:hAnsi="Arial" w:cs="Arial"/>
          <w:szCs w:val="20"/>
        </w:rPr>
        <w:t>tafluprost</w:t>
      </w:r>
      <w:proofErr w:type="spellEnd"/>
      <w:r w:rsidRPr="00A1638C">
        <w:rPr>
          <w:rFonts w:ascii="Arial" w:eastAsia="Times New Roman" w:hAnsi="Arial" w:cs="Arial"/>
          <w:szCs w:val="20"/>
        </w:rPr>
        <w:t xml:space="preserve"> in </w:t>
      </w:r>
      <w:proofErr w:type="spellStart"/>
      <w:r w:rsidRPr="00A1638C">
        <w:rPr>
          <w:rFonts w:ascii="Arial" w:eastAsia="Times New Roman" w:hAnsi="Arial" w:cs="Arial"/>
          <w:szCs w:val="20"/>
        </w:rPr>
        <w:t>aphakic</w:t>
      </w:r>
      <w:proofErr w:type="spellEnd"/>
      <w:r w:rsidRPr="00A1638C">
        <w:rPr>
          <w:rFonts w:ascii="Arial" w:eastAsia="Times New Roman" w:hAnsi="Arial" w:cs="Arial"/>
          <w:szCs w:val="20"/>
        </w:rPr>
        <w:t xml:space="preserve"> patients and in </w:t>
      </w:r>
      <w:proofErr w:type="spellStart"/>
      <w:r w:rsidRPr="00A1638C">
        <w:rPr>
          <w:rFonts w:ascii="Arial" w:eastAsia="Times New Roman" w:hAnsi="Arial" w:cs="Arial"/>
          <w:szCs w:val="20"/>
        </w:rPr>
        <w:t>pigmentary</w:t>
      </w:r>
      <w:proofErr w:type="spellEnd"/>
      <w:r w:rsidRPr="00A1638C">
        <w:rPr>
          <w:rFonts w:ascii="Arial" w:eastAsia="Times New Roman" w:hAnsi="Arial" w:cs="Arial"/>
          <w:szCs w:val="20"/>
        </w:rPr>
        <w:t xml:space="preserve"> or </w:t>
      </w:r>
      <w:proofErr w:type="spellStart"/>
      <w:r w:rsidRPr="00A1638C">
        <w:rPr>
          <w:rFonts w:ascii="Arial" w:eastAsia="Times New Roman" w:hAnsi="Arial" w:cs="Arial"/>
          <w:szCs w:val="20"/>
        </w:rPr>
        <w:t>pseudoexfoliative</w:t>
      </w:r>
      <w:proofErr w:type="spellEnd"/>
      <w:r w:rsidRPr="00A1638C">
        <w:rPr>
          <w:rFonts w:ascii="Arial" w:eastAsia="Times New Roman" w:hAnsi="Arial" w:cs="Arial"/>
          <w:szCs w:val="20"/>
        </w:rPr>
        <w:t xml:space="preserve"> glaucoma.</w:t>
      </w:r>
    </w:p>
    <w:p w:rsid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 xml:space="preserve">Macular </w:t>
      </w:r>
      <w:r>
        <w:rPr>
          <w:rFonts w:ascii="Arial" w:eastAsia="Times New Roman" w:hAnsi="Arial" w:cs="Arial"/>
          <w:szCs w:val="20"/>
        </w:rPr>
        <w:t>o</w:t>
      </w:r>
      <w:r w:rsidRPr="00A1638C">
        <w:rPr>
          <w:rFonts w:ascii="Arial" w:eastAsia="Times New Roman" w:hAnsi="Arial" w:cs="Arial"/>
          <w:szCs w:val="20"/>
        </w:rPr>
        <w:t xml:space="preserve">edema, including cystoid macular </w:t>
      </w:r>
      <w:r>
        <w:rPr>
          <w:rFonts w:ascii="Arial" w:eastAsia="Times New Roman" w:hAnsi="Arial" w:cs="Arial"/>
          <w:szCs w:val="20"/>
        </w:rPr>
        <w:t>o</w:t>
      </w:r>
      <w:r w:rsidRPr="00A1638C">
        <w:rPr>
          <w:rFonts w:ascii="Arial" w:eastAsia="Times New Roman" w:hAnsi="Arial" w:cs="Arial"/>
          <w:szCs w:val="20"/>
        </w:rPr>
        <w:t xml:space="preserve">edema, has been reported during treatment with prostaglandin F2α analogues. These reports have mainly occurred in </w:t>
      </w:r>
      <w:proofErr w:type="spellStart"/>
      <w:r w:rsidRPr="00A1638C">
        <w:rPr>
          <w:rFonts w:ascii="Arial" w:eastAsia="Times New Roman" w:hAnsi="Arial" w:cs="Arial"/>
          <w:szCs w:val="20"/>
        </w:rPr>
        <w:t>aphakic</w:t>
      </w:r>
      <w:proofErr w:type="spellEnd"/>
      <w:r w:rsidRPr="00A1638C">
        <w:rPr>
          <w:rFonts w:ascii="Arial" w:eastAsia="Times New Roman" w:hAnsi="Arial" w:cs="Arial"/>
          <w:szCs w:val="20"/>
        </w:rPr>
        <w:t xml:space="preserve"> patients, </w:t>
      </w:r>
      <w:proofErr w:type="spellStart"/>
      <w:r w:rsidRPr="00A1638C">
        <w:rPr>
          <w:rFonts w:ascii="Arial" w:eastAsia="Times New Roman" w:hAnsi="Arial" w:cs="Arial"/>
          <w:szCs w:val="20"/>
        </w:rPr>
        <w:t>pseudophakic</w:t>
      </w:r>
      <w:proofErr w:type="spellEnd"/>
      <w:r w:rsidRPr="00A1638C">
        <w:rPr>
          <w:rFonts w:ascii="Arial" w:eastAsia="Times New Roman" w:hAnsi="Arial" w:cs="Arial"/>
          <w:szCs w:val="20"/>
        </w:rPr>
        <w:t xml:space="preserve"> patients with a torn posterior lens capsule or anterior chamber lenses, or in patients with known risk factors for macular </w:t>
      </w:r>
      <w:r>
        <w:rPr>
          <w:rFonts w:ascii="Arial" w:eastAsia="Times New Roman" w:hAnsi="Arial" w:cs="Arial"/>
          <w:szCs w:val="20"/>
        </w:rPr>
        <w:t>o</w:t>
      </w:r>
      <w:r w:rsidRPr="00A1638C">
        <w:rPr>
          <w:rFonts w:ascii="Arial" w:eastAsia="Times New Roman" w:hAnsi="Arial" w:cs="Arial"/>
          <w:szCs w:val="20"/>
        </w:rPr>
        <w:t xml:space="preserve">edema. Therefore, caution is recommended when using tafluprost in these patients. Caution is also recommended in patients with known risk factors for </w:t>
      </w:r>
      <w:proofErr w:type="spellStart"/>
      <w:r w:rsidRPr="00A1638C">
        <w:rPr>
          <w:rFonts w:ascii="Arial" w:eastAsia="Times New Roman" w:hAnsi="Arial" w:cs="Arial"/>
          <w:szCs w:val="20"/>
        </w:rPr>
        <w:t>iritis</w:t>
      </w:r>
      <w:proofErr w:type="spellEnd"/>
      <w:r w:rsidRPr="00A1638C">
        <w:rPr>
          <w:rFonts w:ascii="Arial" w:eastAsia="Times New Roman" w:hAnsi="Arial" w:cs="Arial"/>
          <w:szCs w:val="20"/>
        </w:rPr>
        <w:t>/uveitis.</w:t>
      </w:r>
    </w:p>
    <w:p w:rsid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 xml:space="preserve">Patients should be advised that if they develop an </w:t>
      </w:r>
      <w:proofErr w:type="spellStart"/>
      <w:r w:rsidRPr="007B0A6F">
        <w:rPr>
          <w:rFonts w:ascii="Arial" w:eastAsia="Times New Roman" w:hAnsi="Arial" w:cs="Arial"/>
          <w:szCs w:val="20"/>
        </w:rPr>
        <w:t>intercurrent</w:t>
      </w:r>
      <w:proofErr w:type="spellEnd"/>
      <w:r w:rsidRPr="007B0A6F">
        <w:rPr>
          <w:rFonts w:ascii="Arial" w:eastAsia="Times New Roman" w:hAnsi="Arial" w:cs="Arial"/>
          <w:szCs w:val="20"/>
        </w:rPr>
        <w:t xml:space="preserve"> ocular condition (e.g. trauma, ocular surgery or infection) or any ocular reactions, particularly conjunctivitis and lid reactions they should immediately seek their physician's advice concerning the continued use of the product.</w:t>
      </w:r>
    </w:p>
    <w:p w:rsidR="00B122EF" w:rsidRPr="005E118E" w:rsidRDefault="00B122EF" w:rsidP="00B122EF">
      <w:pPr>
        <w:keepNext/>
        <w:spacing w:before="240" w:after="120" w:line="240" w:lineRule="auto"/>
        <w:jc w:val="both"/>
        <w:outlineLvl w:val="1"/>
        <w:rPr>
          <w:rFonts w:ascii="Arial" w:eastAsia="Times New Roman" w:hAnsi="Arial" w:cs="Arial"/>
          <w:b/>
          <w:bCs/>
          <w:iCs/>
          <w:lang w:val="en-US"/>
        </w:rPr>
      </w:pPr>
      <w:r>
        <w:rPr>
          <w:rFonts w:ascii="Arial" w:eastAsia="Times New Roman" w:hAnsi="Arial" w:cs="Arial"/>
          <w:b/>
          <w:bCs/>
          <w:iCs/>
          <w:lang w:val="en-US"/>
        </w:rPr>
        <w:t xml:space="preserve">Effects on </w:t>
      </w:r>
      <w:r w:rsidRPr="005E118E">
        <w:rPr>
          <w:rFonts w:ascii="Arial" w:eastAsia="Times New Roman" w:hAnsi="Arial" w:cs="Arial"/>
          <w:b/>
          <w:bCs/>
          <w:iCs/>
          <w:lang w:val="en-US"/>
        </w:rPr>
        <w:t>fertility</w:t>
      </w:r>
    </w:p>
    <w:p w:rsidR="00B122EF" w:rsidRDefault="00B122EF" w:rsidP="00B122EF">
      <w:pPr>
        <w:spacing w:after="120" w:line="240" w:lineRule="auto"/>
        <w:jc w:val="both"/>
        <w:rPr>
          <w:rFonts w:ascii="Arial" w:eastAsia="Times New Roman" w:hAnsi="Arial" w:cs="Times New Roman"/>
          <w:szCs w:val="20"/>
          <w:lang w:val="en-US"/>
        </w:rPr>
      </w:pPr>
      <w:r w:rsidRPr="00B122EF">
        <w:rPr>
          <w:rFonts w:ascii="Arial" w:eastAsia="Times New Roman" w:hAnsi="Arial" w:cs="Times New Roman"/>
          <w:szCs w:val="20"/>
          <w:lang w:val="en-US"/>
        </w:rPr>
        <w:t>No studies on the effect on fertility have been conducted with tafluprost and timolol in combination.</w:t>
      </w:r>
    </w:p>
    <w:p w:rsidR="00B122EF" w:rsidRPr="005E118E" w:rsidRDefault="00B122EF" w:rsidP="00B122EF">
      <w:pPr>
        <w:spacing w:after="12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In</w:t>
      </w:r>
      <w:r>
        <w:rPr>
          <w:rFonts w:ascii="Arial" w:eastAsia="Times New Roman" w:hAnsi="Arial" w:cs="Times New Roman"/>
          <w:szCs w:val="20"/>
          <w:lang w:val="en-US"/>
        </w:rPr>
        <w:t xml:space="preserve"> male and female</w:t>
      </w:r>
      <w:r w:rsidRPr="005E118E">
        <w:rPr>
          <w:rFonts w:ascii="Arial" w:eastAsia="Times New Roman" w:hAnsi="Arial" w:cs="Times New Roman"/>
          <w:szCs w:val="20"/>
          <w:lang w:val="en-US"/>
        </w:rPr>
        <w:t xml:space="preserve"> rats, no adverse effects on mating performance, fertility or early embryonic development were observed with intravenous dosing of tafluprost </w:t>
      </w:r>
      <w:proofErr w:type="gramStart"/>
      <w:r w:rsidRPr="005E118E">
        <w:rPr>
          <w:rFonts w:ascii="Arial" w:eastAsia="Times New Roman" w:hAnsi="Arial" w:cs="Times New Roman"/>
          <w:szCs w:val="20"/>
          <w:lang w:val="en-US"/>
        </w:rPr>
        <w:t>at</w:t>
      </w:r>
      <w:r>
        <w:rPr>
          <w:rFonts w:ascii="Arial" w:eastAsia="Times New Roman" w:hAnsi="Arial" w:cs="Times New Roman"/>
          <w:szCs w:val="20"/>
          <w:lang w:val="en-US"/>
        </w:rPr>
        <w:t xml:space="preserve"> up to 100 </w:t>
      </w:r>
      <w:r w:rsidRPr="00B122EF">
        <w:rPr>
          <w:rFonts w:ascii="Arial" w:eastAsia="Times New Roman" w:hAnsi="Arial" w:cs="Times New Roman"/>
          <w:szCs w:val="20"/>
          <w:lang w:val="en-US"/>
        </w:rPr>
        <w:t>μg/kg/day</w:t>
      </w:r>
      <w:r>
        <w:rPr>
          <w:rFonts w:ascii="Arial" w:eastAsia="Times New Roman" w:hAnsi="Arial" w:cs="Times New Roman"/>
          <w:szCs w:val="20"/>
          <w:lang w:val="en-US"/>
        </w:rPr>
        <w:t>, yielding</w:t>
      </w:r>
      <w:r w:rsidRPr="005E118E">
        <w:rPr>
          <w:rFonts w:ascii="Arial" w:eastAsia="Times New Roman" w:hAnsi="Arial" w:cs="Times New Roman"/>
          <w:szCs w:val="20"/>
          <w:lang w:val="en-US"/>
        </w:rPr>
        <w:t xml:space="preserve"> systemic exposure </w:t>
      </w:r>
      <w:r w:rsidR="00BC60BB">
        <w:rPr>
          <w:rFonts w:ascii="Arial" w:eastAsia="Times New Roman" w:hAnsi="Arial" w:cs="Times New Roman"/>
          <w:szCs w:val="20"/>
          <w:lang w:val="en-US"/>
        </w:rPr>
        <w:t xml:space="preserve">to tafluprost acid </w:t>
      </w:r>
      <w:r w:rsidRPr="005E118E">
        <w:rPr>
          <w:rFonts w:ascii="Arial" w:eastAsia="Times New Roman" w:hAnsi="Arial" w:cs="Times New Roman"/>
          <w:szCs w:val="20"/>
          <w:lang w:val="en-US"/>
        </w:rPr>
        <w:t>over 14000-times the maximum clinical exposure based on C</w:t>
      </w:r>
      <w:r w:rsidRPr="005E118E">
        <w:rPr>
          <w:rFonts w:ascii="Arial" w:eastAsia="Times New Roman" w:hAnsi="Arial" w:cs="Times New Roman"/>
          <w:szCs w:val="20"/>
          <w:vertAlign w:val="subscript"/>
          <w:lang w:val="en-US"/>
        </w:rPr>
        <w:t>max</w:t>
      </w:r>
      <w:r w:rsidRPr="005E118E">
        <w:rPr>
          <w:rFonts w:ascii="Arial" w:eastAsia="Times New Roman" w:hAnsi="Arial" w:cs="Times New Roman"/>
          <w:szCs w:val="20"/>
          <w:lang w:val="en-US"/>
        </w:rPr>
        <w:t xml:space="preserve"> or greater than 3600-times based on AUC</w:t>
      </w:r>
      <w:proofErr w:type="gramEnd"/>
      <w:r w:rsidRPr="005E118E">
        <w:rPr>
          <w:rFonts w:ascii="Arial" w:eastAsia="Times New Roman" w:hAnsi="Arial" w:cs="Times New Roman"/>
          <w:szCs w:val="20"/>
          <w:lang w:val="en-US"/>
        </w:rPr>
        <w:t>.</w:t>
      </w:r>
    </w:p>
    <w:p w:rsidR="00B122EF" w:rsidRPr="007B0A6F" w:rsidRDefault="00B122EF" w:rsidP="00B122EF">
      <w:pPr>
        <w:spacing w:after="12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Reproduction and fertility studies with timolol in rats showed no adverse effect on male or female fertility at</w:t>
      </w:r>
      <w:r>
        <w:rPr>
          <w:rFonts w:ascii="Arial" w:eastAsia="Times New Roman" w:hAnsi="Arial" w:cs="Times New Roman"/>
          <w:szCs w:val="20"/>
          <w:lang w:val="en-US"/>
        </w:rPr>
        <w:t xml:space="preserve"> oral</w:t>
      </w:r>
      <w:r w:rsidRPr="005E118E">
        <w:rPr>
          <w:rFonts w:ascii="Arial" w:eastAsia="Times New Roman" w:hAnsi="Arial" w:cs="Times New Roman"/>
          <w:szCs w:val="20"/>
          <w:lang w:val="en-US"/>
        </w:rPr>
        <w:t xml:space="preserve"> doses up to </w:t>
      </w:r>
      <w:r>
        <w:rPr>
          <w:rFonts w:ascii="Arial" w:eastAsia="Times New Roman" w:hAnsi="Arial" w:cs="Times New Roman"/>
          <w:szCs w:val="20"/>
          <w:lang w:val="en-US"/>
        </w:rPr>
        <w:t>1</w:t>
      </w:r>
      <w:r w:rsidR="0065572F">
        <w:rPr>
          <w:rFonts w:ascii="Arial" w:eastAsia="Times New Roman" w:hAnsi="Arial" w:cs="Times New Roman"/>
          <w:szCs w:val="20"/>
          <w:lang w:val="en-US"/>
        </w:rPr>
        <w:t>5</w:t>
      </w:r>
      <w:r>
        <w:rPr>
          <w:rFonts w:ascii="Arial" w:eastAsia="Times New Roman" w:hAnsi="Arial" w:cs="Times New Roman"/>
          <w:szCs w:val="20"/>
          <w:lang w:val="en-US"/>
        </w:rPr>
        <w:t>0 mg/kg/day.</w:t>
      </w:r>
    </w:p>
    <w:p w:rsidR="007B0A6F" w:rsidRDefault="007B0A6F" w:rsidP="007B0A6F">
      <w:pPr>
        <w:pStyle w:val="Heading2"/>
      </w:pPr>
      <w:r>
        <w:t xml:space="preserve">Use in Pregnancy </w:t>
      </w:r>
      <w:r w:rsidRPr="007B0A6F">
        <w:t>(Category C)</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There are no adequate data for the use of TAPTIQOM</w:t>
      </w:r>
      <w:r w:rsidR="008C13FB">
        <w:rPr>
          <w:rFonts w:ascii="Arial" w:eastAsia="Times New Roman" w:hAnsi="Arial" w:cs="Arial"/>
          <w:szCs w:val="20"/>
        </w:rPr>
        <w:t xml:space="preserve"> 15/5</w:t>
      </w:r>
      <w:r w:rsidRPr="007B0A6F">
        <w:rPr>
          <w:rFonts w:ascii="Arial" w:eastAsia="Times New Roman" w:hAnsi="Arial" w:cs="Arial"/>
          <w:szCs w:val="20"/>
        </w:rPr>
        <w:t xml:space="preserve"> in pregnant women. </w:t>
      </w:r>
      <w:r w:rsidR="00AB3854" w:rsidRPr="00AB3854">
        <w:rPr>
          <w:rFonts w:ascii="Arial" w:eastAsia="Times New Roman" w:hAnsi="Arial" w:cs="Arial"/>
          <w:szCs w:val="20"/>
        </w:rPr>
        <w:t xml:space="preserve">No studies on the effect on </w:t>
      </w:r>
      <w:proofErr w:type="spellStart"/>
      <w:r w:rsidR="00AB3854" w:rsidRPr="00AB3854">
        <w:rPr>
          <w:rFonts w:ascii="Arial" w:eastAsia="Times New Roman" w:hAnsi="Arial" w:cs="Arial"/>
          <w:szCs w:val="20"/>
        </w:rPr>
        <w:t>embryofetal</w:t>
      </w:r>
      <w:proofErr w:type="spellEnd"/>
      <w:r w:rsidR="00AB3854" w:rsidRPr="00AB3854">
        <w:rPr>
          <w:rFonts w:ascii="Arial" w:eastAsia="Times New Roman" w:hAnsi="Arial" w:cs="Arial"/>
          <w:szCs w:val="20"/>
        </w:rPr>
        <w:t xml:space="preserve"> development of </w:t>
      </w:r>
      <w:proofErr w:type="spellStart"/>
      <w:r w:rsidR="00AB3854" w:rsidRPr="00AB3854">
        <w:rPr>
          <w:rFonts w:ascii="Arial" w:eastAsia="Times New Roman" w:hAnsi="Arial" w:cs="Arial"/>
          <w:szCs w:val="20"/>
        </w:rPr>
        <w:t>tafluprost</w:t>
      </w:r>
      <w:proofErr w:type="spellEnd"/>
      <w:r w:rsidR="00AB3854" w:rsidRPr="00AB3854">
        <w:rPr>
          <w:rFonts w:ascii="Arial" w:eastAsia="Times New Roman" w:hAnsi="Arial" w:cs="Arial"/>
          <w:szCs w:val="20"/>
        </w:rPr>
        <w:t xml:space="preserve"> and timolol in combination in animals have been performed.</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Women of childbearing potential have to use effective contraception during TAPTIQOM</w:t>
      </w:r>
      <w:r w:rsidR="008C13FB">
        <w:rPr>
          <w:rFonts w:ascii="Arial" w:eastAsia="Times New Roman" w:hAnsi="Arial" w:cs="Arial"/>
          <w:szCs w:val="20"/>
        </w:rPr>
        <w:t xml:space="preserve"> 15/5</w:t>
      </w:r>
      <w:r w:rsidRPr="007B0A6F">
        <w:rPr>
          <w:rFonts w:ascii="Arial" w:eastAsia="Times New Roman" w:hAnsi="Arial" w:cs="Arial"/>
          <w:szCs w:val="20"/>
        </w:rPr>
        <w:t xml:space="preserve"> treatment.</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TAPTIQOM</w:t>
      </w:r>
      <w:r w:rsidR="008C13FB">
        <w:rPr>
          <w:rFonts w:ascii="Arial" w:eastAsia="Times New Roman" w:hAnsi="Arial" w:cs="Arial"/>
          <w:szCs w:val="20"/>
        </w:rPr>
        <w:t xml:space="preserve"> 15/5</w:t>
      </w:r>
      <w:r w:rsidRPr="007B0A6F">
        <w:rPr>
          <w:rFonts w:ascii="Arial" w:eastAsia="Times New Roman" w:hAnsi="Arial" w:cs="Arial"/>
          <w:szCs w:val="20"/>
        </w:rPr>
        <w:t xml:space="preserve"> should not be used during pregnancy unless clearly necessary (in case no other treatment options are available).</w:t>
      </w:r>
    </w:p>
    <w:p w:rsidR="007B0A6F" w:rsidRPr="007B0A6F" w:rsidRDefault="007B0A6F" w:rsidP="00FD7869">
      <w:pPr>
        <w:pageBreakBefore/>
        <w:autoSpaceDE w:val="0"/>
        <w:autoSpaceDN w:val="0"/>
        <w:adjustRightInd w:val="0"/>
        <w:spacing w:before="120" w:after="60" w:line="240" w:lineRule="auto"/>
        <w:jc w:val="both"/>
        <w:rPr>
          <w:rFonts w:ascii="Arial" w:eastAsia="Times New Roman" w:hAnsi="Arial" w:cs="Arial"/>
          <w:i/>
          <w:szCs w:val="20"/>
          <w:u w:val="single"/>
        </w:rPr>
      </w:pPr>
      <w:bookmarkStart w:id="2" w:name="_GoBack"/>
      <w:bookmarkEnd w:id="2"/>
      <w:r w:rsidRPr="007B0A6F">
        <w:rPr>
          <w:rFonts w:ascii="Arial" w:eastAsia="Times New Roman" w:hAnsi="Arial" w:cs="Arial"/>
          <w:i/>
          <w:szCs w:val="20"/>
          <w:u w:val="single"/>
        </w:rPr>
        <w:lastRenderedPageBreak/>
        <w:t>Tafluprost:</w:t>
      </w:r>
    </w:p>
    <w:p w:rsid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There are no adequate data for the use of tafluprost in pregnant women. Tafluprost can have harmful pharmacologic</w:t>
      </w:r>
      <w:r w:rsidR="00FB103F">
        <w:rPr>
          <w:rFonts w:ascii="Arial" w:eastAsia="Times New Roman" w:hAnsi="Arial" w:cs="Arial"/>
          <w:szCs w:val="20"/>
        </w:rPr>
        <w:t>al</w:t>
      </w:r>
      <w:r w:rsidRPr="007B0A6F">
        <w:rPr>
          <w:rFonts w:ascii="Arial" w:eastAsia="Times New Roman" w:hAnsi="Arial" w:cs="Arial"/>
          <w:szCs w:val="20"/>
        </w:rPr>
        <w:t xml:space="preserve"> effects on pregnancy and/or the </w:t>
      </w:r>
      <w:proofErr w:type="spellStart"/>
      <w:r w:rsidRPr="007B0A6F">
        <w:rPr>
          <w:rFonts w:ascii="Arial" w:eastAsia="Times New Roman" w:hAnsi="Arial" w:cs="Arial"/>
          <w:szCs w:val="20"/>
        </w:rPr>
        <w:t>fetus</w:t>
      </w:r>
      <w:proofErr w:type="spellEnd"/>
      <w:r w:rsidRPr="007B0A6F">
        <w:rPr>
          <w:rFonts w:ascii="Arial" w:eastAsia="Times New Roman" w:hAnsi="Arial" w:cs="Arial"/>
          <w:szCs w:val="20"/>
        </w:rPr>
        <w:t>/newborn child. The potential risk for humans is unknown.</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 xml:space="preserve">In </w:t>
      </w:r>
      <w:proofErr w:type="spellStart"/>
      <w:r w:rsidRPr="007B0A6F">
        <w:rPr>
          <w:rFonts w:ascii="Arial" w:eastAsia="Times New Roman" w:hAnsi="Arial" w:cs="Arial"/>
          <w:szCs w:val="20"/>
        </w:rPr>
        <w:t>embryofetal</w:t>
      </w:r>
      <w:proofErr w:type="spellEnd"/>
      <w:r w:rsidRPr="007B0A6F">
        <w:rPr>
          <w:rFonts w:ascii="Arial" w:eastAsia="Times New Roman" w:hAnsi="Arial" w:cs="Arial"/>
          <w:szCs w:val="20"/>
        </w:rPr>
        <w:t xml:space="preserve"> development studies, </w:t>
      </w:r>
      <w:proofErr w:type="spellStart"/>
      <w:r w:rsidRPr="007B0A6F">
        <w:rPr>
          <w:rFonts w:ascii="Arial" w:eastAsia="Times New Roman" w:hAnsi="Arial" w:cs="Arial"/>
          <w:szCs w:val="20"/>
        </w:rPr>
        <w:t>tafluprost</w:t>
      </w:r>
      <w:proofErr w:type="spellEnd"/>
      <w:r w:rsidRPr="007B0A6F">
        <w:rPr>
          <w:rFonts w:ascii="Arial" w:eastAsia="Times New Roman" w:hAnsi="Arial" w:cs="Arial"/>
          <w:szCs w:val="20"/>
        </w:rPr>
        <w:t xml:space="preserve"> administered intravenously caused increases in post-implantation losses in rats and rabbits and reductions in </w:t>
      </w:r>
      <w:proofErr w:type="spellStart"/>
      <w:r w:rsidRPr="007B0A6F">
        <w:rPr>
          <w:rFonts w:ascii="Arial" w:eastAsia="Times New Roman" w:hAnsi="Arial" w:cs="Arial"/>
          <w:szCs w:val="20"/>
        </w:rPr>
        <w:t>fetal</w:t>
      </w:r>
      <w:proofErr w:type="spellEnd"/>
      <w:r w:rsidRPr="007B0A6F">
        <w:rPr>
          <w:rFonts w:ascii="Arial" w:eastAsia="Times New Roman" w:hAnsi="Arial" w:cs="Arial"/>
          <w:szCs w:val="20"/>
        </w:rPr>
        <w:t xml:space="preserve"> body weights in rats. Tafluprost also increased the incidence of spine malformations and vertebral skeletal variations in rats and the incidence of skull, brain and spine malformations in rabbits. In the rats, there were no adverse effects on </w:t>
      </w:r>
      <w:proofErr w:type="spellStart"/>
      <w:r w:rsidR="002E677C">
        <w:rPr>
          <w:rFonts w:ascii="Arial" w:eastAsia="Times New Roman" w:hAnsi="Arial" w:cs="Arial"/>
          <w:szCs w:val="20"/>
        </w:rPr>
        <w:t>embryo</w:t>
      </w:r>
      <w:r w:rsidR="002E677C" w:rsidRPr="007B0A6F">
        <w:rPr>
          <w:rFonts w:ascii="Arial" w:eastAsia="Times New Roman" w:hAnsi="Arial" w:cs="Arial"/>
          <w:szCs w:val="20"/>
        </w:rPr>
        <w:t>fetal</w:t>
      </w:r>
      <w:proofErr w:type="spellEnd"/>
      <w:r w:rsidRPr="007B0A6F">
        <w:rPr>
          <w:rFonts w:ascii="Arial" w:eastAsia="Times New Roman" w:hAnsi="Arial" w:cs="Arial"/>
          <w:szCs w:val="20"/>
        </w:rPr>
        <w:t xml:space="preserve"> development at 3 μg/kg/day, yielding maternal plasma levels of tafluprost acid that were 343-times the maximum clinical exposure based on C</w:t>
      </w:r>
      <w:r w:rsidRPr="00BC6596">
        <w:rPr>
          <w:rFonts w:ascii="Arial" w:eastAsia="Times New Roman" w:hAnsi="Arial" w:cs="Arial"/>
          <w:szCs w:val="20"/>
          <w:vertAlign w:val="subscript"/>
        </w:rPr>
        <w:t>max</w:t>
      </w:r>
      <w:r w:rsidRPr="007B0A6F">
        <w:rPr>
          <w:rFonts w:ascii="Arial" w:eastAsia="Times New Roman" w:hAnsi="Arial" w:cs="Arial"/>
          <w:szCs w:val="20"/>
        </w:rPr>
        <w:t>. In rabbits, effects were seen at doses ≥0.03 μg/kg/day, producing maternal plasma levels of tafluprost acid during the critical period of development that were 5.3-times higher than the clinical exposure based on C</w:t>
      </w:r>
      <w:r w:rsidRPr="00BC6596">
        <w:rPr>
          <w:rFonts w:ascii="Arial" w:eastAsia="Times New Roman" w:hAnsi="Arial" w:cs="Arial"/>
          <w:szCs w:val="20"/>
          <w:vertAlign w:val="subscript"/>
        </w:rPr>
        <w:t>max</w:t>
      </w:r>
      <w:r w:rsidRPr="007B0A6F">
        <w:rPr>
          <w:rFonts w:ascii="Arial" w:eastAsia="Times New Roman" w:hAnsi="Arial" w:cs="Arial"/>
          <w:szCs w:val="20"/>
        </w:rPr>
        <w:t xml:space="preserve">. At the no effect dose in rabbits, maternal plasma levels of tafluprost acid were below the lower limit of quantification </w:t>
      </w:r>
      <w:proofErr w:type="gramStart"/>
      <w:r w:rsidRPr="007B0A6F">
        <w:rPr>
          <w:rFonts w:ascii="Arial" w:eastAsia="Times New Roman" w:hAnsi="Arial" w:cs="Arial"/>
          <w:szCs w:val="20"/>
        </w:rPr>
        <w:t xml:space="preserve">(20 </w:t>
      </w:r>
      <w:proofErr w:type="spellStart"/>
      <w:r w:rsidRPr="007B0A6F">
        <w:rPr>
          <w:rFonts w:ascii="Arial" w:eastAsia="Times New Roman" w:hAnsi="Arial" w:cs="Arial"/>
          <w:szCs w:val="20"/>
        </w:rPr>
        <w:t>pg</w:t>
      </w:r>
      <w:proofErr w:type="spellEnd"/>
      <w:r w:rsidRPr="007B0A6F">
        <w:rPr>
          <w:rFonts w:ascii="Arial" w:eastAsia="Times New Roman" w:hAnsi="Arial" w:cs="Arial"/>
          <w:szCs w:val="20"/>
        </w:rPr>
        <w:t>/mL)</w:t>
      </w:r>
      <w:proofErr w:type="gramEnd"/>
      <w:r w:rsidRPr="007B0A6F">
        <w:rPr>
          <w:rFonts w:ascii="Arial" w:eastAsia="Times New Roman" w:hAnsi="Arial" w:cs="Arial"/>
          <w:szCs w:val="20"/>
        </w:rPr>
        <w:t xml:space="preserve"> and less than the clinical C</w:t>
      </w:r>
      <w:r w:rsidRPr="00BC6596">
        <w:rPr>
          <w:rFonts w:ascii="Arial" w:eastAsia="Times New Roman" w:hAnsi="Arial" w:cs="Arial"/>
          <w:szCs w:val="20"/>
          <w:vertAlign w:val="subscript"/>
        </w:rPr>
        <w:t>max</w:t>
      </w:r>
      <w:r w:rsidRPr="007B0A6F">
        <w:rPr>
          <w:rFonts w:ascii="Arial" w:eastAsia="Times New Roman" w:hAnsi="Arial" w:cs="Arial"/>
          <w:szCs w:val="20"/>
        </w:rPr>
        <w:t>.</w:t>
      </w:r>
    </w:p>
    <w:p w:rsid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 xml:space="preserve">In a pre- and postnatal development study in rats, increased mortality of newborns were observed with </w:t>
      </w:r>
      <w:proofErr w:type="spellStart"/>
      <w:r w:rsidRPr="007B0A6F">
        <w:rPr>
          <w:rFonts w:ascii="Arial" w:eastAsia="Times New Roman" w:hAnsi="Arial" w:cs="Arial"/>
          <w:szCs w:val="20"/>
        </w:rPr>
        <w:t>tafluprost</w:t>
      </w:r>
      <w:proofErr w:type="spellEnd"/>
      <w:r w:rsidRPr="007B0A6F">
        <w:rPr>
          <w:rFonts w:ascii="Arial" w:eastAsia="Times New Roman" w:hAnsi="Arial" w:cs="Arial"/>
          <w:szCs w:val="20"/>
        </w:rPr>
        <w:t xml:space="preserve"> at ≥1 </w:t>
      </w:r>
      <w:proofErr w:type="spellStart"/>
      <w:r w:rsidRPr="007B0A6F">
        <w:rPr>
          <w:rFonts w:ascii="Arial" w:eastAsia="Times New Roman" w:hAnsi="Arial" w:cs="Arial"/>
          <w:szCs w:val="20"/>
        </w:rPr>
        <w:t>μg</w:t>
      </w:r>
      <w:proofErr w:type="spellEnd"/>
      <w:r w:rsidRPr="007B0A6F">
        <w:rPr>
          <w:rFonts w:ascii="Arial" w:eastAsia="Times New Roman" w:hAnsi="Arial" w:cs="Arial"/>
          <w:szCs w:val="20"/>
        </w:rPr>
        <w:t>/kg/day by intravenous administration (yielding 114-times the clinical C</w:t>
      </w:r>
      <w:r w:rsidRPr="00BC6596">
        <w:rPr>
          <w:rFonts w:ascii="Arial" w:eastAsia="Times New Roman" w:hAnsi="Arial" w:cs="Arial"/>
          <w:szCs w:val="20"/>
          <w:vertAlign w:val="subscript"/>
        </w:rPr>
        <w:t>max</w:t>
      </w:r>
      <w:r w:rsidRPr="007B0A6F">
        <w:rPr>
          <w:rFonts w:ascii="Arial" w:eastAsia="Times New Roman" w:hAnsi="Arial" w:cs="Arial"/>
          <w:szCs w:val="20"/>
        </w:rPr>
        <w:t>) and decreased birth weights and delayed development (pinna unfolding) were observed at 10 μg/kg/day.</w:t>
      </w:r>
    </w:p>
    <w:p w:rsidR="004472A5" w:rsidRPr="004472A5" w:rsidRDefault="004472A5" w:rsidP="00D55E53">
      <w:pPr>
        <w:autoSpaceDE w:val="0"/>
        <w:autoSpaceDN w:val="0"/>
        <w:adjustRightInd w:val="0"/>
        <w:spacing w:before="120" w:after="60" w:line="240" w:lineRule="auto"/>
        <w:jc w:val="both"/>
        <w:rPr>
          <w:rFonts w:ascii="Arial" w:eastAsia="Times New Roman" w:hAnsi="Arial" w:cs="Arial"/>
          <w:i/>
          <w:szCs w:val="20"/>
          <w:u w:val="single"/>
        </w:rPr>
      </w:pPr>
      <w:r w:rsidRPr="004472A5">
        <w:rPr>
          <w:rFonts w:ascii="Arial" w:eastAsia="Times New Roman" w:hAnsi="Arial" w:cs="Arial"/>
          <w:i/>
          <w:szCs w:val="20"/>
          <w:u w:val="single"/>
        </w:rPr>
        <w:t>Timolol:</w:t>
      </w:r>
    </w:p>
    <w:p w:rsidR="007B0A6F" w:rsidRPr="007B0A6F" w:rsidRDefault="004472A5" w:rsidP="004472A5">
      <w:pPr>
        <w:spacing w:after="60" w:line="240" w:lineRule="auto"/>
        <w:jc w:val="both"/>
        <w:rPr>
          <w:rFonts w:ascii="Arial" w:eastAsia="Times New Roman" w:hAnsi="Arial" w:cs="Arial"/>
          <w:szCs w:val="20"/>
        </w:rPr>
      </w:pPr>
      <w:r w:rsidRPr="004472A5">
        <w:rPr>
          <w:rFonts w:ascii="Arial" w:eastAsia="Times New Roman" w:hAnsi="Arial" w:cs="Arial"/>
          <w:szCs w:val="20"/>
        </w:rPr>
        <w:t xml:space="preserve">There are no adequate data for the use of timolol in pregnant women. Timolol should not be used during pregnancy unless clearly necessary. To reduce the systemic absorption, see DOSAGE AND ADMINISTRATION. </w:t>
      </w:r>
      <w:r w:rsidR="00FB103F" w:rsidRPr="00FB103F">
        <w:rPr>
          <w:rFonts w:ascii="Arial" w:eastAsia="Times New Roman" w:hAnsi="Arial" w:cs="Arial"/>
          <w:szCs w:val="20"/>
        </w:rPr>
        <w:t xml:space="preserve">Developmental studies with timolol in mice, rats and rabbits at oral doses up to 50 mg/kg/day demonstrated no evidence of </w:t>
      </w:r>
      <w:proofErr w:type="spellStart"/>
      <w:r w:rsidR="00FB103F" w:rsidRPr="00FB103F">
        <w:rPr>
          <w:rFonts w:ascii="Arial" w:eastAsia="Times New Roman" w:hAnsi="Arial" w:cs="Arial"/>
          <w:szCs w:val="20"/>
        </w:rPr>
        <w:t>fetal</w:t>
      </w:r>
      <w:proofErr w:type="spellEnd"/>
      <w:r w:rsidR="00FB103F" w:rsidRPr="00FB103F">
        <w:rPr>
          <w:rFonts w:ascii="Arial" w:eastAsia="Times New Roman" w:hAnsi="Arial" w:cs="Arial"/>
          <w:szCs w:val="20"/>
        </w:rPr>
        <w:t xml:space="preserve"> malformations. Although delayed </w:t>
      </w:r>
      <w:proofErr w:type="spellStart"/>
      <w:r w:rsidR="00FB103F" w:rsidRPr="00FB103F">
        <w:rPr>
          <w:rFonts w:ascii="Arial" w:eastAsia="Times New Roman" w:hAnsi="Arial" w:cs="Arial"/>
          <w:szCs w:val="20"/>
        </w:rPr>
        <w:t>fetal</w:t>
      </w:r>
      <w:proofErr w:type="spellEnd"/>
      <w:r w:rsidR="00FB103F" w:rsidRPr="00FB103F">
        <w:rPr>
          <w:rFonts w:ascii="Arial" w:eastAsia="Times New Roman" w:hAnsi="Arial" w:cs="Arial"/>
          <w:szCs w:val="20"/>
        </w:rPr>
        <w:t xml:space="preserve"> ossification was observed at this dose in rats, there were no adverse effects on postnatal development of the offspring. Doses of 1000 mg/kg/day were </w:t>
      </w:r>
      <w:proofErr w:type="spellStart"/>
      <w:r w:rsidR="00FB103F" w:rsidRPr="00FB103F">
        <w:rPr>
          <w:rFonts w:ascii="Arial" w:eastAsia="Times New Roman" w:hAnsi="Arial" w:cs="Arial"/>
          <w:szCs w:val="20"/>
        </w:rPr>
        <w:t>maternotoxic</w:t>
      </w:r>
      <w:proofErr w:type="spellEnd"/>
      <w:r w:rsidR="00FB103F" w:rsidRPr="00FB103F">
        <w:rPr>
          <w:rFonts w:ascii="Arial" w:eastAsia="Times New Roman" w:hAnsi="Arial" w:cs="Arial"/>
          <w:szCs w:val="20"/>
        </w:rPr>
        <w:t xml:space="preserve"> in mice and resulted in an increased number of </w:t>
      </w:r>
      <w:proofErr w:type="spellStart"/>
      <w:r w:rsidR="00FB103F" w:rsidRPr="00FB103F">
        <w:rPr>
          <w:rFonts w:ascii="Arial" w:eastAsia="Times New Roman" w:hAnsi="Arial" w:cs="Arial"/>
          <w:szCs w:val="20"/>
        </w:rPr>
        <w:t>fetal</w:t>
      </w:r>
      <w:proofErr w:type="spellEnd"/>
      <w:r w:rsidR="00FB103F" w:rsidRPr="00FB103F">
        <w:rPr>
          <w:rFonts w:ascii="Arial" w:eastAsia="Times New Roman" w:hAnsi="Arial" w:cs="Arial"/>
          <w:szCs w:val="20"/>
        </w:rPr>
        <w:t xml:space="preserve"> resorptions. Increased </w:t>
      </w:r>
      <w:proofErr w:type="spellStart"/>
      <w:r w:rsidR="00FB103F" w:rsidRPr="00FB103F">
        <w:rPr>
          <w:rFonts w:ascii="Arial" w:eastAsia="Times New Roman" w:hAnsi="Arial" w:cs="Arial"/>
          <w:szCs w:val="20"/>
        </w:rPr>
        <w:t>fetal</w:t>
      </w:r>
      <w:proofErr w:type="spellEnd"/>
      <w:r w:rsidR="00FB103F" w:rsidRPr="00FB103F">
        <w:rPr>
          <w:rFonts w:ascii="Arial" w:eastAsia="Times New Roman" w:hAnsi="Arial" w:cs="Arial"/>
          <w:szCs w:val="20"/>
        </w:rPr>
        <w:t xml:space="preserve"> resorptions were also seen in rabbits at oral doses of 100 mg/kg/day, in this case without apparent </w:t>
      </w:r>
      <w:proofErr w:type="spellStart"/>
      <w:r w:rsidR="00FB103F" w:rsidRPr="00FB103F">
        <w:rPr>
          <w:rFonts w:ascii="Arial" w:eastAsia="Times New Roman" w:hAnsi="Arial" w:cs="Arial"/>
          <w:szCs w:val="20"/>
        </w:rPr>
        <w:t>maternotoxicity</w:t>
      </w:r>
      <w:proofErr w:type="spellEnd"/>
      <w:r w:rsidR="00FB103F" w:rsidRPr="00FB103F">
        <w:rPr>
          <w:rFonts w:ascii="Arial" w:eastAsia="Times New Roman" w:hAnsi="Arial" w:cs="Arial"/>
          <w:szCs w:val="20"/>
        </w:rPr>
        <w:t>.</w:t>
      </w:r>
      <w:r w:rsidR="00FB103F">
        <w:rPr>
          <w:rFonts w:ascii="Arial" w:eastAsia="Times New Roman" w:hAnsi="Arial" w:cs="Arial"/>
          <w:szCs w:val="20"/>
        </w:rPr>
        <w:t xml:space="preserve"> </w:t>
      </w:r>
      <w:r w:rsidRPr="004472A5">
        <w:rPr>
          <w:rFonts w:ascii="Arial" w:eastAsia="Times New Roman" w:hAnsi="Arial" w:cs="Arial"/>
          <w:szCs w:val="20"/>
        </w:rPr>
        <w:t xml:space="preserve">Beta-adrenergic blocking agents may cause bradycardia in the </w:t>
      </w:r>
      <w:proofErr w:type="spellStart"/>
      <w:r w:rsidRPr="004472A5">
        <w:rPr>
          <w:rFonts w:ascii="Arial" w:eastAsia="Times New Roman" w:hAnsi="Arial" w:cs="Arial"/>
          <w:szCs w:val="20"/>
        </w:rPr>
        <w:t>fetus</w:t>
      </w:r>
      <w:proofErr w:type="spellEnd"/>
      <w:r w:rsidRPr="004472A5">
        <w:rPr>
          <w:rFonts w:ascii="Arial" w:eastAsia="Times New Roman" w:hAnsi="Arial" w:cs="Arial"/>
          <w:szCs w:val="20"/>
        </w:rPr>
        <w:t xml:space="preserve"> and newborn infant. During the final part of pregnancy and parturition these drugs should therefore only be given after weighing the needs of the mother against the risk to the </w:t>
      </w:r>
      <w:proofErr w:type="spellStart"/>
      <w:r w:rsidRPr="004472A5">
        <w:rPr>
          <w:rFonts w:ascii="Arial" w:eastAsia="Times New Roman" w:hAnsi="Arial" w:cs="Arial"/>
          <w:szCs w:val="20"/>
        </w:rPr>
        <w:t>fetus</w:t>
      </w:r>
      <w:proofErr w:type="spellEnd"/>
      <w:r w:rsidRPr="004472A5">
        <w:rPr>
          <w:rFonts w:ascii="Arial" w:eastAsia="Times New Roman" w:hAnsi="Arial" w:cs="Arial"/>
          <w:szCs w:val="20"/>
        </w:rPr>
        <w:t>.</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Although animal reproduction studies are not always predictive of human response, TAPTIQOM</w:t>
      </w:r>
      <w:r w:rsidR="008C13FB">
        <w:rPr>
          <w:rFonts w:ascii="Arial" w:eastAsia="Times New Roman" w:hAnsi="Arial" w:cs="Arial"/>
          <w:szCs w:val="20"/>
        </w:rPr>
        <w:t xml:space="preserve"> 15/5</w:t>
      </w:r>
      <w:r w:rsidRPr="007B0A6F">
        <w:rPr>
          <w:rFonts w:ascii="Arial" w:eastAsia="Times New Roman" w:hAnsi="Arial" w:cs="Arial"/>
          <w:szCs w:val="20"/>
        </w:rPr>
        <w:t xml:space="preserve"> should not be used during pregnancy unless the potential benefit justifies the potential risk to the </w:t>
      </w:r>
      <w:proofErr w:type="spellStart"/>
      <w:r w:rsidRPr="007B0A6F">
        <w:rPr>
          <w:rFonts w:ascii="Arial" w:eastAsia="Times New Roman" w:hAnsi="Arial" w:cs="Arial"/>
          <w:szCs w:val="20"/>
        </w:rPr>
        <w:t>fetus</w:t>
      </w:r>
      <w:proofErr w:type="spellEnd"/>
      <w:r w:rsidRPr="007B0A6F">
        <w:rPr>
          <w:rFonts w:ascii="Arial" w:eastAsia="Times New Roman" w:hAnsi="Arial" w:cs="Arial"/>
          <w:szCs w:val="20"/>
        </w:rPr>
        <w:t>.</w:t>
      </w:r>
    </w:p>
    <w:p w:rsidR="007B0A6F" w:rsidRDefault="007B0A6F" w:rsidP="007B0A6F">
      <w:pPr>
        <w:keepNext/>
        <w:spacing w:before="240" w:after="120" w:line="240" w:lineRule="auto"/>
        <w:jc w:val="both"/>
        <w:outlineLvl w:val="1"/>
        <w:rPr>
          <w:rFonts w:ascii="Arial" w:eastAsia="Times New Roman" w:hAnsi="Arial" w:cs="Arial"/>
          <w:b/>
          <w:bCs/>
          <w:iCs/>
          <w:lang w:val="en-US"/>
        </w:rPr>
      </w:pPr>
      <w:r w:rsidRPr="007B0A6F">
        <w:rPr>
          <w:rFonts w:ascii="Arial" w:eastAsia="Times New Roman" w:hAnsi="Arial" w:cs="Arial"/>
          <w:b/>
          <w:bCs/>
          <w:iCs/>
          <w:lang w:val="en-US"/>
        </w:rPr>
        <w:t>Use in lactation</w:t>
      </w:r>
    </w:p>
    <w:p w:rsidR="007B0A6F" w:rsidRPr="007B0A6F" w:rsidRDefault="007B0A6F" w:rsidP="007B0A6F">
      <w:pPr>
        <w:spacing w:after="6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TAPTIQOM</w:t>
      </w:r>
      <w:r w:rsidR="008C13FB">
        <w:rPr>
          <w:rFonts w:ascii="Arial" w:eastAsia="Times New Roman" w:hAnsi="Arial" w:cs="Times New Roman"/>
          <w:szCs w:val="20"/>
          <w:lang w:val="en-US"/>
        </w:rPr>
        <w:t xml:space="preserve"> 15/5</w:t>
      </w:r>
      <w:r w:rsidRPr="007B0A6F">
        <w:rPr>
          <w:rFonts w:ascii="Arial" w:eastAsia="Times New Roman" w:hAnsi="Arial" w:cs="Times New Roman"/>
          <w:szCs w:val="20"/>
          <w:lang w:val="en-US"/>
        </w:rPr>
        <w:t xml:space="preserve"> should not be used during breastfeeding.</w:t>
      </w:r>
    </w:p>
    <w:p w:rsidR="007B0A6F" w:rsidRPr="007B0A6F" w:rsidRDefault="00404C93" w:rsidP="007B0A6F">
      <w:pPr>
        <w:spacing w:after="60" w:line="240" w:lineRule="auto"/>
        <w:jc w:val="both"/>
        <w:rPr>
          <w:rFonts w:ascii="Arial" w:eastAsia="Times New Roman" w:hAnsi="Arial" w:cs="Times New Roman"/>
          <w:szCs w:val="20"/>
          <w:lang w:val="en-US"/>
        </w:rPr>
      </w:pPr>
      <w:r w:rsidRPr="00404C93">
        <w:rPr>
          <w:rFonts w:ascii="Arial" w:eastAsia="Times New Roman" w:hAnsi="Arial" w:cs="Times New Roman"/>
          <w:szCs w:val="20"/>
          <w:lang w:val="en-US"/>
        </w:rPr>
        <w:t xml:space="preserve">Timolol has been detected in human milk following oral and ophthalmic drug administration. </w:t>
      </w:r>
      <w:r w:rsidR="007B0A6F" w:rsidRPr="007B0A6F">
        <w:rPr>
          <w:rFonts w:ascii="Arial" w:eastAsia="Times New Roman" w:hAnsi="Arial" w:cs="Times New Roman"/>
          <w:szCs w:val="20"/>
          <w:lang w:val="en-US"/>
        </w:rPr>
        <w:t xml:space="preserve">Because of the potential for serious adverse reactions from timolol in </w:t>
      </w:r>
      <w:r w:rsidR="007B0A6F">
        <w:rPr>
          <w:rFonts w:ascii="Arial" w:eastAsia="Times New Roman" w:hAnsi="Arial" w:cs="Times New Roman"/>
          <w:szCs w:val="20"/>
          <w:lang w:val="en-US"/>
        </w:rPr>
        <w:t xml:space="preserve">nursing </w:t>
      </w:r>
      <w:r w:rsidR="007B0A6F" w:rsidRPr="007B0A6F">
        <w:rPr>
          <w:rFonts w:ascii="Arial" w:eastAsia="Times New Roman" w:hAnsi="Arial" w:cs="Times New Roman"/>
          <w:szCs w:val="20"/>
          <w:lang w:val="en-US"/>
        </w:rPr>
        <w:t>infants, a decision should be made whether to discontinue nursing or to discontinue the drug, taking into account the importance of the drug to the mother.</w:t>
      </w:r>
    </w:p>
    <w:p w:rsidR="007B0A6F" w:rsidRPr="007B0A6F" w:rsidRDefault="007B0A6F" w:rsidP="007B0A6F">
      <w:pPr>
        <w:spacing w:after="6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A study in lactating rats demonstrated that radiolabeled tafluprost and/or its metabolites (0.1% of the dose) were excreted in milk. It is unknown whether tafluprost and/or its metabolites are excreted in human milk. Available toxicological data in animals have shown excretion of tafluprost and/or its metabolites in milk.</w:t>
      </w:r>
    </w:p>
    <w:p w:rsidR="007B0A6F" w:rsidRDefault="007B0A6F" w:rsidP="007B0A6F">
      <w:pPr>
        <w:keepNext/>
        <w:spacing w:before="240" w:after="120" w:line="240" w:lineRule="auto"/>
        <w:jc w:val="both"/>
        <w:outlineLvl w:val="1"/>
        <w:rPr>
          <w:rFonts w:ascii="Arial" w:eastAsia="Times New Roman" w:hAnsi="Arial" w:cs="Arial"/>
          <w:b/>
          <w:bCs/>
          <w:iCs/>
          <w:lang w:val="en-US"/>
        </w:rPr>
      </w:pPr>
      <w:r w:rsidRPr="007B0A6F">
        <w:rPr>
          <w:rFonts w:ascii="Arial" w:eastAsia="Times New Roman" w:hAnsi="Arial" w:cs="Arial"/>
          <w:b/>
          <w:bCs/>
          <w:iCs/>
          <w:lang w:val="en-US"/>
        </w:rPr>
        <w:t>Paediatric Use</w:t>
      </w:r>
    </w:p>
    <w:p w:rsidR="007B0A6F" w:rsidRPr="007B0A6F" w:rsidRDefault="007B0A6F" w:rsidP="007B0A6F">
      <w:pPr>
        <w:spacing w:after="6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Safety and effectiveness of tafluprost in p</w:t>
      </w:r>
      <w:r w:rsidR="00011931">
        <w:rPr>
          <w:rFonts w:ascii="Arial" w:eastAsia="Times New Roman" w:hAnsi="Arial" w:cs="Times New Roman"/>
          <w:szCs w:val="20"/>
          <w:lang w:val="en-US"/>
        </w:rPr>
        <w:t>a</w:t>
      </w:r>
      <w:r w:rsidRPr="007B0A6F">
        <w:rPr>
          <w:rFonts w:ascii="Arial" w:eastAsia="Times New Roman" w:hAnsi="Arial" w:cs="Times New Roman"/>
          <w:szCs w:val="20"/>
          <w:lang w:val="en-US"/>
        </w:rPr>
        <w:t>ediatric patients have not been established. Therefore, treatment with TAPTIQOM</w:t>
      </w:r>
      <w:r w:rsidR="008C13FB">
        <w:rPr>
          <w:rFonts w:ascii="Arial" w:eastAsia="Times New Roman" w:hAnsi="Arial" w:cs="Times New Roman"/>
          <w:szCs w:val="20"/>
          <w:lang w:val="en-US"/>
        </w:rPr>
        <w:t xml:space="preserve"> 15/5</w:t>
      </w:r>
      <w:r w:rsidRPr="007B0A6F">
        <w:rPr>
          <w:rFonts w:ascii="Arial" w:eastAsia="Times New Roman" w:hAnsi="Arial" w:cs="Times New Roman"/>
          <w:szCs w:val="20"/>
          <w:lang w:val="en-US"/>
        </w:rPr>
        <w:t xml:space="preserve"> is not recommended.</w:t>
      </w:r>
    </w:p>
    <w:p w:rsidR="007B0A6F" w:rsidRDefault="007B0A6F" w:rsidP="007B0A6F">
      <w:pPr>
        <w:keepNext/>
        <w:spacing w:before="240" w:after="120" w:line="240" w:lineRule="auto"/>
        <w:jc w:val="both"/>
        <w:outlineLvl w:val="1"/>
        <w:rPr>
          <w:rFonts w:ascii="Arial" w:eastAsia="Times New Roman" w:hAnsi="Arial" w:cs="Arial"/>
          <w:b/>
          <w:bCs/>
          <w:iCs/>
          <w:lang w:val="en-US"/>
        </w:rPr>
      </w:pPr>
      <w:r w:rsidRPr="007B0A6F">
        <w:rPr>
          <w:rFonts w:ascii="Arial" w:eastAsia="Times New Roman" w:hAnsi="Arial" w:cs="Arial"/>
          <w:b/>
          <w:bCs/>
          <w:iCs/>
          <w:lang w:val="en-US"/>
        </w:rPr>
        <w:lastRenderedPageBreak/>
        <w:t>Use in the elderly</w:t>
      </w:r>
    </w:p>
    <w:p w:rsidR="007B0A6F" w:rsidRPr="007B0A6F" w:rsidRDefault="007B0A6F" w:rsidP="007B0A6F">
      <w:pPr>
        <w:spacing w:after="6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No dosage adjustment is required for elderly patients.</w:t>
      </w:r>
    </w:p>
    <w:p w:rsidR="00AB3854" w:rsidRDefault="00AB3854" w:rsidP="00AB3854">
      <w:pPr>
        <w:keepNext/>
        <w:spacing w:before="240" w:after="120" w:line="240" w:lineRule="auto"/>
        <w:jc w:val="both"/>
        <w:outlineLvl w:val="1"/>
        <w:rPr>
          <w:rFonts w:ascii="Arial" w:eastAsia="Times New Roman" w:hAnsi="Arial" w:cs="Arial"/>
          <w:b/>
          <w:bCs/>
          <w:iCs/>
          <w:lang w:val="en-US"/>
        </w:rPr>
      </w:pPr>
      <w:proofErr w:type="spellStart"/>
      <w:r w:rsidRPr="005E118E">
        <w:rPr>
          <w:rFonts w:ascii="Arial" w:eastAsia="Times New Roman" w:hAnsi="Arial" w:cs="Arial"/>
          <w:b/>
          <w:bCs/>
          <w:iCs/>
          <w:lang w:val="en-US"/>
        </w:rPr>
        <w:t>Genotoxicity</w:t>
      </w:r>
      <w:proofErr w:type="spellEnd"/>
    </w:p>
    <w:p w:rsidR="00AB3854" w:rsidRPr="005E118E" w:rsidRDefault="00AB3854" w:rsidP="00AB3854">
      <w:pPr>
        <w:spacing w:after="12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 xml:space="preserve">Tafluprost was not mutagenic or </w:t>
      </w:r>
      <w:proofErr w:type="spellStart"/>
      <w:r w:rsidRPr="005E118E">
        <w:rPr>
          <w:rFonts w:ascii="Arial" w:eastAsia="Times New Roman" w:hAnsi="Arial" w:cs="Times New Roman"/>
          <w:szCs w:val="20"/>
          <w:lang w:val="en-US"/>
        </w:rPr>
        <w:t>clastogenic</w:t>
      </w:r>
      <w:proofErr w:type="spellEnd"/>
      <w:r w:rsidRPr="005E118E">
        <w:rPr>
          <w:rFonts w:ascii="Arial" w:eastAsia="Times New Roman" w:hAnsi="Arial" w:cs="Times New Roman"/>
          <w:szCs w:val="20"/>
          <w:lang w:val="en-US"/>
        </w:rPr>
        <w:t xml:space="preserve"> in a battery of genetic toxicology studies, including an </w:t>
      </w:r>
      <w:r w:rsidRPr="00EB5C01">
        <w:rPr>
          <w:rFonts w:ascii="Arial" w:eastAsia="Times New Roman" w:hAnsi="Arial" w:cs="Times New Roman"/>
          <w:i/>
          <w:szCs w:val="20"/>
          <w:lang w:val="en-US"/>
        </w:rPr>
        <w:t>in vitro</w:t>
      </w:r>
      <w:r w:rsidRPr="005E118E">
        <w:rPr>
          <w:rFonts w:ascii="Arial" w:eastAsia="Times New Roman" w:hAnsi="Arial" w:cs="Times New Roman"/>
          <w:szCs w:val="20"/>
          <w:lang w:val="en-US"/>
        </w:rPr>
        <w:t xml:space="preserve"> microbial mutagenesis assay, an </w:t>
      </w:r>
      <w:r w:rsidRPr="00EB5C01">
        <w:rPr>
          <w:rFonts w:ascii="Arial" w:eastAsia="Times New Roman" w:hAnsi="Arial" w:cs="Times New Roman"/>
          <w:i/>
          <w:szCs w:val="20"/>
          <w:lang w:val="en-US"/>
        </w:rPr>
        <w:t>in vitro</w:t>
      </w:r>
      <w:r w:rsidRPr="005E118E">
        <w:rPr>
          <w:rFonts w:ascii="Arial" w:eastAsia="Times New Roman" w:hAnsi="Arial" w:cs="Times New Roman"/>
          <w:szCs w:val="20"/>
          <w:lang w:val="en-US"/>
        </w:rPr>
        <w:t xml:space="preserve"> chromosomal aberration assay in Chinese hamster lung cells, and an </w:t>
      </w:r>
      <w:r w:rsidRPr="00EB5C01">
        <w:rPr>
          <w:rFonts w:ascii="Arial" w:eastAsia="Times New Roman" w:hAnsi="Arial" w:cs="Times New Roman"/>
          <w:i/>
          <w:szCs w:val="20"/>
          <w:lang w:val="en-US"/>
        </w:rPr>
        <w:t>in vivo</w:t>
      </w:r>
      <w:r w:rsidRPr="005E118E">
        <w:rPr>
          <w:rFonts w:ascii="Arial" w:eastAsia="Times New Roman" w:hAnsi="Arial" w:cs="Times New Roman"/>
          <w:szCs w:val="20"/>
          <w:lang w:val="en-US"/>
        </w:rPr>
        <w:t xml:space="preserve"> mouse micronucleus assay in bone marrow.</w:t>
      </w:r>
    </w:p>
    <w:p w:rsidR="00AB3854" w:rsidRPr="005E118E" w:rsidRDefault="00C943DB" w:rsidP="00AB3854">
      <w:pPr>
        <w:spacing w:after="120" w:line="240" w:lineRule="auto"/>
        <w:jc w:val="both"/>
        <w:rPr>
          <w:rFonts w:ascii="Arial" w:eastAsia="Times New Roman" w:hAnsi="Arial" w:cs="Times New Roman"/>
          <w:szCs w:val="20"/>
          <w:lang w:val="en-US"/>
        </w:rPr>
      </w:pPr>
      <w:r w:rsidRPr="00C943DB">
        <w:rPr>
          <w:rFonts w:ascii="Arial" w:eastAsia="Times New Roman" w:hAnsi="Arial" w:cs="Times New Roman"/>
          <w:i/>
          <w:szCs w:val="20"/>
          <w:lang w:val="en-US"/>
        </w:rPr>
        <w:t>In vitro</w:t>
      </w:r>
      <w:r w:rsidRPr="00C943DB">
        <w:rPr>
          <w:rFonts w:ascii="Arial" w:eastAsia="Times New Roman" w:hAnsi="Arial" w:cs="Times New Roman"/>
          <w:szCs w:val="20"/>
          <w:lang w:val="en-US"/>
        </w:rPr>
        <w:t xml:space="preserve"> and </w:t>
      </w:r>
      <w:r w:rsidRPr="00C943DB">
        <w:rPr>
          <w:rFonts w:ascii="Arial" w:eastAsia="Times New Roman" w:hAnsi="Arial" w:cs="Times New Roman"/>
          <w:i/>
          <w:szCs w:val="20"/>
          <w:lang w:val="en-US"/>
        </w:rPr>
        <w:t>in vivo</w:t>
      </w:r>
      <w:r w:rsidRPr="00C943DB">
        <w:rPr>
          <w:rFonts w:ascii="Arial" w:eastAsia="Times New Roman" w:hAnsi="Arial" w:cs="Times New Roman"/>
          <w:szCs w:val="20"/>
          <w:lang w:val="en-US"/>
        </w:rPr>
        <w:t xml:space="preserve"> studies (Ames test, neoplastic cell transformation assay, cytogenetic assay and micronucleus test in mice) showed no </w:t>
      </w:r>
      <w:proofErr w:type="spellStart"/>
      <w:r w:rsidRPr="00C943DB">
        <w:rPr>
          <w:rFonts w:ascii="Arial" w:eastAsia="Times New Roman" w:hAnsi="Arial" w:cs="Times New Roman"/>
          <w:szCs w:val="20"/>
          <w:lang w:val="en-US"/>
        </w:rPr>
        <w:t>genotoxicity</w:t>
      </w:r>
      <w:proofErr w:type="spellEnd"/>
      <w:r w:rsidRPr="00C943DB">
        <w:rPr>
          <w:rFonts w:ascii="Arial" w:eastAsia="Times New Roman" w:hAnsi="Arial" w:cs="Times New Roman"/>
          <w:szCs w:val="20"/>
          <w:lang w:val="en-US"/>
        </w:rPr>
        <w:t xml:space="preserve"> of </w:t>
      </w:r>
      <w:proofErr w:type="spellStart"/>
      <w:r w:rsidRPr="00C943DB">
        <w:rPr>
          <w:rFonts w:ascii="Arial" w:eastAsia="Times New Roman" w:hAnsi="Arial" w:cs="Times New Roman"/>
          <w:szCs w:val="20"/>
          <w:lang w:val="en-US"/>
        </w:rPr>
        <w:t>timolol</w:t>
      </w:r>
      <w:proofErr w:type="spellEnd"/>
      <w:r w:rsidRPr="00C943DB">
        <w:rPr>
          <w:rFonts w:ascii="Arial" w:eastAsia="Times New Roman" w:hAnsi="Arial" w:cs="Times New Roman"/>
          <w:szCs w:val="20"/>
          <w:lang w:val="en-US"/>
        </w:rPr>
        <w:t>.</w:t>
      </w:r>
    </w:p>
    <w:p w:rsidR="007B0A6F" w:rsidRDefault="007B0A6F" w:rsidP="007B0A6F">
      <w:pPr>
        <w:keepNext/>
        <w:spacing w:before="240" w:after="120" w:line="240" w:lineRule="auto"/>
        <w:jc w:val="both"/>
        <w:outlineLvl w:val="1"/>
        <w:rPr>
          <w:rFonts w:ascii="Arial" w:eastAsia="Times New Roman" w:hAnsi="Arial" w:cs="Arial"/>
          <w:b/>
          <w:bCs/>
          <w:iCs/>
          <w:lang w:val="en-US"/>
        </w:rPr>
      </w:pPr>
      <w:r w:rsidRPr="007B0A6F">
        <w:rPr>
          <w:rFonts w:ascii="Arial" w:eastAsia="Times New Roman" w:hAnsi="Arial" w:cs="Arial"/>
          <w:b/>
          <w:bCs/>
          <w:iCs/>
          <w:lang w:val="en-US"/>
        </w:rPr>
        <w:t>Carcinogenicity</w:t>
      </w:r>
    </w:p>
    <w:p w:rsidR="00FB103F" w:rsidRPr="00FB103F" w:rsidRDefault="00FB103F" w:rsidP="007B0A6F">
      <w:pPr>
        <w:keepNext/>
        <w:spacing w:before="240" w:after="120" w:line="240" w:lineRule="auto"/>
        <w:jc w:val="both"/>
        <w:outlineLvl w:val="1"/>
        <w:rPr>
          <w:rFonts w:ascii="Arial" w:eastAsia="Times New Roman" w:hAnsi="Arial" w:cs="Arial"/>
          <w:bCs/>
          <w:iCs/>
          <w:lang w:val="en-US"/>
        </w:rPr>
      </w:pPr>
      <w:r w:rsidRPr="00FB103F">
        <w:rPr>
          <w:rFonts w:ascii="Arial" w:eastAsia="Times New Roman" w:hAnsi="Arial" w:cs="Arial"/>
          <w:bCs/>
          <w:iCs/>
        </w:rPr>
        <w:t>No carcinogenicity studies have been conducted with tafluprost and timolol in combination.</w:t>
      </w:r>
    </w:p>
    <w:p w:rsidR="007B0A6F" w:rsidRPr="007B0A6F" w:rsidRDefault="007B0A6F" w:rsidP="007B0A6F">
      <w:pPr>
        <w:spacing w:after="60" w:line="240" w:lineRule="auto"/>
        <w:jc w:val="both"/>
        <w:rPr>
          <w:rFonts w:ascii="Arial" w:eastAsia="Times New Roman" w:hAnsi="Arial" w:cs="Arial"/>
          <w:i/>
          <w:szCs w:val="20"/>
          <w:u w:val="single"/>
        </w:rPr>
      </w:pPr>
      <w:r w:rsidRPr="007B0A6F">
        <w:rPr>
          <w:rFonts w:ascii="Arial" w:eastAsia="Times New Roman" w:hAnsi="Arial" w:cs="Arial"/>
          <w:i/>
          <w:szCs w:val="20"/>
          <w:u w:val="single"/>
        </w:rPr>
        <w:t>Tafluprost</w:t>
      </w:r>
    </w:p>
    <w:p w:rsidR="007B0A6F" w:rsidRPr="007B0A6F" w:rsidRDefault="007B0A6F" w:rsidP="007B0A6F">
      <w:pPr>
        <w:spacing w:after="6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Tafluprost was not carcinogenic when administered subcutaneously daily for 24 months at doses up to 30 µg/kg/day in rats and for 18 months at doses up to 100 µg/kg/day in mice (over 1600- and 1300-times, respectively, the maximum clinical exposure based on plasma AUC).</w:t>
      </w:r>
    </w:p>
    <w:p w:rsidR="007B0A6F" w:rsidRPr="007B0A6F" w:rsidRDefault="007B0A6F" w:rsidP="007B0A6F">
      <w:pPr>
        <w:spacing w:after="60" w:line="240" w:lineRule="auto"/>
        <w:jc w:val="both"/>
        <w:rPr>
          <w:rFonts w:ascii="Arial" w:eastAsia="Times New Roman" w:hAnsi="Arial" w:cs="Arial"/>
          <w:i/>
          <w:szCs w:val="20"/>
          <w:u w:val="single"/>
        </w:rPr>
      </w:pPr>
      <w:r w:rsidRPr="007B0A6F">
        <w:rPr>
          <w:rFonts w:ascii="Arial" w:eastAsia="Times New Roman" w:hAnsi="Arial" w:cs="Arial"/>
          <w:i/>
          <w:szCs w:val="20"/>
          <w:u w:val="single"/>
        </w:rPr>
        <w:t>Timolol</w:t>
      </w:r>
    </w:p>
    <w:p w:rsidR="007B0A6F" w:rsidRPr="007B0A6F" w:rsidRDefault="007B0A6F" w:rsidP="00BC6596">
      <w:pPr>
        <w:spacing w:after="12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 xml:space="preserve">In a two-year oral study of timolol maleate in rats there was a statistically significant increase in the incidence of adrenal </w:t>
      </w:r>
      <w:proofErr w:type="spellStart"/>
      <w:r w:rsidRPr="007B0A6F">
        <w:rPr>
          <w:rFonts w:ascii="Arial" w:eastAsia="Times New Roman" w:hAnsi="Arial" w:cs="Times New Roman"/>
          <w:szCs w:val="20"/>
          <w:lang w:val="en-US"/>
        </w:rPr>
        <w:t>pheochromocytomas</w:t>
      </w:r>
      <w:proofErr w:type="spellEnd"/>
      <w:r w:rsidRPr="007B0A6F">
        <w:rPr>
          <w:rFonts w:ascii="Arial" w:eastAsia="Times New Roman" w:hAnsi="Arial" w:cs="Times New Roman"/>
          <w:szCs w:val="20"/>
          <w:lang w:val="en-US"/>
        </w:rPr>
        <w:t xml:space="preserve"> in male rats administered 300 mg/kg/day</w:t>
      </w:r>
      <w:r w:rsidR="00FB103F">
        <w:rPr>
          <w:rFonts w:ascii="Arial" w:eastAsia="Times New Roman" w:hAnsi="Arial" w:cs="Times New Roman"/>
          <w:szCs w:val="20"/>
          <w:lang w:val="en-US"/>
        </w:rPr>
        <w:t xml:space="preserve">, but </w:t>
      </w:r>
      <w:r w:rsidR="00FB103F" w:rsidRPr="00FB103F">
        <w:rPr>
          <w:rFonts w:ascii="Arial" w:eastAsia="Times New Roman" w:hAnsi="Arial" w:cs="Times New Roman"/>
          <w:szCs w:val="20"/>
          <w:lang w:val="en-US"/>
        </w:rPr>
        <w:t>not at 100 mg/kg/day (approximately 2000 times the maximum recommended human dose of timolol with use of TAPTIQOM, based on mg/m</w:t>
      </w:r>
      <w:r w:rsidR="00FB103F" w:rsidRPr="00905592">
        <w:rPr>
          <w:rFonts w:ascii="Arial" w:eastAsia="Times New Roman" w:hAnsi="Arial" w:cs="Times New Roman"/>
          <w:szCs w:val="20"/>
          <w:vertAlign w:val="superscript"/>
          <w:lang w:val="en-US"/>
        </w:rPr>
        <w:t>2</w:t>
      </w:r>
      <w:r w:rsidR="00FB103F" w:rsidRPr="00FB103F">
        <w:rPr>
          <w:rFonts w:ascii="Arial" w:eastAsia="Times New Roman" w:hAnsi="Arial" w:cs="Times New Roman"/>
          <w:szCs w:val="20"/>
          <w:lang w:val="en-US"/>
        </w:rPr>
        <w:t xml:space="preserve"> body surface area)</w:t>
      </w:r>
      <w:r w:rsidRPr="007B0A6F">
        <w:rPr>
          <w:rFonts w:ascii="Arial" w:eastAsia="Times New Roman" w:hAnsi="Arial" w:cs="Times New Roman"/>
          <w:szCs w:val="20"/>
          <w:lang w:val="en-US"/>
        </w:rPr>
        <w:t>.</w:t>
      </w:r>
    </w:p>
    <w:p w:rsidR="007B0A6F" w:rsidRPr="007B0A6F" w:rsidRDefault="007B0A6F" w:rsidP="00BC6596">
      <w:pPr>
        <w:spacing w:after="12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In a lifetime oral study in mice, there were statistically significant increases in the incidence of benign and malignant pulmonary tumors, benign uterine polyps and mammary adenocarcinoma in female mice at 500 mg/kg/day, but not at 50 mg/kg/day</w:t>
      </w:r>
      <w:r w:rsidR="00FB103F">
        <w:rPr>
          <w:rFonts w:ascii="Arial" w:eastAsia="Times New Roman" w:hAnsi="Arial" w:cs="Times New Roman"/>
          <w:szCs w:val="20"/>
          <w:lang w:val="en-US"/>
        </w:rPr>
        <w:t xml:space="preserve"> </w:t>
      </w:r>
      <w:r w:rsidR="00FB103F" w:rsidRPr="00FB103F">
        <w:rPr>
          <w:rFonts w:ascii="Arial" w:eastAsia="Times New Roman" w:hAnsi="Arial" w:cs="Times New Roman"/>
          <w:szCs w:val="20"/>
          <w:lang w:val="en-US"/>
        </w:rPr>
        <w:t xml:space="preserve">(approximately 600 times the maximum recommended dose of </w:t>
      </w:r>
      <w:proofErr w:type="spellStart"/>
      <w:r w:rsidR="00FB103F" w:rsidRPr="00FB103F">
        <w:rPr>
          <w:rFonts w:ascii="Arial" w:eastAsia="Times New Roman" w:hAnsi="Arial" w:cs="Times New Roman"/>
          <w:szCs w:val="20"/>
          <w:lang w:val="en-US"/>
        </w:rPr>
        <w:t>timolol</w:t>
      </w:r>
      <w:proofErr w:type="spellEnd"/>
      <w:r w:rsidR="00FB103F" w:rsidRPr="00FB103F">
        <w:rPr>
          <w:rFonts w:ascii="Arial" w:eastAsia="Times New Roman" w:hAnsi="Arial" w:cs="Times New Roman"/>
          <w:szCs w:val="20"/>
          <w:lang w:val="en-US"/>
        </w:rPr>
        <w:t xml:space="preserve"> provided by TAPTIQOM</w:t>
      </w:r>
      <w:r w:rsidR="008C13FB">
        <w:rPr>
          <w:rFonts w:ascii="Arial" w:eastAsia="Times New Roman" w:hAnsi="Arial" w:cs="Times New Roman"/>
          <w:szCs w:val="20"/>
          <w:lang w:val="en-US"/>
        </w:rPr>
        <w:t xml:space="preserve"> 15/5</w:t>
      </w:r>
      <w:r w:rsidR="00FB103F" w:rsidRPr="00FB103F">
        <w:rPr>
          <w:rFonts w:ascii="Arial" w:eastAsia="Times New Roman" w:hAnsi="Arial" w:cs="Times New Roman"/>
          <w:szCs w:val="20"/>
          <w:lang w:val="en-US"/>
        </w:rPr>
        <w:t xml:space="preserve"> therapy on a mg/m</w:t>
      </w:r>
      <w:r w:rsidR="00FB103F" w:rsidRPr="009C0FAC">
        <w:rPr>
          <w:rFonts w:ascii="Arial" w:eastAsia="Times New Roman" w:hAnsi="Arial" w:cs="Times New Roman"/>
          <w:szCs w:val="20"/>
          <w:vertAlign w:val="superscript"/>
          <w:lang w:val="en-US"/>
        </w:rPr>
        <w:t>2</w:t>
      </w:r>
      <w:r w:rsidR="00FB103F" w:rsidRPr="00FB103F">
        <w:rPr>
          <w:rFonts w:ascii="Arial" w:eastAsia="Times New Roman" w:hAnsi="Arial" w:cs="Times New Roman"/>
          <w:szCs w:val="20"/>
          <w:lang w:val="en-US"/>
        </w:rPr>
        <w:t xml:space="preserve"> basis)</w:t>
      </w:r>
      <w:r w:rsidRPr="007B0A6F">
        <w:rPr>
          <w:rFonts w:ascii="Arial" w:eastAsia="Times New Roman" w:hAnsi="Arial" w:cs="Times New Roman"/>
          <w:szCs w:val="20"/>
          <w:lang w:val="en-US"/>
        </w:rPr>
        <w:t>. In a subsequent study in female mice, in which post-mortem examinations were limited to uterus and lungs, a statistically significant increase in the incidence of pulmonary tumo</w:t>
      </w:r>
      <w:r>
        <w:rPr>
          <w:rFonts w:ascii="Arial" w:eastAsia="Times New Roman" w:hAnsi="Arial" w:cs="Times New Roman"/>
          <w:szCs w:val="20"/>
          <w:lang w:val="en-US"/>
        </w:rPr>
        <w:t>u</w:t>
      </w:r>
      <w:r w:rsidRPr="007B0A6F">
        <w:rPr>
          <w:rFonts w:ascii="Arial" w:eastAsia="Times New Roman" w:hAnsi="Arial" w:cs="Times New Roman"/>
          <w:szCs w:val="20"/>
          <w:lang w:val="en-US"/>
        </w:rPr>
        <w:t>rs was again observed at 500 mg/kg/day.</w:t>
      </w:r>
    </w:p>
    <w:p w:rsidR="005E118E" w:rsidRDefault="007B0A6F" w:rsidP="00BC6596">
      <w:pPr>
        <w:spacing w:after="120" w:line="240" w:lineRule="auto"/>
        <w:jc w:val="both"/>
        <w:rPr>
          <w:rFonts w:ascii="Arial" w:eastAsia="Times New Roman" w:hAnsi="Arial" w:cs="Times New Roman"/>
          <w:szCs w:val="20"/>
          <w:lang w:val="en-US"/>
        </w:rPr>
      </w:pPr>
      <w:r w:rsidRPr="007B0A6F">
        <w:rPr>
          <w:rFonts w:ascii="Arial" w:eastAsia="Times New Roman" w:hAnsi="Arial" w:cs="Times New Roman"/>
          <w:szCs w:val="20"/>
          <w:lang w:val="en-US"/>
        </w:rPr>
        <w:t>The increased occurrence of mammary adenocarcinoma in mice was associated with elevations in serum prolactin which occurred in female mice administered timolol at 500</w:t>
      </w:r>
      <w:r w:rsidR="00D54B7C">
        <w:rPr>
          <w:rFonts w:ascii="Arial" w:eastAsia="Times New Roman" w:hAnsi="Arial" w:cs="Times New Roman"/>
          <w:szCs w:val="20"/>
          <w:lang w:val="en-US"/>
        </w:rPr>
        <w:t> </w:t>
      </w:r>
      <w:r w:rsidRPr="007B0A6F">
        <w:rPr>
          <w:rFonts w:ascii="Arial" w:eastAsia="Times New Roman" w:hAnsi="Arial" w:cs="Times New Roman"/>
          <w:szCs w:val="20"/>
          <w:lang w:val="en-US"/>
        </w:rPr>
        <w:t>mg/kg/day, but not at doses of 50 mg/kg/day. An increased incidence of mammary adenocarcinomas in rodents has been associated with administration of several other therapeutic agents which elevate serum prolactin, but no correlation between serum prolactin levels and mammary tumo</w:t>
      </w:r>
      <w:r w:rsidR="005E118E">
        <w:rPr>
          <w:rFonts w:ascii="Arial" w:eastAsia="Times New Roman" w:hAnsi="Arial" w:cs="Times New Roman"/>
          <w:szCs w:val="20"/>
          <w:lang w:val="en-US"/>
        </w:rPr>
        <w:t>u</w:t>
      </w:r>
      <w:r w:rsidRPr="007B0A6F">
        <w:rPr>
          <w:rFonts w:ascii="Arial" w:eastAsia="Times New Roman" w:hAnsi="Arial" w:cs="Times New Roman"/>
          <w:szCs w:val="20"/>
          <w:lang w:val="en-US"/>
        </w:rPr>
        <w:t xml:space="preserve">rs has been established in </w:t>
      </w:r>
      <w:r w:rsidR="00FB103F">
        <w:rPr>
          <w:rFonts w:ascii="Arial" w:eastAsia="Times New Roman" w:hAnsi="Arial" w:cs="Times New Roman"/>
          <w:szCs w:val="20"/>
          <w:lang w:val="en-US"/>
        </w:rPr>
        <w:t>hu</w:t>
      </w:r>
      <w:r w:rsidRPr="007B0A6F">
        <w:rPr>
          <w:rFonts w:ascii="Arial" w:eastAsia="Times New Roman" w:hAnsi="Arial" w:cs="Times New Roman"/>
          <w:szCs w:val="20"/>
          <w:lang w:val="en-US"/>
        </w:rPr>
        <w:t>man</w:t>
      </w:r>
      <w:r w:rsidR="00546181">
        <w:rPr>
          <w:rFonts w:ascii="Arial" w:eastAsia="Times New Roman" w:hAnsi="Arial" w:cs="Times New Roman"/>
          <w:szCs w:val="20"/>
          <w:lang w:val="en-US"/>
        </w:rPr>
        <w:t>s</w:t>
      </w:r>
      <w:r w:rsidRPr="007B0A6F">
        <w:rPr>
          <w:rFonts w:ascii="Arial" w:eastAsia="Times New Roman" w:hAnsi="Arial" w:cs="Times New Roman"/>
          <w:szCs w:val="20"/>
          <w:lang w:val="en-US"/>
        </w:rPr>
        <w:t xml:space="preserve">. Furthermore, in adult human female subjects who received oral dosages of up to 60 mg of timolol maleate, the maximum recommended human oral </w:t>
      </w:r>
      <w:proofErr w:type="gramStart"/>
      <w:r w:rsidRPr="007B0A6F">
        <w:rPr>
          <w:rFonts w:ascii="Arial" w:eastAsia="Times New Roman" w:hAnsi="Arial" w:cs="Times New Roman"/>
          <w:szCs w:val="20"/>
          <w:lang w:val="en-US"/>
        </w:rPr>
        <w:t>dosage,</w:t>
      </w:r>
      <w:proofErr w:type="gramEnd"/>
      <w:r w:rsidRPr="007B0A6F">
        <w:rPr>
          <w:rFonts w:ascii="Arial" w:eastAsia="Times New Roman" w:hAnsi="Arial" w:cs="Times New Roman"/>
          <w:szCs w:val="20"/>
          <w:lang w:val="en-US"/>
        </w:rPr>
        <w:t xml:space="preserve"> there were no clinically meaningful changes in serum prolactin.</w:t>
      </w:r>
    </w:p>
    <w:p w:rsidR="00A1638C" w:rsidRP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Interactions with other Medicines</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No interaction studies have been performed.</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 xml:space="preserve">The potential exists for additive effects resulting in hypotension and/or marked bradycardia when ophthalmic beta blockers solution is administered concomitantly with oral calcium channel blockers, </w:t>
      </w:r>
      <w:r w:rsidR="007B0A6F" w:rsidRPr="007B0A6F">
        <w:rPr>
          <w:rFonts w:ascii="Arial" w:eastAsia="Times New Roman" w:hAnsi="Arial" w:cs="Arial"/>
          <w:szCs w:val="20"/>
        </w:rPr>
        <w:t xml:space="preserve">catecholamine-depleting drugs, </w:t>
      </w:r>
      <w:r w:rsidRPr="00A1638C">
        <w:rPr>
          <w:rFonts w:ascii="Arial" w:eastAsia="Times New Roman" w:hAnsi="Arial" w:cs="Arial"/>
          <w:szCs w:val="20"/>
        </w:rPr>
        <w:t xml:space="preserve">beta-adrenergic blocking agents, </w:t>
      </w:r>
      <w:proofErr w:type="spellStart"/>
      <w:r w:rsidRPr="00A1638C">
        <w:rPr>
          <w:rFonts w:ascii="Arial" w:eastAsia="Times New Roman" w:hAnsi="Arial" w:cs="Arial"/>
          <w:szCs w:val="20"/>
        </w:rPr>
        <w:t>antiarrhythmics</w:t>
      </w:r>
      <w:proofErr w:type="spellEnd"/>
      <w:r w:rsidRPr="00A1638C">
        <w:rPr>
          <w:rFonts w:ascii="Arial" w:eastAsia="Times New Roman" w:hAnsi="Arial" w:cs="Arial"/>
          <w:szCs w:val="20"/>
        </w:rPr>
        <w:t xml:space="preserve"> (including </w:t>
      </w:r>
      <w:proofErr w:type="spellStart"/>
      <w:r w:rsidRPr="00A1638C">
        <w:rPr>
          <w:rFonts w:ascii="Arial" w:eastAsia="Times New Roman" w:hAnsi="Arial" w:cs="Arial"/>
          <w:szCs w:val="20"/>
        </w:rPr>
        <w:t>amiodarone</w:t>
      </w:r>
      <w:proofErr w:type="spellEnd"/>
      <w:r w:rsidRPr="00A1638C">
        <w:rPr>
          <w:rFonts w:ascii="Arial" w:eastAsia="Times New Roman" w:hAnsi="Arial" w:cs="Arial"/>
          <w:szCs w:val="20"/>
        </w:rPr>
        <w:t xml:space="preserve">), digitalis glycosides, </w:t>
      </w:r>
      <w:proofErr w:type="spellStart"/>
      <w:r w:rsidRPr="00A1638C">
        <w:rPr>
          <w:rFonts w:ascii="Arial" w:eastAsia="Times New Roman" w:hAnsi="Arial" w:cs="Arial"/>
          <w:szCs w:val="20"/>
        </w:rPr>
        <w:t>parasympathomimetics</w:t>
      </w:r>
      <w:proofErr w:type="spellEnd"/>
      <w:r w:rsidRPr="00A1638C">
        <w:rPr>
          <w:rFonts w:ascii="Arial" w:eastAsia="Times New Roman" w:hAnsi="Arial" w:cs="Arial"/>
          <w:szCs w:val="20"/>
        </w:rPr>
        <w:t xml:space="preserve">, </w:t>
      </w:r>
      <w:proofErr w:type="spellStart"/>
      <w:r w:rsidRPr="00A1638C">
        <w:rPr>
          <w:rFonts w:ascii="Arial" w:eastAsia="Times New Roman" w:hAnsi="Arial" w:cs="Arial"/>
          <w:szCs w:val="20"/>
        </w:rPr>
        <w:t>guanethidine</w:t>
      </w:r>
      <w:proofErr w:type="spellEnd"/>
      <w:r w:rsidRPr="00A1638C">
        <w:rPr>
          <w:rFonts w:ascii="Arial" w:eastAsia="Times New Roman" w:hAnsi="Arial" w:cs="Arial"/>
          <w:szCs w:val="20"/>
        </w:rPr>
        <w:t>.</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 xml:space="preserve">Oral </w:t>
      </w:r>
      <w:r>
        <w:rPr>
          <w:rFonts w:ascii="Arial" w:eastAsia="Times New Roman" w:hAnsi="Arial" w:cs="Arial"/>
          <w:szCs w:val="20"/>
        </w:rPr>
        <w:t>beta</w:t>
      </w:r>
      <w:r w:rsidRPr="00A1638C">
        <w:rPr>
          <w:rFonts w:ascii="Arial" w:eastAsia="Times New Roman" w:hAnsi="Arial" w:cs="Arial"/>
          <w:szCs w:val="20"/>
        </w:rPr>
        <w:t>-adrenergic blocking agents may exacerbate the rebound hypertension which can follow the withdrawal of clonidine.</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lastRenderedPageBreak/>
        <w:t>Potentiated systemic beta-blockade (e.g., decreased heart rate, depression) has been reported during combined treatment with CYP2D6 inhibitors (e.g. quinidine, SSRIs) and timolol.</w:t>
      </w:r>
    </w:p>
    <w:p w:rsidR="00A1638C" w:rsidRPr="00A1638C" w:rsidRDefault="00A1638C" w:rsidP="00A1638C">
      <w:pPr>
        <w:spacing w:after="60" w:line="240" w:lineRule="auto"/>
        <w:jc w:val="both"/>
        <w:rPr>
          <w:rFonts w:ascii="Arial" w:eastAsia="Times New Roman" w:hAnsi="Arial" w:cs="Arial"/>
          <w:szCs w:val="20"/>
        </w:rPr>
      </w:pPr>
      <w:r w:rsidRPr="00A1638C">
        <w:rPr>
          <w:rFonts w:ascii="Arial" w:eastAsia="Times New Roman" w:hAnsi="Arial" w:cs="Arial"/>
          <w:szCs w:val="20"/>
        </w:rPr>
        <w:t xml:space="preserve">Although timolol used alone has little or no effect on pupil size, </w:t>
      </w:r>
      <w:proofErr w:type="spellStart"/>
      <w:r w:rsidRPr="00A1638C">
        <w:rPr>
          <w:rFonts w:ascii="Arial" w:eastAsia="Times New Roman" w:hAnsi="Arial" w:cs="Arial"/>
          <w:szCs w:val="20"/>
        </w:rPr>
        <w:t>mydriasis</w:t>
      </w:r>
      <w:proofErr w:type="spellEnd"/>
      <w:r w:rsidRPr="00A1638C">
        <w:rPr>
          <w:rFonts w:ascii="Arial" w:eastAsia="Times New Roman" w:hAnsi="Arial" w:cs="Arial"/>
          <w:szCs w:val="20"/>
        </w:rPr>
        <w:t xml:space="preserve"> resulting from concomitant therapy with timolol and epinephrine has been reported occasionally.</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Close observation of the patient is recommended when a beta-blocker is administered to patients receiving catecholamine-depleting drugs such as reserpine, because of possible additive effects and the production of hypotension and/or marked bradycardia, which may produce vertigo, syncope or postural hypotension.</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Oral calcium antagonists may be used in combination with beta-adrenergic blocking agents when heart function is normal, but should be avoided in patients with impaired cardiac function.</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 xml:space="preserve">The potential exists for hypotension, AV conduction disturbances and left ventricular failure to occur in patients receiving a beta-blocking agent when an oral calcium entry blocker is added to the treatment regimen. The nature of any cardiovascular adverse effect tends to depend on the type of calcium blocker used. Dihydropyridine derivatives, such as </w:t>
      </w:r>
      <w:proofErr w:type="spellStart"/>
      <w:r w:rsidRPr="007B0A6F">
        <w:rPr>
          <w:rFonts w:ascii="Arial" w:eastAsia="Times New Roman" w:hAnsi="Arial" w:cs="Arial"/>
          <w:szCs w:val="20"/>
        </w:rPr>
        <w:t>nifedipine</w:t>
      </w:r>
      <w:proofErr w:type="spellEnd"/>
      <w:r w:rsidRPr="007B0A6F">
        <w:rPr>
          <w:rFonts w:ascii="Arial" w:eastAsia="Times New Roman" w:hAnsi="Arial" w:cs="Arial"/>
          <w:szCs w:val="20"/>
        </w:rPr>
        <w:t>, may lead to hypotension, whereas verapamil or diltiazem have a greater propensity to lead to AV conduction disturbances or left ventricular failure when used with a beta-blocker.</w:t>
      </w:r>
    </w:p>
    <w:p w:rsidR="007B0A6F" w:rsidRPr="007B0A6F"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Intravenous calcium entry blockers should be used with caution in patients receiving beta-adrenergic blocking agents.</w:t>
      </w:r>
    </w:p>
    <w:p w:rsidR="00A1638C" w:rsidRPr="00A1638C" w:rsidRDefault="007B0A6F" w:rsidP="007B0A6F">
      <w:pPr>
        <w:spacing w:after="60" w:line="240" w:lineRule="auto"/>
        <w:jc w:val="both"/>
        <w:rPr>
          <w:rFonts w:ascii="Arial" w:eastAsia="Times New Roman" w:hAnsi="Arial" w:cs="Arial"/>
          <w:szCs w:val="20"/>
        </w:rPr>
      </w:pPr>
      <w:r w:rsidRPr="007B0A6F">
        <w:rPr>
          <w:rFonts w:ascii="Arial" w:eastAsia="Times New Roman" w:hAnsi="Arial" w:cs="Arial"/>
          <w:szCs w:val="20"/>
        </w:rPr>
        <w:t>The concomitant use of beta-adrenergic blocking agents and digitalis with either diltiazem or verapamil may have additive effects in prolonging AV conduction time.</w:t>
      </w:r>
    </w:p>
    <w:p w:rsidR="00A1638C" w:rsidRP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Adverse Effects</w:t>
      </w:r>
    </w:p>
    <w:p w:rsidR="005E118E" w:rsidRPr="005E118E" w:rsidRDefault="005E118E" w:rsidP="005E118E">
      <w:pPr>
        <w:keepNext/>
        <w:spacing w:before="240" w:after="120" w:line="240" w:lineRule="auto"/>
        <w:jc w:val="both"/>
        <w:outlineLvl w:val="1"/>
        <w:rPr>
          <w:rFonts w:ascii="Arial" w:eastAsia="Times New Roman" w:hAnsi="Arial" w:cs="Arial"/>
          <w:b/>
          <w:bCs/>
          <w:iCs/>
          <w:lang w:val="en-US"/>
        </w:rPr>
      </w:pPr>
      <w:r w:rsidRPr="005E118E">
        <w:rPr>
          <w:rFonts w:ascii="Arial" w:eastAsia="Times New Roman" w:hAnsi="Arial" w:cs="Arial"/>
          <w:b/>
          <w:bCs/>
          <w:iCs/>
          <w:lang w:val="en-US"/>
        </w:rPr>
        <w:t>Clinical Trials Experience</w:t>
      </w:r>
    </w:p>
    <w:p w:rsidR="005E118E" w:rsidRPr="005E118E"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In clinical studies, 484 patients have been treated with TAPTIQOM</w:t>
      </w:r>
      <w:r w:rsidR="008C13FB">
        <w:rPr>
          <w:rFonts w:ascii="Arial" w:eastAsia="Times New Roman" w:hAnsi="Arial" w:cs="Times New Roman"/>
          <w:szCs w:val="20"/>
          <w:lang w:val="en-US"/>
        </w:rPr>
        <w:t xml:space="preserve"> 15/5</w:t>
      </w:r>
      <w:r w:rsidRPr="005E118E">
        <w:rPr>
          <w:rFonts w:ascii="Arial" w:eastAsia="Times New Roman" w:hAnsi="Arial" w:cs="Times New Roman"/>
          <w:szCs w:val="20"/>
          <w:lang w:val="en-US"/>
        </w:rPr>
        <w:t>. The most frequently reported treatment-related adverse event was conjunctival/ocular hyperemia. It occurred in approximately 7% of the patients participating in the clinical studies, was mild in most cases, and was associated with discontinuation of treatment in 1.2% of patients.</w:t>
      </w:r>
    </w:p>
    <w:p w:rsidR="005E118E" w:rsidRPr="005E118E"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The adverse reactions reported in the clinical studies using TAPTIQOM</w:t>
      </w:r>
      <w:r w:rsidR="008C13FB">
        <w:rPr>
          <w:rFonts w:ascii="Arial" w:eastAsia="Times New Roman" w:hAnsi="Arial" w:cs="Times New Roman"/>
          <w:szCs w:val="20"/>
          <w:lang w:val="en-US"/>
        </w:rPr>
        <w:t xml:space="preserve"> 15/5</w:t>
      </w:r>
      <w:r w:rsidRPr="005E118E">
        <w:rPr>
          <w:rFonts w:ascii="Arial" w:eastAsia="Times New Roman" w:hAnsi="Arial" w:cs="Times New Roman"/>
          <w:szCs w:val="20"/>
          <w:lang w:val="en-US"/>
        </w:rPr>
        <w:t xml:space="preserve"> were limited to those earlier reported for either of the single active substances tafluprost or timolol. No new adverse reactions specific for TAPTIQOM</w:t>
      </w:r>
      <w:r w:rsidR="008C13FB">
        <w:rPr>
          <w:rFonts w:ascii="Arial" w:eastAsia="Times New Roman" w:hAnsi="Arial" w:cs="Times New Roman"/>
          <w:szCs w:val="20"/>
          <w:lang w:val="en-US"/>
        </w:rPr>
        <w:t xml:space="preserve"> 15/5</w:t>
      </w:r>
      <w:r w:rsidRPr="005E118E">
        <w:rPr>
          <w:rFonts w:ascii="Arial" w:eastAsia="Times New Roman" w:hAnsi="Arial" w:cs="Times New Roman"/>
          <w:szCs w:val="20"/>
          <w:lang w:val="en-US"/>
        </w:rPr>
        <w:t xml:space="preserve"> were observed in the clinical studies. The majority of adverse reactions reported were ocular, mild or moderate in severity and none were serious.</w:t>
      </w:r>
    </w:p>
    <w:p w:rsidR="005E118E" w:rsidRPr="005E118E"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 xml:space="preserve">Like other topically applied ophthalmic agents, tafluprost and timolol are absorbed systemically. This may cause similar undesirable effects as seen with systemic beta-blocking agents. Incidence of systemic </w:t>
      </w:r>
      <w:r w:rsidR="00A81B81">
        <w:rPr>
          <w:rFonts w:ascii="Arial" w:eastAsia="Times New Roman" w:hAnsi="Arial" w:cs="Times New Roman"/>
          <w:szCs w:val="20"/>
          <w:lang w:val="en-US"/>
        </w:rPr>
        <w:t>adverse reactions</w:t>
      </w:r>
      <w:r w:rsidR="00A81B81" w:rsidRPr="005E118E">
        <w:rPr>
          <w:rFonts w:ascii="Arial" w:eastAsia="Times New Roman" w:hAnsi="Arial" w:cs="Times New Roman"/>
          <w:szCs w:val="20"/>
          <w:lang w:val="en-US"/>
        </w:rPr>
        <w:t xml:space="preserve"> </w:t>
      </w:r>
      <w:r w:rsidRPr="005E118E">
        <w:rPr>
          <w:rFonts w:ascii="Arial" w:eastAsia="Times New Roman" w:hAnsi="Arial" w:cs="Times New Roman"/>
          <w:szCs w:val="20"/>
          <w:lang w:val="en-US"/>
        </w:rPr>
        <w:t>after topical ophthalmic administration is lower than for systemic administration.</w:t>
      </w:r>
    </w:p>
    <w:p w:rsidR="005E118E" w:rsidRPr="005E118E" w:rsidRDefault="005E118E" w:rsidP="005E118E">
      <w:pPr>
        <w:spacing w:after="60" w:line="240" w:lineRule="auto"/>
        <w:jc w:val="both"/>
        <w:rPr>
          <w:rFonts w:ascii="Arial" w:eastAsia="Times New Roman" w:hAnsi="Arial" w:cs="Times New Roman"/>
          <w:szCs w:val="20"/>
          <w:lang w:val="en-US"/>
        </w:rPr>
      </w:pPr>
    </w:p>
    <w:p w:rsidR="009C0FAC" w:rsidRPr="009C0FAC" w:rsidRDefault="005E118E" w:rsidP="009C0FAC">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 xml:space="preserve">The following additional drug related adverse reactions have been reported </w:t>
      </w:r>
      <w:r w:rsidR="009C0FAC" w:rsidRPr="009C0FAC">
        <w:rPr>
          <w:rFonts w:ascii="Arial" w:eastAsia="Times New Roman" w:hAnsi="Arial" w:cs="Times New Roman"/>
          <w:szCs w:val="20"/>
          <w:lang w:val="en-US"/>
        </w:rPr>
        <w:t>with TAPTIQOM</w:t>
      </w:r>
      <w:r w:rsidR="008C13FB">
        <w:rPr>
          <w:rFonts w:ascii="Arial" w:eastAsia="Times New Roman" w:hAnsi="Arial" w:cs="Times New Roman"/>
          <w:szCs w:val="20"/>
          <w:lang w:val="en-US"/>
        </w:rPr>
        <w:t xml:space="preserve"> 15/5</w:t>
      </w:r>
      <w:r w:rsidR="009C0FAC" w:rsidRPr="009C0FAC">
        <w:rPr>
          <w:rFonts w:ascii="Arial" w:eastAsia="Times New Roman" w:hAnsi="Arial" w:cs="Times New Roman"/>
          <w:szCs w:val="20"/>
          <w:lang w:val="en-US"/>
        </w:rPr>
        <w:t xml:space="preserve"> during clinical trials (within each frequency grouping, adverse reactions are presented in order of decreasing frequency).</w:t>
      </w:r>
    </w:p>
    <w:p w:rsidR="009C0FAC" w:rsidRDefault="009C0FAC" w:rsidP="009C0FAC">
      <w:pPr>
        <w:spacing w:after="60" w:line="240" w:lineRule="auto"/>
        <w:jc w:val="both"/>
        <w:rPr>
          <w:rFonts w:ascii="Arial" w:eastAsia="Times New Roman" w:hAnsi="Arial" w:cs="Times New Roman"/>
          <w:szCs w:val="20"/>
          <w:lang w:val="en-US"/>
        </w:rPr>
      </w:pPr>
      <w:r w:rsidRPr="009C0FAC">
        <w:rPr>
          <w:rFonts w:ascii="Arial" w:eastAsia="Times New Roman" w:hAnsi="Arial" w:cs="Times New Roman"/>
          <w:szCs w:val="20"/>
          <w:lang w:val="en-US"/>
        </w:rPr>
        <w:t>The frequency of possible adverse reactions listed below is defined using the following convention</w:t>
      </w:r>
      <w:r w:rsidR="005E118E" w:rsidRPr="005E118E">
        <w:rPr>
          <w:rFonts w:ascii="Arial" w:eastAsia="Times New Roman" w:hAnsi="Arial" w:cs="Times New Roman"/>
          <w:szCs w:val="20"/>
          <w:lang w:val="en-US"/>
        </w:rPr>
        <w:t>:</w:t>
      </w:r>
    </w:p>
    <w:tbl>
      <w:tblPr>
        <w:tblStyle w:val="TableGrid"/>
        <w:tblW w:w="0" w:type="auto"/>
        <w:tblInd w:w="108" w:type="dxa"/>
        <w:tblLook w:val="04A0" w:firstRow="1" w:lastRow="0" w:firstColumn="1" w:lastColumn="0" w:noHBand="0" w:noVBand="1"/>
      </w:tblPr>
      <w:tblGrid>
        <w:gridCol w:w="2835"/>
        <w:gridCol w:w="3828"/>
      </w:tblGrid>
      <w:tr w:rsidR="009C0FAC" w:rsidRPr="00D55E53" w:rsidTr="00A405C6">
        <w:tc>
          <w:tcPr>
            <w:tcW w:w="2835"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t xml:space="preserve">Very common </w:t>
            </w:r>
          </w:p>
        </w:tc>
        <w:tc>
          <w:tcPr>
            <w:tcW w:w="3828"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t>≥1/10</w:t>
            </w:r>
          </w:p>
        </w:tc>
      </w:tr>
      <w:tr w:rsidR="009C0FAC" w:rsidRPr="00D55E53" w:rsidTr="00A405C6">
        <w:tc>
          <w:tcPr>
            <w:tcW w:w="2835" w:type="dxa"/>
          </w:tcPr>
          <w:p w:rsidR="009C0FAC" w:rsidRPr="00D55E53" w:rsidRDefault="009C0FAC" w:rsidP="00A405C6">
            <w:pPr>
              <w:jc w:val="both"/>
              <w:rPr>
                <w:rFonts w:ascii="Arial" w:eastAsia="Times New Roman" w:hAnsi="Arial" w:cs="Times New Roman"/>
                <w:szCs w:val="20"/>
                <w:lang w:val="en-US"/>
              </w:rPr>
            </w:pPr>
            <w:r w:rsidRPr="00D55E53">
              <w:rPr>
                <w:rFonts w:ascii="Arial" w:eastAsia="Times New Roman" w:hAnsi="Arial" w:cs="Times New Roman"/>
                <w:szCs w:val="20"/>
                <w:lang w:val="en-US"/>
              </w:rPr>
              <w:t xml:space="preserve">Common </w:t>
            </w:r>
          </w:p>
        </w:tc>
        <w:tc>
          <w:tcPr>
            <w:tcW w:w="3828" w:type="dxa"/>
          </w:tcPr>
          <w:p w:rsidR="009C0FAC" w:rsidRPr="00D55E53" w:rsidRDefault="009C0FAC" w:rsidP="009C0FAC">
            <w:pPr>
              <w:rPr>
                <w:rFonts w:ascii="Arial" w:eastAsia="Times New Roman" w:hAnsi="Arial" w:cs="Times New Roman"/>
                <w:szCs w:val="20"/>
                <w:lang w:val="en-US"/>
              </w:rPr>
            </w:pPr>
            <w:r w:rsidRPr="00D55E53">
              <w:rPr>
                <w:rFonts w:ascii="Arial" w:eastAsia="Times New Roman" w:hAnsi="Arial" w:cs="Times New Roman"/>
                <w:szCs w:val="20"/>
                <w:lang w:val="en-US"/>
              </w:rPr>
              <w:t>≥1/100 to &lt;1/10</w:t>
            </w:r>
          </w:p>
        </w:tc>
      </w:tr>
      <w:tr w:rsidR="009C0FAC" w:rsidRPr="00D55E53" w:rsidTr="00A405C6">
        <w:tc>
          <w:tcPr>
            <w:tcW w:w="2835"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t xml:space="preserve">Uncommon </w:t>
            </w:r>
          </w:p>
        </w:tc>
        <w:tc>
          <w:tcPr>
            <w:tcW w:w="3828"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t>≥1/1,000 to &lt;1/100</w:t>
            </w:r>
          </w:p>
        </w:tc>
      </w:tr>
      <w:tr w:rsidR="009C0FAC" w:rsidRPr="00D55E53" w:rsidTr="00A405C6">
        <w:tc>
          <w:tcPr>
            <w:tcW w:w="2835" w:type="dxa"/>
          </w:tcPr>
          <w:p w:rsidR="009C0FAC" w:rsidRPr="00D55E53" w:rsidRDefault="009C0FAC" w:rsidP="00A405C6">
            <w:pPr>
              <w:jc w:val="both"/>
              <w:rPr>
                <w:rFonts w:ascii="Arial" w:eastAsia="Times New Roman" w:hAnsi="Arial" w:cs="Times New Roman"/>
                <w:szCs w:val="20"/>
                <w:lang w:val="en-US"/>
              </w:rPr>
            </w:pPr>
            <w:r w:rsidRPr="00D55E53">
              <w:rPr>
                <w:rFonts w:ascii="Arial" w:eastAsia="Times New Roman" w:hAnsi="Arial" w:cs="Times New Roman"/>
                <w:szCs w:val="20"/>
                <w:lang w:val="en-US"/>
              </w:rPr>
              <w:t xml:space="preserve">Rare </w:t>
            </w:r>
          </w:p>
        </w:tc>
        <w:tc>
          <w:tcPr>
            <w:tcW w:w="3828"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t>≥1/10,000 to &lt;1/1,000</w:t>
            </w:r>
          </w:p>
        </w:tc>
      </w:tr>
      <w:tr w:rsidR="009C0FAC" w:rsidRPr="00D55E53" w:rsidTr="00A405C6">
        <w:tc>
          <w:tcPr>
            <w:tcW w:w="2835" w:type="dxa"/>
          </w:tcPr>
          <w:p w:rsidR="009C0FAC" w:rsidRPr="00D55E53" w:rsidRDefault="009C0FAC" w:rsidP="00A405C6">
            <w:pPr>
              <w:jc w:val="both"/>
              <w:rPr>
                <w:rFonts w:ascii="Arial" w:eastAsia="Times New Roman" w:hAnsi="Arial" w:cs="Times New Roman"/>
                <w:szCs w:val="20"/>
                <w:lang w:val="en-US"/>
              </w:rPr>
            </w:pPr>
            <w:r w:rsidRPr="00D55E53">
              <w:rPr>
                <w:rFonts w:ascii="Arial" w:eastAsia="Times New Roman" w:hAnsi="Arial" w:cs="Times New Roman"/>
                <w:szCs w:val="20"/>
                <w:lang w:val="en-US"/>
              </w:rPr>
              <w:t xml:space="preserve">Very rare </w:t>
            </w:r>
          </w:p>
        </w:tc>
        <w:tc>
          <w:tcPr>
            <w:tcW w:w="3828"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t>&lt;1/10,000</w:t>
            </w:r>
          </w:p>
        </w:tc>
      </w:tr>
      <w:tr w:rsidR="009C0FAC" w:rsidRPr="00D55E53" w:rsidTr="00A405C6">
        <w:tc>
          <w:tcPr>
            <w:tcW w:w="2835"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lastRenderedPageBreak/>
              <w:t>Not known</w:t>
            </w:r>
          </w:p>
        </w:tc>
        <w:tc>
          <w:tcPr>
            <w:tcW w:w="3828" w:type="dxa"/>
          </w:tcPr>
          <w:p w:rsidR="009C0FAC" w:rsidRPr="00D55E53" w:rsidRDefault="009C0FAC" w:rsidP="009C0FAC">
            <w:pPr>
              <w:jc w:val="both"/>
              <w:rPr>
                <w:rFonts w:ascii="Arial" w:eastAsia="Times New Roman" w:hAnsi="Arial" w:cs="Times New Roman"/>
                <w:szCs w:val="20"/>
                <w:lang w:val="en-US"/>
              </w:rPr>
            </w:pPr>
            <w:r w:rsidRPr="00D55E53">
              <w:rPr>
                <w:rFonts w:ascii="Arial" w:eastAsia="Times New Roman" w:hAnsi="Arial" w:cs="Times New Roman"/>
                <w:szCs w:val="20"/>
                <w:lang w:val="en-US"/>
              </w:rPr>
              <w:t>Frequency cannot be estimated</w:t>
            </w:r>
          </w:p>
        </w:tc>
      </w:tr>
    </w:tbl>
    <w:p w:rsidR="009C0FAC" w:rsidRPr="009C0FAC" w:rsidRDefault="00A81B81" w:rsidP="009C0FAC">
      <w:pPr>
        <w:autoSpaceDE w:val="0"/>
        <w:autoSpaceDN w:val="0"/>
        <w:adjustRightInd w:val="0"/>
        <w:spacing w:before="240" w:after="60" w:line="240" w:lineRule="auto"/>
        <w:jc w:val="both"/>
        <w:rPr>
          <w:rFonts w:ascii="Arial" w:eastAsia="Times New Roman" w:hAnsi="Arial" w:cs="Arial"/>
          <w:i/>
          <w:szCs w:val="20"/>
          <w:u w:val="single"/>
        </w:rPr>
      </w:pPr>
      <w:r>
        <w:rPr>
          <w:rFonts w:ascii="Arial" w:eastAsia="Times New Roman" w:hAnsi="Arial" w:cs="Arial"/>
          <w:i/>
          <w:szCs w:val="20"/>
          <w:u w:val="single"/>
        </w:rPr>
        <w:t>TAPTIQOM 15/5</w:t>
      </w:r>
    </w:p>
    <w:tbl>
      <w:tblPr>
        <w:tblStyle w:val="TableGrid1"/>
        <w:tblW w:w="0" w:type="auto"/>
        <w:tblInd w:w="108" w:type="dxa"/>
        <w:tblLook w:val="04A0" w:firstRow="1" w:lastRow="0" w:firstColumn="1" w:lastColumn="0" w:noHBand="0" w:noVBand="1"/>
      </w:tblPr>
      <w:tblGrid>
        <w:gridCol w:w="2835"/>
        <w:gridCol w:w="1843"/>
        <w:gridCol w:w="4456"/>
      </w:tblGrid>
      <w:tr w:rsidR="009C0FAC" w:rsidRPr="00D55E53" w:rsidTr="00652BA3">
        <w:tc>
          <w:tcPr>
            <w:tcW w:w="2835"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System Organ Class</w:t>
            </w:r>
          </w:p>
        </w:tc>
        <w:tc>
          <w:tcPr>
            <w:tcW w:w="1843"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Frequency</w:t>
            </w:r>
          </w:p>
        </w:tc>
        <w:tc>
          <w:tcPr>
            <w:tcW w:w="4456"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Adverse Effects</w:t>
            </w:r>
          </w:p>
        </w:tc>
      </w:tr>
      <w:tr w:rsidR="009C0FAC" w:rsidRPr="00D55E53" w:rsidTr="00652BA3">
        <w:tc>
          <w:tcPr>
            <w:tcW w:w="2835"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Nervous System Disorders</w:t>
            </w:r>
          </w:p>
        </w:tc>
        <w:tc>
          <w:tcPr>
            <w:tcW w:w="1843"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Uncommon</w:t>
            </w:r>
          </w:p>
        </w:tc>
        <w:tc>
          <w:tcPr>
            <w:tcW w:w="4456"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Headache</w:t>
            </w:r>
          </w:p>
        </w:tc>
      </w:tr>
      <w:tr w:rsidR="009C0FAC" w:rsidRPr="00D55E53" w:rsidTr="00652BA3">
        <w:tc>
          <w:tcPr>
            <w:tcW w:w="2835" w:type="dxa"/>
            <w:vMerge w:val="restart"/>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Eye Disorders</w:t>
            </w:r>
          </w:p>
        </w:tc>
        <w:tc>
          <w:tcPr>
            <w:tcW w:w="1843"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Common</w:t>
            </w:r>
          </w:p>
        </w:tc>
        <w:tc>
          <w:tcPr>
            <w:tcW w:w="4456" w:type="dxa"/>
          </w:tcPr>
          <w:p w:rsidR="009C0FAC" w:rsidRPr="00D55E53" w:rsidRDefault="009C0FAC" w:rsidP="009C0FAC">
            <w:pPr>
              <w:spacing w:before="120" w:after="60"/>
              <w:rPr>
                <w:rFonts w:ascii="Arial" w:eastAsia="Times New Roman" w:hAnsi="Arial" w:cs="Times New Roman"/>
                <w:szCs w:val="20"/>
                <w:lang w:val="en-US"/>
              </w:rPr>
            </w:pPr>
            <w:r w:rsidRPr="00D55E53">
              <w:rPr>
                <w:rFonts w:ascii="Arial" w:eastAsia="Times New Roman" w:hAnsi="Arial" w:cs="Times New Roman"/>
                <w:szCs w:val="20"/>
                <w:lang w:val="en-US"/>
              </w:rPr>
              <w:t xml:space="preserve">Conjunctival/ocular </w:t>
            </w:r>
            <w:proofErr w:type="spellStart"/>
            <w:r w:rsidRPr="00D55E53">
              <w:rPr>
                <w:rFonts w:ascii="Arial" w:eastAsia="Times New Roman" w:hAnsi="Arial" w:cs="Times New Roman"/>
                <w:szCs w:val="20"/>
                <w:lang w:val="en-US"/>
              </w:rPr>
              <w:t>hyperaemia</w:t>
            </w:r>
            <w:proofErr w:type="spellEnd"/>
            <w:r w:rsidRPr="00D55E53">
              <w:rPr>
                <w:rFonts w:ascii="Arial" w:eastAsia="Times New Roman" w:hAnsi="Arial" w:cs="Times New Roman"/>
                <w:szCs w:val="20"/>
                <w:lang w:val="en-US"/>
              </w:rPr>
              <w:t xml:space="preserve">, eye pruritus, eye pain, change of eyelashes (increased length, thickness and number of lashes), eyelash </w:t>
            </w:r>
            <w:proofErr w:type="spellStart"/>
            <w:r w:rsidRPr="00D55E53">
              <w:rPr>
                <w:rFonts w:ascii="Arial" w:eastAsia="Times New Roman" w:hAnsi="Arial" w:cs="Times New Roman"/>
                <w:szCs w:val="20"/>
                <w:lang w:val="en-US"/>
              </w:rPr>
              <w:t>discolouration</w:t>
            </w:r>
            <w:proofErr w:type="spellEnd"/>
            <w:r w:rsidRPr="00D55E53">
              <w:rPr>
                <w:rFonts w:ascii="Arial" w:eastAsia="Times New Roman" w:hAnsi="Arial" w:cs="Times New Roman"/>
                <w:szCs w:val="20"/>
                <w:lang w:val="en-US"/>
              </w:rPr>
              <w:t>, eye irritation, foreign body sensation in eyes, blurred vision, photophobia.</w:t>
            </w:r>
          </w:p>
        </w:tc>
      </w:tr>
      <w:tr w:rsidR="009C0FAC" w:rsidRPr="00D55E53" w:rsidTr="00652BA3">
        <w:tc>
          <w:tcPr>
            <w:tcW w:w="2835" w:type="dxa"/>
            <w:vMerge/>
          </w:tcPr>
          <w:p w:rsidR="009C0FAC" w:rsidRPr="00D55E53" w:rsidRDefault="009C0FAC" w:rsidP="009C0FAC">
            <w:pPr>
              <w:spacing w:before="120" w:after="60"/>
              <w:jc w:val="both"/>
              <w:rPr>
                <w:rFonts w:ascii="Arial" w:eastAsia="Times New Roman" w:hAnsi="Arial" w:cs="Times New Roman"/>
                <w:szCs w:val="20"/>
                <w:lang w:val="en-US"/>
              </w:rPr>
            </w:pPr>
          </w:p>
        </w:tc>
        <w:tc>
          <w:tcPr>
            <w:tcW w:w="1843" w:type="dxa"/>
          </w:tcPr>
          <w:p w:rsidR="009C0FAC" w:rsidRPr="00D55E53" w:rsidRDefault="009C0FAC" w:rsidP="009C0FAC">
            <w:pPr>
              <w:spacing w:before="120" w:after="60"/>
              <w:jc w:val="both"/>
              <w:rPr>
                <w:rFonts w:ascii="Arial" w:eastAsia="Times New Roman" w:hAnsi="Arial" w:cs="Times New Roman"/>
                <w:szCs w:val="20"/>
                <w:lang w:val="en-US"/>
              </w:rPr>
            </w:pPr>
            <w:r w:rsidRPr="00D55E53">
              <w:rPr>
                <w:rFonts w:ascii="Arial" w:eastAsia="Times New Roman" w:hAnsi="Arial" w:cs="Times New Roman"/>
                <w:szCs w:val="20"/>
                <w:lang w:val="en-US"/>
              </w:rPr>
              <w:t>Uncommon</w:t>
            </w:r>
          </w:p>
        </w:tc>
        <w:tc>
          <w:tcPr>
            <w:tcW w:w="4456" w:type="dxa"/>
          </w:tcPr>
          <w:p w:rsidR="009C0FAC" w:rsidRPr="00D55E53" w:rsidRDefault="009C0FAC" w:rsidP="009C0FAC">
            <w:pPr>
              <w:spacing w:before="120" w:after="60"/>
              <w:rPr>
                <w:rFonts w:ascii="Arial" w:eastAsia="Times New Roman" w:hAnsi="Arial" w:cs="Times New Roman"/>
                <w:szCs w:val="20"/>
                <w:lang w:val="en-US"/>
              </w:rPr>
            </w:pPr>
            <w:r w:rsidRPr="00D55E53">
              <w:rPr>
                <w:rFonts w:ascii="Arial" w:eastAsia="Times New Roman" w:hAnsi="Arial" w:cs="Times New Roman"/>
                <w:szCs w:val="20"/>
                <w:lang w:val="en-US"/>
              </w:rPr>
              <w:t xml:space="preserve">Abnormal sensation in eye, dry eye, ocular discomfort, conjunctivitis, erythema of eyelid, eye allergy, eyelid oedema, superficial punctate keratitis, lacrimation increased, anterior chamber inflammation, </w:t>
            </w:r>
            <w:proofErr w:type="spellStart"/>
            <w:r w:rsidRPr="00D55E53">
              <w:rPr>
                <w:rFonts w:ascii="Arial" w:eastAsia="Times New Roman" w:hAnsi="Arial" w:cs="Times New Roman"/>
                <w:szCs w:val="20"/>
                <w:lang w:val="en-US"/>
              </w:rPr>
              <w:t>asthenopia</w:t>
            </w:r>
            <w:proofErr w:type="spellEnd"/>
            <w:r w:rsidRPr="00D55E53">
              <w:rPr>
                <w:rFonts w:ascii="Arial" w:eastAsia="Times New Roman" w:hAnsi="Arial" w:cs="Times New Roman"/>
                <w:szCs w:val="20"/>
                <w:lang w:val="en-US"/>
              </w:rPr>
              <w:t xml:space="preserve">, </w:t>
            </w:r>
            <w:proofErr w:type="spellStart"/>
            <w:proofErr w:type="gramStart"/>
            <w:r w:rsidRPr="00D55E53">
              <w:rPr>
                <w:rFonts w:ascii="Arial" w:eastAsia="Times New Roman" w:hAnsi="Arial" w:cs="Times New Roman"/>
                <w:szCs w:val="20"/>
                <w:lang w:val="en-US"/>
              </w:rPr>
              <w:t>blepharitis</w:t>
            </w:r>
            <w:proofErr w:type="spellEnd"/>
            <w:proofErr w:type="gramEnd"/>
            <w:r w:rsidRPr="00D55E53">
              <w:rPr>
                <w:rFonts w:ascii="Arial" w:eastAsia="Times New Roman" w:hAnsi="Arial" w:cs="Times New Roman"/>
                <w:szCs w:val="20"/>
                <w:lang w:val="en-US"/>
              </w:rPr>
              <w:t>.</w:t>
            </w:r>
          </w:p>
        </w:tc>
      </w:tr>
    </w:tbl>
    <w:p w:rsidR="005E118E" w:rsidRPr="005E118E" w:rsidRDefault="005E118E" w:rsidP="005E118E">
      <w:pPr>
        <w:spacing w:after="60" w:line="240" w:lineRule="auto"/>
        <w:jc w:val="both"/>
        <w:rPr>
          <w:rFonts w:ascii="Arial" w:eastAsia="Times New Roman" w:hAnsi="Arial" w:cs="Times New Roman"/>
          <w:szCs w:val="20"/>
          <w:lang w:val="en-US"/>
        </w:rPr>
      </w:pPr>
    </w:p>
    <w:p w:rsidR="005E118E" w:rsidRPr="005E118E"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 xml:space="preserve">Additional side effects that have been seen with </w:t>
      </w:r>
      <w:r w:rsidR="00A81B81">
        <w:rPr>
          <w:rFonts w:ascii="Arial" w:eastAsia="Times New Roman" w:hAnsi="Arial" w:cs="Times New Roman"/>
          <w:szCs w:val="20"/>
          <w:lang w:val="en-US"/>
        </w:rPr>
        <w:t>either</w:t>
      </w:r>
      <w:r w:rsidR="00A81B81" w:rsidRPr="005E118E">
        <w:rPr>
          <w:rFonts w:ascii="Arial" w:eastAsia="Times New Roman" w:hAnsi="Arial" w:cs="Times New Roman"/>
          <w:szCs w:val="20"/>
          <w:lang w:val="en-US"/>
        </w:rPr>
        <w:t xml:space="preserve"> </w:t>
      </w:r>
      <w:r w:rsidRPr="005E118E">
        <w:rPr>
          <w:rFonts w:ascii="Arial" w:eastAsia="Times New Roman" w:hAnsi="Arial" w:cs="Times New Roman"/>
          <w:szCs w:val="20"/>
          <w:lang w:val="en-US"/>
        </w:rPr>
        <w:t xml:space="preserve">of the </w:t>
      </w:r>
      <w:r w:rsidR="00A81B81">
        <w:rPr>
          <w:rFonts w:ascii="Arial" w:eastAsia="Times New Roman" w:hAnsi="Arial" w:cs="Times New Roman"/>
          <w:szCs w:val="20"/>
          <w:lang w:val="en-US"/>
        </w:rPr>
        <w:t xml:space="preserve">active </w:t>
      </w:r>
      <w:r w:rsidRPr="005E118E">
        <w:rPr>
          <w:rFonts w:ascii="Arial" w:eastAsia="Times New Roman" w:hAnsi="Arial" w:cs="Times New Roman"/>
          <w:szCs w:val="20"/>
          <w:lang w:val="en-US"/>
        </w:rPr>
        <w:t>components in clinical trials or in postmarketing use and may be potential side effects of TAPTIQOM</w:t>
      </w:r>
      <w:r w:rsidR="00A81B81">
        <w:rPr>
          <w:rFonts w:ascii="Arial" w:eastAsia="Times New Roman" w:hAnsi="Arial" w:cs="Times New Roman"/>
          <w:szCs w:val="20"/>
          <w:lang w:val="en-US"/>
        </w:rPr>
        <w:t xml:space="preserve"> 15/5</w:t>
      </w:r>
      <w:r w:rsidRPr="005E118E">
        <w:rPr>
          <w:rFonts w:ascii="Arial" w:eastAsia="Times New Roman" w:hAnsi="Arial" w:cs="Times New Roman"/>
          <w:szCs w:val="20"/>
          <w:lang w:val="en-US"/>
        </w:rPr>
        <w:t xml:space="preserve"> are:</w:t>
      </w:r>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Tafluprost</w:t>
      </w:r>
    </w:p>
    <w:p w:rsidR="005E118E" w:rsidRPr="005E118E" w:rsidRDefault="005E118E" w:rsidP="005E118E">
      <w:pPr>
        <w:spacing w:after="60" w:line="240" w:lineRule="auto"/>
        <w:jc w:val="both"/>
        <w:rPr>
          <w:rFonts w:ascii="Arial" w:eastAsia="Times New Roman" w:hAnsi="Arial" w:cs="Times New Roman"/>
          <w:szCs w:val="20"/>
          <w:lang w:val="en-US"/>
        </w:rPr>
      </w:pPr>
      <w:proofErr w:type="gramStart"/>
      <w:r w:rsidRPr="005E118E">
        <w:rPr>
          <w:rFonts w:ascii="Arial" w:eastAsia="Times New Roman" w:hAnsi="Arial" w:cs="Times New Roman"/>
          <w:szCs w:val="20"/>
          <w:lang w:val="en-US"/>
        </w:rPr>
        <w:t xml:space="preserve">Reduced visual acuity, iris hyperpigmentation, </w:t>
      </w:r>
      <w:proofErr w:type="spellStart"/>
      <w:r w:rsidRPr="005E118E">
        <w:rPr>
          <w:rFonts w:ascii="Arial" w:eastAsia="Times New Roman" w:hAnsi="Arial" w:cs="Times New Roman"/>
          <w:szCs w:val="20"/>
          <w:lang w:val="en-US"/>
        </w:rPr>
        <w:t>blepharal</w:t>
      </w:r>
      <w:proofErr w:type="spellEnd"/>
      <w:r w:rsidRPr="005E118E">
        <w:rPr>
          <w:rFonts w:ascii="Arial" w:eastAsia="Times New Roman" w:hAnsi="Arial" w:cs="Times New Roman"/>
          <w:szCs w:val="20"/>
          <w:lang w:val="en-US"/>
        </w:rPr>
        <w:t xml:space="preserve"> pigmentation, eye discharge, cataract, allergic conjunctivitis, deepening of eye lid sulcus, </w:t>
      </w:r>
      <w:proofErr w:type="spellStart"/>
      <w:r w:rsidRPr="005E118E">
        <w:rPr>
          <w:rFonts w:ascii="Arial" w:eastAsia="Times New Roman" w:hAnsi="Arial" w:cs="Times New Roman"/>
          <w:szCs w:val="20"/>
          <w:lang w:val="en-US"/>
        </w:rPr>
        <w:t>iritis</w:t>
      </w:r>
      <w:proofErr w:type="spellEnd"/>
      <w:r w:rsidRPr="005E118E">
        <w:rPr>
          <w:rFonts w:ascii="Arial" w:eastAsia="Times New Roman" w:hAnsi="Arial" w:cs="Times New Roman"/>
          <w:szCs w:val="20"/>
          <w:lang w:val="en-US"/>
        </w:rPr>
        <w:t>/uveitis exacerbation of asthma, dyspnea.</w:t>
      </w:r>
      <w:proofErr w:type="gramEnd"/>
    </w:p>
    <w:p w:rsidR="005E118E" w:rsidRPr="005E118E" w:rsidRDefault="005E118E" w:rsidP="005E118E">
      <w:pPr>
        <w:autoSpaceDE w:val="0"/>
        <w:autoSpaceDN w:val="0"/>
        <w:adjustRightInd w:val="0"/>
        <w:spacing w:before="240" w:after="60" w:line="240" w:lineRule="auto"/>
        <w:jc w:val="both"/>
        <w:rPr>
          <w:rFonts w:ascii="Arial" w:eastAsia="Times New Roman" w:hAnsi="Arial" w:cs="Arial"/>
          <w:i/>
          <w:szCs w:val="20"/>
          <w:u w:val="single"/>
        </w:rPr>
      </w:pPr>
      <w:r w:rsidRPr="005E118E">
        <w:rPr>
          <w:rFonts w:ascii="Arial" w:eastAsia="Times New Roman" w:hAnsi="Arial" w:cs="Arial"/>
          <w:i/>
          <w:szCs w:val="20"/>
          <w:u w:val="single"/>
        </w:rPr>
        <w:t>Timolol Maleate</w:t>
      </w:r>
    </w:p>
    <w:p w:rsidR="00A1638C" w:rsidRPr="005E118E"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Signs and symptoms of allergic reactions including anaphylaxis, angioedema, urticaria, localized and generalized rash, depression, insomnia, nightmares, memory loss, dizziness, syncope, par</w:t>
      </w:r>
      <w:r>
        <w:rPr>
          <w:rFonts w:ascii="Arial" w:eastAsia="Times New Roman" w:hAnsi="Arial" w:cs="Times New Roman"/>
          <w:szCs w:val="20"/>
          <w:lang w:val="en-US"/>
        </w:rPr>
        <w:t>a</w:t>
      </w:r>
      <w:r w:rsidRPr="005E118E">
        <w:rPr>
          <w:rFonts w:ascii="Arial" w:eastAsia="Times New Roman" w:hAnsi="Arial" w:cs="Times New Roman"/>
          <w:szCs w:val="20"/>
          <w:lang w:val="en-US"/>
        </w:rPr>
        <w:t xml:space="preserve">esthesia, increase in signs and symptoms of myasthenia gravis, cerebrovascular accident, cerebral </w:t>
      </w:r>
      <w:r w:rsidRPr="00E16DC8">
        <w:rPr>
          <w:rFonts w:ascii="Arial" w:eastAsia="Times New Roman" w:hAnsi="Arial" w:cs="Times New Roman"/>
          <w:szCs w:val="20"/>
        </w:rPr>
        <w:t>ischemia</w:t>
      </w:r>
      <w:r w:rsidRPr="005E118E">
        <w:rPr>
          <w:rFonts w:ascii="Arial" w:eastAsia="Times New Roman" w:hAnsi="Arial" w:cs="Times New Roman"/>
          <w:szCs w:val="20"/>
          <w:lang w:val="en-US"/>
        </w:rPr>
        <w:t xml:space="preserve">, keratitis, </w:t>
      </w:r>
      <w:proofErr w:type="spellStart"/>
      <w:r w:rsidRPr="005E118E">
        <w:rPr>
          <w:rFonts w:ascii="Arial" w:eastAsia="Times New Roman" w:hAnsi="Arial" w:cs="Times New Roman"/>
          <w:szCs w:val="20"/>
          <w:lang w:val="en-US"/>
        </w:rPr>
        <w:t>blepharoptosis</w:t>
      </w:r>
      <w:proofErr w:type="spellEnd"/>
      <w:r>
        <w:rPr>
          <w:rFonts w:ascii="Arial" w:eastAsia="Times New Roman" w:hAnsi="Arial" w:cs="Times New Roman"/>
          <w:szCs w:val="20"/>
          <w:lang w:val="en-US"/>
        </w:rPr>
        <w:t>,</w:t>
      </w:r>
      <w:r w:rsidRPr="005E118E">
        <w:rPr>
          <w:rFonts w:ascii="Arial" w:eastAsia="Times New Roman" w:hAnsi="Arial" w:cs="Times New Roman"/>
          <w:szCs w:val="20"/>
          <w:lang w:val="en-US"/>
        </w:rPr>
        <w:t xml:space="preserve"> decreased corneal sensitivity, visual disturbances including refractive changes (due to withdrawal of </w:t>
      </w:r>
      <w:proofErr w:type="spellStart"/>
      <w:r w:rsidRPr="005E118E">
        <w:rPr>
          <w:rFonts w:ascii="Arial" w:eastAsia="Times New Roman" w:hAnsi="Arial" w:cs="Times New Roman"/>
          <w:szCs w:val="20"/>
          <w:lang w:val="en-US"/>
        </w:rPr>
        <w:t>miotic</w:t>
      </w:r>
      <w:proofErr w:type="spellEnd"/>
      <w:r w:rsidRPr="005E118E">
        <w:rPr>
          <w:rFonts w:ascii="Arial" w:eastAsia="Times New Roman" w:hAnsi="Arial" w:cs="Times New Roman"/>
          <w:szCs w:val="20"/>
          <w:lang w:val="en-US"/>
        </w:rPr>
        <w:t xml:space="preserve"> therapy in some cases), ptosis, diplopia, choroidal detachment following filtration surgery </w:t>
      </w:r>
      <w:r>
        <w:rPr>
          <w:rFonts w:ascii="Arial" w:eastAsia="Times New Roman" w:hAnsi="Arial" w:cs="Times New Roman"/>
          <w:szCs w:val="20"/>
          <w:lang w:val="en-US"/>
        </w:rPr>
        <w:t>(see PRECAUTIONS)</w:t>
      </w:r>
      <w:r w:rsidRPr="005E118E">
        <w:rPr>
          <w:rFonts w:ascii="Arial" w:eastAsia="Times New Roman" w:hAnsi="Arial" w:cs="Times New Roman"/>
          <w:szCs w:val="20"/>
          <w:lang w:val="en-US"/>
        </w:rPr>
        <w:t xml:space="preserve">, tinnitus, bradycardia, chest pain, palpitation, </w:t>
      </w:r>
      <w:r w:rsidR="00011931">
        <w:rPr>
          <w:rFonts w:ascii="Arial" w:eastAsia="Times New Roman" w:hAnsi="Arial" w:cs="Times New Roman"/>
          <w:szCs w:val="20"/>
          <w:lang w:val="en-US"/>
        </w:rPr>
        <w:t>o</w:t>
      </w:r>
      <w:r w:rsidRPr="005E118E">
        <w:rPr>
          <w:rFonts w:ascii="Arial" w:eastAsia="Times New Roman" w:hAnsi="Arial" w:cs="Times New Roman"/>
          <w:szCs w:val="20"/>
          <w:lang w:val="en-US"/>
        </w:rPr>
        <w:t>edema, arrhythmia, congestive heart failure, cardiac arrest, heart block, hypotension, claudication, Raynaud’s phenomenon, cold hands and feet, dyspn</w:t>
      </w:r>
      <w:r>
        <w:rPr>
          <w:rFonts w:ascii="Arial" w:eastAsia="Times New Roman" w:hAnsi="Arial" w:cs="Times New Roman"/>
          <w:szCs w:val="20"/>
          <w:lang w:val="en-US"/>
        </w:rPr>
        <w:t>o</w:t>
      </w:r>
      <w:r w:rsidRPr="005E118E">
        <w:rPr>
          <w:rFonts w:ascii="Arial" w:eastAsia="Times New Roman" w:hAnsi="Arial" w:cs="Times New Roman"/>
          <w:szCs w:val="20"/>
          <w:lang w:val="en-US"/>
        </w:rPr>
        <w:t xml:space="preserve">ea, bronchospasm (predominantly in patients with pre-existing </w:t>
      </w:r>
      <w:proofErr w:type="spellStart"/>
      <w:r w:rsidRPr="005E118E">
        <w:rPr>
          <w:rFonts w:ascii="Arial" w:eastAsia="Times New Roman" w:hAnsi="Arial" w:cs="Times New Roman"/>
          <w:szCs w:val="20"/>
          <w:lang w:val="en-US"/>
        </w:rPr>
        <w:t>bronchospastic</w:t>
      </w:r>
      <w:proofErr w:type="spellEnd"/>
      <w:r w:rsidRPr="005E118E">
        <w:rPr>
          <w:rFonts w:ascii="Arial" w:eastAsia="Times New Roman" w:hAnsi="Arial" w:cs="Times New Roman"/>
          <w:szCs w:val="20"/>
          <w:lang w:val="en-US"/>
        </w:rPr>
        <w:t xml:space="preserve"> disease), respiratory failure, cough, nausea, dyspepsia, diarrh</w:t>
      </w:r>
      <w:r>
        <w:rPr>
          <w:rFonts w:ascii="Arial" w:eastAsia="Times New Roman" w:hAnsi="Arial" w:cs="Times New Roman"/>
          <w:szCs w:val="20"/>
          <w:lang w:val="en-US"/>
        </w:rPr>
        <w:t>o</w:t>
      </w:r>
      <w:r w:rsidRPr="005E118E">
        <w:rPr>
          <w:rFonts w:ascii="Arial" w:eastAsia="Times New Roman" w:hAnsi="Arial" w:cs="Times New Roman"/>
          <w:szCs w:val="20"/>
          <w:lang w:val="en-US"/>
        </w:rPr>
        <w:t>ea, dry mouth, abdominal pain, alopecia, psoriasiform rash or exacerbation of psoriasis, systemic lupus erythematosus, myalgia, Peyronie’s disease, decreased libido, sexual dysfunction, asthenia/fatigue.</w:t>
      </w:r>
    </w:p>
    <w:p w:rsidR="00A1638C" w:rsidRPr="00A1638C" w:rsidRDefault="00A1638C" w:rsidP="00A1638C">
      <w:pPr>
        <w:keepNext/>
        <w:spacing w:before="24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Dosage and Administration</w:t>
      </w:r>
    </w:p>
    <w:p w:rsidR="00300F47" w:rsidRPr="009E265B" w:rsidRDefault="00300F47" w:rsidP="009E265B">
      <w:pPr>
        <w:keepNext/>
        <w:spacing w:before="240" w:after="120" w:line="240" w:lineRule="auto"/>
        <w:jc w:val="both"/>
        <w:outlineLvl w:val="1"/>
        <w:rPr>
          <w:rFonts w:ascii="Arial" w:eastAsia="Times New Roman" w:hAnsi="Arial" w:cs="Arial"/>
          <w:b/>
          <w:bCs/>
          <w:iCs/>
          <w:lang w:val="en-US"/>
        </w:rPr>
      </w:pPr>
      <w:bookmarkStart w:id="3" w:name="_Toc364317859"/>
      <w:r w:rsidRPr="009E265B">
        <w:rPr>
          <w:rFonts w:ascii="Arial" w:eastAsia="Times New Roman" w:hAnsi="Arial" w:cs="Arial"/>
          <w:b/>
          <w:bCs/>
          <w:iCs/>
          <w:lang w:val="en-US"/>
        </w:rPr>
        <w:t>General</w:t>
      </w:r>
      <w:bookmarkEnd w:id="3"/>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TAPTIQOM</w:t>
      </w:r>
      <w:r w:rsidR="00690E72">
        <w:rPr>
          <w:rFonts w:ascii="Arial" w:eastAsia="Times New Roman" w:hAnsi="Arial" w:cs="Times New Roman"/>
          <w:szCs w:val="20"/>
          <w:lang w:val="en-US"/>
        </w:rPr>
        <w:t xml:space="preserve"> 15/5</w:t>
      </w:r>
      <w:r w:rsidRPr="009E265B">
        <w:rPr>
          <w:rFonts w:ascii="Arial" w:eastAsia="Times New Roman" w:hAnsi="Arial" w:cs="Times New Roman"/>
          <w:szCs w:val="20"/>
          <w:lang w:val="en-US"/>
        </w:rPr>
        <w:t xml:space="preserve"> is a preservative free sterile solution packaged in a single-dose container. For single use only, one container is sufficient to treat both eyes. Any unused solution should be discarded immediately after use.</w:t>
      </w:r>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If one dose is missed, treatment should continue with the next dose as planned. The dose should not exceed one drop in the affected eye(s) daily.</w:t>
      </w:r>
    </w:p>
    <w:p w:rsidR="00300F47" w:rsidRPr="009E265B" w:rsidRDefault="00300F47" w:rsidP="009E265B">
      <w:pPr>
        <w:keepNext/>
        <w:spacing w:before="240" w:after="120" w:line="240" w:lineRule="auto"/>
        <w:jc w:val="both"/>
        <w:outlineLvl w:val="1"/>
        <w:rPr>
          <w:rFonts w:ascii="Arial" w:eastAsia="Times New Roman" w:hAnsi="Arial" w:cs="Arial"/>
          <w:b/>
          <w:bCs/>
          <w:iCs/>
          <w:lang w:val="en-US"/>
        </w:rPr>
      </w:pPr>
      <w:bookmarkStart w:id="4" w:name="_Toc364317860"/>
      <w:r w:rsidRPr="009E265B">
        <w:rPr>
          <w:rFonts w:ascii="Arial" w:eastAsia="Times New Roman" w:hAnsi="Arial" w:cs="Arial"/>
          <w:b/>
          <w:bCs/>
          <w:iCs/>
          <w:lang w:val="en-US"/>
        </w:rPr>
        <w:lastRenderedPageBreak/>
        <w:t>Adults</w:t>
      </w:r>
      <w:bookmarkEnd w:id="4"/>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Recommended therapy is one eye drop in the conjunctival sac of the affected eye(s) once daily.</w:t>
      </w:r>
    </w:p>
    <w:p w:rsidR="00300F47" w:rsidRPr="009E265B" w:rsidRDefault="00300F47" w:rsidP="009E265B">
      <w:pPr>
        <w:keepNext/>
        <w:spacing w:before="240" w:after="120" w:line="240" w:lineRule="auto"/>
        <w:jc w:val="both"/>
        <w:outlineLvl w:val="1"/>
        <w:rPr>
          <w:rFonts w:ascii="Arial" w:eastAsia="Times New Roman" w:hAnsi="Arial" w:cs="Arial"/>
          <w:b/>
          <w:bCs/>
          <w:iCs/>
          <w:lang w:val="en-US"/>
        </w:rPr>
      </w:pPr>
      <w:bookmarkStart w:id="5" w:name="_Toc364317861"/>
      <w:r w:rsidRPr="009E265B">
        <w:rPr>
          <w:rFonts w:ascii="Arial" w:eastAsia="Times New Roman" w:hAnsi="Arial" w:cs="Arial"/>
          <w:b/>
          <w:bCs/>
          <w:iCs/>
          <w:lang w:val="en-US"/>
        </w:rPr>
        <w:t>P</w:t>
      </w:r>
      <w:r w:rsidR="007A2866">
        <w:rPr>
          <w:rFonts w:ascii="Arial" w:eastAsia="Times New Roman" w:hAnsi="Arial" w:cs="Arial"/>
          <w:b/>
          <w:bCs/>
          <w:iCs/>
          <w:lang w:val="en-US"/>
        </w:rPr>
        <w:t>a</w:t>
      </w:r>
      <w:r w:rsidRPr="009E265B">
        <w:rPr>
          <w:rFonts w:ascii="Arial" w:eastAsia="Times New Roman" w:hAnsi="Arial" w:cs="Arial"/>
          <w:b/>
          <w:bCs/>
          <w:iCs/>
          <w:lang w:val="en-US"/>
        </w:rPr>
        <w:t>ediatric Patients</w:t>
      </w:r>
      <w:bookmarkEnd w:id="5"/>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The safety and efficacy of TAPTIQOM</w:t>
      </w:r>
      <w:r w:rsidR="005678AC">
        <w:rPr>
          <w:rFonts w:ascii="Arial" w:eastAsia="Times New Roman" w:hAnsi="Arial" w:cs="Times New Roman"/>
          <w:szCs w:val="20"/>
          <w:lang w:val="en-US"/>
        </w:rPr>
        <w:t xml:space="preserve"> 15/5</w:t>
      </w:r>
      <w:r w:rsidRPr="009E265B">
        <w:rPr>
          <w:rFonts w:ascii="Arial" w:eastAsia="Times New Roman" w:hAnsi="Arial" w:cs="Times New Roman"/>
          <w:szCs w:val="20"/>
          <w:lang w:val="en-US"/>
        </w:rPr>
        <w:t xml:space="preserve"> in children and adolescents below the age of 18 years have not been established. No data are available.</w:t>
      </w:r>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TAPTIQOM</w:t>
      </w:r>
      <w:r w:rsidR="005678AC">
        <w:rPr>
          <w:rFonts w:ascii="Arial" w:eastAsia="Times New Roman" w:hAnsi="Arial" w:cs="Times New Roman"/>
          <w:szCs w:val="20"/>
          <w:lang w:val="en-US"/>
        </w:rPr>
        <w:t xml:space="preserve"> 15/5</w:t>
      </w:r>
      <w:r w:rsidRPr="009E265B">
        <w:rPr>
          <w:rFonts w:ascii="Arial" w:eastAsia="Times New Roman" w:hAnsi="Arial" w:cs="Times New Roman"/>
          <w:szCs w:val="20"/>
          <w:lang w:val="en-US"/>
        </w:rPr>
        <w:t xml:space="preserve"> is not recommended for use in children and adolescents below the age of 18 years.</w:t>
      </w:r>
    </w:p>
    <w:p w:rsidR="00300F47" w:rsidRPr="009E265B" w:rsidRDefault="00300F47" w:rsidP="009E265B">
      <w:pPr>
        <w:keepNext/>
        <w:spacing w:before="240" w:after="120" w:line="240" w:lineRule="auto"/>
        <w:jc w:val="both"/>
        <w:outlineLvl w:val="1"/>
        <w:rPr>
          <w:rFonts w:ascii="Arial" w:eastAsia="Times New Roman" w:hAnsi="Arial" w:cs="Arial"/>
          <w:b/>
          <w:bCs/>
          <w:iCs/>
          <w:lang w:val="en-US"/>
        </w:rPr>
      </w:pPr>
      <w:bookmarkStart w:id="6" w:name="_Toc364317862"/>
      <w:r w:rsidRPr="009E265B">
        <w:rPr>
          <w:rFonts w:ascii="Arial" w:eastAsia="Times New Roman" w:hAnsi="Arial" w:cs="Arial"/>
          <w:b/>
          <w:bCs/>
          <w:iCs/>
          <w:lang w:val="en-US"/>
        </w:rPr>
        <w:t>Geriatric Patients</w:t>
      </w:r>
      <w:bookmarkEnd w:id="6"/>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No dosage alteration in elderly patients is necessary.</w:t>
      </w:r>
    </w:p>
    <w:p w:rsidR="00300F47" w:rsidRPr="009E265B" w:rsidRDefault="00300F47" w:rsidP="009E265B">
      <w:pPr>
        <w:keepNext/>
        <w:spacing w:before="240" w:after="120" w:line="240" w:lineRule="auto"/>
        <w:jc w:val="both"/>
        <w:outlineLvl w:val="1"/>
        <w:rPr>
          <w:rFonts w:ascii="Arial" w:eastAsia="Times New Roman" w:hAnsi="Arial" w:cs="Arial"/>
          <w:b/>
          <w:bCs/>
          <w:iCs/>
          <w:lang w:val="en-US"/>
        </w:rPr>
      </w:pPr>
      <w:bookmarkStart w:id="7" w:name="_Toc364317863"/>
      <w:r w:rsidRPr="009E265B">
        <w:rPr>
          <w:rFonts w:ascii="Arial" w:eastAsia="Times New Roman" w:hAnsi="Arial" w:cs="Arial"/>
          <w:b/>
          <w:bCs/>
          <w:iCs/>
          <w:lang w:val="en-US"/>
        </w:rPr>
        <w:t xml:space="preserve">Renal Insufficiency </w:t>
      </w:r>
      <w:bookmarkEnd w:id="7"/>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Tafluprost and timolol eye drops have not been studied in patients with renal impairment and should therefore be used with caution in such patients.</w:t>
      </w:r>
    </w:p>
    <w:p w:rsidR="00300F47" w:rsidRPr="009E265B" w:rsidRDefault="00300F47" w:rsidP="009E265B">
      <w:pPr>
        <w:keepNext/>
        <w:spacing w:before="240" w:after="120" w:line="240" w:lineRule="auto"/>
        <w:jc w:val="both"/>
        <w:outlineLvl w:val="1"/>
        <w:rPr>
          <w:rFonts w:ascii="Arial" w:eastAsia="Times New Roman" w:hAnsi="Arial" w:cs="Arial"/>
          <w:b/>
          <w:bCs/>
          <w:iCs/>
          <w:lang w:val="en-US"/>
        </w:rPr>
      </w:pPr>
      <w:bookmarkStart w:id="8" w:name="_Toc364317864"/>
      <w:r w:rsidRPr="009E265B">
        <w:rPr>
          <w:rFonts w:ascii="Arial" w:eastAsia="Times New Roman" w:hAnsi="Arial" w:cs="Arial"/>
          <w:b/>
          <w:bCs/>
          <w:iCs/>
          <w:lang w:val="en-US"/>
        </w:rPr>
        <w:t xml:space="preserve">Hepatic Insufficiency </w:t>
      </w:r>
      <w:bookmarkEnd w:id="8"/>
    </w:p>
    <w:p w:rsidR="00300F47" w:rsidRPr="009E265B" w:rsidRDefault="00300F47" w:rsidP="009E265B">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Tafluprost and timolol eye drops have not been studied in patients with hepatic impairment and should therefore be used with caution in such patients.</w:t>
      </w:r>
    </w:p>
    <w:p w:rsidR="00300F47" w:rsidRPr="00300F47" w:rsidRDefault="00300F47" w:rsidP="00300F47">
      <w:pPr>
        <w:keepNext/>
        <w:spacing w:before="240" w:after="120" w:line="240" w:lineRule="auto"/>
        <w:jc w:val="both"/>
        <w:outlineLvl w:val="1"/>
        <w:rPr>
          <w:rFonts w:ascii="Arial" w:eastAsia="Times New Roman" w:hAnsi="Arial" w:cs="Arial"/>
          <w:b/>
          <w:bCs/>
          <w:iCs/>
          <w:lang w:val="en-US"/>
        </w:rPr>
      </w:pPr>
      <w:r w:rsidRPr="00300F47">
        <w:rPr>
          <w:rFonts w:ascii="Arial" w:eastAsia="Times New Roman" w:hAnsi="Arial" w:cs="Arial"/>
          <w:b/>
          <w:bCs/>
          <w:iCs/>
          <w:lang w:val="en-US"/>
        </w:rPr>
        <w:t>Administration</w:t>
      </w:r>
    </w:p>
    <w:p w:rsidR="00300F47" w:rsidRPr="00300F47" w:rsidRDefault="00300F47" w:rsidP="00300F47">
      <w:pPr>
        <w:spacing w:after="60" w:line="240" w:lineRule="auto"/>
        <w:jc w:val="both"/>
        <w:rPr>
          <w:rFonts w:ascii="Arial" w:eastAsia="Times New Roman" w:hAnsi="Arial" w:cs="Times New Roman"/>
          <w:szCs w:val="20"/>
          <w:lang w:val="en-US"/>
        </w:rPr>
      </w:pPr>
      <w:r w:rsidRPr="00300F47">
        <w:rPr>
          <w:rFonts w:ascii="Arial" w:eastAsia="Times New Roman" w:hAnsi="Arial" w:cs="Times New Roman"/>
          <w:szCs w:val="20"/>
          <w:lang w:val="en-US"/>
        </w:rPr>
        <w:t>To reduce the risk of darkening of the eyelid skin the patients should wipe off any excess solution from the skin.</w:t>
      </w:r>
    </w:p>
    <w:p w:rsidR="00300F47" w:rsidRPr="00300F47" w:rsidRDefault="00300F47" w:rsidP="00300F47">
      <w:pPr>
        <w:spacing w:after="60" w:line="240" w:lineRule="auto"/>
        <w:jc w:val="both"/>
        <w:rPr>
          <w:rFonts w:ascii="Arial" w:eastAsia="Times New Roman" w:hAnsi="Arial" w:cs="Times New Roman"/>
          <w:szCs w:val="20"/>
          <w:lang w:val="en-US"/>
        </w:rPr>
      </w:pPr>
      <w:r w:rsidRPr="00300F47">
        <w:rPr>
          <w:rFonts w:ascii="Arial" w:eastAsia="Times New Roman" w:hAnsi="Arial" w:cs="Times New Roman"/>
          <w:szCs w:val="20"/>
          <w:lang w:val="en-US"/>
        </w:rPr>
        <w:t>When using nasolacrimal occlusion or closing the eyelids for 2 minutes, the systemic absorption is reduced. This may result in a decrease in systemic side effects and an increase of local activity.</w:t>
      </w:r>
    </w:p>
    <w:p w:rsidR="00300F47" w:rsidRPr="00300F47" w:rsidRDefault="00300F47" w:rsidP="00300F47">
      <w:pPr>
        <w:spacing w:after="60" w:line="240" w:lineRule="auto"/>
        <w:jc w:val="both"/>
        <w:rPr>
          <w:rFonts w:ascii="Arial" w:eastAsia="Times New Roman" w:hAnsi="Arial" w:cs="Times New Roman"/>
          <w:szCs w:val="20"/>
          <w:lang w:val="en-US"/>
        </w:rPr>
      </w:pPr>
      <w:r w:rsidRPr="00300F47">
        <w:rPr>
          <w:rFonts w:ascii="Arial" w:eastAsia="Times New Roman" w:hAnsi="Arial" w:cs="Times New Roman"/>
          <w:szCs w:val="20"/>
          <w:lang w:val="en-US"/>
        </w:rPr>
        <w:t>If more than one topical ophthalmic medicinal product is being used, each one should be administered at least 5 minutes apart.</w:t>
      </w:r>
    </w:p>
    <w:p w:rsidR="00300F47" w:rsidRPr="00300F47" w:rsidRDefault="00300F47" w:rsidP="00300F47">
      <w:pPr>
        <w:spacing w:after="60" w:line="240" w:lineRule="auto"/>
        <w:jc w:val="both"/>
        <w:rPr>
          <w:rFonts w:ascii="Arial" w:eastAsia="Times New Roman" w:hAnsi="Arial" w:cs="Times New Roman"/>
          <w:szCs w:val="20"/>
          <w:lang w:val="en-US"/>
        </w:rPr>
      </w:pPr>
      <w:r w:rsidRPr="00300F47">
        <w:rPr>
          <w:rFonts w:ascii="Arial" w:eastAsia="Times New Roman" w:hAnsi="Arial" w:cs="Times New Roman"/>
          <w:szCs w:val="20"/>
          <w:lang w:val="en-US"/>
        </w:rPr>
        <w:t>Contact lenses should be removed before instillation of the eye drops and may be reinserted after 15 minutes.</w:t>
      </w:r>
    </w:p>
    <w:p w:rsidR="00A1638C" w:rsidRPr="00A1638C" w:rsidRDefault="00A1638C" w:rsidP="00661225">
      <w:pPr>
        <w:keepNext/>
        <w:spacing w:before="20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Overdosage</w:t>
      </w:r>
    </w:p>
    <w:p w:rsidR="005E118E" w:rsidRPr="005E118E"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A topical overdose with tafluprost is not likely to occur.</w:t>
      </w:r>
    </w:p>
    <w:p w:rsidR="005E118E" w:rsidRPr="005E118E"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 xml:space="preserve">There have been reports of inadvertent overdosage with timolol resulting in systemic effects similar to those seen with systemic beta-adrenergic blocking agents such as dizziness, headache, shortness of </w:t>
      </w:r>
      <w:proofErr w:type="gramStart"/>
      <w:r w:rsidRPr="005E118E">
        <w:rPr>
          <w:rFonts w:ascii="Arial" w:eastAsia="Times New Roman" w:hAnsi="Arial" w:cs="Times New Roman"/>
          <w:szCs w:val="20"/>
          <w:lang w:val="en-US"/>
        </w:rPr>
        <w:t>breath,</w:t>
      </w:r>
      <w:proofErr w:type="gramEnd"/>
      <w:r w:rsidRPr="005E118E">
        <w:rPr>
          <w:rFonts w:ascii="Arial" w:eastAsia="Times New Roman" w:hAnsi="Arial" w:cs="Times New Roman"/>
          <w:szCs w:val="20"/>
          <w:lang w:val="en-US"/>
        </w:rPr>
        <w:t xml:space="preserve"> bradycardia, bronchospasm, and cardiac arrest </w:t>
      </w:r>
      <w:r>
        <w:rPr>
          <w:rFonts w:ascii="Arial" w:eastAsia="Times New Roman" w:hAnsi="Arial" w:cs="Times New Roman"/>
          <w:szCs w:val="20"/>
          <w:lang w:val="en-US"/>
        </w:rPr>
        <w:t>(see ADVERSE EFFECTS)</w:t>
      </w:r>
      <w:r w:rsidRPr="005E118E">
        <w:rPr>
          <w:rFonts w:ascii="Arial" w:eastAsia="Times New Roman" w:hAnsi="Arial" w:cs="Times New Roman"/>
          <w:szCs w:val="20"/>
          <w:lang w:val="en-US"/>
        </w:rPr>
        <w:t>. Timolol does not dialyze readily.</w:t>
      </w:r>
    </w:p>
    <w:p w:rsidR="00A1638C" w:rsidRDefault="005E118E" w:rsidP="005E118E">
      <w:pPr>
        <w:spacing w:after="60" w:line="240" w:lineRule="auto"/>
        <w:jc w:val="both"/>
        <w:rPr>
          <w:rFonts w:ascii="Arial" w:eastAsia="Times New Roman" w:hAnsi="Arial" w:cs="Times New Roman"/>
          <w:szCs w:val="20"/>
          <w:lang w:val="en-US"/>
        </w:rPr>
      </w:pPr>
      <w:r w:rsidRPr="005E118E">
        <w:rPr>
          <w:rFonts w:ascii="Arial" w:eastAsia="Times New Roman" w:hAnsi="Arial" w:cs="Times New Roman"/>
          <w:szCs w:val="20"/>
          <w:lang w:val="en-US"/>
        </w:rPr>
        <w:t>If overdose with TAPTIQOM</w:t>
      </w:r>
      <w:r w:rsidR="005678AC">
        <w:rPr>
          <w:rFonts w:ascii="Arial" w:eastAsia="Times New Roman" w:hAnsi="Arial" w:cs="Times New Roman"/>
          <w:szCs w:val="20"/>
          <w:lang w:val="en-US"/>
        </w:rPr>
        <w:t xml:space="preserve"> 15/5</w:t>
      </w:r>
      <w:r w:rsidRPr="005E118E">
        <w:rPr>
          <w:rFonts w:ascii="Arial" w:eastAsia="Times New Roman" w:hAnsi="Arial" w:cs="Times New Roman"/>
          <w:szCs w:val="20"/>
          <w:lang w:val="en-US"/>
        </w:rPr>
        <w:t xml:space="preserve"> occurs, treatment should be symptomatic and supportive.</w:t>
      </w:r>
    </w:p>
    <w:p w:rsidR="009E265B" w:rsidRPr="005E118E" w:rsidRDefault="009E265B" w:rsidP="005E118E">
      <w:pPr>
        <w:spacing w:after="60" w:line="240" w:lineRule="auto"/>
        <w:jc w:val="both"/>
        <w:rPr>
          <w:rFonts w:ascii="Arial" w:eastAsia="Times New Roman" w:hAnsi="Arial" w:cs="Times New Roman"/>
          <w:szCs w:val="20"/>
          <w:lang w:val="en-US"/>
        </w:rPr>
      </w:pPr>
      <w:r w:rsidRPr="009E265B">
        <w:rPr>
          <w:rFonts w:ascii="Arial" w:eastAsia="Times New Roman" w:hAnsi="Arial" w:cs="Times New Roman"/>
          <w:szCs w:val="20"/>
          <w:lang w:val="en-US"/>
        </w:rPr>
        <w:t>Contact the Poisons Information Centre on 131126 for advice on management.</w:t>
      </w:r>
    </w:p>
    <w:p w:rsidR="00A1638C" w:rsidRPr="00A1638C" w:rsidRDefault="00A1638C" w:rsidP="00661225">
      <w:pPr>
        <w:keepNext/>
        <w:spacing w:before="200" w:after="12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Presentation and Storage Conditions</w:t>
      </w:r>
    </w:p>
    <w:p w:rsidR="009E265B" w:rsidRPr="00870932" w:rsidRDefault="009E265B" w:rsidP="009E265B">
      <w:pPr>
        <w:pStyle w:val="EMEANormal"/>
        <w:spacing w:after="60"/>
        <w:jc w:val="both"/>
        <w:rPr>
          <w:rFonts w:ascii="Arial" w:hAnsi="Arial" w:cs="Arial"/>
          <w:szCs w:val="22"/>
          <w:lang w:val="en-GB"/>
        </w:rPr>
      </w:pPr>
      <w:r w:rsidRPr="00870932">
        <w:rPr>
          <w:rFonts w:ascii="Arial" w:hAnsi="Arial" w:cs="Arial"/>
          <w:szCs w:val="22"/>
          <w:lang w:val="en-GB"/>
        </w:rPr>
        <w:t>Low-density polyethylene (LDPE) single-dose containers packed in a foil pouch. Each single-dose container has a fill volume of 0.3 m</w:t>
      </w:r>
      <w:r>
        <w:rPr>
          <w:rFonts w:ascii="Arial" w:hAnsi="Arial" w:cs="Arial"/>
          <w:szCs w:val="22"/>
          <w:lang w:val="en-GB"/>
        </w:rPr>
        <w:t>L</w:t>
      </w:r>
      <w:r w:rsidRPr="00870932">
        <w:rPr>
          <w:rFonts w:ascii="Arial" w:hAnsi="Arial" w:cs="Arial"/>
          <w:szCs w:val="22"/>
          <w:lang w:val="en-GB"/>
        </w:rPr>
        <w:t xml:space="preserve"> and there are 10 containers in each foil pouch.</w:t>
      </w:r>
    </w:p>
    <w:p w:rsidR="00A53483" w:rsidRDefault="009E265B" w:rsidP="002E677C">
      <w:pPr>
        <w:keepNext/>
        <w:spacing w:before="240" w:after="120" w:line="240" w:lineRule="auto"/>
        <w:jc w:val="both"/>
        <w:outlineLvl w:val="1"/>
        <w:rPr>
          <w:rFonts w:ascii="Arial" w:hAnsi="Arial" w:cs="Arial"/>
          <w:lang w:val="en-GB"/>
        </w:rPr>
      </w:pPr>
      <w:r w:rsidRPr="00870932">
        <w:rPr>
          <w:rFonts w:ascii="Arial" w:hAnsi="Arial" w:cs="Arial"/>
          <w:lang w:val="en-GB"/>
        </w:rPr>
        <w:lastRenderedPageBreak/>
        <w:t xml:space="preserve">The following pack sizes are available: </w:t>
      </w:r>
      <w:r w:rsidR="00154045">
        <w:rPr>
          <w:rFonts w:ascii="Arial" w:hAnsi="Arial" w:cs="Arial"/>
          <w:lang w:val="en-GB"/>
        </w:rPr>
        <w:t xml:space="preserve">10 x 0.3 mL and </w:t>
      </w:r>
      <w:r w:rsidRPr="00870932">
        <w:rPr>
          <w:rFonts w:ascii="Arial" w:hAnsi="Arial" w:cs="Arial"/>
          <w:lang w:val="en-GB"/>
        </w:rPr>
        <w:t>30 x 0.3 m</w:t>
      </w:r>
      <w:r>
        <w:rPr>
          <w:rFonts w:ascii="Arial" w:hAnsi="Arial" w:cs="Arial"/>
          <w:lang w:val="en-GB"/>
        </w:rPr>
        <w:t>L</w:t>
      </w:r>
      <w:r w:rsidRPr="00870932">
        <w:rPr>
          <w:rFonts w:ascii="Arial" w:hAnsi="Arial" w:cs="Arial"/>
          <w:lang w:val="en-GB"/>
        </w:rPr>
        <w:t xml:space="preserve"> single-dose containers</w:t>
      </w:r>
      <w:r w:rsidR="000B6C2F">
        <w:rPr>
          <w:rFonts w:ascii="Arial" w:hAnsi="Arial" w:cs="Arial"/>
          <w:lang w:val="en-GB"/>
        </w:rPr>
        <w:t>,</w:t>
      </w:r>
      <w:r w:rsidRPr="00870932">
        <w:rPr>
          <w:rFonts w:ascii="Arial" w:hAnsi="Arial" w:cs="Arial"/>
          <w:lang w:val="en-GB"/>
        </w:rPr>
        <w:t xml:space="preserve"> single-dose containers.</w:t>
      </w:r>
    </w:p>
    <w:p w:rsidR="00A1638C" w:rsidRDefault="009E265B" w:rsidP="002E677C">
      <w:pPr>
        <w:keepNext/>
        <w:spacing w:before="240" w:after="120" w:line="240" w:lineRule="auto"/>
        <w:jc w:val="both"/>
        <w:outlineLvl w:val="1"/>
        <w:rPr>
          <w:rFonts w:ascii="Arial" w:eastAsia="Times New Roman" w:hAnsi="Arial" w:cs="Arial"/>
          <w:b/>
          <w:bCs/>
          <w:iCs/>
          <w:lang w:val="en-US"/>
        </w:rPr>
      </w:pPr>
      <w:r w:rsidRPr="009E265B">
        <w:rPr>
          <w:rFonts w:ascii="Arial" w:eastAsia="Times New Roman" w:hAnsi="Arial" w:cs="Arial"/>
          <w:b/>
          <w:bCs/>
          <w:iCs/>
          <w:lang w:val="en-US"/>
        </w:rPr>
        <w:t>S</w:t>
      </w:r>
      <w:r>
        <w:rPr>
          <w:rFonts w:ascii="Arial" w:eastAsia="Times New Roman" w:hAnsi="Arial" w:cs="Arial"/>
          <w:b/>
          <w:bCs/>
          <w:iCs/>
          <w:lang w:val="en-US"/>
        </w:rPr>
        <w:t>helf life</w:t>
      </w:r>
    </w:p>
    <w:p w:rsidR="009E265B" w:rsidRPr="00870932" w:rsidRDefault="009E265B" w:rsidP="009E265B">
      <w:pPr>
        <w:pStyle w:val="EMEANormal"/>
        <w:spacing w:after="60"/>
        <w:jc w:val="both"/>
        <w:rPr>
          <w:rFonts w:ascii="Arial" w:hAnsi="Arial" w:cs="Arial"/>
          <w:szCs w:val="22"/>
          <w:lang w:val="en-GB"/>
        </w:rPr>
      </w:pPr>
      <w:r w:rsidRPr="00870932">
        <w:rPr>
          <w:rFonts w:ascii="Arial" w:hAnsi="Arial" w:cs="Arial"/>
          <w:szCs w:val="22"/>
          <w:lang w:val="en-GB"/>
        </w:rPr>
        <w:t>Unopened foil pouch: 3 years.</w:t>
      </w:r>
    </w:p>
    <w:p w:rsidR="009E265B" w:rsidRPr="00870932" w:rsidRDefault="009E265B" w:rsidP="009E265B">
      <w:pPr>
        <w:pStyle w:val="EMEANormal"/>
        <w:spacing w:after="60"/>
        <w:jc w:val="both"/>
        <w:rPr>
          <w:rFonts w:ascii="Arial" w:hAnsi="Arial" w:cs="Arial"/>
          <w:szCs w:val="22"/>
          <w:lang w:val="en-GB"/>
        </w:rPr>
      </w:pPr>
      <w:r w:rsidRPr="00870932">
        <w:rPr>
          <w:rFonts w:ascii="Arial" w:hAnsi="Arial" w:cs="Arial"/>
          <w:szCs w:val="22"/>
          <w:lang w:val="en-GB"/>
        </w:rPr>
        <w:t>Opened foil pouch: 28 days.</w:t>
      </w:r>
    </w:p>
    <w:p w:rsidR="009E265B" w:rsidRPr="009E265B" w:rsidRDefault="009E265B" w:rsidP="009E265B">
      <w:pPr>
        <w:keepNext/>
        <w:spacing w:before="240" w:after="120" w:line="240" w:lineRule="auto"/>
        <w:jc w:val="both"/>
        <w:outlineLvl w:val="1"/>
        <w:rPr>
          <w:rFonts w:ascii="Arial" w:eastAsia="Times New Roman" w:hAnsi="Arial" w:cs="Arial"/>
          <w:b/>
          <w:bCs/>
          <w:iCs/>
          <w:lang w:val="en-US"/>
        </w:rPr>
      </w:pPr>
      <w:bookmarkStart w:id="9" w:name="_Toc364317898"/>
      <w:r w:rsidRPr="009E265B">
        <w:rPr>
          <w:rFonts w:ascii="Arial" w:eastAsia="Times New Roman" w:hAnsi="Arial" w:cs="Arial"/>
          <w:b/>
          <w:bCs/>
          <w:iCs/>
          <w:lang w:val="en-US"/>
        </w:rPr>
        <w:t>Storage</w:t>
      </w:r>
      <w:bookmarkEnd w:id="9"/>
      <w:r w:rsidRPr="009E265B">
        <w:rPr>
          <w:rFonts w:ascii="Arial" w:eastAsia="Times New Roman" w:hAnsi="Arial" w:cs="Arial"/>
          <w:b/>
          <w:bCs/>
          <w:iCs/>
          <w:lang w:val="en-US"/>
        </w:rPr>
        <w:t xml:space="preserve"> </w:t>
      </w:r>
    </w:p>
    <w:p w:rsidR="009E265B" w:rsidRPr="009E265B" w:rsidRDefault="009E265B" w:rsidP="009E265B">
      <w:pPr>
        <w:spacing w:after="0" w:line="240" w:lineRule="auto"/>
        <w:rPr>
          <w:rFonts w:ascii="Arial" w:eastAsia="MS Mincho" w:hAnsi="Arial" w:cs="Arial"/>
          <w:szCs w:val="20"/>
          <w:lang w:val="en-US" w:eastAsia="ja-JP"/>
        </w:rPr>
      </w:pPr>
      <w:r w:rsidRPr="009E265B">
        <w:rPr>
          <w:rFonts w:ascii="Arial" w:eastAsia="Times New Roman" w:hAnsi="Arial" w:cs="Times New Roman"/>
          <w:szCs w:val="20"/>
          <w:lang w:val="en-US"/>
        </w:rPr>
        <w:t>Store the unopened foil pouches in a refrigerator, 2°C – 8°C.</w:t>
      </w:r>
      <w:r>
        <w:rPr>
          <w:rFonts w:ascii="Arial" w:eastAsia="Times New Roman" w:hAnsi="Arial" w:cs="Times New Roman"/>
          <w:szCs w:val="20"/>
          <w:lang w:val="en-US"/>
        </w:rPr>
        <w:t xml:space="preserve"> Do not freeze. </w:t>
      </w:r>
      <w:r w:rsidRPr="009E265B">
        <w:rPr>
          <w:rFonts w:ascii="Arial" w:eastAsia="MS Mincho" w:hAnsi="Arial" w:cs="Arial"/>
          <w:szCs w:val="20"/>
          <w:lang w:val="en-US" w:eastAsia="ja-JP"/>
        </w:rPr>
        <w:t>After opening the foil pouch:</w:t>
      </w:r>
    </w:p>
    <w:p w:rsidR="009E265B" w:rsidRPr="009E265B" w:rsidRDefault="009E265B" w:rsidP="009E265B">
      <w:pPr>
        <w:numPr>
          <w:ilvl w:val="0"/>
          <w:numId w:val="1"/>
        </w:numPr>
        <w:autoSpaceDE w:val="0"/>
        <w:autoSpaceDN w:val="0"/>
        <w:adjustRightInd w:val="0"/>
        <w:spacing w:after="0" w:line="240" w:lineRule="auto"/>
        <w:jc w:val="both"/>
        <w:rPr>
          <w:rFonts w:ascii="Arial" w:eastAsia="MS Mincho" w:hAnsi="Arial" w:cs="Arial"/>
          <w:szCs w:val="20"/>
          <w:lang w:val="en-US" w:eastAsia="ja-JP"/>
        </w:rPr>
      </w:pPr>
      <w:r w:rsidRPr="009E265B">
        <w:rPr>
          <w:rFonts w:ascii="Arial" w:eastAsia="MS Mincho" w:hAnsi="Arial" w:cs="Arial"/>
          <w:szCs w:val="20"/>
          <w:lang w:val="en-US" w:eastAsia="ja-JP"/>
        </w:rPr>
        <w:t>Keep the single-dose containers in the original foil pouch.</w:t>
      </w:r>
    </w:p>
    <w:p w:rsidR="009E265B" w:rsidRPr="009E265B" w:rsidRDefault="009E265B" w:rsidP="009E265B">
      <w:pPr>
        <w:numPr>
          <w:ilvl w:val="0"/>
          <w:numId w:val="1"/>
        </w:numPr>
        <w:autoSpaceDE w:val="0"/>
        <w:autoSpaceDN w:val="0"/>
        <w:adjustRightInd w:val="0"/>
        <w:spacing w:after="0" w:line="240" w:lineRule="auto"/>
        <w:jc w:val="both"/>
        <w:rPr>
          <w:rFonts w:ascii="Arial" w:eastAsia="MS Mincho" w:hAnsi="Arial" w:cs="Arial"/>
          <w:szCs w:val="20"/>
          <w:lang w:val="en-US" w:eastAsia="ja-JP"/>
        </w:rPr>
      </w:pPr>
      <w:r w:rsidRPr="009E265B">
        <w:rPr>
          <w:rFonts w:ascii="Arial" w:eastAsia="MS Mincho" w:hAnsi="Arial" w:cs="Arial"/>
          <w:szCs w:val="20"/>
          <w:lang w:val="en-US" w:eastAsia="ja-JP"/>
        </w:rPr>
        <w:t>Do not store above 25°C.</w:t>
      </w:r>
    </w:p>
    <w:p w:rsidR="009E265B" w:rsidRPr="009E265B" w:rsidRDefault="009E265B" w:rsidP="009E265B">
      <w:pPr>
        <w:numPr>
          <w:ilvl w:val="0"/>
          <w:numId w:val="1"/>
        </w:numPr>
        <w:autoSpaceDE w:val="0"/>
        <w:autoSpaceDN w:val="0"/>
        <w:adjustRightInd w:val="0"/>
        <w:spacing w:after="0" w:line="240" w:lineRule="auto"/>
        <w:jc w:val="both"/>
        <w:rPr>
          <w:sz w:val="24"/>
        </w:rPr>
      </w:pPr>
      <w:r w:rsidRPr="009E265B">
        <w:rPr>
          <w:rFonts w:ascii="Arial" w:eastAsia="MS Mincho" w:hAnsi="Arial" w:cs="Arial"/>
          <w:szCs w:val="20"/>
          <w:lang w:val="en-US" w:eastAsia="ja-JP"/>
        </w:rPr>
        <w:t>Discard unused single-dose containers after 28 days from date of first opening of the foil pouch.</w:t>
      </w:r>
    </w:p>
    <w:p w:rsidR="00A1638C" w:rsidRPr="009E265B" w:rsidRDefault="009E265B" w:rsidP="009E265B">
      <w:pPr>
        <w:numPr>
          <w:ilvl w:val="0"/>
          <w:numId w:val="1"/>
        </w:numPr>
        <w:autoSpaceDE w:val="0"/>
        <w:autoSpaceDN w:val="0"/>
        <w:adjustRightInd w:val="0"/>
        <w:spacing w:after="0" w:line="240" w:lineRule="auto"/>
        <w:jc w:val="both"/>
        <w:rPr>
          <w:sz w:val="24"/>
        </w:rPr>
      </w:pPr>
      <w:r w:rsidRPr="009E265B">
        <w:rPr>
          <w:rFonts w:ascii="Arial" w:eastAsia="MS Mincho" w:hAnsi="Arial" w:cs="Arial"/>
          <w:szCs w:val="20"/>
          <w:lang w:val="en-US" w:eastAsia="ja-JP"/>
        </w:rPr>
        <w:t>Discard an opened single-dose container with any remaining solution immediately after</w:t>
      </w:r>
      <w:r w:rsidR="000B6C2F">
        <w:rPr>
          <w:rFonts w:ascii="Arial" w:eastAsia="MS Mincho" w:hAnsi="Arial" w:cs="Arial"/>
          <w:szCs w:val="20"/>
          <w:lang w:val="en-US" w:eastAsia="ja-JP"/>
        </w:rPr>
        <w:t xml:space="preserve"> use</w:t>
      </w:r>
      <w:r w:rsidR="00DB222A">
        <w:rPr>
          <w:rFonts w:ascii="Arial" w:eastAsia="MS Mincho" w:hAnsi="Arial" w:cs="Arial"/>
          <w:szCs w:val="20"/>
          <w:lang w:val="en-US" w:eastAsia="ja-JP"/>
        </w:rPr>
        <w:t>.</w:t>
      </w:r>
    </w:p>
    <w:p w:rsidR="00A1638C" w:rsidRPr="00A1638C" w:rsidRDefault="00A1638C" w:rsidP="00661225">
      <w:pPr>
        <w:keepNext/>
        <w:spacing w:before="200" w:after="8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Name and Address of the Sponsor</w:t>
      </w:r>
    </w:p>
    <w:p w:rsidR="009E265B" w:rsidRDefault="009E265B" w:rsidP="002E677C">
      <w:pPr>
        <w:spacing w:after="60" w:line="240" w:lineRule="auto"/>
        <w:jc w:val="both"/>
        <w:rPr>
          <w:rFonts w:ascii="Arial" w:eastAsia="Times New Roman" w:hAnsi="Arial" w:cs="Times New Roman"/>
          <w:szCs w:val="20"/>
          <w:lang w:val="en-US"/>
        </w:rPr>
      </w:pPr>
      <w:r w:rsidRPr="002E677C">
        <w:rPr>
          <w:rFonts w:ascii="Arial" w:eastAsia="Times New Roman" w:hAnsi="Arial" w:cs="Times New Roman"/>
          <w:szCs w:val="20"/>
          <w:lang w:val="en-US"/>
        </w:rPr>
        <w:t>Merck Sharp and Dohme (Australia) Pty Limited</w:t>
      </w:r>
    </w:p>
    <w:p w:rsidR="000B6C2F" w:rsidRDefault="000B6C2F" w:rsidP="002E677C">
      <w:pPr>
        <w:spacing w:after="60" w:line="240" w:lineRule="auto"/>
        <w:jc w:val="both"/>
        <w:rPr>
          <w:rFonts w:ascii="Arial" w:eastAsia="Times New Roman" w:hAnsi="Arial" w:cs="Times New Roman"/>
          <w:szCs w:val="20"/>
          <w:lang w:val="en-US"/>
        </w:rPr>
      </w:pPr>
      <w:r>
        <w:rPr>
          <w:rFonts w:ascii="Arial" w:eastAsia="Times New Roman" w:hAnsi="Arial" w:cs="Times New Roman"/>
          <w:szCs w:val="20"/>
          <w:lang w:val="en-US"/>
        </w:rPr>
        <w:t>Level 1 – Building A</w:t>
      </w:r>
    </w:p>
    <w:p w:rsidR="000B6C2F" w:rsidRDefault="000B6C2F" w:rsidP="002E677C">
      <w:pPr>
        <w:spacing w:after="60" w:line="240" w:lineRule="auto"/>
        <w:jc w:val="both"/>
        <w:rPr>
          <w:rFonts w:ascii="Arial" w:eastAsia="Times New Roman" w:hAnsi="Arial" w:cs="Times New Roman"/>
          <w:szCs w:val="20"/>
          <w:lang w:val="en-US"/>
        </w:rPr>
      </w:pPr>
      <w:r>
        <w:rPr>
          <w:rFonts w:ascii="Arial" w:eastAsia="Times New Roman" w:hAnsi="Arial" w:cs="Times New Roman"/>
          <w:szCs w:val="20"/>
          <w:lang w:val="en-US"/>
        </w:rPr>
        <w:t>26 Talavera Road</w:t>
      </w:r>
    </w:p>
    <w:p w:rsidR="000B6C2F" w:rsidRDefault="000B6C2F" w:rsidP="002E677C">
      <w:pPr>
        <w:spacing w:after="60" w:line="240" w:lineRule="auto"/>
        <w:jc w:val="both"/>
        <w:rPr>
          <w:rFonts w:ascii="Arial" w:eastAsia="Times New Roman" w:hAnsi="Arial" w:cs="Times New Roman"/>
          <w:szCs w:val="20"/>
          <w:lang w:val="en-US"/>
        </w:rPr>
      </w:pPr>
      <w:r>
        <w:rPr>
          <w:rFonts w:ascii="Arial" w:eastAsia="Times New Roman" w:hAnsi="Arial" w:cs="Times New Roman"/>
          <w:szCs w:val="20"/>
          <w:lang w:val="en-US"/>
        </w:rPr>
        <w:t>Macquarie Park NSW 2113</w:t>
      </w:r>
    </w:p>
    <w:p w:rsidR="000B6C2F" w:rsidRPr="002E677C" w:rsidRDefault="000B6C2F" w:rsidP="002E677C">
      <w:pPr>
        <w:spacing w:after="60" w:line="240" w:lineRule="auto"/>
        <w:jc w:val="both"/>
        <w:rPr>
          <w:rFonts w:ascii="Arial" w:eastAsia="Times New Roman" w:hAnsi="Arial" w:cs="Times New Roman"/>
          <w:szCs w:val="20"/>
          <w:lang w:val="en-US"/>
        </w:rPr>
      </w:pPr>
      <w:r>
        <w:rPr>
          <w:rFonts w:ascii="Arial" w:eastAsia="Times New Roman" w:hAnsi="Arial" w:cs="Times New Roman"/>
          <w:szCs w:val="20"/>
          <w:lang w:val="en-US"/>
        </w:rPr>
        <w:t>Australia</w:t>
      </w:r>
    </w:p>
    <w:p w:rsidR="00011931" w:rsidRPr="00A1638C" w:rsidRDefault="00011931" w:rsidP="00661225">
      <w:pPr>
        <w:keepNext/>
        <w:spacing w:before="200" w:after="8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Poison Schedule of the Medicine</w:t>
      </w:r>
    </w:p>
    <w:p w:rsidR="00011931" w:rsidRPr="00A1638C" w:rsidRDefault="00011931" w:rsidP="00011931">
      <w:pPr>
        <w:spacing w:after="60" w:line="240" w:lineRule="auto"/>
        <w:jc w:val="both"/>
        <w:rPr>
          <w:rFonts w:ascii="Arial" w:eastAsia="Times New Roman" w:hAnsi="Arial" w:cs="Times New Roman"/>
          <w:szCs w:val="20"/>
        </w:rPr>
      </w:pPr>
      <w:r w:rsidRPr="00A1638C">
        <w:rPr>
          <w:rFonts w:ascii="Arial" w:eastAsia="Times New Roman" w:hAnsi="Arial" w:cs="Times New Roman"/>
          <w:szCs w:val="20"/>
        </w:rPr>
        <w:t>Schedule 4 - Prescription Only Medicine</w:t>
      </w:r>
    </w:p>
    <w:p w:rsidR="00011931" w:rsidRPr="00A1638C" w:rsidRDefault="00011931" w:rsidP="00661225">
      <w:pPr>
        <w:keepNext/>
        <w:spacing w:before="200" w:after="80" w:line="240" w:lineRule="auto"/>
        <w:jc w:val="both"/>
        <w:outlineLvl w:val="0"/>
        <w:rPr>
          <w:rFonts w:ascii="Arial" w:eastAsia="Times New Roman" w:hAnsi="Arial" w:cs="Times New Roman"/>
          <w:b/>
          <w:caps/>
          <w:sz w:val="24"/>
          <w:szCs w:val="20"/>
        </w:rPr>
      </w:pPr>
      <w:r w:rsidRPr="00A1638C">
        <w:rPr>
          <w:rFonts w:ascii="Arial" w:eastAsia="Times New Roman" w:hAnsi="Arial" w:cs="Times New Roman"/>
          <w:b/>
          <w:caps/>
          <w:sz w:val="24"/>
          <w:szCs w:val="20"/>
        </w:rPr>
        <w:t xml:space="preserve">Date of </w:t>
      </w:r>
      <w:r>
        <w:rPr>
          <w:rFonts w:ascii="Arial" w:eastAsia="Times New Roman" w:hAnsi="Arial" w:cs="Times New Roman"/>
          <w:b/>
          <w:caps/>
          <w:sz w:val="24"/>
          <w:szCs w:val="20"/>
        </w:rPr>
        <w:t xml:space="preserve">first </w:t>
      </w:r>
      <w:r w:rsidR="00BA7575">
        <w:rPr>
          <w:rFonts w:ascii="Arial" w:eastAsia="Times New Roman" w:hAnsi="Arial" w:cs="Times New Roman"/>
          <w:b/>
          <w:caps/>
          <w:sz w:val="24"/>
          <w:szCs w:val="20"/>
        </w:rPr>
        <w:t xml:space="preserve">INCLUSION </w:t>
      </w:r>
      <w:r>
        <w:rPr>
          <w:rFonts w:ascii="Arial" w:eastAsia="Times New Roman" w:hAnsi="Arial" w:cs="Times New Roman"/>
          <w:b/>
          <w:caps/>
          <w:sz w:val="24"/>
          <w:szCs w:val="20"/>
        </w:rPr>
        <w:t>in the australian register of therapeutic good</w:t>
      </w:r>
      <w:r w:rsidR="00BA7575">
        <w:rPr>
          <w:rFonts w:ascii="Arial" w:eastAsia="Times New Roman" w:hAnsi="Arial" w:cs="Times New Roman"/>
          <w:b/>
          <w:caps/>
          <w:sz w:val="24"/>
          <w:szCs w:val="20"/>
        </w:rPr>
        <w:t>S</w:t>
      </w:r>
      <w:r>
        <w:rPr>
          <w:rFonts w:ascii="Arial" w:eastAsia="Times New Roman" w:hAnsi="Arial" w:cs="Times New Roman"/>
          <w:b/>
          <w:caps/>
          <w:sz w:val="24"/>
          <w:szCs w:val="20"/>
        </w:rPr>
        <w:t xml:space="preserve"> (</w:t>
      </w:r>
      <w:r w:rsidR="00026D60">
        <w:rPr>
          <w:rFonts w:ascii="Arial" w:eastAsia="Times New Roman" w:hAnsi="Arial" w:cs="Times New Roman"/>
          <w:b/>
          <w:caps/>
          <w:sz w:val="24"/>
          <w:szCs w:val="20"/>
        </w:rPr>
        <w:t xml:space="preserve">the </w:t>
      </w:r>
      <w:r>
        <w:rPr>
          <w:rFonts w:ascii="Arial" w:eastAsia="Times New Roman" w:hAnsi="Arial" w:cs="Times New Roman"/>
          <w:b/>
          <w:caps/>
          <w:sz w:val="24"/>
          <w:szCs w:val="20"/>
        </w:rPr>
        <w:t>artg)</w:t>
      </w:r>
    </w:p>
    <w:p w:rsidR="00011931" w:rsidRPr="00A1638C" w:rsidRDefault="009C3198" w:rsidP="00011931">
      <w:pPr>
        <w:spacing w:after="60" w:line="240" w:lineRule="auto"/>
        <w:jc w:val="both"/>
        <w:rPr>
          <w:rFonts w:ascii="Arial" w:eastAsia="Times New Roman" w:hAnsi="Arial" w:cs="Times New Roman"/>
          <w:szCs w:val="20"/>
        </w:rPr>
      </w:pPr>
      <w:r>
        <w:rPr>
          <w:rFonts w:ascii="Arial" w:eastAsia="Times New Roman" w:hAnsi="Arial" w:cs="Times New Roman"/>
          <w:szCs w:val="20"/>
        </w:rPr>
        <w:t xml:space="preserve">5 </w:t>
      </w:r>
      <w:r w:rsidR="000F786C">
        <w:rPr>
          <w:rFonts w:ascii="Arial" w:eastAsia="Times New Roman" w:hAnsi="Arial" w:cs="Times New Roman"/>
          <w:szCs w:val="20"/>
        </w:rPr>
        <w:t>February 2015</w:t>
      </w:r>
    </w:p>
    <w:p w:rsidR="00A1638C" w:rsidRPr="00661225" w:rsidRDefault="00A1638C" w:rsidP="00661225">
      <w:pPr>
        <w:spacing w:after="60" w:line="240" w:lineRule="auto"/>
        <w:jc w:val="both"/>
        <w:rPr>
          <w:rFonts w:ascii="Arial" w:eastAsia="Times New Roman" w:hAnsi="Arial" w:cs="Arial"/>
        </w:rPr>
      </w:pPr>
    </w:p>
    <w:sectPr w:rsidR="00A1638C" w:rsidRPr="00661225" w:rsidSect="009E265B">
      <w:headerReference w:type="default" r:id="rId11"/>
      <w:footerReference w:type="default" r:id="rId12"/>
      <w:pgSz w:w="11906" w:h="16838"/>
      <w:pgMar w:top="1440" w:right="1440" w:bottom="1440" w:left="1440" w:header="708" w:footer="3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15E" w:rsidRDefault="00DA215E" w:rsidP="007B0A6F">
      <w:pPr>
        <w:spacing w:after="0" w:line="240" w:lineRule="auto"/>
      </w:pPr>
      <w:r>
        <w:separator/>
      </w:r>
    </w:p>
  </w:endnote>
  <w:endnote w:type="continuationSeparator" w:id="0">
    <w:p w:rsidR="00DA215E" w:rsidRDefault="00DA215E" w:rsidP="007B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099"/>
      <w:gridCol w:w="3083"/>
      <w:gridCol w:w="3060"/>
    </w:tblGrid>
    <w:tr w:rsidR="0055544D" w:rsidRPr="009E265B" w:rsidTr="0055544D">
      <w:tc>
        <w:tcPr>
          <w:tcW w:w="3382" w:type="dxa"/>
        </w:tcPr>
        <w:p w:rsidR="0055544D" w:rsidRPr="009E265B" w:rsidRDefault="0055544D" w:rsidP="009E265B">
          <w:pPr>
            <w:tabs>
              <w:tab w:val="right" w:pos="-1843"/>
              <w:tab w:val="center" w:pos="4962"/>
              <w:tab w:val="right" w:pos="9639"/>
              <w:tab w:val="right" w:pos="9923"/>
              <w:tab w:val="right" w:pos="10632"/>
            </w:tabs>
            <w:spacing w:after="60" w:line="240" w:lineRule="auto"/>
            <w:rPr>
              <w:rFonts w:ascii="Arial Narrow" w:eastAsia="Times New Roman" w:hAnsi="Arial Narrow" w:cs="Times New Roman"/>
              <w:bCs/>
              <w:i/>
              <w:iCs/>
              <w:szCs w:val="20"/>
            </w:rPr>
          </w:pPr>
          <w:proofErr w:type="spellStart"/>
          <w:r w:rsidRPr="009E265B">
            <w:rPr>
              <w:rFonts w:ascii="Arial Narrow" w:eastAsia="Times New Roman" w:hAnsi="Arial Narrow" w:cs="Times New Roman"/>
              <w:bCs/>
              <w:i/>
              <w:iCs/>
              <w:szCs w:val="20"/>
            </w:rPr>
            <w:t>Taptiqom</w:t>
          </w:r>
          <w:proofErr w:type="spellEnd"/>
          <w:r w:rsidRPr="009E265B">
            <w:rPr>
              <w:rFonts w:ascii="Arial Narrow" w:eastAsia="Times New Roman" w:hAnsi="Arial Narrow" w:cs="Times New Roman"/>
              <w:bCs/>
              <w:i/>
              <w:iCs/>
              <w:szCs w:val="20"/>
            </w:rPr>
            <w:t xml:space="preserve"> </w:t>
          </w:r>
          <w:r w:rsidR="00E75B55">
            <w:rPr>
              <w:rFonts w:ascii="Arial Narrow" w:eastAsia="Times New Roman" w:hAnsi="Arial Narrow" w:cs="Times New Roman"/>
              <w:bCs/>
              <w:i/>
              <w:iCs/>
              <w:szCs w:val="20"/>
            </w:rPr>
            <w:t>15/5</w:t>
          </w:r>
        </w:p>
      </w:tc>
      <w:tc>
        <w:tcPr>
          <w:tcW w:w="3382" w:type="dxa"/>
        </w:tcPr>
        <w:p w:rsidR="0055544D" w:rsidRPr="009E265B" w:rsidRDefault="0055544D" w:rsidP="009E265B">
          <w:pPr>
            <w:tabs>
              <w:tab w:val="right" w:pos="-1843"/>
              <w:tab w:val="center" w:pos="4962"/>
              <w:tab w:val="right" w:pos="9639"/>
              <w:tab w:val="right" w:pos="9923"/>
              <w:tab w:val="right" w:pos="10632"/>
            </w:tabs>
            <w:spacing w:after="60" w:line="240" w:lineRule="auto"/>
            <w:jc w:val="center"/>
            <w:rPr>
              <w:rFonts w:ascii="Arial Narrow" w:eastAsia="Times New Roman" w:hAnsi="Arial Narrow" w:cs="Times New Roman"/>
              <w:bCs/>
              <w:i/>
              <w:iCs/>
              <w:szCs w:val="20"/>
            </w:rPr>
          </w:pPr>
          <w:r w:rsidRPr="009E265B">
            <w:rPr>
              <w:rFonts w:ascii="Arial Narrow" w:eastAsia="Times New Roman" w:hAnsi="Arial Narrow" w:cs="Times New Roman"/>
              <w:bCs/>
              <w:i/>
              <w:iCs/>
              <w:szCs w:val="20"/>
            </w:rPr>
            <w:t>Version 1</w:t>
          </w:r>
        </w:p>
      </w:tc>
      <w:tc>
        <w:tcPr>
          <w:tcW w:w="3382" w:type="dxa"/>
        </w:tcPr>
        <w:p w:rsidR="0055544D" w:rsidRPr="009E265B" w:rsidRDefault="0055544D" w:rsidP="00652BA3">
          <w:pPr>
            <w:tabs>
              <w:tab w:val="right" w:pos="-1843"/>
              <w:tab w:val="center" w:pos="4962"/>
              <w:tab w:val="right" w:pos="9639"/>
              <w:tab w:val="right" w:pos="9923"/>
              <w:tab w:val="right" w:pos="10632"/>
            </w:tabs>
            <w:spacing w:after="60" w:line="240" w:lineRule="auto"/>
            <w:jc w:val="right"/>
            <w:rPr>
              <w:rFonts w:ascii="Arial Narrow" w:eastAsia="Times New Roman" w:hAnsi="Arial Narrow" w:cs="Times New Roman"/>
              <w:bCs/>
              <w:i/>
              <w:iCs/>
              <w:szCs w:val="20"/>
              <w:highlight w:val="yellow"/>
            </w:rPr>
          </w:pPr>
          <w:r w:rsidRPr="009E265B">
            <w:rPr>
              <w:rFonts w:ascii="Arial Narrow" w:eastAsia="Times New Roman" w:hAnsi="Arial Narrow" w:cs="Times New Roman"/>
              <w:bCs/>
              <w:i/>
              <w:iCs/>
              <w:szCs w:val="20"/>
            </w:rPr>
            <w:t xml:space="preserve">Page </w:t>
          </w:r>
          <w:r w:rsidRPr="009E265B">
            <w:rPr>
              <w:rFonts w:ascii="Arial Narrow" w:eastAsia="Times New Roman" w:hAnsi="Arial Narrow" w:cs="Times New Roman"/>
              <w:i/>
              <w:iCs/>
              <w:szCs w:val="20"/>
            </w:rPr>
            <w:fldChar w:fldCharType="begin"/>
          </w:r>
          <w:r w:rsidRPr="009E265B">
            <w:rPr>
              <w:rFonts w:ascii="Arial Narrow" w:eastAsia="Times New Roman" w:hAnsi="Arial Narrow" w:cs="Times New Roman"/>
              <w:i/>
              <w:iCs/>
              <w:szCs w:val="20"/>
            </w:rPr>
            <w:instrText xml:space="preserve"> PAGE </w:instrText>
          </w:r>
          <w:r w:rsidRPr="009E265B">
            <w:rPr>
              <w:rFonts w:ascii="Arial Narrow" w:eastAsia="Times New Roman" w:hAnsi="Arial Narrow" w:cs="Times New Roman"/>
              <w:i/>
              <w:iCs/>
              <w:szCs w:val="20"/>
            </w:rPr>
            <w:fldChar w:fldCharType="separate"/>
          </w:r>
          <w:r w:rsidR="00FD7869">
            <w:rPr>
              <w:rFonts w:ascii="Arial Narrow" w:eastAsia="Times New Roman" w:hAnsi="Arial Narrow" w:cs="Times New Roman"/>
              <w:i/>
              <w:iCs/>
              <w:noProof/>
              <w:szCs w:val="20"/>
            </w:rPr>
            <w:t>13</w:t>
          </w:r>
          <w:r w:rsidRPr="009E265B">
            <w:rPr>
              <w:rFonts w:ascii="Arial Narrow" w:eastAsia="Times New Roman" w:hAnsi="Arial Narrow" w:cs="Times New Roman"/>
              <w:i/>
              <w:iCs/>
              <w:szCs w:val="20"/>
            </w:rPr>
            <w:fldChar w:fldCharType="end"/>
          </w:r>
          <w:r w:rsidRPr="009E265B">
            <w:rPr>
              <w:rFonts w:ascii="Arial Narrow" w:eastAsia="Times New Roman" w:hAnsi="Arial Narrow" w:cs="Times New Roman"/>
              <w:i/>
              <w:iCs/>
              <w:szCs w:val="20"/>
            </w:rPr>
            <w:t>/1</w:t>
          </w:r>
          <w:r w:rsidR="00EF468A">
            <w:rPr>
              <w:rFonts w:ascii="Arial Narrow" w:eastAsia="Times New Roman" w:hAnsi="Arial Narrow" w:cs="Times New Roman"/>
              <w:i/>
              <w:iCs/>
              <w:szCs w:val="20"/>
            </w:rPr>
            <w:t>3</w:t>
          </w:r>
          <w:r w:rsidRPr="009E265B">
            <w:rPr>
              <w:rFonts w:ascii="Arial Narrow" w:eastAsia="Times New Roman" w:hAnsi="Arial Narrow" w:cs="Times New Roman"/>
              <w:bCs/>
              <w:i/>
              <w:iCs/>
              <w:szCs w:val="20"/>
            </w:rPr>
            <w:t xml:space="preserve"> </w:t>
          </w:r>
        </w:p>
      </w:tc>
    </w:tr>
  </w:tbl>
  <w:p w:rsidR="0055544D" w:rsidRDefault="0055544D" w:rsidP="009E2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15E" w:rsidRDefault="00DA215E" w:rsidP="007B0A6F">
      <w:pPr>
        <w:spacing w:after="0" w:line="240" w:lineRule="auto"/>
      </w:pPr>
      <w:r>
        <w:separator/>
      </w:r>
    </w:p>
  </w:footnote>
  <w:footnote w:type="continuationSeparator" w:id="0">
    <w:p w:rsidR="00DA215E" w:rsidRDefault="00DA215E" w:rsidP="007B0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80F62" w:rsidTr="003B099E">
      <w:tc>
        <w:tcPr>
          <w:tcW w:w="8720" w:type="dxa"/>
          <w:shd w:val="clear" w:color="auto" w:fill="E4F2E0"/>
        </w:tcPr>
        <w:p w:rsidR="00480F62" w:rsidRPr="00E0066F" w:rsidRDefault="00480F62" w:rsidP="003B099E">
          <w:pPr>
            <w:spacing w:before="40" w:after="40"/>
            <w:rPr>
              <w:rFonts w:asciiTheme="majorHAnsi" w:hAnsiTheme="majorHAnsi"/>
              <w:b/>
              <w:sz w:val="20"/>
              <w:szCs w:val="20"/>
            </w:rPr>
          </w:pPr>
          <w:r w:rsidRPr="00E0066F">
            <w:rPr>
              <w:rFonts w:asciiTheme="majorHAnsi" w:hAnsiTheme="majorHAnsi"/>
              <w:b/>
              <w:sz w:val="20"/>
              <w:szCs w:val="20"/>
            </w:rPr>
            <w:t xml:space="preserve">Attachment 1: Product information for AusPAR </w:t>
          </w:r>
          <w:proofErr w:type="spellStart"/>
          <w:r w:rsidRPr="00E0066F">
            <w:rPr>
              <w:rFonts w:asciiTheme="majorHAnsi" w:hAnsiTheme="majorHAnsi"/>
              <w:b/>
              <w:sz w:val="20"/>
              <w:szCs w:val="20"/>
            </w:rPr>
            <w:t>Taptiqom</w:t>
          </w:r>
          <w:proofErr w:type="spellEnd"/>
          <w:r w:rsidRPr="00E0066F">
            <w:rPr>
              <w:rFonts w:asciiTheme="majorHAnsi" w:hAnsiTheme="majorHAnsi"/>
              <w:b/>
              <w:sz w:val="20"/>
              <w:szCs w:val="20"/>
            </w:rPr>
            <w:t xml:space="preserve"> 15/5 </w:t>
          </w:r>
          <w:proofErr w:type="spellStart"/>
          <w:r w:rsidRPr="00E0066F">
            <w:rPr>
              <w:rFonts w:asciiTheme="majorHAnsi" w:hAnsiTheme="majorHAnsi"/>
              <w:b/>
              <w:sz w:val="20"/>
              <w:szCs w:val="20"/>
            </w:rPr>
            <w:t>Tafluprost</w:t>
          </w:r>
          <w:proofErr w:type="spellEnd"/>
          <w:r w:rsidRPr="00E0066F">
            <w:rPr>
              <w:rFonts w:asciiTheme="majorHAnsi" w:hAnsiTheme="majorHAnsi"/>
              <w:b/>
              <w:sz w:val="20"/>
              <w:szCs w:val="20"/>
            </w:rPr>
            <w:t>/</w:t>
          </w:r>
          <w:proofErr w:type="spellStart"/>
          <w:r w:rsidRPr="00E0066F">
            <w:rPr>
              <w:rFonts w:asciiTheme="majorHAnsi" w:hAnsiTheme="majorHAnsi"/>
              <w:b/>
              <w:sz w:val="20"/>
              <w:szCs w:val="20"/>
            </w:rPr>
            <w:t>Timolol</w:t>
          </w:r>
          <w:proofErr w:type="spellEnd"/>
          <w:r w:rsidRPr="00E0066F">
            <w:rPr>
              <w:rFonts w:asciiTheme="majorHAnsi" w:hAnsiTheme="majorHAnsi"/>
              <w:b/>
              <w:sz w:val="20"/>
              <w:szCs w:val="20"/>
            </w:rPr>
            <w:t xml:space="preserve"> Merck Sharp &amp; </w:t>
          </w:r>
          <w:proofErr w:type="spellStart"/>
          <w:r w:rsidRPr="00E0066F">
            <w:rPr>
              <w:rFonts w:asciiTheme="majorHAnsi" w:hAnsiTheme="majorHAnsi"/>
              <w:b/>
              <w:sz w:val="20"/>
              <w:szCs w:val="20"/>
            </w:rPr>
            <w:t>Dohme</w:t>
          </w:r>
          <w:proofErr w:type="spellEnd"/>
          <w:r w:rsidRPr="00E0066F">
            <w:rPr>
              <w:rFonts w:asciiTheme="majorHAnsi" w:hAnsiTheme="majorHAnsi"/>
              <w:b/>
              <w:sz w:val="20"/>
              <w:szCs w:val="20"/>
            </w:rPr>
            <w:t xml:space="preserve"> (Australia) Pty Ltd PM-2013-03652-1-5 Final 28 July 2015. This Product Information was approved at the time this AusPAR was published.</w:t>
          </w:r>
        </w:p>
      </w:tc>
    </w:tr>
  </w:tbl>
  <w:p w:rsidR="00480F62" w:rsidRDefault="00480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A5CC1"/>
    <w:multiLevelType w:val="hybridMultilevel"/>
    <w:tmpl w:val="2878DB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8C"/>
    <w:rsid w:val="0001148C"/>
    <w:rsid w:val="00011931"/>
    <w:rsid w:val="00026D60"/>
    <w:rsid w:val="0005286A"/>
    <w:rsid w:val="000608CF"/>
    <w:rsid w:val="00084D36"/>
    <w:rsid w:val="000B6C2F"/>
    <w:rsid w:val="000C2DA1"/>
    <w:rsid w:val="000C58C6"/>
    <w:rsid w:val="000F786C"/>
    <w:rsid w:val="00115CB5"/>
    <w:rsid w:val="001323FE"/>
    <w:rsid w:val="00146DF5"/>
    <w:rsid w:val="00154045"/>
    <w:rsid w:val="00187E18"/>
    <w:rsid w:val="001A299E"/>
    <w:rsid w:val="0022257E"/>
    <w:rsid w:val="002279BD"/>
    <w:rsid w:val="00240BA2"/>
    <w:rsid w:val="002869E3"/>
    <w:rsid w:val="00290C72"/>
    <w:rsid w:val="002D41F4"/>
    <w:rsid w:val="002E34BB"/>
    <w:rsid w:val="002E677C"/>
    <w:rsid w:val="002F78E8"/>
    <w:rsid w:val="00300F47"/>
    <w:rsid w:val="00303D13"/>
    <w:rsid w:val="00394A88"/>
    <w:rsid w:val="00404C93"/>
    <w:rsid w:val="004074AC"/>
    <w:rsid w:val="004254C7"/>
    <w:rsid w:val="004472A5"/>
    <w:rsid w:val="00455E7D"/>
    <w:rsid w:val="00480F62"/>
    <w:rsid w:val="00481C14"/>
    <w:rsid w:val="00483A0C"/>
    <w:rsid w:val="004F77AD"/>
    <w:rsid w:val="00502113"/>
    <w:rsid w:val="00546181"/>
    <w:rsid w:val="0055544D"/>
    <w:rsid w:val="005678AC"/>
    <w:rsid w:val="00587CBC"/>
    <w:rsid w:val="005957B8"/>
    <w:rsid w:val="00597A76"/>
    <w:rsid w:val="005A2EBA"/>
    <w:rsid w:val="005B5A41"/>
    <w:rsid w:val="005E118E"/>
    <w:rsid w:val="0060663F"/>
    <w:rsid w:val="00652BA3"/>
    <w:rsid w:val="0065572F"/>
    <w:rsid w:val="00661225"/>
    <w:rsid w:val="00676B2A"/>
    <w:rsid w:val="00690E72"/>
    <w:rsid w:val="00695D5A"/>
    <w:rsid w:val="006A5AA6"/>
    <w:rsid w:val="006B6B95"/>
    <w:rsid w:val="007025A4"/>
    <w:rsid w:val="0072735B"/>
    <w:rsid w:val="0073586F"/>
    <w:rsid w:val="007638C6"/>
    <w:rsid w:val="00772712"/>
    <w:rsid w:val="00787449"/>
    <w:rsid w:val="007A2866"/>
    <w:rsid w:val="007A2F14"/>
    <w:rsid w:val="007B0A6F"/>
    <w:rsid w:val="007B34B1"/>
    <w:rsid w:val="00842926"/>
    <w:rsid w:val="008445FF"/>
    <w:rsid w:val="008775B1"/>
    <w:rsid w:val="00893C0F"/>
    <w:rsid w:val="008C13FB"/>
    <w:rsid w:val="00905592"/>
    <w:rsid w:val="00941568"/>
    <w:rsid w:val="00957A1D"/>
    <w:rsid w:val="00987518"/>
    <w:rsid w:val="00987800"/>
    <w:rsid w:val="009C0FAC"/>
    <w:rsid w:val="009C3198"/>
    <w:rsid w:val="009E265B"/>
    <w:rsid w:val="00A1638C"/>
    <w:rsid w:val="00A342A2"/>
    <w:rsid w:val="00A405C6"/>
    <w:rsid w:val="00A53483"/>
    <w:rsid w:val="00A61B13"/>
    <w:rsid w:val="00A63D27"/>
    <w:rsid w:val="00A81B81"/>
    <w:rsid w:val="00AB3854"/>
    <w:rsid w:val="00AE18D5"/>
    <w:rsid w:val="00B122EF"/>
    <w:rsid w:val="00B441B6"/>
    <w:rsid w:val="00B64754"/>
    <w:rsid w:val="00B74F8B"/>
    <w:rsid w:val="00BA59A3"/>
    <w:rsid w:val="00BA7575"/>
    <w:rsid w:val="00BB419E"/>
    <w:rsid w:val="00BC60BB"/>
    <w:rsid w:val="00BC6596"/>
    <w:rsid w:val="00BF1B1B"/>
    <w:rsid w:val="00BF290F"/>
    <w:rsid w:val="00BF3497"/>
    <w:rsid w:val="00C031F3"/>
    <w:rsid w:val="00C40780"/>
    <w:rsid w:val="00C4112C"/>
    <w:rsid w:val="00C60C7B"/>
    <w:rsid w:val="00C92400"/>
    <w:rsid w:val="00C943DB"/>
    <w:rsid w:val="00CA5A8D"/>
    <w:rsid w:val="00CC1DCF"/>
    <w:rsid w:val="00D46BD2"/>
    <w:rsid w:val="00D54B7C"/>
    <w:rsid w:val="00D55E53"/>
    <w:rsid w:val="00D74315"/>
    <w:rsid w:val="00D846AD"/>
    <w:rsid w:val="00DA215E"/>
    <w:rsid w:val="00DB222A"/>
    <w:rsid w:val="00DB5754"/>
    <w:rsid w:val="00DF473D"/>
    <w:rsid w:val="00E0066F"/>
    <w:rsid w:val="00E16DC8"/>
    <w:rsid w:val="00E24686"/>
    <w:rsid w:val="00E252F2"/>
    <w:rsid w:val="00E75B55"/>
    <w:rsid w:val="00E84474"/>
    <w:rsid w:val="00E9237B"/>
    <w:rsid w:val="00EA023C"/>
    <w:rsid w:val="00EB5C01"/>
    <w:rsid w:val="00EF468A"/>
    <w:rsid w:val="00F00233"/>
    <w:rsid w:val="00F00A92"/>
    <w:rsid w:val="00F04055"/>
    <w:rsid w:val="00F51AA3"/>
    <w:rsid w:val="00F714AC"/>
    <w:rsid w:val="00F7398B"/>
    <w:rsid w:val="00F82BC8"/>
    <w:rsid w:val="00FB103F"/>
    <w:rsid w:val="00FD78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3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qFormat/>
    <w:rsid w:val="00A1638C"/>
    <w:pPr>
      <w:keepLines w:val="0"/>
      <w:spacing w:before="240" w:after="120" w:line="240" w:lineRule="auto"/>
      <w:jc w:val="both"/>
      <w:outlineLvl w:val="1"/>
    </w:pPr>
    <w:rPr>
      <w:rFonts w:ascii="Arial" w:eastAsia="Times New Roman" w:hAnsi="Arial" w:cs="Arial"/>
      <w:iCs/>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38C"/>
    <w:rPr>
      <w:rFonts w:ascii="Tahoma" w:hAnsi="Tahoma" w:cs="Tahoma"/>
      <w:sz w:val="16"/>
      <w:szCs w:val="16"/>
    </w:rPr>
  </w:style>
  <w:style w:type="character" w:customStyle="1" w:styleId="Heading2Char">
    <w:name w:val="Heading 2 Char"/>
    <w:basedOn w:val="DefaultParagraphFont"/>
    <w:link w:val="Heading2"/>
    <w:rsid w:val="00A1638C"/>
    <w:rPr>
      <w:rFonts w:ascii="Arial" w:eastAsia="Times New Roman" w:hAnsi="Arial" w:cs="Arial"/>
      <w:b/>
      <w:bCs/>
      <w:iCs/>
      <w:lang w:val="en-US"/>
    </w:rPr>
  </w:style>
  <w:style w:type="character" w:customStyle="1" w:styleId="Heading1Char">
    <w:name w:val="Heading 1 Char"/>
    <w:basedOn w:val="DefaultParagraphFont"/>
    <w:link w:val="Heading1"/>
    <w:uiPriority w:val="9"/>
    <w:rsid w:val="00A1638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B0A6F"/>
    <w:rPr>
      <w:sz w:val="16"/>
      <w:szCs w:val="16"/>
    </w:rPr>
  </w:style>
  <w:style w:type="paragraph" w:styleId="CommentText">
    <w:name w:val="annotation text"/>
    <w:basedOn w:val="Normal"/>
    <w:link w:val="CommentTextChar"/>
    <w:uiPriority w:val="99"/>
    <w:semiHidden/>
    <w:unhideWhenUsed/>
    <w:rsid w:val="007B0A6F"/>
    <w:pPr>
      <w:spacing w:line="240" w:lineRule="auto"/>
    </w:pPr>
    <w:rPr>
      <w:sz w:val="20"/>
      <w:szCs w:val="20"/>
    </w:rPr>
  </w:style>
  <w:style w:type="character" w:customStyle="1" w:styleId="CommentTextChar">
    <w:name w:val="Comment Text Char"/>
    <w:basedOn w:val="DefaultParagraphFont"/>
    <w:link w:val="CommentText"/>
    <w:uiPriority w:val="99"/>
    <w:semiHidden/>
    <w:rsid w:val="007B0A6F"/>
    <w:rPr>
      <w:sz w:val="20"/>
      <w:szCs w:val="20"/>
    </w:rPr>
  </w:style>
  <w:style w:type="paragraph" w:styleId="CommentSubject">
    <w:name w:val="annotation subject"/>
    <w:basedOn w:val="CommentText"/>
    <w:next w:val="CommentText"/>
    <w:link w:val="CommentSubjectChar"/>
    <w:uiPriority w:val="99"/>
    <w:semiHidden/>
    <w:unhideWhenUsed/>
    <w:rsid w:val="007B0A6F"/>
    <w:rPr>
      <w:b/>
      <w:bCs/>
    </w:rPr>
  </w:style>
  <w:style w:type="character" w:customStyle="1" w:styleId="CommentSubjectChar">
    <w:name w:val="Comment Subject Char"/>
    <w:basedOn w:val="CommentTextChar"/>
    <w:link w:val="CommentSubject"/>
    <w:uiPriority w:val="99"/>
    <w:semiHidden/>
    <w:rsid w:val="007B0A6F"/>
    <w:rPr>
      <w:b/>
      <w:bCs/>
      <w:sz w:val="20"/>
      <w:szCs w:val="20"/>
    </w:rPr>
  </w:style>
  <w:style w:type="paragraph" w:customStyle="1" w:styleId="Body">
    <w:name w:val="Body"/>
    <w:basedOn w:val="Normal"/>
    <w:link w:val="BodyChar"/>
    <w:rsid w:val="005E118E"/>
    <w:pPr>
      <w:spacing w:after="0" w:line="240" w:lineRule="auto"/>
      <w:ind w:firstLine="288"/>
    </w:pPr>
    <w:rPr>
      <w:rFonts w:ascii="Arial" w:eastAsia="MS Mincho" w:hAnsi="Arial" w:cs="Times New Roman"/>
      <w:sz w:val="20"/>
      <w:szCs w:val="20"/>
      <w:lang w:val="en-US" w:eastAsia="ja-JP"/>
    </w:rPr>
  </w:style>
  <w:style w:type="character" w:customStyle="1" w:styleId="BodyChar">
    <w:name w:val="Body Char"/>
    <w:link w:val="Body"/>
    <w:rsid w:val="005E118E"/>
    <w:rPr>
      <w:rFonts w:ascii="Arial" w:eastAsia="MS Mincho" w:hAnsi="Arial" w:cs="Times New Roman"/>
      <w:sz w:val="20"/>
      <w:szCs w:val="20"/>
      <w:lang w:val="en-US" w:eastAsia="ja-JP"/>
    </w:rPr>
  </w:style>
  <w:style w:type="paragraph" w:customStyle="1" w:styleId="EMEANormal">
    <w:name w:val="EMEA Normal"/>
    <w:rsid w:val="009E265B"/>
    <w:pPr>
      <w:tabs>
        <w:tab w:val="left" w:pos="562"/>
      </w:tabs>
      <w:suppressAutoHyphens/>
      <w:spacing w:after="0" w:line="240" w:lineRule="auto"/>
    </w:pPr>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9E2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65B"/>
  </w:style>
  <w:style w:type="paragraph" w:styleId="Footer">
    <w:name w:val="footer"/>
    <w:basedOn w:val="Normal"/>
    <w:link w:val="FooterChar"/>
    <w:uiPriority w:val="99"/>
    <w:unhideWhenUsed/>
    <w:rsid w:val="009E2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65B"/>
  </w:style>
  <w:style w:type="paragraph" w:styleId="FootnoteText">
    <w:name w:val="footnote text"/>
    <w:basedOn w:val="Normal"/>
    <w:link w:val="FootnoteTextChar"/>
    <w:uiPriority w:val="99"/>
    <w:semiHidden/>
    <w:unhideWhenUsed/>
    <w:rsid w:val="00011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931"/>
    <w:rPr>
      <w:sz w:val="20"/>
      <w:szCs w:val="20"/>
    </w:rPr>
  </w:style>
  <w:style w:type="character" w:styleId="FootnoteReference">
    <w:name w:val="footnote reference"/>
    <w:semiHidden/>
    <w:rsid w:val="00011931"/>
    <w:rPr>
      <w:color w:val="FF00FF"/>
      <w:position w:val="6"/>
      <w:sz w:val="16"/>
    </w:rPr>
  </w:style>
  <w:style w:type="character" w:styleId="Hyperlink">
    <w:name w:val="Hyperlink"/>
    <w:basedOn w:val="DefaultParagraphFont"/>
    <w:uiPriority w:val="99"/>
    <w:unhideWhenUsed/>
    <w:rsid w:val="00941568"/>
    <w:rPr>
      <w:color w:val="0000FF" w:themeColor="hyperlink"/>
      <w:u w:val="single"/>
    </w:rPr>
  </w:style>
  <w:style w:type="character" w:styleId="FollowedHyperlink">
    <w:name w:val="FollowedHyperlink"/>
    <w:basedOn w:val="DefaultParagraphFont"/>
    <w:uiPriority w:val="99"/>
    <w:semiHidden/>
    <w:unhideWhenUsed/>
    <w:rsid w:val="00CA5A8D"/>
    <w:rPr>
      <w:color w:val="800080" w:themeColor="followedHyperlink"/>
      <w:u w:val="single"/>
    </w:rPr>
  </w:style>
  <w:style w:type="table" w:styleId="TableGrid">
    <w:name w:val="Table Grid"/>
    <w:basedOn w:val="TableNormal"/>
    <w:uiPriority w:val="59"/>
    <w:rsid w:val="009C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C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163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autoRedefine/>
    <w:qFormat/>
    <w:rsid w:val="00A1638C"/>
    <w:pPr>
      <w:keepLines w:val="0"/>
      <w:spacing w:before="240" w:after="120" w:line="240" w:lineRule="auto"/>
      <w:jc w:val="both"/>
      <w:outlineLvl w:val="1"/>
    </w:pPr>
    <w:rPr>
      <w:rFonts w:ascii="Arial" w:eastAsia="Times New Roman" w:hAnsi="Arial" w:cs="Arial"/>
      <w:iCs/>
      <w:color w:val="auto"/>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38C"/>
    <w:rPr>
      <w:rFonts w:ascii="Tahoma" w:hAnsi="Tahoma" w:cs="Tahoma"/>
      <w:sz w:val="16"/>
      <w:szCs w:val="16"/>
    </w:rPr>
  </w:style>
  <w:style w:type="character" w:customStyle="1" w:styleId="Heading2Char">
    <w:name w:val="Heading 2 Char"/>
    <w:basedOn w:val="DefaultParagraphFont"/>
    <w:link w:val="Heading2"/>
    <w:rsid w:val="00A1638C"/>
    <w:rPr>
      <w:rFonts w:ascii="Arial" w:eastAsia="Times New Roman" w:hAnsi="Arial" w:cs="Arial"/>
      <w:b/>
      <w:bCs/>
      <w:iCs/>
      <w:lang w:val="en-US"/>
    </w:rPr>
  </w:style>
  <w:style w:type="character" w:customStyle="1" w:styleId="Heading1Char">
    <w:name w:val="Heading 1 Char"/>
    <w:basedOn w:val="DefaultParagraphFont"/>
    <w:link w:val="Heading1"/>
    <w:uiPriority w:val="9"/>
    <w:rsid w:val="00A1638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7B0A6F"/>
    <w:rPr>
      <w:sz w:val="16"/>
      <w:szCs w:val="16"/>
    </w:rPr>
  </w:style>
  <w:style w:type="paragraph" w:styleId="CommentText">
    <w:name w:val="annotation text"/>
    <w:basedOn w:val="Normal"/>
    <w:link w:val="CommentTextChar"/>
    <w:uiPriority w:val="99"/>
    <w:semiHidden/>
    <w:unhideWhenUsed/>
    <w:rsid w:val="007B0A6F"/>
    <w:pPr>
      <w:spacing w:line="240" w:lineRule="auto"/>
    </w:pPr>
    <w:rPr>
      <w:sz w:val="20"/>
      <w:szCs w:val="20"/>
    </w:rPr>
  </w:style>
  <w:style w:type="character" w:customStyle="1" w:styleId="CommentTextChar">
    <w:name w:val="Comment Text Char"/>
    <w:basedOn w:val="DefaultParagraphFont"/>
    <w:link w:val="CommentText"/>
    <w:uiPriority w:val="99"/>
    <w:semiHidden/>
    <w:rsid w:val="007B0A6F"/>
    <w:rPr>
      <w:sz w:val="20"/>
      <w:szCs w:val="20"/>
    </w:rPr>
  </w:style>
  <w:style w:type="paragraph" w:styleId="CommentSubject">
    <w:name w:val="annotation subject"/>
    <w:basedOn w:val="CommentText"/>
    <w:next w:val="CommentText"/>
    <w:link w:val="CommentSubjectChar"/>
    <w:uiPriority w:val="99"/>
    <w:semiHidden/>
    <w:unhideWhenUsed/>
    <w:rsid w:val="007B0A6F"/>
    <w:rPr>
      <w:b/>
      <w:bCs/>
    </w:rPr>
  </w:style>
  <w:style w:type="character" w:customStyle="1" w:styleId="CommentSubjectChar">
    <w:name w:val="Comment Subject Char"/>
    <w:basedOn w:val="CommentTextChar"/>
    <w:link w:val="CommentSubject"/>
    <w:uiPriority w:val="99"/>
    <w:semiHidden/>
    <w:rsid w:val="007B0A6F"/>
    <w:rPr>
      <w:b/>
      <w:bCs/>
      <w:sz w:val="20"/>
      <w:szCs w:val="20"/>
    </w:rPr>
  </w:style>
  <w:style w:type="paragraph" w:customStyle="1" w:styleId="Body">
    <w:name w:val="Body"/>
    <w:basedOn w:val="Normal"/>
    <w:link w:val="BodyChar"/>
    <w:rsid w:val="005E118E"/>
    <w:pPr>
      <w:spacing w:after="0" w:line="240" w:lineRule="auto"/>
      <w:ind w:firstLine="288"/>
    </w:pPr>
    <w:rPr>
      <w:rFonts w:ascii="Arial" w:eastAsia="MS Mincho" w:hAnsi="Arial" w:cs="Times New Roman"/>
      <w:sz w:val="20"/>
      <w:szCs w:val="20"/>
      <w:lang w:val="en-US" w:eastAsia="ja-JP"/>
    </w:rPr>
  </w:style>
  <w:style w:type="character" w:customStyle="1" w:styleId="BodyChar">
    <w:name w:val="Body Char"/>
    <w:link w:val="Body"/>
    <w:rsid w:val="005E118E"/>
    <w:rPr>
      <w:rFonts w:ascii="Arial" w:eastAsia="MS Mincho" w:hAnsi="Arial" w:cs="Times New Roman"/>
      <w:sz w:val="20"/>
      <w:szCs w:val="20"/>
      <w:lang w:val="en-US" w:eastAsia="ja-JP"/>
    </w:rPr>
  </w:style>
  <w:style w:type="paragraph" w:customStyle="1" w:styleId="EMEANormal">
    <w:name w:val="EMEA Normal"/>
    <w:rsid w:val="009E265B"/>
    <w:pPr>
      <w:tabs>
        <w:tab w:val="left" w:pos="562"/>
      </w:tabs>
      <w:suppressAutoHyphens/>
      <w:spacing w:after="0" w:line="240" w:lineRule="auto"/>
    </w:pPr>
    <w:rPr>
      <w:rFonts w:ascii="Times New Roman" w:eastAsia="Times New Roman" w:hAnsi="Times New Roman" w:cs="Times New Roman"/>
      <w:szCs w:val="20"/>
      <w:lang w:val="en-US"/>
    </w:rPr>
  </w:style>
  <w:style w:type="paragraph" w:styleId="Header">
    <w:name w:val="header"/>
    <w:basedOn w:val="Normal"/>
    <w:link w:val="HeaderChar"/>
    <w:uiPriority w:val="99"/>
    <w:unhideWhenUsed/>
    <w:rsid w:val="009E2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65B"/>
  </w:style>
  <w:style w:type="paragraph" w:styleId="Footer">
    <w:name w:val="footer"/>
    <w:basedOn w:val="Normal"/>
    <w:link w:val="FooterChar"/>
    <w:uiPriority w:val="99"/>
    <w:unhideWhenUsed/>
    <w:rsid w:val="009E2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65B"/>
  </w:style>
  <w:style w:type="paragraph" w:styleId="FootnoteText">
    <w:name w:val="footnote text"/>
    <w:basedOn w:val="Normal"/>
    <w:link w:val="FootnoteTextChar"/>
    <w:uiPriority w:val="99"/>
    <w:semiHidden/>
    <w:unhideWhenUsed/>
    <w:rsid w:val="000119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1931"/>
    <w:rPr>
      <w:sz w:val="20"/>
      <w:szCs w:val="20"/>
    </w:rPr>
  </w:style>
  <w:style w:type="character" w:styleId="FootnoteReference">
    <w:name w:val="footnote reference"/>
    <w:semiHidden/>
    <w:rsid w:val="00011931"/>
    <w:rPr>
      <w:color w:val="FF00FF"/>
      <w:position w:val="6"/>
      <w:sz w:val="16"/>
    </w:rPr>
  </w:style>
  <w:style w:type="character" w:styleId="Hyperlink">
    <w:name w:val="Hyperlink"/>
    <w:basedOn w:val="DefaultParagraphFont"/>
    <w:uiPriority w:val="99"/>
    <w:unhideWhenUsed/>
    <w:rsid w:val="00941568"/>
    <w:rPr>
      <w:color w:val="0000FF" w:themeColor="hyperlink"/>
      <w:u w:val="single"/>
    </w:rPr>
  </w:style>
  <w:style w:type="character" w:styleId="FollowedHyperlink">
    <w:name w:val="FollowedHyperlink"/>
    <w:basedOn w:val="DefaultParagraphFont"/>
    <w:uiPriority w:val="99"/>
    <w:semiHidden/>
    <w:unhideWhenUsed/>
    <w:rsid w:val="00CA5A8D"/>
    <w:rPr>
      <w:color w:val="800080" w:themeColor="followedHyperlink"/>
      <w:u w:val="single"/>
    </w:rPr>
  </w:style>
  <w:style w:type="table" w:styleId="TableGrid">
    <w:name w:val="Table Grid"/>
    <w:basedOn w:val="TableNormal"/>
    <w:uiPriority w:val="59"/>
    <w:rsid w:val="009C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C0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8336-65D9-46A0-9A8F-4178F6F3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4992</Words>
  <Characters>28456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AusPAR Attachment 1. Product information for Tafluprost Timolol</vt:lpstr>
    </vt:vector>
  </TitlesOfParts>
  <Company>SPONSOR</Company>
  <LinksUpToDate>false</LinksUpToDate>
  <CharactersWithSpaces>33382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Tafluprost Timolol</dc:title>
  <dc:subject>prescription medicine regulation</dc:subject>
  <dc:creator/>
  <cp:keywords>auspar, prescription, medicine, assessment, regulation, australia, tafluprost, timolol, merck, sharp, dohme</cp:keywords>
  <cp:lastModifiedBy>Lack, Janet</cp:lastModifiedBy>
  <cp:revision>7</cp:revision>
  <dcterms:created xsi:type="dcterms:W3CDTF">2015-07-28T05:44:00Z</dcterms:created>
  <dcterms:modified xsi:type="dcterms:W3CDTF">2015-08-18T00:16:00Z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