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C7A" w:rsidRDefault="00456C7A" w:rsidP="00EE169A">
      <w:pPr>
        <w:pStyle w:val="Title"/>
        <w:ind w:right="-93"/>
        <w:outlineLvl w:val="0"/>
      </w:pPr>
      <w:r>
        <w:t>PRODUCT INFORMATION</w:t>
      </w:r>
    </w:p>
    <w:p w:rsidR="00054E0B" w:rsidRPr="00054E0B" w:rsidRDefault="00054E0B" w:rsidP="00287617">
      <w:pPr>
        <w:tabs>
          <w:tab w:val="right" w:pos="9180"/>
        </w:tabs>
        <w:spacing w:before="360"/>
        <w:ind w:right="-91"/>
        <w:jc w:val="center"/>
        <w:outlineLvl w:val="0"/>
        <w:rPr>
          <w:rFonts w:ascii="Arial" w:hAnsi="Arial" w:cs="Arial"/>
          <w:bCs/>
        </w:rPr>
      </w:pPr>
      <w:r w:rsidRPr="00054E0B">
        <w:rPr>
          <w:rFonts w:ascii="Arial" w:hAnsi="Arial" w:cs="Arial"/>
          <w:b/>
          <w:sz w:val="30"/>
        </w:rPr>
        <w:t>SAFLUTAN</w:t>
      </w:r>
      <w:r w:rsidRPr="00054E0B">
        <w:rPr>
          <w:rFonts w:ascii="Arial" w:hAnsi="Arial" w:cs="Arial"/>
          <w:b/>
          <w:sz w:val="30"/>
          <w:szCs w:val="30"/>
        </w:rPr>
        <w:t>™</w:t>
      </w:r>
    </w:p>
    <w:p w:rsidR="00456C7A" w:rsidRPr="00054AC6" w:rsidRDefault="00054E0B" w:rsidP="00EE169A">
      <w:pPr>
        <w:tabs>
          <w:tab w:val="right" w:pos="9180"/>
        </w:tabs>
        <w:ind w:right="-93"/>
        <w:jc w:val="center"/>
        <w:rPr>
          <w:rFonts w:ascii="Arial" w:hAnsi="Arial" w:cs="Arial"/>
          <w:szCs w:val="24"/>
        </w:rPr>
      </w:pPr>
      <w:r w:rsidRPr="00054AC6">
        <w:rPr>
          <w:rFonts w:ascii="Arial" w:hAnsi="Arial" w:cs="Arial"/>
          <w:szCs w:val="24"/>
        </w:rPr>
        <w:t>(tafluprost, MSD)</w:t>
      </w:r>
    </w:p>
    <w:p w:rsidR="00034716" w:rsidRDefault="00034716" w:rsidP="00287617">
      <w:pPr>
        <w:tabs>
          <w:tab w:val="right" w:pos="9180"/>
        </w:tabs>
        <w:spacing w:before="360"/>
        <w:ind w:right="-91"/>
        <w:jc w:val="center"/>
        <w:outlineLvl w:val="0"/>
        <w:rPr>
          <w:rFonts w:ascii="Arial" w:hAnsi="Arial"/>
          <w:sz w:val="22"/>
        </w:rPr>
      </w:pPr>
      <w:r>
        <w:rPr>
          <w:rFonts w:ascii="Arial" w:hAnsi="Arial"/>
          <w:b/>
          <w:sz w:val="22"/>
        </w:rPr>
        <w:t>DESCRIPTION</w:t>
      </w:r>
    </w:p>
    <w:p w:rsidR="00456C7A" w:rsidRDefault="00054AC6" w:rsidP="00287617">
      <w:pPr>
        <w:tabs>
          <w:tab w:val="right" w:pos="9180"/>
        </w:tabs>
        <w:spacing w:before="360" w:after="100" w:afterAutospacing="1"/>
        <w:ind w:right="-91"/>
        <w:jc w:val="both"/>
        <w:outlineLvl w:val="0"/>
        <w:rPr>
          <w:rFonts w:ascii="Arial" w:hAnsi="Arial"/>
          <w:sz w:val="22"/>
        </w:rPr>
      </w:pPr>
      <w:r>
        <w:rPr>
          <w:rFonts w:ascii="Arial" w:hAnsi="Arial"/>
          <w:sz w:val="22"/>
        </w:rPr>
        <w:t xml:space="preserve">The active ingredient in </w:t>
      </w:r>
      <w:r w:rsidR="0066319B">
        <w:rPr>
          <w:rFonts w:ascii="Arial" w:hAnsi="Arial"/>
          <w:sz w:val="22"/>
        </w:rPr>
        <w:t>SAFLUTAN</w:t>
      </w:r>
      <w:r>
        <w:rPr>
          <w:rFonts w:ascii="Arial" w:hAnsi="Arial"/>
          <w:sz w:val="22"/>
        </w:rPr>
        <w:t xml:space="preserve"> is</w:t>
      </w:r>
      <w:r w:rsidR="00456C7A">
        <w:rPr>
          <w:rFonts w:ascii="Arial" w:hAnsi="Arial"/>
          <w:sz w:val="22"/>
          <w:vertAlign w:val="superscript"/>
        </w:rPr>
        <w:t xml:space="preserve"> </w:t>
      </w:r>
      <w:r w:rsidR="0066319B">
        <w:rPr>
          <w:rFonts w:ascii="Arial" w:hAnsi="Arial"/>
          <w:sz w:val="22"/>
        </w:rPr>
        <w:t>tafluprost</w:t>
      </w:r>
      <w:r>
        <w:rPr>
          <w:rFonts w:ascii="Arial" w:hAnsi="Arial"/>
          <w:sz w:val="22"/>
        </w:rPr>
        <w:t>, a prostaglandin analogue</w:t>
      </w:r>
      <w:r w:rsidR="00456C7A">
        <w:rPr>
          <w:rFonts w:ascii="Arial" w:hAnsi="Arial"/>
          <w:sz w:val="22"/>
        </w:rPr>
        <w:t>.</w:t>
      </w:r>
    </w:p>
    <w:p w:rsidR="00AA699E" w:rsidRPr="00AA699E" w:rsidRDefault="00AA699E" w:rsidP="00287617">
      <w:pPr>
        <w:tabs>
          <w:tab w:val="right" w:pos="9180"/>
        </w:tabs>
        <w:spacing w:before="100" w:beforeAutospacing="1" w:after="100" w:afterAutospacing="1"/>
        <w:ind w:right="-91"/>
        <w:rPr>
          <w:rFonts w:ascii="Arial" w:hAnsi="Arial" w:cs="Arial"/>
          <w:sz w:val="22"/>
          <w:szCs w:val="22"/>
        </w:rPr>
      </w:pPr>
      <w:r w:rsidRPr="00AA699E">
        <w:rPr>
          <w:rFonts w:ascii="Arial" w:hAnsi="Arial" w:cs="Arial"/>
          <w:sz w:val="22"/>
          <w:szCs w:val="22"/>
        </w:rPr>
        <w:t xml:space="preserve">The chemical name for tafluprost is </w:t>
      </w:r>
      <w:r w:rsidR="001D18E7">
        <w:rPr>
          <w:rFonts w:ascii="Arial" w:hAnsi="Arial" w:cs="Arial"/>
          <w:sz w:val="22"/>
          <w:szCs w:val="22"/>
        </w:rPr>
        <w:t>2-Propyl</w:t>
      </w:r>
      <w:r w:rsidRPr="00AA699E">
        <w:rPr>
          <w:rFonts w:ascii="Arial" w:hAnsi="Arial" w:cs="Arial"/>
          <w:sz w:val="22"/>
          <w:szCs w:val="22"/>
        </w:rPr>
        <w:t xml:space="preserve"> (5Z)-7</w:t>
      </w:r>
      <w:r w:rsidR="001D18E7">
        <w:rPr>
          <w:rFonts w:ascii="Arial" w:hAnsi="Arial" w:cs="Arial"/>
          <w:sz w:val="22"/>
          <w:szCs w:val="22"/>
        </w:rPr>
        <w:t>-</w:t>
      </w:r>
      <w:r w:rsidRPr="00AA699E">
        <w:rPr>
          <w:rFonts w:ascii="Arial" w:hAnsi="Arial" w:cs="Arial"/>
          <w:sz w:val="22"/>
          <w:szCs w:val="22"/>
        </w:rPr>
        <w:t>[(1R, 2R, 3R, 5S)-2-[(1E)-3,3-difluoro-4-phenoxybut</w:t>
      </w:r>
      <w:r w:rsidR="001D18E7">
        <w:rPr>
          <w:rFonts w:ascii="Arial" w:hAnsi="Arial" w:cs="Arial"/>
          <w:sz w:val="22"/>
          <w:szCs w:val="22"/>
        </w:rPr>
        <w:t>-1-</w:t>
      </w:r>
      <w:r w:rsidRPr="00AA699E">
        <w:rPr>
          <w:rFonts w:ascii="Arial" w:hAnsi="Arial" w:cs="Arial"/>
          <w:sz w:val="22"/>
          <w:szCs w:val="22"/>
        </w:rPr>
        <w:t>enyl]-3,5-dihydroxycyclopentyl]hept</w:t>
      </w:r>
      <w:r w:rsidR="001D18E7">
        <w:rPr>
          <w:rFonts w:ascii="Arial" w:hAnsi="Arial" w:cs="Arial"/>
          <w:sz w:val="22"/>
          <w:szCs w:val="22"/>
        </w:rPr>
        <w:t>-5-</w:t>
      </w:r>
      <w:r w:rsidRPr="00AA699E">
        <w:rPr>
          <w:rFonts w:ascii="Arial" w:hAnsi="Arial" w:cs="Arial"/>
          <w:sz w:val="22"/>
          <w:szCs w:val="22"/>
        </w:rPr>
        <w:t>enoate. The empirical formula of tafluprost is C</w:t>
      </w:r>
      <w:r w:rsidRPr="00AA699E">
        <w:rPr>
          <w:rFonts w:ascii="Arial" w:hAnsi="Arial" w:cs="Arial"/>
          <w:sz w:val="22"/>
          <w:szCs w:val="22"/>
          <w:vertAlign w:val="subscript"/>
        </w:rPr>
        <w:t>25</w:t>
      </w:r>
      <w:r w:rsidRPr="00AA699E">
        <w:rPr>
          <w:rFonts w:ascii="Arial" w:hAnsi="Arial" w:cs="Arial"/>
          <w:sz w:val="22"/>
          <w:szCs w:val="22"/>
        </w:rPr>
        <w:t>H</w:t>
      </w:r>
      <w:r w:rsidRPr="00AA699E">
        <w:rPr>
          <w:rFonts w:ascii="Arial" w:hAnsi="Arial" w:cs="Arial"/>
          <w:sz w:val="22"/>
          <w:szCs w:val="22"/>
          <w:vertAlign w:val="subscript"/>
        </w:rPr>
        <w:t>34</w:t>
      </w:r>
      <w:r w:rsidRPr="00AA699E">
        <w:rPr>
          <w:rFonts w:ascii="Arial" w:hAnsi="Arial" w:cs="Arial"/>
          <w:sz w:val="22"/>
          <w:szCs w:val="22"/>
        </w:rPr>
        <w:t>F</w:t>
      </w:r>
      <w:r w:rsidRPr="00AA699E">
        <w:rPr>
          <w:rFonts w:ascii="Arial" w:hAnsi="Arial" w:cs="Arial"/>
          <w:sz w:val="22"/>
          <w:szCs w:val="22"/>
          <w:vertAlign w:val="subscript"/>
        </w:rPr>
        <w:t>2</w:t>
      </w:r>
      <w:r w:rsidRPr="00AA699E">
        <w:rPr>
          <w:rFonts w:ascii="Arial" w:hAnsi="Arial" w:cs="Arial"/>
          <w:sz w:val="22"/>
          <w:szCs w:val="22"/>
        </w:rPr>
        <w:t>O</w:t>
      </w:r>
      <w:r w:rsidRPr="00AA699E">
        <w:rPr>
          <w:rFonts w:ascii="Arial" w:hAnsi="Arial" w:cs="Arial"/>
          <w:sz w:val="22"/>
          <w:szCs w:val="22"/>
          <w:vertAlign w:val="subscript"/>
        </w:rPr>
        <w:t>5</w:t>
      </w:r>
      <w:r w:rsidRPr="00AA699E">
        <w:rPr>
          <w:rFonts w:ascii="Arial" w:hAnsi="Arial" w:cs="Arial"/>
          <w:sz w:val="22"/>
          <w:szCs w:val="22"/>
        </w:rPr>
        <w:t xml:space="preserve"> and its molecular weight is 452.53.</w:t>
      </w:r>
    </w:p>
    <w:p w:rsidR="00AA699E" w:rsidRPr="00AA699E" w:rsidRDefault="00AA699E" w:rsidP="00287617">
      <w:pPr>
        <w:tabs>
          <w:tab w:val="right" w:pos="9180"/>
        </w:tabs>
        <w:spacing w:before="100" w:beforeAutospacing="1" w:after="100" w:afterAutospacing="1"/>
        <w:ind w:right="-91"/>
        <w:rPr>
          <w:rFonts w:ascii="Arial" w:hAnsi="Arial" w:cs="Arial"/>
          <w:sz w:val="22"/>
          <w:szCs w:val="22"/>
        </w:rPr>
      </w:pPr>
      <w:r w:rsidRPr="00AA699E">
        <w:rPr>
          <w:rFonts w:ascii="Arial" w:hAnsi="Arial" w:cs="Arial"/>
          <w:bCs/>
          <w:iCs/>
          <w:sz w:val="22"/>
          <w:szCs w:val="22"/>
        </w:rPr>
        <w:t>Tafluprost is a colo</w:t>
      </w:r>
      <w:r w:rsidR="00407C86">
        <w:rPr>
          <w:rFonts w:ascii="Arial" w:hAnsi="Arial" w:cs="Arial"/>
          <w:bCs/>
          <w:iCs/>
          <w:sz w:val="22"/>
          <w:szCs w:val="22"/>
        </w:rPr>
        <w:t>u</w:t>
      </w:r>
      <w:r w:rsidRPr="00AA699E">
        <w:rPr>
          <w:rFonts w:ascii="Arial" w:hAnsi="Arial" w:cs="Arial"/>
          <w:bCs/>
          <w:iCs/>
          <w:sz w:val="22"/>
          <w:szCs w:val="22"/>
        </w:rPr>
        <w:t xml:space="preserve">rless to light yellow viscous liquid that is </w:t>
      </w:r>
      <w:r w:rsidRPr="00AA699E">
        <w:rPr>
          <w:rFonts w:ascii="Arial" w:hAnsi="Arial" w:cs="Arial"/>
          <w:sz w:val="22"/>
          <w:szCs w:val="22"/>
        </w:rPr>
        <w:t>practically insoluble in water.  Its structural formula is:</w:t>
      </w:r>
    </w:p>
    <w:p w:rsidR="00456C7A" w:rsidRDefault="00161633" w:rsidP="00EE169A">
      <w:pPr>
        <w:tabs>
          <w:tab w:val="right" w:pos="9180"/>
        </w:tabs>
        <w:ind w:right="-93"/>
        <w:jc w:val="center"/>
        <w:rPr>
          <w:rFonts w:ascii="Arial" w:hAnsi="Arial"/>
          <w:sz w:val="22"/>
        </w:rPr>
      </w:pPr>
      <w:r>
        <w:rPr>
          <w:noProof/>
          <w:lang w:val="en-AU"/>
        </w:rPr>
        <w:drawing>
          <wp:inline distT="0" distB="0" distL="0" distR="0">
            <wp:extent cx="3039745" cy="1693545"/>
            <wp:effectExtent l="19050" t="0" r="8255" b="0"/>
            <wp:docPr id="1" name="Picture 1" descr="Structural formula of taflupr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al formula of tafluprost"/>
                    <pic:cNvPicPr>
                      <a:picLocks noChangeAspect="1" noChangeArrowheads="1"/>
                    </pic:cNvPicPr>
                  </pic:nvPicPr>
                  <pic:blipFill>
                    <a:blip r:embed="rId8" cstate="print"/>
                    <a:srcRect/>
                    <a:stretch>
                      <a:fillRect/>
                    </a:stretch>
                  </pic:blipFill>
                  <pic:spPr bwMode="auto">
                    <a:xfrm>
                      <a:off x="0" y="0"/>
                      <a:ext cx="3039745" cy="1693545"/>
                    </a:xfrm>
                    <a:prstGeom prst="rect">
                      <a:avLst/>
                    </a:prstGeom>
                    <a:noFill/>
                    <a:ln w="9525">
                      <a:noFill/>
                      <a:miter lim="800000"/>
                      <a:headEnd/>
                      <a:tailEnd/>
                    </a:ln>
                  </pic:spPr>
                </pic:pic>
              </a:graphicData>
            </a:graphic>
          </wp:inline>
        </w:drawing>
      </w:r>
    </w:p>
    <w:p w:rsidR="00AA699E" w:rsidRDefault="00AA699E" w:rsidP="00287617">
      <w:pPr>
        <w:tabs>
          <w:tab w:val="right" w:pos="9180"/>
        </w:tabs>
        <w:spacing w:before="100" w:beforeAutospacing="1" w:after="100" w:afterAutospacing="1"/>
        <w:ind w:right="-91"/>
        <w:jc w:val="both"/>
        <w:outlineLvl w:val="0"/>
        <w:rPr>
          <w:rFonts w:ascii="Arial" w:hAnsi="Arial"/>
          <w:sz w:val="22"/>
        </w:rPr>
      </w:pPr>
      <w:r>
        <w:rPr>
          <w:rFonts w:ascii="Arial" w:hAnsi="Arial"/>
          <w:sz w:val="22"/>
        </w:rPr>
        <w:t xml:space="preserve">CAS Registry Number: </w:t>
      </w:r>
      <w:r w:rsidR="00C142DB">
        <w:rPr>
          <w:rFonts w:ascii="Arial" w:hAnsi="Arial"/>
          <w:sz w:val="22"/>
        </w:rPr>
        <w:t>209860-87-7</w:t>
      </w:r>
    </w:p>
    <w:p w:rsidR="00AA699E" w:rsidRPr="00054E0B" w:rsidRDefault="00AA699E" w:rsidP="00287617">
      <w:pPr>
        <w:tabs>
          <w:tab w:val="right" w:pos="9180"/>
        </w:tabs>
        <w:spacing w:before="100" w:beforeAutospacing="1" w:after="100" w:afterAutospacing="1"/>
        <w:ind w:right="-91"/>
        <w:rPr>
          <w:rFonts w:ascii="Arial" w:hAnsi="Arial" w:cs="Arial"/>
          <w:sz w:val="22"/>
          <w:szCs w:val="22"/>
        </w:rPr>
      </w:pPr>
      <w:r w:rsidRPr="00054E0B">
        <w:rPr>
          <w:rFonts w:ascii="Arial" w:hAnsi="Arial" w:cs="Arial"/>
          <w:sz w:val="22"/>
          <w:szCs w:val="22"/>
        </w:rPr>
        <w:t>SAFLUTAN is available as an ophthalmic solution containing 15 m</w:t>
      </w:r>
      <w:r w:rsidR="00054E0B">
        <w:rPr>
          <w:rFonts w:ascii="Arial" w:hAnsi="Arial" w:cs="Arial"/>
          <w:sz w:val="22"/>
          <w:szCs w:val="22"/>
        </w:rPr>
        <w:t>icrograms</w:t>
      </w:r>
      <w:r w:rsidRPr="00054E0B">
        <w:rPr>
          <w:rFonts w:ascii="Arial" w:hAnsi="Arial" w:cs="Arial"/>
          <w:sz w:val="22"/>
          <w:szCs w:val="22"/>
        </w:rPr>
        <w:t xml:space="preserve"> of tafluprost per mL.</w:t>
      </w:r>
      <w:r w:rsidR="00054AC6">
        <w:rPr>
          <w:rFonts w:ascii="Arial" w:hAnsi="Arial" w:cs="Arial"/>
          <w:sz w:val="22"/>
          <w:szCs w:val="22"/>
        </w:rPr>
        <w:t xml:space="preserve">  SAFLUTAN does not contain preservatives such as benzalkonium chloride.</w:t>
      </w:r>
    </w:p>
    <w:p w:rsidR="00AA699E" w:rsidRPr="00054E0B" w:rsidRDefault="00AA699E" w:rsidP="00287617">
      <w:pPr>
        <w:tabs>
          <w:tab w:val="right" w:pos="9180"/>
        </w:tabs>
        <w:spacing w:before="100" w:beforeAutospacing="1" w:after="100" w:afterAutospacing="1"/>
        <w:ind w:right="-91"/>
        <w:outlineLvl w:val="0"/>
        <w:rPr>
          <w:rFonts w:ascii="Arial" w:hAnsi="Arial" w:cs="Arial"/>
          <w:sz w:val="22"/>
          <w:szCs w:val="22"/>
        </w:rPr>
      </w:pPr>
      <w:r w:rsidRPr="00054E0B">
        <w:rPr>
          <w:rFonts w:ascii="Arial" w:hAnsi="Arial" w:cs="Arial"/>
          <w:sz w:val="22"/>
          <w:szCs w:val="22"/>
        </w:rPr>
        <w:t>One single-dose container (0.3 m</w:t>
      </w:r>
      <w:r w:rsidR="000C0AFA">
        <w:rPr>
          <w:rFonts w:ascii="Arial" w:hAnsi="Arial" w:cs="Arial"/>
          <w:sz w:val="22"/>
          <w:szCs w:val="22"/>
        </w:rPr>
        <w:t>L</w:t>
      </w:r>
      <w:r w:rsidRPr="00054E0B">
        <w:rPr>
          <w:rFonts w:ascii="Arial" w:hAnsi="Arial" w:cs="Arial"/>
          <w:sz w:val="22"/>
          <w:szCs w:val="22"/>
        </w:rPr>
        <w:t>) contains 4.5 m</w:t>
      </w:r>
      <w:r w:rsidR="00054E0B">
        <w:rPr>
          <w:rFonts w:ascii="Arial" w:hAnsi="Arial" w:cs="Arial"/>
          <w:sz w:val="22"/>
          <w:szCs w:val="22"/>
        </w:rPr>
        <w:t>icrograms</w:t>
      </w:r>
      <w:r w:rsidRPr="00054E0B">
        <w:rPr>
          <w:rFonts w:ascii="Arial" w:hAnsi="Arial" w:cs="Arial"/>
          <w:sz w:val="22"/>
          <w:szCs w:val="22"/>
        </w:rPr>
        <w:t xml:space="preserve"> of tafluprost.</w:t>
      </w:r>
    </w:p>
    <w:p w:rsidR="00456C7A" w:rsidRDefault="0043482C" w:rsidP="00287617">
      <w:pPr>
        <w:tabs>
          <w:tab w:val="right" w:pos="9180"/>
        </w:tabs>
        <w:spacing w:before="100" w:beforeAutospacing="1" w:after="100" w:afterAutospacing="1"/>
        <w:ind w:right="-91"/>
        <w:rPr>
          <w:rFonts w:ascii="Arial" w:hAnsi="Arial"/>
          <w:sz w:val="22"/>
        </w:rPr>
      </w:pPr>
      <w:r>
        <w:rPr>
          <w:rFonts w:ascii="Arial" w:hAnsi="Arial"/>
          <w:sz w:val="22"/>
        </w:rPr>
        <w:t>SAFLUTAN</w:t>
      </w:r>
      <w:r w:rsidR="00203851">
        <w:rPr>
          <w:rFonts w:ascii="Arial" w:hAnsi="Arial"/>
          <w:sz w:val="22"/>
        </w:rPr>
        <w:t xml:space="preserve"> </w:t>
      </w:r>
      <w:r w:rsidR="00456C7A">
        <w:rPr>
          <w:rFonts w:ascii="Arial" w:hAnsi="Arial"/>
          <w:sz w:val="22"/>
        </w:rPr>
        <w:t xml:space="preserve">contains the following inactive ingredients: </w:t>
      </w:r>
      <w:r>
        <w:rPr>
          <w:rFonts w:ascii="Arial" w:hAnsi="Arial"/>
          <w:sz w:val="22"/>
        </w:rPr>
        <w:t>glycerol,</w:t>
      </w:r>
      <w:r w:rsidR="00E00497">
        <w:rPr>
          <w:rFonts w:ascii="Arial" w:hAnsi="Arial"/>
          <w:sz w:val="22"/>
        </w:rPr>
        <w:t xml:space="preserve"> sodium </w:t>
      </w:r>
      <w:r w:rsidR="00C23AEE">
        <w:rPr>
          <w:rFonts w:ascii="Arial" w:hAnsi="Arial"/>
          <w:sz w:val="22"/>
        </w:rPr>
        <w:t xml:space="preserve">phosphate – dibasic </w:t>
      </w:r>
      <w:r w:rsidR="00E00497">
        <w:rPr>
          <w:rFonts w:ascii="Arial" w:hAnsi="Arial"/>
          <w:sz w:val="22"/>
        </w:rPr>
        <w:t>d</w:t>
      </w:r>
      <w:r w:rsidR="004B6AC6">
        <w:rPr>
          <w:rFonts w:ascii="Arial" w:hAnsi="Arial"/>
          <w:sz w:val="22"/>
        </w:rPr>
        <w:t>i</w:t>
      </w:r>
      <w:r w:rsidR="00E00497">
        <w:rPr>
          <w:rFonts w:ascii="Arial" w:hAnsi="Arial"/>
          <w:sz w:val="22"/>
        </w:rPr>
        <w:t xml:space="preserve">hydrate, </w:t>
      </w:r>
      <w:r w:rsidR="00054E0B">
        <w:rPr>
          <w:rFonts w:ascii="Arial" w:hAnsi="Arial"/>
          <w:sz w:val="22"/>
        </w:rPr>
        <w:t xml:space="preserve">disodium edetate, </w:t>
      </w:r>
      <w:r w:rsidR="00E00497">
        <w:rPr>
          <w:rFonts w:ascii="Arial" w:hAnsi="Arial"/>
          <w:sz w:val="22"/>
        </w:rPr>
        <w:t>polysorbate 80,</w:t>
      </w:r>
      <w:r>
        <w:rPr>
          <w:rFonts w:ascii="Arial" w:hAnsi="Arial"/>
          <w:sz w:val="22"/>
        </w:rPr>
        <w:t xml:space="preserve"> </w:t>
      </w:r>
      <w:r w:rsidR="00E00497">
        <w:rPr>
          <w:rFonts w:ascii="Arial" w:hAnsi="Arial"/>
          <w:sz w:val="22"/>
        </w:rPr>
        <w:t>sodium hydroxide and</w:t>
      </w:r>
      <w:r w:rsidR="00054E0B">
        <w:rPr>
          <w:rFonts w:ascii="Arial" w:hAnsi="Arial"/>
          <w:sz w:val="22"/>
        </w:rPr>
        <w:t>/</w:t>
      </w:r>
      <w:r w:rsidR="00E00497">
        <w:rPr>
          <w:rFonts w:ascii="Arial" w:hAnsi="Arial"/>
          <w:sz w:val="22"/>
        </w:rPr>
        <w:t>or hydrochloric acid</w:t>
      </w:r>
      <w:r w:rsidR="00456C7A">
        <w:rPr>
          <w:rFonts w:ascii="Arial" w:hAnsi="Arial"/>
          <w:sz w:val="22"/>
        </w:rPr>
        <w:t>, and water for injections.</w:t>
      </w:r>
    </w:p>
    <w:p w:rsidR="00456C7A" w:rsidRDefault="00456C7A" w:rsidP="00287617">
      <w:pPr>
        <w:tabs>
          <w:tab w:val="right" w:pos="9180"/>
        </w:tabs>
        <w:spacing w:before="360" w:after="360"/>
        <w:ind w:right="-91"/>
        <w:jc w:val="center"/>
        <w:outlineLvl w:val="0"/>
        <w:rPr>
          <w:rFonts w:ascii="Arial" w:hAnsi="Arial"/>
          <w:sz w:val="22"/>
        </w:rPr>
      </w:pPr>
      <w:r>
        <w:rPr>
          <w:rFonts w:ascii="Arial" w:hAnsi="Arial"/>
          <w:b/>
          <w:sz w:val="22"/>
        </w:rPr>
        <w:t>PHARMACOLOGY</w:t>
      </w:r>
    </w:p>
    <w:p w:rsidR="00456C7A" w:rsidRDefault="00456C7A" w:rsidP="00287617">
      <w:pPr>
        <w:tabs>
          <w:tab w:val="right" w:pos="9180"/>
        </w:tabs>
        <w:spacing w:before="100" w:beforeAutospacing="1" w:after="100" w:afterAutospacing="1"/>
        <w:ind w:right="-91"/>
        <w:jc w:val="both"/>
        <w:outlineLvl w:val="0"/>
        <w:rPr>
          <w:rFonts w:ascii="Arial" w:hAnsi="Arial"/>
          <w:sz w:val="22"/>
          <w:u w:val="single"/>
        </w:rPr>
      </w:pPr>
      <w:r>
        <w:rPr>
          <w:rFonts w:ascii="Arial" w:hAnsi="Arial"/>
          <w:sz w:val="22"/>
          <w:u w:val="single"/>
        </w:rPr>
        <w:t>Mechanism of Action</w:t>
      </w:r>
    </w:p>
    <w:p w:rsidR="00CB6E0D" w:rsidRPr="00CB6E0D" w:rsidRDefault="00CB6E0D" w:rsidP="00287617">
      <w:pPr>
        <w:tabs>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t>Tafluprost is a fluorinated analogue of prostaglandin F</w:t>
      </w:r>
      <w:r w:rsidRPr="00CB6E0D">
        <w:rPr>
          <w:rFonts w:ascii="Arial" w:hAnsi="Arial" w:cs="Arial"/>
          <w:sz w:val="22"/>
          <w:szCs w:val="22"/>
          <w:vertAlign w:val="subscript"/>
        </w:rPr>
        <w:t>2α</w:t>
      </w:r>
      <w:r w:rsidRPr="00CB6E0D">
        <w:rPr>
          <w:rFonts w:ascii="Arial" w:hAnsi="Arial" w:cs="Arial"/>
          <w:sz w:val="22"/>
          <w:szCs w:val="22"/>
        </w:rPr>
        <w:t>. Tafluprost acid, the biologically active metabolite of tafluprost, is a highly potent and selective agonist of the human prostanoid F</w:t>
      </w:r>
      <w:r w:rsidR="000C0AFA">
        <w:rPr>
          <w:rFonts w:ascii="Arial" w:hAnsi="Arial" w:cs="Arial"/>
          <w:sz w:val="22"/>
          <w:szCs w:val="22"/>
        </w:rPr>
        <w:t>P receptor. Tafluprost acid has</w:t>
      </w:r>
      <w:r w:rsidRPr="00CB6E0D">
        <w:rPr>
          <w:rFonts w:ascii="Arial" w:hAnsi="Arial" w:cs="Arial"/>
          <w:sz w:val="22"/>
          <w:szCs w:val="22"/>
        </w:rPr>
        <w:t xml:space="preserve"> </w:t>
      </w:r>
      <w:r w:rsidR="00A03215">
        <w:rPr>
          <w:rFonts w:ascii="Arial" w:hAnsi="Arial" w:cs="Arial"/>
          <w:sz w:val="22"/>
          <w:szCs w:val="22"/>
        </w:rPr>
        <w:t xml:space="preserve">sub-nanomolar </w:t>
      </w:r>
      <w:r w:rsidRPr="00CB6E0D">
        <w:rPr>
          <w:rFonts w:ascii="Arial" w:hAnsi="Arial" w:cs="Arial"/>
          <w:sz w:val="22"/>
          <w:szCs w:val="22"/>
        </w:rPr>
        <w:t>affinity for the FP receptor</w:t>
      </w:r>
      <w:r w:rsidR="00A03215">
        <w:rPr>
          <w:rFonts w:ascii="Arial" w:hAnsi="Arial" w:cs="Arial"/>
          <w:sz w:val="22"/>
          <w:szCs w:val="22"/>
        </w:rPr>
        <w:t xml:space="preserve"> (</w:t>
      </w:r>
      <w:r w:rsidR="00A03215">
        <w:rPr>
          <w:rFonts w:ascii="Arial" w:hAnsi="Arial" w:cs="Arial"/>
          <w:i/>
          <w:sz w:val="22"/>
          <w:szCs w:val="22"/>
        </w:rPr>
        <w:t>K</w:t>
      </w:r>
      <w:r w:rsidR="00A03215">
        <w:rPr>
          <w:rFonts w:ascii="Arial" w:hAnsi="Arial" w:cs="Arial"/>
          <w:sz w:val="22"/>
          <w:szCs w:val="22"/>
          <w:vertAlign w:val="subscript"/>
        </w:rPr>
        <w:t>i</w:t>
      </w:r>
      <w:r w:rsidR="00A03215">
        <w:rPr>
          <w:rFonts w:ascii="Arial" w:hAnsi="Arial" w:cs="Arial"/>
          <w:sz w:val="22"/>
          <w:szCs w:val="22"/>
        </w:rPr>
        <w:t>, 0.4 nM), 12-times higher</w:t>
      </w:r>
      <w:r w:rsidRPr="00CB6E0D">
        <w:rPr>
          <w:rFonts w:ascii="Arial" w:hAnsi="Arial" w:cs="Arial"/>
          <w:sz w:val="22"/>
          <w:szCs w:val="22"/>
        </w:rPr>
        <w:t xml:space="preserve"> than</w:t>
      </w:r>
      <w:r w:rsidR="00A03215">
        <w:rPr>
          <w:rFonts w:ascii="Arial" w:hAnsi="Arial" w:cs="Arial"/>
          <w:sz w:val="22"/>
          <w:szCs w:val="22"/>
        </w:rPr>
        <w:t xml:space="preserve"> that of</w:t>
      </w:r>
      <w:r w:rsidRPr="00CB6E0D">
        <w:rPr>
          <w:rFonts w:ascii="Arial" w:hAnsi="Arial" w:cs="Arial"/>
          <w:sz w:val="22"/>
          <w:szCs w:val="22"/>
        </w:rPr>
        <w:t xml:space="preserve"> latanoprost</w:t>
      </w:r>
      <w:r w:rsidR="00A03215">
        <w:rPr>
          <w:rFonts w:ascii="Arial" w:hAnsi="Arial" w:cs="Arial"/>
          <w:sz w:val="22"/>
          <w:szCs w:val="22"/>
        </w:rPr>
        <w:t xml:space="preserve"> acid</w:t>
      </w:r>
      <w:r w:rsidRPr="00CB6E0D">
        <w:rPr>
          <w:rFonts w:ascii="Arial" w:hAnsi="Arial" w:cs="Arial"/>
          <w:sz w:val="22"/>
          <w:szCs w:val="22"/>
        </w:rPr>
        <w:t>.</w:t>
      </w:r>
    </w:p>
    <w:p w:rsidR="00CB6E0D" w:rsidRPr="00CB6E0D" w:rsidRDefault="00CB6E0D" w:rsidP="00287617">
      <w:pPr>
        <w:tabs>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lastRenderedPageBreak/>
        <w:t>Reduction of the intraocular pressure in humans starts about 2 to 4 hours after administration and maximum effect is reached 12 hours after instillation. The effect is maintained for at least 24 hours.</w:t>
      </w:r>
    </w:p>
    <w:p w:rsidR="00CB6E0D" w:rsidRPr="00CB6E0D" w:rsidRDefault="00CB6E0D" w:rsidP="00287617">
      <w:pPr>
        <w:tabs>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t>Pharmacodynamic studies in monkeys indicate that tafluprost reduces intraocular pressure by increasing the uveoscleral outflow of aqueous humour.</w:t>
      </w:r>
    </w:p>
    <w:p w:rsidR="00456C7A" w:rsidRDefault="00456C7A" w:rsidP="00287617">
      <w:pPr>
        <w:tabs>
          <w:tab w:val="right" w:pos="9180"/>
        </w:tabs>
        <w:spacing w:before="100" w:beforeAutospacing="1" w:after="100" w:afterAutospacing="1"/>
        <w:ind w:right="-91"/>
        <w:jc w:val="both"/>
        <w:outlineLvl w:val="0"/>
        <w:rPr>
          <w:rFonts w:ascii="Arial" w:hAnsi="Arial"/>
          <w:b/>
          <w:sz w:val="22"/>
          <w:u w:val="single"/>
        </w:rPr>
      </w:pPr>
      <w:r>
        <w:rPr>
          <w:rFonts w:ascii="Arial" w:hAnsi="Arial"/>
          <w:sz w:val="22"/>
          <w:u w:val="single"/>
        </w:rPr>
        <w:t>Pharmacokinetics</w:t>
      </w:r>
    </w:p>
    <w:p w:rsidR="00CB6E0D" w:rsidRDefault="00CB6E0D" w:rsidP="00287617">
      <w:pPr>
        <w:tabs>
          <w:tab w:val="right" w:pos="9180"/>
        </w:tabs>
        <w:spacing w:before="100" w:beforeAutospacing="1"/>
        <w:ind w:right="-91"/>
        <w:jc w:val="both"/>
        <w:outlineLvl w:val="0"/>
        <w:rPr>
          <w:rFonts w:ascii="Arial" w:hAnsi="Arial"/>
          <w:i/>
          <w:sz w:val="22"/>
        </w:rPr>
      </w:pPr>
      <w:r>
        <w:rPr>
          <w:rFonts w:ascii="Arial" w:hAnsi="Arial"/>
          <w:i/>
          <w:sz w:val="22"/>
        </w:rPr>
        <w:t>Absorption</w:t>
      </w:r>
    </w:p>
    <w:p w:rsidR="00CB6E0D" w:rsidRPr="00CB6E0D" w:rsidRDefault="00CB6E0D" w:rsidP="00287617">
      <w:pPr>
        <w:tabs>
          <w:tab w:val="right" w:pos="9180"/>
        </w:tabs>
        <w:spacing w:before="100" w:beforeAutospacing="1"/>
        <w:ind w:right="-91"/>
        <w:rPr>
          <w:rFonts w:ascii="Arial" w:hAnsi="Arial" w:cs="Arial"/>
          <w:sz w:val="22"/>
          <w:szCs w:val="22"/>
        </w:rPr>
      </w:pPr>
      <w:bookmarkStart w:id="0" w:name="OLE_LINK8"/>
      <w:bookmarkStart w:id="1" w:name="OLE_LINK9"/>
      <w:r w:rsidRPr="00CB6E0D">
        <w:rPr>
          <w:rFonts w:ascii="Arial" w:hAnsi="Arial" w:cs="Arial"/>
          <w:sz w:val="22"/>
          <w:szCs w:val="22"/>
        </w:rPr>
        <w:t>Tafluprost is absorbed through the cornea where the isopropyl ester is hydroly</w:t>
      </w:r>
      <w:r w:rsidR="00C23AEE">
        <w:rPr>
          <w:rFonts w:ascii="Arial" w:hAnsi="Arial" w:cs="Arial"/>
          <w:sz w:val="22"/>
          <w:szCs w:val="22"/>
        </w:rPr>
        <w:t>s</w:t>
      </w:r>
      <w:r w:rsidRPr="00CB6E0D">
        <w:rPr>
          <w:rFonts w:ascii="Arial" w:hAnsi="Arial" w:cs="Arial"/>
          <w:sz w:val="22"/>
          <w:szCs w:val="22"/>
        </w:rPr>
        <w:t>ed to the biologically active acid metabolite. Pharmacokinetic</w:t>
      </w:r>
      <w:r w:rsidR="004B6AC6">
        <w:rPr>
          <w:rFonts w:ascii="Arial" w:hAnsi="Arial" w:cs="Arial"/>
          <w:sz w:val="22"/>
          <w:szCs w:val="22"/>
        </w:rPr>
        <w:t>s</w:t>
      </w:r>
      <w:r w:rsidRPr="00CB6E0D">
        <w:rPr>
          <w:rFonts w:ascii="Arial" w:hAnsi="Arial" w:cs="Arial"/>
          <w:sz w:val="22"/>
          <w:szCs w:val="22"/>
        </w:rPr>
        <w:t xml:space="preserve"> of tafluprost acid were obtained from a study comparing preservative-containing and preservative-free ophthalmic solutions. The preservative-free formulation showed similar pharmacokinetic properties to the preservative-containing formulation. Mean plasma C</w:t>
      </w:r>
      <w:r w:rsidRPr="00CB6E0D">
        <w:rPr>
          <w:rFonts w:ascii="Arial" w:hAnsi="Arial" w:cs="Arial"/>
          <w:sz w:val="22"/>
          <w:szCs w:val="22"/>
          <w:vertAlign w:val="subscript"/>
        </w:rPr>
        <w:t>max</w:t>
      </w:r>
      <w:r w:rsidRPr="00CB6E0D">
        <w:rPr>
          <w:rFonts w:ascii="Arial" w:hAnsi="Arial" w:cs="Arial"/>
          <w:sz w:val="22"/>
          <w:szCs w:val="22"/>
        </w:rPr>
        <w:t xml:space="preserve"> for the preservative-containing and preservative-free formulations were 24 pg/mL and 26 pg/mL</w:t>
      </w:r>
      <w:r w:rsidR="00122F07">
        <w:rPr>
          <w:rFonts w:ascii="Arial" w:hAnsi="Arial" w:cs="Arial"/>
          <w:sz w:val="22"/>
          <w:szCs w:val="22"/>
        </w:rPr>
        <w:t>,</w:t>
      </w:r>
      <w:r w:rsidRPr="00CB6E0D">
        <w:rPr>
          <w:rFonts w:ascii="Arial" w:hAnsi="Arial" w:cs="Arial"/>
          <w:sz w:val="22"/>
          <w:szCs w:val="22"/>
        </w:rPr>
        <w:t xml:space="preserve"> respectively on Day 1, and 31 pg/mL  and 27 pg/mL</w:t>
      </w:r>
      <w:r w:rsidR="00122F07">
        <w:rPr>
          <w:rFonts w:ascii="Arial" w:hAnsi="Arial" w:cs="Arial"/>
          <w:sz w:val="22"/>
          <w:szCs w:val="22"/>
        </w:rPr>
        <w:t>,</w:t>
      </w:r>
      <w:r w:rsidRPr="00CB6E0D">
        <w:rPr>
          <w:rFonts w:ascii="Arial" w:hAnsi="Arial" w:cs="Arial"/>
          <w:sz w:val="22"/>
          <w:szCs w:val="22"/>
        </w:rPr>
        <w:t xml:space="preserve"> respectively on Day 8. Mean plasma AUC</w:t>
      </w:r>
      <w:r w:rsidRPr="00CB6E0D">
        <w:rPr>
          <w:rFonts w:ascii="Arial" w:hAnsi="Arial" w:cs="Arial"/>
          <w:sz w:val="22"/>
          <w:szCs w:val="22"/>
          <w:vertAlign w:val="subscript"/>
        </w:rPr>
        <w:t>0-last</w:t>
      </w:r>
      <w:r w:rsidRPr="00CB6E0D">
        <w:rPr>
          <w:rFonts w:ascii="Arial" w:hAnsi="Arial" w:cs="Arial"/>
          <w:sz w:val="22"/>
          <w:szCs w:val="22"/>
        </w:rPr>
        <w:t xml:space="preserve"> for the preservative-containing and preservative-free formulations were 406 pg*min/mL and 394 pg*min/mL</w:t>
      </w:r>
      <w:r w:rsidR="00831A69">
        <w:rPr>
          <w:rFonts w:ascii="Arial" w:hAnsi="Arial" w:cs="Arial"/>
          <w:sz w:val="22"/>
          <w:szCs w:val="22"/>
        </w:rPr>
        <w:t>,</w:t>
      </w:r>
      <w:r w:rsidRPr="00CB6E0D">
        <w:rPr>
          <w:rFonts w:ascii="Arial" w:hAnsi="Arial" w:cs="Arial"/>
          <w:sz w:val="22"/>
          <w:szCs w:val="22"/>
        </w:rPr>
        <w:t xml:space="preserve"> respectively on Day 1, and 581 pg*min/mL and 432 pg*min/mL</w:t>
      </w:r>
      <w:r w:rsidR="00122F07">
        <w:rPr>
          <w:rFonts w:ascii="Arial" w:hAnsi="Arial" w:cs="Arial"/>
          <w:sz w:val="22"/>
          <w:szCs w:val="22"/>
        </w:rPr>
        <w:t>,</w:t>
      </w:r>
      <w:r w:rsidRPr="00CB6E0D">
        <w:rPr>
          <w:rFonts w:ascii="Arial" w:hAnsi="Arial" w:cs="Arial"/>
          <w:sz w:val="22"/>
          <w:szCs w:val="22"/>
        </w:rPr>
        <w:t xml:space="preserve"> respectively on Day 8. Mean plasma concentrations were below the limit of quantification at 30 minutes for both formulations.</w:t>
      </w:r>
      <w:bookmarkEnd w:id="0"/>
      <w:bookmarkEnd w:id="1"/>
    </w:p>
    <w:p w:rsidR="00CB6E0D" w:rsidRDefault="00CB6E0D" w:rsidP="00287617">
      <w:pPr>
        <w:tabs>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t>In a rabbit study, the absorption of tafluprost into the aqueous humour was comparable after a single ocular instillation of preservative-free or preservative-containing tafluprost 0.0015% ophthalmic solution.</w:t>
      </w:r>
    </w:p>
    <w:p w:rsidR="00CB6E0D" w:rsidRPr="00CB6E0D" w:rsidRDefault="00CB6E0D" w:rsidP="00287617">
      <w:pPr>
        <w:tabs>
          <w:tab w:val="right" w:pos="9180"/>
        </w:tabs>
        <w:spacing w:before="100" w:beforeAutospacing="1"/>
        <w:ind w:right="-91"/>
        <w:rPr>
          <w:rFonts w:ascii="Arial" w:hAnsi="Arial" w:cs="Arial"/>
          <w:i/>
          <w:sz w:val="22"/>
          <w:szCs w:val="22"/>
        </w:rPr>
      </w:pPr>
      <w:r>
        <w:rPr>
          <w:rFonts w:ascii="Arial" w:hAnsi="Arial" w:cs="Arial"/>
          <w:i/>
          <w:sz w:val="22"/>
          <w:szCs w:val="22"/>
        </w:rPr>
        <w:t>Distribution</w:t>
      </w:r>
    </w:p>
    <w:p w:rsidR="00CB6E0D" w:rsidRPr="00CB6E0D" w:rsidRDefault="00CB6E0D" w:rsidP="00287617">
      <w:pPr>
        <w:tabs>
          <w:tab w:val="left" w:pos="6954"/>
          <w:tab w:val="right" w:pos="9180"/>
        </w:tabs>
        <w:spacing w:after="100" w:afterAutospacing="1"/>
        <w:ind w:right="-91"/>
        <w:rPr>
          <w:rFonts w:ascii="Arial" w:hAnsi="Arial" w:cs="Arial"/>
          <w:sz w:val="22"/>
          <w:szCs w:val="22"/>
        </w:rPr>
      </w:pPr>
      <w:r w:rsidRPr="00CB6E0D">
        <w:rPr>
          <w:rFonts w:ascii="Arial" w:hAnsi="Arial" w:cs="Arial"/>
          <w:sz w:val="22"/>
          <w:szCs w:val="22"/>
        </w:rPr>
        <w:t xml:space="preserve">After topical administration of 1µg </w:t>
      </w:r>
      <w:r w:rsidRPr="00CB6E0D">
        <w:rPr>
          <w:rFonts w:ascii="Arial" w:hAnsi="Arial" w:cs="Arial"/>
          <w:sz w:val="22"/>
          <w:szCs w:val="22"/>
          <w:vertAlign w:val="superscript"/>
        </w:rPr>
        <w:t>3</w:t>
      </w:r>
      <w:r w:rsidRPr="00CB6E0D">
        <w:rPr>
          <w:rFonts w:ascii="Arial" w:hAnsi="Arial" w:cs="Arial"/>
          <w:sz w:val="22"/>
          <w:szCs w:val="22"/>
        </w:rPr>
        <w:t>H-tafluprost on the monkey eye, the maximum radioactivity in the aqueous humour was detected at 2 hours (30-40 ng equivalents/mL) and declined to 0.3-0.4 ng equivalents/mL at 24 hours.</w:t>
      </w:r>
      <w:r w:rsidR="005A650F">
        <w:rPr>
          <w:rFonts w:ascii="Arial" w:hAnsi="Arial" w:cs="Arial"/>
          <w:sz w:val="22"/>
          <w:szCs w:val="22"/>
        </w:rPr>
        <w:t xml:space="preserve">  </w:t>
      </w:r>
      <w:r w:rsidR="005670C3">
        <w:rPr>
          <w:rFonts w:ascii="Arial" w:hAnsi="Arial" w:cs="Arial"/>
          <w:sz w:val="22"/>
          <w:szCs w:val="22"/>
        </w:rPr>
        <w:t>Lower</w:t>
      </w:r>
      <w:r w:rsidR="005670C3" w:rsidRPr="00651764">
        <w:rPr>
          <w:rFonts w:ascii="Arial" w:hAnsi="Arial" w:cs="Arial"/>
          <w:color w:val="0000FF"/>
          <w:sz w:val="22"/>
          <w:szCs w:val="22"/>
        </w:rPr>
        <w:t xml:space="preserve"> </w:t>
      </w:r>
      <w:r w:rsidR="005670C3" w:rsidRPr="004C29B6">
        <w:rPr>
          <w:rFonts w:ascii="Arial" w:hAnsi="Arial" w:cs="Arial"/>
          <w:sz w:val="22"/>
          <w:szCs w:val="22"/>
        </w:rPr>
        <w:t>levels of drug related radioactivity were observed in tissues outside the eye and also declined over 24 hours.</w:t>
      </w:r>
    </w:p>
    <w:p w:rsidR="00CB6E0D" w:rsidRPr="00CB6E0D" w:rsidRDefault="00CB6E0D" w:rsidP="00287617">
      <w:pPr>
        <w:tabs>
          <w:tab w:val="left" w:pos="6954"/>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t xml:space="preserve">The binding of </w:t>
      </w:r>
      <w:r w:rsidRPr="00A17D37">
        <w:rPr>
          <w:rFonts w:ascii="Arial" w:hAnsi="Arial" w:cs="Arial"/>
          <w:sz w:val="22"/>
          <w:szCs w:val="22"/>
        </w:rPr>
        <w:t>taflup</w:t>
      </w:r>
      <w:r w:rsidR="0033098A" w:rsidRPr="00A17D37">
        <w:rPr>
          <w:rFonts w:ascii="Arial" w:hAnsi="Arial" w:cs="Arial"/>
          <w:sz w:val="22"/>
          <w:szCs w:val="22"/>
        </w:rPr>
        <w:t>r</w:t>
      </w:r>
      <w:r w:rsidRPr="00A17D37">
        <w:rPr>
          <w:rFonts w:ascii="Arial" w:hAnsi="Arial" w:cs="Arial"/>
          <w:sz w:val="22"/>
          <w:szCs w:val="22"/>
        </w:rPr>
        <w:t>ost</w:t>
      </w:r>
      <w:r w:rsidRPr="00CB6E0D">
        <w:rPr>
          <w:rFonts w:ascii="Arial" w:hAnsi="Arial" w:cs="Arial"/>
          <w:sz w:val="22"/>
          <w:szCs w:val="22"/>
        </w:rPr>
        <w:t xml:space="preserve"> acid to human serum albumin was &gt;99%. It is anticipated that tafluprost acid will be highly protein bound in human plasma.</w:t>
      </w:r>
    </w:p>
    <w:p w:rsidR="00CB6E0D" w:rsidRDefault="00CB6E0D" w:rsidP="00287617">
      <w:pPr>
        <w:tabs>
          <w:tab w:val="right" w:pos="9180"/>
        </w:tabs>
        <w:spacing w:before="100" w:beforeAutospacing="1"/>
        <w:ind w:right="-91"/>
        <w:jc w:val="both"/>
        <w:outlineLvl w:val="0"/>
        <w:rPr>
          <w:rFonts w:ascii="Arial" w:hAnsi="Arial"/>
          <w:i/>
          <w:sz w:val="22"/>
        </w:rPr>
      </w:pPr>
      <w:r>
        <w:rPr>
          <w:rFonts w:ascii="Arial" w:hAnsi="Arial"/>
          <w:i/>
          <w:sz w:val="22"/>
        </w:rPr>
        <w:t>Metabolism</w:t>
      </w:r>
    </w:p>
    <w:p w:rsidR="00CB6E0D" w:rsidRPr="00CB6E0D" w:rsidRDefault="00CB6E0D" w:rsidP="00287617">
      <w:pPr>
        <w:tabs>
          <w:tab w:val="right" w:pos="9180"/>
        </w:tabs>
        <w:spacing w:after="100" w:afterAutospacing="1"/>
        <w:ind w:right="-91"/>
        <w:rPr>
          <w:rFonts w:ascii="Arial" w:hAnsi="Arial" w:cs="Arial"/>
          <w:sz w:val="22"/>
          <w:szCs w:val="22"/>
        </w:rPr>
      </w:pPr>
      <w:r w:rsidRPr="00CB6E0D">
        <w:rPr>
          <w:rFonts w:ascii="Arial" w:hAnsi="Arial" w:cs="Arial"/>
          <w:sz w:val="22"/>
          <w:szCs w:val="22"/>
        </w:rPr>
        <w:t xml:space="preserve">Tafluprost, an ester prodrug, is </w:t>
      </w:r>
      <w:r w:rsidR="00C23AEE" w:rsidRPr="00CB6E0D">
        <w:rPr>
          <w:rFonts w:ascii="Arial" w:hAnsi="Arial" w:cs="Arial"/>
          <w:sz w:val="22"/>
          <w:szCs w:val="22"/>
        </w:rPr>
        <w:t>hydroly</w:t>
      </w:r>
      <w:r w:rsidR="00C23AEE">
        <w:rPr>
          <w:rFonts w:ascii="Arial" w:hAnsi="Arial" w:cs="Arial"/>
          <w:sz w:val="22"/>
          <w:szCs w:val="22"/>
        </w:rPr>
        <w:t>s</w:t>
      </w:r>
      <w:r w:rsidR="00C23AEE" w:rsidRPr="00CB6E0D">
        <w:rPr>
          <w:rFonts w:ascii="Arial" w:hAnsi="Arial" w:cs="Arial"/>
          <w:sz w:val="22"/>
          <w:szCs w:val="22"/>
        </w:rPr>
        <w:t xml:space="preserve">ed </w:t>
      </w:r>
      <w:r w:rsidRPr="00CB6E0D">
        <w:rPr>
          <w:rFonts w:ascii="Arial" w:hAnsi="Arial" w:cs="Arial"/>
          <w:sz w:val="22"/>
          <w:szCs w:val="22"/>
        </w:rPr>
        <w:t xml:space="preserve">to its biologically active acid metabolite in the eye. The acid metabolite is further </w:t>
      </w:r>
      <w:r w:rsidR="00C23AEE" w:rsidRPr="00CB6E0D">
        <w:rPr>
          <w:rFonts w:ascii="Arial" w:hAnsi="Arial" w:cs="Arial"/>
          <w:sz w:val="22"/>
          <w:szCs w:val="22"/>
        </w:rPr>
        <w:t>metaboli</w:t>
      </w:r>
      <w:r w:rsidR="00C23AEE">
        <w:rPr>
          <w:rFonts w:ascii="Arial" w:hAnsi="Arial" w:cs="Arial"/>
          <w:sz w:val="22"/>
          <w:szCs w:val="22"/>
        </w:rPr>
        <w:t>s</w:t>
      </w:r>
      <w:r w:rsidR="00C23AEE" w:rsidRPr="00CB6E0D">
        <w:rPr>
          <w:rFonts w:ascii="Arial" w:hAnsi="Arial" w:cs="Arial"/>
          <w:sz w:val="22"/>
          <w:szCs w:val="22"/>
        </w:rPr>
        <w:t xml:space="preserve">ed </w:t>
      </w:r>
      <w:r w:rsidRPr="00CB6E0D">
        <w:rPr>
          <w:rFonts w:ascii="Arial" w:hAnsi="Arial" w:cs="Arial"/>
          <w:sz w:val="22"/>
          <w:szCs w:val="22"/>
        </w:rPr>
        <w:t>via fatty acid β-oxidation and phase II conjugation.</w:t>
      </w:r>
    </w:p>
    <w:p w:rsidR="00CB6E0D" w:rsidRPr="00CB6E0D" w:rsidRDefault="00CB6E0D" w:rsidP="00287617">
      <w:pPr>
        <w:tabs>
          <w:tab w:val="right" w:pos="9180"/>
        </w:tabs>
        <w:spacing w:before="100" w:beforeAutospacing="1" w:after="100" w:afterAutospacing="1"/>
        <w:ind w:right="-91"/>
        <w:outlineLvl w:val="0"/>
        <w:rPr>
          <w:rFonts w:ascii="Arial" w:hAnsi="Arial" w:cs="Arial"/>
          <w:sz w:val="22"/>
          <w:szCs w:val="22"/>
        </w:rPr>
      </w:pPr>
      <w:r w:rsidRPr="00CB6E0D">
        <w:rPr>
          <w:rFonts w:ascii="Arial" w:hAnsi="Arial" w:cs="Arial"/>
          <w:sz w:val="22"/>
          <w:szCs w:val="22"/>
        </w:rPr>
        <w:t>Cytochrome P450 (CYP) enzyme system is not involved in the metabolism of tafluprost acid.</w:t>
      </w:r>
    </w:p>
    <w:p w:rsidR="00CB6E0D" w:rsidRDefault="00CB6E0D" w:rsidP="00287617">
      <w:pPr>
        <w:tabs>
          <w:tab w:val="right" w:pos="9180"/>
        </w:tabs>
        <w:spacing w:before="100" w:beforeAutospacing="1"/>
        <w:ind w:right="-91"/>
        <w:jc w:val="both"/>
        <w:outlineLvl w:val="0"/>
        <w:rPr>
          <w:rFonts w:ascii="Arial" w:hAnsi="Arial"/>
          <w:i/>
          <w:sz w:val="22"/>
        </w:rPr>
      </w:pPr>
      <w:r>
        <w:rPr>
          <w:rFonts w:ascii="Arial" w:hAnsi="Arial"/>
          <w:i/>
          <w:sz w:val="22"/>
        </w:rPr>
        <w:t>Elimination</w:t>
      </w:r>
    </w:p>
    <w:p w:rsidR="00CB6E0D" w:rsidRPr="00CB6E0D" w:rsidRDefault="00CB6E0D" w:rsidP="00287617">
      <w:pPr>
        <w:tabs>
          <w:tab w:val="left" w:pos="6954"/>
          <w:tab w:val="right" w:pos="9180"/>
        </w:tabs>
        <w:spacing w:after="100" w:afterAutospacing="1"/>
        <w:ind w:right="-91"/>
        <w:rPr>
          <w:rFonts w:ascii="Arial" w:hAnsi="Arial" w:cs="Arial"/>
          <w:sz w:val="22"/>
          <w:szCs w:val="22"/>
        </w:rPr>
      </w:pPr>
      <w:r w:rsidRPr="00CB6E0D">
        <w:rPr>
          <w:rFonts w:ascii="Arial" w:hAnsi="Arial" w:cs="Arial"/>
          <w:sz w:val="22"/>
          <w:szCs w:val="22"/>
        </w:rPr>
        <w:t>In two clinical studies, mean tafluprost acid metabolite concentrations fell below the limit of quantification in plasma (10 pg/mL) 30 minutes after administration, indicating rapid elimination.</w:t>
      </w:r>
    </w:p>
    <w:p w:rsidR="00456C7A" w:rsidRDefault="00817248" w:rsidP="00287617">
      <w:pPr>
        <w:tabs>
          <w:tab w:val="right" w:pos="9180"/>
        </w:tabs>
        <w:spacing w:before="100" w:beforeAutospacing="1" w:after="100" w:afterAutospacing="1"/>
        <w:ind w:right="-91"/>
        <w:jc w:val="both"/>
        <w:rPr>
          <w:rFonts w:ascii="Arial" w:hAnsi="Arial"/>
          <w:i/>
          <w:sz w:val="22"/>
        </w:rPr>
      </w:pPr>
      <w:r>
        <w:rPr>
          <w:rFonts w:ascii="Arial" w:hAnsi="Arial"/>
          <w:i/>
          <w:sz w:val="22"/>
        </w:rPr>
        <w:br w:type="page"/>
      </w:r>
      <w:r w:rsidR="00CB6E0D">
        <w:rPr>
          <w:rFonts w:ascii="Arial" w:hAnsi="Arial"/>
          <w:i/>
          <w:sz w:val="22"/>
        </w:rPr>
        <w:lastRenderedPageBreak/>
        <w:t>Characteristics in patients:</w:t>
      </w:r>
    </w:p>
    <w:p w:rsidR="00CB6E0D" w:rsidRPr="00CB6E0D" w:rsidRDefault="00CB6E0D" w:rsidP="00287617">
      <w:pPr>
        <w:tabs>
          <w:tab w:val="right" w:pos="9180"/>
        </w:tabs>
        <w:spacing w:before="100" w:beforeAutospacing="1"/>
        <w:ind w:right="-91"/>
        <w:outlineLvl w:val="0"/>
        <w:rPr>
          <w:rFonts w:ascii="Arial" w:hAnsi="Arial" w:cs="Arial"/>
          <w:i/>
          <w:color w:val="000000"/>
          <w:sz w:val="22"/>
          <w:szCs w:val="22"/>
        </w:rPr>
      </w:pPr>
      <w:r w:rsidRPr="00CB6E0D">
        <w:rPr>
          <w:rFonts w:ascii="Arial" w:hAnsi="Arial" w:cs="Arial"/>
          <w:i/>
          <w:color w:val="000000"/>
          <w:sz w:val="22"/>
          <w:szCs w:val="22"/>
        </w:rPr>
        <w:t xml:space="preserve">Renal </w:t>
      </w:r>
      <w:r w:rsidRPr="00CB6E0D">
        <w:rPr>
          <w:rFonts w:ascii="Arial" w:hAnsi="Arial" w:cs="Arial"/>
          <w:bCs/>
          <w:i/>
          <w:iCs/>
          <w:sz w:val="22"/>
          <w:szCs w:val="22"/>
        </w:rPr>
        <w:t>Insufficiency</w:t>
      </w:r>
    </w:p>
    <w:p w:rsidR="00054AC6" w:rsidRDefault="00CB6E0D" w:rsidP="00287617">
      <w:pPr>
        <w:tabs>
          <w:tab w:val="right" w:pos="9180"/>
        </w:tabs>
        <w:spacing w:after="100" w:afterAutospacing="1"/>
        <w:ind w:right="-91"/>
        <w:rPr>
          <w:rFonts w:ascii="Arial" w:hAnsi="Arial" w:cs="Arial"/>
          <w:b/>
          <w:i/>
          <w:sz w:val="22"/>
          <w:szCs w:val="22"/>
        </w:rPr>
      </w:pPr>
      <w:r w:rsidRPr="00CB6E0D">
        <w:rPr>
          <w:rFonts w:ascii="Arial" w:hAnsi="Arial" w:cs="Arial"/>
          <w:bCs/>
          <w:iCs/>
          <w:sz w:val="22"/>
          <w:szCs w:val="22"/>
        </w:rPr>
        <w:t xml:space="preserve">Tafluprost has not been studied in patients with renal </w:t>
      </w:r>
      <w:r w:rsidRPr="00CB6E0D">
        <w:rPr>
          <w:rFonts w:ascii="Arial" w:hAnsi="Arial" w:cs="Arial"/>
          <w:sz w:val="22"/>
          <w:szCs w:val="22"/>
        </w:rPr>
        <w:t>insufficiency</w:t>
      </w:r>
      <w:r w:rsidRPr="00CB6E0D">
        <w:rPr>
          <w:rFonts w:ascii="Arial" w:hAnsi="Arial" w:cs="Arial"/>
          <w:bCs/>
          <w:iCs/>
          <w:sz w:val="22"/>
          <w:szCs w:val="22"/>
        </w:rPr>
        <w:t xml:space="preserve"> and should therefore be used with caution in such patients.</w:t>
      </w:r>
    </w:p>
    <w:p w:rsidR="00CB6E0D" w:rsidRPr="00CB6E0D" w:rsidRDefault="00CB6E0D" w:rsidP="00287617">
      <w:pPr>
        <w:tabs>
          <w:tab w:val="right" w:pos="9180"/>
        </w:tabs>
        <w:spacing w:before="100" w:beforeAutospacing="1"/>
        <w:ind w:right="-91"/>
        <w:outlineLvl w:val="0"/>
        <w:rPr>
          <w:rFonts w:ascii="Arial" w:hAnsi="Arial" w:cs="Arial"/>
          <w:i/>
          <w:sz w:val="22"/>
          <w:szCs w:val="22"/>
        </w:rPr>
      </w:pPr>
      <w:r w:rsidRPr="00CB6E0D">
        <w:rPr>
          <w:rFonts w:ascii="Arial" w:hAnsi="Arial" w:cs="Arial"/>
          <w:i/>
          <w:sz w:val="22"/>
          <w:szCs w:val="22"/>
        </w:rPr>
        <w:t xml:space="preserve">Hepatic </w:t>
      </w:r>
      <w:r w:rsidRPr="00CB6E0D">
        <w:rPr>
          <w:rFonts w:ascii="Arial" w:hAnsi="Arial" w:cs="Arial"/>
          <w:bCs/>
          <w:i/>
          <w:iCs/>
          <w:sz w:val="22"/>
          <w:szCs w:val="22"/>
        </w:rPr>
        <w:t>Insufficiency</w:t>
      </w:r>
    </w:p>
    <w:p w:rsidR="00CB6E0D" w:rsidRDefault="00CB6E0D" w:rsidP="00287617">
      <w:pPr>
        <w:tabs>
          <w:tab w:val="right" w:pos="9180"/>
        </w:tabs>
        <w:spacing w:before="100" w:beforeAutospacing="1" w:after="100" w:afterAutospacing="1"/>
        <w:ind w:right="-91"/>
        <w:rPr>
          <w:rFonts w:ascii="Arial" w:hAnsi="Arial" w:cs="Arial"/>
          <w:bCs/>
          <w:iCs/>
          <w:sz w:val="22"/>
          <w:szCs w:val="22"/>
        </w:rPr>
      </w:pPr>
      <w:r w:rsidRPr="00CB6E0D">
        <w:rPr>
          <w:rFonts w:ascii="Arial" w:hAnsi="Arial" w:cs="Arial"/>
          <w:bCs/>
          <w:iCs/>
          <w:sz w:val="22"/>
          <w:szCs w:val="22"/>
        </w:rPr>
        <w:t xml:space="preserve">Tafluprost has not been studied in patients with hepatic </w:t>
      </w:r>
      <w:r w:rsidRPr="00CB6E0D">
        <w:rPr>
          <w:rFonts w:ascii="Arial" w:hAnsi="Arial" w:cs="Arial"/>
          <w:sz w:val="22"/>
          <w:szCs w:val="22"/>
        </w:rPr>
        <w:t>insufficiency</w:t>
      </w:r>
      <w:r w:rsidRPr="00CB6E0D">
        <w:rPr>
          <w:rFonts w:ascii="Arial" w:hAnsi="Arial" w:cs="Arial"/>
          <w:bCs/>
          <w:iCs/>
          <w:sz w:val="22"/>
          <w:szCs w:val="22"/>
        </w:rPr>
        <w:t xml:space="preserve"> and should therefore be used with caution in such patients.</w:t>
      </w:r>
    </w:p>
    <w:p w:rsidR="004B6AC6" w:rsidRDefault="004B6AC6" w:rsidP="00287617">
      <w:pPr>
        <w:tabs>
          <w:tab w:val="right" w:pos="9180"/>
        </w:tabs>
        <w:spacing w:before="360" w:after="100" w:afterAutospacing="1"/>
        <w:ind w:right="-91"/>
        <w:outlineLvl w:val="0"/>
        <w:rPr>
          <w:rFonts w:ascii="Arial" w:hAnsi="Arial" w:cs="Arial"/>
          <w:bCs/>
          <w:iCs/>
          <w:sz w:val="22"/>
          <w:szCs w:val="22"/>
          <w:u w:val="single"/>
        </w:rPr>
      </w:pPr>
      <w:r w:rsidRPr="004B6AC6">
        <w:rPr>
          <w:rFonts w:ascii="Arial" w:hAnsi="Arial" w:cs="Arial"/>
          <w:bCs/>
          <w:iCs/>
          <w:sz w:val="22"/>
          <w:szCs w:val="22"/>
          <w:u w:val="single"/>
        </w:rPr>
        <w:t>Pharmacodynamics</w:t>
      </w:r>
    </w:p>
    <w:p w:rsidR="004B6AC6" w:rsidRPr="004B6AC6" w:rsidRDefault="004B6AC6" w:rsidP="00287617">
      <w:pPr>
        <w:tabs>
          <w:tab w:val="right" w:pos="9180"/>
        </w:tabs>
        <w:spacing w:before="100" w:beforeAutospacing="1" w:after="100" w:afterAutospacing="1"/>
        <w:ind w:right="-91"/>
        <w:rPr>
          <w:rFonts w:ascii="Arial" w:hAnsi="Arial" w:cs="Arial"/>
          <w:sz w:val="22"/>
          <w:szCs w:val="22"/>
        </w:rPr>
      </w:pPr>
      <w:r w:rsidRPr="004B6AC6">
        <w:rPr>
          <w:rFonts w:ascii="Arial" w:hAnsi="Arial" w:cs="Arial"/>
          <w:sz w:val="22"/>
          <w:szCs w:val="22"/>
        </w:rPr>
        <w:t>Tafluprost in clinical doses has not been found to have any significant pharmacological effects on the cardiovascular system.</w:t>
      </w:r>
    </w:p>
    <w:p w:rsidR="00516DBD" w:rsidRPr="00516DBD" w:rsidRDefault="00516DBD" w:rsidP="00287617">
      <w:pPr>
        <w:tabs>
          <w:tab w:val="right" w:pos="9180"/>
        </w:tabs>
        <w:spacing w:before="360" w:after="360"/>
        <w:ind w:right="-91"/>
        <w:jc w:val="center"/>
        <w:outlineLvl w:val="0"/>
        <w:rPr>
          <w:rFonts w:ascii="Arial" w:hAnsi="Arial"/>
          <w:b/>
          <w:sz w:val="22"/>
        </w:rPr>
      </w:pPr>
      <w:r>
        <w:rPr>
          <w:rFonts w:ascii="Arial" w:hAnsi="Arial"/>
          <w:b/>
          <w:sz w:val="22"/>
        </w:rPr>
        <w:t>CLINICAL TRIALS</w:t>
      </w:r>
    </w:p>
    <w:p w:rsidR="00437005" w:rsidRPr="00437005" w:rsidRDefault="00437005" w:rsidP="00287617">
      <w:pPr>
        <w:tabs>
          <w:tab w:val="right" w:pos="9180"/>
        </w:tabs>
        <w:spacing w:before="100" w:beforeAutospacing="1" w:after="100" w:afterAutospacing="1"/>
        <w:ind w:right="-91"/>
        <w:outlineLvl w:val="0"/>
        <w:rPr>
          <w:rFonts w:ascii="Arial" w:hAnsi="Arial" w:cs="Arial"/>
          <w:sz w:val="22"/>
          <w:szCs w:val="22"/>
        </w:rPr>
      </w:pPr>
      <w:r w:rsidRPr="00437005">
        <w:rPr>
          <w:rFonts w:ascii="Arial" w:hAnsi="Arial" w:cs="Arial"/>
          <w:b/>
          <w:i/>
          <w:sz w:val="22"/>
          <w:szCs w:val="22"/>
        </w:rPr>
        <w:t>Clinical Effects on Intraocular Pressure</w:t>
      </w:r>
      <w:r w:rsidRPr="00437005">
        <w:rPr>
          <w:rFonts w:ascii="Arial" w:hAnsi="Arial" w:cs="Arial"/>
          <w:sz w:val="22"/>
          <w:szCs w:val="22"/>
        </w:rPr>
        <w:t xml:space="preserve"> </w:t>
      </w:r>
    </w:p>
    <w:p w:rsidR="00437005" w:rsidRPr="00437005" w:rsidRDefault="00437005" w:rsidP="00287617">
      <w:pPr>
        <w:tabs>
          <w:tab w:val="right" w:pos="9180"/>
        </w:tabs>
        <w:spacing w:before="100" w:beforeAutospacing="1" w:after="100" w:afterAutospacing="1"/>
        <w:ind w:right="-91"/>
        <w:rPr>
          <w:rFonts w:ascii="Arial" w:hAnsi="Arial" w:cs="Arial"/>
          <w:sz w:val="22"/>
          <w:szCs w:val="22"/>
        </w:rPr>
      </w:pPr>
      <w:r w:rsidRPr="00437005">
        <w:rPr>
          <w:rFonts w:ascii="Arial" w:hAnsi="Arial" w:cs="Arial"/>
          <w:sz w:val="22"/>
          <w:szCs w:val="22"/>
        </w:rPr>
        <w:t xml:space="preserve">The efficacy of tafluprost as monotherapy, or </w:t>
      </w:r>
      <w:r w:rsidR="00AC7AAF">
        <w:rPr>
          <w:rFonts w:ascii="Arial" w:hAnsi="Arial" w:cs="Arial"/>
          <w:sz w:val="22"/>
          <w:szCs w:val="22"/>
        </w:rPr>
        <w:t xml:space="preserve">as </w:t>
      </w:r>
      <w:r w:rsidRPr="00437005">
        <w:rPr>
          <w:rFonts w:ascii="Arial" w:hAnsi="Arial" w:cs="Arial"/>
          <w:sz w:val="22"/>
          <w:szCs w:val="22"/>
        </w:rPr>
        <w:t>adjunctive therapy to timolol, was investigated in clinical studies of up to two-years duration in patients with primary open-angle glaucoma or ocular hypertension.</w:t>
      </w:r>
    </w:p>
    <w:p w:rsidR="00437005" w:rsidRPr="00437005" w:rsidRDefault="00437005" w:rsidP="00287617">
      <w:pPr>
        <w:numPr>
          <w:ilvl w:val="12"/>
          <w:numId w:val="0"/>
        </w:numPr>
        <w:tabs>
          <w:tab w:val="right" w:pos="9180"/>
        </w:tabs>
        <w:spacing w:before="100" w:beforeAutospacing="1" w:after="100" w:afterAutospacing="1"/>
        <w:ind w:right="-91"/>
        <w:rPr>
          <w:rFonts w:ascii="Arial" w:hAnsi="Arial" w:cs="Arial"/>
          <w:noProof/>
          <w:sz w:val="22"/>
          <w:szCs w:val="22"/>
        </w:rPr>
      </w:pPr>
      <w:r w:rsidRPr="00437005">
        <w:rPr>
          <w:rFonts w:ascii="Arial" w:hAnsi="Arial" w:cs="Arial"/>
          <w:noProof/>
          <w:sz w:val="22"/>
          <w:szCs w:val="22"/>
        </w:rPr>
        <w:t>Reduction of intraocular pressure</w:t>
      </w:r>
      <w:r w:rsidR="009A1B72">
        <w:rPr>
          <w:rFonts w:ascii="Arial" w:hAnsi="Arial" w:cs="Arial"/>
          <w:noProof/>
          <w:sz w:val="22"/>
          <w:szCs w:val="22"/>
        </w:rPr>
        <w:t xml:space="preserve"> (IOP)</w:t>
      </w:r>
      <w:r w:rsidRPr="00437005">
        <w:rPr>
          <w:rFonts w:ascii="Arial" w:hAnsi="Arial" w:cs="Arial"/>
          <w:noProof/>
          <w:sz w:val="22"/>
          <w:szCs w:val="22"/>
        </w:rPr>
        <w:t xml:space="preserve"> starts between 2 and 4 hours after the first administration and maximum effect is reached at around 12 hours after instillation. The duration of effect is maintained for at least 24 hours. Pivotal studies with a tafluprost formulation containing the preservative benzalkonium chloride have demonstrated that tafluprost is effective as monotherapy and has an additive effect when administered as adjunctive therapy to timolol. </w:t>
      </w:r>
    </w:p>
    <w:p w:rsidR="00437005" w:rsidRPr="00054AC6" w:rsidRDefault="00437005" w:rsidP="00287617">
      <w:pPr>
        <w:tabs>
          <w:tab w:val="right" w:pos="9180"/>
        </w:tabs>
        <w:spacing w:before="100" w:beforeAutospacing="1"/>
        <w:ind w:right="-91"/>
        <w:jc w:val="both"/>
        <w:outlineLvl w:val="0"/>
        <w:rPr>
          <w:rFonts w:ascii="Arial" w:hAnsi="Arial" w:cs="Arial"/>
          <w:b/>
          <w:i/>
          <w:sz w:val="22"/>
        </w:rPr>
      </w:pPr>
      <w:r w:rsidRPr="00054AC6">
        <w:rPr>
          <w:rFonts w:ascii="Arial" w:hAnsi="Arial" w:cs="Arial"/>
          <w:b/>
          <w:i/>
          <w:sz w:val="22"/>
        </w:rPr>
        <w:t>Monotherapy Versus Active Comparator</w:t>
      </w:r>
    </w:p>
    <w:p w:rsidR="00437005" w:rsidRPr="00437005" w:rsidRDefault="00437005" w:rsidP="00287617">
      <w:pPr>
        <w:numPr>
          <w:ilvl w:val="12"/>
          <w:numId w:val="0"/>
        </w:numPr>
        <w:tabs>
          <w:tab w:val="right" w:pos="9180"/>
        </w:tabs>
        <w:spacing w:after="100" w:afterAutospacing="1"/>
        <w:ind w:right="-91"/>
        <w:rPr>
          <w:rFonts w:ascii="Arial" w:hAnsi="Arial" w:cs="Arial"/>
          <w:sz w:val="22"/>
          <w:szCs w:val="22"/>
        </w:rPr>
      </w:pPr>
      <w:r w:rsidRPr="00437005">
        <w:rPr>
          <w:rFonts w:ascii="Arial" w:hAnsi="Arial" w:cs="Arial"/>
          <w:sz w:val="22"/>
          <w:szCs w:val="22"/>
        </w:rPr>
        <w:t xml:space="preserve">The efficacy of tafluprost as monotherapy in patients with primary open-angle glaucoma or ocular hypertension (baseline IOP </w:t>
      </w:r>
      <w:r w:rsidRPr="00437005">
        <w:rPr>
          <w:rFonts w:ascii="Arial" w:hAnsi="Arial" w:cs="Arial"/>
          <w:sz w:val="22"/>
          <w:szCs w:val="22"/>
        </w:rPr>
        <w:sym w:font="Symbol" w:char="F0B3"/>
      </w:r>
      <w:r w:rsidRPr="00437005">
        <w:rPr>
          <w:rFonts w:ascii="Arial" w:hAnsi="Arial" w:cs="Arial"/>
          <w:sz w:val="22"/>
          <w:szCs w:val="22"/>
        </w:rPr>
        <w:t>22 mmHg) was demonstrated in two large clinical studies of up to two-years duration. The IOP-lowering effect of tafluprost was demonstrated t</w:t>
      </w:r>
      <w:r w:rsidR="00287617">
        <w:rPr>
          <w:rFonts w:ascii="Arial" w:hAnsi="Arial" w:cs="Arial"/>
          <w:sz w:val="22"/>
          <w:szCs w:val="22"/>
        </w:rPr>
        <w:t>h</w:t>
      </w:r>
      <w:r w:rsidRPr="00437005">
        <w:rPr>
          <w:rFonts w:ascii="Arial" w:hAnsi="Arial" w:cs="Arial"/>
          <w:sz w:val="22"/>
          <w:szCs w:val="22"/>
        </w:rPr>
        <w:t>roughout the day and this effect was maintained during long-term administration.</w:t>
      </w:r>
    </w:p>
    <w:p w:rsidR="007B0CAC" w:rsidRDefault="002B3CD6" w:rsidP="00287617">
      <w:pPr>
        <w:numPr>
          <w:ilvl w:val="12"/>
          <w:numId w:val="0"/>
        </w:numPr>
        <w:tabs>
          <w:tab w:val="right" w:pos="9180"/>
        </w:tabs>
        <w:spacing w:before="100" w:beforeAutospacing="1" w:after="100" w:afterAutospacing="1"/>
        <w:ind w:right="-91"/>
        <w:rPr>
          <w:rFonts w:ascii="Arial" w:hAnsi="Arial" w:cs="Arial"/>
          <w:noProof/>
          <w:sz w:val="22"/>
          <w:szCs w:val="22"/>
        </w:rPr>
      </w:pPr>
      <w:r>
        <w:rPr>
          <w:rFonts w:ascii="Arial" w:hAnsi="Arial" w:cs="Arial"/>
          <w:noProof/>
          <w:sz w:val="22"/>
          <w:szCs w:val="22"/>
        </w:rPr>
        <w:t>A</w:t>
      </w:r>
      <w:r w:rsidR="00437005" w:rsidRPr="00437005">
        <w:rPr>
          <w:rFonts w:ascii="Arial" w:hAnsi="Arial" w:cs="Arial"/>
          <w:noProof/>
          <w:sz w:val="22"/>
          <w:szCs w:val="22"/>
        </w:rPr>
        <w:t xml:space="preserve"> </w:t>
      </w:r>
      <w:r w:rsidR="00C23AEE">
        <w:rPr>
          <w:rFonts w:ascii="Arial" w:hAnsi="Arial" w:cs="Arial"/>
          <w:noProof/>
          <w:sz w:val="22"/>
          <w:szCs w:val="22"/>
        </w:rPr>
        <w:t>randomised</w:t>
      </w:r>
      <w:r w:rsidR="00437005" w:rsidRPr="00437005">
        <w:rPr>
          <w:rFonts w:ascii="Arial" w:hAnsi="Arial" w:cs="Arial"/>
          <w:noProof/>
          <w:sz w:val="22"/>
          <w:szCs w:val="22"/>
        </w:rPr>
        <w:t xml:space="preserve">, double-masked, active controlled, parallel group, </w:t>
      </w:r>
      <w:r w:rsidRPr="00437005">
        <w:rPr>
          <w:rFonts w:ascii="Arial" w:hAnsi="Arial" w:cs="Arial"/>
          <w:noProof/>
          <w:sz w:val="22"/>
          <w:szCs w:val="22"/>
        </w:rPr>
        <w:t>multi</w:t>
      </w:r>
      <w:r>
        <w:rPr>
          <w:rFonts w:ascii="Arial" w:hAnsi="Arial" w:cs="Arial"/>
          <w:noProof/>
          <w:sz w:val="22"/>
          <w:szCs w:val="22"/>
        </w:rPr>
        <w:t>centre Phase III</w:t>
      </w:r>
      <w:r w:rsidRPr="00437005">
        <w:rPr>
          <w:rFonts w:ascii="Arial" w:hAnsi="Arial" w:cs="Arial"/>
          <w:noProof/>
          <w:sz w:val="22"/>
          <w:szCs w:val="22"/>
        </w:rPr>
        <w:t xml:space="preserve"> </w:t>
      </w:r>
      <w:r w:rsidR="00437005" w:rsidRPr="00437005">
        <w:rPr>
          <w:rFonts w:ascii="Arial" w:hAnsi="Arial" w:cs="Arial"/>
          <w:noProof/>
          <w:sz w:val="22"/>
          <w:szCs w:val="22"/>
        </w:rPr>
        <w:t>study</w:t>
      </w:r>
      <w:r>
        <w:rPr>
          <w:rFonts w:ascii="Arial" w:hAnsi="Arial" w:cs="Arial"/>
          <w:noProof/>
          <w:sz w:val="22"/>
          <w:szCs w:val="22"/>
        </w:rPr>
        <w:t xml:space="preserve"> compared the efficacy and safety of tafluprost 0.0015% </w:t>
      </w:r>
      <w:r w:rsidR="007D5EBF">
        <w:rPr>
          <w:rFonts w:ascii="Arial" w:hAnsi="Arial" w:cs="Arial"/>
          <w:noProof/>
          <w:sz w:val="22"/>
          <w:szCs w:val="22"/>
        </w:rPr>
        <w:t xml:space="preserve">q.d. (N=269) </w:t>
      </w:r>
      <w:r>
        <w:rPr>
          <w:rFonts w:ascii="Arial" w:hAnsi="Arial" w:cs="Arial"/>
          <w:noProof/>
          <w:sz w:val="22"/>
          <w:szCs w:val="22"/>
        </w:rPr>
        <w:t>eye drops with that of latanoprost 0.005%</w:t>
      </w:r>
      <w:r w:rsidR="007D5EBF">
        <w:rPr>
          <w:rFonts w:ascii="Arial" w:hAnsi="Arial" w:cs="Arial"/>
          <w:noProof/>
          <w:sz w:val="22"/>
          <w:szCs w:val="22"/>
        </w:rPr>
        <w:t xml:space="preserve"> q.d. (N=264) eye drops in</w:t>
      </w:r>
      <w:r>
        <w:rPr>
          <w:rFonts w:ascii="Arial" w:hAnsi="Arial" w:cs="Arial"/>
          <w:noProof/>
          <w:sz w:val="22"/>
          <w:szCs w:val="22"/>
        </w:rPr>
        <w:t xml:space="preserve"> patients with open-angle glaucoma or ocular hypertension. </w:t>
      </w:r>
      <w:r w:rsidR="004D0F70">
        <w:rPr>
          <w:rFonts w:ascii="Arial" w:hAnsi="Arial" w:cs="Arial"/>
          <w:noProof/>
          <w:sz w:val="22"/>
          <w:szCs w:val="22"/>
        </w:rPr>
        <w:t xml:space="preserve">The protocol-specified primary outcome measure was the difference in diurnal IOP reduction at 6 months from baseline. </w:t>
      </w:r>
      <w:r>
        <w:rPr>
          <w:rFonts w:ascii="Arial" w:hAnsi="Arial" w:cs="Arial"/>
          <w:noProof/>
          <w:sz w:val="22"/>
          <w:szCs w:val="22"/>
        </w:rPr>
        <w:t xml:space="preserve">The primary efficacy </w:t>
      </w:r>
      <w:r w:rsidR="007D5EBF">
        <w:rPr>
          <w:rFonts w:ascii="Arial" w:hAnsi="Arial" w:cs="Arial"/>
          <w:noProof/>
          <w:sz w:val="22"/>
          <w:szCs w:val="22"/>
        </w:rPr>
        <w:t>endpoint</w:t>
      </w:r>
      <w:r>
        <w:rPr>
          <w:rFonts w:ascii="Arial" w:hAnsi="Arial" w:cs="Arial"/>
          <w:noProof/>
          <w:sz w:val="22"/>
          <w:szCs w:val="22"/>
        </w:rPr>
        <w:t xml:space="preserve"> was</w:t>
      </w:r>
      <w:r w:rsidR="007D5EBF">
        <w:rPr>
          <w:rFonts w:ascii="Arial" w:hAnsi="Arial" w:cs="Arial"/>
          <w:noProof/>
          <w:sz w:val="22"/>
          <w:szCs w:val="22"/>
        </w:rPr>
        <w:t xml:space="preserve"> the change from baseline in the overall diurnal IOP at month 6 and the </w:t>
      </w:r>
      <w:r>
        <w:rPr>
          <w:rFonts w:ascii="Arial" w:hAnsi="Arial" w:cs="Arial"/>
          <w:noProof/>
          <w:sz w:val="22"/>
          <w:szCs w:val="22"/>
        </w:rPr>
        <w:t>non-inferior</w:t>
      </w:r>
      <w:r w:rsidR="007D5EBF">
        <w:rPr>
          <w:rFonts w:ascii="Arial" w:hAnsi="Arial" w:cs="Arial"/>
          <w:noProof/>
          <w:sz w:val="22"/>
          <w:szCs w:val="22"/>
        </w:rPr>
        <w:t>ity was determined if the 95% CI</w:t>
      </w:r>
      <w:r w:rsidR="004D0F70">
        <w:rPr>
          <w:rFonts w:ascii="Arial" w:hAnsi="Arial" w:cs="Arial"/>
          <w:noProof/>
          <w:sz w:val="22"/>
          <w:szCs w:val="22"/>
        </w:rPr>
        <w:t xml:space="preserve"> of the treatment difference</w:t>
      </w:r>
      <w:r w:rsidR="003B7C64">
        <w:rPr>
          <w:rFonts w:ascii="Arial" w:hAnsi="Arial" w:cs="Arial"/>
          <w:noProof/>
          <w:sz w:val="22"/>
          <w:szCs w:val="22"/>
        </w:rPr>
        <w:t xml:space="preserve"> </w:t>
      </w:r>
      <w:r w:rsidR="007D5EBF">
        <w:rPr>
          <w:rFonts w:ascii="Arial" w:hAnsi="Arial" w:cs="Arial"/>
          <w:noProof/>
          <w:sz w:val="22"/>
          <w:szCs w:val="22"/>
        </w:rPr>
        <w:t>did</w:t>
      </w:r>
      <w:r w:rsidR="003B7C64">
        <w:rPr>
          <w:rFonts w:ascii="Arial" w:hAnsi="Arial" w:cs="Arial"/>
          <w:noProof/>
          <w:sz w:val="22"/>
          <w:szCs w:val="22"/>
        </w:rPr>
        <w:t xml:space="preserve"> not exceed 1.</w:t>
      </w:r>
      <w:r w:rsidR="007D5EBF">
        <w:rPr>
          <w:rFonts w:ascii="Arial" w:hAnsi="Arial" w:cs="Arial"/>
          <w:noProof/>
          <w:sz w:val="22"/>
          <w:szCs w:val="22"/>
        </w:rPr>
        <w:t>5mm Hg.</w:t>
      </w:r>
      <w:r>
        <w:rPr>
          <w:rFonts w:ascii="Arial" w:hAnsi="Arial" w:cs="Arial"/>
          <w:noProof/>
          <w:sz w:val="22"/>
          <w:szCs w:val="22"/>
        </w:rPr>
        <w:t xml:space="preserve"> </w:t>
      </w:r>
      <w:r w:rsidR="004D0F70">
        <w:rPr>
          <w:rFonts w:ascii="Arial" w:hAnsi="Arial" w:cs="Arial"/>
          <w:noProof/>
          <w:sz w:val="22"/>
          <w:szCs w:val="22"/>
        </w:rPr>
        <w:t>The primary efficacy analysis</w:t>
      </w:r>
      <w:r w:rsidR="00C10CEE">
        <w:rPr>
          <w:rFonts w:ascii="Arial" w:hAnsi="Arial" w:cs="Arial"/>
          <w:noProof/>
          <w:sz w:val="22"/>
          <w:szCs w:val="22"/>
        </w:rPr>
        <w:t xml:space="preserve">, change from baseline to 6 months in the diurnal IOP, used a repeated measurements analysis of covariance (RM ANCOVA) model which included fixed effects for baseline, pooled centre, treatment visit and time, and all interactions among treatment, visit </w:t>
      </w:r>
      <w:r w:rsidR="00C10CEE">
        <w:rPr>
          <w:rFonts w:ascii="Arial" w:hAnsi="Arial" w:cs="Arial"/>
          <w:noProof/>
          <w:sz w:val="22"/>
          <w:szCs w:val="22"/>
        </w:rPr>
        <w:lastRenderedPageBreak/>
        <w:t xml:space="preserve">and time. A sensitivity analysis without baseline IOP as </w:t>
      </w:r>
      <w:r w:rsidR="008C7D32">
        <w:rPr>
          <w:rFonts w:ascii="Arial" w:hAnsi="Arial" w:cs="Arial"/>
          <w:noProof/>
          <w:sz w:val="22"/>
          <w:szCs w:val="22"/>
        </w:rPr>
        <w:t xml:space="preserve">a </w:t>
      </w:r>
      <w:r w:rsidR="00C10CEE">
        <w:rPr>
          <w:rFonts w:ascii="Arial" w:hAnsi="Arial" w:cs="Arial"/>
          <w:noProof/>
          <w:sz w:val="22"/>
          <w:szCs w:val="22"/>
        </w:rPr>
        <w:t xml:space="preserve">covariate (RM ANOVA) was also performed. </w:t>
      </w:r>
      <w:r w:rsidR="007B0CAC">
        <w:rPr>
          <w:rFonts w:ascii="Arial" w:hAnsi="Arial" w:cs="Arial"/>
          <w:noProof/>
          <w:sz w:val="22"/>
          <w:szCs w:val="22"/>
        </w:rPr>
        <w:t>The study was continued for up to 24 months</w:t>
      </w:r>
      <w:r w:rsidR="007D5EBF">
        <w:rPr>
          <w:rFonts w:ascii="Arial" w:hAnsi="Arial" w:cs="Arial"/>
          <w:noProof/>
          <w:sz w:val="22"/>
          <w:szCs w:val="22"/>
        </w:rPr>
        <w:t>.</w:t>
      </w:r>
      <w:r w:rsidR="007B0CAC">
        <w:rPr>
          <w:rFonts w:ascii="Arial" w:hAnsi="Arial" w:cs="Arial"/>
          <w:noProof/>
          <w:sz w:val="22"/>
          <w:szCs w:val="22"/>
        </w:rPr>
        <w:t xml:space="preserve"> </w:t>
      </w:r>
      <w:r w:rsidR="007D5EBF">
        <w:rPr>
          <w:rFonts w:ascii="Arial" w:hAnsi="Arial" w:cs="Arial"/>
          <w:noProof/>
          <w:sz w:val="22"/>
          <w:szCs w:val="22"/>
        </w:rPr>
        <w:t xml:space="preserve">The </w:t>
      </w:r>
      <w:r w:rsidR="008360AC">
        <w:rPr>
          <w:rFonts w:ascii="Arial" w:hAnsi="Arial" w:cs="Arial"/>
          <w:noProof/>
          <w:sz w:val="22"/>
          <w:szCs w:val="22"/>
        </w:rPr>
        <w:t>IOP lowering effects</w:t>
      </w:r>
      <w:r w:rsidR="007D5EBF">
        <w:rPr>
          <w:rFonts w:ascii="Arial" w:hAnsi="Arial" w:cs="Arial"/>
          <w:noProof/>
          <w:sz w:val="22"/>
          <w:szCs w:val="22"/>
        </w:rPr>
        <w:t xml:space="preserve"> over 24 months and the treatment difference based ITT (Intent to Treat) dataset are presented</w:t>
      </w:r>
      <w:r w:rsidR="008360AC">
        <w:rPr>
          <w:rFonts w:ascii="Arial" w:hAnsi="Arial" w:cs="Arial"/>
          <w:noProof/>
          <w:sz w:val="22"/>
          <w:szCs w:val="22"/>
        </w:rPr>
        <w:t xml:space="preserve"> </w:t>
      </w:r>
      <w:r w:rsidR="007D5EBF">
        <w:rPr>
          <w:rFonts w:ascii="Arial" w:hAnsi="Arial" w:cs="Arial"/>
          <w:noProof/>
          <w:sz w:val="22"/>
          <w:szCs w:val="22"/>
        </w:rPr>
        <w:t>in T</w:t>
      </w:r>
      <w:r w:rsidR="007B0CAC">
        <w:rPr>
          <w:rFonts w:ascii="Arial" w:hAnsi="Arial" w:cs="Arial"/>
          <w:noProof/>
          <w:sz w:val="22"/>
          <w:szCs w:val="22"/>
        </w:rPr>
        <w:t>able</w:t>
      </w:r>
      <w:r w:rsidR="00C10CEE">
        <w:rPr>
          <w:rFonts w:ascii="Arial" w:hAnsi="Arial" w:cs="Arial"/>
          <w:noProof/>
          <w:sz w:val="22"/>
          <w:szCs w:val="22"/>
        </w:rPr>
        <w:t>s</w:t>
      </w:r>
      <w:r w:rsidR="007D5EBF">
        <w:rPr>
          <w:rFonts w:ascii="Arial" w:hAnsi="Arial" w:cs="Arial"/>
          <w:noProof/>
          <w:sz w:val="22"/>
          <w:szCs w:val="22"/>
        </w:rPr>
        <w:t xml:space="preserve"> 1</w:t>
      </w:r>
      <w:r w:rsidR="00C10CEE">
        <w:rPr>
          <w:rFonts w:ascii="Arial" w:hAnsi="Arial" w:cs="Arial"/>
          <w:noProof/>
          <w:sz w:val="22"/>
          <w:szCs w:val="22"/>
        </w:rPr>
        <w:t xml:space="preserve"> and 2</w:t>
      </w:r>
      <w:r w:rsidR="007B0CAC">
        <w:rPr>
          <w:rFonts w:ascii="Arial" w:hAnsi="Arial" w:cs="Arial"/>
          <w:noProof/>
          <w:sz w:val="22"/>
          <w:szCs w:val="22"/>
        </w:rPr>
        <w:t xml:space="preserve"> below.</w:t>
      </w:r>
      <w:r w:rsidR="007D5EBF">
        <w:rPr>
          <w:rFonts w:ascii="Arial" w:hAnsi="Arial" w:cs="Arial"/>
          <w:noProof/>
          <w:sz w:val="22"/>
          <w:szCs w:val="22"/>
        </w:rPr>
        <w:t xml:space="preserve"> ITT dataset included all randomised patients who had received at least one dose of study treatment and had at least one efficacy measurement available.</w:t>
      </w:r>
    </w:p>
    <w:p w:rsidR="00C10CEE" w:rsidRDefault="00C10CEE" w:rsidP="00287617">
      <w:pPr>
        <w:numPr>
          <w:ilvl w:val="12"/>
          <w:numId w:val="0"/>
        </w:numPr>
        <w:tabs>
          <w:tab w:val="right" w:pos="9180"/>
        </w:tabs>
        <w:spacing w:before="100" w:beforeAutospacing="1"/>
        <w:ind w:right="-91"/>
        <w:rPr>
          <w:rFonts w:ascii="Arial" w:hAnsi="Arial" w:cs="Arial"/>
          <w:noProof/>
          <w:sz w:val="22"/>
          <w:szCs w:val="22"/>
        </w:rPr>
      </w:pPr>
      <w:r>
        <w:rPr>
          <w:rFonts w:ascii="Arial" w:hAnsi="Arial" w:cs="Arial"/>
          <w:noProof/>
          <w:sz w:val="22"/>
          <w:szCs w:val="22"/>
        </w:rPr>
        <w:t>Table 1: IOP (in worse eye) and Reduction Compared to Baseline Over 24 Months</w:t>
      </w:r>
    </w:p>
    <w:tbl>
      <w:tblPr>
        <w:tblW w:w="9236"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tblPr>
      <w:tblGrid>
        <w:gridCol w:w="1141"/>
        <w:gridCol w:w="767"/>
        <w:gridCol w:w="584"/>
        <w:gridCol w:w="1440"/>
        <w:gridCol w:w="1640"/>
        <w:gridCol w:w="584"/>
        <w:gridCol w:w="1440"/>
        <w:gridCol w:w="1640"/>
      </w:tblGrid>
      <w:tr w:rsidR="00C10CEE" w:rsidTr="00936664">
        <w:trPr>
          <w:jc w:val="center"/>
        </w:trPr>
        <w:tc>
          <w:tcPr>
            <w:tcW w:w="1141" w:type="dxa"/>
            <w:vMerge w:val="restart"/>
            <w:vAlign w:val="center"/>
          </w:tcPr>
          <w:p w:rsidR="00C10CEE" w:rsidRPr="00936664" w:rsidRDefault="00C10CEE" w:rsidP="00936664">
            <w:pPr>
              <w:tabs>
                <w:tab w:val="right" w:pos="9180"/>
              </w:tabs>
              <w:ind w:right="-93"/>
              <w:jc w:val="center"/>
              <w:rPr>
                <w:rFonts w:ascii="Arial" w:hAnsi="Arial" w:cs="Arial"/>
                <w:sz w:val="22"/>
                <w:szCs w:val="22"/>
              </w:rPr>
            </w:pPr>
          </w:p>
          <w:p w:rsidR="00C10CEE" w:rsidRPr="00936664" w:rsidRDefault="00C10CEE" w:rsidP="00936664">
            <w:pPr>
              <w:tabs>
                <w:tab w:val="right" w:pos="9180"/>
              </w:tabs>
              <w:ind w:right="-93"/>
              <w:jc w:val="center"/>
              <w:rPr>
                <w:rFonts w:ascii="Arial" w:hAnsi="Arial" w:cs="Arial"/>
                <w:sz w:val="22"/>
                <w:szCs w:val="22"/>
              </w:rPr>
            </w:pPr>
          </w:p>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Visit</w:t>
            </w:r>
          </w:p>
        </w:tc>
        <w:tc>
          <w:tcPr>
            <w:tcW w:w="767" w:type="dxa"/>
            <w:vMerge w:val="restart"/>
            <w:vAlign w:val="center"/>
          </w:tcPr>
          <w:p w:rsidR="00C10CEE" w:rsidRPr="00936664" w:rsidRDefault="00C10CEE" w:rsidP="00936664">
            <w:pPr>
              <w:tabs>
                <w:tab w:val="right" w:pos="9180"/>
              </w:tabs>
              <w:ind w:right="-93"/>
              <w:jc w:val="center"/>
              <w:rPr>
                <w:rFonts w:ascii="Arial" w:hAnsi="Arial" w:cs="Arial"/>
                <w:sz w:val="22"/>
                <w:szCs w:val="22"/>
              </w:rPr>
            </w:pPr>
          </w:p>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Time Point</w:t>
            </w:r>
          </w:p>
        </w:tc>
        <w:tc>
          <w:tcPr>
            <w:tcW w:w="3664" w:type="dxa"/>
            <w:gridSpan w:val="3"/>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Tafluprost</w:t>
            </w:r>
          </w:p>
        </w:tc>
        <w:tc>
          <w:tcPr>
            <w:tcW w:w="3664" w:type="dxa"/>
            <w:gridSpan w:val="3"/>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Latanoprost</w:t>
            </w:r>
          </w:p>
        </w:tc>
      </w:tr>
      <w:tr w:rsidR="00C10CEE" w:rsidTr="00936664">
        <w:trPr>
          <w:jc w:val="center"/>
        </w:trPr>
        <w:tc>
          <w:tcPr>
            <w:tcW w:w="1141" w:type="dxa"/>
            <w:vMerge/>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p>
        </w:tc>
        <w:tc>
          <w:tcPr>
            <w:tcW w:w="767" w:type="dxa"/>
            <w:vMerge/>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p>
        </w:tc>
        <w:tc>
          <w:tcPr>
            <w:tcW w:w="584" w:type="dxa"/>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p>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N</w:t>
            </w:r>
          </w:p>
        </w:tc>
        <w:tc>
          <w:tcPr>
            <w:tcW w:w="1440" w:type="dxa"/>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Mean (SD) mmHg</w:t>
            </w:r>
          </w:p>
        </w:tc>
        <w:tc>
          <w:tcPr>
            <w:tcW w:w="1640" w:type="dxa"/>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Change</w:t>
            </w:r>
          </w:p>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 Change)</w:t>
            </w:r>
          </w:p>
        </w:tc>
        <w:tc>
          <w:tcPr>
            <w:tcW w:w="584" w:type="dxa"/>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p>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N</w:t>
            </w:r>
          </w:p>
        </w:tc>
        <w:tc>
          <w:tcPr>
            <w:tcW w:w="1440" w:type="dxa"/>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Mean (SD) mmHg</w:t>
            </w:r>
          </w:p>
        </w:tc>
        <w:tc>
          <w:tcPr>
            <w:tcW w:w="1640" w:type="dxa"/>
            <w:tcBorders>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Change</w:t>
            </w:r>
          </w:p>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 Change)</w:t>
            </w:r>
          </w:p>
        </w:tc>
      </w:tr>
      <w:tr w:rsidR="00C10CEE" w:rsidTr="00936664">
        <w:trPr>
          <w:jc w:val="center"/>
        </w:trPr>
        <w:tc>
          <w:tcPr>
            <w:tcW w:w="1141"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Baseline</w:t>
            </w:r>
          </w:p>
        </w:tc>
        <w:tc>
          <w:tcPr>
            <w:tcW w:w="767"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25.84 (2.94)</w:t>
            </w:r>
          </w:p>
        </w:tc>
        <w:tc>
          <w:tcPr>
            <w:tcW w:w="1640"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25.26 (2.86)</w:t>
            </w:r>
          </w:p>
        </w:tc>
        <w:tc>
          <w:tcPr>
            <w:tcW w:w="1640" w:type="dxa"/>
            <w:tcBorders>
              <w:top w:val="single" w:sz="4" w:space="0" w:color="auto"/>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C10CEE" w:rsidTr="00936664">
        <w:trPr>
          <w:jc w:val="center"/>
        </w:trPr>
        <w:tc>
          <w:tcPr>
            <w:tcW w:w="1141"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p>
        </w:tc>
        <w:tc>
          <w:tcPr>
            <w:tcW w:w="767"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12:00</w:t>
            </w:r>
          </w:p>
        </w:tc>
        <w:tc>
          <w:tcPr>
            <w:tcW w:w="584"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24.48 (3.41)</w:t>
            </w:r>
          </w:p>
        </w:tc>
        <w:tc>
          <w:tcPr>
            <w:tcW w:w="16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24.17 (3.02)</w:t>
            </w:r>
          </w:p>
        </w:tc>
        <w:tc>
          <w:tcPr>
            <w:tcW w:w="16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C10CEE" w:rsidTr="00936664">
        <w:trPr>
          <w:jc w:val="center"/>
        </w:trPr>
        <w:tc>
          <w:tcPr>
            <w:tcW w:w="1141"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p>
        </w:tc>
        <w:tc>
          <w:tcPr>
            <w:tcW w:w="767"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84"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263</w:t>
            </w:r>
          </w:p>
        </w:tc>
        <w:tc>
          <w:tcPr>
            <w:tcW w:w="14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23.60 (3.67)</w:t>
            </w:r>
          </w:p>
        </w:tc>
        <w:tc>
          <w:tcPr>
            <w:tcW w:w="16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23.11 (3.45)</w:t>
            </w:r>
          </w:p>
        </w:tc>
        <w:tc>
          <w:tcPr>
            <w:tcW w:w="1640" w:type="dxa"/>
            <w:tcBorders>
              <w:top w:val="nil"/>
              <w:bottom w:val="nil"/>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C10CEE" w:rsidTr="00936664">
        <w:trPr>
          <w:jc w:val="center"/>
        </w:trPr>
        <w:tc>
          <w:tcPr>
            <w:tcW w:w="1141"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p>
        </w:tc>
        <w:tc>
          <w:tcPr>
            <w:tcW w:w="767"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20:00</w:t>
            </w:r>
          </w:p>
        </w:tc>
        <w:tc>
          <w:tcPr>
            <w:tcW w:w="584"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23.16 (3.66)</w:t>
            </w:r>
          </w:p>
        </w:tc>
        <w:tc>
          <w:tcPr>
            <w:tcW w:w="1640"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22.82 (3.63)</w:t>
            </w:r>
          </w:p>
        </w:tc>
        <w:tc>
          <w:tcPr>
            <w:tcW w:w="1640" w:type="dxa"/>
            <w:tcBorders>
              <w:top w:val="nil"/>
              <w:bottom w:val="single" w:sz="4" w:space="0" w:color="auto"/>
            </w:tcBorders>
            <w:vAlign w:val="center"/>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Week 2</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17.72 (3.32)</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-8.12 (-31.4%)</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16.70 (3.20)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-8.56 (-33.7%)</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Week 6</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263</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17.83 (3.43)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-8.01 (-30.8%)</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260</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16.59 (3.02)</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-8.69 (-34.0%)</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3</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17.55 (3.25)</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-8.29 (-31.8%)</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16.16 (2.87)</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-9.10 (-35.7%)</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12:00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17.07 (3.10)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-7.34 (-29.5%)</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15.80 (2.89)</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-8.39 (-34.3%)</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250</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16.72 (3.02)</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-6.93 (-28.4%)</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15.85 (2.83)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-7.18 (-30.5%)</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20:00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16.84 (2.94)</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-6.29 (-26.3%)</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255</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15.84 (2.83)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-6.95 (-29.8%)</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6</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17.77 (3.48)</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-8.05 (-31.0%)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251</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16.10 (2.95)</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-9.16 (-35.9%)</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12:00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17.28 (3.22)</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-7.09 (-28.6%)</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251</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15.67 (2.93)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-8.48 (-34.3%)</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243</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16.96 (3.10)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-6.72 (-27.5%)</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248</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15.55 (2.87)</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-7.51 (-31.8%)</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20:00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243</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16.82 (3.14)</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-6.30 (-26.5%)</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248</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15.75 (2.67)</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-7.05 (-30.0%)</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9</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18.02 (3.61)</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-7.80 (-30.0%)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250</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16.36 (2.90)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-8.90 (-34.8%)</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12</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227</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18.13 (3.66)</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-7.63 (-29.4%)</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247</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16.31 (2.99)</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-8.98 (-35.1%)</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12:00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17.26 (3.43)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-7.00 (-28.3%)</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15.91 (2.97)</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-8.28 (-33.7%)</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17.23 (3.40)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-6.24 (-25.7%)</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15.74 (2.95)</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-7.29 (-30.8%)</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20:00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220</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17.23 (3.44)</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-5.77 (-24.2%)</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243</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16.01 (3.30)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-6.71 (-28.5%)</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15</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192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17.38 (3.48)</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-8.22 (-31.8%)</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15.79 (2.73)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-9.41 (-36.9%)</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18</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188</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17.19 (3.35)</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-8.43 (-32.7%)</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220</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15.87 (3.16)</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-9.31 (-36.4%)</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12:00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16.59 (3.09)</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-7.49 (-30.5%)</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218</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15.85 (3.02)</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-8.18 (-33.4%)</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185</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16.46 (3.08)</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-6.89 (-28.8%)</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219</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15.55 (2.99)</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-7.32 (-31.0%)</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20:00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184</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16.49 (3.08)</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-6.40 (-27.0%)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218</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15.68 (3.09)</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-6.78 (-29.2%)</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Month 24</w:t>
            </w: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185</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17.56 (4.00)</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-8.01 (-31.3%)</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217</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16.13 (2.85)</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-9.01 (-35.4%)</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12:00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16.87 (3.68)</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-7.23 (-29.4%)</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15.82 (2.93)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-8.20 (-33.6%)</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183</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16.79 (3.43)</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-6.63 (-27.4%)</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216</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15.86 (2.87)</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-7.03 (-29.7%)</w:t>
            </w:r>
          </w:p>
        </w:tc>
      </w:tr>
      <w:tr w:rsidR="00C10CEE" w:rsidRPr="00936664" w:rsidTr="00936664">
        <w:tblPrEx>
          <w:jc w:val="left"/>
          <w:tblBorders>
            <w:top w:val="single" w:sz="4" w:space="0" w:color="auto"/>
            <w:bottom w:val="single" w:sz="4" w:space="0" w:color="auto"/>
          </w:tblBorders>
        </w:tblPrEx>
        <w:tc>
          <w:tcPr>
            <w:tcW w:w="1141" w:type="dxa"/>
          </w:tcPr>
          <w:p w:rsidR="00C10CEE" w:rsidRPr="00936664" w:rsidRDefault="00C10CEE" w:rsidP="00936664">
            <w:pPr>
              <w:tabs>
                <w:tab w:val="right" w:pos="9180"/>
              </w:tabs>
              <w:ind w:right="-93"/>
              <w:jc w:val="center"/>
              <w:rPr>
                <w:rFonts w:ascii="Arial" w:hAnsi="Arial" w:cs="Arial"/>
                <w:sz w:val="22"/>
                <w:szCs w:val="22"/>
              </w:rPr>
            </w:pPr>
          </w:p>
        </w:tc>
        <w:tc>
          <w:tcPr>
            <w:tcW w:w="767"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20:00</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181</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16.69 (3.44)</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-6.32 (-26.5%)</w:t>
            </w:r>
          </w:p>
        </w:tc>
        <w:tc>
          <w:tcPr>
            <w:tcW w:w="584"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212</w:t>
            </w:r>
          </w:p>
        </w:tc>
        <w:tc>
          <w:tcPr>
            <w:tcW w:w="14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15.82 (2.91)</w:t>
            </w:r>
          </w:p>
        </w:tc>
        <w:tc>
          <w:tcPr>
            <w:tcW w:w="1640" w:type="dxa"/>
          </w:tcPr>
          <w:p w:rsidR="00C10CEE" w:rsidRPr="00936664" w:rsidRDefault="00C10CEE" w:rsidP="00936664">
            <w:pPr>
              <w:tabs>
                <w:tab w:val="right" w:pos="9180"/>
              </w:tabs>
              <w:ind w:right="-93"/>
              <w:jc w:val="center"/>
              <w:rPr>
                <w:rFonts w:ascii="Arial" w:hAnsi="Arial" w:cs="Arial"/>
                <w:sz w:val="22"/>
                <w:szCs w:val="22"/>
              </w:rPr>
            </w:pPr>
            <w:r w:rsidRPr="00936664">
              <w:rPr>
                <w:rFonts w:ascii="Arial" w:hAnsi="Arial" w:cs="Arial"/>
                <w:sz w:val="22"/>
                <w:szCs w:val="22"/>
              </w:rPr>
              <w:t>-6.59 (-28.5%)</w:t>
            </w:r>
          </w:p>
        </w:tc>
      </w:tr>
    </w:tbl>
    <w:p w:rsidR="00817248" w:rsidRDefault="00817248" w:rsidP="00287617">
      <w:pPr>
        <w:numPr>
          <w:ilvl w:val="12"/>
          <w:numId w:val="0"/>
        </w:numPr>
        <w:tabs>
          <w:tab w:val="right" w:pos="9180"/>
        </w:tabs>
        <w:spacing w:before="240"/>
        <w:ind w:right="-91"/>
        <w:rPr>
          <w:rFonts w:ascii="Arial" w:hAnsi="Arial" w:cs="Arial"/>
          <w:noProof/>
          <w:sz w:val="22"/>
          <w:szCs w:val="22"/>
        </w:rPr>
      </w:pPr>
    </w:p>
    <w:p w:rsidR="007B0CAC" w:rsidRDefault="00817248" w:rsidP="00287617">
      <w:pPr>
        <w:numPr>
          <w:ilvl w:val="12"/>
          <w:numId w:val="0"/>
        </w:numPr>
        <w:tabs>
          <w:tab w:val="right" w:pos="9180"/>
        </w:tabs>
        <w:spacing w:before="240"/>
        <w:ind w:right="-91"/>
        <w:rPr>
          <w:rFonts w:ascii="Arial" w:hAnsi="Arial" w:cs="Arial"/>
          <w:noProof/>
          <w:sz w:val="22"/>
          <w:szCs w:val="22"/>
        </w:rPr>
      </w:pPr>
      <w:r>
        <w:rPr>
          <w:rFonts w:ascii="Arial" w:hAnsi="Arial" w:cs="Arial"/>
          <w:noProof/>
          <w:sz w:val="22"/>
          <w:szCs w:val="22"/>
        </w:rPr>
        <w:br w:type="page"/>
      </w:r>
      <w:r w:rsidR="007B0CAC">
        <w:rPr>
          <w:rFonts w:ascii="Arial" w:hAnsi="Arial" w:cs="Arial"/>
          <w:noProof/>
          <w:sz w:val="22"/>
          <w:szCs w:val="22"/>
        </w:rPr>
        <w:lastRenderedPageBreak/>
        <w:t>Table</w:t>
      </w:r>
      <w:r w:rsidR="00C10CEE">
        <w:rPr>
          <w:rFonts w:ascii="Arial" w:hAnsi="Arial" w:cs="Arial"/>
          <w:noProof/>
          <w:sz w:val="22"/>
          <w:szCs w:val="22"/>
        </w:rPr>
        <w:t xml:space="preserve"> 2</w:t>
      </w:r>
      <w:r w:rsidR="007B0CAC">
        <w:rPr>
          <w:rFonts w:ascii="Arial" w:hAnsi="Arial" w:cs="Arial"/>
          <w:noProof/>
          <w:sz w:val="22"/>
          <w:szCs w:val="22"/>
        </w:rPr>
        <w:t xml:space="preserve">: </w:t>
      </w:r>
      <w:r w:rsidR="000D166A">
        <w:rPr>
          <w:rFonts w:ascii="Arial" w:hAnsi="Arial" w:cs="Arial"/>
          <w:noProof/>
          <w:sz w:val="22"/>
          <w:szCs w:val="22"/>
        </w:rPr>
        <w:t xml:space="preserve">The </w:t>
      </w:r>
      <w:r w:rsidR="007B0CAC">
        <w:rPr>
          <w:rFonts w:ascii="Arial" w:hAnsi="Arial" w:cs="Arial"/>
          <w:noProof/>
          <w:sz w:val="22"/>
          <w:szCs w:val="22"/>
        </w:rPr>
        <w:t>Estimated treatment differences (tafluprost – latan</w:t>
      </w:r>
      <w:r w:rsidR="00F2195B">
        <w:rPr>
          <w:rFonts w:ascii="Arial" w:hAnsi="Arial" w:cs="Arial"/>
          <w:noProof/>
          <w:sz w:val="22"/>
          <w:szCs w:val="22"/>
        </w:rPr>
        <w:t>oprost)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848"/>
        <w:gridCol w:w="1849"/>
        <w:gridCol w:w="1849"/>
        <w:gridCol w:w="1849"/>
      </w:tblGrid>
      <w:tr w:rsidR="003B7C64" w:rsidRPr="00936664" w:rsidTr="00936664">
        <w:tc>
          <w:tcPr>
            <w:tcW w:w="1848" w:type="dxa"/>
          </w:tcPr>
          <w:p w:rsidR="003B7C64" w:rsidRPr="00936664" w:rsidRDefault="003B7C64"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ITT Efficacy</w:t>
            </w:r>
          </w:p>
        </w:tc>
        <w:tc>
          <w:tcPr>
            <w:tcW w:w="3697" w:type="dxa"/>
            <w:gridSpan w:val="2"/>
          </w:tcPr>
          <w:p w:rsidR="003B7C64"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RM ANCOVA</w:t>
            </w:r>
          </w:p>
        </w:tc>
        <w:tc>
          <w:tcPr>
            <w:tcW w:w="3698" w:type="dxa"/>
            <w:gridSpan w:val="2"/>
          </w:tcPr>
          <w:p w:rsidR="003B7C64"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RM ANOVA</w:t>
            </w:r>
          </w:p>
        </w:tc>
      </w:tr>
      <w:tr w:rsidR="007B0CAC" w:rsidRPr="00936664" w:rsidTr="00936664">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Visit</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Difference</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Upper 95% CI</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Difference</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Upper 95% CI</w:t>
            </w:r>
          </w:p>
        </w:tc>
      </w:tr>
      <w:tr w:rsidR="007B0CAC" w:rsidRPr="00936664" w:rsidTr="00936664">
        <w:tc>
          <w:tcPr>
            <w:tcW w:w="1848" w:type="dxa"/>
          </w:tcPr>
          <w:p w:rsidR="007B0CAC" w:rsidRPr="00936664" w:rsidRDefault="007B0CAC"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Month 3</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1.05</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1.46</w:t>
            </w:r>
            <w:r w:rsidR="00BE304D" w:rsidRPr="00936664">
              <w:rPr>
                <w:rFonts w:ascii="Arial" w:hAnsi="Arial" w:cs="Arial"/>
                <w:noProof/>
                <w:sz w:val="22"/>
                <w:szCs w:val="22"/>
              </w:rPr>
              <w:t>*</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0.79</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1.28</w:t>
            </w:r>
            <w:r w:rsidR="00BE304D" w:rsidRPr="00936664">
              <w:rPr>
                <w:rFonts w:ascii="Arial" w:hAnsi="Arial" w:cs="Arial"/>
                <w:noProof/>
                <w:sz w:val="22"/>
                <w:szCs w:val="22"/>
              </w:rPr>
              <w:t>*</w:t>
            </w:r>
          </w:p>
        </w:tc>
      </w:tr>
      <w:tr w:rsidR="007B0CAC" w:rsidRPr="00936664" w:rsidTr="00936664">
        <w:tc>
          <w:tcPr>
            <w:tcW w:w="1848" w:type="dxa"/>
          </w:tcPr>
          <w:p w:rsidR="007B0CAC" w:rsidRPr="00936664" w:rsidRDefault="007B0CAC"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Month 6</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1.32</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1.73</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1.05</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1.54</w:t>
            </w:r>
          </w:p>
        </w:tc>
      </w:tr>
      <w:tr w:rsidR="007B0CAC" w:rsidRPr="00936664" w:rsidTr="00936664">
        <w:tc>
          <w:tcPr>
            <w:tcW w:w="1848" w:type="dxa"/>
          </w:tcPr>
          <w:p w:rsidR="007B0CAC" w:rsidRPr="00936664" w:rsidRDefault="007B0CAC"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Month 12</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1.44</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1.86</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1.2</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1.7</w:t>
            </w:r>
          </w:p>
        </w:tc>
      </w:tr>
      <w:tr w:rsidR="007B0CAC" w:rsidRPr="00936664" w:rsidTr="00936664">
        <w:tc>
          <w:tcPr>
            <w:tcW w:w="1848" w:type="dxa"/>
          </w:tcPr>
          <w:p w:rsidR="007B0CAC" w:rsidRPr="00936664" w:rsidRDefault="007B0CAC"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Month 18</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1.05</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1.49</w:t>
            </w:r>
            <w:r w:rsidR="00BE304D" w:rsidRPr="00936664">
              <w:rPr>
                <w:rFonts w:ascii="Arial" w:hAnsi="Arial" w:cs="Arial"/>
                <w:noProof/>
                <w:sz w:val="22"/>
                <w:szCs w:val="22"/>
              </w:rPr>
              <w:t>*</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0.81</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1.33</w:t>
            </w:r>
            <w:r w:rsidR="00BE304D" w:rsidRPr="00936664">
              <w:rPr>
                <w:rFonts w:ascii="Arial" w:hAnsi="Arial" w:cs="Arial"/>
                <w:noProof/>
                <w:sz w:val="22"/>
                <w:szCs w:val="22"/>
              </w:rPr>
              <w:t>*</w:t>
            </w:r>
          </w:p>
        </w:tc>
      </w:tr>
      <w:tr w:rsidR="007B0CAC" w:rsidRPr="00936664" w:rsidTr="00936664">
        <w:tc>
          <w:tcPr>
            <w:tcW w:w="1848" w:type="dxa"/>
          </w:tcPr>
          <w:p w:rsidR="007B0CAC" w:rsidRPr="00936664" w:rsidRDefault="007B0CAC"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Month 24</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1.15</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1.6</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0.91</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1.44</w:t>
            </w:r>
            <w:r w:rsidR="00BE304D" w:rsidRPr="00936664">
              <w:rPr>
                <w:rFonts w:ascii="Arial" w:hAnsi="Arial" w:cs="Arial"/>
                <w:noProof/>
                <w:sz w:val="22"/>
                <w:szCs w:val="22"/>
              </w:rPr>
              <w:t>*</w:t>
            </w:r>
          </w:p>
        </w:tc>
      </w:tr>
      <w:tr w:rsidR="007B0CAC" w:rsidRPr="00936664" w:rsidTr="00936664">
        <w:tc>
          <w:tcPr>
            <w:tcW w:w="1848" w:type="dxa"/>
          </w:tcPr>
          <w:p w:rsidR="007B0CAC" w:rsidRPr="00936664" w:rsidRDefault="007B0CAC" w:rsidP="00936664">
            <w:pPr>
              <w:numPr>
                <w:ilvl w:val="12"/>
                <w:numId w:val="0"/>
              </w:numPr>
              <w:tabs>
                <w:tab w:val="right" w:pos="9180"/>
              </w:tabs>
              <w:ind w:right="-93"/>
              <w:rPr>
                <w:rFonts w:ascii="Arial" w:hAnsi="Arial" w:cs="Arial"/>
                <w:noProof/>
                <w:sz w:val="22"/>
                <w:szCs w:val="22"/>
              </w:rPr>
            </w:pPr>
            <w:r w:rsidRPr="00936664">
              <w:rPr>
                <w:rFonts w:ascii="Arial" w:hAnsi="Arial" w:cs="Arial"/>
                <w:noProof/>
                <w:sz w:val="22"/>
                <w:szCs w:val="22"/>
              </w:rPr>
              <w:t>Overall</w:t>
            </w:r>
          </w:p>
        </w:tc>
        <w:tc>
          <w:tcPr>
            <w:tcW w:w="1848"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1.2</w:t>
            </w:r>
          </w:p>
        </w:tc>
        <w:tc>
          <w:tcPr>
            <w:tcW w:w="1849" w:type="dxa"/>
          </w:tcPr>
          <w:p w:rsidR="007B0CAC" w:rsidRPr="00936664" w:rsidRDefault="007B0CAC"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1.52</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0.95</w:t>
            </w:r>
          </w:p>
        </w:tc>
        <w:tc>
          <w:tcPr>
            <w:tcW w:w="1849" w:type="dxa"/>
          </w:tcPr>
          <w:p w:rsidR="007B0CAC" w:rsidRPr="00936664" w:rsidRDefault="003B7C64" w:rsidP="00936664">
            <w:pPr>
              <w:numPr>
                <w:ilvl w:val="12"/>
                <w:numId w:val="0"/>
              </w:numPr>
              <w:tabs>
                <w:tab w:val="right" w:pos="9180"/>
              </w:tabs>
              <w:ind w:right="-93"/>
              <w:jc w:val="center"/>
              <w:rPr>
                <w:rFonts w:ascii="Arial" w:hAnsi="Arial" w:cs="Arial"/>
                <w:noProof/>
                <w:sz w:val="22"/>
                <w:szCs w:val="22"/>
              </w:rPr>
            </w:pPr>
            <w:r w:rsidRPr="00936664">
              <w:rPr>
                <w:rFonts w:ascii="Arial" w:hAnsi="Arial" w:cs="Arial"/>
                <w:noProof/>
                <w:sz w:val="22"/>
                <w:szCs w:val="22"/>
              </w:rPr>
              <w:t>1.38</w:t>
            </w:r>
            <w:r w:rsidR="00BE304D" w:rsidRPr="00936664">
              <w:rPr>
                <w:rFonts w:ascii="Arial" w:hAnsi="Arial" w:cs="Arial"/>
                <w:noProof/>
                <w:sz w:val="22"/>
                <w:szCs w:val="22"/>
              </w:rPr>
              <w:t>*</w:t>
            </w:r>
          </w:p>
        </w:tc>
      </w:tr>
    </w:tbl>
    <w:p w:rsidR="005D1A70" w:rsidRDefault="00BE304D" w:rsidP="00EE169A">
      <w:pPr>
        <w:numPr>
          <w:ilvl w:val="12"/>
          <w:numId w:val="0"/>
        </w:numPr>
        <w:tabs>
          <w:tab w:val="right" w:pos="9180"/>
        </w:tabs>
        <w:ind w:right="-93"/>
        <w:rPr>
          <w:rFonts w:ascii="Arial" w:hAnsi="Arial" w:cs="Arial"/>
          <w:noProof/>
          <w:sz w:val="22"/>
          <w:szCs w:val="22"/>
        </w:rPr>
      </w:pPr>
      <w:r>
        <w:rPr>
          <w:rFonts w:ascii="Arial" w:hAnsi="Arial" w:cs="Arial"/>
          <w:noProof/>
          <w:sz w:val="22"/>
          <w:szCs w:val="22"/>
        </w:rPr>
        <w:t>* Non-inferiority demonstrated</w:t>
      </w:r>
    </w:p>
    <w:p w:rsidR="00437005" w:rsidRDefault="00D066E4" w:rsidP="00287617">
      <w:pPr>
        <w:numPr>
          <w:ilvl w:val="12"/>
          <w:numId w:val="0"/>
        </w:numPr>
        <w:tabs>
          <w:tab w:val="right" w:pos="9180"/>
        </w:tabs>
        <w:spacing w:before="100" w:beforeAutospacing="1" w:after="100" w:afterAutospacing="1"/>
        <w:ind w:right="-91"/>
        <w:rPr>
          <w:rFonts w:ascii="Arial" w:hAnsi="Arial" w:cs="Arial"/>
          <w:sz w:val="22"/>
          <w:szCs w:val="22"/>
        </w:rPr>
      </w:pPr>
      <w:r>
        <w:rPr>
          <w:rFonts w:ascii="Arial" w:hAnsi="Arial" w:cs="Arial"/>
          <w:noProof/>
          <w:sz w:val="22"/>
          <w:szCs w:val="22"/>
        </w:rPr>
        <w:t xml:space="preserve">Tafluprost </w:t>
      </w:r>
      <w:r w:rsidRPr="00437005">
        <w:rPr>
          <w:rFonts w:ascii="Arial" w:hAnsi="Arial" w:cs="Arial"/>
          <w:noProof/>
          <w:sz w:val="22"/>
          <w:szCs w:val="22"/>
        </w:rPr>
        <w:t>0.0015%</w:t>
      </w:r>
      <w:r>
        <w:rPr>
          <w:rFonts w:ascii="Arial" w:hAnsi="Arial" w:cs="Arial"/>
          <w:sz w:val="22"/>
          <w:szCs w:val="22"/>
        </w:rPr>
        <w:t xml:space="preserve"> once daily</w:t>
      </w:r>
      <w:r w:rsidRPr="00437005">
        <w:rPr>
          <w:rFonts w:ascii="Arial" w:hAnsi="Arial" w:cs="Arial"/>
          <w:sz w:val="22"/>
          <w:szCs w:val="22"/>
        </w:rPr>
        <w:t xml:space="preserve"> s</w:t>
      </w:r>
      <w:r>
        <w:rPr>
          <w:rFonts w:ascii="Arial" w:hAnsi="Arial" w:cs="Arial"/>
          <w:sz w:val="22"/>
          <w:szCs w:val="22"/>
        </w:rPr>
        <w:t xml:space="preserve">howed a significant </w:t>
      </w:r>
      <w:r w:rsidRPr="00A17D37">
        <w:rPr>
          <w:rFonts w:ascii="Arial" w:hAnsi="Arial" w:cs="Arial"/>
          <w:sz w:val="22"/>
          <w:szCs w:val="22"/>
        </w:rPr>
        <w:t>IOP-lowering</w:t>
      </w:r>
      <w:r w:rsidRPr="00437005">
        <w:rPr>
          <w:rFonts w:ascii="Arial" w:hAnsi="Arial" w:cs="Arial"/>
          <w:sz w:val="22"/>
          <w:szCs w:val="22"/>
        </w:rPr>
        <w:t xml:space="preserve"> effect from baseline of 6 to 8 mmHg as compared to 7 to 9 mmHg with latanopro</w:t>
      </w:r>
      <w:r>
        <w:rPr>
          <w:rFonts w:ascii="Arial" w:hAnsi="Arial" w:cs="Arial"/>
          <w:sz w:val="22"/>
          <w:szCs w:val="22"/>
        </w:rPr>
        <w:t xml:space="preserve">st 0.005%. At the primary endpoint following 6 months treatment, non-inferiority was not demonstrated. However, at the 3-month, 18-month and 24-month (RM ANOVA; unadjusted for baseline IOP) time points and the 3-month and 18-month (RM ANCOVA; adjusted for baseline IOP) time points, non-inferiority was demonstrated. The </w:t>
      </w:r>
      <w:r w:rsidRPr="00A17D37">
        <w:rPr>
          <w:rFonts w:ascii="Arial" w:hAnsi="Arial" w:cs="Arial"/>
          <w:sz w:val="22"/>
          <w:szCs w:val="22"/>
        </w:rPr>
        <w:t>IOP-lowering</w:t>
      </w:r>
      <w:r w:rsidRPr="00437005">
        <w:rPr>
          <w:rFonts w:ascii="Arial" w:hAnsi="Arial" w:cs="Arial"/>
          <w:sz w:val="22"/>
          <w:szCs w:val="22"/>
        </w:rPr>
        <w:t xml:space="preserve"> effect of tafluprost was sustained </w:t>
      </w:r>
      <w:r>
        <w:rPr>
          <w:rFonts w:ascii="Arial" w:hAnsi="Arial" w:cs="Arial"/>
          <w:sz w:val="22"/>
          <w:szCs w:val="22"/>
        </w:rPr>
        <w:t xml:space="preserve">throughout </w:t>
      </w:r>
      <w:r w:rsidRPr="00437005">
        <w:rPr>
          <w:rFonts w:ascii="Arial" w:hAnsi="Arial" w:cs="Arial"/>
          <w:sz w:val="22"/>
          <w:szCs w:val="22"/>
        </w:rPr>
        <w:t>this study up to 24 months.</w:t>
      </w:r>
    </w:p>
    <w:p w:rsidR="00437005" w:rsidRDefault="00C972CA" w:rsidP="00287617">
      <w:pPr>
        <w:numPr>
          <w:ilvl w:val="12"/>
          <w:numId w:val="0"/>
        </w:numPr>
        <w:tabs>
          <w:tab w:val="right" w:pos="9180"/>
        </w:tabs>
        <w:spacing w:before="100" w:beforeAutospacing="1" w:after="100" w:afterAutospacing="1"/>
        <w:ind w:right="-91"/>
        <w:rPr>
          <w:rFonts w:ascii="Arial" w:hAnsi="Arial" w:cs="Arial"/>
          <w:sz w:val="22"/>
          <w:szCs w:val="22"/>
        </w:rPr>
      </w:pPr>
      <w:bookmarkStart w:id="2" w:name="OLE_LINK17"/>
      <w:bookmarkStart w:id="3" w:name="OLE_LINK18"/>
      <w:r>
        <w:rPr>
          <w:rFonts w:ascii="Arial" w:hAnsi="Arial" w:cs="Arial"/>
          <w:sz w:val="22"/>
          <w:szCs w:val="22"/>
        </w:rPr>
        <w:t>A</w:t>
      </w:r>
      <w:r w:rsidR="00437005" w:rsidRPr="00437005">
        <w:rPr>
          <w:rFonts w:ascii="Arial" w:hAnsi="Arial" w:cs="Arial"/>
          <w:sz w:val="22"/>
          <w:szCs w:val="22"/>
        </w:rPr>
        <w:t xml:space="preserve"> </w:t>
      </w:r>
      <w:r w:rsidR="00C23AEE">
        <w:rPr>
          <w:rFonts w:ascii="Arial" w:hAnsi="Arial" w:cs="Arial"/>
          <w:noProof/>
          <w:sz w:val="22"/>
          <w:szCs w:val="22"/>
        </w:rPr>
        <w:t>randomised</w:t>
      </w:r>
      <w:r w:rsidR="00437005" w:rsidRPr="00437005">
        <w:rPr>
          <w:rFonts w:ascii="Arial" w:hAnsi="Arial" w:cs="Arial"/>
          <w:noProof/>
          <w:sz w:val="22"/>
          <w:szCs w:val="22"/>
        </w:rPr>
        <w:t xml:space="preserve">, double-masked, active controlled, parallel group, </w:t>
      </w:r>
      <w:r w:rsidRPr="00437005">
        <w:rPr>
          <w:rFonts w:ascii="Arial" w:hAnsi="Arial" w:cs="Arial"/>
          <w:noProof/>
          <w:sz w:val="22"/>
          <w:szCs w:val="22"/>
        </w:rPr>
        <w:t>multicenter</w:t>
      </w:r>
      <w:r w:rsidR="00217A0F">
        <w:rPr>
          <w:rFonts w:ascii="Arial" w:hAnsi="Arial" w:cs="Arial"/>
          <w:noProof/>
          <w:sz w:val="22"/>
          <w:szCs w:val="22"/>
        </w:rPr>
        <w:t xml:space="preserve"> </w:t>
      </w:r>
      <w:r>
        <w:rPr>
          <w:rFonts w:ascii="Arial" w:hAnsi="Arial" w:cs="Arial"/>
          <w:noProof/>
          <w:sz w:val="22"/>
          <w:szCs w:val="22"/>
        </w:rPr>
        <w:t xml:space="preserve">Phase III </w:t>
      </w:r>
      <w:r w:rsidR="00437005" w:rsidRPr="00437005">
        <w:rPr>
          <w:rFonts w:ascii="Arial" w:hAnsi="Arial" w:cs="Arial"/>
          <w:sz w:val="22"/>
          <w:szCs w:val="22"/>
        </w:rPr>
        <w:t xml:space="preserve">clinical study </w:t>
      </w:r>
      <w:r>
        <w:rPr>
          <w:rFonts w:ascii="Arial" w:hAnsi="Arial" w:cs="Arial"/>
          <w:sz w:val="22"/>
          <w:szCs w:val="22"/>
        </w:rPr>
        <w:t>compared the efficacy and safety of tafluprost 0.0015% with timolol 0.5%</w:t>
      </w:r>
      <w:r w:rsidR="006246D3" w:rsidRPr="006246D3">
        <w:rPr>
          <w:rFonts w:ascii="Arial" w:hAnsi="Arial" w:cs="Arial"/>
          <w:noProof/>
          <w:sz w:val="22"/>
          <w:szCs w:val="22"/>
        </w:rPr>
        <w:t xml:space="preserve"> </w:t>
      </w:r>
      <w:r w:rsidR="006246D3">
        <w:rPr>
          <w:rFonts w:ascii="Arial" w:hAnsi="Arial" w:cs="Arial"/>
          <w:noProof/>
          <w:sz w:val="22"/>
          <w:szCs w:val="22"/>
        </w:rPr>
        <w:t xml:space="preserve">in patients with open-angle glaucoma or ocular hypertension. The primary efficacy endpoint was the change from baseline in the overall diurnal IOP at month 6 and the non-inferiority was determined if the 95% CI did not exceed 1.5mmHg. At the 6 month timepoint, there was a mean change </w:t>
      </w:r>
      <w:r w:rsidR="004D12D0">
        <w:rPr>
          <w:rFonts w:ascii="Arial" w:hAnsi="Arial" w:cs="Arial"/>
          <w:noProof/>
          <w:sz w:val="22"/>
          <w:szCs w:val="22"/>
        </w:rPr>
        <w:t>of</w:t>
      </w:r>
      <w:r w:rsidR="004D12D0" w:rsidRPr="00437005">
        <w:rPr>
          <w:rFonts w:ascii="Arial" w:hAnsi="Arial" w:cs="Arial"/>
          <w:sz w:val="22"/>
          <w:szCs w:val="22"/>
        </w:rPr>
        <w:t xml:space="preserve"> 5 to 7 mmHg </w:t>
      </w:r>
      <w:r w:rsidR="004D12D0">
        <w:rPr>
          <w:rFonts w:ascii="Arial" w:hAnsi="Arial" w:cs="Arial"/>
          <w:sz w:val="22"/>
          <w:szCs w:val="22"/>
        </w:rPr>
        <w:t>in the</w:t>
      </w:r>
      <w:r w:rsidR="00EA64E3">
        <w:rPr>
          <w:rFonts w:ascii="Arial" w:hAnsi="Arial" w:cs="Arial"/>
          <w:sz w:val="22"/>
          <w:szCs w:val="22"/>
        </w:rPr>
        <w:t xml:space="preserve"> tafluprost 0.0015% q.d. group (N=267)</w:t>
      </w:r>
      <w:r w:rsidR="004D12D0">
        <w:rPr>
          <w:rFonts w:ascii="Arial" w:hAnsi="Arial" w:cs="Arial"/>
          <w:sz w:val="22"/>
          <w:szCs w:val="22"/>
        </w:rPr>
        <w:t xml:space="preserve"> </w:t>
      </w:r>
      <w:r w:rsidR="00EA64E3">
        <w:rPr>
          <w:rFonts w:ascii="Arial" w:hAnsi="Arial" w:cs="Arial"/>
          <w:sz w:val="22"/>
          <w:szCs w:val="22"/>
        </w:rPr>
        <w:t>and 4 to 6 mmHg in the</w:t>
      </w:r>
      <w:r w:rsidR="00EA64E3" w:rsidRPr="00437005">
        <w:rPr>
          <w:rFonts w:ascii="Arial" w:hAnsi="Arial" w:cs="Arial"/>
          <w:sz w:val="22"/>
          <w:szCs w:val="22"/>
        </w:rPr>
        <w:t xml:space="preserve"> 0.5% timolol b.i.d. </w:t>
      </w:r>
      <w:r w:rsidR="00EA64E3">
        <w:rPr>
          <w:rFonts w:ascii="Arial" w:hAnsi="Arial" w:cs="Arial"/>
          <w:sz w:val="22"/>
          <w:szCs w:val="22"/>
        </w:rPr>
        <w:t xml:space="preserve">group </w:t>
      </w:r>
      <w:r w:rsidR="00EA64E3" w:rsidRPr="00437005">
        <w:rPr>
          <w:rFonts w:ascii="Arial" w:hAnsi="Arial" w:cs="Arial"/>
          <w:sz w:val="22"/>
          <w:szCs w:val="22"/>
        </w:rPr>
        <w:t xml:space="preserve">(N=191). </w:t>
      </w:r>
      <w:r w:rsidR="00EA64E3">
        <w:rPr>
          <w:rFonts w:ascii="Arial" w:hAnsi="Arial" w:cs="Arial"/>
          <w:noProof/>
          <w:sz w:val="22"/>
          <w:szCs w:val="22"/>
        </w:rPr>
        <w:t>N</w:t>
      </w:r>
      <w:r w:rsidR="004D12D0">
        <w:rPr>
          <w:rFonts w:ascii="Arial" w:hAnsi="Arial" w:cs="Arial"/>
          <w:noProof/>
          <w:sz w:val="22"/>
          <w:szCs w:val="22"/>
        </w:rPr>
        <w:t>on-</w:t>
      </w:r>
      <w:r w:rsidR="006246D3">
        <w:rPr>
          <w:rFonts w:ascii="Arial" w:hAnsi="Arial" w:cs="Arial"/>
          <w:noProof/>
          <w:sz w:val="22"/>
          <w:szCs w:val="22"/>
        </w:rPr>
        <w:t>inferiority to timolol was demonstrate</w:t>
      </w:r>
      <w:r w:rsidR="00EA64E3">
        <w:rPr>
          <w:rFonts w:ascii="Arial" w:hAnsi="Arial" w:cs="Arial"/>
          <w:noProof/>
          <w:sz w:val="22"/>
          <w:szCs w:val="22"/>
        </w:rPr>
        <w:t>d.</w:t>
      </w:r>
      <w:r w:rsidR="00910948">
        <w:rPr>
          <w:rFonts w:ascii="Arial" w:hAnsi="Arial" w:cs="Arial"/>
          <w:noProof/>
          <w:sz w:val="22"/>
          <w:szCs w:val="22"/>
        </w:rPr>
        <w:t xml:space="preserve"> </w:t>
      </w:r>
      <w:r w:rsidR="005670C3" w:rsidRPr="006B300C">
        <w:rPr>
          <w:rFonts w:ascii="Arial" w:hAnsi="Arial" w:cs="Arial"/>
          <w:sz w:val="22"/>
          <w:szCs w:val="22"/>
        </w:rPr>
        <w:t>The IOP-lowering effect of tafluprost was sustained in the extension of this study up to 12 months</w:t>
      </w:r>
      <w:r>
        <w:rPr>
          <w:rFonts w:ascii="Arial" w:hAnsi="Arial" w:cs="Arial"/>
          <w:sz w:val="22"/>
          <w:szCs w:val="22"/>
        </w:rPr>
        <w:t>.</w:t>
      </w:r>
    </w:p>
    <w:p w:rsidR="00914FE0" w:rsidRDefault="00914FE0" w:rsidP="00287617">
      <w:pPr>
        <w:numPr>
          <w:ilvl w:val="12"/>
          <w:numId w:val="0"/>
        </w:numPr>
        <w:tabs>
          <w:tab w:val="right" w:pos="9180"/>
        </w:tabs>
        <w:spacing w:before="100" w:beforeAutospacing="1" w:after="100" w:afterAutospacing="1"/>
        <w:ind w:right="-91"/>
        <w:rPr>
          <w:rFonts w:ascii="Arial" w:hAnsi="Arial" w:cs="Arial"/>
          <w:sz w:val="22"/>
          <w:szCs w:val="22"/>
        </w:rPr>
      </w:pPr>
      <w:r>
        <w:rPr>
          <w:rFonts w:ascii="Arial" w:hAnsi="Arial" w:cs="Arial"/>
          <w:sz w:val="22"/>
          <w:szCs w:val="22"/>
        </w:rPr>
        <w:t>The treatment difference based on ITT (Intent to Treat) dataset are presented in Table</w:t>
      </w:r>
      <w:r w:rsidR="00E911E3">
        <w:rPr>
          <w:rFonts w:ascii="Arial" w:hAnsi="Arial" w:cs="Arial"/>
          <w:sz w:val="22"/>
          <w:szCs w:val="22"/>
        </w:rPr>
        <w:t>s 3 and 4</w:t>
      </w:r>
      <w:r>
        <w:rPr>
          <w:rFonts w:ascii="Arial" w:hAnsi="Arial" w:cs="Arial"/>
          <w:sz w:val="22"/>
          <w:szCs w:val="22"/>
        </w:rPr>
        <w:t xml:space="preserve"> below. ITT dataset included all randomised pat</w:t>
      </w:r>
      <w:r w:rsidR="000830D3">
        <w:rPr>
          <w:rFonts w:ascii="Arial" w:hAnsi="Arial" w:cs="Arial"/>
          <w:sz w:val="22"/>
          <w:szCs w:val="22"/>
        </w:rPr>
        <w:t>ients who had received at least</w:t>
      </w:r>
      <w:r>
        <w:rPr>
          <w:rFonts w:ascii="Arial" w:hAnsi="Arial" w:cs="Arial"/>
          <w:sz w:val="22"/>
          <w:szCs w:val="22"/>
        </w:rPr>
        <w:t xml:space="preserve"> one dose of study treatment and had at least one efficacy measurement available.</w:t>
      </w:r>
    </w:p>
    <w:p w:rsidR="00E911E3" w:rsidRDefault="00817248" w:rsidP="00287617">
      <w:pPr>
        <w:numPr>
          <w:ilvl w:val="12"/>
          <w:numId w:val="0"/>
        </w:numPr>
        <w:tabs>
          <w:tab w:val="right" w:pos="9180"/>
        </w:tabs>
        <w:spacing w:before="100" w:beforeAutospacing="1"/>
        <w:ind w:right="-91"/>
        <w:rPr>
          <w:rFonts w:ascii="Arial" w:hAnsi="Arial" w:cs="Arial"/>
          <w:noProof/>
          <w:sz w:val="22"/>
          <w:szCs w:val="22"/>
        </w:rPr>
      </w:pPr>
      <w:r>
        <w:rPr>
          <w:rFonts w:ascii="Arial" w:hAnsi="Arial" w:cs="Arial"/>
          <w:noProof/>
          <w:sz w:val="22"/>
          <w:szCs w:val="22"/>
        </w:rPr>
        <w:br w:type="page"/>
      </w:r>
      <w:r w:rsidR="00E911E3">
        <w:rPr>
          <w:rFonts w:ascii="Arial" w:hAnsi="Arial" w:cs="Arial"/>
          <w:noProof/>
          <w:sz w:val="22"/>
          <w:szCs w:val="22"/>
        </w:rPr>
        <w:lastRenderedPageBreak/>
        <w:t>Table 3: IOP (in worse eye) and Reduction Compared to Baseline Over 12 Months</w:t>
      </w:r>
    </w:p>
    <w:tbl>
      <w:tblPr>
        <w:tblW w:w="9236" w:type="dxa"/>
        <w:jc w:val="center"/>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ayout w:type="fixed"/>
        <w:tblLook w:val="01E0"/>
      </w:tblPr>
      <w:tblGrid>
        <w:gridCol w:w="1140"/>
        <w:gridCol w:w="767"/>
        <w:gridCol w:w="600"/>
        <w:gridCol w:w="1427"/>
        <w:gridCol w:w="1639"/>
        <w:gridCol w:w="584"/>
        <w:gridCol w:w="1440"/>
        <w:gridCol w:w="1639"/>
      </w:tblGrid>
      <w:tr w:rsidR="00E911E3" w:rsidRPr="00936664" w:rsidTr="00936664">
        <w:trPr>
          <w:jc w:val="center"/>
        </w:trPr>
        <w:tc>
          <w:tcPr>
            <w:tcW w:w="1141" w:type="dxa"/>
            <w:vMerge w:val="restart"/>
            <w:vAlign w:val="center"/>
          </w:tcPr>
          <w:p w:rsidR="00E911E3" w:rsidRPr="00936664" w:rsidRDefault="00E911E3" w:rsidP="00936664">
            <w:pPr>
              <w:tabs>
                <w:tab w:val="right" w:pos="9180"/>
              </w:tabs>
              <w:ind w:right="-93"/>
              <w:jc w:val="center"/>
              <w:rPr>
                <w:rFonts w:ascii="Arial" w:hAnsi="Arial" w:cs="Arial"/>
                <w:sz w:val="22"/>
                <w:szCs w:val="22"/>
              </w:rPr>
            </w:pPr>
          </w:p>
          <w:p w:rsidR="00E911E3" w:rsidRPr="00936664" w:rsidRDefault="00E911E3" w:rsidP="00936664">
            <w:pPr>
              <w:tabs>
                <w:tab w:val="right" w:pos="9180"/>
              </w:tabs>
              <w:ind w:right="-93"/>
              <w:jc w:val="center"/>
              <w:rPr>
                <w:rFonts w:ascii="Arial" w:hAnsi="Arial" w:cs="Arial"/>
                <w:sz w:val="22"/>
                <w:szCs w:val="22"/>
              </w:rPr>
            </w:pPr>
          </w:p>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Visit</w:t>
            </w:r>
          </w:p>
        </w:tc>
        <w:tc>
          <w:tcPr>
            <w:tcW w:w="767" w:type="dxa"/>
            <w:vMerge w:val="restart"/>
            <w:vAlign w:val="center"/>
          </w:tcPr>
          <w:p w:rsidR="00E911E3" w:rsidRPr="00936664" w:rsidRDefault="00E911E3" w:rsidP="00936664">
            <w:pPr>
              <w:tabs>
                <w:tab w:val="right" w:pos="9180"/>
              </w:tabs>
              <w:ind w:right="-93"/>
              <w:jc w:val="center"/>
              <w:rPr>
                <w:rFonts w:ascii="Arial" w:hAnsi="Arial" w:cs="Arial"/>
                <w:sz w:val="22"/>
                <w:szCs w:val="22"/>
              </w:rPr>
            </w:pPr>
          </w:p>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Time Point</w:t>
            </w:r>
          </w:p>
        </w:tc>
        <w:tc>
          <w:tcPr>
            <w:tcW w:w="3664" w:type="dxa"/>
            <w:gridSpan w:val="3"/>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Tafluprost</w:t>
            </w:r>
          </w:p>
        </w:tc>
        <w:tc>
          <w:tcPr>
            <w:tcW w:w="3664" w:type="dxa"/>
            <w:gridSpan w:val="3"/>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Timolol</w:t>
            </w:r>
          </w:p>
        </w:tc>
      </w:tr>
      <w:tr w:rsidR="00E911E3" w:rsidRPr="00936664" w:rsidTr="00936664">
        <w:trPr>
          <w:jc w:val="center"/>
        </w:trPr>
        <w:tc>
          <w:tcPr>
            <w:tcW w:w="1141" w:type="dxa"/>
            <w:vMerge/>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vMerge/>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597" w:type="dxa"/>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N</w:t>
            </w:r>
          </w:p>
        </w:tc>
        <w:tc>
          <w:tcPr>
            <w:tcW w:w="1427" w:type="dxa"/>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Mean (SD) mmHg</w:t>
            </w:r>
          </w:p>
        </w:tc>
        <w:tc>
          <w:tcPr>
            <w:tcW w:w="1640" w:type="dxa"/>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Change</w:t>
            </w:r>
          </w:p>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 Change)</w:t>
            </w:r>
          </w:p>
        </w:tc>
        <w:tc>
          <w:tcPr>
            <w:tcW w:w="584" w:type="dxa"/>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N</w:t>
            </w:r>
          </w:p>
        </w:tc>
        <w:tc>
          <w:tcPr>
            <w:tcW w:w="1440" w:type="dxa"/>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Mean (SD) mmHg</w:t>
            </w:r>
          </w:p>
        </w:tc>
        <w:tc>
          <w:tcPr>
            <w:tcW w:w="1640" w:type="dxa"/>
            <w:tcBorders>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Change</w:t>
            </w:r>
          </w:p>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 Change)</w:t>
            </w:r>
          </w:p>
        </w:tc>
      </w:tr>
      <w:tr w:rsidR="00E911E3" w:rsidRPr="00936664" w:rsidTr="00936664">
        <w:trPr>
          <w:jc w:val="center"/>
        </w:trPr>
        <w:tc>
          <w:tcPr>
            <w:tcW w:w="1141"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Baseline</w:t>
            </w:r>
          </w:p>
        </w:tc>
        <w:tc>
          <w:tcPr>
            <w:tcW w:w="76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9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265</w:t>
            </w:r>
          </w:p>
        </w:tc>
        <w:tc>
          <w:tcPr>
            <w:tcW w:w="142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25.61 (3.06)</w:t>
            </w:r>
          </w:p>
        </w:tc>
        <w:tc>
          <w:tcPr>
            <w:tcW w:w="16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187</w:t>
            </w:r>
          </w:p>
        </w:tc>
        <w:tc>
          <w:tcPr>
            <w:tcW w:w="14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25.63 (3.18)</w:t>
            </w:r>
          </w:p>
        </w:tc>
        <w:tc>
          <w:tcPr>
            <w:tcW w:w="16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E911E3" w:rsidRPr="00936664" w:rsidTr="00936664">
        <w:trPr>
          <w:jc w:val="center"/>
        </w:trPr>
        <w:tc>
          <w:tcPr>
            <w:tcW w:w="1141"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59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265</w:t>
            </w:r>
          </w:p>
        </w:tc>
        <w:tc>
          <w:tcPr>
            <w:tcW w:w="142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23.52 (3.61)</w:t>
            </w:r>
          </w:p>
        </w:tc>
        <w:tc>
          <w:tcPr>
            <w:tcW w:w="16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187</w:t>
            </w:r>
          </w:p>
        </w:tc>
        <w:tc>
          <w:tcPr>
            <w:tcW w:w="14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23.80 (3.84)</w:t>
            </w:r>
          </w:p>
        </w:tc>
        <w:tc>
          <w:tcPr>
            <w:tcW w:w="16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E911E3" w:rsidRPr="00936664" w:rsidTr="00936664">
        <w:trPr>
          <w:jc w:val="center"/>
        </w:trPr>
        <w:tc>
          <w:tcPr>
            <w:tcW w:w="1141"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9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265</w:t>
            </w:r>
          </w:p>
        </w:tc>
        <w:tc>
          <w:tcPr>
            <w:tcW w:w="142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22.57 (3.70)</w:t>
            </w:r>
          </w:p>
        </w:tc>
        <w:tc>
          <w:tcPr>
            <w:tcW w:w="16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t>
            </w:r>
          </w:p>
        </w:tc>
        <w:tc>
          <w:tcPr>
            <w:tcW w:w="584"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187</w:t>
            </w:r>
          </w:p>
        </w:tc>
        <w:tc>
          <w:tcPr>
            <w:tcW w:w="14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22.66 (4.03)</w:t>
            </w:r>
          </w:p>
        </w:tc>
        <w:tc>
          <w:tcPr>
            <w:tcW w:w="16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t>
            </w:r>
          </w:p>
        </w:tc>
      </w:tr>
      <w:tr w:rsidR="00E911E3" w:rsidRPr="00936664" w:rsidTr="00936664">
        <w:trPr>
          <w:jc w:val="center"/>
        </w:trPr>
        <w:tc>
          <w:tcPr>
            <w:tcW w:w="1141"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Week 2</w:t>
            </w:r>
          </w:p>
        </w:tc>
        <w:tc>
          <w:tcPr>
            <w:tcW w:w="76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9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265</w:t>
            </w:r>
          </w:p>
        </w:tc>
        <w:tc>
          <w:tcPr>
            <w:tcW w:w="142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18.64 (3.32)</w:t>
            </w:r>
          </w:p>
        </w:tc>
        <w:tc>
          <w:tcPr>
            <w:tcW w:w="16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-6.96 (-26.8%)</w:t>
            </w:r>
          </w:p>
        </w:tc>
        <w:tc>
          <w:tcPr>
            <w:tcW w:w="584"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187</w:t>
            </w:r>
          </w:p>
        </w:tc>
        <w:tc>
          <w:tcPr>
            <w:tcW w:w="14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19.14 (3.37)</w:t>
            </w:r>
          </w:p>
        </w:tc>
        <w:tc>
          <w:tcPr>
            <w:tcW w:w="16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-6.49 (-25.0%)</w:t>
            </w:r>
          </w:p>
        </w:tc>
      </w:tr>
      <w:tr w:rsidR="00E911E3" w:rsidRPr="00936664" w:rsidTr="00936664">
        <w:trPr>
          <w:jc w:val="center"/>
        </w:trPr>
        <w:tc>
          <w:tcPr>
            <w:tcW w:w="1141"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59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77</w:t>
            </w:r>
          </w:p>
        </w:tc>
        <w:tc>
          <w:tcPr>
            <w:tcW w:w="142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17.44 (2.95)</w:t>
            </w:r>
          </w:p>
        </w:tc>
        <w:tc>
          <w:tcPr>
            <w:tcW w:w="16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-6.12 (-24.8%)</w:t>
            </w:r>
          </w:p>
        </w:tc>
        <w:tc>
          <w:tcPr>
            <w:tcW w:w="584"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62</w:t>
            </w:r>
          </w:p>
        </w:tc>
        <w:tc>
          <w:tcPr>
            <w:tcW w:w="14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17.65 (2.91)</w:t>
            </w:r>
          </w:p>
        </w:tc>
        <w:tc>
          <w:tcPr>
            <w:tcW w:w="16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-5.94 (-23.9%)</w:t>
            </w:r>
          </w:p>
        </w:tc>
      </w:tr>
      <w:tr w:rsidR="00E911E3" w:rsidRPr="00936664" w:rsidTr="00936664">
        <w:trPr>
          <w:jc w:val="center"/>
        </w:trPr>
        <w:tc>
          <w:tcPr>
            <w:tcW w:w="1141"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9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77</w:t>
            </w:r>
          </w:p>
        </w:tc>
        <w:tc>
          <w:tcPr>
            <w:tcW w:w="142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17.45 (2.88)</w:t>
            </w:r>
          </w:p>
        </w:tc>
        <w:tc>
          <w:tcPr>
            <w:tcW w:w="16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-5.44 (-22.3%)</w:t>
            </w:r>
          </w:p>
        </w:tc>
        <w:tc>
          <w:tcPr>
            <w:tcW w:w="584"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62</w:t>
            </w:r>
          </w:p>
        </w:tc>
        <w:tc>
          <w:tcPr>
            <w:tcW w:w="14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17.76 (2.99)</w:t>
            </w:r>
          </w:p>
        </w:tc>
        <w:tc>
          <w:tcPr>
            <w:tcW w:w="16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-5.03 (-20.4%)</w:t>
            </w:r>
          </w:p>
        </w:tc>
      </w:tr>
      <w:tr w:rsidR="00E911E3" w:rsidRPr="00936664" w:rsidTr="00936664">
        <w:trPr>
          <w:jc w:val="center"/>
        </w:trPr>
        <w:tc>
          <w:tcPr>
            <w:tcW w:w="1141"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Week 6</w:t>
            </w:r>
          </w:p>
        </w:tc>
        <w:tc>
          <w:tcPr>
            <w:tcW w:w="76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59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260</w:t>
            </w:r>
          </w:p>
        </w:tc>
        <w:tc>
          <w:tcPr>
            <w:tcW w:w="1427"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18.56 (3.23)</w:t>
            </w:r>
          </w:p>
        </w:tc>
        <w:tc>
          <w:tcPr>
            <w:tcW w:w="16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-7.07 (-27.2%)</w:t>
            </w:r>
          </w:p>
        </w:tc>
        <w:tc>
          <w:tcPr>
            <w:tcW w:w="584"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185</w:t>
            </w:r>
          </w:p>
        </w:tc>
        <w:tc>
          <w:tcPr>
            <w:tcW w:w="14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18.64 (3.50)</w:t>
            </w:r>
          </w:p>
        </w:tc>
        <w:tc>
          <w:tcPr>
            <w:tcW w:w="1640" w:type="dxa"/>
            <w:tcBorders>
              <w:top w:val="single" w:sz="4" w:space="0" w:color="auto"/>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-6.94 (-26.8%)</w:t>
            </w:r>
          </w:p>
        </w:tc>
      </w:tr>
      <w:tr w:rsidR="00E911E3" w:rsidRPr="00936664" w:rsidTr="00936664">
        <w:trPr>
          <w:jc w:val="center"/>
        </w:trPr>
        <w:tc>
          <w:tcPr>
            <w:tcW w:w="1141"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59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141</w:t>
            </w:r>
          </w:p>
        </w:tc>
        <w:tc>
          <w:tcPr>
            <w:tcW w:w="1427"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17.29 (3.18)</w:t>
            </w:r>
          </w:p>
        </w:tc>
        <w:tc>
          <w:tcPr>
            <w:tcW w:w="16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-5.73 (-24.0%)</w:t>
            </w:r>
          </w:p>
        </w:tc>
        <w:tc>
          <w:tcPr>
            <w:tcW w:w="584"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105</w:t>
            </w:r>
          </w:p>
        </w:tc>
        <w:tc>
          <w:tcPr>
            <w:tcW w:w="14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17.49 (3.07)</w:t>
            </w:r>
          </w:p>
        </w:tc>
        <w:tc>
          <w:tcPr>
            <w:tcW w:w="1640" w:type="dxa"/>
            <w:tcBorders>
              <w:top w:val="nil"/>
              <w:bottom w:val="nil"/>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-5.95 (-24.5%)</w:t>
            </w:r>
          </w:p>
        </w:tc>
      </w:tr>
      <w:tr w:rsidR="00E911E3" w:rsidRPr="00936664" w:rsidTr="00936664">
        <w:trPr>
          <w:jc w:val="center"/>
        </w:trPr>
        <w:tc>
          <w:tcPr>
            <w:tcW w:w="1141"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p>
        </w:tc>
        <w:tc>
          <w:tcPr>
            <w:tcW w:w="76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59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140</w:t>
            </w:r>
          </w:p>
        </w:tc>
        <w:tc>
          <w:tcPr>
            <w:tcW w:w="1427"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16.95 (3.09)</w:t>
            </w:r>
          </w:p>
        </w:tc>
        <w:tc>
          <w:tcPr>
            <w:tcW w:w="16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-5.13 (-21.8%)</w:t>
            </w:r>
          </w:p>
        </w:tc>
        <w:tc>
          <w:tcPr>
            <w:tcW w:w="584"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105</w:t>
            </w:r>
          </w:p>
        </w:tc>
        <w:tc>
          <w:tcPr>
            <w:tcW w:w="14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17.69 (3.33)</w:t>
            </w:r>
          </w:p>
        </w:tc>
        <w:tc>
          <w:tcPr>
            <w:tcW w:w="1640" w:type="dxa"/>
            <w:tcBorders>
              <w:top w:val="nil"/>
              <w:bottom w:val="single" w:sz="4" w:space="0" w:color="auto"/>
            </w:tcBorders>
            <w:vAlign w:val="center"/>
          </w:tcPr>
          <w:p w:rsidR="00E911E3" w:rsidRPr="00936664" w:rsidRDefault="00E911E3" w:rsidP="00936664">
            <w:pPr>
              <w:tabs>
                <w:tab w:val="right" w:pos="9180"/>
              </w:tabs>
              <w:ind w:right="-93"/>
              <w:jc w:val="center"/>
              <w:rPr>
                <w:rFonts w:ascii="Arial" w:hAnsi="Arial" w:cs="Arial"/>
                <w:sz w:val="22"/>
                <w:szCs w:val="22"/>
              </w:rPr>
            </w:pPr>
            <w:r w:rsidRPr="00936664">
              <w:rPr>
                <w:rFonts w:ascii="Arial" w:hAnsi="Arial" w:cs="Arial"/>
                <w:sz w:val="22"/>
                <w:szCs w:val="22"/>
              </w:rPr>
              <w:t>-5.00 (-21.1%)</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Month 3</w:t>
            </w: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257</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18.96 (3.44)</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-6.67 (-25.8%)</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180</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19.32 (3.93)</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-6.28 (-24.4%)</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257</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17.75 (3.23)</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-5.74 (-23.7%)</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179</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17.87 (3.46)</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-5.87 (-24.1%)</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257</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17.32 (2.94)</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-5.21 (-21.9%)</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180</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17.71 (3.40)</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-4.84 (-20.5%)</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Month 6</w:t>
            </w: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251</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19.02 (3.42)</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-6.58 (-25.4%)</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171</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19.03 (3.72)</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-6.45 (-25.2%)</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251</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17.90 (3.32)</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-5.54 (-22.9%)</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172</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17.97 (3.43)</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-5.64 (-23.1%)</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249</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17.22 (2.83)</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-5.27 (-22.4%)</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171</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18.06 (3.14)</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-4.38 (-18.2%)</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Month 9</w:t>
            </w: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247</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18.42 (3.32)</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-7.20 (-27.8%)</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165</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18.88 (3.27)</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-6.50 (-25.3%)</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246</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17.65 (3.22)</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-5.80 (-24.0%)</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165</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17.96 (3.30)</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-5.46 (-22.6%)</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Month 12</w:t>
            </w: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8:00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240</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18.92 (3.49)</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-6.67 (-25.7%)</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162</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18.49 (3.07)</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-6.81 (-26.7%)</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10:00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239</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17.82 (3.42)</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-5.55 (-23.0%)</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159</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17.83 (3.26)</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-5.49 (-22.7%)</w:t>
            </w:r>
          </w:p>
        </w:tc>
      </w:tr>
      <w:tr w:rsidR="00C605B6" w:rsidRPr="00936664" w:rsidTr="00936664">
        <w:tblPrEx>
          <w:jc w:val="left"/>
          <w:tblBorders>
            <w:top w:val="single" w:sz="4" w:space="0" w:color="auto"/>
            <w:bottom w:val="single" w:sz="4" w:space="0" w:color="auto"/>
          </w:tblBorders>
        </w:tblPrEx>
        <w:tc>
          <w:tcPr>
            <w:tcW w:w="1141" w:type="dxa"/>
          </w:tcPr>
          <w:p w:rsidR="00C605B6" w:rsidRPr="00936664" w:rsidRDefault="00C605B6" w:rsidP="00936664">
            <w:pPr>
              <w:tabs>
                <w:tab w:val="right" w:pos="9180"/>
              </w:tabs>
              <w:ind w:right="-93"/>
              <w:jc w:val="center"/>
              <w:rPr>
                <w:rFonts w:ascii="Arial" w:hAnsi="Arial" w:cs="Arial"/>
                <w:sz w:val="22"/>
                <w:szCs w:val="22"/>
              </w:rPr>
            </w:pPr>
          </w:p>
        </w:tc>
        <w:tc>
          <w:tcPr>
            <w:tcW w:w="767"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16:00</w:t>
            </w:r>
          </w:p>
        </w:tc>
        <w:tc>
          <w:tcPr>
            <w:tcW w:w="60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239</w:t>
            </w:r>
          </w:p>
        </w:tc>
        <w:tc>
          <w:tcPr>
            <w:tcW w:w="142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17.65 (3.21)</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-4.74 (-20.0%)</w:t>
            </w:r>
          </w:p>
        </w:tc>
        <w:tc>
          <w:tcPr>
            <w:tcW w:w="584"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159</w:t>
            </w:r>
          </w:p>
        </w:tc>
        <w:tc>
          <w:tcPr>
            <w:tcW w:w="14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18.15 (2.94)</w:t>
            </w:r>
          </w:p>
        </w:tc>
        <w:tc>
          <w:tcPr>
            <w:tcW w:w="1640" w:type="dxa"/>
          </w:tcPr>
          <w:p w:rsidR="00C605B6" w:rsidRPr="00936664" w:rsidRDefault="00C605B6" w:rsidP="00936664">
            <w:pPr>
              <w:tabs>
                <w:tab w:val="right" w:pos="9180"/>
              </w:tabs>
              <w:ind w:right="-93"/>
              <w:jc w:val="center"/>
              <w:rPr>
                <w:rFonts w:ascii="Arial" w:hAnsi="Arial" w:cs="Arial"/>
                <w:sz w:val="22"/>
                <w:szCs w:val="22"/>
              </w:rPr>
            </w:pPr>
            <w:r w:rsidRPr="00936664">
              <w:rPr>
                <w:rFonts w:ascii="Arial" w:hAnsi="Arial" w:cs="Arial"/>
                <w:sz w:val="22"/>
                <w:szCs w:val="22"/>
              </w:rPr>
              <w:t>-3.94 (-16.7%)</w:t>
            </w:r>
          </w:p>
        </w:tc>
      </w:tr>
    </w:tbl>
    <w:p w:rsidR="00914FE0" w:rsidRDefault="00E911E3" w:rsidP="00287617">
      <w:pPr>
        <w:numPr>
          <w:ilvl w:val="12"/>
          <w:numId w:val="0"/>
        </w:numPr>
        <w:tabs>
          <w:tab w:val="right" w:pos="9180"/>
        </w:tabs>
        <w:spacing w:before="240"/>
        <w:ind w:right="-91"/>
        <w:rPr>
          <w:rFonts w:ascii="Arial" w:hAnsi="Arial" w:cs="Arial"/>
          <w:sz w:val="22"/>
          <w:szCs w:val="22"/>
        </w:rPr>
      </w:pPr>
      <w:r>
        <w:rPr>
          <w:rFonts w:ascii="Arial" w:hAnsi="Arial" w:cs="Arial"/>
          <w:sz w:val="22"/>
          <w:szCs w:val="22"/>
        </w:rPr>
        <w:t>Table 4</w:t>
      </w:r>
      <w:r w:rsidR="00914FE0">
        <w:rPr>
          <w:rFonts w:ascii="Arial" w:hAnsi="Arial" w:cs="Arial"/>
          <w:sz w:val="22"/>
          <w:szCs w:val="22"/>
        </w:rPr>
        <w:t>: The Estimated Treatment Difference (tafluprost-timolol)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8"/>
        <w:gridCol w:w="1848"/>
        <w:gridCol w:w="1849"/>
        <w:gridCol w:w="1849"/>
        <w:gridCol w:w="1849"/>
      </w:tblGrid>
      <w:tr w:rsidR="00914FE0" w:rsidRPr="00936664" w:rsidTr="00936664">
        <w:tc>
          <w:tcPr>
            <w:tcW w:w="1848" w:type="dxa"/>
          </w:tcPr>
          <w:p w:rsidR="00914FE0" w:rsidRPr="00936664" w:rsidRDefault="00914FE0" w:rsidP="00936664">
            <w:pPr>
              <w:numPr>
                <w:ilvl w:val="12"/>
                <w:numId w:val="0"/>
              </w:numPr>
              <w:tabs>
                <w:tab w:val="right" w:pos="9180"/>
              </w:tabs>
              <w:ind w:right="-93"/>
              <w:rPr>
                <w:rFonts w:ascii="Arial" w:hAnsi="Arial" w:cs="Arial"/>
                <w:sz w:val="22"/>
                <w:szCs w:val="22"/>
              </w:rPr>
            </w:pPr>
            <w:r w:rsidRPr="00936664">
              <w:rPr>
                <w:rFonts w:ascii="Arial" w:hAnsi="Arial" w:cs="Arial"/>
                <w:noProof/>
                <w:sz w:val="22"/>
                <w:szCs w:val="22"/>
              </w:rPr>
              <w:t>ITT Efficacy</w:t>
            </w:r>
          </w:p>
        </w:tc>
        <w:tc>
          <w:tcPr>
            <w:tcW w:w="3697" w:type="dxa"/>
            <w:gridSpan w:val="2"/>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RM ANCOVA</w:t>
            </w:r>
          </w:p>
        </w:tc>
        <w:tc>
          <w:tcPr>
            <w:tcW w:w="3698" w:type="dxa"/>
            <w:gridSpan w:val="2"/>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RM ANOVA</w:t>
            </w:r>
          </w:p>
        </w:tc>
      </w:tr>
      <w:tr w:rsidR="00914FE0" w:rsidRPr="00936664" w:rsidTr="00936664">
        <w:tc>
          <w:tcPr>
            <w:tcW w:w="1848"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Visit</w:t>
            </w:r>
          </w:p>
        </w:tc>
        <w:tc>
          <w:tcPr>
            <w:tcW w:w="1848"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Difference</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Upper 95% CI</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Difference</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Upper 95% CI</w:t>
            </w:r>
          </w:p>
        </w:tc>
      </w:tr>
      <w:tr w:rsidR="00914FE0" w:rsidRPr="00936664" w:rsidTr="00936664">
        <w:tc>
          <w:tcPr>
            <w:tcW w:w="1848" w:type="dxa"/>
          </w:tcPr>
          <w:p w:rsidR="00914FE0" w:rsidRPr="00936664" w:rsidRDefault="00914FE0" w:rsidP="00936664">
            <w:pPr>
              <w:numPr>
                <w:ilvl w:val="12"/>
                <w:numId w:val="0"/>
              </w:numPr>
              <w:tabs>
                <w:tab w:val="right" w:pos="9180"/>
              </w:tabs>
              <w:ind w:right="-93"/>
              <w:rPr>
                <w:rFonts w:ascii="Arial" w:hAnsi="Arial" w:cs="Arial"/>
                <w:sz w:val="22"/>
                <w:szCs w:val="22"/>
              </w:rPr>
            </w:pPr>
            <w:r w:rsidRPr="00936664">
              <w:rPr>
                <w:rFonts w:ascii="Arial" w:hAnsi="Arial" w:cs="Arial"/>
                <w:noProof/>
                <w:sz w:val="22"/>
                <w:szCs w:val="22"/>
              </w:rPr>
              <w:t>Month 6</w:t>
            </w:r>
          </w:p>
        </w:tc>
        <w:tc>
          <w:tcPr>
            <w:tcW w:w="1848"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-0.28</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0.21*</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sz w:val="22"/>
                <w:szCs w:val="22"/>
              </w:rPr>
              <w:t>-0.27</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0.29*</w:t>
            </w:r>
          </w:p>
        </w:tc>
      </w:tr>
      <w:tr w:rsidR="00914FE0" w:rsidRPr="00936664" w:rsidTr="00936664">
        <w:tc>
          <w:tcPr>
            <w:tcW w:w="1848" w:type="dxa"/>
          </w:tcPr>
          <w:p w:rsidR="00914FE0" w:rsidRPr="00936664" w:rsidRDefault="00914FE0" w:rsidP="00936664">
            <w:pPr>
              <w:numPr>
                <w:ilvl w:val="12"/>
                <w:numId w:val="0"/>
              </w:numPr>
              <w:tabs>
                <w:tab w:val="right" w:pos="9180"/>
              </w:tabs>
              <w:ind w:right="-93"/>
              <w:rPr>
                <w:rFonts w:ascii="Arial" w:hAnsi="Arial" w:cs="Arial"/>
                <w:sz w:val="22"/>
                <w:szCs w:val="22"/>
              </w:rPr>
            </w:pPr>
            <w:r w:rsidRPr="00936664">
              <w:rPr>
                <w:rFonts w:ascii="Arial" w:hAnsi="Arial" w:cs="Arial"/>
                <w:noProof/>
                <w:sz w:val="22"/>
                <w:szCs w:val="22"/>
              </w:rPr>
              <w:t>Month 12</w:t>
            </w:r>
          </w:p>
        </w:tc>
        <w:tc>
          <w:tcPr>
            <w:tcW w:w="1848"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-0.09</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0.43*</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-0.26</w:t>
            </w:r>
          </w:p>
        </w:tc>
        <w:tc>
          <w:tcPr>
            <w:tcW w:w="1849" w:type="dxa"/>
          </w:tcPr>
          <w:p w:rsidR="00914FE0" w:rsidRPr="00936664" w:rsidRDefault="00914FE0" w:rsidP="00936664">
            <w:pPr>
              <w:numPr>
                <w:ilvl w:val="12"/>
                <w:numId w:val="0"/>
              </w:numPr>
              <w:tabs>
                <w:tab w:val="right" w:pos="9180"/>
              </w:tabs>
              <w:ind w:right="-93"/>
              <w:jc w:val="center"/>
              <w:rPr>
                <w:rFonts w:ascii="Arial" w:hAnsi="Arial" w:cs="Arial"/>
                <w:sz w:val="22"/>
                <w:szCs w:val="22"/>
              </w:rPr>
            </w:pPr>
            <w:r w:rsidRPr="00936664">
              <w:rPr>
                <w:rFonts w:ascii="Arial" w:hAnsi="Arial" w:cs="Arial"/>
                <w:noProof/>
                <w:sz w:val="22"/>
                <w:szCs w:val="22"/>
              </w:rPr>
              <w:t>0.32*</w:t>
            </w:r>
          </w:p>
        </w:tc>
      </w:tr>
    </w:tbl>
    <w:p w:rsidR="00437005" w:rsidRDefault="00D066E4" w:rsidP="00EE169A">
      <w:pPr>
        <w:numPr>
          <w:ilvl w:val="12"/>
          <w:numId w:val="0"/>
        </w:numPr>
        <w:tabs>
          <w:tab w:val="right" w:pos="9180"/>
        </w:tabs>
        <w:ind w:right="-93"/>
        <w:rPr>
          <w:rFonts w:ascii="Arial" w:hAnsi="Arial" w:cs="Arial"/>
          <w:sz w:val="22"/>
          <w:szCs w:val="22"/>
        </w:rPr>
      </w:pPr>
      <w:r>
        <w:rPr>
          <w:rFonts w:ascii="Arial" w:hAnsi="Arial" w:cs="Arial"/>
          <w:sz w:val="22"/>
          <w:szCs w:val="22"/>
        </w:rPr>
        <w:t>* Non-inferiority demonstrated</w:t>
      </w:r>
    </w:p>
    <w:p w:rsidR="00437005" w:rsidRPr="00437005" w:rsidRDefault="00437005" w:rsidP="00287617">
      <w:pPr>
        <w:numPr>
          <w:ilvl w:val="12"/>
          <w:numId w:val="0"/>
        </w:numPr>
        <w:tabs>
          <w:tab w:val="right" w:pos="9180"/>
        </w:tabs>
        <w:spacing w:before="100" w:beforeAutospacing="1" w:after="100" w:afterAutospacing="1"/>
        <w:ind w:right="-91"/>
        <w:outlineLvl w:val="0"/>
        <w:rPr>
          <w:rFonts w:ascii="Arial" w:hAnsi="Arial" w:cs="Arial"/>
          <w:b/>
          <w:i/>
          <w:sz w:val="22"/>
          <w:szCs w:val="22"/>
        </w:rPr>
      </w:pPr>
      <w:r w:rsidRPr="00437005">
        <w:rPr>
          <w:rFonts w:ascii="Arial" w:hAnsi="Arial" w:cs="Arial"/>
          <w:b/>
          <w:i/>
          <w:sz w:val="22"/>
          <w:szCs w:val="22"/>
        </w:rPr>
        <w:t>Adjunctive therapy to Beta</w:t>
      </w:r>
      <w:r w:rsidR="0033098A" w:rsidRPr="00A17D37">
        <w:rPr>
          <w:rFonts w:ascii="Arial" w:hAnsi="Arial" w:cs="Arial"/>
          <w:b/>
          <w:i/>
          <w:sz w:val="22"/>
          <w:szCs w:val="22"/>
        </w:rPr>
        <w:t>-</w:t>
      </w:r>
      <w:r w:rsidRPr="00437005">
        <w:rPr>
          <w:rFonts w:ascii="Arial" w:hAnsi="Arial" w:cs="Arial"/>
          <w:b/>
          <w:i/>
          <w:sz w:val="22"/>
          <w:szCs w:val="22"/>
        </w:rPr>
        <w:t>Blocker</w:t>
      </w:r>
    </w:p>
    <w:p w:rsidR="00437005" w:rsidRPr="00437005" w:rsidRDefault="00437005" w:rsidP="00287617">
      <w:pPr>
        <w:numPr>
          <w:ilvl w:val="12"/>
          <w:numId w:val="0"/>
        </w:numPr>
        <w:tabs>
          <w:tab w:val="right" w:pos="9180"/>
        </w:tabs>
        <w:spacing w:after="100" w:afterAutospacing="1"/>
        <w:ind w:right="-91"/>
        <w:rPr>
          <w:rFonts w:ascii="Arial" w:hAnsi="Arial" w:cs="Arial"/>
          <w:sz w:val="22"/>
          <w:szCs w:val="22"/>
        </w:rPr>
      </w:pPr>
      <w:r w:rsidRPr="00437005">
        <w:rPr>
          <w:rFonts w:ascii="Arial" w:hAnsi="Arial" w:cs="Arial"/>
          <w:sz w:val="22"/>
          <w:szCs w:val="22"/>
        </w:rPr>
        <w:t xml:space="preserve">The efficacy of tafluprost as adjunctive therapy to timolol in patients with primary open-angle glaucoma or ocular hypertension (baseline IOP </w:t>
      </w:r>
      <w:r w:rsidRPr="00437005">
        <w:rPr>
          <w:rFonts w:ascii="Arial" w:hAnsi="Arial" w:cs="Arial"/>
          <w:sz w:val="22"/>
          <w:szCs w:val="22"/>
        </w:rPr>
        <w:sym w:font="Symbol" w:char="F0B3"/>
      </w:r>
      <w:r w:rsidRPr="00437005">
        <w:rPr>
          <w:rFonts w:ascii="Arial" w:hAnsi="Arial" w:cs="Arial"/>
          <w:sz w:val="22"/>
          <w:szCs w:val="22"/>
        </w:rPr>
        <w:t xml:space="preserve">23 mmHg) was demonstrated in a 6-week </w:t>
      </w:r>
      <w:r w:rsidR="00C23AEE">
        <w:rPr>
          <w:rFonts w:ascii="Arial" w:hAnsi="Arial" w:cs="Arial"/>
          <w:noProof/>
          <w:sz w:val="22"/>
          <w:szCs w:val="22"/>
        </w:rPr>
        <w:t>randomised</w:t>
      </w:r>
      <w:r w:rsidRPr="00437005">
        <w:rPr>
          <w:rFonts w:ascii="Arial" w:hAnsi="Arial" w:cs="Arial"/>
          <w:noProof/>
          <w:sz w:val="22"/>
          <w:szCs w:val="22"/>
        </w:rPr>
        <w:t xml:space="preserve">, double-masked, placebo controlled, parallel group, multinational </w:t>
      </w:r>
      <w:r w:rsidRPr="00437005">
        <w:rPr>
          <w:rFonts w:ascii="Arial" w:hAnsi="Arial" w:cs="Arial"/>
          <w:sz w:val="22"/>
          <w:szCs w:val="22"/>
        </w:rPr>
        <w:t xml:space="preserve">study. The diurnal </w:t>
      </w:r>
      <w:r w:rsidRPr="00A17D37">
        <w:rPr>
          <w:rFonts w:ascii="Arial" w:hAnsi="Arial" w:cs="Arial"/>
          <w:sz w:val="22"/>
          <w:szCs w:val="22"/>
        </w:rPr>
        <w:t>IOP</w:t>
      </w:r>
      <w:r w:rsidR="0033098A" w:rsidRPr="00A17D37">
        <w:rPr>
          <w:rFonts w:ascii="Arial" w:hAnsi="Arial" w:cs="Arial"/>
          <w:sz w:val="22"/>
          <w:szCs w:val="22"/>
        </w:rPr>
        <w:t>-</w:t>
      </w:r>
      <w:r w:rsidRPr="00A17D37">
        <w:rPr>
          <w:rFonts w:ascii="Arial" w:hAnsi="Arial" w:cs="Arial"/>
          <w:sz w:val="22"/>
          <w:szCs w:val="22"/>
        </w:rPr>
        <w:t>lowering</w:t>
      </w:r>
      <w:r w:rsidRPr="00437005">
        <w:rPr>
          <w:rFonts w:ascii="Arial" w:hAnsi="Arial" w:cs="Arial"/>
          <w:sz w:val="22"/>
          <w:szCs w:val="22"/>
        </w:rPr>
        <w:t xml:space="preserve"> effect of tafluprost 0.0015% q.d. (N=96) was compared to vehicle q.d. (N=89) when used adjunctively with timolol 0.5% administered b.i.d. Compared to baseline values (measured after a 4-week run in on timolol), the additional IOP-lowering effects were 5 to 6 mmHg in the timolol-tafluprost group and 3 to 4 mmHg in the timolol-vehicle group. </w:t>
      </w:r>
    </w:p>
    <w:p w:rsidR="00437005" w:rsidRPr="00437005" w:rsidRDefault="00437005" w:rsidP="00287617">
      <w:pPr>
        <w:numPr>
          <w:ilvl w:val="12"/>
          <w:numId w:val="0"/>
        </w:numPr>
        <w:tabs>
          <w:tab w:val="right" w:pos="9180"/>
        </w:tabs>
        <w:spacing w:before="100" w:beforeAutospacing="1"/>
        <w:ind w:right="-91"/>
        <w:outlineLvl w:val="0"/>
        <w:rPr>
          <w:rFonts w:ascii="Arial" w:hAnsi="Arial" w:cs="Arial"/>
          <w:b/>
          <w:i/>
          <w:sz w:val="22"/>
          <w:szCs w:val="22"/>
        </w:rPr>
      </w:pPr>
      <w:r w:rsidRPr="00437005">
        <w:rPr>
          <w:rFonts w:ascii="Arial" w:hAnsi="Arial" w:cs="Arial"/>
          <w:b/>
          <w:i/>
          <w:sz w:val="22"/>
          <w:szCs w:val="22"/>
        </w:rPr>
        <w:t>Preservative</w:t>
      </w:r>
      <w:r w:rsidR="0033098A" w:rsidRPr="00A17D37">
        <w:rPr>
          <w:rFonts w:ascii="Arial" w:hAnsi="Arial" w:cs="Arial"/>
          <w:b/>
          <w:i/>
          <w:sz w:val="22"/>
          <w:szCs w:val="22"/>
        </w:rPr>
        <w:t>-</w:t>
      </w:r>
      <w:r w:rsidRPr="00437005">
        <w:rPr>
          <w:rFonts w:ascii="Arial" w:hAnsi="Arial" w:cs="Arial"/>
          <w:b/>
          <w:i/>
          <w:sz w:val="22"/>
          <w:szCs w:val="22"/>
        </w:rPr>
        <w:t>Free Versus Preservative</w:t>
      </w:r>
      <w:r w:rsidR="0033098A" w:rsidRPr="00A17D37">
        <w:rPr>
          <w:rFonts w:ascii="Arial" w:hAnsi="Arial" w:cs="Arial"/>
          <w:b/>
          <w:i/>
          <w:sz w:val="22"/>
          <w:szCs w:val="22"/>
        </w:rPr>
        <w:t>-</w:t>
      </w:r>
      <w:r w:rsidRPr="00437005">
        <w:rPr>
          <w:rFonts w:ascii="Arial" w:hAnsi="Arial" w:cs="Arial"/>
          <w:b/>
          <w:i/>
          <w:sz w:val="22"/>
          <w:szCs w:val="22"/>
        </w:rPr>
        <w:t>Containing</w:t>
      </w:r>
    </w:p>
    <w:p w:rsidR="00437005" w:rsidRPr="00437005" w:rsidRDefault="00437005" w:rsidP="00287617">
      <w:pPr>
        <w:numPr>
          <w:ilvl w:val="12"/>
          <w:numId w:val="0"/>
        </w:numPr>
        <w:tabs>
          <w:tab w:val="right" w:pos="9180"/>
        </w:tabs>
        <w:spacing w:before="100" w:beforeAutospacing="1" w:after="100" w:afterAutospacing="1"/>
        <w:ind w:right="-91"/>
        <w:rPr>
          <w:rFonts w:ascii="Arial" w:hAnsi="Arial" w:cs="Arial"/>
          <w:noProof/>
          <w:sz w:val="22"/>
          <w:szCs w:val="22"/>
        </w:rPr>
      </w:pPr>
      <w:r w:rsidRPr="00437005">
        <w:rPr>
          <w:rFonts w:ascii="Arial" w:hAnsi="Arial" w:cs="Arial"/>
          <w:sz w:val="22"/>
          <w:szCs w:val="22"/>
        </w:rPr>
        <w:t xml:space="preserve">In a small 4-week </w:t>
      </w:r>
      <w:r w:rsidR="00C23AEE">
        <w:rPr>
          <w:rFonts w:ascii="Arial" w:hAnsi="Arial" w:cs="Arial"/>
          <w:noProof/>
          <w:sz w:val="22"/>
          <w:szCs w:val="22"/>
        </w:rPr>
        <w:t>randomised</w:t>
      </w:r>
      <w:r w:rsidRPr="00437005">
        <w:rPr>
          <w:rFonts w:ascii="Arial" w:hAnsi="Arial" w:cs="Arial"/>
          <w:noProof/>
          <w:sz w:val="22"/>
          <w:szCs w:val="22"/>
        </w:rPr>
        <w:t>, investigator-masked, multinational cross-over</w:t>
      </w:r>
      <w:r w:rsidRPr="00437005">
        <w:rPr>
          <w:rFonts w:ascii="Arial" w:hAnsi="Arial" w:cs="Arial"/>
          <w:sz w:val="22"/>
          <w:szCs w:val="22"/>
        </w:rPr>
        <w:t xml:space="preserve"> study, the diurnal IOP-lowering effect of preservative-free tafluprost 0.0015% q.d. was compared with the preservative-containing formulation (N=43). Patients were dosed for 4-weeks with the preservative-free and for 4-weeks with the preservative-containing formulation in cross-over </w:t>
      </w:r>
      <w:r w:rsidRPr="00437005">
        <w:rPr>
          <w:rFonts w:ascii="Arial" w:hAnsi="Arial" w:cs="Arial"/>
          <w:sz w:val="22"/>
          <w:szCs w:val="22"/>
        </w:rPr>
        <w:lastRenderedPageBreak/>
        <w:t xml:space="preserve">fashion, with an intervening wash-out period. Compared to baseline values, the preservative-containing and the preservative-free formulations of tafluprost showed a similar IOP-lowering effect of </w:t>
      </w:r>
      <w:r w:rsidR="00E55C36">
        <w:rPr>
          <w:rFonts w:ascii="Arial" w:hAnsi="Arial" w:cs="Arial"/>
          <w:sz w:val="22"/>
          <w:szCs w:val="22"/>
        </w:rPr>
        <w:t>approximately</w:t>
      </w:r>
      <w:r w:rsidRPr="00437005">
        <w:rPr>
          <w:rFonts w:ascii="Arial" w:hAnsi="Arial" w:cs="Arial"/>
          <w:sz w:val="22"/>
          <w:szCs w:val="22"/>
        </w:rPr>
        <w:t xml:space="preserve"> 5 mmHg. Both the preservative-free and preservative-containing formulations were generally well tolerated.</w:t>
      </w:r>
    </w:p>
    <w:bookmarkEnd w:id="2"/>
    <w:bookmarkEnd w:id="3"/>
    <w:p w:rsidR="00DD37C2" w:rsidRPr="00437005" w:rsidRDefault="0033098A" w:rsidP="00287617">
      <w:pPr>
        <w:tabs>
          <w:tab w:val="right" w:pos="9180"/>
        </w:tabs>
        <w:spacing w:before="100" w:beforeAutospacing="1" w:after="100" w:afterAutospacing="1"/>
        <w:ind w:right="-91"/>
        <w:jc w:val="both"/>
        <w:outlineLvl w:val="0"/>
        <w:rPr>
          <w:rFonts w:ascii="Arial" w:hAnsi="Arial"/>
          <w:b/>
          <w:i/>
          <w:sz w:val="22"/>
        </w:rPr>
      </w:pPr>
      <w:r w:rsidRPr="00A17D37">
        <w:rPr>
          <w:rFonts w:ascii="Arial" w:hAnsi="Arial"/>
          <w:b/>
          <w:i/>
          <w:color w:val="000000"/>
          <w:sz w:val="22"/>
        </w:rPr>
        <w:t>Open</w:t>
      </w:r>
      <w:r w:rsidR="00A17D37">
        <w:rPr>
          <w:rFonts w:ascii="Arial" w:hAnsi="Arial"/>
          <w:b/>
          <w:i/>
          <w:color w:val="000000"/>
          <w:sz w:val="22"/>
        </w:rPr>
        <w:t>-</w:t>
      </w:r>
      <w:r w:rsidR="00437005" w:rsidRPr="00A17D37">
        <w:rPr>
          <w:rFonts w:ascii="Arial" w:hAnsi="Arial"/>
          <w:b/>
          <w:i/>
          <w:color w:val="000000"/>
          <w:sz w:val="22"/>
        </w:rPr>
        <w:t>Label</w:t>
      </w:r>
      <w:r w:rsidR="00437005" w:rsidRPr="00437005">
        <w:rPr>
          <w:rFonts w:ascii="Arial" w:hAnsi="Arial"/>
          <w:b/>
          <w:i/>
          <w:sz w:val="22"/>
        </w:rPr>
        <w:t xml:space="preserve"> Preservative</w:t>
      </w:r>
      <w:r w:rsidRPr="00A17D37">
        <w:rPr>
          <w:rFonts w:ascii="Arial" w:hAnsi="Arial"/>
          <w:b/>
          <w:i/>
          <w:sz w:val="22"/>
        </w:rPr>
        <w:t>-</w:t>
      </w:r>
      <w:r w:rsidR="00437005" w:rsidRPr="00437005">
        <w:rPr>
          <w:rFonts w:ascii="Arial" w:hAnsi="Arial"/>
          <w:b/>
          <w:i/>
          <w:sz w:val="22"/>
        </w:rPr>
        <w:t>Free Cross</w:t>
      </w:r>
      <w:r w:rsidRPr="00A17D37">
        <w:rPr>
          <w:rFonts w:ascii="Arial" w:hAnsi="Arial"/>
          <w:b/>
          <w:i/>
          <w:sz w:val="22"/>
        </w:rPr>
        <w:t>-</w:t>
      </w:r>
      <w:r w:rsidR="00437005" w:rsidRPr="00437005">
        <w:rPr>
          <w:rFonts w:ascii="Arial" w:hAnsi="Arial"/>
          <w:b/>
          <w:i/>
          <w:sz w:val="22"/>
        </w:rPr>
        <w:t>Over</w:t>
      </w:r>
    </w:p>
    <w:p w:rsidR="00437005" w:rsidRPr="004C27E1" w:rsidRDefault="00437005" w:rsidP="00287617">
      <w:pPr>
        <w:tabs>
          <w:tab w:val="left" w:pos="1320"/>
          <w:tab w:val="left" w:pos="1680"/>
          <w:tab w:val="left" w:pos="1920"/>
          <w:tab w:val="left" w:pos="3960"/>
          <w:tab w:val="left" w:pos="6120"/>
          <w:tab w:val="left" w:pos="6480"/>
          <w:tab w:val="left" w:pos="6840"/>
          <w:tab w:val="right" w:pos="9180"/>
        </w:tabs>
        <w:spacing w:before="100" w:beforeAutospacing="1" w:after="100" w:afterAutospacing="1"/>
        <w:ind w:right="-91"/>
        <w:rPr>
          <w:sz w:val="22"/>
          <w:szCs w:val="22"/>
        </w:rPr>
      </w:pPr>
      <w:r w:rsidRPr="00437005">
        <w:rPr>
          <w:rFonts w:ascii="Arial" w:hAnsi="Arial" w:cs="Arial"/>
          <w:sz w:val="22"/>
          <w:szCs w:val="22"/>
        </w:rPr>
        <w:t>The tolerability and IOP reducing effect of preservative-free tafluprost was investigated in an open-label, phase IIIb study of 158 patients exhibiting ocular surface signs or symptoms during latanoprost 0.005% treatment. Preservative-free tafluprost 0.0015% maintained IOP at the same level after 12 weeks treatment as latanoprost at baseline. After switching to tafluprost, the number of patients with abnormal Schirmer´s test was significantly reduced, and, tear break-up time improved significantly. A reduction in the number of patients with abnormal conjunctival cells based on HLA-DR and MUC5AC was also detected. Patients had fewer ocular signs or symptoms while taking preservative-free tafluprost than while taking latanoprost</w:t>
      </w:r>
      <w:r>
        <w:rPr>
          <w:sz w:val="22"/>
          <w:szCs w:val="22"/>
        </w:rPr>
        <w:t>.</w:t>
      </w:r>
    </w:p>
    <w:p w:rsidR="00456C7A" w:rsidRDefault="00456C7A" w:rsidP="00287617">
      <w:pPr>
        <w:pStyle w:val="Header"/>
        <w:tabs>
          <w:tab w:val="clear" w:pos="4320"/>
          <w:tab w:val="clear" w:pos="8640"/>
          <w:tab w:val="right" w:pos="9180"/>
        </w:tabs>
        <w:spacing w:before="360"/>
        <w:ind w:right="-91"/>
        <w:jc w:val="center"/>
        <w:outlineLvl w:val="0"/>
        <w:rPr>
          <w:rFonts w:ascii="Arial" w:hAnsi="Arial"/>
          <w:b/>
          <w:sz w:val="22"/>
        </w:rPr>
      </w:pPr>
      <w:r>
        <w:rPr>
          <w:rFonts w:ascii="Arial" w:hAnsi="Arial"/>
          <w:b/>
          <w:sz w:val="22"/>
        </w:rPr>
        <w:t>INDICATIONS</w:t>
      </w:r>
    </w:p>
    <w:p w:rsidR="00583AE3" w:rsidRPr="00057376" w:rsidRDefault="00583AE3" w:rsidP="00287617">
      <w:pPr>
        <w:tabs>
          <w:tab w:val="right" w:pos="9180"/>
        </w:tabs>
        <w:spacing w:before="240" w:after="360"/>
        <w:ind w:right="-91"/>
        <w:jc w:val="both"/>
        <w:rPr>
          <w:rFonts w:ascii="Arial" w:hAnsi="Arial" w:cs="Arial"/>
          <w:sz w:val="22"/>
          <w:szCs w:val="22"/>
        </w:rPr>
      </w:pPr>
      <w:r w:rsidRPr="00583AE3">
        <w:rPr>
          <w:rFonts w:ascii="Arial" w:hAnsi="Arial" w:cs="Arial"/>
          <w:sz w:val="22"/>
          <w:szCs w:val="22"/>
        </w:rPr>
        <w:t xml:space="preserve">SAFLUTAN is indicated </w:t>
      </w:r>
      <w:r w:rsidRPr="00057376">
        <w:rPr>
          <w:rFonts w:ascii="Arial" w:hAnsi="Arial" w:cs="Arial"/>
          <w:sz w:val="22"/>
          <w:szCs w:val="22"/>
        </w:rPr>
        <w:t>for the reduction of elevated intraocular pressure in open-angle glaucoma or ocular hypertension</w:t>
      </w:r>
      <w:r w:rsidR="00BE24A0">
        <w:rPr>
          <w:rFonts w:ascii="Arial" w:hAnsi="Arial" w:cs="Arial"/>
          <w:sz w:val="22"/>
          <w:szCs w:val="22"/>
        </w:rPr>
        <w:t>, as monotherapy or as adjunctive therapy to beta blockers</w:t>
      </w:r>
      <w:r w:rsidRPr="00057376">
        <w:rPr>
          <w:rFonts w:ascii="Arial" w:hAnsi="Arial" w:cs="Arial"/>
          <w:sz w:val="22"/>
          <w:szCs w:val="22"/>
        </w:rPr>
        <w:t>.</w:t>
      </w:r>
    </w:p>
    <w:p w:rsidR="00456C7A" w:rsidRDefault="00456C7A" w:rsidP="00EE169A">
      <w:pPr>
        <w:tabs>
          <w:tab w:val="right" w:pos="9180"/>
        </w:tabs>
        <w:ind w:right="-93"/>
        <w:jc w:val="center"/>
        <w:outlineLvl w:val="0"/>
        <w:rPr>
          <w:rFonts w:ascii="Arial" w:hAnsi="Arial"/>
          <w:sz w:val="22"/>
        </w:rPr>
      </w:pPr>
      <w:r>
        <w:rPr>
          <w:rFonts w:ascii="Arial" w:hAnsi="Arial"/>
          <w:b/>
          <w:sz w:val="22"/>
        </w:rPr>
        <w:t>CONTRAINDICATIONS</w:t>
      </w:r>
    </w:p>
    <w:p w:rsidR="0066319B" w:rsidRDefault="0033098A" w:rsidP="00287617">
      <w:pPr>
        <w:tabs>
          <w:tab w:val="right" w:pos="9180"/>
        </w:tabs>
        <w:spacing w:before="240" w:after="360"/>
        <w:ind w:right="-91"/>
        <w:jc w:val="both"/>
        <w:outlineLvl w:val="0"/>
        <w:rPr>
          <w:rFonts w:ascii="Arial" w:hAnsi="Arial"/>
          <w:sz w:val="22"/>
        </w:rPr>
      </w:pPr>
      <w:r>
        <w:rPr>
          <w:rFonts w:ascii="Arial" w:hAnsi="Arial"/>
          <w:sz w:val="22"/>
        </w:rPr>
        <w:t>H</w:t>
      </w:r>
      <w:r w:rsidR="0066319B">
        <w:rPr>
          <w:rFonts w:ascii="Arial" w:hAnsi="Arial"/>
          <w:sz w:val="22"/>
        </w:rPr>
        <w:t>ypersensitivity to tafluprost o</w:t>
      </w:r>
      <w:r w:rsidR="0087718D">
        <w:rPr>
          <w:rFonts w:ascii="Arial" w:hAnsi="Arial"/>
          <w:sz w:val="22"/>
        </w:rPr>
        <w:t>r</w:t>
      </w:r>
      <w:r w:rsidR="0066319B">
        <w:rPr>
          <w:rFonts w:ascii="Arial" w:hAnsi="Arial"/>
          <w:sz w:val="22"/>
        </w:rPr>
        <w:t xml:space="preserve"> to any of the</w:t>
      </w:r>
      <w:r w:rsidR="00A17D37">
        <w:rPr>
          <w:rFonts w:ascii="Arial" w:hAnsi="Arial"/>
          <w:sz w:val="22"/>
        </w:rPr>
        <w:t xml:space="preserve"> </w:t>
      </w:r>
      <w:r>
        <w:rPr>
          <w:rFonts w:ascii="Arial" w:hAnsi="Arial"/>
          <w:sz w:val="22"/>
        </w:rPr>
        <w:t>excipients</w:t>
      </w:r>
      <w:r w:rsidR="0066319B">
        <w:rPr>
          <w:rFonts w:ascii="Arial" w:hAnsi="Arial"/>
          <w:sz w:val="22"/>
        </w:rPr>
        <w:t>.</w:t>
      </w:r>
    </w:p>
    <w:p w:rsidR="00456C7A" w:rsidRDefault="00456C7A" w:rsidP="00EE169A">
      <w:pPr>
        <w:tabs>
          <w:tab w:val="right" w:pos="9180"/>
        </w:tabs>
        <w:ind w:right="-93"/>
        <w:jc w:val="center"/>
        <w:outlineLvl w:val="0"/>
        <w:rPr>
          <w:rFonts w:ascii="Arial" w:hAnsi="Arial"/>
          <w:b/>
          <w:sz w:val="22"/>
        </w:rPr>
      </w:pPr>
      <w:r>
        <w:rPr>
          <w:rFonts w:ascii="Arial" w:hAnsi="Arial"/>
          <w:b/>
          <w:sz w:val="22"/>
        </w:rPr>
        <w:t>PRECAUTIONS</w:t>
      </w:r>
    </w:p>
    <w:p w:rsidR="00054E0B" w:rsidRPr="00054E0B" w:rsidRDefault="00054E0B" w:rsidP="00287617">
      <w:pPr>
        <w:tabs>
          <w:tab w:val="right" w:pos="9180"/>
        </w:tabs>
        <w:spacing w:before="100" w:beforeAutospacing="1" w:after="100" w:afterAutospacing="1"/>
        <w:ind w:right="-91"/>
        <w:rPr>
          <w:rFonts w:ascii="Arial" w:hAnsi="Arial" w:cs="Arial"/>
          <w:sz w:val="22"/>
          <w:szCs w:val="22"/>
        </w:rPr>
      </w:pPr>
      <w:r w:rsidRPr="00054E0B">
        <w:rPr>
          <w:rFonts w:ascii="Arial" w:hAnsi="Arial" w:cs="Arial"/>
          <w:sz w:val="22"/>
          <w:szCs w:val="22"/>
        </w:rPr>
        <w:t>Before treatment is initiated, patients should be informed of the possibility of eyelash growth, darkening of the eyelid skin and increased iris pigmentation. Some of these changes may be permanent, and may lead to differences in appearance between the eyes when only one eye is treated.</w:t>
      </w:r>
    </w:p>
    <w:p w:rsidR="00054E0B" w:rsidRPr="00054E0B" w:rsidRDefault="00054E0B" w:rsidP="00287617">
      <w:pPr>
        <w:tabs>
          <w:tab w:val="right" w:pos="9180"/>
        </w:tabs>
        <w:spacing w:before="100" w:beforeAutospacing="1" w:after="100" w:afterAutospacing="1"/>
        <w:ind w:right="-91"/>
        <w:rPr>
          <w:rFonts w:ascii="Arial" w:hAnsi="Arial" w:cs="Arial"/>
          <w:sz w:val="22"/>
          <w:szCs w:val="22"/>
        </w:rPr>
      </w:pPr>
      <w:r w:rsidRPr="00054E0B">
        <w:rPr>
          <w:rFonts w:ascii="Arial" w:hAnsi="Arial" w:cs="Arial"/>
          <w:sz w:val="22"/>
          <w:szCs w:val="22"/>
        </w:rPr>
        <w:t>The change in iris pigmentation occurs slowly and may not be noticeable for several months. The change in eye colo</w:t>
      </w:r>
      <w:r w:rsidR="00407C86">
        <w:rPr>
          <w:rFonts w:ascii="Arial" w:hAnsi="Arial" w:cs="Arial"/>
          <w:sz w:val="22"/>
          <w:szCs w:val="22"/>
        </w:rPr>
        <w:t>u</w:t>
      </w:r>
      <w:r w:rsidRPr="00054E0B">
        <w:rPr>
          <w:rFonts w:ascii="Arial" w:hAnsi="Arial" w:cs="Arial"/>
          <w:sz w:val="22"/>
          <w:szCs w:val="22"/>
        </w:rPr>
        <w:t>r has predominantly been seen in patients with mixed colo</w:t>
      </w:r>
      <w:r w:rsidR="00407C86">
        <w:rPr>
          <w:rFonts w:ascii="Arial" w:hAnsi="Arial" w:cs="Arial"/>
          <w:sz w:val="22"/>
          <w:szCs w:val="22"/>
        </w:rPr>
        <w:t>u</w:t>
      </w:r>
      <w:r w:rsidRPr="00054E0B">
        <w:rPr>
          <w:rFonts w:ascii="Arial" w:hAnsi="Arial" w:cs="Arial"/>
          <w:sz w:val="22"/>
          <w:szCs w:val="22"/>
        </w:rPr>
        <w:t>red irises, e.g. blue-brown, grey-brown, yellow-brown and green-brown. Unilateral treatment can result in permanent heterochromia.</w:t>
      </w:r>
    </w:p>
    <w:p w:rsidR="00054E0B" w:rsidRPr="00054E0B" w:rsidRDefault="00054E0B" w:rsidP="00287617">
      <w:pPr>
        <w:tabs>
          <w:tab w:val="right" w:pos="9180"/>
        </w:tabs>
        <w:spacing w:before="100" w:beforeAutospacing="1" w:after="100" w:afterAutospacing="1"/>
        <w:ind w:right="-91"/>
        <w:rPr>
          <w:rFonts w:ascii="Arial" w:hAnsi="Arial" w:cs="Arial"/>
          <w:sz w:val="22"/>
          <w:szCs w:val="22"/>
        </w:rPr>
      </w:pPr>
      <w:r w:rsidRPr="00054E0B">
        <w:rPr>
          <w:rFonts w:ascii="Arial" w:hAnsi="Arial" w:cs="Arial"/>
          <w:sz w:val="22"/>
          <w:szCs w:val="22"/>
        </w:rPr>
        <w:t>There is no experience with tafluprost in neovascular, angle-closure, narrow-angle or congenital glaucoma. There is only limited experience with tafluprost in aphakic patients and in pigmentary or pseudoexfoliative glaucoma.</w:t>
      </w:r>
    </w:p>
    <w:p w:rsidR="00054E0B" w:rsidRPr="00054E0B" w:rsidRDefault="00054E0B" w:rsidP="00287617">
      <w:pPr>
        <w:tabs>
          <w:tab w:val="right" w:pos="9180"/>
        </w:tabs>
        <w:spacing w:before="100" w:beforeAutospacing="1" w:after="100" w:afterAutospacing="1"/>
        <w:ind w:right="-91"/>
        <w:rPr>
          <w:rFonts w:ascii="Arial" w:hAnsi="Arial" w:cs="Arial"/>
          <w:sz w:val="22"/>
          <w:szCs w:val="22"/>
        </w:rPr>
      </w:pPr>
      <w:r w:rsidRPr="00054E0B">
        <w:rPr>
          <w:rFonts w:ascii="Arial" w:hAnsi="Arial" w:cs="Arial"/>
          <w:sz w:val="22"/>
          <w:szCs w:val="22"/>
        </w:rPr>
        <w:t xml:space="preserve">Macular </w:t>
      </w:r>
      <w:r w:rsidR="00C23AEE">
        <w:rPr>
          <w:rFonts w:ascii="Arial" w:hAnsi="Arial" w:cs="Arial"/>
          <w:sz w:val="22"/>
          <w:szCs w:val="22"/>
        </w:rPr>
        <w:t>o</w:t>
      </w:r>
      <w:r w:rsidRPr="00054E0B">
        <w:rPr>
          <w:rFonts w:ascii="Arial" w:hAnsi="Arial" w:cs="Arial"/>
          <w:sz w:val="22"/>
          <w:szCs w:val="22"/>
        </w:rPr>
        <w:t xml:space="preserve">edema, including cystoid macular </w:t>
      </w:r>
      <w:r w:rsidR="00C23AEE">
        <w:rPr>
          <w:rFonts w:ascii="Arial" w:hAnsi="Arial" w:cs="Arial"/>
          <w:sz w:val="22"/>
          <w:szCs w:val="22"/>
        </w:rPr>
        <w:t>o</w:t>
      </w:r>
      <w:r w:rsidRPr="00054E0B">
        <w:rPr>
          <w:rFonts w:ascii="Arial" w:hAnsi="Arial" w:cs="Arial"/>
          <w:sz w:val="22"/>
          <w:szCs w:val="22"/>
        </w:rPr>
        <w:t xml:space="preserve">edema, has been reported during treatment with prostaglandin F2α analogues. These reports have mainly occurred in aphakic patients, pseudophakic patients with a torn posterior lens capsule or anterior chamber lenses, or in patients with known risk factors for macular </w:t>
      </w:r>
      <w:r w:rsidR="00C23AEE">
        <w:rPr>
          <w:rFonts w:ascii="Arial" w:hAnsi="Arial" w:cs="Arial"/>
          <w:sz w:val="22"/>
          <w:szCs w:val="22"/>
        </w:rPr>
        <w:t>oedema</w:t>
      </w:r>
      <w:r w:rsidRPr="00054E0B">
        <w:rPr>
          <w:rFonts w:ascii="Arial" w:hAnsi="Arial" w:cs="Arial"/>
          <w:sz w:val="22"/>
          <w:szCs w:val="22"/>
        </w:rPr>
        <w:t>. Therefore, caution is recommended when using tafluprost in these patients. Caution is also recommended in patients with known risk factors for iritis/uveitis.</w:t>
      </w:r>
    </w:p>
    <w:p w:rsidR="005B17B4" w:rsidRDefault="005B17B4" w:rsidP="00287617">
      <w:pPr>
        <w:tabs>
          <w:tab w:val="left" w:pos="480"/>
          <w:tab w:val="left" w:pos="960"/>
          <w:tab w:val="left" w:pos="1680"/>
          <w:tab w:val="left" w:pos="2280"/>
          <w:tab w:val="left" w:pos="2880"/>
          <w:tab w:val="left" w:pos="3480"/>
          <w:tab w:val="left" w:pos="4080"/>
          <w:tab w:val="left" w:pos="4680"/>
          <w:tab w:val="left" w:pos="5280"/>
          <w:tab w:val="left" w:pos="5880"/>
          <w:tab w:val="left" w:pos="6480"/>
          <w:tab w:val="left" w:pos="7080"/>
          <w:tab w:val="left" w:pos="7200"/>
          <w:tab w:val="right" w:pos="9180"/>
        </w:tabs>
        <w:spacing w:before="100" w:beforeAutospacing="1" w:after="100" w:afterAutospacing="1" w:line="240" w:lineRule="atLeast"/>
        <w:ind w:right="-91"/>
        <w:jc w:val="both"/>
        <w:rPr>
          <w:rFonts w:ascii="Arial" w:hAnsi="Arial"/>
          <w:sz w:val="22"/>
        </w:rPr>
      </w:pPr>
      <w:r>
        <w:rPr>
          <w:rFonts w:ascii="Arial" w:hAnsi="Arial" w:cs="Arial"/>
          <w:sz w:val="22"/>
          <w:szCs w:val="22"/>
        </w:rPr>
        <w:lastRenderedPageBreak/>
        <w:t>Tafluprost has not been studied in patients with compromised lung function and should therefore be used with caution in these patients.</w:t>
      </w:r>
    </w:p>
    <w:p w:rsidR="00456C7A" w:rsidRPr="004A77C0" w:rsidRDefault="004A77C0" w:rsidP="00287617">
      <w:pPr>
        <w:tabs>
          <w:tab w:val="right" w:pos="9180"/>
        </w:tabs>
        <w:spacing w:before="100" w:beforeAutospacing="1" w:after="100" w:afterAutospacing="1"/>
        <w:ind w:right="-91"/>
        <w:jc w:val="both"/>
        <w:outlineLvl w:val="0"/>
        <w:rPr>
          <w:rFonts w:ascii="Arial" w:hAnsi="Arial"/>
          <w:b/>
          <w:sz w:val="22"/>
        </w:rPr>
      </w:pPr>
      <w:r w:rsidRPr="004A77C0">
        <w:rPr>
          <w:rFonts w:ascii="Arial" w:hAnsi="Arial"/>
          <w:b/>
          <w:sz w:val="22"/>
        </w:rPr>
        <w:t>Effect</w:t>
      </w:r>
      <w:r w:rsidR="005A650F">
        <w:rPr>
          <w:rFonts w:ascii="Arial" w:hAnsi="Arial"/>
          <w:b/>
          <w:sz w:val="22"/>
        </w:rPr>
        <w:t>s</w:t>
      </w:r>
      <w:r w:rsidRPr="004A77C0">
        <w:rPr>
          <w:rFonts w:ascii="Arial" w:hAnsi="Arial"/>
          <w:b/>
          <w:sz w:val="22"/>
        </w:rPr>
        <w:t xml:space="preserve"> on Fertility</w:t>
      </w:r>
    </w:p>
    <w:p w:rsidR="004A77C0" w:rsidRPr="004A77C0" w:rsidRDefault="004A77C0" w:rsidP="00287617">
      <w:pPr>
        <w:tabs>
          <w:tab w:val="right" w:pos="9180"/>
        </w:tabs>
        <w:spacing w:before="100" w:beforeAutospacing="1" w:after="100" w:afterAutospacing="1"/>
        <w:ind w:right="-91"/>
        <w:rPr>
          <w:rFonts w:ascii="Arial" w:hAnsi="Arial" w:cs="Arial"/>
          <w:sz w:val="22"/>
          <w:szCs w:val="22"/>
        </w:rPr>
      </w:pPr>
      <w:r w:rsidRPr="004A77C0">
        <w:rPr>
          <w:rFonts w:ascii="Arial" w:hAnsi="Arial" w:cs="Arial"/>
          <w:sz w:val="22"/>
          <w:szCs w:val="22"/>
        </w:rPr>
        <w:t xml:space="preserve">In </w:t>
      </w:r>
      <w:r w:rsidR="005A650F">
        <w:rPr>
          <w:rFonts w:ascii="Arial" w:hAnsi="Arial" w:cs="Arial"/>
          <w:sz w:val="22"/>
          <w:szCs w:val="22"/>
        </w:rPr>
        <w:t xml:space="preserve">male and female </w:t>
      </w:r>
      <w:r w:rsidRPr="004A77C0">
        <w:rPr>
          <w:rFonts w:ascii="Arial" w:hAnsi="Arial" w:cs="Arial"/>
          <w:sz w:val="22"/>
          <w:szCs w:val="22"/>
        </w:rPr>
        <w:t xml:space="preserve">rats, no adverse effects on mating performance, fertility or early embryonic development were observed with intravenous dosing of tafluprost at </w:t>
      </w:r>
      <w:r w:rsidR="005A650F">
        <w:rPr>
          <w:rFonts w:ascii="Arial" w:hAnsi="Arial" w:cs="Arial"/>
          <w:sz w:val="22"/>
          <w:szCs w:val="22"/>
        </w:rPr>
        <w:t xml:space="preserve">up to 100 μg/kg/day, yielding </w:t>
      </w:r>
      <w:r w:rsidRPr="004A77C0">
        <w:rPr>
          <w:rFonts w:ascii="Arial" w:hAnsi="Arial" w:cs="Arial"/>
          <w:sz w:val="22"/>
          <w:szCs w:val="22"/>
        </w:rPr>
        <w:t xml:space="preserve">systemic exposure </w:t>
      </w:r>
      <w:r w:rsidR="005A650F">
        <w:rPr>
          <w:rFonts w:ascii="Arial" w:hAnsi="Arial" w:cs="Arial"/>
          <w:sz w:val="22"/>
          <w:szCs w:val="22"/>
        </w:rPr>
        <w:t xml:space="preserve">to tafluprost acid </w:t>
      </w:r>
      <w:r w:rsidRPr="004A77C0">
        <w:rPr>
          <w:rFonts w:ascii="Arial" w:hAnsi="Arial" w:cs="Arial"/>
          <w:sz w:val="22"/>
          <w:szCs w:val="22"/>
        </w:rPr>
        <w:t>over 14000-times the maximum clinical exposure based on C</w:t>
      </w:r>
      <w:r w:rsidRPr="004A77C0">
        <w:rPr>
          <w:rFonts w:ascii="Arial" w:hAnsi="Arial" w:cs="Arial"/>
          <w:sz w:val="22"/>
          <w:szCs w:val="22"/>
          <w:vertAlign w:val="subscript"/>
        </w:rPr>
        <w:t>max</w:t>
      </w:r>
      <w:r w:rsidRPr="004A77C0">
        <w:rPr>
          <w:rFonts w:ascii="Arial" w:hAnsi="Arial" w:cs="Arial"/>
          <w:sz w:val="22"/>
          <w:szCs w:val="22"/>
        </w:rPr>
        <w:t xml:space="preserve"> or greater than 3600-times based on AUC.</w:t>
      </w:r>
    </w:p>
    <w:p w:rsidR="00456C7A" w:rsidRDefault="00456C7A" w:rsidP="00287617">
      <w:pPr>
        <w:tabs>
          <w:tab w:val="right" w:pos="9180"/>
        </w:tabs>
        <w:spacing w:before="100" w:beforeAutospacing="1" w:after="100" w:afterAutospacing="1"/>
        <w:ind w:right="-91"/>
        <w:jc w:val="both"/>
        <w:outlineLvl w:val="0"/>
        <w:rPr>
          <w:rFonts w:ascii="Arial" w:hAnsi="Arial"/>
          <w:sz w:val="22"/>
        </w:rPr>
      </w:pPr>
      <w:r>
        <w:rPr>
          <w:rFonts w:ascii="Arial" w:hAnsi="Arial"/>
          <w:b/>
          <w:sz w:val="22"/>
        </w:rPr>
        <w:t xml:space="preserve">Use in Pregnancy </w:t>
      </w:r>
      <w:r>
        <w:rPr>
          <w:rFonts w:ascii="Arial" w:hAnsi="Arial"/>
          <w:sz w:val="22"/>
        </w:rPr>
        <w:t xml:space="preserve">(Category </w:t>
      </w:r>
      <w:r w:rsidR="00152DF5">
        <w:rPr>
          <w:rFonts w:ascii="Arial" w:hAnsi="Arial"/>
          <w:sz w:val="22"/>
        </w:rPr>
        <w:t>B3</w:t>
      </w:r>
      <w:r>
        <w:rPr>
          <w:rFonts w:ascii="Arial" w:hAnsi="Arial"/>
          <w:sz w:val="22"/>
        </w:rPr>
        <w:t>)</w:t>
      </w:r>
    </w:p>
    <w:p w:rsidR="000C412A" w:rsidRPr="004A77C0" w:rsidRDefault="000C412A" w:rsidP="00287617">
      <w:pPr>
        <w:tabs>
          <w:tab w:val="right" w:pos="9180"/>
        </w:tabs>
        <w:spacing w:before="100" w:beforeAutospacing="1" w:after="100" w:afterAutospacing="1"/>
        <w:ind w:right="-91"/>
        <w:outlineLvl w:val="0"/>
        <w:rPr>
          <w:rFonts w:ascii="Arial" w:hAnsi="Arial" w:cs="Arial"/>
          <w:sz w:val="22"/>
          <w:szCs w:val="22"/>
        </w:rPr>
      </w:pPr>
      <w:r w:rsidRPr="004A77C0">
        <w:rPr>
          <w:rFonts w:ascii="Arial" w:hAnsi="Arial" w:cs="Arial"/>
          <w:sz w:val="22"/>
          <w:szCs w:val="22"/>
        </w:rPr>
        <w:t xml:space="preserve">There are no adequate and well-controlled studies </w:t>
      </w:r>
      <w:r w:rsidR="005A650F">
        <w:rPr>
          <w:rFonts w:ascii="Arial" w:hAnsi="Arial" w:cs="Arial"/>
          <w:sz w:val="22"/>
          <w:szCs w:val="22"/>
        </w:rPr>
        <w:t xml:space="preserve">with SAFLUTAN </w:t>
      </w:r>
      <w:r w:rsidRPr="004A77C0">
        <w:rPr>
          <w:rFonts w:ascii="Arial" w:hAnsi="Arial" w:cs="Arial"/>
          <w:sz w:val="22"/>
          <w:szCs w:val="22"/>
        </w:rPr>
        <w:t>in pregnant wom</w:t>
      </w:r>
      <w:r w:rsidR="007C12F3">
        <w:rPr>
          <w:rFonts w:ascii="Arial" w:hAnsi="Arial" w:cs="Arial"/>
          <w:sz w:val="22"/>
          <w:szCs w:val="22"/>
        </w:rPr>
        <w:t>e</w:t>
      </w:r>
      <w:r w:rsidRPr="004A77C0">
        <w:rPr>
          <w:rFonts w:ascii="Arial" w:hAnsi="Arial" w:cs="Arial"/>
          <w:sz w:val="22"/>
          <w:szCs w:val="22"/>
        </w:rPr>
        <w:t xml:space="preserve">n. </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hAnsi="Arial" w:cs="Arial"/>
          <w:sz w:val="22"/>
          <w:szCs w:val="22"/>
        </w:rPr>
        <w:t xml:space="preserve">In embryofetal development studies, tafluprost administered intravenously caused increases in post-implantation losses in rats and rabbits and reductions in fetal body weights in rats. Tafluprost also increased the incidence of </w:t>
      </w:r>
      <w:r w:rsidR="005A650F">
        <w:rPr>
          <w:rFonts w:ascii="Arial" w:hAnsi="Arial" w:cs="Arial"/>
          <w:sz w:val="22"/>
          <w:szCs w:val="22"/>
        </w:rPr>
        <w:t xml:space="preserve">spine malformations and </w:t>
      </w:r>
      <w:r w:rsidRPr="000C412A">
        <w:rPr>
          <w:rFonts w:ascii="Arial" w:hAnsi="Arial" w:cs="Arial"/>
          <w:sz w:val="22"/>
          <w:szCs w:val="22"/>
        </w:rPr>
        <w:t xml:space="preserve">vertebral skeletal </w:t>
      </w:r>
      <w:r w:rsidR="007258C7">
        <w:rPr>
          <w:rFonts w:ascii="Arial" w:hAnsi="Arial" w:cs="Arial"/>
          <w:sz w:val="22"/>
          <w:szCs w:val="22"/>
        </w:rPr>
        <w:t>variations</w:t>
      </w:r>
      <w:r w:rsidRPr="000C412A">
        <w:rPr>
          <w:rFonts w:ascii="Arial" w:hAnsi="Arial" w:cs="Arial"/>
          <w:sz w:val="22"/>
          <w:szCs w:val="22"/>
        </w:rPr>
        <w:t xml:space="preserve"> in rats and the incidence of skull, brain and spine malformations in rabbits. In the rats, there were no adverse effects on embryofetal development at </w:t>
      </w:r>
      <w:r w:rsidR="005A650F">
        <w:rPr>
          <w:rFonts w:ascii="Arial" w:hAnsi="Arial" w:cs="Arial"/>
          <w:sz w:val="22"/>
          <w:szCs w:val="22"/>
        </w:rPr>
        <w:t xml:space="preserve">3 μg/kg/day, yielding </w:t>
      </w:r>
      <w:r w:rsidRPr="000C412A">
        <w:rPr>
          <w:rFonts w:ascii="Arial" w:hAnsi="Arial" w:cs="Arial"/>
          <w:sz w:val="22"/>
          <w:szCs w:val="22"/>
        </w:rPr>
        <w:t>maternal plasma levels of tafluprost acid that were 343-times the maximum clinical exposure based on C</w:t>
      </w:r>
      <w:r w:rsidRPr="000C412A">
        <w:rPr>
          <w:rFonts w:ascii="Arial" w:hAnsi="Arial" w:cs="Arial"/>
          <w:sz w:val="22"/>
          <w:szCs w:val="22"/>
          <w:vertAlign w:val="subscript"/>
        </w:rPr>
        <w:t>max</w:t>
      </w:r>
      <w:r w:rsidRPr="000C412A">
        <w:rPr>
          <w:rFonts w:ascii="Arial" w:hAnsi="Arial" w:cs="Arial"/>
          <w:sz w:val="22"/>
          <w:szCs w:val="22"/>
        </w:rPr>
        <w:t xml:space="preserve">. In rabbits, effects were seen at </w:t>
      </w:r>
      <w:r w:rsidR="005A650F">
        <w:rPr>
          <w:rFonts w:ascii="Arial" w:hAnsi="Arial" w:cs="Arial"/>
          <w:sz w:val="22"/>
          <w:szCs w:val="22"/>
        </w:rPr>
        <w:t xml:space="preserve">doses ≥0.03 μg/kg/day, producing </w:t>
      </w:r>
      <w:r w:rsidRPr="000C412A">
        <w:rPr>
          <w:rFonts w:ascii="Arial" w:hAnsi="Arial" w:cs="Arial"/>
          <w:sz w:val="22"/>
          <w:szCs w:val="22"/>
        </w:rPr>
        <w:t>maternal plasma levels of tafluprost acid during the critical period of development that were 5.3-times higher than the clinical exposure based on C</w:t>
      </w:r>
      <w:r w:rsidRPr="000C412A">
        <w:rPr>
          <w:rFonts w:ascii="Arial" w:hAnsi="Arial" w:cs="Arial"/>
          <w:sz w:val="22"/>
          <w:szCs w:val="22"/>
          <w:vertAlign w:val="subscript"/>
        </w:rPr>
        <w:t>max</w:t>
      </w:r>
      <w:r w:rsidRPr="000C412A">
        <w:rPr>
          <w:rFonts w:ascii="Arial" w:hAnsi="Arial" w:cs="Arial"/>
          <w:sz w:val="22"/>
          <w:szCs w:val="22"/>
        </w:rPr>
        <w:t xml:space="preserve">. At the no effect dose in rabbits, maternal plasma levels of tafluprost acid were below the lower </w:t>
      </w:r>
      <w:r w:rsidR="00BB31E9">
        <w:rPr>
          <w:rFonts w:ascii="Arial" w:hAnsi="Arial" w:cs="Arial"/>
          <w:sz w:val="22"/>
          <w:szCs w:val="22"/>
        </w:rPr>
        <w:t>limit</w:t>
      </w:r>
      <w:r w:rsidRPr="000C412A">
        <w:rPr>
          <w:rFonts w:ascii="Arial" w:hAnsi="Arial" w:cs="Arial"/>
          <w:sz w:val="22"/>
          <w:szCs w:val="22"/>
        </w:rPr>
        <w:t xml:space="preserve"> of quantification (20 pg/mL)</w:t>
      </w:r>
      <w:r w:rsidR="00BB31E9">
        <w:rPr>
          <w:rFonts w:ascii="Arial" w:hAnsi="Arial" w:cs="Arial"/>
          <w:sz w:val="22"/>
          <w:szCs w:val="22"/>
        </w:rPr>
        <w:t xml:space="preserve"> and less than the clinical C</w:t>
      </w:r>
      <w:r w:rsidR="00BB31E9">
        <w:rPr>
          <w:rFonts w:ascii="Arial" w:hAnsi="Arial" w:cs="Arial"/>
          <w:sz w:val="22"/>
          <w:szCs w:val="22"/>
          <w:vertAlign w:val="subscript"/>
        </w:rPr>
        <w:t>max</w:t>
      </w:r>
      <w:r w:rsidRPr="000C412A">
        <w:rPr>
          <w:rFonts w:ascii="Arial" w:hAnsi="Arial" w:cs="Arial"/>
          <w:sz w:val="22"/>
          <w:szCs w:val="22"/>
        </w:rPr>
        <w:t>.</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hAnsi="Arial" w:cs="Arial"/>
          <w:sz w:val="22"/>
          <w:szCs w:val="22"/>
        </w:rPr>
        <w:t xml:space="preserve">In a pre- and postnatal development study in rats, </w:t>
      </w:r>
      <w:r w:rsidR="00BB31E9">
        <w:rPr>
          <w:rFonts w:ascii="Arial" w:hAnsi="Arial" w:cs="Arial"/>
          <w:sz w:val="22"/>
          <w:szCs w:val="22"/>
        </w:rPr>
        <w:t xml:space="preserve">increased </w:t>
      </w:r>
      <w:r w:rsidR="004C29B6">
        <w:rPr>
          <w:rFonts w:ascii="Arial" w:hAnsi="Arial" w:cs="Arial"/>
          <w:sz w:val="22"/>
          <w:szCs w:val="22"/>
        </w:rPr>
        <w:t xml:space="preserve">mortality of newborns </w:t>
      </w:r>
      <w:r w:rsidR="00BB31E9">
        <w:rPr>
          <w:rFonts w:ascii="Arial" w:hAnsi="Arial" w:cs="Arial"/>
          <w:sz w:val="22"/>
          <w:szCs w:val="22"/>
        </w:rPr>
        <w:t>were observed with tafluprost at ≥</w:t>
      </w:r>
      <w:r w:rsidR="004C29B6">
        <w:rPr>
          <w:rFonts w:ascii="Arial" w:hAnsi="Arial" w:cs="Arial"/>
          <w:sz w:val="22"/>
          <w:szCs w:val="22"/>
        </w:rPr>
        <w:t>1</w:t>
      </w:r>
      <w:r w:rsidR="00BB31E9">
        <w:rPr>
          <w:rFonts w:ascii="Arial" w:hAnsi="Arial" w:cs="Arial"/>
          <w:sz w:val="22"/>
          <w:szCs w:val="22"/>
        </w:rPr>
        <w:t xml:space="preserve"> μg/kg/day by intrave</w:t>
      </w:r>
      <w:r w:rsidR="004C29B6">
        <w:rPr>
          <w:rFonts w:ascii="Arial" w:hAnsi="Arial" w:cs="Arial"/>
          <w:sz w:val="22"/>
          <w:szCs w:val="22"/>
        </w:rPr>
        <w:t>nous administration (yielding 114</w:t>
      </w:r>
      <w:r w:rsidR="00BB31E9">
        <w:rPr>
          <w:rFonts w:ascii="Arial" w:hAnsi="Arial" w:cs="Arial"/>
          <w:sz w:val="22"/>
          <w:szCs w:val="22"/>
        </w:rPr>
        <w:t>-times the clinical C</w:t>
      </w:r>
      <w:r w:rsidR="00BB31E9">
        <w:rPr>
          <w:rFonts w:ascii="Arial" w:hAnsi="Arial" w:cs="Arial"/>
          <w:sz w:val="22"/>
          <w:szCs w:val="22"/>
          <w:vertAlign w:val="subscript"/>
        </w:rPr>
        <w:t>max</w:t>
      </w:r>
      <w:r w:rsidR="00BB31E9">
        <w:rPr>
          <w:rFonts w:ascii="Arial" w:hAnsi="Arial" w:cs="Arial"/>
          <w:sz w:val="22"/>
          <w:szCs w:val="22"/>
        </w:rPr>
        <w:t>) and</w:t>
      </w:r>
      <w:r w:rsidRPr="000C412A">
        <w:rPr>
          <w:rFonts w:ascii="Arial" w:hAnsi="Arial" w:cs="Arial"/>
          <w:sz w:val="22"/>
          <w:szCs w:val="22"/>
        </w:rPr>
        <w:t xml:space="preserve"> decreased </w:t>
      </w:r>
      <w:r w:rsidR="00BB31E9">
        <w:rPr>
          <w:rFonts w:ascii="Arial" w:hAnsi="Arial" w:cs="Arial"/>
          <w:sz w:val="22"/>
          <w:szCs w:val="22"/>
        </w:rPr>
        <w:t>birth</w:t>
      </w:r>
      <w:r w:rsidRPr="000C412A">
        <w:rPr>
          <w:rFonts w:ascii="Arial" w:hAnsi="Arial" w:cs="Arial"/>
          <w:sz w:val="22"/>
          <w:szCs w:val="22"/>
        </w:rPr>
        <w:t xml:space="preserve"> weights and delayed </w:t>
      </w:r>
      <w:r w:rsidR="00BB31E9">
        <w:rPr>
          <w:rFonts w:ascii="Arial" w:hAnsi="Arial" w:cs="Arial"/>
          <w:sz w:val="22"/>
          <w:szCs w:val="22"/>
        </w:rPr>
        <w:t>development (</w:t>
      </w:r>
      <w:r w:rsidRPr="000C412A">
        <w:rPr>
          <w:rFonts w:ascii="Arial" w:hAnsi="Arial" w:cs="Arial"/>
          <w:sz w:val="22"/>
          <w:szCs w:val="22"/>
        </w:rPr>
        <w:t>pinna unfolding</w:t>
      </w:r>
      <w:r w:rsidR="00BB31E9">
        <w:rPr>
          <w:rFonts w:ascii="Arial" w:hAnsi="Arial" w:cs="Arial"/>
          <w:sz w:val="22"/>
          <w:szCs w:val="22"/>
        </w:rPr>
        <w:t>)</w:t>
      </w:r>
      <w:r w:rsidRPr="000C412A">
        <w:rPr>
          <w:rFonts w:ascii="Arial" w:hAnsi="Arial" w:cs="Arial"/>
          <w:sz w:val="22"/>
          <w:szCs w:val="22"/>
        </w:rPr>
        <w:t xml:space="preserve"> were observed </w:t>
      </w:r>
      <w:r w:rsidR="00BB31E9">
        <w:rPr>
          <w:rFonts w:ascii="Arial" w:hAnsi="Arial" w:cs="Arial"/>
          <w:sz w:val="22"/>
          <w:szCs w:val="22"/>
        </w:rPr>
        <w:t>at 10 μg/kg/day</w:t>
      </w:r>
      <w:r w:rsidRPr="000C412A">
        <w:rPr>
          <w:rFonts w:ascii="Arial" w:hAnsi="Arial" w:cs="Arial"/>
          <w:sz w:val="22"/>
          <w:szCs w:val="22"/>
        </w:rPr>
        <w:t xml:space="preserve">. </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hAnsi="Arial" w:cs="Arial"/>
          <w:sz w:val="22"/>
          <w:szCs w:val="22"/>
        </w:rPr>
        <w:t>Although animal reproduction studies are not always predictive of human response, SAFLUTAN should not be used during pregnancy unless the potential benefit justifies the potential risk to the fetus.</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hAnsi="Arial" w:cs="Arial"/>
          <w:sz w:val="22"/>
          <w:szCs w:val="22"/>
        </w:rPr>
        <w:t xml:space="preserve">Women of childbearing age/potential should have adequate contraceptive measures in place. </w:t>
      </w:r>
    </w:p>
    <w:p w:rsidR="00456C7A" w:rsidRDefault="00456C7A" w:rsidP="00287617">
      <w:pPr>
        <w:tabs>
          <w:tab w:val="right" w:pos="9180"/>
        </w:tabs>
        <w:spacing w:before="100" w:beforeAutospacing="1" w:after="100" w:afterAutospacing="1"/>
        <w:ind w:right="-91"/>
        <w:jc w:val="both"/>
        <w:outlineLvl w:val="0"/>
        <w:rPr>
          <w:rFonts w:ascii="Arial" w:hAnsi="Arial"/>
          <w:sz w:val="22"/>
        </w:rPr>
      </w:pPr>
      <w:r>
        <w:rPr>
          <w:rFonts w:ascii="Arial" w:hAnsi="Arial"/>
          <w:b/>
          <w:sz w:val="22"/>
        </w:rPr>
        <w:t>Use in Lactation</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hAnsi="Arial" w:cs="Arial"/>
          <w:sz w:val="22"/>
          <w:szCs w:val="22"/>
        </w:rPr>
        <w:t>A study in lactating rats demonstrated that radiolabeled tafluprost and/or its metabolites (0.1% of the dose) were excreted in milk. It is not known whether this drug or its metabolites are excreted in human milk. Because many drugs are excreted in human milk, caution should be exercised when SAFLUTAN is administered to a nursing woman.</w:t>
      </w:r>
    </w:p>
    <w:p w:rsidR="00456C7A" w:rsidRDefault="00456C7A" w:rsidP="00287617">
      <w:pPr>
        <w:tabs>
          <w:tab w:val="right" w:pos="9180"/>
        </w:tabs>
        <w:spacing w:before="100" w:beforeAutospacing="1" w:after="100" w:afterAutospacing="1"/>
        <w:ind w:right="-91"/>
        <w:jc w:val="both"/>
        <w:outlineLvl w:val="0"/>
        <w:rPr>
          <w:rFonts w:ascii="Arial" w:hAnsi="Arial"/>
          <w:sz w:val="22"/>
        </w:rPr>
      </w:pPr>
      <w:r>
        <w:rPr>
          <w:rFonts w:ascii="Arial" w:hAnsi="Arial"/>
          <w:b/>
          <w:sz w:val="22"/>
        </w:rPr>
        <w:t>Use in Children</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hAnsi="Arial" w:cs="Arial"/>
          <w:sz w:val="22"/>
          <w:szCs w:val="22"/>
        </w:rPr>
        <w:t>Safety and effectiveness of SAFLUTAN in p</w:t>
      </w:r>
      <w:r>
        <w:rPr>
          <w:rFonts w:ascii="Arial" w:hAnsi="Arial" w:cs="Arial"/>
          <w:sz w:val="22"/>
          <w:szCs w:val="22"/>
        </w:rPr>
        <w:t>a</w:t>
      </w:r>
      <w:r w:rsidRPr="000C412A">
        <w:rPr>
          <w:rFonts w:ascii="Arial" w:hAnsi="Arial" w:cs="Arial"/>
          <w:sz w:val="22"/>
          <w:szCs w:val="22"/>
        </w:rPr>
        <w:t>ediatric patients have not been established. Therefore, treatment with SAFLUTAN is not recommended.</w:t>
      </w:r>
    </w:p>
    <w:p w:rsidR="00456C7A" w:rsidRDefault="00456C7A" w:rsidP="00287617">
      <w:pPr>
        <w:tabs>
          <w:tab w:val="right" w:pos="9180"/>
        </w:tabs>
        <w:spacing w:before="100" w:beforeAutospacing="1" w:after="100" w:afterAutospacing="1"/>
        <w:ind w:right="-91"/>
        <w:jc w:val="both"/>
        <w:outlineLvl w:val="0"/>
        <w:rPr>
          <w:rFonts w:ascii="Arial" w:hAnsi="Arial"/>
          <w:b/>
          <w:sz w:val="22"/>
        </w:rPr>
      </w:pPr>
      <w:r>
        <w:rPr>
          <w:rFonts w:ascii="Arial" w:hAnsi="Arial"/>
          <w:b/>
          <w:sz w:val="22"/>
        </w:rPr>
        <w:lastRenderedPageBreak/>
        <w:t>Use in the Elderly</w:t>
      </w:r>
    </w:p>
    <w:p w:rsidR="000C412A" w:rsidRPr="000C412A" w:rsidRDefault="000C412A" w:rsidP="00287617">
      <w:pPr>
        <w:tabs>
          <w:tab w:val="right" w:pos="9180"/>
        </w:tabs>
        <w:spacing w:before="100" w:beforeAutospacing="1" w:after="100" w:afterAutospacing="1"/>
        <w:ind w:right="-91"/>
        <w:rPr>
          <w:rFonts w:ascii="Arial" w:hAnsi="Arial" w:cs="Arial"/>
          <w:sz w:val="22"/>
          <w:szCs w:val="22"/>
        </w:rPr>
      </w:pPr>
      <w:r w:rsidRPr="000C412A">
        <w:rPr>
          <w:rFonts w:ascii="Arial" w:eastAsia="MS Mincho" w:hAnsi="Arial" w:cs="Arial"/>
          <w:sz w:val="22"/>
          <w:szCs w:val="22"/>
          <w:lang w:eastAsia="ja-JP"/>
        </w:rPr>
        <w:t>No differences in efficacy or adverse events profile have been observed between elderly (&gt; 65 years) and non-elderly (≤ 65 years) patients. Therefore, no dosage adjustment is required for elderly patients.</w:t>
      </w:r>
    </w:p>
    <w:p w:rsidR="004A77C0" w:rsidRDefault="000C412A" w:rsidP="00287617">
      <w:pPr>
        <w:tabs>
          <w:tab w:val="right" w:pos="9180"/>
        </w:tabs>
        <w:spacing w:before="100" w:beforeAutospacing="1" w:after="100" w:afterAutospacing="1"/>
        <w:ind w:right="-91"/>
        <w:jc w:val="both"/>
        <w:outlineLvl w:val="0"/>
        <w:rPr>
          <w:rFonts w:ascii="Arial" w:hAnsi="Arial"/>
          <w:b/>
          <w:sz w:val="22"/>
        </w:rPr>
      </w:pPr>
      <w:r>
        <w:rPr>
          <w:rFonts w:ascii="Arial" w:hAnsi="Arial"/>
          <w:b/>
          <w:sz w:val="22"/>
        </w:rPr>
        <w:t>Carcinogenicity</w:t>
      </w:r>
    </w:p>
    <w:p w:rsidR="004A77C0" w:rsidRPr="004A77C0" w:rsidRDefault="004A77C0" w:rsidP="00287617">
      <w:pPr>
        <w:tabs>
          <w:tab w:val="right" w:pos="9180"/>
        </w:tabs>
        <w:spacing w:before="100" w:beforeAutospacing="1" w:after="100" w:afterAutospacing="1"/>
        <w:ind w:right="-91"/>
        <w:rPr>
          <w:rFonts w:ascii="Arial" w:hAnsi="Arial" w:cs="Arial"/>
          <w:sz w:val="22"/>
          <w:szCs w:val="22"/>
        </w:rPr>
      </w:pPr>
      <w:r w:rsidRPr="004A77C0">
        <w:rPr>
          <w:rFonts w:ascii="Arial" w:hAnsi="Arial" w:cs="Arial"/>
          <w:sz w:val="22"/>
          <w:szCs w:val="22"/>
        </w:rPr>
        <w:t>Tafluprost was not carcinogenic when administered subcutaneously daily for 24 months at doses up to 30 µg/kg/day in rats and for 18 months at doses up to 100 µg/kg/day in mice (over 1600- and 1300-times, respectively, the maximum clinical exposure based on plasma AUC).</w:t>
      </w:r>
    </w:p>
    <w:p w:rsidR="004A77C0" w:rsidRDefault="004A77C0" w:rsidP="00287617">
      <w:pPr>
        <w:tabs>
          <w:tab w:val="right" w:pos="9180"/>
        </w:tabs>
        <w:spacing w:before="100" w:beforeAutospacing="1" w:after="100" w:afterAutospacing="1"/>
        <w:ind w:right="-91"/>
        <w:jc w:val="both"/>
        <w:outlineLvl w:val="0"/>
        <w:rPr>
          <w:rFonts w:ascii="Arial" w:hAnsi="Arial"/>
          <w:b/>
          <w:sz w:val="22"/>
        </w:rPr>
      </w:pPr>
      <w:r>
        <w:rPr>
          <w:rFonts w:ascii="Arial" w:hAnsi="Arial"/>
          <w:b/>
          <w:sz w:val="22"/>
        </w:rPr>
        <w:t>Genotoxicity</w:t>
      </w:r>
    </w:p>
    <w:p w:rsidR="004A77C0" w:rsidRPr="004A77C0" w:rsidRDefault="004A77C0" w:rsidP="00287617">
      <w:pPr>
        <w:tabs>
          <w:tab w:val="right" w:pos="9180"/>
        </w:tabs>
        <w:spacing w:before="100" w:beforeAutospacing="1" w:after="100" w:afterAutospacing="1"/>
        <w:ind w:right="-91"/>
        <w:rPr>
          <w:rFonts w:ascii="Arial" w:hAnsi="Arial" w:cs="Arial"/>
          <w:sz w:val="22"/>
          <w:szCs w:val="22"/>
        </w:rPr>
      </w:pPr>
      <w:r w:rsidRPr="004A77C0">
        <w:rPr>
          <w:rFonts w:ascii="Arial" w:hAnsi="Arial" w:cs="Arial"/>
          <w:sz w:val="22"/>
          <w:szCs w:val="22"/>
        </w:rPr>
        <w:t xml:space="preserve">Tafluprost was not mutagenic or clastogenic in a battery of genetic toxicology studies, including an </w:t>
      </w:r>
      <w:r w:rsidR="002E0D29" w:rsidRPr="00A17D37">
        <w:rPr>
          <w:rFonts w:ascii="Arial" w:hAnsi="Arial" w:cs="Arial"/>
          <w:i/>
          <w:sz w:val="22"/>
          <w:szCs w:val="22"/>
        </w:rPr>
        <w:t>in</w:t>
      </w:r>
      <w:r w:rsidR="00F548FC" w:rsidRPr="00A17D37">
        <w:rPr>
          <w:rFonts w:ascii="Arial" w:hAnsi="Arial" w:cs="Arial"/>
          <w:i/>
          <w:sz w:val="22"/>
          <w:szCs w:val="22"/>
        </w:rPr>
        <w:t xml:space="preserve"> </w:t>
      </w:r>
      <w:r w:rsidR="002E0D29" w:rsidRPr="00A17D37">
        <w:rPr>
          <w:rFonts w:ascii="Arial" w:hAnsi="Arial" w:cs="Arial"/>
          <w:i/>
          <w:sz w:val="22"/>
          <w:szCs w:val="22"/>
        </w:rPr>
        <w:t>vitro</w:t>
      </w:r>
      <w:r w:rsidRPr="004A77C0">
        <w:rPr>
          <w:rFonts w:ascii="Arial" w:hAnsi="Arial" w:cs="Arial"/>
          <w:sz w:val="22"/>
          <w:szCs w:val="22"/>
        </w:rPr>
        <w:t xml:space="preserve"> microbial mutagenesis assay, an </w:t>
      </w:r>
      <w:r w:rsidRPr="004A77C0">
        <w:rPr>
          <w:rFonts w:ascii="Arial" w:hAnsi="Arial" w:cs="Arial"/>
          <w:i/>
          <w:sz w:val="22"/>
          <w:szCs w:val="22"/>
        </w:rPr>
        <w:t>in vitro</w:t>
      </w:r>
      <w:r w:rsidRPr="004A77C0">
        <w:rPr>
          <w:rFonts w:ascii="Arial" w:hAnsi="Arial" w:cs="Arial"/>
          <w:sz w:val="22"/>
          <w:szCs w:val="22"/>
        </w:rPr>
        <w:t xml:space="preserve"> chromosomal aberration assay in Chinese hamster lung cells, and an </w:t>
      </w:r>
      <w:r w:rsidRPr="004A77C0">
        <w:rPr>
          <w:rFonts w:ascii="Arial" w:hAnsi="Arial" w:cs="Arial"/>
          <w:i/>
          <w:sz w:val="22"/>
          <w:szCs w:val="22"/>
        </w:rPr>
        <w:t>in vivo</w:t>
      </w:r>
      <w:r w:rsidRPr="004A77C0">
        <w:rPr>
          <w:rFonts w:ascii="Arial" w:hAnsi="Arial" w:cs="Arial"/>
          <w:sz w:val="22"/>
          <w:szCs w:val="22"/>
        </w:rPr>
        <w:t xml:space="preserve"> mouse micronucleus assay in bone marrow.</w:t>
      </w:r>
    </w:p>
    <w:p w:rsidR="00456C7A" w:rsidRDefault="00456C7A" w:rsidP="00287617">
      <w:pPr>
        <w:tabs>
          <w:tab w:val="right" w:pos="9180"/>
        </w:tabs>
        <w:spacing w:before="100" w:beforeAutospacing="1" w:after="100" w:afterAutospacing="1"/>
        <w:ind w:right="-91"/>
        <w:jc w:val="both"/>
        <w:outlineLvl w:val="0"/>
        <w:rPr>
          <w:rFonts w:ascii="Arial" w:hAnsi="Arial"/>
          <w:sz w:val="22"/>
        </w:rPr>
      </w:pPr>
      <w:r>
        <w:rPr>
          <w:rFonts w:ascii="Arial" w:hAnsi="Arial"/>
          <w:b/>
          <w:sz w:val="22"/>
        </w:rPr>
        <w:t xml:space="preserve">Interactions with Other </w:t>
      </w:r>
      <w:r w:rsidR="00BB31E9">
        <w:rPr>
          <w:rFonts w:ascii="Arial" w:hAnsi="Arial"/>
          <w:b/>
          <w:sz w:val="22"/>
        </w:rPr>
        <w:t>Medicines</w:t>
      </w:r>
    </w:p>
    <w:p w:rsidR="00CB6E0D" w:rsidRPr="00CB6E0D" w:rsidRDefault="00CB6E0D" w:rsidP="00287617">
      <w:pPr>
        <w:tabs>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t>No interactions are anticipated in humans, since systemic concentrations of tafluprost are extremely low following ocular dosing. Therefore, specific drug interaction studies have not been performed with tafluprost.</w:t>
      </w:r>
    </w:p>
    <w:p w:rsidR="00CB6E0D" w:rsidRPr="00CB6E0D" w:rsidRDefault="00CB6E0D" w:rsidP="00287617">
      <w:pPr>
        <w:tabs>
          <w:tab w:val="right" w:pos="9180"/>
        </w:tabs>
        <w:spacing w:before="100" w:beforeAutospacing="1" w:after="100" w:afterAutospacing="1"/>
        <w:ind w:right="-91"/>
        <w:rPr>
          <w:rFonts w:ascii="Arial" w:hAnsi="Arial" w:cs="Arial"/>
          <w:sz w:val="22"/>
          <w:szCs w:val="22"/>
        </w:rPr>
      </w:pPr>
      <w:r w:rsidRPr="00CB6E0D">
        <w:rPr>
          <w:rFonts w:ascii="Arial" w:hAnsi="Arial" w:cs="Arial"/>
          <w:sz w:val="22"/>
          <w:szCs w:val="22"/>
        </w:rPr>
        <w:t xml:space="preserve">In clinical studies tafluprost was used concomitantly with timolol without evidence of </w:t>
      </w:r>
      <w:r w:rsidR="000C412A">
        <w:rPr>
          <w:rFonts w:ascii="Arial" w:hAnsi="Arial" w:cs="Arial"/>
          <w:sz w:val="22"/>
          <w:szCs w:val="22"/>
        </w:rPr>
        <w:t xml:space="preserve">an increase in incidence of </w:t>
      </w:r>
      <w:r w:rsidRPr="00CB6E0D">
        <w:rPr>
          <w:rFonts w:ascii="Arial" w:hAnsi="Arial" w:cs="Arial"/>
          <w:sz w:val="22"/>
          <w:szCs w:val="22"/>
        </w:rPr>
        <w:t xml:space="preserve">adverse </w:t>
      </w:r>
      <w:r w:rsidR="000C412A">
        <w:rPr>
          <w:rFonts w:ascii="Arial" w:hAnsi="Arial" w:cs="Arial"/>
          <w:sz w:val="22"/>
          <w:szCs w:val="22"/>
        </w:rPr>
        <w:t>events</w:t>
      </w:r>
      <w:r w:rsidRPr="00CB6E0D">
        <w:rPr>
          <w:rFonts w:ascii="Arial" w:hAnsi="Arial" w:cs="Arial"/>
          <w:sz w:val="22"/>
          <w:szCs w:val="22"/>
        </w:rPr>
        <w:t>.</w:t>
      </w:r>
    </w:p>
    <w:p w:rsidR="00456C7A" w:rsidRDefault="00456C7A" w:rsidP="00287617">
      <w:pPr>
        <w:tabs>
          <w:tab w:val="right" w:pos="9180"/>
        </w:tabs>
        <w:spacing w:before="100" w:beforeAutospacing="1" w:after="100" w:afterAutospacing="1"/>
        <w:ind w:right="-91"/>
        <w:jc w:val="both"/>
        <w:outlineLvl w:val="0"/>
        <w:rPr>
          <w:rFonts w:ascii="Arial" w:hAnsi="Arial"/>
          <w:b/>
          <w:sz w:val="22"/>
        </w:rPr>
      </w:pPr>
      <w:r>
        <w:rPr>
          <w:rFonts w:ascii="Arial" w:hAnsi="Arial"/>
          <w:b/>
          <w:sz w:val="22"/>
        </w:rPr>
        <w:t>Effects on laboratory tests</w:t>
      </w:r>
    </w:p>
    <w:p w:rsidR="00456C7A" w:rsidRPr="001A496A" w:rsidRDefault="002F4BBD" w:rsidP="00287617">
      <w:pPr>
        <w:tabs>
          <w:tab w:val="right" w:pos="9180"/>
        </w:tabs>
        <w:spacing w:before="100" w:beforeAutospacing="1" w:after="100" w:afterAutospacing="1"/>
        <w:ind w:right="-91"/>
        <w:jc w:val="both"/>
        <w:outlineLvl w:val="0"/>
        <w:rPr>
          <w:rFonts w:ascii="Arial" w:hAnsi="Arial" w:cs="Arial"/>
          <w:sz w:val="22"/>
          <w:szCs w:val="22"/>
        </w:rPr>
      </w:pPr>
      <w:r>
        <w:rPr>
          <w:rFonts w:ascii="Arial" w:hAnsi="Arial"/>
          <w:sz w:val="22"/>
        </w:rPr>
        <w:t xml:space="preserve">SAFLUTAN </w:t>
      </w:r>
      <w:r w:rsidR="00456C7A">
        <w:rPr>
          <w:rFonts w:ascii="Arial" w:hAnsi="Arial"/>
          <w:sz w:val="22"/>
        </w:rPr>
        <w:t xml:space="preserve">was not associated </w:t>
      </w:r>
      <w:r w:rsidR="00456C7A" w:rsidRPr="001A496A">
        <w:rPr>
          <w:rFonts w:ascii="Arial" w:hAnsi="Arial"/>
          <w:sz w:val="22"/>
        </w:rPr>
        <w:t>with clinically meaningful electrolyte</w:t>
      </w:r>
      <w:r w:rsidR="00456C7A">
        <w:rPr>
          <w:rFonts w:ascii="Arial" w:hAnsi="Arial"/>
          <w:sz w:val="22"/>
        </w:rPr>
        <w:t xml:space="preserve"> </w:t>
      </w:r>
      <w:r w:rsidR="00456C7A" w:rsidRPr="001A496A">
        <w:rPr>
          <w:rFonts w:ascii="Arial" w:hAnsi="Arial" w:cs="Arial"/>
          <w:sz w:val="22"/>
          <w:szCs w:val="22"/>
        </w:rPr>
        <w:t>disturbances.</w:t>
      </w:r>
      <w:r w:rsidR="001A496A" w:rsidRPr="001A496A">
        <w:rPr>
          <w:rFonts w:ascii="Arial" w:hAnsi="Arial" w:cs="Arial"/>
          <w:sz w:val="22"/>
          <w:szCs w:val="22"/>
        </w:rPr>
        <w:t xml:space="preserve"> Clinical laboratory investigations were performed in pivotal phase-III clinical trials. No clear-cut trends of shifts in the clinical laboratory variables, or obvious pathological values linked to the treatment could be observed during 6 months of treatment.</w:t>
      </w:r>
    </w:p>
    <w:p w:rsidR="00D90F3D" w:rsidRDefault="00936B84" w:rsidP="00287617">
      <w:pPr>
        <w:tabs>
          <w:tab w:val="right" w:pos="9180"/>
        </w:tabs>
        <w:spacing w:before="100" w:beforeAutospacing="1" w:after="100" w:afterAutospacing="1"/>
        <w:ind w:right="-91"/>
        <w:jc w:val="both"/>
        <w:rPr>
          <w:rFonts w:ascii="Arial" w:hAnsi="Arial"/>
          <w:b/>
          <w:sz w:val="22"/>
        </w:rPr>
      </w:pPr>
      <w:r w:rsidRPr="00074E5F">
        <w:rPr>
          <w:rFonts w:ascii="Arial" w:hAnsi="Arial"/>
          <w:b/>
          <w:sz w:val="22"/>
        </w:rPr>
        <w:t>Other</w:t>
      </w:r>
    </w:p>
    <w:p w:rsidR="00D90F3D" w:rsidRDefault="00936B84" w:rsidP="00287617">
      <w:pPr>
        <w:tabs>
          <w:tab w:val="right" w:pos="9180"/>
        </w:tabs>
        <w:spacing w:before="100" w:beforeAutospacing="1" w:after="100" w:afterAutospacing="1"/>
        <w:ind w:right="-91"/>
        <w:jc w:val="both"/>
        <w:rPr>
          <w:rFonts w:ascii="Arial" w:hAnsi="Arial"/>
          <w:sz w:val="22"/>
        </w:rPr>
      </w:pPr>
      <w:r w:rsidRPr="00074E5F">
        <w:rPr>
          <w:rFonts w:ascii="Arial" w:hAnsi="Arial" w:cs="Arial"/>
          <w:sz w:val="22"/>
          <w:szCs w:val="22"/>
        </w:rPr>
        <w:t>As with any ocular treatment, if transient blurred vision occurs at instillation, the patient should wait until the vision clears before driving or using machinery.</w:t>
      </w:r>
    </w:p>
    <w:p w:rsidR="00D81890" w:rsidRDefault="00456C7A" w:rsidP="006E082D">
      <w:pPr>
        <w:tabs>
          <w:tab w:val="right" w:pos="9180"/>
        </w:tabs>
        <w:spacing w:before="360" w:after="240"/>
        <w:ind w:right="-91"/>
        <w:jc w:val="center"/>
        <w:outlineLvl w:val="0"/>
        <w:rPr>
          <w:rFonts w:ascii="Arial" w:hAnsi="Arial"/>
          <w:sz w:val="22"/>
        </w:rPr>
      </w:pPr>
      <w:r>
        <w:rPr>
          <w:rFonts w:ascii="Arial" w:hAnsi="Arial"/>
          <w:b/>
          <w:sz w:val="22"/>
        </w:rPr>
        <w:t xml:space="preserve">ADVERSE </w:t>
      </w:r>
      <w:r w:rsidR="00516DBD">
        <w:rPr>
          <w:rFonts w:ascii="Arial" w:hAnsi="Arial"/>
          <w:b/>
          <w:sz w:val="22"/>
        </w:rPr>
        <w:t>EFFECTS</w:t>
      </w:r>
    </w:p>
    <w:p w:rsidR="004A77C0" w:rsidRPr="004A77C0" w:rsidRDefault="004A77C0" w:rsidP="006E082D">
      <w:pPr>
        <w:tabs>
          <w:tab w:val="right" w:pos="9180"/>
        </w:tabs>
        <w:spacing w:before="100" w:beforeAutospacing="1" w:after="100" w:afterAutospacing="1"/>
        <w:ind w:right="-91"/>
        <w:rPr>
          <w:rFonts w:ascii="Arial" w:hAnsi="Arial" w:cs="Arial"/>
          <w:sz w:val="22"/>
          <w:szCs w:val="22"/>
        </w:rPr>
      </w:pPr>
      <w:r w:rsidRPr="004A77C0">
        <w:rPr>
          <w:rFonts w:ascii="Arial" w:hAnsi="Arial" w:cs="Arial"/>
          <w:color w:val="000000"/>
          <w:sz w:val="22"/>
          <w:szCs w:val="22"/>
        </w:rPr>
        <w:t xml:space="preserve">Multiple dose strengths of tafluprost have been studied in over 1110 patients in </w:t>
      </w:r>
      <w:r w:rsidRPr="00A17D37">
        <w:rPr>
          <w:rFonts w:ascii="Arial" w:hAnsi="Arial" w:cs="Arial"/>
          <w:color w:val="000000"/>
          <w:sz w:val="22"/>
          <w:szCs w:val="22"/>
        </w:rPr>
        <w:t>U</w:t>
      </w:r>
      <w:r w:rsidR="00074E5F" w:rsidRPr="00A17D37">
        <w:rPr>
          <w:rFonts w:ascii="Arial" w:hAnsi="Arial" w:cs="Arial"/>
          <w:color w:val="000000"/>
          <w:sz w:val="22"/>
          <w:szCs w:val="22"/>
        </w:rPr>
        <w:t>.</w:t>
      </w:r>
      <w:r w:rsidRPr="00A17D37">
        <w:rPr>
          <w:rFonts w:ascii="Arial" w:hAnsi="Arial" w:cs="Arial"/>
          <w:color w:val="000000"/>
          <w:sz w:val="22"/>
          <w:szCs w:val="22"/>
        </w:rPr>
        <w:t>S</w:t>
      </w:r>
      <w:r w:rsidR="00074E5F" w:rsidRPr="00A17D37">
        <w:rPr>
          <w:rFonts w:ascii="Arial" w:hAnsi="Arial" w:cs="Arial"/>
          <w:color w:val="000000"/>
          <w:sz w:val="22"/>
          <w:szCs w:val="22"/>
        </w:rPr>
        <w:t>.</w:t>
      </w:r>
      <w:r w:rsidRPr="004A77C0">
        <w:rPr>
          <w:rFonts w:ascii="Arial" w:hAnsi="Arial" w:cs="Arial"/>
          <w:color w:val="000000"/>
          <w:sz w:val="22"/>
          <w:szCs w:val="22"/>
        </w:rPr>
        <w:t xml:space="preserve"> and multinational phase II and phase III studies</w:t>
      </w:r>
      <w:r w:rsidRPr="004A77C0">
        <w:rPr>
          <w:rFonts w:ascii="Arial" w:hAnsi="Arial" w:cs="Arial"/>
          <w:sz w:val="22"/>
          <w:szCs w:val="22"/>
        </w:rPr>
        <w:t xml:space="preserve"> either as monotherapy or as adjunctive therapy to timolol 0.5%, primarily using preservative-containing formulations. The clinical dose strength of tafluprost 0.0015% has been studied in 724 patients in </w:t>
      </w:r>
      <w:smartTag w:uri="urn:schemas-microsoft-com:office:smarttags" w:element="place">
        <w:smartTag w:uri="urn:schemas-microsoft-com:office:smarttags" w:element="country-region">
          <w:r w:rsidRPr="00A17D37">
            <w:rPr>
              <w:rFonts w:ascii="Arial" w:hAnsi="Arial" w:cs="Arial"/>
              <w:sz w:val="22"/>
              <w:szCs w:val="22"/>
            </w:rPr>
            <w:t>U</w:t>
          </w:r>
          <w:r w:rsidR="00074E5F" w:rsidRPr="00A17D37">
            <w:rPr>
              <w:rFonts w:ascii="Arial" w:hAnsi="Arial" w:cs="Arial"/>
              <w:sz w:val="22"/>
              <w:szCs w:val="22"/>
            </w:rPr>
            <w:t>.</w:t>
          </w:r>
          <w:r w:rsidRPr="00A17D37">
            <w:rPr>
              <w:rFonts w:ascii="Arial" w:hAnsi="Arial" w:cs="Arial"/>
              <w:sz w:val="22"/>
              <w:szCs w:val="22"/>
            </w:rPr>
            <w:t>S</w:t>
          </w:r>
          <w:r w:rsidR="00074E5F" w:rsidRPr="00A17D37">
            <w:rPr>
              <w:rFonts w:ascii="Arial" w:hAnsi="Arial" w:cs="Arial"/>
              <w:sz w:val="22"/>
              <w:szCs w:val="22"/>
            </w:rPr>
            <w:t>.</w:t>
          </w:r>
        </w:smartTag>
      </w:smartTag>
      <w:r w:rsidRPr="004A77C0">
        <w:rPr>
          <w:rFonts w:ascii="Arial" w:hAnsi="Arial" w:cs="Arial"/>
          <w:sz w:val="22"/>
          <w:szCs w:val="22"/>
        </w:rPr>
        <w:t xml:space="preserve"> and multinational masked phase II and phase III trials. </w:t>
      </w:r>
      <w:bookmarkStart w:id="4" w:name="OLE_LINK19"/>
      <w:bookmarkStart w:id="5" w:name="OLE_LINK20"/>
      <w:r w:rsidRPr="0058049E">
        <w:rPr>
          <w:rFonts w:ascii="Arial" w:hAnsi="Arial" w:cs="Arial"/>
          <w:sz w:val="22"/>
          <w:szCs w:val="22"/>
        </w:rPr>
        <w:t>The most common drug-related adverse reaction in these patients treated with tafluprost 0.0015% was ocular hyper</w:t>
      </w:r>
      <w:r w:rsidR="00D901A1">
        <w:rPr>
          <w:rFonts w:ascii="Arial" w:hAnsi="Arial" w:cs="Arial"/>
          <w:sz w:val="22"/>
          <w:szCs w:val="22"/>
        </w:rPr>
        <w:t>a</w:t>
      </w:r>
      <w:r w:rsidRPr="0058049E">
        <w:rPr>
          <w:rFonts w:ascii="Arial" w:hAnsi="Arial" w:cs="Arial"/>
          <w:sz w:val="22"/>
          <w:szCs w:val="22"/>
        </w:rPr>
        <w:t xml:space="preserve">emia, which was reported </w:t>
      </w:r>
      <w:r w:rsidRPr="0058049E">
        <w:rPr>
          <w:rFonts w:ascii="Arial" w:hAnsi="Arial" w:cs="Arial"/>
          <w:sz w:val="22"/>
          <w:szCs w:val="22"/>
        </w:rPr>
        <w:lastRenderedPageBreak/>
        <w:t>in 14.2% of patients. Most</w:t>
      </w:r>
      <w:r w:rsidRPr="004A77C0">
        <w:rPr>
          <w:rFonts w:ascii="Arial" w:hAnsi="Arial" w:cs="Arial"/>
          <w:sz w:val="22"/>
          <w:szCs w:val="22"/>
        </w:rPr>
        <w:t xml:space="preserve"> adverse reactions in this population were mild and led to discontinuation in 2.1% of patients participating in these studies</w:t>
      </w:r>
      <w:bookmarkEnd w:id="4"/>
      <w:bookmarkEnd w:id="5"/>
      <w:r w:rsidRPr="004A77C0">
        <w:rPr>
          <w:rFonts w:ascii="Arial" w:hAnsi="Arial" w:cs="Arial"/>
          <w:sz w:val="22"/>
          <w:szCs w:val="22"/>
        </w:rPr>
        <w:t>.</w:t>
      </w:r>
    </w:p>
    <w:p w:rsidR="004A77C0" w:rsidRPr="00BF038C" w:rsidRDefault="004A77C0" w:rsidP="006E082D">
      <w:pPr>
        <w:tabs>
          <w:tab w:val="right" w:pos="9180"/>
        </w:tabs>
        <w:spacing w:before="100" w:beforeAutospacing="1" w:after="100" w:afterAutospacing="1"/>
        <w:ind w:right="-91"/>
        <w:rPr>
          <w:rFonts w:ascii="Arial" w:hAnsi="Arial" w:cs="Arial"/>
          <w:noProof/>
          <w:sz w:val="22"/>
          <w:szCs w:val="22"/>
        </w:rPr>
      </w:pPr>
      <w:r w:rsidRPr="004A77C0">
        <w:rPr>
          <w:rFonts w:ascii="Arial" w:hAnsi="Arial" w:cs="Arial"/>
          <w:sz w:val="22"/>
          <w:szCs w:val="22"/>
        </w:rPr>
        <w:t xml:space="preserve">The following additional drug-related adverse reactions were </w:t>
      </w:r>
      <w:r w:rsidRPr="00BF038C">
        <w:rPr>
          <w:rFonts w:ascii="Arial" w:hAnsi="Arial" w:cs="Arial"/>
          <w:sz w:val="22"/>
          <w:szCs w:val="22"/>
        </w:rPr>
        <w:t xml:space="preserve">reported during treatment up to 24 months </w:t>
      </w:r>
      <w:r w:rsidRPr="00BF038C">
        <w:rPr>
          <w:rFonts w:ascii="Arial" w:hAnsi="Arial" w:cs="Arial"/>
          <w:noProof/>
          <w:sz w:val="22"/>
          <w:szCs w:val="22"/>
        </w:rPr>
        <w:t>(within each frequency grouping, adverse reactions are presented in order of decreasing frequency):</w:t>
      </w:r>
    </w:p>
    <w:p w:rsidR="001617A9" w:rsidRPr="00BF038C" w:rsidRDefault="004A77C0" w:rsidP="006E082D">
      <w:pPr>
        <w:tabs>
          <w:tab w:val="right" w:pos="9180"/>
        </w:tabs>
        <w:spacing w:before="100" w:beforeAutospacing="1" w:after="100" w:afterAutospacing="1"/>
        <w:ind w:right="-91"/>
        <w:outlineLvl w:val="0"/>
        <w:rPr>
          <w:rFonts w:ascii="Arial" w:hAnsi="Arial" w:cs="Arial"/>
          <w:sz w:val="22"/>
          <w:szCs w:val="22"/>
          <w:u w:val="single"/>
        </w:rPr>
      </w:pPr>
      <w:r w:rsidRPr="00BF038C">
        <w:rPr>
          <w:rFonts w:ascii="Arial" w:hAnsi="Arial" w:cs="Arial"/>
          <w:sz w:val="22"/>
          <w:szCs w:val="22"/>
          <w:u w:val="single"/>
        </w:rPr>
        <w:t>Eye disorders</w:t>
      </w:r>
    </w:p>
    <w:p w:rsidR="004A77C0" w:rsidRPr="00587E37" w:rsidRDefault="00587E37" w:rsidP="006E082D">
      <w:pPr>
        <w:tabs>
          <w:tab w:val="right" w:pos="9180"/>
        </w:tabs>
        <w:spacing w:before="100" w:beforeAutospacing="1" w:after="100" w:afterAutospacing="1"/>
        <w:ind w:right="-91"/>
        <w:rPr>
          <w:rFonts w:ascii="Arial" w:hAnsi="Arial" w:cs="Arial"/>
          <w:sz w:val="22"/>
          <w:szCs w:val="22"/>
        </w:rPr>
      </w:pPr>
      <w:r w:rsidRPr="00587E37">
        <w:rPr>
          <w:rFonts w:ascii="Arial" w:hAnsi="Arial" w:cs="Arial"/>
          <w:sz w:val="22"/>
          <w:szCs w:val="22"/>
          <w:u w:val="single"/>
        </w:rPr>
        <w:t>Common (≥ 1%, &lt; 10%):</w:t>
      </w:r>
      <w:r w:rsidRPr="00EA4D38">
        <w:rPr>
          <w:rFonts w:ascii="Arial" w:hAnsi="Arial" w:cs="Arial"/>
          <w:sz w:val="22"/>
          <w:szCs w:val="22"/>
        </w:rPr>
        <w:t xml:space="preserve"> </w:t>
      </w:r>
      <w:r w:rsidRPr="00587E37">
        <w:rPr>
          <w:rFonts w:ascii="Arial" w:hAnsi="Arial" w:cs="Arial"/>
          <w:sz w:val="22"/>
          <w:szCs w:val="22"/>
        </w:rPr>
        <w:t>E</w:t>
      </w:r>
      <w:r w:rsidR="004A77C0" w:rsidRPr="00587E37">
        <w:rPr>
          <w:rFonts w:ascii="Arial" w:hAnsi="Arial" w:cs="Arial"/>
          <w:sz w:val="22"/>
          <w:szCs w:val="22"/>
        </w:rPr>
        <w:t>ye pruritus, eye irritation, eye pain, growth of eyelashes, dry eye, eyelash discolo</w:t>
      </w:r>
      <w:r w:rsidR="00407C86">
        <w:rPr>
          <w:rFonts w:ascii="Arial" w:hAnsi="Arial" w:cs="Arial"/>
          <w:sz w:val="22"/>
          <w:szCs w:val="22"/>
        </w:rPr>
        <w:t>u</w:t>
      </w:r>
      <w:r w:rsidR="004A77C0" w:rsidRPr="00587E37">
        <w:rPr>
          <w:rFonts w:ascii="Arial" w:hAnsi="Arial" w:cs="Arial"/>
          <w:sz w:val="22"/>
          <w:szCs w:val="22"/>
        </w:rPr>
        <w:t xml:space="preserve">ration, lacrimation increased, erythema of eyelid, foreign body sensation in eyes, vision blurred, photophobia, visual acuity reduced, eyelash thickening, punctate keratitis, eye discharge, eyelid </w:t>
      </w:r>
      <w:r w:rsidR="00D901A1">
        <w:rPr>
          <w:rFonts w:ascii="Arial" w:hAnsi="Arial" w:cs="Arial"/>
          <w:sz w:val="22"/>
          <w:szCs w:val="22"/>
        </w:rPr>
        <w:t>o</w:t>
      </w:r>
      <w:r w:rsidR="004A77C0" w:rsidRPr="00587E37">
        <w:rPr>
          <w:rFonts w:ascii="Arial" w:hAnsi="Arial" w:cs="Arial"/>
          <w:sz w:val="22"/>
          <w:szCs w:val="22"/>
        </w:rPr>
        <w:t>edema and iris hyperpigmentation.</w:t>
      </w:r>
    </w:p>
    <w:p w:rsidR="00587E37" w:rsidRPr="00587E37" w:rsidRDefault="00587E37" w:rsidP="006E082D">
      <w:pPr>
        <w:tabs>
          <w:tab w:val="right" w:pos="9180"/>
        </w:tabs>
        <w:spacing w:before="100" w:beforeAutospacing="1" w:after="100" w:afterAutospacing="1"/>
        <w:ind w:right="-91"/>
        <w:rPr>
          <w:rFonts w:ascii="Arial" w:hAnsi="Arial" w:cs="Arial"/>
          <w:sz w:val="22"/>
          <w:szCs w:val="22"/>
        </w:rPr>
      </w:pPr>
      <w:r w:rsidRPr="00C23AEE">
        <w:rPr>
          <w:rFonts w:ascii="Arial" w:hAnsi="Arial" w:cs="Arial"/>
          <w:sz w:val="22"/>
          <w:szCs w:val="22"/>
          <w:u w:val="single"/>
        </w:rPr>
        <w:t>Uncommon (</w:t>
      </w:r>
      <w:r w:rsidRPr="00587E37">
        <w:rPr>
          <w:rFonts w:ascii="Arial" w:hAnsi="Arial" w:cs="Arial"/>
          <w:sz w:val="22"/>
          <w:szCs w:val="22"/>
          <w:u w:val="single"/>
        </w:rPr>
        <w:t>≥ 0.1%, &lt; 1%):</w:t>
      </w:r>
      <w:r w:rsidRPr="00EA4D38">
        <w:rPr>
          <w:rFonts w:ascii="Arial" w:hAnsi="Arial" w:cs="Arial"/>
          <w:sz w:val="22"/>
          <w:szCs w:val="22"/>
        </w:rPr>
        <w:t xml:space="preserve"> </w:t>
      </w:r>
      <w:r w:rsidRPr="00C23AEE">
        <w:rPr>
          <w:rFonts w:ascii="Arial" w:hAnsi="Arial" w:cs="Arial"/>
          <w:sz w:val="22"/>
          <w:szCs w:val="22"/>
        </w:rPr>
        <w:t>B</w:t>
      </w:r>
      <w:r w:rsidRPr="00587E37">
        <w:rPr>
          <w:rFonts w:ascii="Arial" w:hAnsi="Arial" w:cs="Arial"/>
          <w:sz w:val="22"/>
          <w:szCs w:val="22"/>
        </w:rPr>
        <w:t>lepharal pigmentation</w:t>
      </w:r>
    </w:p>
    <w:p w:rsidR="004A77C0" w:rsidRPr="00587E37" w:rsidRDefault="004A77C0" w:rsidP="006E082D">
      <w:pPr>
        <w:tabs>
          <w:tab w:val="right" w:pos="9180"/>
        </w:tabs>
        <w:spacing w:before="100" w:beforeAutospacing="1" w:after="100" w:afterAutospacing="1"/>
        <w:ind w:right="-91"/>
        <w:outlineLvl w:val="0"/>
        <w:rPr>
          <w:rFonts w:ascii="Arial" w:hAnsi="Arial" w:cs="Arial"/>
          <w:sz w:val="22"/>
          <w:szCs w:val="22"/>
          <w:u w:val="single"/>
        </w:rPr>
      </w:pPr>
      <w:r w:rsidRPr="00587E37">
        <w:rPr>
          <w:rFonts w:ascii="Arial" w:hAnsi="Arial" w:cs="Arial"/>
          <w:sz w:val="22"/>
          <w:szCs w:val="22"/>
          <w:u w:val="single"/>
        </w:rPr>
        <w:t>Nervous System Disorders</w:t>
      </w:r>
    </w:p>
    <w:p w:rsidR="004A77C0" w:rsidRPr="00587E37" w:rsidRDefault="00587E37" w:rsidP="006E082D">
      <w:pPr>
        <w:tabs>
          <w:tab w:val="right" w:pos="9180"/>
        </w:tabs>
        <w:spacing w:before="100" w:beforeAutospacing="1" w:after="100" w:afterAutospacing="1"/>
        <w:ind w:right="-91"/>
        <w:outlineLvl w:val="0"/>
        <w:rPr>
          <w:rFonts w:ascii="Arial" w:hAnsi="Arial" w:cs="Arial"/>
          <w:sz w:val="22"/>
          <w:szCs w:val="22"/>
        </w:rPr>
      </w:pPr>
      <w:r w:rsidRPr="00587E37">
        <w:rPr>
          <w:rFonts w:ascii="Arial" w:hAnsi="Arial" w:cs="Arial"/>
          <w:sz w:val="22"/>
          <w:szCs w:val="22"/>
          <w:u w:val="single"/>
        </w:rPr>
        <w:t>Common (≥ 1%, &lt; 10%):</w:t>
      </w:r>
      <w:r w:rsidRPr="00EA4D38">
        <w:rPr>
          <w:rFonts w:ascii="Arial" w:hAnsi="Arial" w:cs="Arial"/>
          <w:sz w:val="22"/>
          <w:szCs w:val="22"/>
        </w:rPr>
        <w:t xml:space="preserve"> </w:t>
      </w:r>
      <w:r w:rsidR="004A77C0" w:rsidRPr="00587E37">
        <w:rPr>
          <w:rFonts w:ascii="Arial" w:hAnsi="Arial" w:cs="Arial"/>
          <w:sz w:val="22"/>
          <w:szCs w:val="22"/>
        </w:rPr>
        <w:t>Headache</w:t>
      </w:r>
    </w:p>
    <w:p w:rsidR="00456C7A" w:rsidRDefault="00456C7A" w:rsidP="006E082D">
      <w:pPr>
        <w:tabs>
          <w:tab w:val="right" w:pos="9180"/>
        </w:tabs>
        <w:spacing w:before="360" w:after="240"/>
        <w:ind w:right="-91"/>
        <w:jc w:val="center"/>
        <w:outlineLvl w:val="0"/>
        <w:rPr>
          <w:rFonts w:ascii="Arial" w:hAnsi="Arial"/>
          <w:sz w:val="22"/>
        </w:rPr>
      </w:pPr>
      <w:r>
        <w:rPr>
          <w:rFonts w:ascii="Arial" w:hAnsi="Arial"/>
          <w:b/>
          <w:sz w:val="22"/>
        </w:rPr>
        <w:t>DOSAGE AND ADMINISTRATION</w:t>
      </w:r>
    </w:p>
    <w:p w:rsidR="00456C7A" w:rsidRDefault="00456C7A" w:rsidP="006E082D">
      <w:pPr>
        <w:tabs>
          <w:tab w:val="right" w:pos="9180"/>
        </w:tabs>
        <w:spacing w:before="100" w:beforeAutospacing="1" w:after="100" w:afterAutospacing="1"/>
        <w:ind w:right="-91"/>
        <w:jc w:val="both"/>
        <w:outlineLvl w:val="0"/>
        <w:rPr>
          <w:rFonts w:ascii="Arial" w:hAnsi="Arial"/>
          <w:sz w:val="22"/>
        </w:rPr>
      </w:pPr>
      <w:r>
        <w:rPr>
          <w:rFonts w:ascii="Arial" w:hAnsi="Arial"/>
          <w:sz w:val="22"/>
        </w:rPr>
        <w:t xml:space="preserve">The </w:t>
      </w:r>
      <w:r w:rsidR="00587E37">
        <w:rPr>
          <w:rFonts w:ascii="Arial" w:hAnsi="Arial"/>
          <w:sz w:val="22"/>
        </w:rPr>
        <w:t xml:space="preserve">recommended </w:t>
      </w:r>
      <w:r>
        <w:rPr>
          <w:rFonts w:ascii="Arial" w:hAnsi="Arial"/>
          <w:sz w:val="22"/>
        </w:rPr>
        <w:t xml:space="preserve">dose is one drop of </w:t>
      </w:r>
      <w:r w:rsidR="0043482C">
        <w:rPr>
          <w:rFonts w:ascii="Arial" w:hAnsi="Arial"/>
          <w:sz w:val="22"/>
        </w:rPr>
        <w:t>SAFLUTAN</w:t>
      </w:r>
      <w:r w:rsidR="00DD37C2">
        <w:rPr>
          <w:rFonts w:ascii="Arial" w:hAnsi="Arial"/>
          <w:sz w:val="22"/>
        </w:rPr>
        <w:t xml:space="preserve"> </w:t>
      </w:r>
      <w:r>
        <w:rPr>
          <w:rFonts w:ascii="Arial" w:hAnsi="Arial"/>
          <w:sz w:val="22"/>
        </w:rPr>
        <w:t xml:space="preserve">in </w:t>
      </w:r>
      <w:r w:rsidRPr="00587E37">
        <w:rPr>
          <w:rFonts w:ascii="Arial" w:hAnsi="Arial"/>
          <w:sz w:val="22"/>
          <w:szCs w:val="22"/>
        </w:rPr>
        <w:t xml:space="preserve">the </w:t>
      </w:r>
      <w:r w:rsidR="00587E37" w:rsidRPr="00587E37">
        <w:rPr>
          <w:rFonts w:ascii="Arial" w:hAnsi="Arial"/>
          <w:sz w:val="22"/>
          <w:szCs w:val="22"/>
        </w:rPr>
        <w:t xml:space="preserve">conjunctival sac of the </w:t>
      </w:r>
      <w:r w:rsidRPr="00587E37">
        <w:rPr>
          <w:rFonts w:ascii="Arial" w:hAnsi="Arial"/>
          <w:sz w:val="22"/>
          <w:szCs w:val="22"/>
        </w:rPr>
        <w:t>affected</w:t>
      </w:r>
      <w:r>
        <w:rPr>
          <w:rFonts w:ascii="Arial" w:hAnsi="Arial"/>
          <w:sz w:val="22"/>
        </w:rPr>
        <w:t xml:space="preserve"> eye(s) </w:t>
      </w:r>
      <w:r w:rsidR="002F4BBD">
        <w:rPr>
          <w:rFonts w:ascii="Arial" w:hAnsi="Arial"/>
          <w:sz w:val="22"/>
        </w:rPr>
        <w:t xml:space="preserve">once </w:t>
      </w:r>
      <w:r w:rsidR="00587E37">
        <w:rPr>
          <w:rFonts w:ascii="Arial" w:hAnsi="Arial"/>
          <w:sz w:val="22"/>
        </w:rPr>
        <w:t>daily</w:t>
      </w:r>
      <w:r w:rsidR="0043482C">
        <w:rPr>
          <w:rFonts w:ascii="Arial" w:hAnsi="Arial"/>
          <w:sz w:val="22"/>
        </w:rPr>
        <w:t xml:space="preserve"> in the evening</w:t>
      </w:r>
      <w:r>
        <w:rPr>
          <w:rFonts w:ascii="Arial" w:hAnsi="Arial"/>
          <w:sz w:val="22"/>
        </w:rPr>
        <w:t>.</w:t>
      </w:r>
    </w:p>
    <w:p w:rsidR="004B6AC6" w:rsidRPr="004B6AC6" w:rsidRDefault="004B6AC6" w:rsidP="006E082D">
      <w:pPr>
        <w:tabs>
          <w:tab w:val="right" w:pos="9180"/>
        </w:tabs>
        <w:spacing w:before="100" w:beforeAutospacing="1" w:after="100" w:afterAutospacing="1"/>
        <w:ind w:right="-91"/>
        <w:rPr>
          <w:rFonts w:ascii="Arial" w:hAnsi="Arial" w:cs="Arial"/>
          <w:sz w:val="22"/>
          <w:szCs w:val="22"/>
        </w:rPr>
      </w:pPr>
      <w:r w:rsidRPr="004B6AC6">
        <w:rPr>
          <w:rFonts w:ascii="Arial" w:hAnsi="Arial" w:cs="Arial"/>
          <w:sz w:val="22"/>
          <w:szCs w:val="22"/>
        </w:rPr>
        <w:t>The dose should not exceed once daily as more frequent administration may lessen the intraocular pressure lowering effect.</w:t>
      </w:r>
    </w:p>
    <w:p w:rsidR="004B6AC6" w:rsidRPr="004B6AC6" w:rsidRDefault="004B6AC6" w:rsidP="006E082D">
      <w:pPr>
        <w:tabs>
          <w:tab w:val="right" w:pos="9180"/>
        </w:tabs>
        <w:spacing w:before="100" w:beforeAutospacing="1" w:after="100" w:afterAutospacing="1"/>
        <w:ind w:right="-91"/>
        <w:rPr>
          <w:rFonts w:ascii="Arial" w:hAnsi="Arial" w:cs="Arial"/>
          <w:sz w:val="22"/>
          <w:szCs w:val="22"/>
        </w:rPr>
      </w:pPr>
      <w:r w:rsidRPr="004B6AC6">
        <w:rPr>
          <w:rFonts w:ascii="Arial" w:hAnsi="Arial" w:cs="Arial"/>
          <w:sz w:val="22"/>
          <w:szCs w:val="22"/>
        </w:rPr>
        <w:t>SAFLUTAN is a sterile solution that does not contain a preservative. For single use only, one container is sufficient to treat both eyes. Any unused solution should be discarded immediately after use.</w:t>
      </w:r>
    </w:p>
    <w:p w:rsidR="004B6AC6" w:rsidRPr="004B6AC6" w:rsidRDefault="004B6AC6" w:rsidP="006E082D">
      <w:pPr>
        <w:tabs>
          <w:tab w:val="right" w:pos="9180"/>
        </w:tabs>
        <w:spacing w:before="100" w:beforeAutospacing="1" w:after="100" w:afterAutospacing="1"/>
        <w:ind w:right="-91"/>
        <w:rPr>
          <w:rFonts w:ascii="Arial" w:hAnsi="Arial" w:cs="Arial"/>
          <w:sz w:val="22"/>
          <w:szCs w:val="22"/>
        </w:rPr>
      </w:pPr>
      <w:r w:rsidRPr="004B6AC6">
        <w:rPr>
          <w:rFonts w:ascii="Arial" w:hAnsi="Arial" w:cs="Arial"/>
          <w:sz w:val="22"/>
          <w:szCs w:val="22"/>
        </w:rPr>
        <w:t>If more than one topical ophthalmic product is being used, each one should be administered at least 5 minutes apart.</w:t>
      </w:r>
    </w:p>
    <w:p w:rsidR="004B6AC6" w:rsidRPr="004B6AC6" w:rsidRDefault="004B6AC6" w:rsidP="006E082D">
      <w:pPr>
        <w:tabs>
          <w:tab w:val="right" w:pos="9180"/>
        </w:tabs>
        <w:spacing w:before="100" w:beforeAutospacing="1" w:after="100" w:afterAutospacing="1"/>
        <w:ind w:right="-91"/>
        <w:rPr>
          <w:rFonts w:ascii="Arial" w:hAnsi="Arial" w:cs="Arial"/>
          <w:sz w:val="22"/>
          <w:szCs w:val="22"/>
        </w:rPr>
      </w:pPr>
      <w:r w:rsidRPr="004B6AC6">
        <w:rPr>
          <w:rFonts w:ascii="Arial" w:hAnsi="Arial" w:cs="Arial"/>
          <w:sz w:val="22"/>
          <w:szCs w:val="22"/>
        </w:rPr>
        <w:t>To reduce the risk of darkening of the eyelid skin the patients should wipe off any excess solution from the skin. As with any other eye drops, nasolacrimal occlusion or gently closing the eyelid after administration is recommended. This may reduce the systemic absorption of products administered via the ocular route.</w:t>
      </w:r>
    </w:p>
    <w:p w:rsidR="00587E37" w:rsidRPr="00587E37" w:rsidRDefault="00587E37" w:rsidP="00EE169A">
      <w:pPr>
        <w:tabs>
          <w:tab w:val="right" w:pos="9180"/>
        </w:tabs>
        <w:ind w:right="-93"/>
        <w:rPr>
          <w:rFonts w:ascii="Arial" w:hAnsi="Arial" w:cs="Arial"/>
          <w:i/>
          <w:sz w:val="22"/>
          <w:szCs w:val="22"/>
        </w:rPr>
      </w:pPr>
      <w:r w:rsidRPr="00587E37">
        <w:rPr>
          <w:rFonts w:ascii="Arial" w:hAnsi="Arial" w:cs="Arial"/>
          <w:i/>
          <w:sz w:val="22"/>
          <w:szCs w:val="22"/>
        </w:rPr>
        <w:t>Use in Elderly Patients</w:t>
      </w:r>
    </w:p>
    <w:p w:rsidR="00587E37" w:rsidRPr="00587E37" w:rsidRDefault="00587E37" w:rsidP="006E082D">
      <w:pPr>
        <w:tabs>
          <w:tab w:val="right" w:pos="9180"/>
        </w:tabs>
        <w:spacing w:after="100" w:afterAutospacing="1"/>
        <w:ind w:right="-91"/>
        <w:rPr>
          <w:rFonts w:ascii="Arial" w:hAnsi="Arial" w:cs="Arial"/>
          <w:sz w:val="22"/>
          <w:szCs w:val="22"/>
        </w:rPr>
      </w:pPr>
      <w:r w:rsidRPr="00587E37">
        <w:rPr>
          <w:rFonts w:ascii="Arial" w:hAnsi="Arial" w:cs="Arial"/>
          <w:sz w:val="22"/>
          <w:szCs w:val="22"/>
        </w:rPr>
        <w:t>No dosage adjustment is required for elderly patients.</w:t>
      </w:r>
    </w:p>
    <w:p w:rsidR="00587E37" w:rsidRPr="00587E37" w:rsidRDefault="00587E37" w:rsidP="006E082D">
      <w:pPr>
        <w:tabs>
          <w:tab w:val="right" w:pos="9180"/>
        </w:tabs>
        <w:spacing w:before="100" w:beforeAutospacing="1"/>
        <w:ind w:right="-91"/>
        <w:rPr>
          <w:rFonts w:ascii="Arial" w:hAnsi="Arial" w:cs="Arial"/>
          <w:sz w:val="22"/>
          <w:szCs w:val="22"/>
        </w:rPr>
      </w:pPr>
      <w:r w:rsidRPr="00587E37">
        <w:rPr>
          <w:rFonts w:ascii="Arial" w:hAnsi="Arial" w:cs="Arial"/>
          <w:sz w:val="22"/>
          <w:szCs w:val="22"/>
        </w:rPr>
        <w:t>Use in P</w:t>
      </w:r>
      <w:r w:rsidR="00D901A1">
        <w:rPr>
          <w:rFonts w:ascii="Arial" w:hAnsi="Arial" w:cs="Arial"/>
          <w:sz w:val="22"/>
          <w:szCs w:val="22"/>
        </w:rPr>
        <w:t>a</w:t>
      </w:r>
      <w:r w:rsidRPr="00587E37">
        <w:rPr>
          <w:rFonts w:ascii="Arial" w:hAnsi="Arial" w:cs="Arial"/>
          <w:sz w:val="22"/>
          <w:szCs w:val="22"/>
        </w:rPr>
        <w:t>ediatric Patients</w:t>
      </w:r>
    </w:p>
    <w:p w:rsidR="00587E37" w:rsidRPr="00587E37" w:rsidRDefault="00587E37" w:rsidP="006E082D">
      <w:pPr>
        <w:tabs>
          <w:tab w:val="right" w:pos="9180"/>
        </w:tabs>
        <w:spacing w:after="100" w:afterAutospacing="1"/>
        <w:ind w:right="-91"/>
        <w:rPr>
          <w:rFonts w:ascii="Arial" w:hAnsi="Arial" w:cs="Arial"/>
          <w:b/>
          <w:bCs/>
          <w:sz w:val="22"/>
          <w:szCs w:val="22"/>
        </w:rPr>
      </w:pPr>
      <w:r w:rsidRPr="00587E37">
        <w:rPr>
          <w:rFonts w:ascii="Arial" w:hAnsi="Arial" w:cs="Arial"/>
          <w:sz w:val="22"/>
          <w:szCs w:val="22"/>
        </w:rPr>
        <w:t>Safety and effectiveness of SAFLUTAN in p</w:t>
      </w:r>
      <w:r w:rsidR="00D901A1">
        <w:rPr>
          <w:rFonts w:ascii="Arial" w:hAnsi="Arial" w:cs="Arial"/>
          <w:sz w:val="22"/>
          <w:szCs w:val="22"/>
        </w:rPr>
        <w:t>a</w:t>
      </w:r>
      <w:r w:rsidRPr="00587E37">
        <w:rPr>
          <w:rFonts w:ascii="Arial" w:hAnsi="Arial" w:cs="Arial"/>
          <w:sz w:val="22"/>
          <w:szCs w:val="22"/>
        </w:rPr>
        <w:t>ediatric patients have no</w:t>
      </w:r>
      <w:r w:rsidR="00EA4D38">
        <w:rPr>
          <w:rFonts w:ascii="Arial" w:hAnsi="Arial" w:cs="Arial"/>
          <w:sz w:val="22"/>
          <w:szCs w:val="22"/>
        </w:rPr>
        <w:t xml:space="preserve">t been </w:t>
      </w:r>
      <w:r w:rsidRPr="00587E37">
        <w:rPr>
          <w:rFonts w:ascii="Arial" w:hAnsi="Arial" w:cs="Arial"/>
          <w:sz w:val="22"/>
          <w:szCs w:val="22"/>
        </w:rPr>
        <w:t>established. Therefore, treatment with SAFLUTAN is not recommended.</w:t>
      </w:r>
    </w:p>
    <w:p w:rsidR="00587E37" w:rsidRPr="00587E37" w:rsidRDefault="00587E37" w:rsidP="006E082D">
      <w:pPr>
        <w:tabs>
          <w:tab w:val="right" w:pos="9180"/>
        </w:tabs>
        <w:spacing w:before="100" w:beforeAutospacing="1"/>
        <w:ind w:right="-91"/>
        <w:rPr>
          <w:rFonts w:ascii="Arial" w:hAnsi="Arial" w:cs="Arial"/>
          <w:i/>
          <w:sz w:val="22"/>
          <w:szCs w:val="22"/>
        </w:rPr>
      </w:pPr>
      <w:r w:rsidRPr="00587E37">
        <w:rPr>
          <w:rFonts w:ascii="Arial" w:hAnsi="Arial" w:cs="Arial"/>
          <w:i/>
          <w:sz w:val="22"/>
          <w:szCs w:val="22"/>
        </w:rPr>
        <w:t xml:space="preserve">Use in Patients with </w:t>
      </w:r>
      <w:r w:rsidRPr="00587E37">
        <w:rPr>
          <w:rFonts w:ascii="Arial" w:hAnsi="Arial" w:cs="Arial"/>
          <w:bCs/>
          <w:i/>
          <w:iCs/>
          <w:sz w:val="22"/>
          <w:szCs w:val="22"/>
        </w:rPr>
        <w:t>Renal Insufficiency</w:t>
      </w:r>
    </w:p>
    <w:p w:rsidR="00587E37" w:rsidRPr="00587E37" w:rsidRDefault="00587E37" w:rsidP="006E082D">
      <w:pPr>
        <w:tabs>
          <w:tab w:val="right" w:pos="9180"/>
        </w:tabs>
        <w:spacing w:after="100" w:afterAutospacing="1"/>
        <w:ind w:right="-91"/>
        <w:rPr>
          <w:rFonts w:ascii="Arial" w:hAnsi="Arial" w:cs="Arial"/>
          <w:sz w:val="22"/>
          <w:szCs w:val="22"/>
        </w:rPr>
      </w:pPr>
      <w:r w:rsidRPr="00587E37">
        <w:rPr>
          <w:rFonts w:ascii="Arial" w:hAnsi="Arial" w:cs="Arial"/>
          <w:sz w:val="22"/>
          <w:szCs w:val="22"/>
        </w:rPr>
        <w:t>SAFLUTAN has not been studied in patients with renal insufficiency and should therefore be used with caution in such patients.</w:t>
      </w:r>
    </w:p>
    <w:p w:rsidR="00587E37" w:rsidRPr="00587E37" w:rsidRDefault="00587E37" w:rsidP="006E082D">
      <w:pPr>
        <w:tabs>
          <w:tab w:val="right" w:pos="9180"/>
        </w:tabs>
        <w:spacing w:before="100" w:beforeAutospacing="1"/>
        <w:ind w:right="-91"/>
        <w:rPr>
          <w:rFonts w:ascii="Arial" w:hAnsi="Arial" w:cs="Arial"/>
          <w:i/>
          <w:sz w:val="22"/>
          <w:szCs w:val="22"/>
        </w:rPr>
      </w:pPr>
      <w:r w:rsidRPr="00587E37">
        <w:rPr>
          <w:rFonts w:ascii="Arial" w:hAnsi="Arial" w:cs="Arial"/>
          <w:i/>
          <w:sz w:val="22"/>
          <w:szCs w:val="22"/>
        </w:rPr>
        <w:lastRenderedPageBreak/>
        <w:t xml:space="preserve">Use in Patients with </w:t>
      </w:r>
      <w:r w:rsidRPr="00587E37">
        <w:rPr>
          <w:rFonts w:ascii="Arial" w:hAnsi="Arial" w:cs="Arial"/>
          <w:bCs/>
          <w:i/>
          <w:iCs/>
          <w:sz w:val="22"/>
          <w:szCs w:val="22"/>
        </w:rPr>
        <w:t>Hepatic Insufficiency</w:t>
      </w:r>
    </w:p>
    <w:p w:rsidR="00587E37" w:rsidRPr="00587E37" w:rsidRDefault="00587E37" w:rsidP="006E082D">
      <w:pPr>
        <w:tabs>
          <w:tab w:val="right" w:pos="9180"/>
        </w:tabs>
        <w:spacing w:after="100" w:afterAutospacing="1"/>
        <w:ind w:right="-91"/>
        <w:rPr>
          <w:rFonts w:ascii="Arial" w:hAnsi="Arial" w:cs="Arial"/>
          <w:sz w:val="22"/>
          <w:szCs w:val="22"/>
        </w:rPr>
      </w:pPr>
      <w:r w:rsidRPr="00587E37">
        <w:rPr>
          <w:rFonts w:ascii="Arial" w:hAnsi="Arial" w:cs="Arial"/>
          <w:sz w:val="22"/>
          <w:szCs w:val="22"/>
        </w:rPr>
        <w:t>SAFLUTAN has not been studied in patients with hepatic insufficiency and should therefore be used with caution in such patients.</w:t>
      </w:r>
    </w:p>
    <w:p w:rsidR="00456C7A" w:rsidRDefault="00456C7A" w:rsidP="00817248">
      <w:pPr>
        <w:tabs>
          <w:tab w:val="right" w:pos="9180"/>
        </w:tabs>
        <w:spacing w:before="240" w:after="240"/>
        <w:ind w:right="-91"/>
        <w:jc w:val="center"/>
        <w:outlineLvl w:val="0"/>
        <w:rPr>
          <w:rFonts w:ascii="Arial" w:hAnsi="Arial"/>
          <w:sz w:val="22"/>
        </w:rPr>
      </w:pPr>
      <w:r>
        <w:rPr>
          <w:rFonts w:ascii="Arial" w:hAnsi="Arial"/>
          <w:b/>
          <w:sz w:val="22"/>
        </w:rPr>
        <w:t>OVERDOSAGE</w:t>
      </w:r>
    </w:p>
    <w:p w:rsidR="00583AE3" w:rsidRPr="00583AE3" w:rsidRDefault="00583AE3" w:rsidP="006E082D">
      <w:pPr>
        <w:tabs>
          <w:tab w:val="right" w:pos="9180"/>
        </w:tabs>
        <w:spacing w:before="100" w:beforeAutospacing="1" w:after="100" w:afterAutospacing="1"/>
        <w:ind w:right="-91"/>
        <w:rPr>
          <w:rFonts w:ascii="Arial" w:hAnsi="Arial" w:cs="Arial"/>
          <w:noProof/>
          <w:sz w:val="22"/>
          <w:szCs w:val="22"/>
        </w:rPr>
      </w:pPr>
      <w:r w:rsidRPr="00583AE3">
        <w:rPr>
          <w:rFonts w:ascii="Arial" w:hAnsi="Arial" w:cs="Arial"/>
          <w:noProof/>
          <w:sz w:val="22"/>
          <w:szCs w:val="22"/>
        </w:rPr>
        <w:t>No case of overdose has been reported. Overdose is unlikely to occur after ocular administration. If overdose occurs, treatment should be symptomatic.</w:t>
      </w:r>
    </w:p>
    <w:p w:rsidR="005561F7" w:rsidRDefault="005561F7" w:rsidP="006E082D">
      <w:pPr>
        <w:tabs>
          <w:tab w:val="right" w:pos="9180"/>
        </w:tabs>
        <w:spacing w:before="100" w:beforeAutospacing="1" w:after="100" w:afterAutospacing="1"/>
        <w:ind w:right="-91"/>
        <w:jc w:val="both"/>
        <w:outlineLvl w:val="0"/>
        <w:rPr>
          <w:rFonts w:ascii="Arial" w:hAnsi="Arial"/>
          <w:sz w:val="22"/>
        </w:rPr>
      </w:pPr>
      <w:r>
        <w:rPr>
          <w:rFonts w:ascii="Arial" w:hAnsi="Arial"/>
          <w:sz w:val="22"/>
        </w:rPr>
        <w:t>Contact the Poisons Information Centre</w:t>
      </w:r>
      <w:r w:rsidR="00C23AEE">
        <w:rPr>
          <w:rFonts w:ascii="Arial" w:hAnsi="Arial"/>
          <w:sz w:val="22"/>
        </w:rPr>
        <w:t xml:space="preserve"> on 131126</w:t>
      </w:r>
      <w:r>
        <w:rPr>
          <w:rFonts w:ascii="Arial" w:hAnsi="Arial"/>
          <w:sz w:val="22"/>
        </w:rPr>
        <w:t xml:space="preserve"> for advice on management.</w:t>
      </w:r>
    </w:p>
    <w:p w:rsidR="00456C7A" w:rsidRDefault="00456C7A" w:rsidP="00817248">
      <w:pPr>
        <w:tabs>
          <w:tab w:val="right" w:pos="9180"/>
        </w:tabs>
        <w:spacing w:before="240" w:after="240"/>
        <w:ind w:right="-91"/>
        <w:jc w:val="center"/>
        <w:outlineLvl w:val="0"/>
        <w:rPr>
          <w:rFonts w:ascii="Arial" w:hAnsi="Arial"/>
          <w:sz w:val="22"/>
        </w:rPr>
      </w:pPr>
      <w:r>
        <w:rPr>
          <w:rFonts w:ascii="Arial" w:hAnsi="Arial"/>
          <w:b/>
          <w:sz w:val="22"/>
        </w:rPr>
        <w:t>PRESENTATION</w:t>
      </w:r>
      <w:r w:rsidR="00516DBD">
        <w:rPr>
          <w:rFonts w:ascii="Arial" w:hAnsi="Arial"/>
          <w:b/>
          <w:sz w:val="22"/>
        </w:rPr>
        <w:t xml:space="preserve"> AND STORAGE CONDITIONS</w:t>
      </w:r>
    </w:p>
    <w:p w:rsidR="001A0DF8" w:rsidRDefault="00CD5F01" w:rsidP="006E082D">
      <w:pPr>
        <w:tabs>
          <w:tab w:val="right" w:pos="9180"/>
        </w:tabs>
        <w:spacing w:before="100" w:beforeAutospacing="1" w:after="100" w:afterAutospacing="1"/>
        <w:ind w:right="-91"/>
        <w:jc w:val="both"/>
        <w:rPr>
          <w:rFonts w:ascii="Arial" w:hAnsi="Arial"/>
          <w:sz w:val="22"/>
        </w:rPr>
      </w:pPr>
      <w:r>
        <w:rPr>
          <w:rFonts w:ascii="Arial" w:hAnsi="Arial"/>
          <w:sz w:val="22"/>
        </w:rPr>
        <w:t>SAFLUTAN</w:t>
      </w:r>
      <w:r w:rsidR="00DD37C2">
        <w:rPr>
          <w:rFonts w:ascii="Arial" w:hAnsi="Arial"/>
          <w:sz w:val="22"/>
        </w:rPr>
        <w:t xml:space="preserve"> </w:t>
      </w:r>
      <w:r w:rsidR="00456C7A">
        <w:rPr>
          <w:rFonts w:ascii="Arial" w:hAnsi="Arial"/>
          <w:sz w:val="22"/>
        </w:rPr>
        <w:t xml:space="preserve">Eye Drops </w:t>
      </w:r>
      <w:r>
        <w:rPr>
          <w:rFonts w:ascii="Arial" w:hAnsi="Arial"/>
          <w:sz w:val="22"/>
        </w:rPr>
        <w:t>are</w:t>
      </w:r>
      <w:r w:rsidR="00456C7A">
        <w:rPr>
          <w:rFonts w:ascii="Arial" w:hAnsi="Arial"/>
          <w:sz w:val="22"/>
        </w:rPr>
        <w:t xml:space="preserve"> </w:t>
      </w:r>
      <w:r w:rsidR="00DD37C2">
        <w:rPr>
          <w:rFonts w:ascii="Arial" w:hAnsi="Arial"/>
          <w:sz w:val="22"/>
        </w:rPr>
        <w:t xml:space="preserve">supplied in low density polyethylene (without additives) unit dose </w:t>
      </w:r>
      <w:r>
        <w:rPr>
          <w:rFonts w:ascii="Arial" w:hAnsi="Arial"/>
          <w:sz w:val="22"/>
        </w:rPr>
        <w:t>containers</w:t>
      </w:r>
      <w:r w:rsidR="00DD37C2">
        <w:rPr>
          <w:rFonts w:ascii="Arial" w:hAnsi="Arial"/>
          <w:sz w:val="22"/>
        </w:rPr>
        <w:t xml:space="preserve"> </w:t>
      </w:r>
      <w:r>
        <w:rPr>
          <w:rFonts w:ascii="Arial" w:hAnsi="Arial"/>
          <w:sz w:val="22"/>
        </w:rPr>
        <w:t xml:space="preserve">packed </w:t>
      </w:r>
      <w:r w:rsidR="00DD37C2">
        <w:rPr>
          <w:rFonts w:ascii="Arial" w:hAnsi="Arial"/>
          <w:sz w:val="22"/>
        </w:rPr>
        <w:t>in a foil pouch.</w:t>
      </w:r>
      <w:r w:rsidR="000F770B">
        <w:rPr>
          <w:rFonts w:ascii="Arial" w:hAnsi="Arial"/>
          <w:sz w:val="22"/>
        </w:rPr>
        <w:t xml:space="preserve">  Each </w:t>
      </w:r>
      <w:r>
        <w:rPr>
          <w:rFonts w:ascii="Arial" w:hAnsi="Arial"/>
          <w:sz w:val="22"/>
        </w:rPr>
        <w:t>single dose container has a fill volume of 0.3 mL and there are</w:t>
      </w:r>
      <w:r w:rsidR="006B6F4F">
        <w:rPr>
          <w:rFonts w:ascii="Arial" w:hAnsi="Arial"/>
          <w:sz w:val="22"/>
        </w:rPr>
        <w:t xml:space="preserve"> </w:t>
      </w:r>
      <w:r>
        <w:rPr>
          <w:rFonts w:ascii="Arial" w:hAnsi="Arial"/>
          <w:sz w:val="22"/>
        </w:rPr>
        <w:t>10</w:t>
      </w:r>
      <w:r w:rsidR="000F770B">
        <w:rPr>
          <w:rFonts w:ascii="Arial" w:hAnsi="Arial"/>
          <w:sz w:val="22"/>
        </w:rPr>
        <w:t xml:space="preserve"> individual </w:t>
      </w:r>
      <w:r>
        <w:rPr>
          <w:rFonts w:ascii="Arial" w:hAnsi="Arial"/>
          <w:sz w:val="22"/>
        </w:rPr>
        <w:t>containers in each foil pouch</w:t>
      </w:r>
      <w:r w:rsidR="001E441B">
        <w:rPr>
          <w:rFonts w:ascii="Arial" w:hAnsi="Arial"/>
          <w:sz w:val="22"/>
        </w:rPr>
        <w:t>.</w:t>
      </w:r>
    </w:p>
    <w:p w:rsidR="00A3228D" w:rsidRDefault="00A3228D" w:rsidP="006E082D">
      <w:pPr>
        <w:tabs>
          <w:tab w:val="right" w:pos="9180"/>
        </w:tabs>
        <w:spacing w:before="100" w:beforeAutospacing="1" w:after="100" w:afterAutospacing="1"/>
        <w:ind w:right="-91"/>
        <w:jc w:val="both"/>
        <w:rPr>
          <w:rFonts w:ascii="Arial" w:hAnsi="Arial"/>
          <w:sz w:val="22"/>
        </w:rPr>
      </w:pPr>
      <w:r>
        <w:rPr>
          <w:rFonts w:ascii="Arial" w:hAnsi="Arial"/>
          <w:sz w:val="22"/>
        </w:rPr>
        <w:t>The following pack sizes are available: 30 x 0.3 mL single dose containers and 10 x 0.3 mL single dose containers (Starter pack).</w:t>
      </w:r>
    </w:p>
    <w:p w:rsidR="00587E37" w:rsidRPr="00587E37" w:rsidRDefault="00587E37" w:rsidP="006E082D">
      <w:pPr>
        <w:tabs>
          <w:tab w:val="right" w:pos="9180"/>
        </w:tabs>
        <w:spacing w:before="120"/>
        <w:ind w:right="-91"/>
        <w:jc w:val="both"/>
        <w:rPr>
          <w:rFonts w:ascii="Arial" w:hAnsi="Arial"/>
          <w:b/>
          <w:sz w:val="22"/>
          <w:szCs w:val="22"/>
        </w:rPr>
      </w:pPr>
      <w:r w:rsidRPr="00587E37">
        <w:rPr>
          <w:rFonts w:ascii="Arial" w:hAnsi="Arial"/>
          <w:b/>
          <w:sz w:val="22"/>
          <w:szCs w:val="22"/>
        </w:rPr>
        <w:t>Shelf life</w:t>
      </w:r>
    </w:p>
    <w:p w:rsidR="00587E37" w:rsidRPr="00587E37" w:rsidRDefault="00587E37" w:rsidP="00EE169A">
      <w:pPr>
        <w:tabs>
          <w:tab w:val="right" w:pos="9180"/>
        </w:tabs>
        <w:ind w:right="-93"/>
        <w:jc w:val="both"/>
        <w:rPr>
          <w:rFonts w:ascii="Arial" w:hAnsi="Arial"/>
          <w:sz w:val="22"/>
          <w:szCs w:val="22"/>
        </w:rPr>
      </w:pPr>
      <w:r w:rsidRPr="00587E37">
        <w:rPr>
          <w:rFonts w:ascii="Arial" w:hAnsi="Arial"/>
          <w:sz w:val="22"/>
          <w:szCs w:val="22"/>
        </w:rPr>
        <w:t>Unopened foil pouch: 36 months.</w:t>
      </w:r>
    </w:p>
    <w:p w:rsidR="00587E37" w:rsidRPr="00587E37" w:rsidRDefault="00587E37" w:rsidP="006E082D">
      <w:pPr>
        <w:tabs>
          <w:tab w:val="right" w:pos="9180"/>
        </w:tabs>
        <w:spacing w:after="100" w:afterAutospacing="1"/>
        <w:ind w:right="-91"/>
        <w:jc w:val="both"/>
        <w:rPr>
          <w:rFonts w:ascii="Arial" w:hAnsi="Arial"/>
          <w:sz w:val="22"/>
          <w:szCs w:val="22"/>
        </w:rPr>
      </w:pPr>
      <w:r w:rsidRPr="00587E37">
        <w:rPr>
          <w:rFonts w:ascii="Arial" w:hAnsi="Arial"/>
          <w:sz w:val="22"/>
          <w:szCs w:val="22"/>
        </w:rPr>
        <w:t>Opened foil pouch: 28 days.</w:t>
      </w:r>
    </w:p>
    <w:p w:rsidR="00CD5F01" w:rsidRDefault="00CD5F01" w:rsidP="006E082D">
      <w:pPr>
        <w:tabs>
          <w:tab w:val="right" w:pos="9180"/>
        </w:tabs>
        <w:spacing w:before="120"/>
        <w:ind w:right="-91"/>
        <w:jc w:val="both"/>
        <w:outlineLvl w:val="0"/>
        <w:rPr>
          <w:rFonts w:ascii="Arial" w:hAnsi="Arial"/>
          <w:b/>
          <w:sz w:val="22"/>
        </w:rPr>
      </w:pPr>
      <w:r w:rsidRPr="00CD5F01">
        <w:rPr>
          <w:rFonts w:ascii="Arial" w:hAnsi="Arial"/>
          <w:b/>
          <w:sz w:val="22"/>
        </w:rPr>
        <w:t>Storage</w:t>
      </w:r>
    </w:p>
    <w:p w:rsidR="00583AE3" w:rsidRPr="00583AE3" w:rsidRDefault="00583AE3" w:rsidP="006E082D">
      <w:pPr>
        <w:tabs>
          <w:tab w:val="right" w:pos="9180"/>
        </w:tabs>
        <w:spacing w:after="100" w:afterAutospacing="1"/>
        <w:ind w:right="-91"/>
        <w:outlineLvl w:val="0"/>
        <w:rPr>
          <w:rFonts w:ascii="Arial" w:hAnsi="Arial" w:cs="Arial"/>
          <w:sz w:val="22"/>
          <w:szCs w:val="22"/>
        </w:rPr>
      </w:pPr>
      <w:r w:rsidRPr="00583AE3">
        <w:rPr>
          <w:rFonts w:ascii="Arial" w:hAnsi="Arial" w:cs="Arial"/>
          <w:sz w:val="22"/>
          <w:szCs w:val="22"/>
        </w:rPr>
        <w:t xml:space="preserve">Store the unopened foil pouches </w:t>
      </w:r>
      <w:r w:rsidR="004A77C0">
        <w:rPr>
          <w:rFonts w:ascii="Arial" w:hAnsi="Arial" w:cs="Arial"/>
          <w:sz w:val="22"/>
          <w:szCs w:val="22"/>
        </w:rPr>
        <w:t>at</w:t>
      </w:r>
      <w:r w:rsidR="00EA4D38">
        <w:rPr>
          <w:rFonts w:ascii="Arial" w:hAnsi="Arial" w:cs="Arial"/>
          <w:sz w:val="22"/>
          <w:szCs w:val="22"/>
        </w:rPr>
        <w:t xml:space="preserve"> 2°C – 8°C</w:t>
      </w:r>
      <w:r w:rsidRPr="00583AE3">
        <w:rPr>
          <w:rFonts w:ascii="Arial" w:hAnsi="Arial" w:cs="Arial"/>
          <w:sz w:val="22"/>
          <w:szCs w:val="22"/>
        </w:rPr>
        <w:t xml:space="preserve">. </w:t>
      </w:r>
      <w:r w:rsidR="00EA4D38">
        <w:rPr>
          <w:rFonts w:ascii="Arial" w:hAnsi="Arial" w:cs="Arial"/>
          <w:sz w:val="22"/>
          <w:szCs w:val="22"/>
        </w:rPr>
        <w:t>Refrigerate.</w:t>
      </w:r>
      <w:r w:rsidR="0022292B">
        <w:rPr>
          <w:rFonts w:ascii="Arial" w:hAnsi="Arial" w:cs="Arial"/>
          <w:sz w:val="22"/>
          <w:szCs w:val="22"/>
        </w:rPr>
        <w:t xml:space="preserve"> Do not freeze.</w:t>
      </w:r>
    </w:p>
    <w:p w:rsidR="00583AE3" w:rsidRPr="00583AE3" w:rsidRDefault="00583AE3" w:rsidP="006E082D">
      <w:pPr>
        <w:tabs>
          <w:tab w:val="right" w:pos="9180"/>
        </w:tabs>
        <w:spacing w:before="100" w:beforeAutospacing="1"/>
        <w:ind w:right="-91"/>
        <w:outlineLvl w:val="0"/>
        <w:rPr>
          <w:rFonts w:ascii="Arial" w:hAnsi="Arial" w:cs="Arial"/>
          <w:sz w:val="22"/>
          <w:szCs w:val="22"/>
        </w:rPr>
      </w:pPr>
      <w:r w:rsidRPr="00583AE3">
        <w:rPr>
          <w:rFonts w:ascii="Arial" w:hAnsi="Arial" w:cs="Arial"/>
          <w:sz w:val="22"/>
          <w:szCs w:val="22"/>
          <w:u w:val="single"/>
        </w:rPr>
        <w:t>After opening the foil pouch</w:t>
      </w:r>
      <w:r w:rsidRPr="00583AE3">
        <w:rPr>
          <w:rFonts w:ascii="Arial" w:hAnsi="Arial" w:cs="Arial"/>
          <w:sz w:val="22"/>
          <w:szCs w:val="22"/>
        </w:rPr>
        <w:t>:</w:t>
      </w:r>
    </w:p>
    <w:p w:rsidR="00583AE3" w:rsidRPr="00436D3E" w:rsidRDefault="00583AE3" w:rsidP="00EE169A">
      <w:pPr>
        <w:tabs>
          <w:tab w:val="right" w:pos="9180"/>
        </w:tabs>
        <w:ind w:right="-93"/>
        <w:rPr>
          <w:rFonts w:ascii="Arial" w:hAnsi="Arial" w:cs="Arial"/>
          <w:sz w:val="22"/>
          <w:szCs w:val="22"/>
        </w:rPr>
      </w:pPr>
      <w:r w:rsidRPr="00583AE3">
        <w:rPr>
          <w:rFonts w:ascii="Arial" w:hAnsi="Arial" w:cs="Arial"/>
          <w:sz w:val="22"/>
          <w:szCs w:val="22"/>
        </w:rPr>
        <w:t xml:space="preserve">• </w:t>
      </w:r>
      <w:r w:rsidRPr="00436D3E">
        <w:rPr>
          <w:rFonts w:ascii="Arial" w:hAnsi="Arial" w:cs="Arial"/>
          <w:sz w:val="22"/>
          <w:szCs w:val="22"/>
        </w:rPr>
        <w:t>Keep the single-dose containers in the original foil pouch.</w:t>
      </w:r>
    </w:p>
    <w:p w:rsidR="00583AE3" w:rsidRPr="00436D3E" w:rsidRDefault="00583AE3" w:rsidP="00EE169A">
      <w:pPr>
        <w:tabs>
          <w:tab w:val="right" w:pos="9180"/>
        </w:tabs>
        <w:ind w:right="-93"/>
        <w:rPr>
          <w:rFonts w:ascii="Arial" w:hAnsi="Arial" w:cs="Arial"/>
          <w:sz w:val="22"/>
          <w:szCs w:val="22"/>
        </w:rPr>
      </w:pPr>
      <w:r w:rsidRPr="00436D3E">
        <w:rPr>
          <w:rFonts w:ascii="Arial" w:hAnsi="Arial" w:cs="Arial"/>
          <w:sz w:val="22"/>
          <w:szCs w:val="22"/>
        </w:rPr>
        <w:t xml:space="preserve">• </w:t>
      </w:r>
      <w:r w:rsidR="00436D3E" w:rsidRPr="00436D3E">
        <w:rPr>
          <w:rFonts w:ascii="Arial" w:hAnsi="Arial" w:cs="Arial"/>
          <w:sz w:val="22"/>
          <w:szCs w:val="22"/>
        </w:rPr>
        <w:t>Store below 25°C.</w:t>
      </w:r>
    </w:p>
    <w:p w:rsidR="00583AE3" w:rsidRPr="00583AE3" w:rsidRDefault="00583AE3" w:rsidP="00EE169A">
      <w:pPr>
        <w:tabs>
          <w:tab w:val="right" w:pos="9180"/>
        </w:tabs>
        <w:ind w:right="-93"/>
        <w:rPr>
          <w:rFonts w:ascii="Arial" w:hAnsi="Arial" w:cs="Arial"/>
          <w:sz w:val="22"/>
          <w:szCs w:val="22"/>
        </w:rPr>
      </w:pPr>
      <w:r w:rsidRPr="00583AE3">
        <w:rPr>
          <w:rFonts w:ascii="Arial" w:hAnsi="Arial" w:cs="Arial"/>
          <w:sz w:val="22"/>
          <w:szCs w:val="22"/>
        </w:rPr>
        <w:t>• Discard unused single-dose containers after 28 days from date of first opening of the foil pouch.</w:t>
      </w:r>
    </w:p>
    <w:p w:rsidR="00583AE3" w:rsidRPr="00583AE3" w:rsidRDefault="00583AE3" w:rsidP="006E082D">
      <w:pPr>
        <w:tabs>
          <w:tab w:val="right" w:pos="9180"/>
        </w:tabs>
        <w:spacing w:after="100" w:afterAutospacing="1"/>
        <w:ind w:right="-91"/>
        <w:rPr>
          <w:rFonts w:ascii="Arial" w:hAnsi="Arial" w:cs="Arial"/>
          <w:sz w:val="22"/>
          <w:szCs w:val="22"/>
        </w:rPr>
      </w:pPr>
      <w:r w:rsidRPr="00583AE3">
        <w:rPr>
          <w:rFonts w:ascii="Arial" w:hAnsi="Arial" w:cs="Arial"/>
          <w:sz w:val="22"/>
          <w:szCs w:val="22"/>
        </w:rPr>
        <w:t>• Discard an opened single-dose container with any remaining solution immediately after use.</w:t>
      </w:r>
    </w:p>
    <w:p w:rsidR="00456C7A" w:rsidRDefault="00456C7A" w:rsidP="00817248">
      <w:pPr>
        <w:tabs>
          <w:tab w:val="right" w:pos="9180"/>
        </w:tabs>
        <w:spacing w:before="240" w:after="240"/>
        <w:ind w:right="-91"/>
        <w:jc w:val="center"/>
        <w:outlineLvl w:val="0"/>
        <w:rPr>
          <w:rFonts w:ascii="Arial" w:hAnsi="Arial"/>
          <w:sz w:val="22"/>
        </w:rPr>
      </w:pPr>
      <w:r>
        <w:rPr>
          <w:rFonts w:ascii="Arial" w:hAnsi="Arial"/>
          <w:b/>
          <w:sz w:val="22"/>
        </w:rPr>
        <w:t>NAME AND ADDRESS OF SPONSOR</w:t>
      </w:r>
    </w:p>
    <w:p w:rsidR="00456C7A" w:rsidRDefault="00456C7A" w:rsidP="00EE169A">
      <w:pPr>
        <w:tabs>
          <w:tab w:val="right" w:pos="9180"/>
        </w:tabs>
        <w:ind w:right="-93"/>
        <w:jc w:val="center"/>
        <w:outlineLvl w:val="0"/>
        <w:rPr>
          <w:rFonts w:ascii="Arial" w:hAnsi="Arial"/>
          <w:sz w:val="22"/>
        </w:rPr>
      </w:pPr>
      <w:r>
        <w:rPr>
          <w:rFonts w:ascii="Arial" w:hAnsi="Arial"/>
          <w:sz w:val="22"/>
        </w:rPr>
        <w:t>Merck Sharp &amp; Dohme (Australia) Pty Limited</w:t>
      </w:r>
    </w:p>
    <w:p w:rsidR="00456C7A" w:rsidRDefault="00456C7A" w:rsidP="00EE169A">
      <w:pPr>
        <w:tabs>
          <w:tab w:val="right" w:pos="9180"/>
        </w:tabs>
        <w:ind w:right="-93"/>
        <w:jc w:val="center"/>
        <w:rPr>
          <w:rFonts w:ascii="Arial" w:hAnsi="Arial"/>
          <w:sz w:val="22"/>
        </w:rPr>
      </w:pPr>
      <w:r>
        <w:rPr>
          <w:rFonts w:ascii="Arial" w:hAnsi="Arial"/>
          <w:sz w:val="22"/>
        </w:rPr>
        <w:t xml:space="preserve">54 - </w:t>
      </w:r>
      <w:smartTag w:uri="urn:schemas-microsoft-com:office:smarttags" w:element="Street">
        <w:smartTag w:uri="urn:schemas-microsoft-com:office:smarttags" w:element="address">
          <w:r>
            <w:rPr>
              <w:rFonts w:ascii="Arial" w:hAnsi="Arial"/>
              <w:sz w:val="22"/>
            </w:rPr>
            <w:t>68 Ferndell Street</w:t>
          </w:r>
        </w:smartTag>
      </w:smartTag>
    </w:p>
    <w:p w:rsidR="00456C7A" w:rsidRDefault="00456C7A" w:rsidP="00EE169A">
      <w:pPr>
        <w:tabs>
          <w:tab w:val="right" w:pos="9180"/>
        </w:tabs>
        <w:ind w:right="-93"/>
        <w:jc w:val="center"/>
        <w:rPr>
          <w:rFonts w:ascii="Arial" w:hAnsi="Arial"/>
          <w:sz w:val="22"/>
        </w:rPr>
      </w:pPr>
      <w:smartTag w:uri="urn:schemas-microsoft-com:office:smarttags" w:element="place">
        <w:r>
          <w:rPr>
            <w:rFonts w:ascii="Arial" w:hAnsi="Arial"/>
            <w:sz w:val="22"/>
          </w:rPr>
          <w:t>South Granville</w:t>
        </w:r>
      </w:smartTag>
      <w:r>
        <w:rPr>
          <w:rFonts w:ascii="Arial" w:hAnsi="Arial"/>
          <w:sz w:val="22"/>
        </w:rPr>
        <w:t>, NSW 2142</w:t>
      </w:r>
    </w:p>
    <w:p w:rsidR="004A77C0" w:rsidRDefault="004A77C0" w:rsidP="006E082D">
      <w:pPr>
        <w:tabs>
          <w:tab w:val="right" w:pos="9180"/>
        </w:tabs>
        <w:spacing w:before="240" w:after="240"/>
        <w:ind w:right="-91"/>
        <w:jc w:val="center"/>
        <w:outlineLvl w:val="0"/>
        <w:rPr>
          <w:rFonts w:ascii="Arial" w:hAnsi="Arial"/>
          <w:b/>
          <w:sz w:val="22"/>
        </w:rPr>
      </w:pPr>
      <w:r>
        <w:rPr>
          <w:rFonts w:ascii="Arial" w:hAnsi="Arial"/>
          <w:b/>
          <w:sz w:val="22"/>
        </w:rPr>
        <w:t>POISON SCHEDULE OF THE MEDICINE</w:t>
      </w:r>
    </w:p>
    <w:p w:rsidR="004A77C0" w:rsidRPr="00516DBD" w:rsidRDefault="004A77C0" w:rsidP="006E082D">
      <w:pPr>
        <w:tabs>
          <w:tab w:val="right" w:pos="9180"/>
        </w:tabs>
        <w:spacing w:after="240"/>
        <w:ind w:right="-91"/>
        <w:jc w:val="center"/>
        <w:outlineLvl w:val="0"/>
        <w:rPr>
          <w:rFonts w:ascii="Arial" w:hAnsi="Arial"/>
          <w:sz w:val="22"/>
        </w:rPr>
      </w:pPr>
      <w:r>
        <w:rPr>
          <w:rFonts w:ascii="Arial" w:hAnsi="Arial"/>
          <w:sz w:val="22"/>
        </w:rPr>
        <w:t>Prescription only medicine (S4)</w:t>
      </w:r>
    </w:p>
    <w:p w:rsidR="00516DBD" w:rsidRDefault="0031772C" w:rsidP="006E082D">
      <w:pPr>
        <w:tabs>
          <w:tab w:val="right" w:pos="9180"/>
        </w:tabs>
        <w:spacing w:after="240"/>
        <w:ind w:right="-91"/>
        <w:jc w:val="center"/>
        <w:outlineLvl w:val="0"/>
        <w:rPr>
          <w:rFonts w:ascii="Arial" w:hAnsi="Arial"/>
          <w:b/>
          <w:sz w:val="22"/>
        </w:rPr>
      </w:pPr>
      <w:r>
        <w:rPr>
          <w:rFonts w:ascii="Arial" w:hAnsi="Arial"/>
          <w:b/>
          <w:sz w:val="22"/>
        </w:rPr>
        <w:t>DATE OF FIRST INCLUSION IN THE AUSTRALIAN REGISTER OF THERAPEUTIC GOODS (ARTG)</w:t>
      </w:r>
    </w:p>
    <w:sectPr w:rsidR="00516DBD" w:rsidSect="0058049E">
      <w:headerReference w:type="default" r:id="rId9"/>
      <w:footerReference w:type="default" r:id="rId10"/>
      <w:headerReference w:type="first" r:id="rId11"/>
      <w:footerReference w:type="first" r:id="rId12"/>
      <w:type w:val="continuous"/>
      <w:pgSz w:w="11907" w:h="16840" w:code="9"/>
      <w:pgMar w:top="1440" w:right="1440" w:bottom="1440" w:left="1440" w:header="144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CE0" w:rsidRDefault="00D66CE0">
      <w:r>
        <w:separator/>
      </w:r>
    </w:p>
  </w:endnote>
  <w:endnote w:type="continuationSeparator" w:id="0">
    <w:p w:rsidR="00D66CE0" w:rsidRDefault="00D66CE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A" w:rsidRDefault="005640DA">
    <w:pPr>
      <w:pStyle w:val="Footer"/>
      <w:jc w:val="center"/>
      <w:rPr>
        <w:rStyle w:val="PageNumber"/>
        <w:rFonts w:ascii="Arial" w:hAnsi="Arial"/>
      </w:rP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161633">
      <w:rPr>
        <w:rStyle w:val="PageNumber"/>
        <w:rFonts w:ascii="Arial" w:hAnsi="Arial"/>
        <w:noProof/>
      </w:rPr>
      <w:t>11</w:t>
    </w:r>
    <w:r>
      <w:rPr>
        <w:rStyle w:val="PageNumber"/>
        <w:rFonts w:ascii="Arial" w:hAnsi="Arial"/>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A" w:rsidRDefault="005640DA">
    <w:pPr>
      <w:pStyle w:val="Footer"/>
    </w:pPr>
    <w:r w:rsidRPr="005A0AE1">
      <w:rPr>
        <w:rFonts w:cs="Arial"/>
        <w:vertAlign w:val="superscript"/>
      </w:rPr>
      <w:t xml:space="preserve">TM </w:t>
    </w:r>
    <w:bookmarkStart w:id="6" w:name="OLE_LINK1"/>
    <w:r w:rsidRPr="00941B50">
      <w:rPr>
        <w:rFonts w:cs="Arial"/>
      </w:rPr>
      <w:t>Trademark of</w:t>
    </w:r>
    <w:r>
      <w:rPr>
        <w:rFonts w:cs="Arial"/>
      </w:rPr>
      <w:t xml:space="preserve"> Merck Sharp &amp; Dohme Corp., a subsidiary of </w:t>
    </w:r>
    <w:r w:rsidRPr="00941B50">
      <w:rPr>
        <w:rFonts w:cs="Arial"/>
      </w:rPr>
      <w:t>M</w:t>
    </w:r>
    <w:r>
      <w:rPr>
        <w:rFonts w:cs="Arial"/>
      </w:rPr>
      <w:t>erck</w:t>
    </w:r>
    <w:r w:rsidRPr="00941B50">
      <w:rPr>
        <w:rFonts w:cs="Arial"/>
      </w:rPr>
      <w:t xml:space="preserve"> &amp; C</w:t>
    </w:r>
    <w:r>
      <w:rPr>
        <w:rFonts w:cs="Arial"/>
      </w:rPr>
      <w:t>o</w:t>
    </w:r>
    <w:r w:rsidRPr="00941B50">
      <w:rPr>
        <w:rFonts w:cs="Arial"/>
      </w:rPr>
      <w:t xml:space="preserve">., Inc., </w:t>
    </w:r>
    <w:smartTag w:uri="urn:schemas-microsoft-com:office:smarttags" w:element="place">
      <w:smartTag w:uri="urn:schemas-microsoft-com:office:smarttags" w:element="City">
        <w:r w:rsidRPr="00941B50">
          <w:rPr>
            <w:rFonts w:cs="Arial"/>
          </w:rPr>
          <w:t>Whitehouse Station</w:t>
        </w:r>
      </w:smartTag>
      <w:r w:rsidRPr="00941B50">
        <w:rPr>
          <w:rFonts w:cs="Arial"/>
        </w:rPr>
        <w:t xml:space="preserve">, </w:t>
      </w:r>
      <w:smartTag w:uri="urn:schemas-microsoft-com:office:smarttags" w:element="State">
        <w:r w:rsidRPr="00941B50">
          <w:rPr>
            <w:rFonts w:cs="Arial"/>
          </w:rPr>
          <w:t>NJ</w:t>
        </w:r>
      </w:smartTag>
      <w:r w:rsidRPr="00941B50">
        <w:rPr>
          <w:rFonts w:cs="Arial"/>
        </w:rPr>
        <w:t xml:space="preserve">, </w:t>
      </w:r>
      <w:smartTag w:uri="urn:schemas-microsoft-com:office:smarttags" w:element="country-region">
        <w:r w:rsidRPr="00941B50">
          <w:rPr>
            <w:rFonts w:cs="Arial"/>
          </w:rPr>
          <w:t>USA</w:t>
        </w:r>
      </w:smartTag>
    </w:smartTag>
    <w:bookmarkEnd w:id="6"/>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CE0" w:rsidRDefault="00D66CE0">
      <w:r>
        <w:separator/>
      </w:r>
    </w:p>
  </w:footnote>
  <w:footnote w:type="continuationSeparator" w:id="0">
    <w:p w:rsidR="00D66CE0" w:rsidRDefault="00D66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0DA" w:rsidRPr="005640DA" w:rsidRDefault="005640DA" w:rsidP="00817248">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5640DA">
      <w:rPr>
        <w:b/>
        <w:sz w:val="20"/>
      </w:rPr>
      <w:t>Attachment 1: Product information for</w:t>
    </w:r>
    <w:r w:rsidR="00817248" w:rsidRPr="00817248">
      <w:t xml:space="preserve"> </w:t>
    </w:r>
    <w:r w:rsidR="00817248" w:rsidRPr="00817248">
      <w:rPr>
        <w:b/>
        <w:sz w:val="20"/>
      </w:rPr>
      <w:t>AusPAR Saflutan Tafluprost Merck Sharpe &amp; Dohme PM-2009-3896-5</w:t>
    </w:r>
    <w:r w:rsidR="00817248">
      <w:rPr>
        <w:b/>
        <w:sz w:val="20"/>
      </w:rPr>
      <w:t xml:space="preserve"> </w:t>
    </w:r>
    <w:r w:rsidR="00817248" w:rsidRPr="00817248">
      <w:rPr>
        <w:b/>
        <w:sz w:val="20"/>
      </w:rPr>
      <w:t>Final 3 May 2012</w:t>
    </w:r>
    <w:r w:rsidRPr="005640DA">
      <w:rPr>
        <w:b/>
        <w:sz w:val="20"/>
      </w:rPr>
      <w:t>. This Product Information was approved at the time this AusPAR was published.</w:t>
    </w:r>
  </w:p>
  <w:p w:rsidR="005640DA" w:rsidRDefault="005640DA">
    <w:pPr>
      <w:pStyle w:val="Header"/>
      <w:ind w:right="360"/>
      <w:rPr>
        <w:rFonts w:ascii="Arial" w:hAnsi="Arial"/>
      </w:rPr>
    </w:pPr>
  </w:p>
  <w:p w:rsidR="005640DA" w:rsidRDefault="005640DA">
    <w:pPr>
      <w:pStyle w:val="Header"/>
      <w:ind w:right="360"/>
    </w:pPr>
    <w:r>
      <w:rPr>
        <w:rFonts w:ascii="Arial" w:hAnsi="Arial"/>
      </w:rPr>
      <w:t>MK2452-OS-122009</w:t>
    </w:r>
  </w:p>
  <w:p w:rsidR="005640DA" w:rsidRDefault="005640DA">
    <w:pPr>
      <w:pStyle w:val="Header"/>
      <w:rPr>
        <w:rFonts w:ascii="Arial" w:hAnsi="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248" w:rsidRPr="005640DA" w:rsidRDefault="00817248" w:rsidP="00817248">
    <w:pPr>
      <w:pBdr>
        <w:top w:val="single" w:sz="4" w:space="1" w:color="auto"/>
        <w:left w:val="single" w:sz="4" w:space="4" w:color="auto"/>
        <w:bottom w:val="single" w:sz="4" w:space="1" w:color="auto"/>
        <w:right w:val="single" w:sz="4" w:space="4" w:color="auto"/>
      </w:pBdr>
      <w:shd w:val="clear" w:color="auto" w:fill="E4F2E0"/>
      <w:spacing w:before="40" w:after="40"/>
      <w:rPr>
        <w:b/>
        <w:sz w:val="20"/>
      </w:rPr>
    </w:pPr>
    <w:r w:rsidRPr="005640DA">
      <w:rPr>
        <w:b/>
        <w:sz w:val="20"/>
      </w:rPr>
      <w:t>Attachment 1: Product information for</w:t>
    </w:r>
    <w:r w:rsidRPr="00817248">
      <w:t xml:space="preserve"> </w:t>
    </w:r>
    <w:r w:rsidRPr="00817248">
      <w:rPr>
        <w:b/>
        <w:sz w:val="20"/>
      </w:rPr>
      <w:t>AusPAR Saflutan Tafluprost Merck Sharpe &amp; Dohme PM-2009-3896-5</w:t>
    </w:r>
    <w:r>
      <w:rPr>
        <w:b/>
        <w:sz w:val="20"/>
      </w:rPr>
      <w:t xml:space="preserve"> </w:t>
    </w:r>
    <w:r w:rsidRPr="00817248">
      <w:rPr>
        <w:b/>
        <w:sz w:val="20"/>
      </w:rPr>
      <w:t>Final 3 May 2012</w:t>
    </w:r>
    <w:r w:rsidRPr="005640DA">
      <w:rPr>
        <w:b/>
        <w:sz w:val="20"/>
      </w:rPr>
      <w:t>. This Product Information was approved at the time this AusPAR was published.</w:t>
    </w:r>
  </w:p>
  <w:p w:rsidR="00817248" w:rsidRPr="00817248" w:rsidRDefault="00817248">
    <w:pPr>
      <w:pStyle w:val="Header"/>
      <w:rPr>
        <w:rFonts w:ascii="Arial" w:hAnsi="Arial"/>
        <w:b/>
      </w:rPr>
    </w:pPr>
  </w:p>
  <w:p w:rsidR="005640DA" w:rsidRDefault="005640DA">
    <w:pPr>
      <w:pStyle w:val="Header"/>
      <w:rPr>
        <w:rFonts w:ascii="Arial" w:hAnsi="Arial"/>
      </w:rPr>
    </w:pPr>
    <w:r>
      <w:rPr>
        <w:rFonts w:ascii="Arial" w:hAnsi="Arial"/>
      </w:rPr>
      <w:t>MK2452-OS-122009</w:t>
    </w:r>
  </w:p>
  <w:p w:rsidR="00817248" w:rsidRDefault="008172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B67719D"/>
    <w:multiLevelType w:val="hybridMultilevel"/>
    <w:tmpl w:val="ED5ECFD8"/>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2">
    <w:nsid w:val="75B60C59"/>
    <w:multiLevelType w:val="hybridMultilevel"/>
    <w:tmpl w:val="AD4A6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stylePaneFormatFilter w:val="3F01"/>
  <w:defaultTabStop w:val="851"/>
  <w:drawingGridHorizontalSpacing w:val="12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rsids>
    <w:rsidRoot w:val="006812AC"/>
    <w:rsid w:val="0000079B"/>
    <w:rsid w:val="00013202"/>
    <w:rsid w:val="00033C7C"/>
    <w:rsid w:val="00034716"/>
    <w:rsid w:val="00054AC6"/>
    <w:rsid w:val="00054E0B"/>
    <w:rsid w:val="00057376"/>
    <w:rsid w:val="00074E5F"/>
    <w:rsid w:val="0008200E"/>
    <w:rsid w:val="000830D3"/>
    <w:rsid w:val="000A2302"/>
    <w:rsid w:val="000C0AFA"/>
    <w:rsid w:val="000C302B"/>
    <w:rsid w:val="000C412A"/>
    <w:rsid w:val="000D166A"/>
    <w:rsid w:val="000D30EC"/>
    <w:rsid w:val="000F75C2"/>
    <w:rsid w:val="000F770B"/>
    <w:rsid w:val="0011380A"/>
    <w:rsid w:val="001153EE"/>
    <w:rsid w:val="001158D9"/>
    <w:rsid w:val="0011787C"/>
    <w:rsid w:val="00122F07"/>
    <w:rsid w:val="00127029"/>
    <w:rsid w:val="001342D7"/>
    <w:rsid w:val="00141E9F"/>
    <w:rsid w:val="00152DF5"/>
    <w:rsid w:val="00161633"/>
    <w:rsid w:val="001617A9"/>
    <w:rsid w:val="00174D63"/>
    <w:rsid w:val="00176D1E"/>
    <w:rsid w:val="00193EA5"/>
    <w:rsid w:val="0019434F"/>
    <w:rsid w:val="00195217"/>
    <w:rsid w:val="001A0DF8"/>
    <w:rsid w:val="001A496A"/>
    <w:rsid w:val="001D18E7"/>
    <w:rsid w:val="001E441B"/>
    <w:rsid w:val="001F00E2"/>
    <w:rsid w:val="00203851"/>
    <w:rsid w:val="00217A0F"/>
    <w:rsid w:val="00220927"/>
    <w:rsid w:val="0022292B"/>
    <w:rsid w:val="00232FFB"/>
    <w:rsid w:val="002437C3"/>
    <w:rsid w:val="00271B5F"/>
    <w:rsid w:val="00287617"/>
    <w:rsid w:val="002B3CD6"/>
    <w:rsid w:val="002B42B8"/>
    <w:rsid w:val="002C0391"/>
    <w:rsid w:val="002C3204"/>
    <w:rsid w:val="002D78B2"/>
    <w:rsid w:val="002D7A8A"/>
    <w:rsid w:val="002E0D29"/>
    <w:rsid w:val="002F4BBD"/>
    <w:rsid w:val="002F666B"/>
    <w:rsid w:val="00300489"/>
    <w:rsid w:val="003051B8"/>
    <w:rsid w:val="0031772C"/>
    <w:rsid w:val="0033098A"/>
    <w:rsid w:val="003755FE"/>
    <w:rsid w:val="00377CEC"/>
    <w:rsid w:val="003A3E19"/>
    <w:rsid w:val="003A5150"/>
    <w:rsid w:val="003A5F1B"/>
    <w:rsid w:val="003B126D"/>
    <w:rsid w:val="003B7C64"/>
    <w:rsid w:val="003D5CE9"/>
    <w:rsid w:val="003E4EEC"/>
    <w:rsid w:val="00401706"/>
    <w:rsid w:val="00403B48"/>
    <w:rsid w:val="00406B8A"/>
    <w:rsid w:val="004078CF"/>
    <w:rsid w:val="00407C86"/>
    <w:rsid w:val="004114AA"/>
    <w:rsid w:val="0043482C"/>
    <w:rsid w:val="00436D3E"/>
    <w:rsid w:val="00437005"/>
    <w:rsid w:val="00437AE7"/>
    <w:rsid w:val="00455652"/>
    <w:rsid w:val="00456C7A"/>
    <w:rsid w:val="004627AD"/>
    <w:rsid w:val="00483871"/>
    <w:rsid w:val="004A39F4"/>
    <w:rsid w:val="004A77C0"/>
    <w:rsid w:val="004B26C0"/>
    <w:rsid w:val="004B6AC6"/>
    <w:rsid w:val="004C29B6"/>
    <w:rsid w:val="004C4AB0"/>
    <w:rsid w:val="004D0F70"/>
    <w:rsid w:val="004D12D0"/>
    <w:rsid w:val="004D2103"/>
    <w:rsid w:val="00507190"/>
    <w:rsid w:val="00513443"/>
    <w:rsid w:val="00516DBD"/>
    <w:rsid w:val="005561F7"/>
    <w:rsid w:val="005640DA"/>
    <w:rsid w:val="0056535A"/>
    <w:rsid w:val="005670C3"/>
    <w:rsid w:val="00576337"/>
    <w:rsid w:val="0058049E"/>
    <w:rsid w:val="00583AE3"/>
    <w:rsid w:val="00584A4F"/>
    <w:rsid w:val="00587E37"/>
    <w:rsid w:val="005A0AE1"/>
    <w:rsid w:val="005A650F"/>
    <w:rsid w:val="005A7F7F"/>
    <w:rsid w:val="005B17B4"/>
    <w:rsid w:val="005C3CC1"/>
    <w:rsid w:val="005D0793"/>
    <w:rsid w:val="005D1A70"/>
    <w:rsid w:val="005D77D2"/>
    <w:rsid w:val="005E2579"/>
    <w:rsid w:val="00601D52"/>
    <w:rsid w:val="00602293"/>
    <w:rsid w:val="00613004"/>
    <w:rsid w:val="006246D3"/>
    <w:rsid w:val="00662334"/>
    <w:rsid w:val="0066319B"/>
    <w:rsid w:val="00674F4B"/>
    <w:rsid w:val="006812AC"/>
    <w:rsid w:val="006A7FC7"/>
    <w:rsid w:val="006B18CD"/>
    <w:rsid w:val="006B29D4"/>
    <w:rsid w:val="006B6F4F"/>
    <w:rsid w:val="006C395D"/>
    <w:rsid w:val="006E082D"/>
    <w:rsid w:val="00706F06"/>
    <w:rsid w:val="00720A04"/>
    <w:rsid w:val="007258C7"/>
    <w:rsid w:val="00730B43"/>
    <w:rsid w:val="007352D5"/>
    <w:rsid w:val="00753E01"/>
    <w:rsid w:val="007711A7"/>
    <w:rsid w:val="00791B30"/>
    <w:rsid w:val="00793784"/>
    <w:rsid w:val="00797DD5"/>
    <w:rsid w:val="007B0CAC"/>
    <w:rsid w:val="007C12F3"/>
    <w:rsid w:val="007D5EBF"/>
    <w:rsid w:val="007F1C83"/>
    <w:rsid w:val="007F252C"/>
    <w:rsid w:val="00817248"/>
    <w:rsid w:val="008201E2"/>
    <w:rsid w:val="00831A69"/>
    <w:rsid w:val="008360AC"/>
    <w:rsid w:val="00857E2F"/>
    <w:rsid w:val="008633CA"/>
    <w:rsid w:val="0087451D"/>
    <w:rsid w:val="0087718D"/>
    <w:rsid w:val="00877F64"/>
    <w:rsid w:val="00884D5E"/>
    <w:rsid w:val="008B2EC9"/>
    <w:rsid w:val="008C7D32"/>
    <w:rsid w:val="008E164D"/>
    <w:rsid w:val="008F51D0"/>
    <w:rsid w:val="00910948"/>
    <w:rsid w:val="009119A4"/>
    <w:rsid w:val="00912B3A"/>
    <w:rsid w:val="00914FE0"/>
    <w:rsid w:val="00916520"/>
    <w:rsid w:val="00920CC9"/>
    <w:rsid w:val="00936664"/>
    <w:rsid w:val="00936B84"/>
    <w:rsid w:val="00963116"/>
    <w:rsid w:val="009A1B72"/>
    <w:rsid w:val="009A259A"/>
    <w:rsid w:val="00A03215"/>
    <w:rsid w:val="00A04936"/>
    <w:rsid w:val="00A121A1"/>
    <w:rsid w:val="00A17D37"/>
    <w:rsid w:val="00A3228D"/>
    <w:rsid w:val="00A365EC"/>
    <w:rsid w:val="00A43FDE"/>
    <w:rsid w:val="00A63325"/>
    <w:rsid w:val="00A66516"/>
    <w:rsid w:val="00A935CD"/>
    <w:rsid w:val="00A94102"/>
    <w:rsid w:val="00AA699E"/>
    <w:rsid w:val="00AB3EA9"/>
    <w:rsid w:val="00AB74F1"/>
    <w:rsid w:val="00AC3ACD"/>
    <w:rsid w:val="00AC7AAF"/>
    <w:rsid w:val="00AE54A9"/>
    <w:rsid w:val="00AF1AAC"/>
    <w:rsid w:val="00B02A78"/>
    <w:rsid w:val="00B06283"/>
    <w:rsid w:val="00B12702"/>
    <w:rsid w:val="00B15C0A"/>
    <w:rsid w:val="00B53149"/>
    <w:rsid w:val="00B5682B"/>
    <w:rsid w:val="00B760D1"/>
    <w:rsid w:val="00B83598"/>
    <w:rsid w:val="00B92B16"/>
    <w:rsid w:val="00BA6042"/>
    <w:rsid w:val="00BB31E9"/>
    <w:rsid w:val="00BC47EC"/>
    <w:rsid w:val="00BC6398"/>
    <w:rsid w:val="00BE24A0"/>
    <w:rsid w:val="00BE304D"/>
    <w:rsid w:val="00BF038C"/>
    <w:rsid w:val="00BF4648"/>
    <w:rsid w:val="00C10CEE"/>
    <w:rsid w:val="00C113A3"/>
    <w:rsid w:val="00C142DB"/>
    <w:rsid w:val="00C23AEE"/>
    <w:rsid w:val="00C25465"/>
    <w:rsid w:val="00C30EDA"/>
    <w:rsid w:val="00C52F08"/>
    <w:rsid w:val="00C605B6"/>
    <w:rsid w:val="00C86F0C"/>
    <w:rsid w:val="00C91D3E"/>
    <w:rsid w:val="00C972CA"/>
    <w:rsid w:val="00CB6C8A"/>
    <w:rsid w:val="00CB6E0D"/>
    <w:rsid w:val="00CD3175"/>
    <w:rsid w:val="00CD5F01"/>
    <w:rsid w:val="00CF7708"/>
    <w:rsid w:val="00D066E4"/>
    <w:rsid w:val="00D24729"/>
    <w:rsid w:val="00D35815"/>
    <w:rsid w:val="00D41ADD"/>
    <w:rsid w:val="00D51D84"/>
    <w:rsid w:val="00D66CE0"/>
    <w:rsid w:val="00D76638"/>
    <w:rsid w:val="00D76DF4"/>
    <w:rsid w:val="00D81890"/>
    <w:rsid w:val="00D901A1"/>
    <w:rsid w:val="00D90F3D"/>
    <w:rsid w:val="00DD37C2"/>
    <w:rsid w:val="00DD6ED3"/>
    <w:rsid w:val="00E00497"/>
    <w:rsid w:val="00E05A30"/>
    <w:rsid w:val="00E07BDD"/>
    <w:rsid w:val="00E1361B"/>
    <w:rsid w:val="00E32E75"/>
    <w:rsid w:val="00E34315"/>
    <w:rsid w:val="00E416D1"/>
    <w:rsid w:val="00E42FA1"/>
    <w:rsid w:val="00E52B87"/>
    <w:rsid w:val="00E53F49"/>
    <w:rsid w:val="00E55C36"/>
    <w:rsid w:val="00E911E3"/>
    <w:rsid w:val="00E969B4"/>
    <w:rsid w:val="00EA39EB"/>
    <w:rsid w:val="00EA4D38"/>
    <w:rsid w:val="00EA64E3"/>
    <w:rsid w:val="00EB2002"/>
    <w:rsid w:val="00EE169A"/>
    <w:rsid w:val="00EE5B3D"/>
    <w:rsid w:val="00EF2AD7"/>
    <w:rsid w:val="00F2195B"/>
    <w:rsid w:val="00F21CDA"/>
    <w:rsid w:val="00F25010"/>
    <w:rsid w:val="00F34202"/>
    <w:rsid w:val="00F41924"/>
    <w:rsid w:val="00F548FC"/>
    <w:rsid w:val="00F6057C"/>
    <w:rsid w:val="00F6496D"/>
    <w:rsid w:val="00F945AC"/>
    <w:rsid w:val="00FA3A60"/>
    <w:rsid w:val="00FA4634"/>
    <w:rsid w:val="00FA7816"/>
    <w:rsid w:val="00FB20A6"/>
    <w:rsid w:val="00FC7964"/>
    <w:rsid w:val="00FD5E6A"/>
    <w:rsid w:val="00FF674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rPr>
  </w:style>
  <w:style w:type="paragraph" w:styleId="Heading1">
    <w:name w:val="heading 1"/>
    <w:basedOn w:val="Normal"/>
    <w:next w:val="Normal"/>
    <w:qFormat/>
    <w:pPr>
      <w:keepNext/>
      <w:jc w:val="both"/>
      <w:outlineLvl w:val="0"/>
    </w:pPr>
    <w:rPr>
      <w:rFonts w:ascii="Arial" w:hAnsi="Arial"/>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rFonts w:ascii="Century Schoolbook" w:hAnsi="Century Schoolbook"/>
      <w:lang w:val="en-US"/>
    </w:rPr>
  </w:style>
  <w:style w:type="character" w:styleId="FootnoteReference">
    <w:name w:val="footnote reference"/>
    <w:basedOn w:val="DefaultParagraphFont"/>
    <w:semiHidden/>
    <w:rPr>
      <w:vertAlign w:val="superscript"/>
    </w:rPr>
  </w:style>
  <w:style w:type="character" w:styleId="PageNumber">
    <w:name w:val="page number"/>
    <w:basedOn w:val="DefaultParagraphFont"/>
  </w:style>
  <w:style w:type="paragraph" w:styleId="Header">
    <w:name w:val="header"/>
    <w:basedOn w:val="Normal"/>
    <w:pPr>
      <w:tabs>
        <w:tab w:val="center" w:pos="4320"/>
        <w:tab w:val="right" w:pos="8640"/>
      </w:tabs>
    </w:pPr>
    <w:rPr>
      <w:sz w:val="20"/>
    </w:rPr>
  </w:style>
  <w:style w:type="paragraph" w:styleId="FootnoteText">
    <w:name w:val="footnote text"/>
    <w:basedOn w:val="Normal"/>
    <w:semiHidden/>
    <w:rPr>
      <w:sz w:val="20"/>
    </w:rPr>
  </w:style>
  <w:style w:type="paragraph" w:styleId="Footer">
    <w:name w:val="footer"/>
    <w:basedOn w:val="Normal"/>
    <w:pPr>
      <w:tabs>
        <w:tab w:val="center" w:pos="4320"/>
        <w:tab w:val="right" w:pos="8640"/>
      </w:tabs>
    </w:pPr>
    <w:rPr>
      <w:sz w:val="20"/>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Title">
    <w:name w:val="Title"/>
    <w:basedOn w:val="Normal"/>
    <w:qFormat/>
    <w:pPr>
      <w:tabs>
        <w:tab w:val="right" w:pos="9180"/>
      </w:tabs>
      <w:jc w:val="center"/>
    </w:pPr>
    <w:rPr>
      <w:rFonts w:ascii="Arial" w:hAnsi="Arial"/>
      <w:b/>
      <w:sz w:val="22"/>
    </w:rPr>
  </w:style>
  <w:style w:type="paragraph" w:styleId="BalloonText">
    <w:name w:val="Balloon Text"/>
    <w:basedOn w:val="Normal"/>
    <w:semiHidden/>
    <w:rsid w:val="006812AC"/>
    <w:rPr>
      <w:rFonts w:ascii="Tahoma" w:hAnsi="Tahoma" w:cs="Tahoma"/>
      <w:sz w:val="16"/>
      <w:szCs w:val="16"/>
    </w:rPr>
  </w:style>
  <w:style w:type="paragraph" w:styleId="NormalIndent">
    <w:name w:val="Normal Indent"/>
    <w:basedOn w:val="Normal"/>
    <w:rsid w:val="000C412A"/>
    <w:pPr>
      <w:spacing w:after="120"/>
      <w:ind w:left="720"/>
    </w:pPr>
    <w:rPr>
      <w:sz w:val="22"/>
      <w:lang w:eastAsia="en-GB"/>
    </w:rPr>
  </w:style>
  <w:style w:type="paragraph" w:styleId="DocumentMap">
    <w:name w:val="Document Map"/>
    <w:basedOn w:val="Normal"/>
    <w:semiHidden/>
    <w:rsid w:val="006B29D4"/>
    <w:pPr>
      <w:shd w:val="clear" w:color="auto" w:fill="000080"/>
    </w:pPr>
    <w:rPr>
      <w:rFonts w:ascii="Tahoma" w:hAnsi="Tahoma" w:cs="Tahoma"/>
      <w:sz w:val="20"/>
    </w:rPr>
  </w:style>
  <w:style w:type="paragraph" w:styleId="CommentSubject">
    <w:name w:val="annotation subject"/>
    <w:basedOn w:val="CommentText"/>
    <w:next w:val="CommentText"/>
    <w:semiHidden/>
    <w:rsid w:val="00A03215"/>
    <w:rPr>
      <w:b/>
      <w:bCs/>
    </w:rPr>
  </w:style>
  <w:style w:type="table" w:styleId="TableGrid">
    <w:name w:val="Table Grid"/>
    <w:basedOn w:val="TableNormal"/>
    <w:uiPriority w:val="59"/>
    <w:rsid w:val="007B0C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19FD2F4-6668-4E24-B59D-B110B6C0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3719</Words>
  <Characters>21310</Characters>
  <Application>Microsoft Office Word</Application>
  <DocSecurity>0</DocSecurity>
  <Lines>819</Lines>
  <Paragraphs>658</Paragraphs>
  <ScaleCrop>false</ScaleCrop>
  <HeadingPairs>
    <vt:vector size="2" baseType="variant">
      <vt:variant>
        <vt:lpstr>Title</vt:lpstr>
      </vt:variant>
      <vt:variant>
        <vt:i4>1</vt:i4>
      </vt:variant>
    </vt:vector>
  </HeadingPairs>
  <TitlesOfParts>
    <vt:vector size="1" baseType="lpstr">
      <vt:lpstr>Attachment 1: Product Information for Saflutan (tafluprost)</vt:lpstr>
    </vt:vector>
  </TitlesOfParts>
  <Company>Merck</Company>
  <LinksUpToDate>false</LinksUpToDate>
  <CharactersWithSpaces>24371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Saflutan (tafluprost)</dc:title>
  <dc:subject>prescription medicines regulation</dc:subject>
  <dc:creator>Merck Sharpe &amp; Dohme</dc:creator>
  <cp:keywords>prescription, medicine, regulation, pi, product information, saflutan, tafluprost</cp:keywords>
  <cp:lastModifiedBy>Sheppard, Fran</cp:lastModifiedBy>
  <cp:revision>2</cp:revision>
  <cp:lastPrinted>2012-01-29T23:17:00Z</cp:lastPrinted>
  <dcterms:created xsi:type="dcterms:W3CDTF">2014-01-22T04:41:00Z</dcterms:created>
  <dcterms:modified xsi:type="dcterms:W3CDTF">2014-01-22T04:41:00Z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-750036069</vt:i4>
  </property>
  <property fmtid="{D5CDD505-2E9C-101B-9397-08002B2CF9AE}" pid="3" name="_NewReviewCycle">
    <vt:lpwstr/>
  </property>
  <property fmtid="{D5CDD505-2E9C-101B-9397-08002B2CF9AE}" pid="4" name="_EmailSubject">
    <vt:lpwstr>FW: Draft AusPAR for Saflutan [SEC=UNCLASSIFIED]</vt:lpwstr>
  </property>
  <property fmtid="{D5CDD505-2E9C-101B-9397-08002B2CF9AE}" pid="5" name="_AuthorEmail">
    <vt:lpwstr>robert.martini@merck.com</vt:lpwstr>
  </property>
  <property fmtid="{D5CDD505-2E9C-101B-9397-08002B2CF9AE}" pid="6" name="_AuthorEmailDisplayName">
    <vt:lpwstr>Martini, Robert</vt:lpwstr>
  </property>
  <property fmtid="{D5CDD505-2E9C-101B-9397-08002B2CF9AE}" pid="7" name="_PreviousAdHocReviewCycleID">
    <vt:i4>-1062690340</vt:i4>
  </property>
  <property fmtid="{D5CDD505-2E9C-101B-9397-08002B2CF9AE}" pid="8" name="_ReviewingToolsShownOnce">
    <vt:lpwstr/>
  </property>
</Properties>
</file>