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892C122" w14:textId="77777777" w:rsidTr="00BF1190">
        <w:trPr>
          <w:trHeight w:val="1863"/>
        </w:trPr>
        <w:tc>
          <w:tcPr>
            <w:tcW w:w="3652" w:type="dxa"/>
            <w:tcBorders>
              <w:top w:val="nil"/>
              <w:left w:val="nil"/>
              <w:bottom w:val="nil"/>
              <w:right w:val="nil"/>
            </w:tcBorders>
          </w:tcPr>
          <w:p w14:paraId="2B55E083" w14:textId="5FC557B8" w:rsidR="008E7846" w:rsidRPr="00096AA7" w:rsidRDefault="00D869ED" w:rsidP="00096AA7">
            <w:pPr>
              <w:rPr>
                <w:rFonts w:ascii="Arial" w:hAnsi="Arial" w:cs="Arial"/>
                <w:b/>
                <w:color w:val="002C47"/>
                <w:sz w:val="36"/>
                <w:szCs w:val="36"/>
              </w:rPr>
            </w:pPr>
            <w:bookmarkStart w:id="0" w:name="_GoBack"/>
            <w:bookmarkEnd w:id="0"/>
            <w:r>
              <w:rPr>
                <w:rFonts w:ascii="Arial" w:hAnsi="Arial" w:cs="Arial"/>
                <w:b/>
                <w:color w:val="002C47"/>
                <w:sz w:val="36"/>
                <w:szCs w:val="36"/>
              </w:rPr>
              <w:t>April</w:t>
            </w:r>
            <w:r w:rsidR="00AC37B2">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7A9DC9E" w14:textId="77777777" w:rsidTr="0032583B">
        <w:trPr>
          <w:trHeight w:val="868"/>
        </w:trPr>
        <w:tc>
          <w:tcPr>
            <w:tcW w:w="9079" w:type="dxa"/>
          </w:tcPr>
          <w:p w14:paraId="5107EA07" w14:textId="77777777" w:rsidR="0032583B" w:rsidRPr="00A964D1" w:rsidRDefault="0032583B" w:rsidP="006203C1">
            <w:pPr>
              <w:pStyle w:val="Title"/>
              <w:rPr>
                <w:color w:val="FFFFFF" w:themeColor="background1"/>
              </w:rPr>
            </w:pPr>
            <w:r w:rsidRPr="00A964D1">
              <w:rPr>
                <w:color w:val="FFFFFF" w:themeColor="background1"/>
              </w:rPr>
              <w:t xml:space="preserve">Australian Public Assessment Report for </w:t>
            </w:r>
            <w:r w:rsidR="006203C1">
              <w:rPr>
                <w:color w:val="FFFFFF" w:themeColor="background1"/>
              </w:rPr>
              <w:t>Tafenoquine succinate</w:t>
            </w:r>
          </w:p>
        </w:tc>
      </w:tr>
      <w:tr w:rsidR="0032583B" w:rsidRPr="00B64760" w14:paraId="24BB6AFD" w14:textId="77777777" w:rsidTr="0032583B">
        <w:tc>
          <w:tcPr>
            <w:tcW w:w="9079" w:type="dxa"/>
          </w:tcPr>
          <w:p w14:paraId="0A817D95" w14:textId="77777777" w:rsidR="0032583B" w:rsidRPr="008E7846" w:rsidRDefault="0032583B" w:rsidP="006203C1">
            <w:pPr>
              <w:pStyle w:val="Subtitle"/>
              <w:rPr>
                <w:color w:val="FFFFFF" w:themeColor="background1"/>
              </w:rPr>
            </w:pPr>
            <w:r w:rsidRPr="008E7846">
              <w:rPr>
                <w:color w:val="FFFFFF" w:themeColor="background1"/>
              </w:rPr>
              <w:t xml:space="preserve">Proprietary Product Name: </w:t>
            </w:r>
            <w:r w:rsidR="00A84DBA">
              <w:rPr>
                <w:color w:val="FFFFFF" w:themeColor="background1"/>
              </w:rPr>
              <w:t>Kodatef</w:t>
            </w:r>
            <w:r w:rsidRPr="008E7846">
              <w:rPr>
                <w:color w:val="FFFFFF" w:themeColor="background1"/>
              </w:rPr>
              <w:t xml:space="preserve"> </w:t>
            </w:r>
          </w:p>
        </w:tc>
      </w:tr>
      <w:tr w:rsidR="0032583B" w:rsidRPr="00B64760" w14:paraId="4B265FC6" w14:textId="77777777" w:rsidTr="0032583B">
        <w:trPr>
          <w:trHeight w:val="486"/>
        </w:trPr>
        <w:tc>
          <w:tcPr>
            <w:tcW w:w="9079" w:type="dxa"/>
          </w:tcPr>
          <w:p w14:paraId="450425AE" w14:textId="77777777" w:rsidR="0032583B" w:rsidRPr="008E7846" w:rsidRDefault="0032583B" w:rsidP="006203C1">
            <w:pPr>
              <w:pStyle w:val="Subtitle"/>
              <w:rPr>
                <w:color w:val="FFFFFF" w:themeColor="background1"/>
              </w:rPr>
            </w:pPr>
            <w:r w:rsidRPr="008E7846">
              <w:rPr>
                <w:color w:val="FFFFFF" w:themeColor="background1"/>
              </w:rPr>
              <w:t xml:space="preserve">Sponsor: </w:t>
            </w:r>
            <w:r w:rsidR="006203C1">
              <w:rPr>
                <w:color w:val="FFFFFF" w:themeColor="background1"/>
              </w:rPr>
              <w:t>Biocelect Pty Ltd</w:t>
            </w:r>
          </w:p>
        </w:tc>
      </w:tr>
    </w:tbl>
    <w:p w14:paraId="1A35076C" w14:textId="77777777" w:rsidR="008E7846" w:rsidRPr="0085156D" w:rsidRDefault="008E7846" w:rsidP="0085156D">
      <w:r w:rsidRPr="0085156D">
        <w:br w:type="page"/>
      </w:r>
    </w:p>
    <w:p w14:paraId="7F6A8190" w14:textId="77777777" w:rsidR="008E7846" w:rsidRPr="001F6CBA" w:rsidRDefault="008E7846" w:rsidP="008E7846">
      <w:pPr>
        <w:pStyle w:val="NonTOCHeading2"/>
      </w:pPr>
      <w:r w:rsidRPr="001F6CBA">
        <w:lastRenderedPageBreak/>
        <w:t>About the Therapeutic Goods Administration (TGA)</w:t>
      </w:r>
    </w:p>
    <w:p w14:paraId="33F96E85"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311ABE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7FB75C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4E174F5"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850D7E9"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1077D79F" w14:textId="77777777" w:rsidR="008E7846" w:rsidRDefault="008E7846" w:rsidP="00875A6B">
      <w:pPr>
        <w:pStyle w:val="NonTOCHeading2"/>
      </w:pPr>
      <w:r>
        <w:t>About AusPARs</w:t>
      </w:r>
    </w:p>
    <w:p w14:paraId="6097974C"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29422B7" w14:textId="77777777" w:rsidR="008E7846" w:rsidRDefault="008E7846" w:rsidP="008E7846">
      <w:pPr>
        <w:pStyle w:val="ListBullet"/>
        <w:numPr>
          <w:ilvl w:val="0"/>
          <w:numId w:val="3"/>
        </w:numPr>
        <w:ind w:left="357" w:hanging="357"/>
      </w:pPr>
      <w:r>
        <w:t>AusPARs are prepared and published by the TGA.</w:t>
      </w:r>
    </w:p>
    <w:p w14:paraId="780493BA"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2A4513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4CB79C6"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D0B8AE1" w14:textId="77777777" w:rsidR="00924482" w:rsidRPr="00DF1D7F" w:rsidRDefault="00924482" w:rsidP="00F54B65">
      <w:pPr>
        <w:pStyle w:val="LegalSubheading"/>
        <w:spacing w:before="3120"/>
      </w:pPr>
      <w:r w:rsidRPr="00DF1D7F">
        <w:t>Copyright</w:t>
      </w:r>
    </w:p>
    <w:p w14:paraId="5EDBAD6E" w14:textId="0710385A" w:rsidR="00924482" w:rsidRDefault="00924482" w:rsidP="00924482">
      <w:pPr>
        <w:pStyle w:val="LegalCopy"/>
      </w:pPr>
      <w:r w:rsidRPr="00191B3B">
        <w:rPr>
          <w:rFonts w:cs="Arial"/>
          <w:lang w:val="en-GB"/>
        </w:rPr>
        <w:t>© Comm</w:t>
      </w:r>
      <w:r>
        <w:rPr>
          <w:rFonts w:cs="Arial"/>
          <w:lang w:val="en-GB"/>
        </w:rPr>
        <w:t>onwealth of Australia 201</w:t>
      </w:r>
      <w:r w:rsidR="00222998">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2C99510B"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0C6E50C" w14:textId="77777777" w:rsidR="0089635C" w:rsidRPr="0089635C" w:rsidRDefault="0089635C" w:rsidP="0010788A">
          <w:pPr>
            <w:pStyle w:val="Contents"/>
          </w:pPr>
          <w:r w:rsidRPr="0010788A">
            <w:t>Contents</w:t>
          </w:r>
        </w:p>
        <w:p w14:paraId="28D3D396" w14:textId="77777777" w:rsidR="00743CB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2348762" w:history="1">
            <w:r w:rsidR="00743CB3" w:rsidRPr="00D279F2">
              <w:rPr>
                <w:rStyle w:val="Hyperlink"/>
                <w:noProof/>
              </w:rPr>
              <w:t>Common abbreviations</w:t>
            </w:r>
            <w:r w:rsidR="00743CB3">
              <w:rPr>
                <w:noProof/>
                <w:webHidden/>
              </w:rPr>
              <w:tab/>
            </w:r>
            <w:r w:rsidR="00743CB3">
              <w:rPr>
                <w:noProof/>
                <w:webHidden/>
              </w:rPr>
              <w:fldChar w:fldCharType="begin"/>
            </w:r>
            <w:r w:rsidR="00743CB3">
              <w:rPr>
                <w:noProof/>
                <w:webHidden/>
              </w:rPr>
              <w:instrText xml:space="preserve"> PAGEREF _Toc12348762 \h </w:instrText>
            </w:r>
            <w:r w:rsidR="00743CB3">
              <w:rPr>
                <w:noProof/>
                <w:webHidden/>
              </w:rPr>
            </w:r>
            <w:r w:rsidR="00743CB3">
              <w:rPr>
                <w:noProof/>
                <w:webHidden/>
              </w:rPr>
              <w:fldChar w:fldCharType="separate"/>
            </w:r>
            <w:r w:rsidR="00743CB3">
              <w:rPr>
                <w:noProof/>
                <w:webHidden/>
              </w:rPr>
              <w:t>5</w:t>
            </w:r>
            <w:r w:rsidR="00743CB3">
              <w:rPr>
                <w:noProof/>
                <w:webHidden/>
              </w:rPr>
              <w:fldChar w:fldCharType="end"/>
            </w:r>
          </w:hyperlink>
        </w:p>
        <w:p w14:paraId="6168F389" w14:textId="77777777" w:rsidR="00743CB3" w:rsidRDefault="009F66E1">
          <w:pPr>
            <w:pStyle w:val="TOC2"/>
            <w:rPr>
              <w:rFonts w:asciiTheme="minorHAnsi" w:eastAsiaTheme="minorEastAsia" w:hAnsiTheme="minorHAnsi" w:cstheme="minorBidi"/>
              <w:b w:val="0"/>
              <w:noProof/>
              <w:sz w:val="22"/>
              <w:lang w:eastAsia="en-AU"/>
            </w:rPr>
          </w:pPr>
          <w:hyperlink w:anchor="_Toc12348763" w:history="1">
            <w:r w:rsidR="00743CB3" w:rsidRPr="00D279F2">
              <w:rPr>
                <w:rStyle w:val="Hyperlink"/>
                <w:noProof/>
              </w:rPr>
              <w:t>I. Introduction to product submission</w:t>
            </w:r>
            <w:r w:rsidR="00743CB3">
              <w:rPr>
                <w:noProof/>
                <w:webHidden/>
              </w:rPr>
              <w:tab/>
            </w:r>
            <w:r w:rsidR="00743CB3">
              <w:rPr>
                <w:noProof/>
                <w:webHidden/>
              </w:rPr>
              <w:fldChar w:fldCharType="begin"/>
            </w:r>
            <w:r w:rsidR="00743CB3">
              <w:rPr>
                <w:noProof/>
                <w:webHidden/>
              </w:rPr>
              <w:instrText xml:space="preserve"> PAGEREF _Toc12348763 \h </w:instrText>
            </w:r>
            <w:r w:rsidR="00743CB3">
              <w:rPr>
                <w:noProof/>
                <w:webHidden/>
              </w:rPr>
            </w:r>
            <w:r w:rsidR="00743CB3">
              <w:rPr>
                <w:noProof/>
                <w:webHidden/>
              </w:rPr>
              <w:fldChar w:fldCharType="separate"/>
            </w:r>
            <w:r w:rsidR="00743CB3">
              <w:rPr>
                <w:noProof/>
                <w:webHidden/>
              </w:rPr>
              <w:t>7</w:t>
            </w:r>
            <w:r w:rsidR="00743CB3">
              <w:rPr>
                <w:noProof/>
                <w:webHidden/>
              </w:rPr>
              <w:fldChar w:fldCharType="end"/>
            </w:r>
          </w:hyperlink>
        </w:p>
        <w:p w14:paraId="1253CB01" w14:textId="77777777" w:rsidR="00743CB3" w:rsidRDefault="009F66E1">
          <w:pPr>
            <w:pStyle w:val="TOC3"/>
            <w:rPr>
              <w:rFonts w:asciiTheme="minorHAnsi" w:eastAsiaTheme="minorEastAsia" w:hAnsiTheme="minorHAnsi" w:cstheme="minorBidi"/>
              <w:noProof/>
              <w:lang w:eastAsia="en-AU"/>
            </w:rPr>
          </w:pPr>
          <w:hyperlink w:anchor="_Toc12348764" w:history="1">
            <w:r w:rsidR="00743CB3" w:rsidRPr="00D279F2">
              <w:rPr>
                <w:rStyle w:val="Hyperlink"/>
                <w:noProof/>
                <w:lang w:eastAsia="en-AU"/>
              </w:rPr>
              <w:t>Submission details</w:t>
            </w:r>
            <w:r w:rsidR="00743CB3">
              <w:rPr>
                <w:noProof/>
                <w:webHidden/>
              </w:rPr>
              <w:tab/>
            </w:r>
            <w:r w:rsidR="00743CB3">
              <w:rPr>
                <w:noProof/>
                <w:webHidden/>
              </w:rPr>
              <w:fldChar w:fldCharType="begin"/>
            </w:r>
            <w:r w:rsidR="00743CB3">
              <w:rPr>
                <w:noProof/>
                <w:webHidden/>
              </w:rPr>
              <w:instrText xml:space="preserve"> PAGEREF _Toc12348764 \h </w:instrText>
            </w:r>
            <w:r w:rsidR="00743CB3">
              <w:rPr>
                <w:noProof/>
                <w:webHidden/>
              </w:rPr>
            </w:r>
            <w:r w:rsidR="00743CB3">
              <w:rPr>
                <w:noProof/>
                <w:webHidden/>
              </w:rPr>
              <w:fldChar w:fldCharType="separate"/>
            </w:r>
            <w:r w:rsidR="00743CB3">
              <w:rPr>
                <w:noProof/>
                <w:webHidden/>
              </w:rPr>
              <w:t>7</w:t>
            </w:r>
            <w:r w:rsidR="00743CB3">
              <w:rPr>
                <w:noProof/>
                <w:webHidden/>
              </w:rPr>
              <w:fldChar w:fldCharType="end"/>
            </w:r>
          </w:hyperlink>
        </w:p>
        <w:p w14:paraId="339F9EFC" w14:textId="77777777" w:rsidR="00743CB3" w:rsidRDefault="009F66E1">
          <w:pPr>
            <w:pStyle w:val="TOC3"/>
            <w:rPr>
              <w:rFonts w:asciiTheme="minorHAnsi" w:eastAsiaTheme="minorEastAsia" w:hAnsiTheme="minorHAnsi" w:cstheme="minorBidi"/>
              <w:noProof/>
              <w:lang w:eastAsia="en-AU"/>
            </w:rPr>
          </w:pPr>
          <w:hyperlink w:anchor="_Toc12348765" w:history="1">
            <w:r w:rsidR="00743CB3" w:rsidRPr="00D279F2">
              <w:rPr>
                <w:rStyle w:val="Hyperlink"/>
                <w:noProof/>
              </w:rPr>
              <w:t>Product background</w:t>
            </w:r>
            <w:r w:rsidR="00743CB3">
              <w:rPr>
                <w:noProof/>
                <w:webHidden/>
              </w:rPr>
              <w:tab/>
            </w:r>
            <w:r w:rsidR="00743CB3">
              <w:rPr>
                <w:noProof/>
                <w:webHidden/>
              </w:rPr>
              <w:fldChar w:fldCharType="begin"/>
            </w:r>
            <w:r w:rsidR="00743CB3">
              <w:rPr>
                <w:noProof/>
                <w:webHidden/>
              </w:rPr>
              <w:instrText xml:space="preserve"> PAGEREF _Toc12348765 \h </w:instrText>
            </w:r>
            <w:r w:rsidR="00743CB3">
              <w:rPr>
                <w:noProof/>
                <w:webHidden/>
              </w:rPr>
            </w:r>
            <w:r w:rsidR="00743CB3">
              <w:rPr>
                <w:noProof/>
                <w:webHidden/>
              </w:rPr>
              <w:fldChar w:fldCharType="separate"/>
            </w:r>
            <w:r w:rsidR="00743CB3">
              <w:rPr>
                <w:noProof/>
                <w:webHidden/>
              </w:rPr>
              <w:t>8</w:t>
            </w:r>
            <w:r w:rsidR="00743CB3">
              <w:rPr>
                <w:noProof/>
                <w:webHidden/>
              </w:rPr>
              <w:fldChar w:fldCharType="end"/>
            </w:r>
          </w:hyperlink>
        </w:p>
        <w:p w14:paraId="0DA2F72D" w14:textId="77777777" w:rsidR="00743CB3" w:rsidRDefault="009F66E1">
          <w:pPr>
            <w:pStyle w:val="TOC3"/>
            <w:rPr>
              <w:rFonts w:asciiTheme="minorHAnsi" w:eastAsiaTheme="minorEastAsia" w:hAnsiTheme="minorHAnsi" w:cstheme="minorBidi"/>
              <w:noProof/>
              <w:lang w:eastAsia="en-AU"/>
            </w:rPr>
          </w:pPr>
          <w:hyperlink w:anchor="_Toc12348766" w:history="1">
            <w:r w:rsidR="00743CB3" w:rsidRPr="00D279F2">
              <w:rPr>
                <w:rStyle w:val="Hyperlink"/>
                <w:noProof/>
              </w:rPr>
              <w:t>Regulatory status</w:t>
            </w:r>
            <w:r w:rsidR="00743CB3">
              <w:rPr>
                <w:noProof/>
                <w:webHidden/>
              </w:rPr>
              <w:tab/>
            </w:r>
            <w:r w:rsidR="00743CB3">
              <w:rPr>
                <w:noProof/>
                <w:webHidden/>
              </w:rPr>
              <w:fldChar w:fldCharType="begin"/>
            </w:r>
            <w:r w:rsidR="00743CB3">
              <w:rPr>
                <w:noProof/>
                <w:webHidden/>
              </w:rPr>
              <w:instrText xml:space="preserve"> PAGEREF _Toc12348766 \h </w:instrText>
            </w:r>
            <w:r w:rsidR="00743CB3">
              <w:rPr>
                <w:noProof/>
                <w:webHidden/>
              </w:rPr>
            </w:r>
            <w:r w:rsidR="00743CB3">
              <w:rPr>
                <w:noProof/>
                <w:webHidden/>
              </w:rPr>
              <w:fldChar w:fldCharType="separate"/>
            </w:r>
            <w:r w:rsidR="00743CB3">
              <w:rPr>
                <w:noProof/>
                <w:webHidden/>
              </w:rPr>
              <w:t>12</w:t>
            </w:r>
            <w:r w:rsidR="00743CB3">
              <w:rPr>
                <w:noProof/>
                <w:webHidden/>
              </w:rPr>
              <w:fldChar w:fldCharType="end"/>
            </w:r>
          </w:hyperlink>
        </w:p>
        <w:p w14:paraId="3FF133B8" w14:textId="77777777" w:rsidR="00743CB3" w:rsidRDefault="009F66E1">
          <w:pPr>
            <w:pStyle w:val="TOC3"/>
            <w:rPr>
              <w:rFonts w:asciiTheme="minorHAnsi" w:eastAsiaTheme="minorEastAsia" w:hAnsiTheme="minorHAnsi" w:cstheme="minorBidi"/>
              <w:noProof/>
              <w:lang w:eastAsia="en-AU"/>
            </w:rPr>
          </w:pPr>
          <w:hyperlink w:anchor="_Toc12348767" w:history="1">
            <w:r w:rsidR="00743CB3" w:rsidRPr="00D279F2">
              <w:rPr>
                <w:rStyle w:val="Hyperlink"/>
                <w:noProof/>
              </w:rPr>
              <w:t>Product Information</w:t>
            </w:r>
            <w:r w:rsidR="00743CB3">
              <w:rPr>
                <w:noProof/>
                <w:webHidden/>
              </w:rPr>
              <w:tab/>
            </w:r>
            <w:r w:rsidR="00743CB3">
              <w:rPr>
                <w:noProof/>
                <w:webHidden/>
              </w:rPr>
              <w:fldChar w:fldCharType="begin"/>
            </w:r>
            <w:r w:rsidR="00743CB3">
              <w:rPr>
                <w:noProof/>
                <w:webHidden/>
              </w:rPr>
              <w:instrText xml:space="preserve"> PAGEREF _Toc12348767 \h </w:instrText>
            </w:r>
            <w:r w:rsidR="00743CB3">
              <w:rPr>
                <w:noProof/>
                <w:webHidden/>
              </w:rPr>
            </w:r>
            <w:r w:rsidR="00743CB3">
              <w:rPr>
                <w:noProof/>
                <w:webHidden/>
              </w:rPr>
              <w:fldChar w:fldCharType="separate"/>
            </w:r>
            <w:r w:rsidR="00743CB3">
              <w:rPr>
                <w:noProof/>
                <w:webHidden/>
              </w:rPr>
              <w:t>12</w:t>
            </w:r>
            <w:r w:rsidR="00743CB3">
              <w:rPr>
                <w:noProof/>
                <w:webHidden/>
              </w:rPr>
              <w:fldChar w:fldCharType="end"/>
            </w:r>
          </w:hyperlink>
        </w:p>
        <w:p w14:paraId="2359E06E" w14:textId="77777777" w:rsidR="00743CB3" w:rsidRDefault="009F66E1">
          <w:pPr>
            <w:pStyle w:val="TOC2"/>
            <w:rPr>
              <w:rFonts w:asciiTheme="minorHAnsi" w:eastAsiaTheme="minorEastAsia" w:hAnsiTheme="minorHAnsi" w:cstheme="minorBidi"/>
              <w:b w:val="0"/>
              <w:noProof/>
              <w:sz w:val="22"/>
              <w:lang w:eastAsia="en-AU"/>
            </w:rPr>
          </w:pPr>
          <w:hyperlink w:anchor="_Toc12348768" w:history="1">
            <w:r w:rsidR="00743CB3" w:rsidRPr="00D279F2">
              <w:rPr>
                <w:rStyle w:val="Hyperlink"/>
                <w:noProof/>
              </w:rPr>
              <w:t>II. Registration time line</w:t>
            </w:r>
            <w:r w:rsidR="00743CB3">
              <w:rPr>
                <w:noProof/>
                <w:webHidden/>
              </w:rPr>
              <w:tab/>
            </w:r>
            <w:r w:rsidR="00743CB3">
              <w:rPr>
                <w:noProof/>
                <w:webHidden/>
              </w:rPr>
              <w:fldChar w:fldCharType="begin"/>
            </w:r>
            <w:r w:rsidR="00743CB3">
              <w:rPr>
                <w:noProof/>
                <w:webHidden/>
              </w:rPr>
              <w:instrText xml:space="preserve"> PAGEREF _Toc12348768 \h </w:instrText>
            </w:r>
            <w:r w:rsidR="00743CB3">
              <w:rPr>
                <w:noProof/>
                <w:webHidden/>
              </w:rPr>
            </w:r>
            <w:r w:rsidR="00743CB3">
              <w:rPr>
                <w:noProof/>
                <w:webHidden/>
              </w:rPr>
              <w:fldChar w:fldCharType="separate"/>
            </w:r>
            <w:r w:rsidR="00743CB3">
              <w:rPr>
                <w:noProof/>
                <w:webHidden/>
              </w:rPr>
              <w:t>12</w:t>
            </w:r>
            <w:r w:rsidR="00743CB3">
              <w:rPr>
                <w:noProof/>
                <w:webHidden/>
              </w:rPr>
              <w:fldChar w:fldCharType="end"/>
            </w:r>
          </w:hyperlink>
        </w:p>
        <w:p w14:paraId="4A03937C" w14:textId="77777777" w:rsidR="00743CB3" w:rsidRDefault="009F66E1">
          <w:pPr>
            <w:pStyle w:val="TOC2"/>
            <w:rPr>
              <w:rFonts w:asciiTheme="minorHAnsi" w:eastAsiaTheme="minorEastAsia" w:hAnsiTheme="minorHAnsi" w:cstheme="minorBidi"/>
              <w:b w:val="0"/>
              <w:noProof/>
              <w:sz w:val="22"/>
              <w:lang w:eastAsia="en-AU"/>
            </w:rPr>
          </w:pPr>
          <w:hyperlink w:anchor="_Toc12348769" w:history="1">
            <w:r w:rsidR="00743CB3" w:rsidRPr="00D279F2">
              <w:rPr>
                <w:rStyle w:val="Hyperlink"/>
                <w:noProof/>
              </w:rPr>
              <w:t>III. Quality findings</w:t>
            </w:r>
            <w:r w:rsidR="00743CB3">
              <w:rPr>
                <w:noProof/>
                <w:webHidden/>
              </w:rPr>
              <w:tab/>
            </w:r>
            <w:r w:rsidR="00743CB3">
              <w:rPr>
                <w:noProof/>
                <w:webHidden/>
              </w:rPr>
              <w:fldChar w:fldCharType="begin"/>
            </w:r>
            <w:r w:rsidR="00743CB3">
              <w:rPr>
                <w:noProof/>
                <w:webHidden/>
              </w:rPr>
              <w:instrText xml:space="preserve"> PAGEREF _Toc12348769 \h </w:instrText>
            </w:r>
            <w:r w:rsidR="00743CB3">
              <w:rPr>
                <w:noProof/>
                <w:webHidden/>
              </w:rPr>
            </w:r>
            <w:r w:rsidR="00743CB3">
              <w:rPr>
                <w:noProof/>
                <w:webHidden/>
              </w:rPr>
              <w:fldChar w:fldCharType="separate"/>
            </w:r>
            <w:r w:rsidR="00743CB3">
              <w:rPr>
                <w:noProof/>
                <w:webHidden/>
              </w:rPr>
              <w:t>13</w:t>
            </w:r>
            <w:r w:rsidR="00743CB3">
              <w:rPr>
                <w:noProof/>
                <w:webHidden/>
              </w:rPr>
              <w:fldChar w:fldCharType="end"/>
            </w:r>
          </w:hyperlink>
        </w:p>
        <w:p w14:paraId="063DC661" w14:textId="77777777" w:rsidR="00743CB3" w:rsidRDefault="009F66E1">
          <w:pPr>
            <w:pStyle w:val="TOC3"/>
            <w:rPr>
              <w:rFonts w:asciiTheme="minorHAnsi" w:eastAsiaTheme="minorEastAsia" w:hAnsiTheme="minorHAnsi" w:cstheme="minorBidi"/>
              <w:noProof/>
              <w:lang w:eastAsia="en-AU"/>
            </w:rPr>
          </w:pPr>
          <w:hyperlink w:anchor="_Toc12348770" w:history="1">
            <w:r w:rsidR="00743CB3" w:rsidRPr="00D279F2">
              <w:rPr>
                <w:rStyle w:val="Hyperlink"/>
                <w:noProof/>
              </w:rPr>
              <w:t>Introduction</w:t>
            </w:r>
            <w:r w:rsidR="00743CB3">
              <w:rPr>
                <w:noProof/>
                <w:webHidden/>
              </w:rPr>
              <w:tab/>
            </w:r>
            <w:r w:rsidR="00743CB3">
              <w:rPr>
                <w:noProof/>
                <w:webHidden/>
              </w:rPr>
              <w:fldChar w:fldCharType="begin"/>
            </w:r>
            <w:r w:rsidR="00743CB3">
              <w:rPr>
                <w:noProof/>
                <w:webHidden/>
              </w:rPr>
              <w:instrText xml:space="preserve"> PAGEREF _Toc12348770 \h </w:instrText>
            </w:r>
            <w:r w:rsidR="00743CB3">
              <w:rPr>
                <w:noProof/>
                <w:webHidden/>
              </w:rPr>
            </w:r>
            <w:r w:rsidR="00743CB3">
              <w:rPr>
                <w:noProof/>
                <w:webHidden/>
              </w:rPr>
              <w:fldChar w:fldCharType="separate"/>
            </w:r>
            <w:r w:rsidR="00743CB3">
              <w:rPr>
                <w:noProof/>
                <w:webHidden/>
              </w:rPr>
              <w:t>13</w:t>
            </w:r>
            <w:r w:rsidR="00743CB3">
              <w:rPr>
                <w:noProof/>
                <w:webHidden/>
              </w:rPr>
              <w:fldChar w:fldCharType="end"/>
            </w:r>
          </w:hyperlink>
        </w:p>
        <w:p w14:paraId="0AF031E9" w14:textId="77777777" w:rsidR="00743CB3" w:rsidRDefault="009F66E1">
          <w:pPr>
            <w:pStyle w:val="TOC3"/>
            <w:rPr>
              <w:rFonts w:asciiTheme="minorHAnsi" w:eastAsiaTheme="minorEastAsia" w:hAnsiTheme="minorHAnsi" w:cstheme="minorBidi"/>
              <w:noProof/>
              <w:lang w:eastAsia="en-AU"/>
            </w:rPr>
          </w:pPr>
          <w:hyperlink w:anchor="_Toc12348771" w:history="1">
            <w:r w:rsidR="00743CB3" w:rsidRPr="00D279F2">
              <w:rPr>
                <w:rStyle w:val="Hyperlink"/>
                <w:noProof/>
              </w:rPr>
              <w:t>Drug substance tafenoquine succinate</w:t>
            </w:r>
            <w:r w:rsidR="00743CB3">
              <w:rPr>
                <w:noProof/>
                <w:webHidden/>
              </w:rPr>
              <w:tab/>
            </w:r>
            <w:r w:rsidR="00743CB3">
              <w:rPr>
                <w:noProof/>
                <w:webHidden/>
              </w:rPr>
              <w:fldChar w:fldCharType="begin"/>
            </w:r>
            <w:r w:rsidR="00743CB3">
              <w:rPr>
                <w:noProof/>
                <w:webHidden/>
              </w:rPr>
              <w:instrText xml:space="preserve"> PAGEREF _Toc12348771 \h </w:instrText>
            </w:r>
            <w:r w:rsidR="00743CB3">
              <w:rPr>
                <w:noProof/>
                <w:webHidden/>
              </w:rPr>
            </w:r>
            <w:r w:rsidR="00743CB3">
              <w:rPr>
                <w:noProof/>
                <w:webHidden/>
              </w:rPr>
              <w:fldChar w:fldCharType="separate"/>
            </w:r>
            <w:r w:rsidR="00743CB3">
              <w:rPr>
                <w:noProof/>
                <w:webHidden/>
              </w:rPr>
              <w:t>13</w:t>
            </w:r>
            <w:r w:rsidR="00743CB3">
              <w:rPr>
                <w:noProof/>
                <w:webHidden/>
              </w:rPr>
              <w:fldChar w:fldCharType="end"/>
            </w:r>
          </w:hyperlink>
        </w:p>
        <w:p w14:paraId="3BB773BD" w14:textId="77777777" w:rsidR="00743CB3" w:rsidRDefault="009F66E1">
          <w:pPr>
            <w:pStyle w:val="TOC3"/>
            <w:rPr>
              <w:rFonts w:asciiTheme="minorHAnsi" w:eastAsiaTheme="minorEastAsia" w:hAnsiTheme="minorHAnsi" w:cstheme="minorBidi"/>
              <w:noProof/>
              <w:lang w:eastAsia="en-AU"/>
            </w:rPr>
          </w:pPr>
          <w:hyperlink w:anchor="_Toc12348772" w:history="1">
            <w:r w:rsidR="00743CB3" w:rsidRPr="00D279F2">
              <w:rPr>
                <w:rStyle w:val="Hyperlink"/>
                <w:noProof/>
              </w:rPr>
              <w:t>Biopharmaceutics</w:t>
            </w:r>
            <w:r w:rsidR="00743CB3">
              <w:rPr>
                <w:noProof/>
                <w:webHidden/>
              </w:rPr>
              <w:tab/>
            </w:r>
            <w:r w:rsidR="00743CB3">
              <w:rPr>
                <w:noProof/>
                <w:webHidden/>
              </w:rPr>
              <w:fldChar w:fldCharType="begin"/>
            </w:r>
            <w:r w:rsidR="00743CB3">
              <w:rPr>
                <w:noProof/>
                <w:webHidden/>
              </w:rPr>
              <w:instrText xml:space="preserve"> PAGEREF _Toc12348772 \h </w:instrText>
            </w:r>
            <w:r w:rsidR="00743CB3">
              <w:rPr>
                <w:noProof/>
                <w:webHidden/>
              </w:rPr>
            </w:r>
            <w:r w:rsidR="00743CB3">
              <w:rPr>
                <w:noProof/>
                <w:webHidden/>
              </w:rPr>
              <w:fldChar w:fldCharType="separate"/>
            </w:r>
            <w:r w:rsidR="00743CB3">
              <w:rPr>
                <w:noProof/>
                <w:webHidden/>
              </w:rPr>
              <w:t>15</w:t>
            </w:r>
            <w:r w:rsidR="00743CB3">
              <w:rPr>
                <w:noProof/>
                <w:webHidden/>
              </w:rPr>
              <w:fldChar w:fldCharType="end"/>
            </w:r>
          </w:hyperlink>
        </w:p>
        <w:p w14:paraId="07DFE711" w14:textId="77777777" w:rsidR="00743CB3" w:rsidRDefault="009F66E1">
          <w:pPr>
            <w:pStyle w:val="TOC3"/>
            <w:rPr>
              <w:rFonts w:asciiTheme="minorHAnsi" w:eastAsiaTheme="minorEastAsia" w:hAnsiTheme="minorHAnsi" w:cstheme="minorBidi"/>
              <w:noProof/>
              <w:lang w:eastAsia="en-AU"/>
            </w:rPr>
          </w:pPr>
          <w:hyperlink w:anchor="_Toc12348773" w:history="1">
            <w:r w:rsidR="00743CB3" w:rsidRPr="00D279F2">
              <w:rPr>
                <w:rStyle w:val="Hyperlink"/>
                <w:noProof/>
              </w:rPr>
              <w:t>Quality recommendations</w:t>
            </w:r>
            <w:r w:rsidR="00743CB3">
              <w:rPr>
                <w:noProof/>
                <w:webHidden/>
              </w:rPr>
              <w:tab/>
            </w:r>
            <w:r w:rsidR="00743CB3">
              <w:rPr>
                <w:noProof/>
                <w:webHidden/>
              </w:rPr>
              <w:fldChar w:fldCharType="begin"/>
            </w:r>
            <w:r w:rsidR="00743CB3">
              <w:rPr>
                <w:noProof/>
                <w:webHidden/>
              </w:rPr>
              <w:instrText xml:space="preserve"> PAGEREF _Toc12348773 \h </w:instrText>
            </w:r>
            <w:r w:rsidR="00743CB3">
              <w:rPr>
                <w:noProof/>
                <w:webHidden/>
              </w:rPr>
            </w:r>
            <w:r w:rsidR="00743CB3">
              <w:rPr>
                <w:noProof/>
                <w:webHidden/>
              </w:rPr>
              <w:fldChar w:fldCharType="separate"/>
            </w:r>
            <w:r w:rsidR="00743CB3">
              <w:rPr>
                <w:noProof/>
                <w:webHidden/>
              </w:rPr>
              <w:t>15</w:t>
            </w:r>
            <w:r w:rsidR="00743CB3">
              <w:rPr>
                <w:noProof/>
                <w:webHidden/>
              </w:rPr>
              <w:fldChar w:fldCharType="end"/>
            </w:r>
          </w:hyperlink>
        </w:p>
        <w:p w14:paraId="33B01CA4" w14:textId="77777777" w:rsidR="00743CB3" w:rsidRDefault="009F66E1">
          <w:pPr>
            <w:pStyle w:val="TOC2"/>
            <w:rPr>
              <w:rFonts w:asciiTheme="minorHAnsi" w:eastAsiaTheme="minorEastAsia" w:hAnsiTheme="minorHAnsi" w:cstheme="minorBidi"/>
              <w:b w:val="0"/>
              <w:noProof/>
              <w:sz w:val="22"/>
              <w:lang w:eastAsia="en-AU"/>
            </w:rPr>
          </w:pPr>
          <w:hyperlink w:anchor="_Toc12348774" w:history="1">
            <w:r w:rsidR="00743CB3" w:rsidRPr="00D279F2">
              <w:rPr>
                <w:rStyle w:val="Hyperlink"/>
                <w:noProof/>
              </w:rPr>
              <w:t>IV. Nonclinical findings</w:t>
            </w:r>
            <w:r w:rsidR="00743CB3">
              <w:rPr>
                <w:noProof/>
                <w:webHidden/>
              </w:rPr>
              <w:tab/>
            </w:r>
            <w:r w:rsidR="00743CB3">
              <w:rPr>
                <w:noProof/>
                <w:webHidden/>
              </w:rPr>
              <w:fldChar w:fldCharType="begin"/>
            </w:r>
            <w:r w:rsidR="00743CB3">
              <w:rPr>
                <w:noProof/>
                <w:webHidden/>
              </w:rPr>
              <w:instrText xml:space="preserve"> PAGEREF _Toc12348774 \h </w:instrText>
            </w:r>
            <w:r w:rsidR="00743CB3">
              <w:rPr>
                <w:noProof/>
                <w:webHidden/>
              </w:rPr>
            </w:r>
            <w:r w:rsidR="00743CB3">
              <w:rPr>
                <w:noProof/>
                <w:webHidden/>
              </w:rPr>
              <w:fldChar w:fldCharType="separate"/>
            </w:r>
            <w:r w:rsidR="00743CB3">
              <w:rPr>
                <w:noProof/>
                <w:webHidden/>
              </w:rPr>
              <w:t>15</w:t>
            </w:r>
            <w:r w:rsidR="00743CB3">
              <w:rPr>
                <w:noProof/>
                <w:webHidden/>
              </w:rPr>
              <w:fldChar w:fldCharType="end"/>
            </w:r>
          </w:hyperlink>
        </w:p>
        <w:p w14:paraId="06479287" w14:textId="77777777" w:rsidR="00743CB3" w:rsidRDefault="009F66E1">
          <w:pPr>
            <w:pStyle w:val="TOC2"/>
            <w:rPr>
              <w:rFonts w:asciiTheme="minorHAnsi" w:eastAsiaTheme="minorEastAsia" w:hAnsiTheme="minorHAnsi" w:cstheme="minorBidi"/>
              <w:b w:val="0"/>
              <w:noProof/>
              <w:sz w:val="22"/>
              <w:lang w:eastAsia="en-AU"/>
            </w:rPr>
          </w:pPr>
          <w:hyperlink w:anchor="_Toc12348775" w:history="1">
            <w:r w:rsidR="00743CB3" w:rsidRPr="00D279F2">
              <w:rPr>
                <w:rStyle w:val="Hyperlink"/>
                <w:noProof/>
              </w:rPr>
              <w:t>Introduction</w:t>
            </w:r>
            <w:r w:rsidR="00743CB3">
              <w:rPr>
                <w:noProof/>
                <w:webHidden/>
              </w:rPr>
              <w:tab/>
            </w:r>
            <w:r w:rsidR="00743CB3">
              <w:rPr>
                <w:noProof/>
                <w:webHidden/>
              </w:rPr>
              <w:fldChar w:fldCharType="begin"/>
            </w:r>
            <w:r w:rsidR="00743CB3">
              <w:rPr>
                <w:noProof/>
                <w:webHidden/>
              </w:rPr>
              <w:instrText xml:space="preserve"> PAGEREF _Toc12348775 \h </w:instrText>
            </w:r>
            <w:r w:rsidR="00743CB3">
              <w:rPr>
                <w:noProof/>
                <w:webHidden/>
              </w:rPr>
            </w:r>
            <w:r w:rsidR="00743CB3">
              <w:rPr>
                <w:noProof/>
                <w:webHidden/>
              </w:rPr>
              <w:fldChar w:fldCharType="separate"/>
            </w:r>
            <w:r w:rsidR="00743CB3">
              <w:rPr>
                <w:noProof/>
                <w:webHidden/>
              </w:rPr>
              <w:t>15</w:t>
            </w:r>
            <w:r w:rsidR="00743CB3">
              <w:rPr>
                <w:noProof/>
                <w:webHidden/>
              </w:rPr>
              <w:fldChar w:fldCharType="end"/>
            </w:r>
          </w:hyperlink>
        </w:p>
        <w:p w14:paraId="02CCFB72" w14:textId="77777777" w:rsidR="00743CB3" w:rsidRDefault="009F66E1">
          <w:pPr>
            <w:pStyle w:val="TOC3"/>
            <w:rPr>
              <w:rFonts w:asciiTheme="minorHAnsi" w:eastAsiaTheme="minorEastAsia" w:hAnsiTheme="minorHAnsi" w:cstheme="minorBidi"/>
              <w:noProof/>
              <w:lang w:eastAsia="en-AU"/>
            </w:rPr>
          </w:pPr>
          <w:hyperlink w:anchor="_Toc12348776" w:history="1">
            <w:r w:rsidR="00743CB3" w:rsidRPr="00D279F2">
              <w:rPr>
                <w:rStyle w:val="Hyperlink"/>
                <w:noProof/>
              </w:rPr>
              <w:t>Pharmacology</w:t>
            </w:r>
            <w:r w:rsidR="00743CB3">
              <w:rPr>
                <w:noProof/>
                <w:webHidden/>
              </w:rPr>
              <w:tab/>
            </w:r>
            <w:r w:rsidR="00743CB3">
              <w:rPr>
                <w:noProof/>
                <w:webHidden/>
              </w:rPr>
              <w:fldChar w:fldCharType="begin"/>
            </w:r>
            <w:r w:rsidR="00743CB3">
              <w:rPr>
                <w:noProof/>
                <w:webHidden/>
              </w:rPr>
              <w:instrText xml:space="preserve"> PAGEREF _Toc12348776 \h </w:instrText>
            </w:r>
            <w:r w:rsidR="00743CB3">
              <w:rPr>
                <w:noProof/>
                <w:webHidden/>
              </w:rPr>
            </w:r>
            <w:r w:rsidR="00743CB3">
              <w:rPr>
                <w:noProof/>
                <w:webHidden/>
              </w:rPr>
              <w:fldChar w:fldCharType="separate"/>
            </w:r>
            <w:r w:rsidR="00743CB3">
              <w:rPr>
                <w:noProof/>
                <w:webHidden/>
              </w:rPr>
              <w:t>16</w:t>
            </w:r>
            <w:r w:rsidR="00743CB3">
              <w:rPr>
                <w:noProof/>
                <w:webHidden/>
              </w:rPr>
              <w:fldChar w:fldCharType="end"/>
            </w:r>
          </w:hyperlink>
        </w:p>
        <w:p w14:paraId="0CD6F2F3" w14:textId="77777777" w:rsidR="00743CB3" w:rsidRDefault="009F66E1">
          <w:pPr>
            <w:pStyle w:val="TOC3"/>
            <w:rPr>
              <w:rFonts w:asciiTheme="minorHAnsi" w:eastAsiaTheme="minorEastAsia" w:hAnsiTheme="minorHAnsi" w:cstheme="minorBidi"/>
              <w:noProof/>
              <w:lang w:eastAsia="en-AU"/>
            </w:rPr>
          </w:pPr>
          <w:hyperlink w:anchor="_Toc12348777" w:history="1">
            <w:r w:rsidR="00743CB3" w:rsidRPr="00D279F2">
              <w:rPr>
                <w:rStyle w:val="Hyperlink"/>
                <w:noProof/>
              </w:rPr>
              <w:t>Pharmacokinetics</w:t>
            </w:r>
            <w:r w:rsidR="00743CB3">
              <w:rPr>
                <w:noProof/>
                <w:webHidden/>
              </w:rPr>
              <w:tab/>
            </w:r>
            <w:r w:rsidR="00743CB3">
              <w:rPr>
                <w:noProof/>
                <w:webHidden/>
              </w:rPr>
              <w:fldChar w:fldCharType="begin"/>
            </w:r>
            <w:r w:rsidR="00743CB3">
              <w:rPr>
                <w:noProof/>
                <w:webHidden/>
              </w:rPr>
              <w:instrText xml:space="preserve"> PAGEREF _Toc12348777 \h </w:instrText>
            </w:r>
            <w:r w:rsidR="00743CB3">
              <w:rPr>
                <w:noProof/>
                <w:webHidden/>
              </w:rPr>
            </w:r>
            <w:r w:rsidR="00743CB3">
              <w:rPr>
                <w:noProof/>
                <w:webHidden/>
              </w:rPr>
              <w:fldChar w:fldCharType="separate"/>
            </w:r>
            <w:r w:rsidR="00743CB3">
              <w:rPr>
                <w:noProof/>
                <w:webHidden/>
              </w:rPr>
              <w:t>19</w:t>
            </w:r>
            <w:r w:rsidR="00743CB3">
              <w:rPr>
                <w:noProof/>
                <w:webHidden/>
              </w:rPr>
              <w:fldChar w:fldCharType="end"/>
            </w:r>
          </w:hyperlink>
        </w:p>
        <w:p w14:paraId="2D33000A" w14:textId="77777777" w:rsidR="00743CB3" w:rsidRDefault="009F66E1">
          <w:pPr>
            <w:pStyle w:val="TOC3"/>
            <w:rPr>
              <w:rFonts w:asciiTheme="minorHAnsi" w:eastAsiaTheme="minorEastAsia" w:hAnsiTheme="minorHAnsi" w:cstheme="minorBidi"/>
              <w:noProof/>
              <w:lang w:eastAsia="en-AU"/>
            </w:rPr>
          </w:pPr>
          <w:hyperlink w:anchor="_Toc12348778" w:history="1">
            <w:r w:rsidR="00743CB3" w:rsidRPr="00D279F2">
              <w:rPr>
                <w:rStyle w:val="Hyperlink"/>
                <w:noProof/>
              </w:rPr>
              <w:t>Toxicology</w:t>
            </w:r>
            <w:r w:rsidR="00743CB3">
              <w:rPr>
                <w:noProof/>
                <w:webHidden/>
              </w:rPr>
              <w:tab/>
            </w:r>
            <w:r w:rsidR="00743CB3">
              <w:rPr>
                <w:noProof/>
                <w:webHidden/>
              </w:rPr>
              <w:fldChar w:fldCharType="begin"/>
            </w:r>
            <w:r w:rsidR="00743CB3">
              <w:rPr>
                <w:noProof/>
                <w:webHidden/>
              </w:rPr>
              <w:instrText xml:space="preserve"> PAGEREF _Toc12348778 \h </w:instrText>
            </w:r>
            <w:r w:rsidR="00743CB3">
              <w:rPr>
                <w:noProof/>
                <w:webHidden/>
              </w:rPr>
            </w:r>
            <w:r w:rsidR="00743CB3">
              <w:rPr>
                <w:noProof/>
                <w:webHidden/>
              </w:rPr>
              <w:fldChar w:fldCharType="separate"/>
            </w:r>
            <w:r w:rsidR="00743CB3">
              <w:rPr>
                <w:noProof/>
                <w:webHidden/>
              </w:rPr>
              <w:t>21</w:t>
            </w:r>
            <w:r w:rsidR="00743CB3">
              <w:rPr>
                <w:noProof/>
                <w:webHidden/>
              </w:rPr>
              <w:fldChar w:fldCharType="end"/>
            </w:r>
          </w:hyperlink>
        </w:p>
        <w:p w14:paraId="18954D1A" w14:textId="77777777" w:rsidR="00743CB3" w:rsidRDefault="009F66E1">
          <w:pPr>
            <w:pStyle w:val="TOC3"/>
            <w:rPr>
              <w:rFonts w:asciiTheme="minorHAnsi" w:eastAsiaTheme="minorEastAsia" w:hAnsiTheme="minorHAnsi" w:cstheme="minorBidi"/>
              <w:noProof/>
              <w:lang w:eastAsia="en-AU"/>
            </w:rPr>
          </w:pPr>
          <w:hyperlink w:anchor="_Toc12348779" w:history="1">
            <w:r w:rsidR="00743CB3" w:rsidRPr="00D279F2">
              <w:rPr>
                <w:rStyle w:val="Hyperlink"/>
                <w:noProof/>
              </w:rPr>
              <w:t>Nonclinical summary</w:t>
            </w:r>
            <w:r w:rsidR="00743CB3">
              <w:rPr>
                <w:noProof/>
                <w:webHidden/>
              </w:rPr>
              <w:tab/>
            </w:r>
            <w:r w:rsidR="00743CB3">
              <w:rPr>
                <w:noProof/>
                <w:webHidden/>
              </w:rPr>
              <w:fldChar w:fldCharType="begin"/>
            </w:r>
            <w:r w:rsidR="00743CB3">
              <w:rPr>
                <w:noProof/>
                <w:webHidden/>
              </w:rPr>
              <w:instrText xml:space="preserve"> PAGEREF _Toc12348779 \h </w:instrText>
            </w:r>
            <w:r w:rsidR="00743CB3">
              <w:rPr>
                <w:noProof/>
                <w:webHidden/>
              </w:rPr>
            </w:r>
            <w:r w:rsidR="00743CB3">
              <w:rPr>
                <w:noProof/>
                <w:webHidden/>
              </w:rPr>
              <w:fldChar w:fldCharType="separate"/>
            </w:r>
            <w:r w:rsidR="00743CB3">
              <w:rPr>
                <w:noProof/>
                <w:webHidden/>
              </w:rPr>
              <w:t>27</w:t>
            </w:r>
            <w:r w:rsidR="00743CB3">
              <w:rPr>
                <w:noProof/>
                <w:webHidden/>
              </w:rPr>
              <w:fldChar w:fldCharType="end"/>
            </w:r>
          </w:hyperlink>
        </w:p>
        <w:p w14:paraId="32BBA1FF" w14:textId="77777777" w:rsidR="00743CB3" w:rsidRDefault="009F66E1">
          <w:pPr>
            <w:pStyle w:val="TOC3"/>
            <w:rPr>
              <w:rFonts w:asciiTheme="minorHAnsi" w:eastAsiaTheme="minorEastAsia" w:hAnsiTheme="minorHAnsi" w:cstheme="minorBidi"/>
              <w:noProof/>
              <w:lang w:eastAsia="en-AU"/>
            </w:rPr>
          </w:pPr>
          <w:hyperlink w:anchor="_Toc12348780" w:history="1">
            <w:r w:rsidR="00743CB3" w:rsidRPr="00D279F2">
              <w:rPr>
                <w:rStyle w:val="Hyperlink"/>
                <w:noProof/>
              </w:rPr>
              <w:t>Nonclinical conclusions and recommendation</w:t>
            </w:r>
            <w:r w:rsidR="00743CB3">
              <w:rPr>
                <w:noProof/>
                <w:webHidden/>
              </w:rPr>
              <w:tab/>
            </w:r>
            <w:r w:rsidR="00743CB3">
              <w:rPr>
                <w:noProof/>
                <w:webHidden/>
              </w:rPr>
              <w:fldChar w:fldCharType="begin"/>
            </w:r>
            <w:r w:rsidR="00743CB3">
              <w:rPr>
                <w:noProof/>
                <w:webHidden/>
              </w:rPr>
              <w:instrText xml:space="preserve"> PAGEREF _Toc12348780 \h </w:instrText>
            </w:r>
            <w:r w:rsidR="00743CB3">
              <w:rPr>
                <w:noProof/>
                <w:webHidden/>
              </w:rPr>
            </w:r>
            <w:r w:rsidR="00743CB3">
              <w:rPr>
                <w:noProof/>
                <w:webHidden/>
              </w:rPr>
              <w:fldChar w:fldCharType="separate"/>
            </w:r>
            <w:r w:rsidR="00743CB3">
              <w:rPr>
                <w:noProof/>
                <w:webHidden/>
              </w:rPr>
              <w:t>29</w:t>
            </w:r>
            <w:r w:rsidR="00743CB3">
              <w:rPr>
                <w:noProof/>
                <w:webHidden/>
              </w:rPr>
              <w:fldChar w:fldCharType="end"/>
            </w:r>
          </w:hyperlink>
        </w:p>
        <w:p w14:paraId="634270AA" w14:textId="77777777" w:rsidR="00743CB3" w:rsidRDefault="009F66E1">
          <w:pPr>
            <w:pStyle w:val="TOC2"/>
            <w:rPr>
              <w:rFonts w:asciiTheme="minorHAnsi" w:eastAsiaTheme="minorEastAsia" w:hAnsiTheme="minorHAnsi" w:cstheme="minorBidi"/>
              <w:b w:val="0"/>
              <w:noProof/>
              <w:sz w:val="22"/>
              <w:lang w:eastAsia="en-AU"/>
            </w:rPr>
          </w:pPr>
          <w:hyperlink w:anchor="_Toc12348781" w:history="1">
            <w:r w:rsidR="00743CB3" w:rsidRPr="00D279F2">
              <w:rPr>
                <w:rStyle w:val="Hyperlink"/>
                <w:noProof/>
              </w:rPr>
              <w:t>V. Clinical findings</w:t>
            </w:r>
            <w:r w:rsidR="00743CB3">
              <w:rPr>
                <w:noProof/>
                <w:webHidden/>
              </w:rPr>
              <w:tab/>
            </w:r>
            <w:r w:rsidR="00743CB3">
              <w:rPr>
                <w:noProof/>
                <w:webHidden/>
              </w:rPr>
              <w:fldChar w:fldCharType="begin"/>
            </w:r>
            <w:r w:rsidR="00743CB3">
              <w:rPr>
                <w:noProof/>
                <w:webHidden/>
              </w:rPr>
              <w:instrText xml:space="preserve"> PAGEREF _Toc12348781 \h </w:instrText>
            </w:r>
            <w:r w:rsidR="00743CB3">
              <w:rPr>
                <w:noProof/>
                <w:webHidden/>
              </w:rPr>
            </w:r>
            <w:r w:rsidR="00743CB3">
              <w:rPr>
                <w:noProof/>
                <w:webHidden/>
              </w:rPr>
              <w:fldChar w:fldCharType="separate"/>
            </w:r>
            <w:r w:rsidR="00743CB3">
              <w:rPr>
                <w:noProof/>
                <w:webHidden/>
              </w:rPr>
              <w:t>29</w:t>
            </w:r>
            <w:r w:rsidR="00743CB3">
              <w:rPr>
                <w:noProof/>
                <w:webHidden/>
              </w:rPr>
              <w:fldChar w:fldCharType="end"/>
            </w:r>
          </w:hyperlink>
        </w:p>
        <w:p w14:paraId="06E914B9" w14:textId="77777777" w:rsidR="00743CB3" w:rsidRDefault="009F66E1">
          <w:pPr>
            <w:pStyle w:val="TOC3"/>
            <w:rPr>
              <w:rFonts w:asciiTheme="minorHAnsi" w:eastAsiaTheme="minorEastAsia" w:hAnsiTheme="minorHAnsi" w:cstheme="minorBidi"/>
              <w:noProof/>
              <w:lang w:eastAsia="en-AU"/>
            </w:rPr>
          </w:pPr>
          <w:hyperlink w:anchor="_Toc12348782" w:history="1">
            <w:r w:rsidR="00743CB3" w:rsidRPr="00D279F2">
              <w:rPr>
                <w:rStyle w:val="Hyperlink"/>
                <w:noProof/>
              </w:rPr>
              <w:t>Introduction</w:t>
            </w:r>
            <w:r w:rsidR="00743CB3">
              <w:rPr>
                <w:noProof/>
                <w:webHidden/>
              </w:rPr>
              <w:tab/>
            </w:r>
            <w:r w:rsidR="00743CB3">
              <w:rPr>
                <w:noProof/>
                <w:webHidden/>
              </w:rPr>
              <w:fldChar w:fldCharType="begin"/>
            </w:r>
            <w:r w:rsidR="00743CB3">
              <w:rPr>
                <w:noProof/>
                <w:webHidden/>
              </w:rPr>
              <w:instrText xml:space="preserve"> PAGEREF _Toc12348782 \h </w:instrText>
            </w:r>
            <w:r w:rsidR="00743CB3">
              <w:rPr>
                <w:noProof/>
                <w:webHidden/>
              </w:rPr>
            </w:r>
            <w:r w:rsidR="00743CB3">
              <w:rPr>
                <w:noProof/>
                <w:webHidden/>
              </w:rPr>
              <w:fldChar w:fldCharType="separate"/>
            </w:r>
            <w:r w:rsidR="00743CB3">
              <w:rPr>
                <w:noProof/>
                <w:webHidden/>
              </w:rPr>
              <w:t>29</w:t>
            </w:r>
            <w:r w:rsidR="00743CB3">
              <w:rPr>
                <w:noProof/>
                <w:webHidden/>
              </w:rPr>
              <w:fldChar w:fldCharType="end"/>
            </w:r>
          </w:hyperlink>
        </w:p>
        <w:p w14:paraId="36CCA8BE" w14:textId="77777777" w:rsidR="00743CB3" w:rsidRDefault="009F66E1">
          <w:pPr>
            <w:pStyle w:val="TOC3"/>
            <w:rPr>
              <w:rFonts w:asciiTheme="minorHAnsi" w:eastAsiaTheme="minorEastAsia" w:hAnsiTheme="minorHAnsi" w:cstheme="minorBidi"/>
              <w:noProof/>
              <w:lang w:eastAsia="en-AU"/>
            </w:rPr>
          </w:pPr>
          <w:hyperlink w:anchor="_Toc12348783" w:history="1">
            <w:r w:rsidR="00743CB3" w:rsidRPr="00D279F2">
              <w:rPr>
                <w:rStyle w:val="Hyperlink"/>
                <w:noProof/>
              </w:rPr>
              <w:t>Pharmacokinetics</w:t>
            </w:r>
            <w:r w:rsidR="00743CB3">
              <w:rPr>
                <w:noProof/>
                <w:webHidden/>
              </w:rPr>
              <w:tab/>
            </w:r>
            <w:r w:rsidR="00743CB3">
              <w:rPr>
                <w:noProof/>
                <w:webHidden/>
              </w:rPr>
              <w:fldChar w:fldCharType="begin"/>
            </w:r>
            <w:r w:rsidR="00743CB3">
              <w:rPr>
                <w:noProof/>
                <w:webHidden/>
              </w:rPr>
              <w:instrText xml:space="preserve"> PAGEREF _Toc12348783 \h </w:instrText>
            </w:r>
            <w:r w:rsidR="00743CB3">
              <w:rPr>
                <w:noProof/>
                <w:webHidden/>
              </w:rPr>
            </w:r>
            <w:r w:rsidR="00743CB3">
              <w:rPr>
                <w:noProof/>
                <w:webHidden/>
              </w:rPr>
              <w:fldChar w:fldCharType="separate"/>
            </w:r>
            <w:r w:rsidR="00743CB3">
              <w:rPr>
                <w:noProof/>
                <w:webHidden/>
              </w:rPr>
              <w:t>36</w:t>
            </w:r>
            <w:r w:rsidR="00743CB3">
              <w:rPr>
                <w:noProof/>
                <w:webHidden/>
              </w:rPr>
              <w:fldChar w:fldCharType="end"/>
            </w:r>
          </w:hyperlink>
        </w:p>
        <w:p w14:paraId="647248F4" w14:textId="77777777" w:rsidR="00743CB3" w:rsidRDefault="009F66E1">
          <w:pPr>
            <w:pStyle w:val="TOC3"/>
            <w:rPr>
              <w:rFonts w:asciiTheme="minorHAnsi" w:eastAsiaTheme="minorEastAsia" w:hAnsiTheme="minorHAnsi" w:cstheme="minorBidi"/>
              <w:noProof/>
              <w:lang w:eastAsia="en-AU"/>
            </w:rPr>
          </w:pPr>
          <w:hyperlink w:anchor="_Toc12348784" w:history="1">
            <w:r w:rsidR="00743CB3" w:rsidRPr="00D279F2">
              <w:rPr>
                <w:rStyle w:val="Hyperlink"/>
                <w:noProof/>
              </w:rPr>
              <w:t>Pharmacodynamics</w:t>
            </w:r>
            <w:r w:rsidR="00743CB3">
              <w:rPr>
                <w:noProof/>
                <w:webHidden/>
              </w:rPr>
              <w:tab/>
            </w:r>
            <w:r w:rsidR="00743CB3">
              <w:rPr>
                <w:noProof/>
                <w:webHidden/>
              </w:rPr>
              <w:fldChar w:fldCharType="begin"/>
            </w:r>
            <w:r w:rsidR="00743CB3">
              <w:rPr>
                <w:noProof/>
                <w:webHidden/>
              </w:rPr>
              <w:instrText xml:space="preserve"> PAGEREF _Toc12348784 \h </w:instrText>
            </w:r>
            <w:r w:rsidR="00743CB3">
              <w:rPr>
                <w:noProof/>
                <w:webHidden/>
              </w:rPr>
            </w:r>
            <w:r w:rsidR="00743CB3">
              <w:rPr>
                <w:noProof/>
                <w:webHidden/>
              </w:rPr>
              <w:fldChar w:fldCharType="separate"/>
            </w:r>
            <w:r w:rsidR="00743CB3">
              <w:rPr>
                <w:noProof/>
                <w:webHidden/>
              </w:rPr>
              <w:t>38</w:t>
            </w:r>
            <w:r w:rsidR="00743CB3">
              <w:rPr>
                <w:noProof/>
                <w:webHidden/>
              </w:rPr>
              <w:fldChar w:fldCharType="end"/>
            </w:r>
          </w:hyperlink>
        </w:p>
        <w:p w14:paraId="0F65A0DF" w14:textId="77777777" w:rsidR="00743CB3" w:rsidRDefault="009F66E1">
          <w:pPr>
            <w:pStyle w:val="TOC3"/>
            <w:rPr>
              <w:rFonts w:asciiTheme="minorHAnsi" w:eastAsiaTheme="minorEastAsia" w:hAnsiTheme="minorHAnsi" w:cstheme="minorBidi"/>
              <w:noProof/>
              <w:lang w:eastAsia="en-AU"/>
            </w:rPr>
          </w:pPr>
          <w:hyperlink w:anchor="_Toc12348785" w:history="1">
            <w:r w:rsidR="00743CB3" w:rsidRPr="00D279F2">
              <w:rPr>
                <w:rStyle w:val="Hyperlink"/>
                <w:noProof/>
              </w:rPr>
              <w:t>Dosage selection for the pivotal studies</w:t>
            </w:r>
            <w:r w:rsidR="00743CB3">
              <w:rPr>
                <w:noProof/>
                <w:webHidden/>
              </w:rPr>
              <w:tab/>
            </w:r>
            <w:r w:rsidR="00743CB3">
              <w:rPr>
                <w:noProof/>
                <w:webHidden/>
              </w:rPr>
              <w:fldChar w:fldCharType="begin"/>
            </w:r>
            <w:r w:rsidR="00743CB3">
              <w:rPr>
                <w:noProof/>
                <w:webHidden/>
              </w:rPr>
              <w:instrText xml:space="preserve"> PAGEREF _Toc12348785 \h </w:instrText>
            </w:r>
            <w:r w:rsidR="00743CB3">
              <w:rPr>
                <w:noProof/>
                <w:webHidden/>
              </w:rPr>
            </w:r>
            <w:r w:rsidR="00743CB3">
              <w:rPr>
                <w:noProof/>
                <w:webHidden/>
              </w:rPr>
              <w:fldChar w:fldCharType="separate"/>
            </w:r>
            <w:r w:rsidR="00743CB3">
              <w:rPr>
                <w:noProof/>
                <w:webHidden/>
              </w:rPr>
              <w:t>39</w:t>
            </w:r>
            <w:r w:rsidR="00743CB3">
              <w:rPr>
                <w:noProof/>
                <w:webHidden/>
              </w:rPr>
              <w:fldChar w:fldCharType="end"/>
            </w:r>
          </w:hyperlink>
        </w:p>
        <w:p w14:paraId="48D93186" w14:textId="77777777" w:rsidR="00743CB3" w:rsidRDefault="009F66E1">
          <w:pPr>
            <w:pStyle w:val="TOC3"/>
            <w:rPr>
              <w:rFonts w:asciiTheme="minorHAnsi" w:eastAsiaTheme="minorEastAsia" w:hAnsiTheme="minorHAnsi" w:cstheme="minorBidi"/>
              <w:noProof/>
              <w:lang w:eastAsia="en-AU"/>
            </w:rPr>
          </w:pPr>
          <w:hyperlink w:anchor="_Toc12348786" w:history="1">
            <w:r w:rsidR="00743CB3" w:rsidRPr="00D279F2">
              <w:rPr>
                <w:rStyle w:val="Hyperlink"/>
                <w:noProof/>
              </w:rPr>
              <w:t>Efficacy</w:t>
            </w:r>
            <w:r w:rsidR="00743CB3">
              <w:rPr>
                <w:noProof/>
                <w:webHidden/>
              </w:rPr>
              <w:tab/>
            </w:r>
            <w:r w:rsidR="00743CB3">
              <w:rPr>
                <w:noProof/>
                <w:webHidden/>
              </w:rPr>
              <w:fldChar w:fldCharType="begin"/>
            </w:r>
            <w:r w:rsidR="00743CB3">
              <w:rPr>
                <w:noProof/>
                <w:webHidden/>
              </w:rPr>
              <w:instrText xml:space="preserve"> PAGEREF _Toc12348786 \h </w:instrText>
            </w:r>
            <w:r w:rsidR="00743CB3">
              <w:rPr>
                <w:noProof/>
                <w:webHidden/>
              </w:rPr>
            </w:r>
            <w:r w:rsidR="00743CB3">
              <w:rPr>
                <w:noProof/>
                <w:webHidden/>
              </w:rPr>
              <w:fldChar w:fldCharType="separate"/>
            </w:r>
            <w:r w:rsidR="00743CB3">
              <w:rPr>
                <w:noProof/>
                <w:webHidden/>
              </w:rPr>
              <w:t>40</w:t>
            </w:r>
            <w:r w:rsidR="00743CB3">
              <w:rPr>
                <w:noProof/>
                <w:webHidden/>
              </w:rPr>
              <w:fldChar w:fldCharType="end"/>
            </w:r>
          </w:hyperlink>
        </w:p>
        <w:p w14:paraId="4F4DC974" w14:textId="77777777" w:rsidR="00743CB3" w:rsidRDefault="009F66E1">
          <w:pPr>
            <w:pStyle w:val="TOC3"/>
            <w:rPr>
              <w:rFonts w:asciiTheme="minorHAnsi" w:eastAsiaTheme="minorEastAsia" w:hAnsiTheme="minorHAnsi" w:cstheme="minorBidi"/>
              <w:noProof/>
              <w:lang w:eastAsia="en-AU"/>
            </w:rPr>
          </w:pPr>
          <w:hyperlink w:anchor="_Toc12348787" w:history="1">
            <w:r w:rsidR="00743CB3" w:rsidRPr="00D279F2">
              <w:rPr>
                <w:rStyle w:val="Hyperlink"/>
                <w:noProof/>
              </w:rPr>
              <w:t>Safety</w:t>
            </w:r>
            <w:r w:rsidR="00743CB3">
              <w:rPr>
                <w:noProof/>
                <w:webHidden/>
              </w:rPr>
              <w:tab/>
            </w:r>
            <w:r w:rsidR="00743CB3">
              <w:rPr>
                <w:noProof/>
                <w:webHidden/>
              </w:rPr>
              <w:fldChar w:fldCharType="begin"/>
            </w:r>
            <w:r w:rsidR="00743CB3">
              <w:rPr>
                <w:noProof/>
                <w:webHidden/>
              </w:rPr>
              <w:instrText xml:space="preserve"> PAGEREF _Toc12348787 \h </w:instrText>
            </w:r>
            <w:r w:rsidR="00743CB3">
              <w:rPr>
                <w:noProof/>
                <w:webHidden/>
              </w:rPr>
            </w:r>
            <w:r w:rsidR="00743CB3">
              <w:rPr>
                <w:noProof/>
                <w:webHidden/>
              </w:rPr>
              <w:fldChar w:fldCharType="separate"/>
            </w:r>
            <w:r w:rsidR="00743CB3">
              <w:rPr>
                <w:noProof/>
                <w:webHidden/>
              </w:rPr>
              <w:t>42</w:t>
            </w:r>
            <w:r w:rsidR="00743CB3">
              <w:rPr>
                <w:noProof/>
                <w:webHidden/>
              </w:rPr>
              <w:fldChar w:fldCharType="end"/>
            </w:r>
          </w:hyperlink>
        </w:p>
        <w:p w14:paraId="763656EE" w14:textId="77777777" w:rsidR="00743CB3" w:rsidRDefault="009F66E1">
          <w:pPr>
            <w:pStyle w:val="TOC3"/>
            <w:rPr>
              <w:rFonts w:asciiTheme="minorHAnsi" w:eastAsiaTheme="minorEastAsia" w:hAnsiTheme="minorHAnsi" w:cstheme="minorBidi"/>
              <w:noProof/>
              <w:lang w:eastAsia="en-AU"/>
            </w:rPr>
          </w:pPr>
          <w:hyperlink w:anchor="_Toc12348788" w:history="1">
            <w:r w:rsidR="00743CB3" w:rsidRPr="00D279F2">
              <w:rPr>
                <w:rStyle w:val="Hyperlink"/>
                <w:noProof/>
              </w:rPr>
              <w:t>First round benefit-risk assessment</w:t>
            </w:r>
            <w:r w:rsidR="00743CB3">
              <w:rPr>
                <w:noProof/>
                <w:webHidden/>
              </w:rPr>
              <w:tab/>
            </w:r>
            <w:r w:rsidR="00743CB3">
              <w:rPr>
                <w:noProof/>
                <w:webHidden/>
              </w:rPr>
              <w:fldChar w:fldCharType="begin"/>
            </w:r>
            <w:r w:rsidR="00743CB3">
              <w:rPr>
                <w:noProof/>
                <w:webHidden/>
              </w:rPr>
              <w:instrText xml:space="preserve"> PAGEREF _Toc12348788 \h </w:instrText>
            </w:r>
            <w:r w:rsidR="00743CB3">
              <w:rPr>
                <w:noProof/>
                <w:webHidden/>
              </w:rPr>
            </w:r>
            <w:r w:rsidR="00743CB3">
              <w:rPr>
                <w:noProof/>
                <w:webHidden/>
              </w:rPr>
              <w:fldChar w:fldCharType="separate"/>
            </w:r>
            <w:r w:rsidR="00743CB3">
              <w:rPr>
                <w:noProof/>
                <w:webHidden/>
              </w:rPr>
              <w:t>50</w:t>
            </w:r>
            <w:r w:rsidR="00743CB3">
              <w:rPr>
                <w:noProof/>
                <w:webHidden/>
              </w:rPr>
              <w:fldChar w:fldCharType="end"/>
            </w:r>
          </w:hyperlink>
        </w:p>
        <w:p w14:paraId="1DB1E8F7" w14:textId="77777777" w:rsidR="00743CB3" w:rsidRDefault="009F66E1">
          <w:pPr>
            <w:pStyle w:val="TOC3"/>
            <w:rPr>
              <w:rFonts w:asciiTheme="minorHAnsi" w:eastAsiaTheme="minorEastAsia" w:hAnsiTheme="minorHAnsi" w:cstheme="minorBidi"/>
              <w:noProof/>
              <w:lang w:eastAsia="en-AU"/>
            </w:rPr>
          </w:pPr>
          <w:hyperlink w:anchor="_Toc12348789" w:history="1">
            <w:r w:rsidR="00743CB3" w:rsidRPr="00D279F2">
              <w:rPr>
                <w:rStyle w:val="Hyperlink"/>
                <w:noProof/>
              </w:rPr>
              <w:t>First round assessment of risks</w:t>
            </w:r>
            <w:r w:rsidR="00743CB3">
              <w:rPr>
                <w:noProof/>
                <w:webHidden/>
              </w:rPr>
              <w:tab/>
            </w:r>
            <w:r w:rsidR="00743CB3">
              <w:rPr>
                <w:noProof/>
                <w:webHidden/>
              </w:rPr>
              <w:fldChar w:fldCharType="begin"/>
            </w:r>
            <w:r w:rsidR="00743CB3">
              <w:rPr>
                <w:noProof/>
                <w:webHidden/>
              </w:rPr>
              <w:instrText xml:space="preserve"> PAGEREF _Toc12348789 \h </w:instrText>
            </w:r>
            <w:r w:rsidR="00743CB3">
              <w:rPr>
                <w:noProof/>
                <w:webHidden/>
              </w:rPr>
            </w:r>
            <w:r w:rsidR="00743CB3">
              <w:rPr>
                <w:noProof/>
                <w:webHidden/>
              </w:rPr>
              <w:fldChar w:fldCharType="separate"/>
            </w:r>
            <w:r w:rsidR="00743CB3">
              <w:rPr>
                <w:noProof/>
                <w:webHidden/>
              </w:rPr>
              <w:t>51</w:t>
            </w:r>
            <w:r w:rsidR="00743CB3">
              <w:rPr>
                <w:noProof/>
                <w:webHidden/>
              </w:rPr>
              <w:fldChar w:fldCharType="end"/>
            </w:r>
          </w:hyperlink>
        </w:p>
        <w:p w14:paraId="4D4312FD" w14:textId="77777777" w:rsidR="00743CB3" w:rsidRDefault="009F66E1">
          <w:pPr>
            <w:pStyle w:val="TOC3"/>
            <w:rPr>
              <w:rFonts w:asciiTheme="minorHAnsi" w:eastAsiaTheme="minorEastAsia" w:hAnsiTheme="minorHAnsi" w:cstheme="minorBidi"/>
              <w:noProof/>
              <w:lang w:eastAsia="en-AU"/>
            </w:rPr>
          </w:pPr>
          <w:hyperlink w:anchor="_Toc12348790" w:history="1">
            <w:r w:rsidR="00743CB3" w:rsidRPr="00D279F2">
              <w:rPr>
                <w:rStyle w:val="Hyperlink"/>
                <w:noProof/>
              </w:rPr>
              <w:t>First round assessment of benefit-risk balance</w:t>
            </w:r>
            <w:r w:rsidR="00743CB3">
              <w:rPr>
                <w:noProof/>
                <w:webHidden/>
              </w:rPr>
              <w:tab/>
            </w:r>
            <w:r w:rsidR="00743CB3">
              <w:rPr>
                <w:noProof/>
                <w:webHidden/>
              </w:rPr>
              <w:fldChar w:fldCharType="begin"/>
            </w:r>
            <w:r w:rsidR="00743CB3">
              <w:rPr>
                <w:noProof/>
                <w:webHidden/>
              </w:rPr>
              <w:instrText xml:space="preserve"> PAGEREF _Toc12348790 \h </w:instrText>
            </w:r>
            <w:r w:rsidR="00743CB3">
              <w:rPr>
                <w:noProof/>
                <w:webHidden/>
              </w:rPr>
            </w:r>
            <w:r w:rsidR="00743CB3">
              <w:rPr>
                <w:noProof/>
                <w:webHidden/>
              </w:rPr>
              <w:fldChar w:fldCharType="separate"/>
            </w:r>
            <w:r w:rsidR="00743CB3">
              <w:rPr>
                <w:noProof/>
                <w:webHidden/>
              </w:rPr>
              <w:t>52</w:t>
            </w:r>
            <w:r w:rsidR="00743CB3">
              <w:rPr>
                <w:noProof/>
                <w:webHidden/>
              </w:rPr>
              <w:fldChar w:fldCharType="end"/>
            </w:r>
          </w:hyperlink>
        </w:p>
        <w:p w14:paraId="213C43C9" w14:textId="77777777" w:rsidR="00743CB3" w:rsidRDefault="009F66E1">
          <w:pPr>
            <w:pStyle w:val="TOC3"/>
            <w:rPr>
              <w:rFonts w:asciiTheme="minorHAnsi" w:eastAsiaTheme="minorEastAsia" w:hAnsiTheme="minorHAnsi" w:cstheme="minorBidi"/>
              <w:noProof/>
              <w:lang w:eastAsia="en-AU"/>
            </w:rPr>
          </w:pPr>
          <w:hyperlink w:anchor="_Toc12348791" w:history="1">
            <w:r w:rsidR="00743CB3" w:rsidRPr="00D279F2">
              <w:rPr>
                <w:rStyle w:val="Hyperlink"/>
                <w:noProof/>
              </w:rPr>
              <w:t>Second round evaluation</w:t>
            </w:r>
            <w:r w:rsidR="00743CB3">
              <w:rPr>
                <w:noProof/>
                <w:webHidden/>
              </w:rPr>
              <w:tab/>
            </w:r>
            <w:r w:rsidR="00743CB3">
              <w:rPr>
                <w:noProof/>
                <w:webHidden/>
              </w:rPr>
              <w:fldChar w:fldCharType="begin"/>
            </w:r>
            <w:r w:rsidR="00743CB3">
              <w:rPr>
                <w:noProof/>
                <w:webHidden/>
              </w:rPr>
              <w:instrText xml:space="preserve"> PAGEREF _Toc12348791 \h </w:instrText>
            </w:r>
            <w:r w:rsidR="00743CB3">
              <w:rPr>
                <w:noProof/>
                <w:webHidden/>
              </w:rPr>
            </w:r>
            <w:r w:rsidR="00743CB3">
              <w:rPr>
                <w:noProof/>
                <w:webHidden/>
              </w:rPr>
              <w:fldChar w:fldCharType="separate"/>
            </w:r>
            <w:r w:rsidR="00743CB3">
              <w:rPr>
                <w:noProof/>
                <w:webHidden/>
              </w:rPr>
              <w:t>52</w:t>
            </w:r>
            <w:r w:rsidR="00743CB3">
              <w:rPr>
                <w:noProof/>
                <w:webHidden/>
              </w:rPr>
              <w:fldChar w:fldCharType="end"/>
            </w:r>
          </w:hyperlink>
        </w:p>
        <w:p w14:paraId="200141A0" w14:textId="77777777" w:rsidR="00743CB3" w:rsidRDefault="009F66E1">
          <w:pPr>
            <w:pStyle w:val="TOC3"/>
            <w:rPr>
              <w:rFonts w:asciiTheme="minorHAnsi" w:eastAsiaTheme="minorEastAsia" w:hAnsiTheme="minorHAnsi" w:cstheme="minorBidi"/>
              <w:noProof/>
              <w:lang w:eastAsia="en-AU"/>
            </w:rPr>
          </w:pPr>
          <w:hyperlink w:anchor="_Toc12348792" w:history="1">
            <w:r w:rsidR="00743CB3" w:rsidRPr="00D279F2">
              <w:rPr>
                <w:rStyle w:val="Hyperlink"/>
                <w:noProof/>
              </w:rPr>
              <w:t>Second round benefit-risk assessment</w:t>
            </w:r>
            <w:r w:rsidR="00743CB3">
              <w:rPr>
                <w:noProof/>
                <w:webHidden/>
              </w:rPr>
              <w:tab/>
            </w:r>
            <w:r w:rsidR="00743CB3">
              <w:rPr>
                <w:noProof/>
                <w:webHidden/>
              </w:rPr>
              <w:fldChar w:fldCharType="begin"/>
            </w:r>
            <w:r w:rsidR="00743CB3">
              <w:rPr>
                <w:noProof/>
                <w:webHidden/>
              </w:rPr>
              <w:instrText xml:space="preserve"> PAGEREF _Toc12348792 \h </w:instrText>
            </w:r>
            <w:r w:rsidR="00743CB3">
              <w:rPr>
                <w:noProof/>
                <w:webHidden/>
              </w:rPr>
            </w:r>
            <w:r w:rsidR="00743CB3">
              <w:rPr>
                <w:noProof/>
                <w:webHidden/>
              </w:rPr>
              <w:fldChar w:fldCharType="separate"/>
            </w:r>
            <w:r w:rsidR="00743CB3">
              <w:rPr>
                <w:noProof/>
                <w:webHidden/>
              </w:rPr>
              <w:t>52</w:t>
            </w:r>
            <w:r w:rsidR="00743CB3">
              <w:rPr>
                <w:noProof/>
                <w:webHidden/>
              </w:rPr>
              <w:fldChar w:fldCharType="end"/>
            </w:r>
          </w:hyperlink>
        </w:p>
        <w:p w14:paraId="6B3F552A" w14:textId="77777777" w:rsidR="00743CB3" w:rsidRDefault="009F66E1">
          <w:pPr>
            <w:pStyle w:val="TOC2"/>
            <w:rPr>
              <w:rFonts w:asciiTheme="minorHAnsi" w:eastAsiaTheme="minorEastAsia" w:hAnsiTheme="minorHAnsi" w:cstheme="minorBidi"/>
              <w:b w:val="0"/>
              <w:noProof/>
              <w:sz w:val="22"/>
              <w:lang w:eastAsia="en-AU"/>
            </w:rPr>
          </w:pPr>
          <w:hyperlink w:anchor="_Toc12348793" w:history="1">
            <w:r w:rsidR="00743CB3" w:rsidRPr="00D279F2">
              <w:rPr>
                <w:rStyle w:val="Hyperlink"/>
                <w:noProof/>
              </w:rPr>
              <w:t>Second round recommendation regarding authorisation</w:t>
            </w:r>
            <w:r w:rsidR="00743CB3">
              <w:rPr>
                <w:noProof/>
                <w:webHidden/>
              </w:rPr>
              <w:tab/>
            </w:r>
            <w:r w:rsidR="00743CB3">
              <w:rPr>
                <w:noProof/>
                <w:webHidden/>
              </w:rPr>
              <w:fldChar w:fldCharType="begin"/>
            </w:r>
            <w:r w:rsidR="00743CB3">
              <w:rPr>
                <w:noProof/>
                <w:webHidden/>
              </w:rPr>
              <w:instrText xml:space="preserve"> PAGEREF _Toc12348793 \h </w:instrText>
            </w:r>
            <w:r w:rsidR="00743CB3">
              <w:rPr>
                <w:noProof/>
                <w:webHidden/>
              </w:rPr>
            </w:r>
            <w:r w:rsidR="00743CB3">
              <w:rPr>
                <w:noProof/>
                <w:webHidden/>
              </w:rPr>
              <w:fldChar w:fldCharType="separate"/>
            </w:r>
            <w:r w:rsidR="00743CB3">
              <w:rPr>
                <w:noProof/>
                <w:webHidden/>
              </w:rPr>
              <w:t>53</w:t>
            </w:r>
            <w:r w:rsidR="00743CB3">
              <w:rPr>
                <w:noProof/>
                <w:webHidden/>
              </w:rPr>
              <w:fldChar w:fldCharType="end"/>
            </w:r>
          </w:hyperlink>
        </w:p>
        <w:p w14:paraId="77B31561" w14:textId="77777777" w:rsidR="00743CB3" w:rsidRDefault="009F66E1">
          <w:pPr>
            <w:pStyle w:val="TOC2"/>
            <w:rPr>
              <w:rFonts w:asciiTheme="minorHAnsi" w:eastAsiaTheme="minorEastAsia" w:hAnsiTheme="minorHAnsi" w:cstheme="minorBidi"/>
              <w:b w:val="0"/>
              <w:noProof/>
              <w:sz w:val="22"/>
              <w:lang w:eastAsia="en-AU"/>
            </w:rPr>
          </w:pPr>
          <w:hyperlink w:anchor="_Toc12348794" w:history="1">
            <w:r w:rsidR="00743CB3" w:rsidRPr="00D279F2">
              <w:rPr>
                <w:rStyle w:val="Hyperlink"/>
                <w:noProof/>
              </w:rPr>
              <w:t>VI. Pharmacovigilance findings</w:t>
            </w:r>
            <w:r w:rsidR="00743CB3">
              <w:rPr>
                <w:noProof/>
                <w:webHidden/>
              </w:rPr>
              <w:tab/>
            </w:r>
            <w:r w:rsidR="00743CB3">
              <w:rPr>
                <w:noProof/>
                <w:webHidden/>
              </w:rPr>
              <w:fldChar w:fldCharType="begin"/>
            </w:r>
            <w:r w:rsidR="00743CB3">
              <w:rPr>
                <w:noProof/>
                <w:webHidden/>
              </w:rPr>
              <w:instrText xml:space="preserve"> PAGEREF _Toc12348794 \h </w:instrText>
            </w:r>
            <w:r w:rsidR="00743CB3">
              <w:rPr>
                <w:noProof/>
                <w:webHidden/>
              </w:rPr>
            </w:r>
            <w:r w:rsidR="00743CB3">
              <w:rPr>
                <w:noProof/>
                <w:webHidden/>
              </w:rPr>
              <w:fldChar w:fldCharType="separate"/>
            </w:r>
            <w:r w:rsidR="00743CB3">
              <w:rPr>
                <w:noProof/>
                <w:webHidden/>
              </w:rPr>
              <w:t>53</w:t>
            </w:r>
            <w:r w:rsidR="00743CB3">
              <w:rPr>
                <w:noProof/>
                <w:webHidden/>
              </w:rPr>
              <w:fldChar w:fldCharType="end"/>
            </w:r>
          </w:hyperlink>
        </w:p>
        <w:p w14:paraId="2C482473" w14:textId="77777777" w:rsidR="00743CB3" w:rsidRDefault="009F66E1">
          <w:pPr>
            <w:pStyle w:val="TOC3"/>
            <w:rPr>
              <w:rFonts w:asciiTheme="minorHAnsi" w:eastAsiaTheme="minorEastAsia" w:hAnsiTheme="minorHAnsi" w:cstheme="minorBidi"/>
              <w:noProof/>
              <w:lang w:eastAsia="en-AU"/>
            </w:rPr>
          </w:pPr>
          <w:hyperlink w:anchor="_Toc12348795" w:history="1">
            <w:r w:rsidR="00743CB3" w:rsidRPr="00D279F2">
              <w:rPr>
                <w:rStyle w:val="Hyperlink"/>
                <w:noProof/>
                <w:lang w:eastAsia="en-AU"/>
              </w:rPr>
              <w:t>Risk management plan</w:t>
            </w:r>
            <w:r w:rsidR="00743CB3">
              <w:rPr>
                <w:noProof/>
                <w:webHidden/>
              </w:rPr>
              <w:tab/>
            </w:r>
            <w:r w:rsidR="00743CB3">
              <w:rPr>
                <w:noProof/>
                <w:webHidden/>
              </w:rPr>
              <w:fldChar w:fldCharType="begin"/>
            </w:r>
            <w:r w:rsidR="00743CB3">
              <w:rPr>
                <w:noProof/>
                <w:webHidden/>
              </w:rPr>
              <w:instrText xml:space="preserve"> PAGEREF _Toc12348795 \h </w:instrText>
            </w:r>
            <w:r w:rsidR="00743CB3">
              <w:rPr>
                <w:noProof/>
                <w:webHidden/>
              </w:rPr>
            </w:r>
            <w:r w:rsidR="00743CB3">
              <w:rPr>
                <w:noProof/>
                <w:webHidden/>
              </w:rPr>
              <w:fldChar w:fldCharType="separate"/>
            </w:r>
            <w:r w:rsidR="00743CB3">
              <w:rPr>
                <w:noProof/>
                <w:webHidden/>
              </w:rPr>
              <w:t>53</w:t>
            </w:r>
            <w:r w:rsidR="00743CB3">
              <w:rPr>
                <w:noProof/>
                <w:webHidden/>
              </w:rPr>
              <w:fldChar w:fldCharType="end"/>
            </w:r>
          </w:hyperlink>
        </w:p>
        <w:p w14:paraId="66AB0D24" w14:textId="77777777" w:rsidR="00743CB3" w:rsidRDefault="009F66E1">
          <w:pPr>
            <w:pStyle w:val="TOC2"/>
            <w:rPr>
              <w:rFonts w:asciiTheme="minorHAnsi" w:eastAsiaTheme="minorEastAsia" w:hAnsiTheme="minorHAnsi" w:cstheme="minorBidi"/>
              <w:b w:val="0"/>
              <w:noProof/>
              <w:sz w:val="22"/>
              <w:lang w:eastAsia="en-AU"/>
            </w:rPr>
          </w:pPr>
          <w:hyperlink w:anchor="_Toc12348796" w:history="1">
            <w:r w:rsidR="00743CB3" w:rsidRPr="00D279F2">
              <w:rPr>
                <w:rStyle w:val="Hyperlink"/>
                <w:noProof/>
              </w:rPr>
              <w:t>VII. Overall conclusion and risk/benefit assessment</w:t>
            </w:r>
            <w:r w:rsidR="00743CB3">
              <w:rPr>
                <w:noProof/>
                <w:webHidden/>
              </w:rPr>
              <w:tab/>
            </w:r>
            <w:r w:rsidR="00743CB3">
              <w:rPr>
                <w:noProof/>
                <w:webHidden/>
              </w:rPr>
              <w:fldChar w:fldCharType="begin"/>
            </w:r>
            <w:r w:rsidR="00743CB3">
              <w:rPr>
                <w:noProof/>
                <w:webHidden/>
              </w:rPr>
              <w:instrText xml:space="preserve"> PAGEREF _Toc12348796 \h </w:instrText>
            </w:r>
            <w:r w:rsidR="00743CB3">
              <w:rPr>
                <w:noProof/>
                <w:webHidden/>
              </w:rPr>
            </w:r>
            <w:r w:rsidR="00743CB3">
              <w:rPr>
                <w:noProof/>
                <w:webHidden/>
              </w:rPr>
              <w:fldChar w:fldCharType="separate"/>
            </w:r>
            <w:r w:rsidR="00743CB3">
              <w:rPr>
                <w:noProof/>
                <w:webHidden/>
              </w:rPr>
              <w:t>56</w:t>
            </w:r>
            <w:r w:rsidR="00743CB3">
              <w:rPr>
                <w:noProof/>
                <w:webHidden/>
              </w:rPr>
              <w:fldChar w:fldCharType="end"/>
            </w:r>
          </w:hyperlink>
        </w:p>
        <w:p w14:paraId="4B241537" w14:textId="77777777" w:rsidR="00743CB3" w:rsidRDefault="009F66E1">
          <w:pPr>
            <w:pStyle w:val="TOC3"/>
            <w:rPr>
              <w:rFonts w:asciiTheme="minorHAnsi" w:eastAsiaTheme="minorEastAsia" w:hAnsiTheme="minorHAnsi" w:cstheme="minorBidi"/>
              <w:noProof/>
              <w:lang w:eastAsia="en-AU"/>
            </w:rPr>
          </w:pPr>
          <w:hyperlink w:anchor="_Toc12348797" w:history="1">
            <w:r w:rsidR="00743CB3" w:rsidRPr="00D279F2">
              <w:rPr>
                <w:rStyle w:val="Hyperlink"/>
                <w:noProof/>
              </w:rPr>
              <w:t>Quality</w:t>
            </w:r>
            <w:r w:rsidR="00743CB3">
              <w:rPr>
                <w:noProof/>
                <w:webHidden/>
              </w:rPr>
              <w:tab/>
            </w:r>
            <w:r w:rsidR="00743CB3">
              <w:rPr>
                <w:noProof/>
                <w:webHidden/>
              </w:rPr>
              <w:fldChar w:fldCharType="begin"/>
            </w:r>
            <w:r w:rsidR="00743CB3">
              <w:rPr>
                <w:noProof/>
                <w:webHidden/>
              </w:rPr>
              <w:instrText xml:space="preserve"> PAGEREF _Toc12348797 \h </w:instrText>
            </w:r>
            <w:r w:rsidR="00743CB3">
              <w:rPr>
                <w:noProof/>
                <w:webHidden/>
              </w:rPr>
            </w:r>
            <w:r w:rsidR="00743CB3">
              <w:rPr>
                <w:noProof/>
                <w:webHidden/>
              </w:rPr>
              <w:fldChar w:fldCharType="separate"/>
            </w:r>
            <w:r w:rsidR="00743CB3">
              <w:rPr>
                <w:noProof/>
                <w:webHidden/>
              </w:rPr>
              <w:t>56</w:t>
            </w:r>
            <w:r w:rsidR="00743CB3">
              <w:rPr>
                <w:noProof/>
                <w:webHidden/>
              </w:rPr>
              <w:fldChar w:fldCharType="end"/>
            </w:r>
          </w:hyperlink>
        </w:p>
        <w:p w14:paraId="424EB17A" w14:textId="77777777" w:rsidR="00743CB3" w:rsidRDefault="009F66E1">
          <w:pPr>
            <w:pStyle w:val="TOC3"/>
            <w:rPr>
              <w:rFonts w:asciiTheme="minorHAnsi" w:eastAsiaTheme="minorEastAsia" w:hAnsiTheme="minorHAnsi" w:cstheme="minorBidi"/>
              <w:noProof/>
              <w:lang w:eastAsia="en-AU"/>
            </w:rPr>
          </w:pPr>
          <w:hyperlink w:anchor="_Toc12348798" w:history="1">
            <w:r w:rsidR="00743CB3" w:rsidRPr="00D279F2">
              <w:rPr>
                <w:rStyle w:val="Hyperlink"/>
                <w:noProof/>
              </w:rPr>
              <w:t>Nonclinical</w:t>
            </w:r>
            <w:r w:rsidR="00743CB3">
              <w:rPr>
                <w:noProof/>
                <w:webHidden/>
              </w:rPr>
              <w:tab/>
            </w:r>
            <w:r w:rsidR="00743CB3">
              <w:rPr>
                <w:noProof/>
                <w:webHidden/>
              </w:rPr>
              <w:fldChar w:fldCharType="begin"/>
            </w:r>
            <w:r w:rsidR="00743CB3">
              <w:rPr>
                <w:noProof/>
                <w:webHidden/>
              </w:rPr>
              <w:instrText xml:space="preserve"> PAGEREF _Toc12348798 \h </w:instrText>
            </w:r>
            <w:r w:rsidR="00743CB3">
              <w:rPr>
                <w:noProof/>
                <w:webHidden/>
              </w:rPr>
            </w:r>
            <w:r w:rsidR="00743CB3">
              <w:rPr>
                <w:noProof/>
                <w:webHidden/>
              </w:rPr>
              <w:fldChar w:fldCharType="separate"/>
            </w:r>
            <w:r w:rsidR="00743CB3">
              <w:rPr>
                <w:noProof/>
                <w:webHidden/>
              </w:rPr>
              <w:t>56</w:t>
            </w:r>
            <w:r w:rsidR="00743CB3">
              <w:rPr>
                <w:noProof/>
                <w:webHidden/>
              </w:rPr>
              <w:fldChar w:fldCharType="end"/>
            </w:r>
          </w:hyperlink>
        </w:p>
        <w:p w14:paraId="5FFB6EA2" w14:textId="77777777" w:rsidR="00743CB3" w:rsidRDefault="009F66E1">
          <w:pPr>
            <w:pStyle w:val="TOC3"/>
            <w:rPr>
              <w:rFonts w:asciiTheme="minorHAnsi" w:eastAsiaTheme="minorEastAsia" w:hAnsiTheme="minorHAnsi" w:cstheme="minorBidi"/>
              <w:noProof/>
              <w:lang w:eastAsia="en-AU"/>
            </w:rPr>
          </w:pPr>
          <w:hyperlink w:anchor="_Toc12348799" w:history="1">
            <w:r w:rsidR="00743CB3" w:rsidRPr="00D279F2">
              <w:rPr>
                <w:rStyle w:val="Hyperlink"/>
                <w:noProof/>
              </w:rPr>
              <w:t>Clinical</w:t>
            </w:r>
            <w:r w:rsidR="00743CB3">
              <w:rPr>
                <w:noProof/>
                <w:webHidden/>
              </w:rPr>
              <w:tab/>
            </w:r>
            <w:r w:rsidR="00743CB3">
              <w:rPr>
                <w:noProof/>
                <w:webHidden/>
              </w:rPr>
              <w:fldChar w:fldCharType="begin"/>
            </w:r>
            <w:r w:rsidR="00743CB3">
              <w:rPr>
                <w:noProof/>
                <w:webHidden/>
              </w:rPr>
              <w:instrText xml:space="preserve"> PAGEREF _Toc12348799 \h </w:instrText>
            </w:r>
            <w:r w:rsidR="00743CB3">
              <w:rPr>
                <w:noProof/>
                <w:webHidden/>
              </w:rPr>
            </w:r>
            <w:r w:rsidR="00743CB3">
              <w:rPr>
                <w:noProof/>
                <w:webHidden/>
              </w:rPr>
              <w:fldChar w:fldCharType="separate"/>
            </w:r>
            <w:r w:rsidR="00743CB3">
              <w:rPr>
                <w:noProof/>
                <w:webHidden/>
              </w:rPr>
              <w:t>57</w:t>
            </w:r>
            <w:r w:rsidR="00743CB3">
              <w:rPr>
                <w:noProof/>
                <w:webHidden/>
              </w:rPr>
              <w:fldChar w:fldCharType="end"/>
            </w:r>
          </w:hyperlink>
        </w:p>
        <w:p w14:paraId="4BD02A79" w14:textId="77777777" w:rsidR="00743CB3" w:rsidRDefault="009F66E1">
          <w:pPr>
            <w:pStyle w:val="TOC3"/>
            <w:rPr>
              <w:rFonts w:asciiTheme="minorHAnsi" w:eastAsiaTheme="minorEastAsia" w:hAnsiTheme="minorHAnsi" w:cstheme="minorBidi"/>
              <w:noProof/>
              <w:lang w:eastAsia="en-AU"/>
            </w:rPr>
          </w:pPr>
          <w:hyperlink w:anchor="_Toc12348800" w:history="1">
            <w:r w:rsidR="00743CB3" w:rsidRPr="00D279F2">
              <w:rPr>
                <w:rStyle w:val="Hyperlink"/>
                <w:noProof/>
                <w:lang w:eastAsia="en-AU"/>
              </w:rPr>
              <w:t>Risk management plan</w:t>
            </w:r>
            <w:r w:rsidR="00743CB3">
              <w:rPr>
                <w:noProof/>
                <w:webHidden/>
              </w:rPr>
              <w:tab/>
            </w:r>
            <w:r w:rsidR="00743CB3">
              <w:rPr>
                <w:noProof/>
                <w:webHidden/>
              </w:rPr>
              <w:fldChar w:fldCharType="begin"/>
            </w:r>
            <w:r w:rsidR="00743CB3">
              <w:rPr>
                <w:noProof/>
                <w:webHidden/>
              </w:rPr>
              <w:instrText xml:space="preserve"> PAGEREF _Toc12348800 \h </w:instrText>
            </w:r>
            <w:r w:rsidR="00743CB3">
              <w:rPr>
                <w:noProof/>
                <w:webHidden/>
              </w:rPr>
            </w:r>
            <w:r w:rsidR="00743CB3">
              <w:rPr>
                <w:noProof/>
                <w:webHidden/>
              </w:rPr>
              <w:fldChar w:fldCharType="separate"/>
            </w:r>
            <w:r w:rsidR="00743CB3">
              <w:rPr>
                <w:noProof/>
                <w:webHidden/>
              </w:rPr>
              <w:t>73</w:t>
            </w:r>
            <w:r w:rsidR="00743CB3">
              <w:rPr>
                <w:noProof/>
                <w:webHidden/>
              </w:rPr>
              <w:fldChar w:fldCharType="end"/>
            </w:r>
          </w:hyperlink>
        </w:p>
        <w:p w14:paraId="0BFA33D6" w14:textId="77777777" w:rsidR="00743CB3" w:rsidRDefault="009F66E1">
          <w:pPr>
            <w:pStyle w:val="TOC3"/>
            <w:rPr>
              <w:rFonts w:asciiTheme="minorHAnsi" w:eastAsiaTheme="minorEastAsia" w:hAnsiTheme="minorHAnsi" w:cstheme="minorBidi"/>
              <w:noProof/>
              <w:lang w:eastAsia="en-AU"/>
            </w:rPr>
          </w:pPr>
          <w:hyperlink w:anchor="_Toc12348801" w:history="1">
            <w:r w:rsidR="00743CB3" w:rsidRPr="00D279F2">
              <w:rPr>
                <w:rStyle w:val="Hyperlink"/>
                <w:noProof/>
              </w:rPr>
              <w:t>Risk-benefit analysis</w:t>
            </w:r>
            <w:r w:rsidR="00743CB3">
              <w:rPr>
                <w:noProof/>
                <w:webHidden/>
              </w:rPr>
              <w:tab/>
            </w:r>
            <w:r w:rsidR="00743CB3">
              <w:rPr>
                <w:noProof/>
                <w:webHidden/>
              </w:rPr>
              <w:fldChar w:fldCharType="begin"/>
            </w:r>
            <w:r w:rsidR="00743CB3">
              <w:rPr>
                <w:noProof/>
                <w:webHidden/>
              </w:rPr>
              <w:instrText xml:space="preserve"> PAGEREF _Toc12348801 \h </w:instrText>
            </w:r>
            <w:r w:rsidR="00743CB3">
              <w:rPr>
                <w:noProof/>
                <w:webHidden/>
              </w:rPr>
            </w:r>
            <w:r w:rsidR="00743CB3">
              <w:rPr>
                <w:noProof/>
                <w:webHidden/>
              </w:rPr>
              <w:fldChar w:fldCharType="separate"/>
            </w:r>
            <w:r w:rsidR="00743CB3">
              <w:rPr>
                <w:noProof/>
                <w:webHidden/>
              </w:rPr>
              <w:t>73</w:t>
            </w:r>
            <w:r w:rsidR="00743CB3">
              <w:rPr>
                <w:noProof/>
                <w:webHidden/>
              </w:rPr>
              <w:fldChar w:fldCharType="end"/>
            </w:r>
          </w:hyperlink>
        </w:p>
        <w:p w14:paraId="18A33DFC" w14:textId="77777777" w:rsidR="00743CB3" w:rsidRDefault="009F66E1">
          <w:pPr>
            <w:pStyle w:val="TOC3"/>
            <w:rPr>
              <w:rFonts w:asciiTheme="minorHAnsi" w:eastAsiaTheme="minorEastAsia" w:hAnsiTheme="minorHAnsi" w:cstheme="minorBidi"/>
              <w:noProof/>
              <w:lang w:eastAsia="en-AU"/>
            </w:rPr>
          </w:pPr>
          <w:hyperlink w:anchor="_Toc12348802" w:history="1">
            <w:r w:rsidR="00743CB3" w:rsidRPr="00D279F2">
              <w:rPr>
                <w:rStyle w:val="Hyperlink"/>
                <w:noProof/>
              </w:rPr>
              <w:t>Outcome</w:t>
            </w:r>
            <w:r w:rsidR="00743CB3">
              <w:rPr>
                <w:noProof/>
                <w:webHidden/>
              </w:rPr>
              <w:tab/>
            </w:r>
            <w:r w:rsidR="00743CB3">
              <w:rPr>
                <w:noProof/>
                <w:webHidden/>
              </w:rPr>
              <w:fldChar w:fldCharType="begin"/>
            </w:r>
            <w:r w:rsidR="00743CB3">
              <w:rPr>
                <w:noProof/>
                <w:webHidden/>
              </w:rPr>
              <w:instrText xml:space="preserve"> PAGEREF _Toc12348802 \h </w:instrText>
            </w:r>
            <w:r w:rsidR="00743CB3">
              <w:rPr>
                <w:noProof/>
                <w:webHidden/>
              </w:rPr>
            </w:r>
            <w:r w:rsidR="00743CB3">
              <w:rPr>
                <w:noProof/>
                <w:webHidden/>
              </w:rPr>
              <w:fldChar w:fldCharType="separate"/>
            </w:r>
            <w:r w:rsidR="00743CB3">
              <w:rPr>
                <w:noProof/>
                <w:webHidden/>
              </w:rPr>
              <w:t>79</w:t>
            </w:r>
            <w:r w:rsidR="00743CB3">
              <w:rPr>
                <w:noProof/>
                <w:webHidden/>
              </w:rPr>
              <w:fldChar w:fldCharType="end"/>
            </w:r>
          </w:hyperlink>
        </w:p>
        <w:p w14:paraId="498DAA96" w14:textId="77777777" w:rsidR="00743CB3" w:rsidRDefault="009F66E1">
          <w:pPr>
            <w:pStyle w:val="TOC2"/>
            <w:rPr>
              <w:rFonts w:asciiTheme="minorHAnsi" w:eastAsiaTheme="minorEastAsia" w:hAnsiTheme="minorHAnsi" w:cstheme="minorBidi"/>
              <w:b w:val="0"/>
              <w:noProof/>
              <w:sz w:val="22"/>
              <w:lang w:eastAsia="en-AU"/>
            </w:rPr>
          </w:pPr>
          <w:hyperlink w:anchor="_Toc12348803" w:history="1">
            <w:r w:rsidR="00743CB3" w:rsidRPr="00D279F2">
              <w:rPr>
                <w:rStyle w:val="Hyperlink"/>
                <w:noProof/>
              </w:rPr>
              <w:t>Attachment 1. Product Information</w:t>
            </w:r>
            <w:r w:rsidR="00743CB3">
              <w:rPr>
                <w:noProof/>
                <w:webHidden/>
              </w:rPr>
              <w:tab/>
            </w:r>
            <w:r w:rsidR="00743CB3">
              <w:rPr>
                <w:noProof/>
                <w:webHidden/>
              </w:rPr>
              <w:fldChar w:fldCharType="begin"/>
            </w:r>
            <w:r w:rsidR="00743CB3">
              <w:rPr>
                <w:noProof/>
                <w:webHidden/>
              </w:rPr>
              <w:instrText xml:space="preserve"> PAGEREF _Toc12348803 \h </w:instrText>
            </w:r>
            <w:r w:rsidR="00743CB3">
              <w:rPr>
                <w:noProof/>
                <w:webHidden/>
              </w:rPr>
            </w:r>
            <w:r w:rsidR="00743CB3">
              <w:rPr>
                <w:noProof/>
                <w:webHidden/>
              </w:rPr>
              <w:fldChar w:fldCharType="separate"/>
            </w:r>
            <w:r w:rsidR="00743CB3">
              <w:rPr>
                <w:noProof/>
                <w:webHidden/>
              </w:rPr>
              <w:t>79</w:t>
            </w:r>
            <w:r w:rsidR="00743CB3">
              <w:rPr>
                <w:noProof/>
                <w:webHidden/>
              </w:rPr>
              <w:fldChar w:fldCharType="end"/>
            </w:r>
          </w:hyperlink>
        </w:p>
        <w:p w14:paraId="5AD6259E" w14:textId="77777777" w:rsidR="00743CB3" w:rsidRDefault="009F66E1">
          <w:pPr>
            <w:pStyle w:val="TOC2"/>
            <w:rPr>
              <w:rFonts w:asciiTheme="minorHAnsi" w:eastAsiaTheme="minorEastAsia" w:hAnsiTheme="minorHAnsi" w:cstheme="minorBidi"/>
              <w:b w:val="0"/>
              <w:noProof/>
              <w:sz w:val="22"/>
              <w:lang w:eastAsia="en-AU"/>
            </w:rPr>
          </w:pPr>
          <w:hyperlink w:anchor="_Toc12348804" w:history="1">
            <w:r w:rsidR="00743CB3" w:rsidRPr="00D279F2">
              <w:rPr>
                <w:rStyle w:val="Hyperlink"/>
                <w:noProof/>
                <w:lang w:eastAsia="en-AU"/>
              </w:rPr>
              <w:t>Attachment 2. Extract from the Clinical Evaluation Report</w:t>
            </w:r>
            <w:r w:rsidR="00743CB3">
              <w:rPr>
                <w:noProof/>
                <w:webHidden/>
              </w:rPr>
              <w:tab/>
            </w:r>
            <w:r w:rsidR="00743CB3">
              <w:rPr>
                <w:noProof/>
                <w:webHidden/>
              </w:rPr>
              <w:fldChar w:fldCharType="begin"/>
            </w:r>
            <w:r w:rsidR="00743CB3">
              <w:rPr>
                <w:noProof/>
                <w:webHidden/>
              </w:rPr>
              <w:instrText xml:space="preserve"> PAGEREF _Toc12348804 \h </w:instrText>
            </w:r>
            <w:r w:rsidR="00743CB3">
              <w:rPr>
                <w:noProof/>
                <w:webHidden/>
              </w:rPr>
            </w:r>
            <w:r w:rsidR="00743CB3">
              <w:rPr>
                <w:noProof/>
                <w:webHidden/>
              </w:rPr>
              <w:fldChar w:fldCharType="separate"/>
            </w:r>
            <w:r w:rsidR="00743CB3">
              <w:rPr>
                <w:noProof/>
                <w:webHidden/>
              </w:rPr>
              <w:t>79</w:t>
            </w:r>
            <w:r w:rsidR="00743CB3">
              <w:rPr>
                <w:noProof/>
                <w:webHidden/>
              </w:rPr>
              <w:fldChar w:fldCharType="end"/>
            </w:r>
          </w:hyperlink>
        </w:p>
        <w:p w14:paraId="64D759A1" w14:textId="77777777" w:rsidR="003A7F6C" w:rsidRPr="00B811C6" w:rsidRDefault="00DB6124" w:rsidP="00B811C6">
          <w:pPr>
            <w:pStyle w:val="TOC2"/>
          </w:pPr>
          <w:r>
            <w:fldChar w:fldCharType="end"/>
          </w:r>
        </w:p>
      </w:sdtContent>
    </w:sdt>
    <w:bookmarkStart w:id="3" w:name="_Toc314842482" w:displacedByCustomXml="prev"/>
    <w:p w14:paraId="349658D8" w14:textId="77777777" w:rsidR="00FD119B" w:rsidRDefault="00FD119B">
      <w:pPr>
        <w:spacing w:before="0" w:after="200" w:line="0" w:lineRule="auto"/>
      </w:pPr>
      <w:r>
        <w:br w:type="page"/>
      </w:r>
    </w:p>
    <w:p w14:paraId="06DB2AC4"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1234876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367"/>
        <w:gridCol w:w="6353"/>
      </w:tblGrid>
      <w:tr w:rsidR="0025068B" w14:paraId="0DD99104" w14:textId="77777777" w:rsidTr="000B512D">
        <w:trPr>
          <w:cnfStyle w:val="100000000000" w:firstRow="1" w:lastRow="0" w:firstColumn="0" w:lastColumn="0" w:oddVBand="0" w:evenVBand="0" w:oddHBand="0" w:evenHBand="0" w:firstRowFirstColumn="0" w:firstRowLastColumn="0" w:lastRowFirstColumn="0" w:lastRowLastColumn="0"/>
        </w:trPr>
        <w:tc>
          <w:tcPr>
            <w:tcW w:w="2376" w:type="dxa"/>
            <w:hideMark/>
          </w:tcPr>
          <w:p w14:paraId="2A91C2DC" w14:textId="77777777" w:rsidR="0025068B" w:rsidRDefault="0025068B" w:rsidP="000B512D">
            <w:r>
              <w:t>Abbreviation</w:t>
            </w:r>
          </w:p>
        </w:tc>
        <w:tc>
          <w:tcPr>
            <w:tcW w:w="6425" w:type="dxa"/>
            <w:hideMark/>
          </w:tcPr>
          <w:p w14:paraId="34ED476B" w14:textId="77777777" w:rsidR="0025068B" w:rsidRDefault="0025068B" w:rsidP="000B512D">
            <w:r>
              <w:t>Meaning</w:t>
            </w:r>
          </w:p>
        </w:tc>
      </w:tr>
      <w:tr w:rsidR="0025068B" w14:paraId="70F9D27E"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D0251" w14:textId="77777777" w:rsidR="0025068B" w:rsidRDefault="0025068B" w:rsidP="000B512D">
            <w:pPr>
              <w:spacing w:line="240" w:lineRule="auto"/>
            </w:pPr>
            <w:r w:rsidRPr="007A237F">
              <w:t>ACR</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6EE2A7" w14:textId="77777777" w:rsidR="0025068B" w:rsidRDefault="0025068B" w:rsidP="000B512D">
            <w:pPr>
              <w:spacing w:line="240" w:lineRule="auto"/>
            </w:pPr>
            <w:r w:rsidRPr="009D4936">
              <w:t>Adequate Clinical Response</w:t>
            </w:r>
          </w:p>
        </w:tc>
      </w:tr>
      <w:tr w:rsidR="0025068B" w14:paraId="06BB63DE"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D23F6" w14:textId="77777777" w:rsidR="0025068B" w:rsidRDefault="0025068B" w:rsidP="000B512D">
            <w:pPr>
              <w:spacing w:line="240" w:lineRule="auto"/>
            </w:pPr>
            <w:r w:rsidRPr="007A237F">
              <w:t>ADF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295556" w14:textId="77777777" w:rsidR="0025068B" w:rsidRDefault="0025068B" w:rsidP="000B512D">
            <w:pPr>
              <w:spacing w:line="240" w:lineRule="auto"/>
            </w:pPr>
            <w:r w:rsidRPr="009D4936">
              <w:t>Australian defence force</w:t>
            </w:r>
          </w:p>
        </w:tc>
      </w:tr>
      <w:tr w:rsidR="0025068B" w14:paraId="537968BF"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2E1CA" w14:textId="77777777" w:rsidR="0025068B" w:rsidRDefault="0025068B" w:rsidP="000B512D">
            <w:pPr>
              <w:spacing w:line="240" w:lineRule="auto"/>
            </w:pPr>
            <w:r w:rsidRPr="007A237F">
              <w:t>AE</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CDE4F" w14:textId="77777777" w:rsidR="0025068B" w:rsidRDefault="0025068B" w:rsidP="000B512D">
            <w:pPr>
              <w:spacing w:line="240" w:lineRule="auto"/>
            </w:pPr>
            <w:r w:rsidRPr="009D4936">
              <w:t>Adverse event</w:t>
            </w:r>
          </w:p>
        </w:tc>
      </w:tr>
      <w:tr w:rsidR="0025068B" w14:paraId="3055DD92"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43E60" w14:textId="77777777" w:rsidR="0025068B" w:rsidRDefault="0025068B" w:rsidP="000B512D">
            <w:pPr>
              <w:spacing w:line="240" w:lineRule="auto"/>
            </w:pPr>
            <w:r w:rsidRPr="007A237F">
              <w:t>B</w:t>
            </w:r>
            <w:r>
              <w:t>MI</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9E4A8" w14:textId="77777777" w:rsidR="0025068B" w:rsidRDefault="0025068B" w:rsidP="000B512D">
            <w:pPr>
              <w:spacing w:line="240" w:lineRule="auto"/>
            </w:pPr>
            <w:r>
              <w:t>Body mass index</w:t>
            </w:r>
          </w:p>
        </w:tc>
      </w:tr>
      <w:tr w:rsidR="0025068B" w14:paraId="2B610142"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1EA07" w14:textId="77777777" w:rsidR="0025068B" w:rsidRDefault="0025068B" w:rsidP="000B512D">
            <w:pPr>
              <w:spacing w:line="240" w:lineRule="auto"/>
            </w:pPr>
            <w:r w:rsidRPr="007A237F">
              <w:t>CI</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BED07" w14:textId="77777777" w:rsidR="0025068B" w:rsidRDefault="0025068B" w:rsidP="000B512D">
            <w:pPr>
              <w:spacing w:line="240" w:lineRule="auto"/>
            </w:pPr>
            <w:r w:rsidRPr="009D4936">
              <w:t>Confidence intervals</w:t>
            </w:r>
          </w:p>
        </w:tc>
      </w:tr>
      <w:tr w:rsidR="0025068B" w14:paraId="5ED09D95"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A010A" w14:textId="77777777" w:rsidR="0025068B" w:rsidRDefault="0025068B" w:rsidP="000B512D">
            <w:pPr>
              <w:spacing w:line="240" w:lineRule="auto"/>
            </w:pPr>
            <w:r w:rsidRPr="007A237F">
              <w:t>CL/F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86C216" w14:textId="77777777" w:rsidR="0025068B" w:rsidRDefault="0025068B" w:rsidP="000B512D">
            <w:pPr>
              <w:spacing w:line="240" w:lineRule="auto"/>
            </w:pPr>
            <w:r w:rsidRPr="009D4936">
              <w:rPr>
                <w:rFonts w:ascii="Times New Roman" w:eastAsia="Times New Roman" w:hAnsi="Times New Roman"/>
              </w:rPr>
              <w:t>Total clearance of the drug from plasma after oral administration</w:t>
            </w:r>
          </w:p>
        </w:tc>
      </w:tr>
      <w:tr w:rsidR="0025068B" w14:paraId="02BC5CAE"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A43EF" w14:textId="77777777" w:rsidR="0025068B" w:rsidRDefault="0025068B" w:rsidP="000B512D">
            <w:pPr>
              <w:spacing w:line="240" w:lineRule="auto"/>
            </w:pPr>
            <w:r w:rsidRPr="007A237F">
              <w:t>CRU</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CE364" w14:textId="77777777" w:rsidR="0025068B" w:rsidRDefault="0025068B" w:rsidP="000B512D">
            <w:pPr>
              <w:spacing w:line="240" w:lineRule="auto"/>
            </w:pPr>
            <w:r w:rsidRPr="009D4936">
              <w:t>Clinical research unit</w:t>
            </w:r>
          </w:p>
        </w:tc>
      </w:tr>
      <w:tr w:rsidR="0025068B" w14:paraId="494A466A"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C4187" w14:textId="77777777" w:rsidR="0025068B" w:rsidRPr="007A237F" w:rsidRDefault="0025068B" w:rsidP="000B512D">
            <w:pPr>
              <w:spacing w:line="240" w:lineRule="auto"/>
            </w:pPr>
            <w:r>
              <w:t>ED</w:t>
            </w:r>
            <w:r w:rsidRPr="0029173B">
              <w:rPr>
                <w:vertAlign w:val="subscript"/>
              </w:rPr>
              <w:t>50</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AA8202" w14:textId="77777777" w:rsidR="0025068B" w:rsidRPr="009D4936" w:rsidRDefault="0025068B" w:rsidP="000B512D">
            <w:pPr>
              <w:spacing w:line="240" w:lineRule="auto"/>
            </w:pPr>
            <w:r>
              <w:t>50% effective dose</w:t>
            </w:r>
          </w:p>
        </w:tc>
      </w:tr>
      <w:tr w:rsidR="0025068B" w14:paraId="448C0FAB"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C397C" w14:textId="77777777" w:rsidR="0025068B" w:rsidRDefault="0025068B" w:rsidP="000B512D">
            <w:pPr>
              <w:spacing w:line="240" w:lineRule="auto"/>
            </w:pPr>
            <w:r w:rsidRPr="007A237F">
              <w:t>EOS</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60FE1" w14:textId="77777777" w:rsidR="0025068B" w:rsidRDefault="0025068B" w:rsidP="000B512D">
            <w:pPr>
              <w:spacing w:line="240" w:lineRule="auto"/>
            </w:pPr>
            <w:r w:rsidRPr="009D4936">
              <w:t>End of study</w:t>
            </w:r>
          </w:p>
        </w:tc>
      </w:tr>
      <w:tr w:rsidR="0025068B" w14:paraId="2E975080"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41E04C" w14:textId="77777777" w:rsidR="0025068B" w:rsidRDefault="0025068B" w:rsidP="000B512D">
            <w:pPr>
              <w:spacing w:line="240" w:lineRule="auto"/>
            </w:pPr>
            <w:r w:rsidRPr="007A237F">
              <w:t>ETF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46A0E6" w14:textId="77777777" w:rsidR="0025068B" w:rsidRDefault="0025068B" w:rsidP="000B512D">
            <w:pPr>
              <w:spacing w:line="240" w:lineRule="auto"/>
            </w:pPr>
            <w:r w:rsidRPr="009D4936">
              <w:t>End of therapy failure</w:t>
            </w:r>
          </w:p>
        </w:tc>
      </w:tr>
      <w:tr w:rsidR="0025068B" w14:paraId="1A1AD190"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F81A22" w14:textId="77777777" w:rsidR="0025068B" w:rsidRDefault="0025068B" w:rsidP="000B512D">
            <w:pPr>
              <w:spacing w:line="240" w:lineRule="auto"/>
            </w:pPr>
            <w:r w:rsidRPr="007A237F">
              <w:t>FCT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0F902D" w14:textId="77777777" w:rsidR="0025068B" w:rsidRDefault="0025068B" w:rsidP="000B512D">
            <w:pPr>
              <w:spacing w:line="240" w:lineRule="auto"/>
            </w:pPr>
            <w:r w:rsidRPr="009D4936">
              <w:t>Fever Clearance Time</w:t>
            </w:r>
          </w:p>
        </w:tc>
      </w:tr>
      <w:tr w:rsidR="0025068B" w14:paraId="19A2A74E"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6322B" w14:textId="77777777" w:rsidR="0025068B" w:rsidRPr="007A237F" w:rsidRDefault="0025068B" w:rsidP="000B512D">
            <w:pPr>
              <w:spacing w:line="240" w:lineRule="auto"/>
            </w:pPr>
            <w:r>
              <w:t>FDA</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F5F95" w14:textId="77777777" w:rsidR="0025068B" w:rsidRPr="009D4936" w:rsidRDefault="0025068B" w:rsidP="000B512D">
            <w:pPr>
              <w:spacing w:line="240" w:lineRule="auto"/>
            </w:pPr>
            <w:r>
              <w:t>Food and Drug Administration</w:t>
            </w:r>
          </w:p>
        </w:tc>
      </w:tr>
      <w:tr w:rsidR="0025068B" w14:paraId="4390064A"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91C74" w14:textId="77777777" w:rsidR="0025068B" w:rsidRDefault="0025068B" w:rsidP="000B512D">
            <w:pPr>
              <w:spacing w:line="240" w:lineRule="auto"/>
            </w:pPr>
            <w:r w:rsidRPr="007A237F">
              <w:t>G6PD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53BB2" w14:textId="77777777" w:rsidR="0025068B" w:rsidRDefault="0025068B" w:rsidP="000B512D">
            <w:pPr>
              <w:spacing w:line="240" w:lineRule="auto"/>
            </w:pPr>
            <w:r w:rsidRPr="009D4936">
              <w:t>Glucose-6-phosphate deficiency</w:t>
            </w:r>
          </w:p>
        </w:tc>
      </w:tr>
      <w:tr w:rsidR="0025068B" w14:paraId="67E2FC8A"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E0A92" w14:textId="77777777" w:rsidR="0025068B" w:rsidRDefault="0025068B" w:rsidP="000B512D">
            <w:pPr>
              <w:spacing w:line="240" w:lineRule="auto"/>
            </w:pPr>
            <w:r w:rsidRPr="007A237F">
              <w:t>GCT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833AB" w14:textId="77777777" w:rsidR="0025068B" w:rsidRDefault="0025068B" w:rsidP="000B512D">
            <w:pPr>
              <w:spacing w:line="240" w:lineRule="auto"/>
            </w:pPr>
            <w:r w:rsidRPr="009D4936">
              <w:t>Gametocyte clearance time</w:t>
            </w:r>
          </w:p>
        </w:tc>
      </w:tr>
      <w:tr w:rsidR="0025068B" w14:paraId="4687F471"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FF16AC" w14:textId="77777777" w:rsidR="0025068B" w:rsidRDefault="0025068B" w:rsidP="000B512D">
            <w:pPr>
              <w:spacing w:line="240" w:lineRule="auto"/>
            </w:pPr>
            <w:r w:rsidRPr="007A237F">
              <w:t>GORD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15847A" w14:textId="77777777" w:rsidR="0025068B" w:rsidRDefault="0025068B" w:rsidP="000B512D">
            <w:pPr>
              <w:spacing w:line="240" w:lineRule="auto"/>
            </w:pPr>
            <w:r w:rsidRPr="009D4936">
              <w:t>Gastro-oesophageal reflux disorder</w:t>
            </w:r>
          </w:p>
        </w:tc>
      </w:tr>
      <w:tr w:rsidR="0025068B" w14:paraId="6BCBB727"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B96EC3" w14:textId="77777777" w:rsidR="0025068B" w:rsidRDefault="0025068B" w:rsidP="000B512D">
            <w:pPr>
              <w:spacing w:line="240" w:lineRule="auto"/>
            </w:pPr>
            <w:proofErr w:type="spellStart"/>
            <w:r w:rsidRPr="007A237F">
              <w:t>Hb</w:t>
            </w:r>
            <w:proofErr w:type="spellEnd"/>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B1545" w14:textId="77777777" w:rsidR="0025068B" w:rsidRDefault="0025068B" w:rsidP="000B512D">
            <w:pPr>
              <w:spacing w:line="240" w:lineRule="auto"/>
            </w:pPr>
            <w:r w:rsidRPr="009D4936">
              <w:t>Haemoglobin</w:t>
            </w:r>
          </w:p>
        </w:tc>
      </w:tr>
      <w:tr w:rsidR="0025068B" w14:paraId="75F49C9D"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E5120" w14:textId="77777777" w:rsidR="0025068B" w:rsidRDefault="0025068B" w:rsidP="000B512D">
            <w:pPr>
              <w:spacing w:line="240" w:lineRule="auto"/>
            </w:pPr>
            <w:r w:rsidRPr="007A237F">
              <w:t>HPLC</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AF923" w14:textId="77777777" w:rsidR="0025068B" w:rsidRDefault="0025068B" w:rsidP="000B512D">
            <w:pPr>
              <w:spacing w:line="240" w:lineRule="auto"/>
            </w:pPr>
            <w:r w:rsidRPr="009D4936">
              <w:t>High performance liquid chromatography</w:t>
            </w:r>
          </w:p>
        </w:tc>
      </w:tr>
      <w:tr w:rsidR="0025068B" w14:paraId="05953168"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923BA" w14:textId="77777777" w:rsidR="0025068B" w:rsidRDefault="0025068B" w:rsidP="000B512D">
            <w:pPr>
              <w:spacing w:line="240" w:lineRule="auto"/>
            </w:pPr>
            <w:r w:rsidRPr="007A237F">
              <w:t>IBSM</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C7799" w14:textId="77777777" w:rsidR="0025068B" w:rsidRDefault="0025068B" w:rsidP="000B512D">
            <w:pPr>
              <w:spacing w:line="240" w:lineRule="auto"/>
            </w:pPr>
            <w:r w:rsidRPr="009D4936">
              <w:rPr>
                <w:rStyle w:val="st"/>
              </w:rPr>
              <w:t xml:space="preserve">induced blood stage </w:t>
            </w:r>
            <w:r w:rsidRPr="009D4936">
              <w:rPr>
                <w:rStyle w:val="Emphasis"/>
              </w:rPr>
              <w:t>malaria</w:t>
            </w:r>
          </w:p>
        </w:tc>
      </w:tr>
      <w:tr w:rsidR="0025068B" w14:paraId="7EE716D7"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509D2" w14:textId="77777777" w:rsidR="0025068B" w:rsidRPr="007A237F" w:rsidRDefault="0025068B" w:rsidP="000B512D">
            <w:pPr>
              <w:spacing w:line="240" w:lineRule="auto"/>
            </w:pPr>
            <w:r>
              <w:t>IC</w:t>
            </w:r>
            <w:r w:rsidRPr="0029173B">
              <w:rPr>
                <w:vertAlign w:val="subscript"/>
              </w:rPr>
              <w:t>50</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6891E" w14:textId="77777777" w:rsidR="0025068B" w:rsidRPr="009D4936" w:rsidRDefault="0025068B" w:rsidP="000B512D">
            <w:pPr>
              <w:spacing w:line="240" w:lineRule="auto"/>
              <w:rPr>
                <w:rStyle w:val="st"/>
              </w:rPr>
            </w:pPr>
            <w:r>
              <w:t>50% inhibitory concentration</w:t>
            </w:r>
          </w:p>
        </w:tc>
      </w:tr>
      <w:tr w:rsidR="0025068B" w14:paraId="0F46A5A5"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64393C" w14:textId="77777777" w:rsidR="0025068B" w:rsidRDefault="0025068B" w:rsidP="000B512D">
            <w:pPr>
              <w:spacing w:line="240" w:lineRule="auto"/>
            </w:pPr>
            <w:r w:rsidRPr="007A237F">
              <w:t>IDMC</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46153" w14:textId="77777777" w:rsidR="0025068B" w:rsidRDefault="0025068B" w:rsidP="000B512D">
            <w:pPr>
              <w:spacing w:line="240" w:lineRule="auto"/>
            </w:pPr>
            <w:r w:rsidRPr="009D4936">
              <w:t>Independent Data Monitoring Committee</w:t>
            </w:r>
          </w:p>
        </w:tc>
      </w:tr>
      <w:tr w:rsidR="0025068B" w14:paraId="6ABB6DED"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D520E" w14:textId="77777777" w:rsidR="0025068B" w:rsidRDefault="0025068B" w:rsidP="000B512D">
            <w:pPr>
              <w:spacing w:line="240" w:lineRule="auto"/>
            </w:pPr>
            <w:r w:rsidRPr="007A237F">
              <w:t>ITT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51B5E2" w14:textId="77777777" w:rsidR="0025068B" w:rsidRDefault="0025068B" w:rsidP="000B512D">
            <w:pPr>
              <w:spacing w:line="240" w:lineRule="auto"/>
            </w:pPr>
            <w:r w:rsidRPr="009D4936">
              <w:t>Intention to treat</w:t>
            </w:r>
          </w:p>
        </w:tc>
      </w:tr>
      <w:tr w:rsidR="0025068B" w14:paraId="7823D27F"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4FA3C" w14:textId="77777777" w:rsidR="0025068B" w:rsidRDefault="0025068B" w:rsidP="000B512D">
            <w:pPr>
              <w:spacing w:line="240" w:lineRule="auto"/>
            </w:pPr>
            <w:proofErr w:type="spellStart"/>
            <w:r w:rsidRPr="007A237F">
              <w:t>MHb</w:t>
            </w:r>
            <w:proofErr w:type="spellEnd"/>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0A12C" w14:textId="77777777" w:rsidR="0025068B" w:rsidRDefault="0025068B" w:rsidP="000B512D">
            <w:pPr>
              <w:spacing w:line="240" w:lineRule="auto"/>
            </w:pPr>
            <w:proofErr w:type="spellStart"/>
            <w:r w:rsidRPr="009D4936">
              <w:t>Methaemoglobinaemia</w:t>
            </w:r>
            <w:proofErr w:type="spellEnd"/>
          </w:p>
        </w:tc>
      </w:tr>
      <w:tr w:rsidR="0025068B" w14:paraId="1EB05114"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F5736" w14:textId="77777777" w:rsidR="0025068B" w:rsidRDefault="0025068B" w:rsidP="000B512D">
            <w:pPr>
              <w:spacing w:line="240" w:lineRule="auto"/>
            </w:pPr>
            <w:r w:rsidRPr="007A237F">
              <w:t>NAMRU-2</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D17CDF" w14:textId="77777777" w:rsidR="0025068B" w:rsidRDefault="0025068B" w:rsidP="000B512D">
            <w:pPr>
              <w:spacing w:line="240" w:lineRule="auto"/>
            </w:pPr>
            <w:r w:rsidRPr="009D4936">
              <w:t>Naval Medical Research Unit-2</w:t>
            </w:r>
          </w:p>
        </w:tc>
      </w:tr>
      <w:tr w:rsidR="0025068B" w14:paraId="145C1078"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32C7A" w14:textId="77777777" w:rsidR="0025068B" w:rsidRDefault="0025068B" w:rsidP="000B512D">
            <w:pPr>
              <w:spacing w:line="240" w:lineRule="auto"/>
            </w:pPr>
            <w:r w:rsidRPr="007A237F">
              <w:t>Pf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E37B5" w14:textId="77777777" w:rsidR="0025068B" w:rsidRDefault="0025068B" w:rsidP="000B512D">
            <w:pPr>
              <w:spacing w:line="240" w:lineRule="auto"/>
            </w:pPr>
            <w:r w:rsidRPr="009D4936">
              <w:t>Plasmodium falciparum</w:t>
            </w:r>
          </w:p>
        </w:tc>
      </w:tr>
      <w:tr w:rsidR="0025068B" w14:paraId="0582B7E4"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F08CDC" w14:textId="77777777" w:rsidR="0025068B" w:rsidRDefault="0025068B" w:rsidP="000B512D">
            <w:pPr>
              <w:spacing w:line="240" w:lineRule="auto"/>
            </w:pPr>
            <w:r w:rsidRPr="007A237F">
              <w:t>Pk</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88F6A" w14:textId="77777777" w:rsidR="0025068B" w:rsidRDefault="0025068B" w:rsidP="000B512D">
            <w:pPr>
              <w:spacing w:line="240" w:lineRule="auto"/>
            </w:pPr>
            <w:r w:rsidRPr="009D4936">
              <w:t xml:space="preserve">Plasmodium </w:t>
            </w:r>
            <w:proofErr w:type="spellStart"/>
            <w:r w:rsidRPr="009D4936">
              <w:t>knowlesi</w:t>
            </w:r>
            <w:proofErr w:type="spellEnd"/>
          </w:p>
        </w:tc>
      </w:tr>
      <w:tr w:rsidR="0025068B" w14:paraId="350EE775"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56C44" w14:textId="77777777" w:rsidR="0025068B" w:rsidRDefault="0025068B" w:rsidP="000B512D">
            <w:pPr>
              <w:spacing w:line="240" w:lineRule="auto"/>
            </w:pPr>
            <w:r w:rsidRPr="007A237F">
              <w:lastRenderedPageBreak/>
              <w:t>Pm</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7164A" w14:textId="77777777" w:rsidR="0025068B" w:rsidRDefault="0025068B" w:rsidP="000B512D">
            <w:pPr>
              <w:spacing w:line="240" w:lineRule="auto"/>
            </w:pPr>
            <w:r w:rsidRPr="009D4936">
              <w:t xml:space="preserve">Plasmodium </w:t>
            </w:r>
            <w:proofErr w:type="spellStart"/>
            <w:r w:rsidRPr="009D4936">
              <w:t>malariae</w:t>
            </w:r>
            <w:proofErr w:type="spellEnd"/>
          </w:p>
        </w:tc>
      </w:tr>
      <w:tr w:rsidR="0025068B" w14:paraId="76FA05FA"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D2446E" w14:textId="77777777" w:rsidR="0025068B" w:rsidRDefault="0025068B" w:rsidP="000B512D">
            <w:pPr>
              <w:spacing w:line="240" w:lineRule="auto"/>
            </w:pPr>
            <w:r w:rsidRPr="007A237F">
              <w:t>Po</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7EA07" w14:textId="77777777" w:rsidR="0025068B" w:rsidRDefault="0025068B" w:rsidP="000B512D">
            <w:pPr>
              <w:spacing w:line="240" w:lineRule="auto"/>
            </w:pPr>
            <w:r w:rsidRPr="009D4936">
              <w:t xml:space="preserve">Plasmodium </w:t>
            </w:r>
            <w:proofErr w:type="spellStart"/>
            <w:r w:rsidRPr="009D4936">
              <w:t>ovale</w:t>
            </w:r>
            <w:proofErr w:type="spellEnd"/>
          </w:p>
        </w:tc>
      </w:tr>
      <w:tr w:rsidR="0025068B" w14:paraId="1E23F58E"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C43630" w14:textId="77777777" w:rsidR="0025068B" w:rsidRDefault="0025068B" w:rsidP="000B512D">
            <w:pPr>
              <w:spacing w:line="240" w:lineRule="auto"/>
            </w:pPr>
            <w:proofErr w:type="spellStart"/>
            <w:r w:rsidRPr="007A237F">
              <w:t>Pv</w:t>
            </w:r>
            <w:proofErr w:type="spellEnd"/>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5FBEB5" w14:textId="77777777" w:rsidR="0025068B" w:rsidRDefault="0025068B" w:rsidP="000B512D">
            <w:pPr>
              <w:spacing w:line="240" w:lineRule="auto"/>
            </w:pPr>
            <w:r w:rsidRPr="009D4936">
              <w:t>Plasmodium vivax</w:t>
            </w:r>
          </w:p>
        </w:tc>
      </w:tr>
      <w:tr w:rsidR="0025068B" w14:paraId="1CE5FE67"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900D38" w14:textId="77777777" w:rsidR="0025068B" w:rsidRDefault="0025068B" w:rsidP="000B512D">
            <w:pPr>
              <w:spacing w:line="240" w:lineRule="auto"/>
            </w:pPr>
            <w:r w:rsidRPr="007A237F">
              <w:t>PCT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5805DF" w14:textId="77777777" w:rsidR="0025068B" w:rsidRDefault="0025068B" w:rsidP="000B512D">
            <w:pPr>
              <w:spacing w:line="240" w:lineRule="auto"/>
            </w:pPr>
            <w:r w:rsidRPr="009D4936">
              <w:t>Parasite clearance time</w:t>
            </w:r>
          </w:p>
        </w:tc>
      </w:tr>
      <w:tr w:rsidR="0025068B" w14:paraId="5A1DE964"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D6659" w14:textId="77777777" w:rsidR="0025068B" w:rsidRDefault="0025068B" w:rsidP="000B512D">
            <w:pPr>
              <w:spacing w:line="240" w:lineRule="auto"/>
            </w:pPr>
            <w:r w:rsidRPr="007A237F">
              <w:t>P</w:t>
            </w:r>
            <w:r>
              <w:t>K</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C2F43" w14:textId="77777777" w:rsidR="0025068B" w:rsidRDefault="0025068B" w:rsidP="000B512D">
            <w:pPr>
              <w:spacing w:line="240" w:lineRule="auto"/>
            </w:pPr>
            <w:r w:rsidRPr="009D4936">
              <w:t>Pharmacokinetics</w:t>
            </w:r>
          </w:p>
        </w:tc>
      </w:tr>
      <w:tr w:rsidR="0025068B" w14:paraId="05EF5A32"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F892E" w14:textId="77777777" w:rsidR="0025068B" w:rsidRDefault="0025068B" w:rsidP="000B512D">
            <w:pPr>
              <w:spacing w:line="240" w:lineRule="auto"/>
            </w:pPr>
            <w:r w:rsidRPr="007A237F">
              <w:t>P</w:t>
            </w:r>
            <w:r>
              <w:t>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E7A1C" w14:textId="77777777" w:rsidR="0025068B" w:rsidRDefault="0025068B" w:rsidP="000B512D">
            <w:pPr>
              <w:tabs>
                <w:tab w:val="left" w:pos="2535"/>
              </w:tabs>
              <w:spacing w:line="240" w:lineRule="auto"/>
            </w:pPr>
            <w:r>
              <w:t>Pharmacodynamics</w:t>
            </w:r>
          </w:p>
        </w:tc>
      </w:tr>
      <w:tr w:rsidR="0025068B" w14:paraId="6D916F51"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63D15B" w14:textId="77777777" w:rsidR="0025068B" w:rsidRDefault="0025068B" w:rsidP="000B512D">
            <w:pPr>
              <w:spacing w:line="240" w:lineRule="auto"/>
            </w:pPr>
            <w:r w:rsidRPr="007A237F">
              <w:t>P</w:t>
            </w:r>
            <w:r>
              <w:t>E</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37BCD" w14:textId="77777777" w:rsidR="0025068B" w:rsidRDefault="0025068B" w:rsidP="000B512D">
            <w:pPr>
              <w:tabs>
                <w:tab w:val="left" w:pos="2535"/>
              </w:tabs>
              <w:spacing w:line="240" w:lineRule="auto"/>
            </w:pPr>
            <w:r>
              <w:t>Protective efficacy</w:t>
            </w:r>
          </w:p>
        </w:tc>
      </w:tr>
      <w:tr w:rsidR="0025068B" w14:paraId="614BA87F"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85C66" w14:textId="77777777" w:rsidR="0025068B" w:rsidRPr="007A237F" w:rsidRDefault="0025068B" w:rsidP="000B512D">
            <w:pPr>
              <w:spacing w:line="240" w:lineRule="auto"/>
            </w:pPr>
            <w:r>
              <w:t>PO</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DBD7F" w14:textId="77777777" w:rsidR="0025068B" w:rsidRPr="009D4936" w:rsidRDefault="0025068B" w:rsidP="000B512D">
            <w:pPr>
              <w:tabs>
                <w:tab w:val="left" w:pos="2535"/>
              </w:tabs>
              <w:spacing w:line="240" w:lineRule="auto"/>
            </w:pPr>
            <w:r>
              <w:t>Per oral</w:t>
            </w:r>
          </w:p>
        </w:tc>
      </w:tr>
      <w:tr w:rsidR="0025068B" w14:paraId="18BBB260"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BF78A" w14:textId="77777777" w:rsidR="0025068B" w:rsidRDefault="0025068B" w:rsidP="000B512D">
            <w:pPr>
              <w:spacing w:line="240" w:lineRule="auto"/>
            </w:pPr>
            <w:r w:rsidRPr="007A237F">
              <w:t>PP</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A43615" w14:textId="77777777" w:rsidR="0025068B" w:rsidRDefault="0025068B" w:rsidP="000B512D">
            <w:pPr>
              <w:spacing w:line="240" w:lineRule="auto"/>
            </w:pPr>
            <w:r w:rsidRPr="009D4936">
              <w:t>Per protocol</w:t>
            </w:r>
          </w:p>
        </w:tc>
      </w:tr>
      <w:tr w:rsidR="0025068B" w14:paraId="66F07783"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6D22E" w14:textId="77777777" w:rsidR="0025068B" w:rsidRDefault="0025068B" w:rsidP="000B512D">
            <w:pPr>
              <w:spacing w:line="240" w:lineRule="auto"/>
            </w:pPr>
            <w:r w:rsidRPr="007A237F">
              <w:t>qPCR</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AA2F96" w14:textId="77777777" w:rsidR="0025068B" w:rsidRDefault="0025068B" w:rsidP="000B512D">
            <w:pPr>
              <w:spacing w:line="240" w:lineRule="auto"/>
            </w:pPr>
            <w:r w:rsidRPr="009D4936">
              <w:t>Quantitative Polymerase Chain Reaction</w:t>
            </w:r>
          </w:p>
        </w:tc>
      </w:tr>
      <w:tr w:rsidR="0025068B" w14:paraId="190C540F"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5DD9E" w14:textId="77777777" w:rsidR="0025068B" w:rsidRPr="007A237F" w:rsidRDefault="0025068B" w:rsidP="000B512D">
            <w:pPr>
              <w:tabs>
                <w:tab w:val="left" w:pos="900"/>
              </w:tabs>
              <w:spacing w:line="240" w:lineRule="auto"/>
            </w:pPr>
            <w:r>
              <w:t>SC</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B3C7FE" w14:textId="77777777" w:rsidR="0025068B" w:rsidRPr="009D4936" w:rsidRDefault="0025068B" w:rsidP="000B512D">
            <w:pPr>
              <w:spacing w:line="240" w:lineRule="auto"/>
            </w:pPr>
            <w:r>
              <w:t>Subcutaneous</w:t>
            </w:r>
          </w:p>
        </w:tc>
      </w:tr>
      <w:tr w:rsidR="0025068B" w14:paraId="51ED50E9"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195CD" w14:textId="77777777" w:rsidR="0025068B" w:rsidRDefault="0025068B" w:rsidP="000B512D">
            <w:pPr>
              <w:spacing w:line="240" w:lineRule="auto"/>
            </w:pPr>
            <w:r w:rsidRPr="007A237F">
              <w:t>SD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C7E7D" w14:textId="77777777" w:rsidR="0025068B" w:rsidRDefault="0025068B" w:rsidP="000B512D">
            <w:pPr>
              <w:spacing w:line="240" w:lineRule="auto"/>
            </w:pPr>
            <w:r w:rsidRPr="009D4936">
              <w:t>Standard deviation</w:t>
            </w:r>
          </w:p>
        </w:tc>
      </w:tr>
      <w:tr w:rsidR="0025068B" w14:paraId="4DB6C7DE"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5C9C6" w14:textId="77777777" w:rsidR="0025068B" w:rsidRDefault="0025068B" w:rsidP="000B512D">
            <w:pPr>
              <w:spacing w:line="240" w:lineRule="auto"/>
            </w:pPr>
            <w:r w:rsidRPr="007A237F">
              <w:rPr>
                <w:lang w:eastAsia="ja-JP"/>
              </w:rPr>
              <w:t>USAMRU-K</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5A5D36" w14:textId="77777777" w:rsidR="0025068B" w:rsidRDefault="0025068B" w:rsidP="000B512D">
            <w:pPr>
              <w:spacing w:line="240" w:lineRule="auto"/>
            </w:pPr>
            <w:r w:rsidRPr="009D4936">
              <w:t>USA Medical Research Unit Kenya</w:t>
            </w:r>
          </w:p>
        </w:tc>
      </w:tr>
      <w:tr w:rsidR="0025068B" w14:paraId="15355C2F"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E7506" w14:textId="77777777" w:rsidR="0025068B" w:rsidRDefault="0025068B" w:rsidP="000B512D">
            <w:pPr>
              <w:spacing w:line="240" w:lineRule="auto"/>
            </w:pPr>
            <w:r w:rsidRPr="007A237F">
              <w:t>V/F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C5E2A" w14:textId="77777777" w:rsidR="0025068B" w:rsidRDefault="0025068B" w:rsidP="000B512D">
            <w:pPr>
              <w:spacing w:line="240" w:lineRule="auto"/>
            </w:pPr>
            <w:r w:rsidRPr="009D4936">
              <w:t>Volume of distribution</w:t>
            </w:r>
          </w:p>
        </w:tc>
      </w:tr>
      <w:tr w:rsidR="0025068B" w14:paraId="6475A951" w14:textId="77777777" w:rsidTr="000B512D">
        <w:trPr>
          <w:trHeight w:val="198"/>
        </w:trPr>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E3245" w14:textId="77777777" w:rsidR="0025068B" w:rsidRDefault="0025068B" w:rsidP="000B512D">
            <w:pPr>
              <w:spacing w:line="240" w:lineRule="auto"/>
            </w:pPr>
            <w:r w:rsidRPr="007A237F">
              <w:t>%CV</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7B4794" w14:textId="77777777" w:rsidR="0025068B" w:rsidRDefault="0025068B" w:rsidP="000B512D">
            <w:pPr>
              <w:spacing w:line="240" w:lineRule="auto"/>
            </w:pPr>
            <w:r w:rsidRPr="009D4936">
              <w:t>Coefficient of variation</w:t>
            </w:r>
          </w:p>
        </w:tc>
      </w:tr>
    </w:tbl>
    <w:p w14:paraId="2D82AE2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9602D65" w14:textId="77777777" w:rsidR="008E7846" w:rsidRDefault="00F53C07" w:rsidP="008E7846">
      <w:pPr>
        <w:pStyle w:val="Heading2"/>
      </w:pPr>
      <w:bookmarkStart w:id="9" w:name="_Toc12348763"/>
      <w:r>
        <w:lastRenderedPageBreak/>
        <w:t>I.</w:t>
      </w:r>
      <w:r w:rsidR="008E7846">
        <w:t xml:space="preserve"> Introduction to product submission</w:t>
      </w:r>
      <w:bookmarkEnd w:id="9"/>
      <w:bookmarkEnd w:id="3"/>
      <w:bookmarkEnd w:id="1"/>
    </w:p>
    <w:p w14:paraId="49BA2EA4" w14:textId="77777777" w:rsidR="008E7846" w:rsidRDefault="008E7846" w:rsidP="008E7846">
      <w:pPr>
        <w:pStyle w:val="Heading3"/>
        <w:rPr>
          <w:lang w:eastAsia="en-AU"/>
        </w:rPr>
      </w:pPr>
      <w:bookmarkStart w:id="10" w:name="_Toc247691502"/>
      <w:bookmarkStart w:id="11" w:name="_Toc314842483"/>
      <w:bookmarkStart w:id="12" w:name="_Toc1234876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77"/>
        <w:gridCol w:w="53"/>
        <w:gridCol w:w="6184"/>
      </w:tblGrid>
      <w:tr w:rsidR="008E7846" w:rsidRPr="003D1E62" w14:paraId="09048E06" w14:textId="77777777" w:rsidTr="003C1292">
        <w:trPr>
          <w:trHeight w:hRule="exact" w:val="645"/>
        </w:trPr>
        <w:tc>
          <w:tcPr>
            <w:tcW w:w="3030" w:type="dxa"/>
            <w:gridSpan w:val="2"/>
          </w:tcPr>
          <w:p w14:paraId="069C3734" w14:textId="77777777" w:rsidR="008E7846" w:rsidRPr="003D1E62" w:rsidRDefault="001B5C90" w:rsidP="001B5C90">
            <w:pPr>
              <w:rPr>
                <w:i/>
              </w:rPr>
            </w:pPr>
            <w:r>
              <w:rPr>
                <w:i/>
              </w:rPr>
              <w:t>Type of s</w:t>
            </w:r>
            <w:r w:rsidR="008E7846" w:rsidRPr="003D1E62">
              <w:rPr>
                <w:i/>
              </w:rPr>
              <w:t>ubmission</w:t>
            </w:r>
            <w:r>
              <w:rPr>
                <w:i/>
              </w:rPr>
              <w:t>:</w:t>
            </w:r>
          </w:p>
        </w:tc>
        <w:tc>
          <w:tcPr>
            <w:tcW w:w="6184" w:type="dxa"/>
          </w:tcPr>
          <w:p w14:paraId="31FE6F67" w14:textId="77777777" w:rsidR="008E7846" w:rsidRPr="003D1E62" w:rsidRDefault="008E7846" w:rsidP="006203C1">
            <w:r w:rsidRPr="003D1E62">
              <w:t xml:space="preserve">New </w:t>
            </w:r>
            <w:r w:rsidR="001B5C90">
              <w:t>c</w:t>
            </w:r>
            <w:r w:rsidRPr="003D1E62">
              <w:t xml:space="preserve">hemical </w:t>
            </w:r>
            <w:r w:rsidR="001B5C90">
              <w:t>e</w:t>
            </w:r>
            <w:r w:rsidR="006203C1">
              <w:t>ntity</w:t>
            </w:r>
          </w:p>
        </w:tc>
      </w:tr>
      <w:tr w:rsidR="008E7846" w:rsidRPr="003D1E62" w14:paraId="0D1A525E" w14:textId="77777777" w:rsidTr="003C1292">
        <w:trPr>
          <w:trHeight w:hRule="exact" w:val="645"/>
        </w:trPr>
        <w:tc>
          <w:tcPr>
            <w:tcW w:w="3030" w:type="dxa"/>
            <w:gridSpan w:val="2"/>
          </w:tcPr>
          <w:p w14:paraId="0EC93A39" w14:textId="77777777" w:rsidR="008E7846" w:rsidRPr="003D1E62" w:rsidRDefault="008E7846" w:rsidP="003D1E62">
            <w:r w:rsidRPr="003D1E62">
              <w:rPr>
                <w:i/>
              </w:rPr>
              <w:t>Decision</w:t>
            </w:r>
            <w:r w:rsidRPr="003D1E62">
              <w:t>:</w:t>
            </w:r>
          </w:p>
        </w:tc>
        <w:tc>
          <w:tcPr>
            <w:tcW w:w="6184" w:type="dxa"/>
          </w:tcPr>
          <w:p w14:paraId="58CB5F78" w14:textId="77777777" w:rsidR="008E7846" w:rsidRPr="003D1E62" w:rsidRDefault="00B83C22" w:rsidP="00B83C22">
            <w:r>
              <w:t>Approved</w:t>
            </w:r>
          </w:p>
        </w:tc>
      </w:tr>
      <w:tr w:rsidR="008E7846" w:rsidRPr="003D1E62" w14:paraId="391F4D58" w14:textId="77777777" w:rsidTr="003C1292">
        <w:trPr>
          <w:trHeight w:hRule="exact" w:val="645"/>
        </w:trPr>
        <w:tc>
          <w:tcPr>
            <w:tcW w:w="3030" w:type="dxa"/>
            <w:gridSpan w:val="2"/>
          </w:tcPr>
          <w:p w14:paraId="45D69679"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184" w:type="dxa"/>
          </w:tcPr>
          <w:p w14:paraId="54576DE2" w14:textId="77777777" w:rsidR="008E7846" w:rsidRPr="003D1E62" w:rsidRDefault="00B227B3" w:rsidP="001B5C90">
            <w:r>
              <w:t>13 September 2018</w:t>
            </w:r>
          </w:p>
        </w:tc>
      </w:tr>
      <w:tr w:rsidR="00ED2922" w:rsidRPr="003D1E62" w14:paraId="4F5A0E93" w14:textId="77777777" w:rsidTr="003C1292">
        <w:trPr>
          <w:trHeight w:hRule="exact" w:val="645"/>
        </w:trPr>
        <w:tc>
          <w:tcPr>
            <w:tcW w:w="3030" w:type="dxa"/>
            <w:gridSpan w:val="2"/>
          </w:tcPr>
          <w:p w14:paraId="00E7056F" w14:textId="77777777" w:rsidR="00ED2922" w:rsidRPr="00441C3F" w:rsidRDefault="00ED2922" w:rsidP="001B5C90">
            <w:pPr>
              <w:rPr>
                <w:i/>
              </w:rPr>
            </w:pPr>
            <w:r w:rsidRPr="00441C3F">
              <w:rPr>
                <w:i/>
              </w:rPr>
              <w:t>Date of entry onto ARTG</w:t>
            </w:r>
            <w:r w:rsidR="00500337">
              <w:rPr>
                <w:i/>
              </w:rPr>
              <w:t>:</w:t>
            </w:r>
          </w:p>
        </w:tc>
        <w:tc>
          <w:tcPr>
            <w:tcW w:w="6184" w:type="dxa"/>
          </w:tcPr>
          <w:p w14:paraId="39C82C58" w14:textId="77777777" w:rsidR="00ED2922" w:rsidRPr="00915F12" w:rsidRDefault="00915F12" w:rsidP="00EC463D">
            <w:r w:rsidRPr="00915F12">
              <w:t>19 September 2018</w:t>
            </w:r>
          </w:p>
        </w:tc>
      </w:tr>
      <w:tr w:rsidR="00500337" w:rsidRPr="003D1E62" w14:paraId="1F0C01A4" w14:textId="77777777" w:rsidTr="003C1292">
        <w:trPr>
          <w:trHeight w:hRule="exact" w:val="645"/>
        </w:trPr>
        <w:tc>
          <w:tcPr>
            <w:tcW w:w="3030" w:type="dxa"/>
            <w:gridSpan w:val="2"/>
          </w:tcPr>
          <w:p w14:paraId="4CEE0434" w14:textId="263D8E89" w:rsidR="00500337" w:rsidRPr="00441C3F" w:rsidRDefault="00500337" w:rsidP="001B5C90">
            <w:pPr>
              <w:rPr>
                <w:i/>
              </w:rPr>
            </w:pPr>
            <w:r>
              <w:rPr>
                <w:i/>
              </w:rPr>
              <w:t>ARTG number:</w:t>
            </w:r>
          </w:p>
        </w:tc>
        <w:tc>
          <w:tcPr>
            <w:tcW w:w="6184" w:type="dxa"/>
          </w:tcPr>
          <w:p w14:paraId="622420D2" w14:textId="77777777" w:rsidR="00500337" w:rsidRPr="00441C3F" w:rsidRDefault="00B227B3" w:rsidP="00EC463D">
            <w:r w:rsidRPr="00B227B3">
              <w:t>293438</w:t>
            </w:r>
          </w:p>
        </w:tc>
      </w:tr>
      <w:tr w:rsidR="00F4558A" w:rsidRPr="00487162" w14:paraId="0E7A9838" w14:textId="77777777" w:rsidTr="003C1292">
        <w:trPr>
          <w:trHeight w:hRule="exact" w:val="645"/>
        </w:trPr>
        <w:tc>
          <w:tcPr>
            <w:tcW w:w="3030" w:type="dxa"/>
            <w:gridSpan w:val="2"/>
          </w:tcPr>
          <w:p w14:paraId="2AA7B2E4" w14:textId="77777777" w:rsidR="00F4558A" w:rsidRDefault="00F4558A" w:rsidP="00F4558A">
            <w:pPr>
              <w:rPr>
                <w:i/>
              </w:rPr>
            </w:pPr>
            <w:r>
              <w:rPr>
                <w:i/>
              </w:rPr>
              <w:sym w:font="Wingdings 2" w:char="F0E6"/>
            </w:r>
            <w:r w:rsidRPr="00C6160B">
              <w:rPr>
                <w:i/>
              </w:rPr>
              <w:t>Black Triangle Scheme</w:t>
            </w:r>
          </w:p>
        </w:tc>
        <w:tc>
          <w:tcPr>
            <w:tcW w:w="6184" w:type="dxa"/>
          </w:tcPr>
          <w:p w14:paraId="7E86A526" w14:textId="7CC82CAF" w:rsidR="00F4558A" w:rsidRPr="00487162" w:rsidRDefault="00F4558A" w:rsidP="003C1292">
            <w:r>
              <w:t>Yes. This product will remain in the scheme for 5 years, starting on the date the product is first supplied in Australia.</w:t>
            </w:r>
          </w:p>
        </w:tc>
      </w:tr>
      <w:tr w:rsidR="008E7846" w:rsidRPr="00487162" w14:paraId="241C5C66" w14:textId="77777777" w:rsidTr="003C1292">
        <w:tc>
          <w:tcPr>
            <w:tcW w:w="2977" w:type="dxa"/>
          </w:tcPr>
          <w:p w14:paraId="5F5C530F" w14:textId="77777777" w:rsidR="008E7846" w:rsidRPr="00487162" w:rsidRDefault="001B5C90" w:rsidP="00E45619">
            <w:pPr>
              <w:rPr>
                <w:i/>
              </w:rPr>
            </w:pPr>
            <w:r>
              <w:rPr>
                <w:i/>
              </w:rPr>
              <w:t>Active ingredient(s):</w:t>
            </w:r>
          </w:p>
        </w:tc>
        <w:tc>
          <w:tcPr>
            <w:tcW w:w="6237" w:type="dxa"/>
            <w:gridSpan w:val="2"/>
          </w:tcPr>
          <w:p w14:paraId="73EB4754" w14:textId="77777777" w:rsidR="008E7846" w:rsidRPr="00487162" w:rsidRDefault="00C905AA" w:rsidP="00E45619">
            <w:r w:rsidRPr="00C905AA">
              <w:t>Tafenoquine succinate</w:t>
            </w:r>
          </w:p>
        </w:tc>
      </w:tr>
      <w:tr w:rsidR="008E7846" w:rsidRPr="00487162" w14:paraId="7790A5F2" w14:textId="77777777" w:rsidTr="003C1292">
        <w:tc>
          <w:tcPr>
            <w:tcW w:w="2977" w:type="dxa"/>
          </w:tcPr>
          <w:p w14:paraId="6F118AB2" w14:textId="2291D645" w:rsidR="008E7846" w:rsidRPr="00487162" w:rsidRDefault="008E7846" w:rsidP="001B5C90">
            <w:pPr>
              <w:rPr>
                <w:i/>
              </w:rPr>
            </w:pPr>
            <w:r w:rsidRPr="00487162">
              <w:rPr>
                <w:i/>
              </w:rPr>
              <w:t>Product</w:t>
            </w:r>
            <w:r w:rsidR="001B5C90">
              <w:rPr>
                <w:i/>
              </w:rPr>
              <w:t xml:space="preserve"> name:</w:t>
            </w:r>
          </w:p>
        </w:tc>
        <w:tc>
          <w:tcPr>
            <w:tcW w:w="6237" w:type="dxa"/>
            <w:gridSpan w:val="2"/>
          </w:tcPr>
          <w:p w14:paraId="0F02C01C" w14:textId="77777777" w:rsidR="008E7846" w:rsidRPr="00487162" w:rsidRDefault="00A84DBA" w:rsidP="00E45619">
            <w:r>
              <w:t>Kodatef</w:t>
            </w:r>
          </w:p>
        </w:tc>
      </w:tr>
      <w:tr w:rsidR="008E7846" w:rsidRPr="00487162" w14:paraId="7EE19D7A" w14:textId="77777777" w:rsidTr="003C1292">
        <w:tc>
          <w:tcPr>
            <w:tcW w:w="2977" w:type="dxa"/>
          </w:tcPr>
          <w:p w14:paraId="033B227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237" w:type="dxa"/>
            <w:gridSpan w:val="2"/>
          </w:tcPr>
          <w:p w14:paraId="0EA5D1ED" w14:textId="77777777" w:rsidR="008E7846" w:rsidRDefault="00C905AA" w:rsidP="00E45619">
            <w:r>
              <w:t>Biocelect Pty Ltd</w:t>
            </w:r>
          </w:p>
          <w:p w14:paraId="0A732867" w14:textId="77777777" w:rsidR="00B227B3" w:rsidRPr="00487162" w:rsidRDefault="00B227B3" w:rsidP="00B227B3">
            <w:r>
              <w:t>51 Rawson Street, Epping NSW 2121</w:t>
            </w:r>
          </w:p>
        </w:tc>
      </w:tr>
      <w:tr w:rsidR="008E7846" w:rsidRPr="00487162" w14:paraId="667E45A5" w14:textId="77777777" w:rsidTr="003C1292">
        <w:tc>
          <w:tcPr>
            <w:tcW w:w="2977" w:type="dxa"/>
          </w:tcPr>
          <w:p w14:paraId="30635C04" w14:textId="4FD5C6E5" w:rsidR="008E7846" w:rsidRPr="00487162" w:rsidRDefault="001B5C90" w:rsidP="00E45619">
            <w:pPr>
              <w:rPr>
                <w:i/>
              </w:rPr>
            </w:pPr>
            <w:r>
              <w:rPr>
                <w:i/>
              </w:rPr>
              <w:t>Dose form:</w:t>
            </w:r>
          </w:p>
        </w:tc>
        <w:tc>
          <w:tcPr>
            <w:tcW w:w="6237" w:type="dxa"/>
            <w:gridSpan w:val="2"/>
          </w:tcPr>
          <w:p w14:paraId="6ECDC151" w14:textId="77777777" w:rsidR="008E7846" w:rsidRPr="00487162" w:rsidRDefault="00C905AA" w:rsidP="00087250">
            <w:r>
              <w:t>Film</w:t>
            </w:r>
            <w:r w:rsidR="00087250">
              <w:t xml:space="preserve"> </w:t>
            </w:r>
            <w:r>
              <w:t xml:space="preserve">coated, immediate release </w:t>
            </w:r>
            <w:r w:rsidRPr="00C905AA">
              <w:t>tablets</w:t>
            </w:r>
          </w:p>
        </w:tc>
      </w:tr>
      <w:tr w:rsidR="008E7846" w:rsidRPr="00487162" w14:paraId="035B181E" w14:textId="77777777" w:rsidTr="003C1292">
        <w:tc>
          <w:tcPr>
            <w:tcW w:w="2977" w:type="dxa"/>
          </w:tcPr>
          <w:p w14:paraId="1542C9A6" w14:textId="573C1103" w:rsidR="008E7846" w:rsidRPr="00487162" w:rsidRDefault="008E7846" w:rsidP="00E45619">
            <w:pPr>
              <w:rPr>
                <w:i/>
              </w:rPr>
            </w:pPr>
            <w:r w:rsidRPr="00487162">
              <w:rPr>
                <w:i/>
              </w:rPr>
              <w:t xml:space="preserve">Strength: </w:t>
            </w:r>
          </w:p>
        </w:tc>
        <w:tc>
          <w:tcPr>
            <w:tcW w:w="6237" w:type="dxa"/>
            <w:gridSpan w:val="2"/>
          </w:tcPr>
          <w:p w14:paraId="3E3E9EB3" w14:textId="77777777" w:rsidR="008E7846" w:rsidRPr="00487162" w:rsidRDefault="006203C1" w:rsidP="00E45619">
            <w:r w:rsidRPr="006203C1">
              <w:t>125.5mg, equivalent to 10</w:t>
            </w:r>
            <w:r w:rsidR="00A84DBA">
              <w:t>0 mg</w:t>
            </w:r>
            <w:r w:rsidRPr="006203C1">
              <w:t xml:space="preserve"> tafenoquine base</w:t>
            </w:r>
          </w:p>
        </w:tc>
      </w:tr>
      <w:tr w:rsidR="008E7846" w:rsidRPr="00487162" w14:paraId="6989F821" w14:textId="77777777" w:rsidTr="003C1292">
        <w:tc>
          <w:tcPr>
            <w:tcW w:w="2977" w:type="dxa"/>
          </w:tcPr>
          <w:p w14:paraId="58B8D744" w14:textId="3665876B" w:rsidR="008E7846" w:rsidRPr="00487162" w:rsidRDefault="008E7846" w:rsidP="00E45619">
            <w:pPr>
              <w:rPr>
                <w:i/>
              </w:rPr>
            </w:pPr>
            <w:r w:rsidRPr="00487162">
              <w:rPr>
                <w:i/>
              </w:rPr>
              <w:t>Container:</w:t>
            </w:r>
          </w:p>
        </w:tc>
        <w:tc>
          <w:tcPr>
            <w:tcW w:w="6237" w:type="dxa"/>
            <w:gridSpan w:val="2"/>
          </w:tcPr>
          <w:p w14:paraId="46273786" w14:textId="77777777" w:rsidR="008E7846" w:rsidRPr="00487162" w:rsidRDefault="001B103A" w:rsidP="00E45619">
            <w:r>
              <w:t>Blister packs</w:t>
            </w:r>
          </w:p>
        </w:tc>
      </w:tr>
      <w:tr w:rsidR="008E7846" w:rsidRPr="00487162" w14:paraId="5C0ECABC" w14:textId="77777777" w:rsidTr="003C1292">
        <w:tc>
          <w:tcPr>
            <w:tcW w:w="2977" w:type="dxa"/>
          </w:tcPr>
          <w:p w14:paraId="6D00EBC4" w14:textId="1E9A7310" w:rsidR="008E7846" w:rsidRPr="00487162" w:rsidRDefault="008E7846" w:rsidP="00E45619">
            <w:pPr>
              <w:rPr>
                <w:i/>
              </w:rPr>
            </w:pPr>
            <w:r w:rsidRPr="00487162">
              <w:rPr>
                <w:i/>
              </w:rPr>
              <w:t>Pack sizes:</w:t>
            </w:r>
          </w:p>
        </w:tc>
        <w:tc>
          <w:tcPr>
            <w:tcW w:w="6237" w:type="dxa"/>
            <w:gridSpan w:val="2"/>
          </w:tcPr>
          <w:p w14:paraId="5761BFFA" w14:textId="77777777" w:rsidR="008E7846" w:rsidRPr="00487162" w:rsidRDefault="005A0188" w:rsidP="00E45619">
            <w:r>
              <w:t xml:space="preserve">8 and </w:t>
            </w:r>
            <w:r w:rsidR="001B103A">
              <w:t>16 tablets</w:t>
            </w:r>
          </w:p>
        </w:tc>
      </w:tr>
      <w:tr w:rsidR="008E7846" w:rsidRPr="00487162" w14:paraId="4DC11852" w14:textId="77777777" w:rsidTr="003C1292">
        <w:tc>
          <w:tcPr>
            <w:tcW w:w="2977" w:type="dxa"/>
          </w:tcPr>
          <w:p w14:paraId="3E84843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237" w:type="dxa"/>
            <w:gridSpan w:val="2"/>
          </w:tcPr>
          <w:p w14:paraId="7CD1C7E3" w14:textId="77777777" w:rsidR="00B227B3" w:rsidRPr="00B227B3" w:rsidRDefault="00B227B3" w:rsidP="00B227B3">
            <w:pPr>
              <w:rPr>
                <w:i/>
              </w:rPr>
            </w:pPr>
            <w:r w:rsidRPr="00B227B3">
              <w:rPr>
                <w:i/>
              </w:rPr>
              <w:t>Malaria Prophylaxis</w:t>
            </w:r>
          </w:p>
          <w:p w14:paraId="16EE445B" w14:textId="0B15EA4C" w:rsidR="008E7846" w:rsidRPr="00487162" w:rsidRDefault="00B227B3" w:rsidP="00B227B3">
            <w:pPr>
              <w:rPr>
                <w:rFonts w:eastAsia="MS Mincho"/>
                <w:lang w:eastAsia="ja-JP"/>
              </w:rPr>
            </w:pPr>
            <w:r w:rsidRPr="00B227B3">
              <w:rPr>
                <w:i/>
              </w:rPr>
              <w:t>Kodatef (tafenoquine) is an antimalarial indicated for the prevention of malaria in adults 18 years of age and above for up to 6 months of continuous dosing. See</w:t>
            </w:r>
            <w:r w:rsidR="005A0188">
              <w:rPr>
                <w:i/>
              </w:rPr>
              <w:t xml:space="preserve"> subs</w:t>
            </w:r>
            <w:r w:rsidRPr="00B227B3">
              <w:rPr>
                <w:i/>
              </w:rPr>
              <w:t>ection 5.1 Pharmacodynamic Properties – Clinical trials</w:t>
            </w:r>
            <w:r>
              <w:t>.</w:t>
            </w:r>
          </w:p>
        </w:tc>
      </w:tr>
      <w:tr w:rsidR="008E7846" w:rsidRPr="00487162" w14:paraId="24F21D96" w14:textId="77777777" w:rsidTr="003C1292">
        <w:tc>
          <w:tcPr>
            <w:tcW w:w="2977" w:type="dxa"/>
          </w:tcPr>
          <w:p w14:paraId="03CEE3A6" w14:textId="038A0D76" w:rsidR="008E7846" w:rsidRPr="00487162" w:rsidRDefault="008E7846" w:rsidP="00E45619">
            <w:pPr>
              <w:rPr>
                <w:i/>
              </w:rPr>
            </w:pPr>
            <w:r w:rsidRPr="00487162">
              <w:rPr>
                <w:i/>
              </w:rPr>
              <w:t>Route of administration:</w:t>
            </w:r>
          </w:p>
        </w:tc>
        <w:tc>
          <w:tcPr>
            <w:tcW w:w="6237" w:type="dxa"/>
            <w:gridSpan w:val="2"/>
          </w:tcPr>
          <w:p w14:paraId="33001353" w14:textId="77777777" w:rsidR="008E7846" w:rsidRPr="00487162" w:rsidRDefault="00C905AA" w:rsidP="00E45619">
            <w:r>
              <w:t>Oral (PO)</w:t>
            </w:r>
          </w:p>
        </w:tc>
      </w:tr>
      <w:tr w:rsidR="008E7846" w:rsidRPr="00487162" w14:paraId="38537C32" w14:textId="77777777" w:rsidTr="003C1292">
        <w:tc>
          <w:tcPr>
            <w:tcW w:w="2977" w:type="dxa"/>
          </w:tcPr>
          <w:p w14:paraId="7765D370" w14:textId="77777777" w:rsidR="008E7846" w:rsidRPr="00487162" w:rsidRDefault="008E7846" w:rsidP="00E45619">
            <w:pPr>
              <w:rPr>
                <w:i/>
              </w:rPr>
            </w:pPr>
            <w:r w:rsidRPr="00487162">
              <w:rPr>
                <w:i/>
              </w:rPr>
              <w:t>Dosage:</w:t>
            </w:r>
          </w:p>
        </w:tc>
        <w:tc>
          <w:tcPr>
            <w:tcW w:w="6237" w:type="dxa"/>
            <w:gridSpan w:val="2"/>
          </w:tcPr>
          <w:p w14:paraId="186D68A0" w14:textId="52543810" w:rsidR="008E7846" w:rsidRPr="00487162" w:rsidRDefault="00B227B3" w:rsidP="00B227B3">
            <w:r>
              <w:t>All patients must be tested for glucose-6-phosphate dehydrogenase (G6PD) deficiency prior to prescribing tafenoquine (subsection 4.3 Contraindications and subsection 4.4 Special Warnings and Precautions for Use).</w:t>
            </w:r>
            <w:r w:rsidR="005A0188">
              <w:t xml:space="preserve"> </w:t>
            </w:r>
            <w:r>
              <w:t xml:space="preserve">Malaria prophylaxis with Kodatef consists of loading, maintenance and terminal dosing. Kodatef should only be used for a maximum of 6 months of continuous dosing. No more than a total of 28 doses should be consumed in a 6 month period. See </w:t>
            </w:r>
            <w:r w:rsidR="00011656">
              <w:t>the Product Information (</w:t>
            </w:r>
            <w:r>
              <w:t>PI</w:t>
            </w:r>
            <w:r w:rsidR="00222998">
              <w:t>) available</w:t>
            </w:r>
            <w:r w:rsidR="00011656">
              <w:t xml:space="preserve"> as </w:t>
            </w:r>
            <w:r>
              <w:t>Attachment 1 for details.</w:t>
            </w:r>
          </w:p>
        </w:tc>
      </w:tr>
    </w:tbl>
    <w:p w14:paraId="75D05B3C" w14:textId="77777777" w:rsidR="008E7846" w:rsidRDefault="008E7846" w:rsidP="008E7846">
      <w:pPr>
        <w:pStyle w:val="Heading3"/>
      </w:pPr>
      <w:bookmarkStart w:id="13" w:name="_Toc247691503"/>
      <w:bookmarkStart w:id="14" w:name="_Toc314842484"/>
      <w:bookmarkStart w:id="15" w:name="_Toc12348765"/>
      <w:r>
        <w:lastRenderedPageBreak/>
        <w:t>Product background</w:t>
      </w:r>
      <w:bookmarkEnd w:id="13"/>
      <w:bookmarkEnd w:id="14"/>
      <w:bookmarkEnd w:id="15"/>
    </w:p>
    <w:p w14:paraId="5548FB2A" w14:textId="77777777" w:rsidR="00940A89" w:rsidRDefault="00940A89" w:rsidP="00C905AA">
      <w:r w:rsidRPr="00940A89">
        <w:t xml:space="preserve">This AusPAR describes the application by the sponsor to register </w:t>
      </w:r>
      <w:r w:rsidR="00EA7557" w:rsidRPr="00895B7D">
        <w:t xml:space="preserve">a </w:t>
      </w:r>
      <w:r w:rsidR="00A84DBA" w:rsidRPr="00895B7D">
        <w:t xml:space="preserve">new chemical entity </w:t>
      </w:r>
      <w:r w:rsidR="00C905AA" w:rsidRPr="00C905AA">
        <w:t xml:space="preserve">tafenoquine tablets </w:t>
      </w:r>
      <w:r w:rsidR="00EA7557">
        <w:t xml:space="preserve">as </w:t>
      </w:r>
      <w:r w:rsidR="00A84DBA">
        <w:t>Kodatef</w:t>
      </w:r>
      <w:r w:rsidR="00EA7557" w:rsidRPr="00C905AA">
        <w:t xml:space="preserve"> </w:t>
      </w:r>
      <w:r w:rsidR="00C905AA" w:rsidRPr="00C905AA">
        <w:t>for the prevention of malaria in adults for up to 6 months of continuous dosing</w:t>
      </w:r>
      <w:r w:rsidR="00EA7557">
        <w:t xml:space="preserve"> with the following wording:</w:t>
      </w:r>
    </w:p>
    <w:p w14:paraId="6BD86986" w14:textId="03C72589" w:rsidR="00A84DBA" w:rsidRPr="00A84DBA" w:rsidRDefault="00A84DBA" w:rsidP="00A84DBA">
      <w:pPr>
        <w:ind w:left="720"/>
        <w:rPr>
          <w:i/>
        </w:rPr>
      </w:pPr>
      <w:r>
        <w:rPr>
          <w:i/>
        </w:rPr>
        <w:t>Kodatef</w:t>
      </w:r>
      <w:r w:rsidRPr="00A84DBA">
        <w:rPr>
          <w:i/>
        </w:rPr>
        <w:t xml:space="preserve"> (tafenoquine) tablets</w:t>
      </w:r>
      <w:r w:rsidR="0023715D">
        <w:rPr>
          <w:i/>
        </w:rPr>
        <w:t xml:space="preserve"> </w:t>
      </w:r>
      <w:r w:rsidRPr="00A84DBA">
        <w:rPr>
          <w:i/>
        </w:rPr>
        <w:t>are</w:t>
      </w:r>
      <w:r w:rsidR="0023715D">
        <w:rPr>
          <w:i/>
        </w:rPr>
        <w:t xml:space="preserve"> </w:t>
      </w:r>
      <w:r w:rsidRPr="00A84DBA">
        <w:rPr>
          <w:i/>
        </w:rPr>
        <w:t>indicated for the primary prevention of malaria in adults</w:t>
      </w:r>
      <w:r w:rsidR="005A0188">
        <w:rPr>
          <w:i/>
        </w:rPr>
        <w:t xml:space="preserve"> </w:t>
      </w:r>
      <w:r w:rsidRPr="00A84DBA">
        <w:rPr>
          <w:i/>
        </w:rPr>
        <w:t>for up to 6 months of continuous dosing</w:t>
      </w:r>
      <w:r>
        <w:rPr>
          <w:i/>
        </w:rPr>
        <w:t>.</w:t>
      </w:r>
    </w:p>
    <w:p w14:paraId="68552FC4" w14:textId="4D8467B3" w:rsidR="0020528D" w:rsidRPr="00E411DB" w:rsidRDefault="0020528D" w:rsidP="0020528D">
      <w:r w:rsidRPr="00E411DB">
        <w:t>The proposed dosing regimen involves:</w:t>
      </w:r>
      <w:r w:rsidRPr="0020528D">
        <w:t xml:space="preserve"> </w:t>
      </w:r>
      <w:r w:rsidRPr="00E411DB">
        <w:t>(</w:t>
      </w:r>
      <w:r w:rsidR="00222998">
        <w:t>i</w:t>
      </w:r>
      <w:r w:rsidRPr="00E411DB">
        <w:t>) a loading regimen, involving administration of 200 mg once daily for three days before travel to a malarious area; (ii) a maintenance regimen, involving 200 mg once weekly, to start seven days after the last one while in the malarious area and (iii) a terminal prophylaxis regimen involving 200 mg one time in the</w:t>
      </w:r>
      <w:r w:rsidR="0023715D">
        <w:t xml:space="preserve"> </w:t>
      </w:r>
      <w:r w:rsidRPr="00E411DB">
        <w:t>week following exit</w:t>
      </w:r>
      <w:r w:rsidR="0023715D">
        <w:t xml:space="preserve"> </w:t>
      </w:r>
      <w:r w:rsidRPr="00E411DB">
        <w:t>from a malarious area.</w:t>
      </w:r>
    </w:p>
    <w:p w14:paraId="2716563C" w14:textId="01876354" w:rsidR="00C905AA" w:rsidRDefault="00C905AA" w:rsidP="00C905AA">
      <w:pPr>
        <w:spacing w:line="240" w:lineRule="auto"/>
        <w:jc w:val="both"/>
      </w:pPr>
      <w:r>
        <w:t>Th</w:t>
      </w:r>
      <w:r w:rsidR="00A84DBA">
        <w:t xml:space="preserve">e proposed dosing is as follows </w:t>
      </w:r>
      <w:r w:rsidR="00011656">
        <w:t xml:space="preserve">in </w:t>
      </w:r>
      <w:r w:rsidR="00A84DBA">
        <w:t>Table 1</w:t>
      </w:r>
      <w:r w:rsidR="00011656">
        <w:t>.</w:t>
      </w:r>
    </w:p>
    <w:p w14:paraId="0517A1A5" w14:textId="65A19E56" w:rsidR="005A0188" w:rsidRDefault="00A84DBA" w:rsidP="00186FDD">
      <w:pPr>
        <w:pStyle w:val="TableTitle"/>
      </w:pPr>
      <w:r>
        <w:t>Table 1: Proposed dosing schedule</w:t>
      </w:r>
    </w:p>
    <w:p w14:paraId="27F0B498" w14:textId="584CFD6A" w:rsidR="00186FDD" w:rsidRDefault="00186FDD" w:rsidP="003C1292">
      <w:r>
        <w:rPr>
          <w:noProof/>
          <w:lang w:eastAsia="en-AU"/>
        </w:rPr>
        <w:drawing>
          <wp:inline distT="0" distB="0" distL="0" distR="0" wp14:anchorId="1CA2AF51" wp14:editId="69FB26F4">
            <wp:extent cx="5400040" cy="1262788"/>
            <wp:effectExtent l="0" t="0" r="0" b="0"/>
            <wp:docPr id="2" name="Picture 2" descr="Proposed dos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4E7B2.tmp"/>
                    <pic:cNvPicPr/>
                  </pic:nvPicPr>
                  <pic:blipFill>
                    <a:blip r:embed="rId14">
                      <a:extLst>
                        <a:ext uri="{28A0092B-C50C-407E-A947-70E740481C1C}">
                          <a14:useLocalDpi xmlns:a14="http://schemas.microsoft.com/office/drawing/2010/main" val="0"/>
                        </a:ext>
                      </a:extLst>
                    </a:blip>
                    <a:stretch>
                      <a:fillRect/>
                    </a:stretch>
                  </pic:blipFill>
                  <pic:spPr>
                    <a:xfrm>
                      <a:off x="0" y="0"/>
                      <a:ext cx="5400040" cy="1262788"/>
                    </a:xfrm>
                    <a:prstGeom prst="rect">
                      <a:avLst/>
                    </a:prstGeom>
                  </pic:spPr>
                </pic:pic>
              </a:graphicData>
            </a:graphic>
          </wp:inline>
        </w:drawing>
      </w:r>
    </w:p>
    <w:p w14:paraId="3D69DA7F" w14:textId="77777777" w:rsidR="00C905AA" w:rsidRPr="00FB59B4" w:rsidRDefault="00C905AA" w:rsidP="0039759D">
      <w:r w:rsidRPr="00FB59B4">
        <w:t xml:space="preserve">The recommendations include that </w:t>
      </w:r>
      <w:r w:rsidR="0039759D" w:rsidRPr="00FB59B4">
        <w:t>‘</w:t>
      </w:r>
      <w:r w:rsidRPr="00FB59B4">
        <w:t>no more than 28 doses be consumed in 6 months period</w:t>
      </w:r>
      <w:r w:rsidR="0039759D" w:rsidRPr="00FB59B4">
        <w:t>’</w:t>
      </w:r>
      <w:r w:rsidR="00FB59B4" w:rsidRPr="00FB59B4">
        <w:t xml:space="preserve"> and</w:t>
      </w:r>
      <w:r w:rsidRPr="00FB59B4">
        <w:t xml:space="preserve"> </w:t>
      </w:r>
      <w:r w:rsidR="00A84DBA" w:rsidRPr="00FB59B4">
        <w:t>Kodatef</w:t>
      </w:r>
      <w:r w:rsidRPr="00FB59B4">
        <w:t xml:space="preserve"> can be taken with or without food.</w:t>
      </w:r>
    </w:p>
    <w:p w14:paraId="20F01819" w14:textId="20E9DFCB" w:rsidR="00C905AA" w:rsidRDefault="00C905AA" w:rsidP="0039759D">
      <w:r w:rsidRPr="00FB59B4">
        <w:t xml:space="preserve">The recommendations further </w:t>
      </w:r>
      <w:r w:rsidR="005A0188">
        <w:t>describe how to manage missed doses (Table 2, of the PI, Attachment 1).</w:t>
      </w:r>
    </w:p>
    <w:p w14:paraId="6BBA8E26" w14:textId="473B2691" w:rsidR="005A0188" w:rsidRPr="00073F5F" w:rsidRDefault="005A0188" w:rsidP="00AE6543">
      <w:pPr>
        <w:pStyle w:val="TableTitle"/>
      </w:pPr>
      <w:r>
        <w:t xml:space="preserve">Table 2: Missed </w:t>
      </w:r>
      <w:r w:rsidR="00011656">
        <w:t xml:space="preserve">doses </w:t>
      </w:r>
      <w:r>
        <w:t>of Kodatef</w:t>
      </w:r>
    </w:p>
    <w:tbl>
      <w:tblPr>
        <w:tblStyle w:val="TableTGAblue"/>
        <w:tblW w:w="5000" w:type="pct"/>
        <w:tblLook w:val="04A0" w:firstRow="1" w:lastRow="0" w:firstColumn="1" w:lastColumn="0" w:noHBand="0" w:noVBand="1"/>
      </w:tblPr>
      <w:tblGrid>
        <w:gridCol w:w="3045"/>
        <w:gridCol w:w="5675"/>
      </w:tblGrid>
      <w:tr w:rsidR="005A0188" w:rsidRPr="00F16A76" w14:paraId="46314B40" w14:textId="77777777" w:rsidTr="00AE6543">
        <w:trPr>
          <w:cnfStyle w:val="100000000000" w:firstRow="1" w:lastRow="0" w:firstColumn="0" w:lastColumn="0" w:oddVBand="0" w:evenVBand="0" w:oddHBand="0" w:evenHBand="0" w:firstRowFirstColumn="0" w:firstRowLastColumn="0" w:lastRowFirstColumn="0" w:lastRowLastColumn="0"/>
        </w:trPr>
        <w:tc>
          <w:tcPr>
            <w:tcW w:w="1746" w:type="pct"/>
          </w:tcPr>
          <w:p w14:paraId="6EEC2AA2" w14:textId="77777777" w:rsidR="005A0188" w:rsidRPr="00AE6543" w:rsidRDefault="005A0188" w:rsidP="00AE6543">
            <w:pPr>
              <w:rPr>
                <w:sz w:val="20"/>
                <w:szCs w:val="20"/>
              </w:rPr>
            </w:pPr>
            <w:r w:rsidRPr="00AE6543">
              <w:rPr>
                <w:sz w:val="20"/>
                <w:szCs w:val="20"/>
              </w:rPr>
              <w:t>Dose(s) Missed</w:t>
            </w:r>
          </w:p>
        </w:tc>
        <w:tc>
          <w:tcPr>
            <w:tcW w:w="3254" w:type="pct"/>
          </w:tcPr>
          <w:p w14:paraId="752C792B" w14:textId="77777777" w:rsidR="005A0188" w:rsidRPr="00AE6543" w:rsidRDefault="005A0188" w:rsidP="00AE6543">
            <w:pPr>
              <w:rPr>
                <w:sz w:val="20"/>
                <w:szCs w:val="20"/>
              </w:rPr>
            </w:pPr>
            <w:r w:rsidRPr="00AE6543">
              <w:rPr>
                <w:sz w:val="20"/>
                <w:szCs w:val="20"/>
              </w:rPr>
              <w:t xml:space="preserve">How to Replace Missed Dose(s): </w:t>
            </w:r>
          </w:p>
        </w:tc>
      </w:tr>
      <w:tr w:rsidR="005A0188" w:rsidRPr="00F16A76" w14:paraId="21F53525" w14:textId="77777777" w:rsidTr="00AE6543">
        <w:tc>
          <w:tcPr>
            <w:tcW w:w="1746" w:type="pct"/>
          </w:tcPr>
          <w:p w14:paraId="6C20ADFD" w14:textId="77777777" w:rsidR="005A0188" w:rsidRPr="00AE6543" w:rsidRDefault="005A0188" w:rsidP="00AE6543">
            <w:pPr>
              <w:rPr>
                <w:sz w:val="20"/>
                <w:szCs w:val="20"/>
              </w:rPr>
            </w:pPr>
            <w:r w:rsidRPr="00AE6543">
              <w:rPr>
                <w:sz w:val="20"/>
                <w:szCs w:val="20"/>
              </w:rPr>
              <w:t>1 Loading dose</w:t>
            </w:r>
          </w:p>
        </w:tc>
        <w:tc>
          <w:tcPr>
            <w:tcW w:w="3254" w:type="pct"/>
          </w:tcPr>
          <w:p w14:paraId="3CBFB7A6" w14:textId="77777777" w:rsidR="005A0188" w:rsidRPr="00AE6543" w:rsidRDefault="005A0188" w:rsidP="00AE6543">
            <w:pPr>
              <w:rPr>
                <w:sz w:val="20"/>
                <w:szCs w:val="20"/>
              </w:rPr>
            </w:pPr>
            <w:r w:rsidRPr="00AE6543">
              <w:rPr>
                <w:sz w:val="20"/>
                <w:szCs w:val="20"/>
              </w:rPr>
              <w:t>1 dose of 200 mg (2 of the 100 mg tablets) so that a total of 3 daily loading doses have been taken. Begin maintenance dose 1 week after the last loading dose.</w:t>
            </w:r>
          </w:p>
        </w:tc>
      </w:tr>
      <w:tr w:rsidR="005A0188" w:rsidRPr="00F16A76" w14:paraId="1AFB2D53" w14:textId="77777777" w:rsidTr="00AE6543">
        <w:tc>
          <w:tcPr>
            <w:tcW w:w="1746" w:type="pct"/>
          </w:tcPr>
          <w:p w14:paraId="57049E1D" w14:textId="77777777" w:rsidR="005A0188" w:rsidRPr="00AE6543" w:rsidRDefault="005A0188" w:rsidP="00AE6543">
            <w:pPr>
              <w:rPr>
                <w:sz w:val="20"/>
                <w:szCs w:val="20"/>
              </w:rPr>
            </w:pPr>
            <w:r w:rsidRPr="00AE6543">
              <w:rPr>
                <w:sz w:val="20"/>
                <w:szCs w:val="20"/>
              </w:rPr>
              <w:t>2 Loading doses</w:t>
            </w:r>
          </w:p>
        </w:tc>
        <w:tc>
          <w:tcPr>
            <w:tcW w:w="3254" w:type="pct"/>
          </w:tcPr>
          <w:p w14:paraId="673297EC" w14:textId="77777777" w:rsidR="005A0188" w:rsidRPr="00AE6543" w:rsidRDefault="005A0188" w:rsidP="00AE6543">
            <w:pPr>
              <w:rPr>
                <w:sz w:val="20"/>
                <w:szCs w:val="20"/>
              </w:rPr>
            </w:pPr>
            <w:r w:rsidRPr="00AE6543">
              <w:rPr>
                <w:sz w:val="20"/>
                <w:szCs w:val="20"/>
              </w:rPr>
              <w:t>2 doses of 200 mg (2 of the 100 mg tablets) on 2 consecutive days so that a total of 3 daily loading doses have been taken. Begin maintenance dose 1 week after the last loading dose.</w:t>
            </w:r>
          </w:p>
        </w:tc>
      </w:tr>
      <w:tr w:rsidR="005A0188" w:rsidRPr="00F16A76" w14:paraId="502C48DC" w14:textId="77777777" w:rsidTr="00AE6543">
        <w:tc>
          <w:tcPr>
            <w:tcW w:w="1746" w:type="pct"/>
          </w:tcPr>
          <w:p w14:paraId="310694E8" w14:textId="77777777" w:rsidR="005A0188" w:rsidRPr="00AE6543" w:rsidRDefault="005A0188" w:rsidP="00AE6543">
            <w:pPr>
              <w:rPr>
                <w:sz w:val="20"/>
                <w:szCs w:val="20"/>
              </w:rPr>
            </w:pPr>
            <w:r w:rsidRPr="00AE6543">
              <w:rPr>
                <w:sz w:val="20"/>
                <w:szCs w:val="20"/>
              </w:rPr>
              <w:t xml:space="preserve">1 Maintenance (weekly) dose </w:t>
            </w:r>
          </w:p>
        </w:tc>
        <w:tc>
          <w:tcPr>
            <w:tcW w:w="3254" w:type="pct"/>
          </w:tcPr>
          <w:p w14:paraId="648B5442" w14:textId="77777777" w:rsidR="005A0188" w:rsidRPr="00AE6543" w:rsidRDefault="005A0188" w:rsidP="00AE6543">
            <w:pPr>
              <w:rPr>
                <w:sz w:val="20"/>
                <w:szCs w:val="20"/>
              </w:rPr>
            </w:pPr>
            <w:r w:rsidRPr="00AE6543">
              <w:rPr>
                <w:sz w:val="20"/>
                <w:szCs w:val="20"/>
              </w:rPr>
              <w:t>1 dose of 200 mg (2 of the 100 mg tablets) on any day up to the time of the next scheduled weekly dose.</w:t>
            </w:r>
          </w:p>
        </w:tc>
      </w:tr>
      <w:tr w:rsidR="005A0188" w:rsidRPr="00F16A76" w14:paraId="3BBE3FBE" w14:textId="77777777" w:rsidTr="00AE6543">
        <w:tc>
          <w:tcPr>
            <w:tcW w:w="1746" w:type="pct"/>
          </w:tcPr>
          <w:p w14:paraId="4DF3F471" w14:textId="77777777" w:rsidR="005A0188" w:rsidRPr="00AE6543" w:rsidRDefault="005A0188" w:rsidP="00AE6543">
            <w:pPr>
              <w:rPr>
                <w:sz w:val="20"/>
                <w:szCs w:val="20"/>
              </w:rPr>
            </w:pPr>
            <w:r w:rsidRPr="00AE6543">
              <w:rPr>
                <w:sz w:val="20"/>
                <w:szCs w:val="20"/>
              </w:rPr>
              <w:t>2 Maintenance (weekly) doses</w:t>
            </w:r>
          </w:p>
        </w:tc>
        <w:tc>
          <w:tcPr>
            <w:tcW w:w="3254" w:type="pct"/>
          </w:tcPr>
          <w:p w14:paraId="22F568B2" w14:textId="77777777" w:rsidR="005A0188" w:rsidRPr="00AE6543" w:rsidRDefault="005A0188" w:rsidP="00AE6543">
            <w:pPr>
              <w:rPr>
                <w:sz w:val="20"/>
                <w:szCs w:val="20"/>
              </w:rPr>
            </w:pPr>
            <w:r w:rsidRPr="00AE6543">
              <w:rPr>
                <w:sz w:val="20"/>
                <w:szCs w:val="20"/>
              </w:rPr>
              <w:t xml:space="preserve">1 dose of 200 mg (2 of the 100 mg tablets) on any day up to the time of the next scheduled weekly dose. </w:t>
            </w:r>
          </w:p>
        </w:tc>
      </w:tr>
      <w:tr w:rsidR="005A0188" w:rsidRPr="00F16A76" w14:paraId="64D2D42C" w14:textId="77777777" w:rsidTr="00AE6543">
        <w:tc>
          <w:tcPr>
            <w:tcW w:w="1746" w:type="pct"/>
          </w:tcPr>
          <w:p w14:paraId="0CA03604" w14:textId="77777777" w:rsidR="005A0188" w:rsidRPr="00AE6543" w:rsidRDefault="005A0188" w:rsidP="00AE6543">
            <w:pPr>
              <w:rPr>
                <w:sz w:val="20"/>
                <w:szCs w:val="20"/>
              </w:rPr>
            </w:pPr>
            <w:r w:rsidRPr="00AE6543">
              <w:rPr>
                <w:sz w:val="20"/>
                <w:szCs w:val="20"/>
              </w:rPr>
              <w:t>3 or more Maintenance (weekly) doses</w:t>
            </w:r>
          </w:p>
        </w:tc>
        <w:tc>
          <w:tcPr>
            <w:tcW w:w="3254" w:type="pct"/>
          </w:tcPr>
          <w:p w14:paraId="7944F0B2" w14:textId="77777777" w:rsidR="005A0188" w:rsidRPr="00AE6543" w:rsidRDefault="005A0188" w:rsidP="00AE6543">
            <w:pPr>
              <w:rPr>
                <w:sz w:val="20"/>
                <w:szCs w:val="20"/>
              </w:rPr>
            </w:pPr>
            <w:r w:rsidRPr="00AE6543">
              <w:rPr>
                <w:sz w:val="20"/>
                <w:szCs w:val="20"/>
              </w:rPr>
              <w:t xml:space="preserve">2 doses of 200 mg (2 of the 100 mg tablets), taken as 200 mg (2 of the 100 mg tablets) once daily for 2 days up to the time of the next weekly dose. </w:t>
            </w:r>
          </w:p>
        </w:tc>
      </w:tr>
      <w:tr w:rsidR="005A0188" w:rsidRPr="00F16A76" w14:paraId="6D850E4E" w14:textId="77777777" w:rsidTr="00AE6543">
        <w:tc>
          <w:tcPr>
            <w:tcW w:w="1746" w:type="pct"/>
          </w:tcPr>
          <w:p w14:paraId="07229167" w14:textId="77777777" w:rsidR="005A0188" w:rsidRPr="00AE6543" w:rsidRDefault="005A0188" w:rsidP="00AE6543">
            <w:pPr>
              <w:rPr>
                <w:sz w:val="20"/>
                <w:szCs w:val="20"/>
              </w:rPr>
            </w:pPr>
            <w:r w:rsidRPr="00AE6543">
              <w:rPr>
                <w:sz w:val="20"/>
                <w:szCs w:val="20"/>
              </w:rPr>
              <w:t>Terminal prophylaxis dose</w:t>
            </w:r>
          </w:p>
        </w:tc>
        <w:tc>
          <w:tcPr>
            <w:tcW w:w="3254" w:type="pct"/>
          </w:tcPr>
          <w:p w14:paraId="5430C1BB" w14:textId="77777777" w:rsidR="005A0188" w:rsidRPr="00AE6543" w:rsidRDefault="005A0188" w:rsidP="00AE6543">
            <w:pPr>
              <w:rPr>
                <w:sz w:val="20"/>
                <w:szCs w:val="20"/>
              </w:rPr>
            </w:pPr>
            <w:r w:rsidRPr="00AE6543">
              <w:rPr>
                <w:sz w:val="20"/>
                <w:szCs w:val="20"/>
              </w:rPr>
              <w:t>1 dose of 200 mg (2 of the 100 mg tablets) as soon as remembered.</w:t>
            </w:r>
          </w:p>
        </w:tc>
      </w:tr>
    </w:tbl>
    <w:p w14:paraId="43F3FCC0" w14:textId="6B8B2427" w:rsidR="00C905AA" w:rsidRPr="00FB59B4" w:rsidRDefault="00C905AA" w:rsidP="0039759D">
      <w:r w:rsidRPr="00FB59B4">
        <w:lastRenderedPageBreak/>
        <w:t xml:space="preserve">Furthermore </w:t>
      </w:r>
      <w:r w:rsidR="0039759D" w:rsidRPr="00FB59B4">
        <w:t>‘</w:t>
      </w:r>
      <w:r w:rsidRPr="00FB59B4">
        <w:rPr>
          <w:i/>
        </w:rPr>
        <w:t xml:space="preserve">Dosage adjustment for persons with renal impairment, hepatic impairment and dialysis has not been studied in clinical trials. </w:t>
      </w:r>
      <w:r w:rsidR="00A84DBA" w:rsidRPr="00FB59B4">
        <w:rPr>
          <w:i/>
        </w:rPr>
        <w:t>Kodatef</w:t>
      </w:r>
      <w:r w:rsidRPr="00FB59B4">
        <w:rPr>
          <w:i/>
        </w:rPr>
        <w:t xml:space="preserve"> is not recommended for treating clinical malaria as a monotherapy because the drug is a slow acting blood schizonticide</w:t>
      </w:r>
      <w:r w:rsidR="00222998">
        <w:rPr>
          <w:i/>
        </w:rPr>
        <w:t>.</w:t>
      </w:r>
      <w:r w:rsidR="0039759D" w:rsidRPr="00FB59B4">
        <w:t>’</w:t>
      </w:r>
    </w:p>
    <w:p w14:paraId="265F32B1" w14:textId="77777777" w:rsidR="00C73BF4" w:rsidRDefault="00C73BF4" w:rsidP="00C73BF4">
      <w:pPr>
        <w:pStyle w:val="Heading4"/>
      </w:pPr>
      <w:r>
        <w:t>Malaria</w:t>
      </w:r>
    </w:p>
    <w:p w14:paraId="2D28886C" w14:textId="77777777" w:rsidR="00381DD3" w:rsidRPr="00655A2A" w:rsidRDefault="00381DD3" w:rsidP="00381DD3">
      <w:pPr>
        <w:rPr>
          <w:lang w:eastAsia="ja-JP"/>
        </w:rPr>
      </w:pPr>
      <w:r>
        <w:rPr>
          <w:lang w:eastAsia="ja-JP"/>
        </w:rPr>
        <w:t xml:space="preserve">Malaria is a potentially fatal illness caused by protozoal infection of red blood cells (RBC) with parasites belonging to the genus </w:t>
      </w:r>
      <w:r w:rsidRPr="00E66DE0">
        <w:rPr>
          <w:lang w:eastAsia="ja-JP"/>
        </w:rPr>
        <w:t xml:space="preserve">Plasmodium, transmitted to humans by the bite of a </w:t>
      </w:r>
      <w:r w:rsidRPr="00380988">
        <w:rPr>
          <w:lang w:eastAsia="ja-JP"/>
        </w:rPr>
        <w:t>Plasmodium infected female Anophelin</w:t>
      </w:r>
      <w:r>
        <w:rPr>
          <w:lang w:eastAsia="ja-JP"/>
        </w:rPr>
        <w:t xml:space="preserve">e mosquito, usually between dusk and dawn. Five species of Plasmodium infect humans, namely, </w:t>
      </w:r>
      <w:r w:rsidR="006820A8" w:rsidRPr="00C97D55">
        <w:rPr>
          <w:i/>
        </w:rPr>
        <w:t>Plasmodium falciparum</w:t>
      </w:r>
      <w:r w:rsidR="006820A8">
        <w:rPr>
          <w:lang w:eastAsia="ja-JP"/>
        </w:rPr>
        <w:t xml:space="preserve"> (</w:t>
      </w:r>
      <w:r>
        <w:rPr>
          <w:lang w:eastAsia="ja-JP"/>
        </w:rPr>
        <w:t>Pf</w:t>
      </w:r>
      <w:r w:rsidR="006820A8">
        <w:rPr>
          <w:lang w:eastAsia="ja-JP"/>
        </w:rPr>
        <w:t>)</w:t>
      </w:r>
      <w:r>
        <w:rPr>
          <w:lang w:eastAsia="ja-JP"/>
        </w:rPr>
        <w:t xml:space="preserve">, </w:t>
      </w:r>
      <w:r w:rsidR="006820A8" w:rsidRPr="00C97D55">
        <w:rPr>
          <w:i/>
        </w:rPr>
        <w:t>Plasmodium vivax</w:t>
      </w:r>
      <w:r w:rsidR="006820A8">
        <w:rPr>
          <w:lang w:eastAsia="ja-JP"/>
        </w:rPr>
        <w:t xml:space="preserve"> (</w:t>
      </w:r>
      <w:proofErr w:type="gramStart"/>
      <w:r>
        <w:rPr>
          <w:lang w:eastAsia="ja-JP"/>
        </w:rPr>
        <w:t>Pv</w:t>
      </w:r>
      <w:proofErr w:type="gramEnd"/>
      <w:r w:rsidR="006820A8">
        <w:rPr>
          <w:lang w:eastAsia="ja-JP"/>
        </w:rPr>
        <w:t>)</w:t>
      </w:r>
      <w:r>
        <w:rPr>
          <w:lang w:eastAsia="ja-JP"/>
        </w:rPr>
        <w:t xml:space="preserve">, </w:t>
      </w:r>
      <w:r w:rsidR="006820A8" w:rsidRPr="00C97D55">
        <w:rPr>
          <w:i/>
        </w:rPr>
        <w:t>Plasmodium ovale</w:t>
      </w:r>
      <w:r w:rsidR="006820A8">
        <w:rPr>
          <w:lang w:eastAsia="ja-JP"/>
        </w:rPr>
        <w:t xml:space="preserve"> (</w:t>
      </w:r>
      <w:r>
        <w:rPr>
          <w:lang w:eastAsia="ja-JP"/>
        </w:rPr>
        <w:t>Po</w:t>
      </w:r>
      <w:r w:rsidR="006820A8">
        <w:rPr>
          <w:lang w:eastAsia="ja-JP"/>
        </w:rPr>
        <w:t>)</w:t>
      </w:r>
      <w:r>
        <w:rPr>
          <w:lang w:eastAsia="ja-JP"/>
        </w:rPr>
        <w:t xml:space="preserve">, </w:t>
      </w:r>
      <w:r w:rsidRPr="00C97D55">
        <w:rPr>
          <w:i/>
        </w:rPr>
        <w:t>Plasmodium malariae</w:t>
      </w:r>
      <w:r>
        <w:t xml:space="preserve"> </w:t>
      </w:r>
      <w:r>
        <w:rPr>
          <w:lang w:eastAsia="ja-JP"/>
        </w:rPr>
        <w:t xml:space="preserve">(Pm) and </w:t>
      </w:r>
      <w:r w:rsidRPr="00C97D55">
        <w:rPr>
          <w:i/>
          <w:lang w:eastAsia="ja-JP"/>
        </w:rPr>
        <w:t>Plasmodium knowlesi</w:t>
      </w:r>
      <w:r w:rsidRPr="00D00BCB">
        <w:rPr>
          <w:lang w:eastAsia="ja-JP"/>
        </w:rPr>
        <w:t xml:space="preserve"> </w:t>
      </w:r>
      <w:r>
        <w:rPr>
          <w:lang w:eastAsia="ja-JP"/>
        </w:rPr>
        <w:t>(Pk)</w:t>
      </w:r>
      <w:r w:rsidRPr="005212F4">
        <w:rPr>
          <w:lang w:eastAsia="ja-JP"/>
        </w:rPr>
        <w:t>.</w:t>
      </w:r>
    </w:p>
    <w:p w14:paraId="070652BB" w14:textId="77777777" w:rsidR="009218B2" w:rsidRDefault="00D14AAF" w:rsidP="00381DD3">
      <w:pPr>
        <w:rPr>
          <w:lang w:eastAsia="ja-JP"/>
        </w:rPr>
      </w:pPr>
      <w:r w:rsidRPr="00895B7D">
        <w:t xml:space="preserve">Malaria remains a major global </w:t>
      </w:r>
      <w:r>
        <w:t>disease and i</w:t>
      </w:r>
      <w:r w:rsidR="00381DD3">
        <w:rPr>
          <w:lang w:eastAsia="ja-JP"/>
        </w:rPr>
        <w:t xml:space="preserve">n 2015, an estimated 212 million cases of malaria occurred worldwide. 90% of the cases were due to infection with </w:t>
      </w:r>
      <w:r w:rsidRPr="00895B7D">
        <w:t>Pf</w:t>
      </w:r>
      <w:r w:rsidR="00381DD3">
        <w:rPr>
          <w:lang w:eastAsia="ja-JP"/>
        </w:rPr>
        <w:t xml:space="preserve"> in the WHO African Region; 7% were in the South-East Asia Region and 2% were in th</w:t>
      </w:r>
      <w:r w:rsidR="009218B2">
        <w:rPr>
          <w:lang w:eastAsia="ja-JP"/>
        </w:rPr>
        <w:t>e Eastern Mediterranean Region.</w:t>
      </w:r>
    </w:p>
    <w:p w14:paraId="18A08BF4" w14:textId="218D7EF7" w:rsidR="00381DD3" w:rsidRDefault="00381DD3" w:rsidP="00381DD3">
      <w:pPr>
        <w:rPr>
          <w:lang w:eastAsia="ja-JP"/>
        </w:rPr>
      </w:pPr>
      <w:r>
        <w:rPr>
          <w:lang w:eastAsia="ja-JP"/>
        </w:rPr>
        <w:t xml:space="preserve">The huge number of Pf cases in sub Saharan Africa means that only about 4% of cases globally </w:t>
      </w:r>
      <w:proofErr w:type="gramStart"/>
      <w:r>
        <w:rPr>
          <w:lang w:eastAsia="ja-JP"/>
        </w:rPr>
        <w:t>are</w:t>
      </w:r>
      <w:proofErr w:type="gramEnd"/>
      <w:r>
        <w:rPr>
          <w:lang w:eastAsia="ja-JP"/>
        </w:rPr>
        <w:t xml:space="preserve"> caused by Pv but outside the African continent the pro</w:t>
      </w:r>
      <w:r w:rsidR="009218B2">
        <w:rPr>
          <w:lang w:eastAsia="ja-JP"/>
        </w:rPr>
        <w:t>portion of Pv increases to 41% and</w:t>
      </w:r>
      <w:r w:rsidR="009218B2">
        <w:t xml:space="preserve"> this still </w:t>
      </w:r>
      <w:r w:rsidR="009218B2" w:rsidRPr="00895B7D">
        <w:t>represent</w:t>
      </w:r>
      <w:r w:rsidR="009218B2">
        <w:t>s</w:t>
      </w:r>
      <w:r w:rsidR="009218B2" w:rsidRPr="00895B7D">
        <w:t xml:space="preserve"> a very large burden of disease in terms of absolute numbers outs</w:t>
      </w:r>
      <w:r w:rsidR="009218B2">
        <w:t xml:space="preserve">ide the African continent. </w:t>
      </w:r>
      <w:r>
        <w:rPr>
          <w:lang w:eastAsia="ja-JP"/>
        </w:rPr>
        <w:t xml:space="preserve">Of the total of 14,400,000 cases in the South-East Asia Region, 4,900,000 were due to </w:t>
      </w:r>
      <w:proofErr w:type="gramStart"/>
      <w:r>
        <w:rPr>
          <w:lang w:eastAsia="ja-JP"/>
        </w:rPr>
        <w:t>Pv</w:t>
      </w:r>
      <w:proofErr w:type="gramEnd"/>
      <w:r>
        <w:rPr>
          <w:lang w:eastAsia="ja-JP"/>
        </w:rPr>
        <w:t xml:space="preserve">. For the Eastern Mediterranean Region, total cases were 3,800,000 and </w:t>
      </w:r>
      <w:proofErr w:type="gramStart"/>
      <w:r>
        <w:rPr>
          <w:lang w:eastAsia="ja-JP"/>
        </w:rPr>
        <w:t>Pv</w:t>
      </w:r>
      <w:proofErr w:type="gramEnd"/>
      <w:r>
        <w:rPr>
          <w:lang w:eastAsia="ja-JP"/>
        </w:rPr>
        <w:t xml:space="preserve"> cases were 1,400,000. For the Americas, total cases were 800,000 with </w:t>
      </w:r>
      <w:proofErr w:type="gramStart"/>
      <w:r>
        <w:rPr>
          <w:lang w:eastAsia="ja-JP"/>
        </w:rPr>
        <w:t>Pv</w:t>
      </w:r>
      <w:proofErr w:type="gramEnd"/>
      <w:r>
        <w:rPr>
          <w:lang w:eastAsia="ja-JP"/>
        </w:rPr>
        <w:t xml:space="preserve"> comprising </w:t>
      </w:r>
      <w:r w:rsidR="004A62EC">
        <w:rPr>
          <w:lang w:eastAsia="ja-JP"/>
        </w:rPr>
        <w:t xml:space="preserve">the </w:t>
      </w:r>
      <w:r>
        <w:rPr>
          <w:lang w:eastAsia="ja-JP"/>
        </w:rPr>
        <w:t>majority (500,000).</w:t>
      </w:r>
    </w:p>
    <w:p w14:paraId="6225D612" w14:textId="77777777" w:rsidR="00381DD3" w:rsidRDefault="00381DD3" w:rsidP="00381DD3">
      <w:pPr>
        <w:rPr>
          <w:lang w:eastAsia="ja-JP"/>
        </w:rPr>
      </w:pPr>
      <w:r>
        <w:rPr>
          <w:lang w:eastAsia="ja-JP"/>
        </w:rPr>
        <w:t xml:space="preserve">In 2015, an estimated 429,000 deaths from malaria occurred. Most deaths were estimated to have occurred </w:t>
      </w:r>
      <w:r w:rsidR="009218B2">
        <w:rPr>
          <w:lang w:eastAsia="ja-JP"/>
        </w:rPr>
        <w:t xml:space="preserve">from Pf </w:t>
      </w:r>
      <w:r>
        <w:rPr>
          <w:lang w:eastAsia="ja-JP"/>
        </w:rPr>
        <w:t xml:space="preserve">in the African Region (92%), followed by the South-East Asia Region (6%) and the Eastern Mediterranean Region (2%). Although almost all deaths resulted from Pf malaria in Africa, </w:t>
      </w:r>
      <w:proofErr w:type="gramStart"/>
      <w:r>
        <w:rPr>
          <w:lang w:eastAsia="ja-JP"/>
        </w:rPr>
        <w:t>Pv</w:t>
      </w:r>
      <w:proofErr w:type="gramEnd"/>
      <w:r>
        <w:rPr>
          <w:lang w:eastAsia="ja-JP"/>
        </w:rPr>
        <w:t xml:space="preserve"> is estimated to have been responsible for 3100 deaths with most (86%) occurring outside Africa.</w:t>
      </w:r>
      <w:r>
        <w:rPr>
          <w:rStyle w:val="FootnoteReference"/>
          <w:lang w:eastAsia="ja-JP"/>
        </w:rPr>
        <w:footnoteReference w:id="1"/>
      </w:r>
    </w:p>
    <w:p w14:paraId="609266D9" w14:textId="77777777" w:rsidR="00381DD3" w:rsidRDefault="00381DD3" w:rsidP="00381DD3">
      <w:pPr>
        <w:pStyle w:val="Heading4"/>
      </w:pPr>
      <w:bookmarkStart w:id="16" w:name="_Toc504229352"/>
      <w:bookmarkStart w:id="17" w:name="_Toc501809125"/>
      <w:r>
        <w:t>Current treatment options</w:t>
      </w:r>
      <w:bookmarkEnd w:id="16"/>
      <w:bookmarkEnd w:id="17"/>
    </w:p>
    <w:p w14:paraId="6B808BC4" w14:textId="38A28549" w:rsidR="009218B2" w:rsidRDefault="009218B2" w:rsidP="00381DD3">
      <w:pPr>
        <w:rPr>
          <w:lang w:eastAsia="ja-JP"/>
        </w:rPr>
      </w:pPr>
      <w:r w:rsidRPr="00895B7D">
        <w:t xml:space="preserve">Malaria prophylaxis </w:t>
      </w:r>
      <w:r>
        <w:t xml:space="preserve">in chloroquine </w:t>
      </w:r>
      <w:r w:rsidRPr="00895B7D">
        <w:t xml:space="preserve">resistant Pf regions can be undertaken with atovaquone/proguanil </w:t>
      </w:r>
      <w:r>
        <w:t xml:space="preserve">(Malarone) </w:t>
      </w:r>
      <w:r w:rsidRPr="00895B7D">
        <w:t xml:space="preserve">combination (daily), doxycycline (daily) or mefloquine (weekly). Chloroquine </w:t>
      </w:r>
      <w:r>
        <w:t xml:space="preserve">prophylaxis </w:t>
      </w:r>
      <w:r w:rsidRPr="00895B7D">
        <w:t xml:space="preserve">(weekly) can be used for forms other than </w:t>
      </w:r>
      <w:r>
        <w:t xml:space="preserve">the </w:t>
      </w:r>
      <w:r w:rsidRPr="00895B7D">
        <w:t xml:space="preserve">resistant Pf. The </w:t>
      </w:r>
      <w:r>
        <w:t>dosing regimens also</w:t>
      </w:r>
      <w:r w:rsidRPr="00895B7D">
        <w:t xml:space="preserve"> </w:t>
      </w:r>
      <w:r>
        <w:t>take</w:t>
      </w:r>
      <w:r w:rsidRPr="00895B7D">
        <w:t xml:space="preserve"> into account whether an agent kills the initial liver stage of the parasite (liver schizontocidal agent) </w:t>
      </w:r>
      <w:r>
        <w:t xml:space="preserve">or </w:t>
      </w:r>
      <w:r w:rsidRPr="00895B7D">
        <w:t>the subsequent blood stage of parasite (blood schizontocidal agent). None of these drugs eradicate t</w:t>
      </w:r>
      <w:r>
        <w:t>he dormant/persisting hepatic</w:t>
      </w:r>
      <w:r w:rsidRPr="00895B7D">
        <w:t xml:space="preserve"> hypnozoite stage </w:t>
      </w:r>
      <w:r>
        <w:t xml:space="preserve">of the parasite </w:t>
      </w:r>
      <w:r w:rsidRPr="00895B7D">
        <w:t xml:space="preserve">which </w:t>
      </w:r>
      <w:r>
        <w:t xml:space="preserve">requires an 8-aminoquinoline agent such as </w:t>
      </w:r>
      <w:r w:rsidR="00C73BF4" w:rsidRPr="00895B7D">
        <w:t>primaquine</w:t>
      </w:r>
      <w:r w:rsidRPr="00895B7D">
        <w:t xml:space="preserve">. All of these drugs are registered in Australia for prophylaxis and can also be used (except </w:t>
      </w:r>
      <w:r>
        <w:t xml:space="preserve">for </w:t>
      </w:r>
      <w:r w:rsidRPr="00895B7D">
        <w:t xml:space="preserve">doxycycline </w:t>
      </w:r>
      <w:r>
        <w:t>and</w:t>
      </w:r>
      <w:r w:rsidRPr="00895B7D">
        <w:t xml:space="preserve"> </w:t>
      </w:r>
      <w:r w:rsidR="00994561">
        <w:t>primaquine</w:t>
      </w:r>
      <w:r w:rsidRPr="00895B7D">
        <w:t>) for the treatment of acute malaria</w:t>
      </w:r>
      <w:r>
        <w:t xml:space="preserve"> as</w:t>
      </w:r>
      <w:r w:rsidRPr="00895B7D">
        <w:t xml:space="preserve"> appropriately indicated. Artemisinin based combination therapies</w:t>
      </w:r>
      <w:r>
        <w:t>, standard of treatment for Pf malaria, are not suitable</w:t>
      </w:r>
      <w:r w:rsidRPr="00895B7D">
        <w:t xml:space="preserve"> for prophylaxis.</w:t>
      </w:r>
    </w:p>
    <w:p w14:paraId="3D7EBE7D" w14:textId="77777777" w:rsidR="00381DD3" w:rsidRDefault="00381DD3" w:rsidP="00381DD3">
      <w:pPr>
        <w:rPr>
          <w:lang w:eastAsia="ja-JP"/>
        </w:rPr>
      </w:pPr>
      <w:r w:rsidRPr="00B67E5F">
        <w:rPr>
          <w:lang w:eastAsia="ja-JP"/>
        </w:rPr>
        <w:t>The duration of dosing after leaving the endemic region is based on whether the agent kills the initial liver stage of the parasite (a causal agent) in which case the duration is 7 days, or kills the subsequent blood stage of the parasite (a blood schizonticidal agent) in which case the duration is 28 days.</w:t>
      </w:r>
    </w:p>
    <w:p w14:paraId="425E849F" w14:textId="28C01305" w:rsidR="00381DD3" w:rsidRDefault="00381DD3" w:rsidP="00381DD3">
      <w:pPr>
        <w:rPr>
          <w:lang w:eastAsia="ja-JP"/>
        </w:rPr>
      </w:pPr>
      <w:r>
        <w:rPr>
          <w:lang w:eastAsia="ja-JP"/>
        </w:rPr>
        <w:t>Atovaquone/proguanil (Malarone) prophylaxis should begin 1 to 2 days before travel to malarious areas and should be taken daily, at the same time each day, while in the malarious area and, since this agent is causally</w:t>
      </w:r>
      <w:r w:rsidR="006820A8">
        <w:rPr>
          <w:lang w:eastAsia="ja-JP"/>
        </w:rPr>
        <w:t xml:space="preserve"> </w:t>
      </w:r>
      <w:r>
        <w:rPr>
          <w:lang w:eastAsia="ja-JP"/>
        </w:rPr>
        <w:t xml:space="preserve">active, daily for 7 days after leaving the </w:t>
      </w:r>
      <w:r>
        <w:rPr>
          <w:lang w:eastAsia="ja-JP"/>
        </w:rPr>
        <w:lastRenderedPageBreak/>
        <w:t>area.</w:t>
      </w:r>
      <w:r>
        <w:rPr>
          <w:rStyle w:val="FootnoteReference"/>
          <w:lang w:eastAsia="ja-JP"/>
        </w:rPr>
        <w:footnoteReference w:id="2"/>
      </w:r>
      <w:r>
        <w:rPr>
          <w:lang w:eastAsia="ja-JP"/>
        </w:rPr>
        <w:t xml:space="preserve"> Malarone prophylactic efficacy is approximately 98%. Adverse effects reported in persons using atovaquone/proguanil for prophylaxis or for treatment include abdominal pain, nausea, vomiting and headache.</w:t>
      </w:r>
    </w:p>
    <w:p w14:paraId="3F129EFB" w14:textId="12E01164" w:rsidR="00381DD3" w:rsidRDefault="00381DD3" w:rsidP="00381DD3">
      <w:pPr>
        <w:rPr>
          <w:lang w:eastAsia="ja-JP"/>
        </w:rPr>
      </w:pPr>
      <w:r>
        <w:rPr>
          <w:lang w:eastAsia="ja-JP"/>
        </w:rPr>
        <w:t>Doxycycline prophylaxis should begin 1 to 2 days before travel to malarious areas. It should be continued once a day, at the same time each day, during travel in malarious areas and daily for 4 weeks after the traveller leaves such areas. Efficacy is thought to be between 92</w:t>
      </w:r>
      <w:r w:rsidR="00E66DE0">
        <w:rPr>
          <w:lang w:eastAsia="ja-JP"/>
        </w:rPr>
        <w:t xml:space="preserve"> to </w:t>
      </w:r>
      <w:r>
        <w:rPr>
          <w:lang w:eastAsia="ja-JP"/>
        </w:rPr>
        <w:t>96%</w:t>
      </w:r>
      <w:bookmarkStart w:id="18" w:name="_Ref524006662"/>
      <w:r w:rsidR="00E66DE0">
        <w:rPr>
          <w:lang w:eastAsia="ja-JP"/>
        </w:rPr>
        <w:t>.</w:t>
      </w:r>
      <w:r>
        <w:rPr>
          <w:rStyle w:val="FootnoteReference"/>
          <w:lang w:eastAsia="ja-JP"/>
        </w:rPr>
        <w:footnoteReference w:id="3"/>
      </w:r>
      <w:bookmarkEnd w:id="18"/>
      <w:r>
        <w:rPr>
          <w:lang w:eastAsia="ja-JP"/>
        </w:rPr>
        <w:t xml:space="preserve"> Doxycycline frequently causes mild-moderate nausea, vomiting, abdominal pain, photosensitivity, and vaginitis; and uncommonly can cause the severe reactions of esophagitis and oesophageal ulceration.</w:t>
      </w:r>
    </w:p>
    <w:p w14:paraId="4869C725" w14:textId="3907EC8A" w:rsidR="00381DD3" w:rsidRDefault="00381DD3" w:rsidP="00381DD3">
      <w:pPr>
        <w:rPr>
          <w:lang w:eastAsia="ja-JP"/>
        </w:rPr>
      </w:pPr>
      <w:r>
        <w:rPr>
          <w:lang w:eastAsia="ja-JP"/>
        </w:rPr>
        <w:t>Mefloquine prophylaxis should begin 1 to 2 weeks before travel to malarious areas. It should be continued once a week, on the same day of the week, during travel in malarious areas and for 4 weeks after a traveller leaves such areas. Mefloquine prophylactic efficacy is approximately the same as that of Malarone. Mefloquine resistance, where present, will diminish that efficacy rate. Mefloquine has been associated with rare serious adverse reactions (such as psychoses or seizures) at prophylactic doses; these reactions are more frequent with the higher doses used for treatment. Other side effects that have occurred in chemoprophylaxis studies include gastrointestinal disturbance, headache, insomnia, abnormal dreams, visual disturbances, depression, anxiety disorder, and dizziness. Other more severe neuropsychiatric disorders occasionally reported during post marketing surveillance include sensory and motor neuropathies (including paraesthesia, tremor, and ataxia), agitation or restlessness, mood changes, panic attacks, forgetfulness, confusion, hallucinations, aggression, paranoia, and encephalopathy. Psychiatric symptoms have been reported to continue long after mefloquine has been stopped. Mefloquine is contraindicated for use by travellers with a known hypersensitivity to mefloquine or related compounds (for example, quinine and quinidine) and in persons with active or a history of major psychiatric disorders, or seizures. It should be used with caution in persons with psychiatric disturbances or a previous history of depression. Mefloquine is not recommended for persons with cardiac conduction abnormalities.</w:t>
      </w:r>
    </w:p>
    <w:p w14:paraId="1D09A69E" w14:textId="77777777" w:rsidR="00381DD3" w:rsidRDefault="00381DD3" w:rsidP="00381DD3">
      <w:r>
        <w:rPr>
          <w:lang w:eastAsia="ja-JP"/>
        </w:rPr>
        <w:t>These drugs are all registered and available in Australia for malaria prophylaxis.</w:t>
      </w:r>
    </w:p>
    <w:p w14:paraId="1649BC84" w14:textId="77777777" w:rsidR="00C905AA" w:rsidRPr="00112D20" w:rsidRDefault="00C905AA" w:rsidP="0039759D">
      <w:pPr>
        <w:pStyle w:val="Heading4"/>
      </w:pPr>
      <w:r w:rsidRPr="00112D20">
        <w:t>Malaria infection</w:t>
      </w:r>
      <w:r w:rsidR="008E0D26">
        <w:t xml:space="preserve"> in Australia</w:t>
      </w:r>
    </w:p>
    <w:p w14:paraId="25D1C183" w14:textId="2479DDA8" w:rsidR="00C905AA" w:rsidRDefault="00C905AA" w:rsidP="0039759D">
      <w:r w:rsidRPr="00895B7D">
        <w:t>Malarial paras</w:t>
      </w:r>
      <w:r>
        <w:t>ite transmission is not endemic</w:t>
      </w:r>
      <w:r w:rsidRPr="00895B7D">
        <w:t xml:space="preserve"> in Australia although the </w:t>
      </w:r>
      <w:r>
        <w:t>malaria vector, anopheles mosquito is present is northern Australia (</w:t>
      </w:r>
      <w:r w:rsidRPr="00C02835">
        <w:t>above 19</w:t>
      </w:r>
      <w:r w:rsidRPr="00112D20">
        <w:t>˚</w:t>
      </w:r>
      <w:r w:rsidRPr="00C02835">
        <w:t>S latitude</w:t>
      </w:r>
      <w:r>
        <w:t>) and the area remains malaria receptive</w:t>
      </w:r>
      <w:r w:rsidRPr="00895B7D">
        <w:t xml:space="preserve">. </w:t>
      </w:r>
      <w:r>
        <w:t>Malaria</w:t>
      </w:r>
      <w:r w:rsidRPr="00895B7D">
        <w:t xml:space="preserve"> is a notifiable disease in Australia. The </w:t>
      </w:r>
      <w:r>
        <w:t xml:space="preserve">annual </w:t>
      </w:r>
      <w:r w:rsidRPr="00895B7D">
        <w:t>number</w:t>
      </w:r>
      <w:r w:rsidR="00381DD3">
        <w:t>s</w:t>
      </w:r>
      <w:r w:rsidRPr="00895B7D">
        <w:t xml:space="preserve"> of malaria cases notified in Aus</w:t>
      </w:r>
      <w:r>
        <w:t xml:space="preserve">tralia </w:t>
      </w:r>
      <w:r w:rsidR="00977CA4">
        <w:t>between the years 2000</w:t>
      </w:r>
      <w:r w:rsidR="00381DD3">
        <w:t xml:space="preserve"> to </w:t>
      </w:r>
      <w:r w:rsidR="00977CA4">
        <w:t>2018</w:t>
      </w:r>
      <w:r>
        <w:t xml:space="preserve"> w</w:t>
      </w:r>
      <w:r w:rsidR="00381DD3">
        <w:t>ere</w:t>
      </w:r>
      <w:r>
        <w:t xml:space="preserve"> as follows</w:t>
      </w:r>
      <w:r w:rsidR="0039759D">
        <w:t xml:space="preserve"> </w:t>
      </w:r>
      <w:r w:rsidR="00E66DE0">
        <w:t>in Table 3, below.</w:t>
      </w:r>
    </w:p>
    <w:p w14:paraId="7AF982D9" w14:textId="72394634" w:rsidR="0039759D" w:rsidRPr="00A57C8C" w:rsidRDefault="0039759D" w:rsidP="0039759D">
      <w:pPr>
        <w:pStyle w:val="TableTitle"/>
      </w:pPr>
      <w:r>
        <w:t xml:space="preserve">Table </w:t>
      </w:r>
      <w:r w:rsidR="004A62EC">
        <w:t>3</w:t>
      </w:r>
      <w:r>
        <w:t>: Number of malaria cases in Australia 2000</w:t>
      </w:r>
      <w:r w:rsidR="00E66DE0">
        <w:t xml:space="preserve"> to </w:t>
      </w:r>
      <w:r>
        <w:t>2018</w:t>
      </w:r>
    </w:p>
    <w:tbl>
      <w:tblPr>
        <w:tblStyle w:val="TableTGAblue"/>
        <w:tblW w:w="0" w:type="auto"/>
        <w:tblInd w:w="250" w:type="dxa"/>
        <w:tblLook w:val="04A0" w:firstRow="1" w:lastRow="0" w:firstColumn="1" w:lastColumn="0" w:noHBand="0" w:noVBand="1"/>
      </w:tblPr>
      <w:tblGrid>
        <w:gridCol w:w="2977"/>
        <w:gridCol w:w="3685"/>
      </w:tblGrid>
      <w:tr w:rsidR="00D13E73" w:rsidRPr="00D13E73" w14:paraId="50F8AB18" w14:textId="77777777" w:rsidTr="00977CA4">
        <w:trPr>
          <w:cnfStyle w:val="100000000000" w:firstRow="1" w:lastRow="0" w:firstColumn="0" w:lastColumn="0" w:oddVBand="0" w:evenVBand="0" w:oddHBand="0" w:evenHBand="0" w:firstRowFirstColumn="0" w:firstRowLastColumn="0" w:lastRowFirstColumn="0" w:lastRowLastColumn="0"/>
          <w:cantSplit/>
        </w:trPr>
        <w:tc>
          <w:tcPr>
            <w:tcW w:w="2977" w:type="dxa"/>
          </w:tcPr>
          <w:p w14:paraId="511DAAE1" w14:textId="77777777" w:rsidR="00D13E73" w:rsidRPr="00D13E73" w:rsidRDefault="00D13E73" w:rsidP="00D13E73">
            <w:pPr>
              <w:rPr>
                <w:rFonts w:asciiTheme="minorHAnsi" w:hAnsiTheme="minorHAnsi"/>
                <w:sz w:val="20"/>
                <w:szCs w:val="20"/>
              </w:rPr>
            </w:pPr>
            <w:r>
              <w:rPr>
                <w:rFonts w:asciiTheme="minorHAnsi" w:hAnsiTheme="minorHAnsi"/>
                <w:sz w:val="20"/>
                <w:szCs w:val="20"/>
              </w:rPr>
              <w:t>Year</w:t>
            </w:r>
          </w:p>
        </w:tc>
        <w:tc>
          <w:tcPr>
            <w:tcW w:w="3685" w:type="dxa"/>
          </w:tcPr>
          <w:p w14:paraId="7A3150E0" w14:textId="77777777" w:rsidR="00D13E73" w:rsidRPr="00D13E73" w:rsidRDefault="00D13E73" w:rsidP="00D13E73">
            <w:pPr>
              <w:rPr>
                <w:rFonts w:asciiTheme="minorHAnsi" w:hAnsiTheme="minorHAnsi"/>
                <w:sz w:val="20"/>
                <w:szCs w:val="20"/>
              </w:rPr>
            </w:pPr>
            <w:r>
              <w:rPr>
                <w:rFonts w:asciiTheme="minorHAnsi" w:hAnsiTheme="minorHAnsi"/>
                <w:sz w:val="20"/>
                <w:szCs w:val="20"/>
              </w:rPr>
              <w:t>Number of cases</w:t>
            </w:r>
          </w:p>
        </w:tc>
      </w:tr>
      <w:tr w:rsidR="00D13E73" w:rsidRPr="00D13E73" w14:paraId="45A8A12C" w14:textId="77777777" w:rsidTr="00977CA4">
        <w:tc>
          <w:tcPr>
            <w:tcW w:w="2977" w:type="dxa"/>
          </w:tcPr>
          <w:p w14:paraId="6EC88C29"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w:t>
            </w:r>
            <w:r>
              <w:rPr>
                <w:rFonts w:asciiTheme="minorHAnsi" w:hAnsiTheme="minorHAnsi"/>
                <w:sz w:val="20"/>
                <w:szCs w:val="20"/>
              </w:rPr>
              <w:t>0</w:t>
            </w:r>
          </w:p>
        </w:tc>
        <w:tc>
          <w:tcPr>
            <w:tcW w:w="3685" w:type="dxa"/>
          </w:tcPr>
          <w:p w14:paraId="1EB5F5EF"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966</w:t>
            </w:r>
          </w:p>
        </w:tc>
      </w:tr>
      <w:tr w:rsidR="00D13E73" w:rsidRPr="00D13E73" w14:paraId="1FF7899C" w14:textId="77777777" w:rsidTr="00977CA4">
        <w:tc>
          <w:tcPr>
            <w:tcW w:w="2977" w:type="dxa"/>
          </w:tcPr>
          <w:p w14:paraId="713BFC88"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2001</w:t>
            </w:r>
          </w:p>
        </w:tc>
        <w:tc>
          <w:tcPr>
            <w:tcW w:w="3685" w:type="dxa"/>
          </w:tcPr>
          <w:p w14:paraId="2553EEA9"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714</w:t>
            </w:r>
          </w:p>
        </w:tc>
      </w:tr>
      <w:tr w:rsidR="00D13E73" w:rsidRPr="00D13E73" w14:paraId="600B2680" w14:textId="77777777" w:rsidTr="00977CA4">
        <w:tc>
          <w:tcPr>
            <w:tcW w:w="2977" w:type="dxa"/>
          </w:tcPr>
          <w:p w14:paraId="7666F2B2"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2002</w:t>
            </w:r>
          </w:p>
        </w:tc>
        <w:tc>
          <w:tcPr>
            <w:tcW w:w="3685" w:type="dxa"/>
          </w:tcPr>
          <w:p w14:paraId="66798C60"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467</w:t>
            </w:r>
          </w:p>
        </w:tc>
      </w:tr>
      <w:tr w:rsidR="00D13E73" w:rsidRPr="00D13E73" w14:paraId="3362547C" w14:textId="77777777" w:rsidTr="00977CA4">
        <w:tc>
          <w:tcPr>
            <w:tcW w:w="2977" w:type="dxa"/>
          </w:tcPr>
          <w:p w14:paraId="26D0DE5C"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2003</w:t>
            </w:r>
          </w:p>
        </w:tc>
        <w:tc>
          <w:tcPr>
            <w:tcW w:w="3685" w:type="dxa"/>
          </w:tcPr>
          <w:p w14:paraId="35EF2B71"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584</w:t>
            </w:r>
          </w:p>
        </w:tc>
      </w:tr>
      <w:tr w:rsidR="00D13E73" w:rsidRPr="00D13E73" w14:paraId="32FA3E8A" w14:textId="77777777" w:rsidTr="00977CA4">
        <w:tc>
          <w:tcPr>
            <w:tcW w:w="2977" w:type="dxa"/>
          </w:tcPr>
          <w:p w14:paraId="5E4FE8FE"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lastRenderedPageBreak/>
              <w:t>2004</w:t>
            </w:r>
          </w:p>
        </w:tc>
        <w:tc>
          <w:tcPr>
            <w:tcW w:w="3685" w:type="dxa"/>
          </w:tcPr>
          <w:p w14:paraId="3AAA5135"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544</w:t>
            </w:r>
          </w:p>
        </w:tc>
      </w:tr>
      <w:tr w:rsidR="00D13E73" w:rsidRPr="00D13E73" w14:paraId="484E0582" w14:textId="77777777" w:rsidTr="00977CA4">
        <w:tc>
          <w:tcPr>
            <w:tcW w:w="2977" w:type="dxa"/>
          </w:tcPr>
          <w:p w14:paraId="453DF745"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2005</w:t>
            </w:r>
          </w:p>
        </w:tc>
        <w:tc>
          <w:tcPr>
            <w:tcW w:w="3685" w:type="dxa"/>
          </w:tcPr>
          <w:p w14:paraId="7543E250"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812</w:t>
            </w:r>
          </w:p>
        </w:tc>
      </w:tr>
      <w:tr w:rsidR="00D13E73" w:rsidRPr="00D13E73" w14:paraId="6DD363CD" w14:textId="77777777" w:rsidTr="00977CA4">
        <w:tc>
          <w:tcPr>
            <w:tcW w:w="2977" w:type="dxa"/>
          </w:tcPr>
          <w:p w14:paraId="74361C2C"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2006</w:t>
            </w:r>
          </w:p>
        </w:tc>
        <w:tc>
          <w:tcPr>
            <w:tcW w:w="3685" w:type="dxa"/>
          </w:tcPr>
          <w:p w14:paraId="5AE3BCEB"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771</w:t>
            </w:r>
          </w:p>
        </w:tc>
      </w:tr>
      <w:tr w:rsidR="00D13E73" w:rsidRPr="00D13E73" w14:paraId="19E38F3E" w14:textId="77777777" w:rsidTr="00977CA4">
        <w:tc>
          <w:tcPr>
            <w:tcW w:w="2977" w:type="dxa"/>
          </w:tcPr>
          <w:p w14:paraId="61A8A6E8"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2007</w:t>
            </w:r>
          </w:p>
        </w:tc>
        <w:tc>
          <w:tcPr>
            <w:tcW w:w="3685" w:type="dxa"/>
          </w:tcPr>
          <w:p w14:paraId="1E1800CE"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565</w:t>
            </w:r>
          </w:p>
        </w:tc>
      </w:tr>
      <w:tr w:rsidR="00D13E73" w:rsidRPr="00D13E73" w14:paraId="72A4BED9" w14:textId="77777777" w:rsidTr="00977CA4">
        <w:tc>
          <w:tcPr>
            <w:tcW w:w="2977" w:type="dxa"/>
          </w:tcPr>
          <w:p w14:paraId="49FAFE09"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2008</w:t>
            </w:r>
          </w:p>
        </w:tc>
        <w:tc>
          <w:tcPr>
            <w:tcW w:w="3685" w:type="dxa"/>
          </w:tcPr>
          <w:p w14:paraId="3CF0882B"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528</w:t>
            </w:r>
          </w:p>
        </w:tc>
      </w:tr>
      <w:tr w:rsidR="00D13E73" w:rsidRPr="00D13E73" w14:paraId="27304B78" w14:textId="77777777" w:rsidTr="00977CA4">
        <w:tc>
          <w:tcPr>
            <w:tcW w:w="2977" w:type="dxa"/>
          </w:tcPr>
          <w:p w14:paraId="353A73E2"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2009</w:t>
            </w:r>
          </w:p>
        </w:tc>
        <w:tc>
          <w:tcPr>
            <w:tcW w:w="3685" w:type="dxa"/>
          </w:tcPr>
          <w:p w14:paraId="1E7C720E"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504</w:t>
            </w:r>
          </w:p>
        </w:tc>
      </w:tr>
      <w:tr w:rsidR="00D13E73" w:rsidRPr="00D13E73" w14:paraId="159A34FD" w14:textId="77777777" w:rsidTr="00977CA4">
        <w:tc>
          <w:tcPr>
            <w:tcW w:w="2977" w:type="dxa"/>
          </w:tcPr>
          <w:p w14:paraId="02CBFFE8"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2010</w:t>
            </w:r>
          </w:p>
        </w:tc>
        <w:tc>
          <w:tcPr>
            <w:tcW w:w="3685" w:type="dxa"/>
          </w:tcPr>
          <w:p w14:paraId="67251B6E"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406</w:t>
            </w:r>
          </w:p>
        </w:tc>
      </w:tr>
      <w:tr w:rsidR="00D13E73" w:rsidRPr="00D13E73" w14:paraId="26BBC3D6" w14:textId="77777777" w:rsidTr="00977CA4">
        <w:tc>
          <w:tcPr>
            <w:tcW w:w="2977" w:type="dxa"/>
          </w:tcPr>
          <w:p w14:paraId="57EF9936"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2011</w:t>
            </w:r>
          </w:p>
        </w:tc>
        <w:tc>
          <w:tcPr>
            <w:tcW w:w="3685" w:type="dxa"/>
          </w:tcPr>
          <w:p w14:paraId="1DD59B83"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422</w:t>
            </w:r>
          </w:p>
        </w:tc>
      </w:tr>
      <w:tr w:rsidR="00D13E73" w:rsidRPr="00D13E73" w14:paraId="2C6C8DE8" w14:textId="77777777" w:rsidTr="00977CA4">
        <w:tc>
          <w:tcPr>
            <w:tcW w:w="2977" w:type="dxa"/>
          </w:tcPr>
          <w:p w14:paraId="0C54BB04"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2012</w:t>
            </w:r>
          </w:p>
        </w:tc>
        <w:tc>
          <w:tcPr>
            <w:tcW w:w="3685" w:type="dxa"/>
          </w:tcPr>
          <w:p w14:paraId="29974CDD"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344</w:t>
            </w:r>
          </w:p>
        </w:tc>
      </w:tr>
      <w:tr w:rsidR="00D13E73" w:rsidRPr="00D13E73" w14:paraId="0CA71F66" w14:textId="77777777" w:rsidTr="00977CA4">
        <w:tc>
          <w:tcPr>
            <w:tcW w:w="2977" w:type="dxa"/>
          </w:tcPr>
          <w:p w14:paraId="5B8CCC08"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2013</w:t>
            </w:r>
          </w:p>
        </w:tc>
        <w:tc>
          <w:tcPr>
            <w:tcW w:w="3685" w:type="dxa"/>
          </w:tcPr>
          <w:p w14:paraId="437C2513"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422</w:t>
            </w:r>
          </w:p>
        </w:tc>
      </w:tr>
      <w:tr w:rsidR="00D13E73" w:rsidRPr="00D13E73" w14:paraId="47AD328E" w14:textId="77777777" w:rsidTr="00977CA4">
        <w:tc>
          <w:tcPr>
            <w:tcW w:w="2977" w:type="dxa"/>
          </w:tcPr>
          <w:p w14:paraId="026C4933"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2014</w:t>
            </w:r>
          </w:p>
        </w:tc>
        <w:tc>
          <w:tcPr>
            <w:tcW w:w="3685" w:type="dxa"/>
          </w:tcPr>
          <w:p w14:paraId="0F40E566"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325</w:t>
            </w:r>
          </w:p>
        </w:tc>
      </w:tr>
      <w:tr w:rsidR="00D13E73" w:rsidRPr="00D13E73" w14:paraId="0AA35947" w14:textId="77777777" w:rsidTr="00977CA4">
        <w:tc>
          <w:tcPr>
            <w:tcW w:w="2977" w:type="dxa"/>
          </w:tcPr>
          <w:p w14:paraId="5A793A6A"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2015</w:t>
            </w:r>
          </w:p>
        </w:tc>
        <w:tc>
          <w:tcPr>
            <w:tcW w:w="3685" w:type="dxa"/>
          </w:tcPr>
          <w:p w14:paraId="77C2E3A0"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234</w:t>
            </w:r>
          </w:p>
        </w:tc>
      </w:tr>
      <w:tr w:rsidR="00D13E73" w:rsidRPr="00D13E73" w14:paraId="4E0054EF" w14:textId="77777777" w:rsidTr="00977CA4">
        <w:tc>
          <w:tcPr>
            <w:tcW w:w="2977" w:type="dxa"/>
          </w:tcPr>
          <w:p w14:paraId="37A4BEDA"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2016</w:t>
            </w:r>
          </w:p>
        </w:tc>
        <w:tc>
          <w:tcPr>
            <w:tcW w:w="3685" w:type="dxa"/>
          </w:tcPr>
          <w:p w14:paraId="463A84AA"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304</w:t>
            </w:r>
          </w:p>
        </w:tc>
      </w:tr>
      <w:tr w:rsidR="00D13E73" w:rsidRPr="00D13E73" w14:paraId="0E48EDC2" w14:textId="77777777" w:rsidTr="00977CA4">
        <w:tc>
          <w:tcPr>
            <w:tcW w:w="2977" w:type="dxa"/>
          </w:tcPr>
          <w:p w14:paraId="7DC7333B"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2017</w:t>
            </w:r>
          </w:p>
        </w:tc>
        <w:tc>
          <w:tcPr>
            <w:tcW w:w="3685" w:type="dxa"/>
          </w:tcPr>
          <w:p w14:paraId="5E05598A"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357</w:t>
            </w:r>
          </w:p>
        </w:tc>
      </w:tr>
      <w:tr w:rsidR="00D13E73" w:rsidRPr="00D13E73" w14:paraId="3A3D41E2" w14:textId="77777777" w:rsidTr="00977CA4">
        <w:tc>
          <w:tcPr>
            <w:tcW w:w="2977" w:type="dxa"/>
          </w:tcPr>
          <w:p w14:paraId="1ED5F12A"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2018</w:t>
            </w:r>
          </w:p>
        </w:tc>
        <w:tc>
          <w:tcPr>
            <w:tcW w:w="3685" w:type="dxa"/>
          </w:tcPr>
          <w:p w14:paraId="109188E4" w14:textId="77777777" w:rsidR="00D13E73" w:rsidRPr="00D13E73" w:rsidRDefault="00D13E73" w:rsidP="00D13E73">
            <w:pPr>
              <w:rPr>
                <w:rFonts w:asciiTheme="minorHAnsi" w:hAnsiTheme="minorHAnsi"/>
                <w:sz w:val="20"/>
                <w:szCs w:val="20"/>
              </w:rPr>
            </w:pPr>
            <w:r w:rsidRPr="00D13E73">
              <w:rPr>
                <w:rFonts w:asciiTheme="minorHAnsi" w:hAnsiTheme="minorHAnsi"/>
                <w:sz w:val="20"/>
                <w:szCs w:val="20"/>
              </w:rPr>
              <w:t>46</w:t>
            </w:r>
          </w:p>
        </w:tc>
      </w:tr>
    </w:tbl>
    <w:p w14:paraId="5B1557A3" w14:textId="5D1CC0C5" w:rsidR="00C905AA" w:rsidRDefault="00C905AA" w:rsidP="00C905AA">
      <w:pPr>
        <w:spacing w:line="240" w:lineRule="auto"/>
        <w:jc w:val="both"/>
      </w:pPr>
      <w:r w:rsidRPr="00895B7D">
        <w:t xml:space="preserve">The cases reported in Australia are </w:t>
      </w:r>
      <w:r>
        <w:t xml:space="preserve">mostly </w:t>
      </w:r>
      <w:r w:rsidRPr="00895B7D">
        <w:t>attributable to acquisition of infection from exposure during over</w:t>
      </w:r>
      <w:r>
        <w:t>seas travel</w:t>
      </w:r>
      <w:r w:rsidR="0039759D">
        <w:t xml:space="preserve"> (</w:t>
      </w:r>
      <w:r w:rsidR="00E71EF1">
        <w:t xml:space="preserve">see </w:t>
      </w:r>
      <w:r w:rsidR="0039759D">
        <w:t xml:space="preserve">Table </w:t>
      </w:r>
      <w:r w:rsidR="004A62EC">
        <w:t>4</w:t>
      </w:r>
      <w:r w:rsidR="00E66DE0">
        <w:t>, below).</w:t>
      </w:r>
    </w:p>
    <w:p w14:paraId="5CCFEE91" w14:textId="59C260E2" w:rsidR="0039759D" w:rsidRDefault="0039759D" w:rsidP="0039759D">
      <w:pPr>
        <w:pStyle w:val="TableTitle"/>
      </w:pPr>
      <w:r>
        <w:t xml:space="preserve">Table </w:t>
      </w:r>
      <w:r w:rsidR="004A62EC">
        <w:t>4</w:t>
      </w:r>
      <w:r>
        <w:t>: Malaria cases in Australia 2010</w:t>
      </w:r>
      <w:r w:rsidR="00E66DE0">
        <w:t xml:space="preserve"> to </w:t>
      </w:r>
      <w:r>
        <w:t>2014 by year, state/territory reporting and by place of acquisition (local or overseas)</w:t>
      </w:r>
    </w:p>
    <w:p w14:paraId="30000F29" w14:textId="77777777" w:rsidR="00C905AA" w:rsidRDefault="00C905AA" w:rsidP="0039759D">
      <w:r>
        <w:rPr>
          <w:noProof/>
          <w:lang w:eastAsia="en-AU"/>
        </w:rPr>
        <w:drawing>
          <wp:inline distT="0" distB="0" distL="0" distR="0" wp14:anchorId="79BD5B42" wp14:editId="7062DB46">
            <wp:extent cx="4591087" cy="1930393"/>
            <wp:effectExtent l="0" t="0" r="0" b="0"/>
            <wp:docPr id="4" name="Picture 4" descr="Australia Malaria cases 2010-2014 by year, state/territory reporting and by place of acquisition (local or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8F9FB.tmp"/>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2931"/>
                    <a:stretch/>
                  </pic:blipFill>
                  <pic:spPr bwMode="auto">
                    <a:xfrm>
                      <a:off x="0" y="0"/>
                      <a:ext cx="4593413" cy="1931371"/>
                    </a:xfrm>
                    <a:prstGeom prst="rect">
                      <a:avLst/>
                    </a:prstGeom>
                    <a:ln>
                      <a:noFill/>
                    </a:ln>
                    <a:extLst>
                      <a:ext uri="{53640926-AAD7-44D8-BBD7-CCE9431645EC}">
                        <a14:shadowObscured xmlns:a14="http://schemas.microsoft.com/office/drawing/2010/main"/>
                      </a:ext>
                    </a:extLst>
                  </pic:spPr>
                </pic:pic>
              </a:graphicData>
            </a:graphic>
          </wp:inline>
        </w:drawing>
      </w:r>
    </w:p>
    <w:p w14:paraId="0D52739C" w14:textId="03B4BF5E" w:rsidR="00C905AA" w:rsidRDefault="00C905AA" w:rsidP="0039759D">
      <w:r>
        <w:t xml:space="preserve">In Australia, most patients diagnosed with malaria (87%) are treated in-hospital. The distribution of malaria cases by plasmodia species in </w:t>
      </w:r>
      <w:r w:rsidR="004A62EC">
        <w:t xml:space="preserve">the </w:t>
      </w:r>
      <w:r>
        <w:t>last 2 reporting periods was as follows</w:t>
      </w:r>
      <w:r w:rsidR="0039759D">
        <w:t xml:space="preserve"> (Table </w:t>
      </w:r>
      <w:r w:rsidR="004A62EC">
        <w:t>5</w:t>
      </w:r>
      <w:r w:rsidR="0039759D">
        <w:t>)</w:t>
      </w:r>
      <w:r w:rsidR="00E66DE0">
        <w:t>.</w:t>
      </w:r>
    </w:p>
    <w:p w14:paraId="2F29E7BD" w14:textId="62D02D26" w:rsidR="0039759D" w:rsidRDefault="0039759D" w:rsidP="0039759D">
      <w:pPr>
        <w:pStyle w:val="TableTitle"/>
      </w:pPr>
      <w:r>
        <w:lastRenderedPageBreak/>
        <w:t xml:space="preserve">Table </w:t>
      </w:r>
      <w:r w:rsidR="004A62EC">
        <w:t>5</w:t>
      </w:r>
      <w:r>
        <w:t>: Hospital admission time for malaria cases in Australia</w:t>
      </w:r>
    </w:p>
    <w:p w14:paraId="75ABFCBF" w14:textId="77777777" w:rsidR="00C905AA" w:rsidRDefault="00C905AA" w:rsidP="0039759D">
      <w:r>
        <w:rPr>
          <w:noProof/>
          <w:lang w:eastAsia="en-AU"/>
        </w:rPr>
        <w:drawing>
          <wp:inline distT="0" distB="0" distL="0" distR="0" wp14:anchorId="1B8306A4" wp14:editId="7B0D167F">
            <wp:extent cx="5188857" cy="1726132"/>
            <wp:effectExtent l="0" t="0" r="0" b="7620"/>
            <wp:docPr id="6" name="Picture 6" descr="Hospital admission time for malaria cas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8AA78.tmp"/>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8817"/>
                    <a:stretch/>
                  </pic:blipFill>
                  <pic:spPr bwMode="auto">
                    <a:xfrm>
                      <a:off x="0" y="0"/>
                      <a:ext cx="5187860" cy="1725800"/>
                    </a:xfrm>
                    <a:prstGeom prst="rect">
                      <a:avLst/>
                    </a:prstGeom>
                    <a:ln>
                      <a:noFill/>
                    </a:ln>
                    <a:extLst>
                      <a:ext uri="{53640926-AAD7-44D8-BBD7-CCE9431645EC}">
                        <a14:shadowObscured xmlns:a14="http://schemas.microsoft.com/office/drawing/2010/main"/>
                      </a:ext>
                    </a:extLst>
                  </pic:spPr>
                </pic:pic>
              </a:graphicData>
            </a:graphic>
          </wp:inline>
        </w:drawing>
      </w:r>
    </w:p>
    <w:p w14:paraId="620C2957" w14:textId="766B0BE8" w:rsidR="00C905AA" w:rsidRDefault="00C905AA" w:rsidP="0053760E">
      <w:r>
        <w:t>The incidence of malaria in Australia is thus approximately 1.4 cases/</w:t>
      </w:r>
      <w:r w:rsidRPr="00C02835">
        <w:t xml:space="preserve">100,000 </w:t>
      </w:r>
      <w:r>
        <w:t xml:space="preserve">population overall. </w:t>
      </w:r>
      <w:r w:rsidRPr="00C02835">
        <w:t xml:space="preserve">Queensland </w:t>
      </w:r>
      <w:r>
        <w:t xml:space="preserve">has higher incidence </w:t>
      </w:r>
      <w:proofErr w:type="gramStart"/>
      <w:r>
        <w:t>(2.7 cases/</w:t>
      </w:r>
      <w:r w:rsidRPr="00C02835">
        <w:t>1</w:t>
      </w:r>
      <w:r>
        <w:t>00,000)</w:t>
      </w:r>
      <w:proofErr w:type="gramEnd"/>
      <w:r>
        <w:t>. These Australian rates</w:t>
      </w:r>
      <w:r w:rsidRPr="00C02835">
        <w:t xml:space="preserve"> </w:t>
      </w:r>
      <w:r>
        <w:t>(national and Q</w:t>
      </w:r>
      <w:r w:rsidR="0053760E">
        <w:t>ueensland</w:t>
      </w:r>
      <w:r>
        <w:t xml:space="preserve">) </w:t>
      </w:r>
      <w:r w:rsidRPr="00C02835">
        <w:t xml:space="preserve">are about 3 and 5 times </w:t>
      </w:r>
      <w:r>
        <w:t xml:space="preserve">respectively </w:t>
      </w:r>
      <w:r w:rsidRPr="00C02835">
        <w:t>the incidence of malaria in the</w:t>
      </w:r>
      <w:r>
        <w:t xml:space="preserve"> United States (0.5 cases/</w:t>
      </w:r>
      <w:r w:rsidRPr="00C02835">
        <w:t>100,000</w:t>
      </w:r>
      <w:r>
        <w:t xml:space="preserve"> population</w:t>
      </w:r>
      <w:r w:rsidRPr="00C02835">
        <w:t>).</w:t>
      </w:r>
    </w:p>
    <w:p w14:paraId="079AD57C" w14:textId="77777777" w:rsidR="008E7846" w:rsidRPr="003F31A2" w:rsidRDefault="00386150" w:rsidP="008E7846">
      <w:pPr>
        <w:pStyle w:val="Heading3"/>
      </w:pPr>
      <w:bookmarkStart w:id="19" w:name="_Toc314842485"/>
      <w:bookmarkStart w:id="20" w:name="_Toc247691504"/>
      <w:bookmarkStart w:id="21" w:name="_Toc12348766"/>
      <w:r>
        <w:t>Regulatory s</w:t>
      </w:r>
      <w:r w:rsidR="008E7846">
        <w:t>tatus</w:t>
      </w:r>
      <w:bookmarkEnd w:id="19"/>
      <w:bookmarkEnd w:id="20"/>
      <w:bookmarkEnd w:id="21"/>
    </w:p>
    <w:p w14:paraId="34A0B91C" w14:textId="31854AAB" w:rsidR="006F2616" w:rsidRDefault="006F2616" w:rsidP="006F2616">
      <w:bookmarkStart w:id="22" w:name="_Toc247691505"/>
      <w:bookmarkStart w:id="23" w:name="_Toc314842486"/>
      <w:r>
        <w:t xml:space="preserve">Tafenoquine was registered on the </w:t>
      </w:r>
      <w:r w:rsidR="00E66DE0">
        <w:t>Australian Register of Therapeutic Goods (</w:t>
      </w:r>
      <w:r>
        <w:t>ARTG</w:t>
      </w:r>
      <w:r w:rsidR="00E66DE0">
        <w:t>)</w:t>
      </w:r>
      <w:r>
        <w:t xml:space="preserve"> for the malaria prevention indication on the 19 September 2018 (Kodatef). The US Food and Drug Administration (FDA) undertook a concurrent review of tafenoquine for the malaria prevention indication and approved the malaria prevention indication (under priority review) on the 8 August 2018. Tafenoquine is approved as Arakoda in the USA for the prevention of malaria.</w:t>
      </w:r>
      <w:r w:rsidR="004C098C">
        <w:t xml:space="preserve"> </w:t>
      </w:r>
      <w:r>
        <w:t>Tafenoquine is also registered on the ARTG for the single</w:t>
      </w:r>
      <w:r w:rsidR="00E66DE0">
        <w:t xml:space="preserve"> </w:t>
      </w:r>
      <w:r>
        <w:t>dose, radical cure (prevention of relapse) of Plasmodium vivax</w:t>
      </w:r>
      <w:r w:rsidR="00E66DE0">
        <w:t xml:space="preserve"> (Pv)</w:t>
      </w:r>
      <w:r>
        <w:t xml:space="preserve"> </w:t>
      </w:r>
      <w:r w:rsidR="003A2C7B">
        <w:t>malaria in combination with another antimalarial drug for acute Plasmodium vivax</w:t>
      </w:r>
      <w:r w:rsidR="00E66DE0">
        <w:t xml:space="preserve"> (Pv)</w:t>
      </w:r>
      <w:r w:rsidR="003A2C7B">
        <w:t xml:space="preserve"> infection </w:t>
      </w:r>
      <w:r>
        <w:t>under the brand name Kozenis (GlaxoSmith</w:t>
      </w:r>
      <w:r w:rsidR="003A2C7B">
        <w:t>K</w:t>
      </w:r>
      <w:r>
        <w:t>line is the sponsor for this</w:t>
      </w:r>
      <w:r w:rsidR="003A2C7B">
        <w:t xml:space="preserve"> tr</w:t>
      </w:r>
      <w:r w:rsidR="004C098C">
        <w:t>e</w:t>
      </w:r>
      <w:r w:rsidR="003A2C7B">
        <w:t>atment</w:t>
      </w:r>
      <w:r>
        <w:t xml:space="preserve"> indication</w:t>
      </w:r>
      <w:r w:rsidR="003A2C7B">
        <w:t xml:space="preserve"> in Australia</w:t>
      </w:r>
      <w:r>
        <w:t>).</w:t>
      </w:r>
    </w:p>
    <w:p w14:paraId="14EA33FA" w14:textId="2BA49279" w:rsidR="006F2616" w:rsidRDefault="006F2616" w:rsidP="006F2616">
      <w:r>
        <w:t>The US FDA also undertook a concurrent review of tafenoquine for the single</w:t>
      </w:r>
      <w:r w:rsidR="003A2C7B">
        <w:t xml:space="preserve">-dose, radical cure </w:t>
      </w:r>
      <w:r>
        <w:t xml:space="preserve">indication </w:t>
      </w:r>
      <w:r w:rsidR="003A2C7B">
        <w:t>concurrent to</w:t>
      </w:r>
      <w:r>
        <w:t xml:space="preserve"> the TGA review and approved th</w:t>
      </w:r>
      <w:r w:rsidR="003A2C7B">
        <w:t xml:space="preserve">is treatment </w:t>
      </w:r>
      <w:r>
        <w:t xml:space="preserve">indication (under priority review) on the 20 July 2018. Tafenoquine is approved as </w:t>
      </w:r>
      <w:r w:rsidR="003A2C7B">
        <w:t>Krintafel</w:t>
      </w:r>
      <w:r>
        <w:t xml:space="preserve"> in the USA for the </w:t>
      </w:r>
      <w:r w:rsidR="003A2C7B">
        <w:t>treatment of malaria</w:t>
      </w:r>
      <w:r>
        <w:t>.</w:t>
      </w:r>
    </w:p>
    <w:p w14:paraId="77D8B843" w14:textId="6394044C" w:rsidR="003A2C7B" w:rsidRDefault="003A2C7B" w:rsidP="006F2616">
      <w:r>
        <w:t xml:space="preserve">Tafenoquine is </w:t>
      </w:r>
      <w:r w:rsidR="00354E3D">
        <w:t xml:space="preserve">not </w:t>
      </w:r>
      <w:r>
        <w:t xml:space="preserve">approved in </w:t>
      </w:r>
      <w:r w:rsidR="00354E3D">
        <w:t>any</w:t>
      </w:r>
      <w:r>
        <w:t xml:space="preserve"> other jurisdiction.</w:t>
      </w:r>
    </w:p>
    <w:p w14:paraId="3D255574" w14:textId="2A90A694" w:rsidR="008E7846" w:rsidRDefault="008E7846" w:rsidP="00940A89">
      <w:pPr>
        <w:pStyle w:val="Heading3"/>
      </w:pPr>
      <w:bookmarkStart w:id="24" w:name="_Toc12348767"/>
      <w:r>
        <w:t>Product Information</w:t>
      </w:r>
      <w:bookmarkEnd w:id="22"/>
      <w:bookmarkEnd w:id="23"/>
      <w:bookmarkEnd w:id="24"/>
    </w:p>
    <w:p w14:paraId="5C4C14D0" w14:textId="77777777" w:rsidR="00940A89" w:rsidRDefault="006136D7" w:rsidP="00940A89">
      <w:bookmarkStart w:id="25" w:name="_Toc247691506"/>
      <w:bookmarkStart w:id="2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6DC748F3" w14:textId="77777777" w:rsidR="00500337" w:rsidRDefault="00500337" w:rsidP="00500337">
      <w:pPr>
        <w:pStyle w:val="Heading2"/>
      </w:pPr>
      <w:bookmarkStart w:id="27" w:name="_Toc504480011"/>
      <w:bookmarkStart w:id="28" w:name="_Toc12348768"/>
      <w:r>
        <w:t xml:space="preserve">II. </w:t>
      </w:r>
      <w:r w:rsidRPr="00B83C22">
        <w:t>Registration time line</w:t>
      </w:r>
      <w:bookmarkEnd w:id="27"/>
      <w:bookmarkEnd w:id="28"/>
    </w:p>
    <w:p w14:paraId="114686DE" w14:textId="77777777" w:rsidR="00500337" w:rsidRDefault="00500337" w:rsidP="00500337">
      <w:r>
        <w:t>The following table captures the key steps and dates for this application and which are detailed and discussed in this AusPAR and Attachment 2.</w:t>
      </w:r>
    </w:p>
    <w:tbl>
      <w:tblPr>
        <w:tblStyle w:val="TableTGAblue"/>
        <w:tblW w:w="0" w:type="auto"/>
        <w:tblLook w:val="04A0" w:firstRow="1" w:lastRow="0" w:firstColumn="1" w:lastColumn="0" w:noHBand="0" w:noVBand="1"/>
      </w:tblPr>
      <w:tblGrid>
        <w:gridCol w:w="4360"/>
        <w:gridCol w:w="4360"/>
      </w:tblGrid>
      <w:tr w:rsidR="00500337" w14:paraId="4F2AA093"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9B0BE66" w14:textId="77777777" w:rsidR="00500337" w:rsidRDefault="00500337" w:rsidP="00500337">
            <w:pPr>
              <w:ind w:left="0" w:right="0"/>
            </w:pPr>
            <w:r>
              <w:t>Description</w:t>
            </w:r>
          </w:p>
        </w:tc>
        <w:tc>
          <w:tcPr>
            <w:tcW w:w="4360" w:type="dxa"/>
          </w:tcPr>
          <w:p w14:paraId="6C854165" w14:textId="77777777" w:rsidR="00500337" w:rsidRDefault="00500337" w:rsidP="00500337">
            <w:pPr>
              <w:ind w:left="0" w:right="0"/>
            </w:pPr>
            <w:r>
              <w:t>Date</w:t>
            </w:r>
          </w:p>
        </w:tc>
      </w:tr>
      <w:tr w:rsidR="00500337" w14:paraId="39585835" w14:textId="77777777" w:rsidTr="00500337">
        <w:tc>
          <w:tcPr>
            <w:tcW w:w="4360" w:type="dxa"/>
          </w:tcPr>
          <w:p w14:paraId="315EFBFF" w14:textId="77777777" w:rsidR="00500337" w:rsidRDefault="00500337" w:rsidP="00500337">
            <w:pPr>
              <w:ind w:left="0" w:right="0"/>
            </w:pPr>
            <w:r>
              <w:t>Submission dossier accepted and first round evaluation commenced</w:t>
            </w:r>
          </w:p>
        </w:tc>
        <w:tc>
          <w:tcPr>
            <w:tcW w:w="4360" w:type="dxa"/>
          </w:tcPr>
          <w:p w14:paraId="23F64240" w14:textId="0A53522A" w:rsidR="00500337" w:rsidRDefault="003A2C7B" w:rsidP="00915F12">
            <w:pPr>
              <w:ind w:left="176" w:right="0"/>
              <w:jc w:val="both"/>
            </w:pPr>
            <w:r>
              <w:t xml:space="preserve">30 </w:t>
            </w:r>
            <w:r w:rsidR="00B83C22">
              <w:t>September 2017</w:t>
            </w:r>
          </w:p>
        </w:tc>
      </w:tr>
      <w:tr w:rsidR="00500337" w14:paraId="216757F4" w14:textId="77777777" w:rsidTr="00500337">
        <w:tc>
          <w:tcPr>
            <w:tcW w:w="4360" w:type="dxa"/>
          </w:tcPr>
          <w:p w14:paraId="0D3CC39F" w14:textId="77777777" w:rsidR="00500337" w:rsidRDefault="00500337" w:rsidP="00500337">
            <w:pPr>
              <w:ind w:left="0" w:right="0"/>
            </w:pPr>
            <w:r>
              <w:lastRenderedPageBreak/>
              <w:t>First round evaluation completed</w:t>
            </w:r>
          </w:p>
        </w:tc>
        <w:tc>
          <w:tcPr>
            <w:tcW w:w="4360" w:type="dxa"/>
          </w:tcPr>
          <w:p w14:paraId="6F29607C" w14:textId="3983BE6E" w:rsidR="00500337" w:rsidRDefault="003A2C7B" w:rsidP="00915F12">
            <w:pPr>
              <w:ind w:left="176" w:right="0"/>
              <w:jc w:val="both"/>
            </w:pPr>
            <w:r>
              <w:t>28</w:t>
            </w:r>
            <w:r w:rsidR="0009491A">
              <w:t xml:space="preserve"> February 2018</w:t>
            </w:r>
          </w:p>
        </w:tc>
      </w:tr>
      <w:tr w:rsidR="00500337" w14:paraId="6AFE0691" w14:textId="77777777" w:rsidTr="00500337">
        <w:tc>
          <w:tcPr>
            <w:tcW w:w="4360" w:type="dxa"/>
          </w:tcPr>
          <w:p w14:paraId="14A5FC7E" w14:textId="77777777" w:rsidR="00500337" w:rsidRDefault="00500337" w:rsidP="00500337">
            <w:pPr>
              <w:ind w:left="0" w:right="0"/>
            </w:pPr>
            <w:r>
              <w:t>Sponsor provides responses on questions raised in first round evaluation</w:t>
            </w:r>
          </w:p>
        </w:tc>
        <w:tc>
          <w:tcPr>
            <w:tcW w:w="4360" w:type="dxa"/>
          </w:tcPr>
          <w:p w14:paraId="3ED420E0" w14:textId="7EF2148D" w:rsidR="00500337" w:rsidRDefault="003A2C7B" w:rsidP="00915F12">
            <w:pPr>
              <w:ind w:left="176" w:right="0"/>
              <w:jc w:val="both"/>
            </w:pPr>
            <w:r>
              <w:t>31</w:t>
            </w:r>
            <w:r w:rsidR="0009491A">
              <w:t xml:space="preserve"> </w:t>
            </w:r>
            <w:r>
              <w:t xml:space="preserve">March </w:t>
            </w:r>
            <w:r w:rsidR="0009491A">
              <w:t>2018</w:t>
            </w:r>
          </w:p>
        </w:tc>
      </w:tr>
      <w:tr w:rsidR="00500337" w14:paraId="6BBFFF1A" w14:textId="77777777" w:rsidTr="00500337">
        <w:tc>
          <w:tcPr>
            <w:tcW w:w="4360" w:type="dxa"/>
          </w:tcPr>
          <w:p w14:paraId="2E4ED6AC" w14:textId="77777777" w:rsidR="00500337" w:rsidRDefault="00500337" w:rsidP="00500337">
            <w:pPr>
              <w:ind w:left="0" w:right="0"/>
            </w:pPr>
            <w:r>
              <w:t>Second round evaluation completed</w:t>
            </w:r>
          </w:p>
        </w:tc>
        <w:tc>
          <w:tcPr>
            <w:tcW w:w="4360" w:type="dxa"/>
          </w:tcPr>
          <w:p w14:paraId="218E50D7" w14:textId="77777777" w:rsidR="00500337" w:rsidRDefault="0009491A" w:rsidP="00915F12">
            <w:pPr>
              <w:ind w:left="176" w:right="0"/>
              <w:jc w:val="both"/>
            </w:pPr>
            <w:r>
              <w:t>29 May 2018</w:t>
            </w:r>
          </w:p>
        </w:tc>
      </w:tr>
      <w:tr w:rsidR="00500337" w14:paraId="604E26E9" w14:textId="77777777" w:rsidTr="00500337">
        <w:tc>
          <w:tcPr>
            <w:tcW w:w="4360" w:type="dxa"/>
          </w:tcPr>
          <w:p w14:paraId="3FAA6EB9" w14:textId="77777777" w:rsidR="00500337" w:rsidRDefault="00500337" w:rsidP="00500337">
            <w:pPr>
              <w:ind w:left="0" w:right="0"/>
            </w:pPr>
            <w:r>
              <w:t>Delegate’s Overall benefit-risk assessment and request for Advisory Committee advice</w:t>
            </w:r>
          </w:p>
        </w:tc>
        <w:tc>
          <w:tcPr>
            <w:tcW w:w="4360" w:type="dxa"/>
          </w:tcPr>
          <w:p w14:paraId="086686CD" w14:textId="77777777" w:rsidR="00500337" w:rsidRDefault="00B83C22" w:rsidP="00915F12">
            <w:pPr>
              <w:ind w:left="176" w:right="0"/>
              <w:jc w:val="both"/>
            </w:pPr>
            <w:r>
              <w:t>3 July 2018</w:t>
            </w:r>
          </w:p>
        </w:tc>
      </w:tr>
      <w:tr w:rsidR="00500337" w14:paraId="3DD4C86D" w14:textId="77777777" w:rsidTr="00500337">
        <w:tc>
          <w:tcPr>
            <w:tcW w:w="4360" w:type="dxa"/>
          </w:tcPr>
          <w:p w14:paraId="31379A94" w14:textId="77777777" w:rsidR="00500337" w:rsidRDefault="00500337" w:rsidP="00500337">
            <w:pPr>
              <w:ind w:left="0" w:right="0"/>
            </w:pPr>
            <w:r>
              <w:t>Sponsor’s pre-Advisory Committee response</w:t>
            </w:r>
          </w:p>
        </w:tc>
        <w:tc>
          <w:tcPr>
            <w:tcW w:w="4360" w:type="dxa"/>
          </w:tcPr>
          <w:p w14:paraId="3D31E2C1" w14:textId="77777777" w:rsidR="00500337" w:rsidRDefault="00B83C22" w:rsidP="00915F12">
            <w:pPr>
              <w:ind w:left="176" w:right="0"/>
              <w:jc w:val="both"/>
            </w:pPr>
            <w:r>
              <w:t>17 July 2018</w:t>
            </w:r>
          </w:p>
        </w:tc>
      </w:tr>
      <w:tr w:rsidR="00500337" w14:paraId="54CDDBB2" w14:textId="77777777" w:rsidTr="00500337">
        <w:tc>
          <w:tcPr>
            <w:tcW w:w="4360" w:type="dxa"/>
          </w:tcPr>
          <w:p w14:paraId="2719CDEC" w14:textId="77777777" w:rsidR="00500337" w:rsidRDefault="00500337" w:rsidP="00500337">
            <w:pPr>
              <w:ind w:left="0" w:right="0"/>
            </w:pPr>
            <w:r>
              <w:t>Advisory Committee meeting</w:t>
            </w:r>
          </w:p>
        </w:tc>
        <w:tc>
          <w:tcPr>
            <w:tcW w:w="4360" w:type="dxa"/>
          </w:tcPr>
          <w:p w14:paraId="23FDA5C9" w14:textId="77777777" w:rsidR="00500337" w:rsidRDefault="00B83C22" w:rsidP="00915F12">
            <w:pPr>
              <w:ind w:left="176" w:right="0"/>
              <w:jc w:val="both"/>
            </w:pPr>
            <w:r>
              <w:t>2 August 2018</w:t>
            </w:r>
          </w:p>
        </w:tc>
      </w:tr>
      <w:tr w:rsidR="00500337" w14:paraId="7DE37692" w14:textId="77777777" w:rsidTr="00500337">
        <w:tc>
          <w:tcPr>
            <w:tcW w:w="4360" w:type="dxa"/>
          </w:tcPr>
          <w:p w14:paraId="78722708" w14:textId="77777777" w:rsidR="00500337" w:rsidRDefault="00500337" w:rsidP="00500337">
            <w:pPr>
              <w:ind w:left="0" w:right="0"/>
            </w:pPr>
            <w:r>
              <w:t>Registration decision (Outcome)</w:t>
            </w:r>
          </w:p>
        </w:tc>
        <w:tc>
          <w:tcPr>
            <w:tcW w:w="4360" w:type="dxa"/>
          </w:tcPr>
          <w:p w14:paraId="4E506946" w14:textId="77777777" w:rsidR="00500337" w:rsidRDefault="00B83C22" w:rsidP="00915F12">
            <w:pPr>
              <w:ind w:left="176" w:right="0"/>
              <w:jc w:val="both"/>
            </w:pPr>
            <w:r>
              <w:t>13</w:t>
            </w:r>
            <w:r w:rsidR="003A2C7B">
              <w:t xml:space="preserve"> </w:t>
            </w:r>
            <w:r>
              <w:t>September 2018</w:t>
            </w:r>
          </w:p>
        </w:tc>
      </w:tr>
      <w:tr w:rsidR="00915F12" w14:paraId="32F18148" w14:textId="77777777" w:rsidTr="00500337">
        <w:tc>
          <w:tcPr>
            <w:tcW w:w="4360" w:type="dxa"/>
          </w:tcPr>
          <w:p w14:paraId="1A48BE92" w14:textId="77777777" w:rsidR="00915F12" w:rsidRDefault="00915F12" w:rsidP="00500337">
            <w:pPr>
              <w:ind w:left="0" w:right="0"/>
            </w:pPr>
            <w:r>
              <w:t>Completion of administrative activities and registration on ARTG</w:t>
            </w:r>
          </w:p>
        </w:tc>
        <w:tc>
          <w:tcPr>
            <w:tcW w:w="4360" w:type="dxa"/>
          </w:tcPr>
          <w:p w14:paraId="73C3A082" w14:textId="77777777" w:rsidR="00915F12" w:rsidRPr="00915F12" w:rsidRDefault="00915F12" w:rsidP="00915F12">
            <w:pPr>
              <w:ind w:left="176"/>
              <w:jc w:val="both"/>
            </w:pPr>
            <w:r w:rsidRPr="00915F12">
              <w:t>19 September 2018</w:t>
            </w:r>
          </w:p>
        </w:tc>
      </w:tr>
      <w:tr w:rsidR="00915F12" w14:paraId="3780B1EA" w14:textId="77777777" w:rsidTr="00500337">
        <w:tc>
          <w:tcPr>
            <w:tcW w:w="4360" w:type="dxa"/>
          </w:tcPr>
          <w:p w14:paraId="75F969EA" w14:textId="77777777" w:rsidR="00915F12" w:rsidRDefault="00915F12" w:rsidP="00500337">
            <w:pPr>
              <w:ind w:left="0" w:right="0"/>
            </w:pPr>
            <w:r>
              <w:t>Number of working days from submission dossier acceptance to registration decision*</w:t>
            </w:r>
          </w:p>
        </w:tc>
        <w:tc>
          <w:tcPr>
            <w:tcW w:w="4360" w:type="dxa"/>
          </w:tcPr>
          <w:p w14:paraId="7C613023" w14:textId="4C6802F1" w:rsidR="00915F12" w:rsidRDefault="000C0377" w:rsidP="000C0377">
            <w:pPr>
              <w:ind w:left="176" w:right="0"/>
            </w:pPr>
            <w:r>
              <w:t>201</w:t>
            </w:r>
          </w:p>
        </w:tc>
      </w:tr>
    </w:tbl>
    <w:p w14:paraId="5F3639F1" w14:textId="77777777" w:rsidR="00500337" w:rsidRDefault="00500337" w:rsidP="00500337">
      <w:pPr>
        <w:pStyle w:val="TableDescription"/>
      </w:pPr>
      <w:r>
        <w:t xml:space="preserve">*Target </w:t>
      </w:r>
      <w:r w:rsidR="00B83C22">
        <w:t xml:space="preserve">time frame for </w:t>
      </w:r>
      <w:r w:rsidR="00C905AA">
        <w:t xml:space="preserve">statutory </w:t>
      </w:r>
      <w:r>
        <w:t>applications is 2</w:t>
      </w:r>
      <w:r w:rsidR="00C905AA">
        <w:t xml:space="preserve">55 </w:t>
      </w:r>
      <w:r>
        <w:t>working days</w:t>
      </w:r>
    </w:p>
    <w:p w14:paraId="3E59CDE2" w14:textId="1B5648DC" w:rsidR="00500337" w:rsidRDefault="00500337" w:rsidP="00500337">
      <w:r>
        <w:t>Evaluations included under Quality findings and Nonclinical findings incorporate both the first and second round evaluations.</w:t>
      </w:r>
    </w:p>
    <w:p w14:paraId="163C3032" w14:textId="77777777" w:rsidR="008E7846" w:rsidRPr="003602A9" w:rsidRDefault="00500337" w:rsidP="008E7846">
      <w:pPr>
        <w:pStyle w:val="Heading2"/>
        <w:ind w:left="-11"/>
      </w:pPr>
      <w:bookmarkStart w:id="29" w:name="_Toc12348769"/>
      <w:r>
        <w:t>I</w:t>
      </w:r>
      <w:r w:rsidR="008E7846">
        <w:t>II. Quality</w:t>
      </w:r>
      <w:bookmarkEnd w:id="2"/>
      <w:r w:rsidR="008E7846">
        <w:t xml:space="preserve"> findings</w:t>
      </w:r>
      <w:bookmarkEnd w:id="25"/>
      <w:bookmarkEnd w:id="26"/>
      <w:bookmarkEnd w:id="29"/>
    </w:p>
    <w:p w14:paraId="1E11A085" w14:textId="77777777" w:rsidR="00940A89" w:rsidRDefault="00940A89" w:rsidP="00940A89">
      <w:pPr>
        <w:pStyle w:val="Heading3"/>
      </w:pPr>
      <w:bookmarkStart w:id="30" w:name="_Toc12348770"/>
      <w:bookmarkStart w:id="31" w:name="_Toc247691507"/>
      <w:bookmarkStart w:id="32" w:name="_Toc314842488"/>
      <w:r w:rsidRPr="00940A89">
        <w:t>Introduction</w:t>
      </w:r>
      <w:bookmarkEnd w:id="30"/>
    </w:p>
    <w:p w14:paraId="2547C431" w14:textId="270F5E4B" w:rsidR="006C365A" w:rsidRPr="00440208" w:rsidRDefault="00E71EF1" w:rsidP="0053760E">
      <w:r>
        <w:t>The sponsor</w:t>
      </w:r>
      <w:r w:rsidR="006C365A" w:rsidRPr="00440208">
        <w:t xml:space="preserve"> has submitted an application to register tafenoquine (as succinate) 100 mg tablets on the ARTG under the trade name </w:t>
      </w:r>
      <w:r w:rsidR="00A84DBA">
        <w:t>Kodatef</w:t>
      </w:r>
      <w:r w:rsidR="006C365A" w:rsidRPr="00440208">
        <w:t xml:space="preserve">. </w:t>
      </w:r>
    </w:p>
    <w:p w14:paraId="4D3E5647" w14:textId="675A0A63" w:rsidR="006C365A" w:rsidRPr="00946ABC" w:rsidRDefault="006C365A" w:rsidP="0053760E">
      <w:pPr>
        <w:pStyle w:val="Heading3"/>
      </w:pPr>
      <w:bookmarkStart w:id="33" w:name="_Toc12348771"/>
      <w:r w:rsidRPr="00946ABC">
        <w:t xml:space="preserve">Drug </w:t>
      </w:r>
      <w:r w:rsidR="003C1292" w:rsidRPr="00946ABC">
        <w:t xml:space="preserve">substance </w:t>
      </w:r>
      <w:proofErr w:type="spellStart"/>
      <w:r w:rsidR="003C1292" w:rsidRPr="00946ABC">
        <w:t>tafenoquine</w:t>
      </w:r>
      <w:proofErr w:type="spellEnd"/>
      <w:r w:rsidR="003C1292" w:rsidRPr="00946ABC">
        <w:t xml:space="preserve"> </w:t>
      </w:r>
      <w:r w:rsidRPr="00946ABC">
        <w:t>succinate</w:t>
      </w:r>
      <w:bookmarkEnd w:id="33"/>
    </w:p>
    <w:p w14:paraId="6B80D0C2" w14:textId="77777777" w:rsidR="006C365A" w:rsidRDefault="006C365A" w:rsidP="0053760E">
      <w:r w:rsidRPr="00946ABC">
        <w:t>Tafenoquine succinate is a white to pale brown powder.</w:t>
      </w:r>
    </w:p>
    <w:p w14:paraId="47D5A30E" w14:textId="143A7214" w:rsidR="0039759D" w:rsidRDefault="0039759D" w:rsidP="0053760E">
      <w:r>
        <w:t>T</w:t>
      </w:r>
      <w:r w:rsidRPr="00895B7D">
        <w:t>afenoquine</w:t>
      </w:r>
      <w:r>
        <w:t xml:space="preserve"> </w:t>
      </w:r>
      <w:r w:rsidRPr="00895B7D">
        <w:t xml:space="preserve">is </w:t>
      </w:r>
      <w:r>
        <w:t xml:space="preserve">an 8-aminoquinoline and </w:t>
      </w:r>
      <w:r w:rsidRPr="00895B7D">
        <w:t>a</w:t>
      </w:r>
      <w:r>
        <w:t>n analogue of the currently registered (ARTG</w:t>
      </w:r>
      <w:r w:rsidR="00842EE0">
        <w:t> number</w:t>
      </w:r>
      <w:r w:rsidRPr="00CF1394">
        <w:t>226430</w:t>
      </w:r>
      <w:r>
        <w:t xml:space="preserve">) anti-malarial agent </w:t>
      </w:r>
      <w:r w:rsidR="00842EE0">
        <w:t>primaquine. A comparison of the chemical structures of both is shown in Figure 1, below.</w:t>
      </w:r>
    </w:p>
    <w:p w14:paraId="69DD1E3C" w14:textId="125E13B5" w:rsidR="0053760E" w:rsidRDefault="0053760E" w:rsidP="0053760E">
      <w:pPr>
        <w:pStyle w:val="FigureTitle"/>
      </w:pPr>
      <w:r>
        <w:lastRenderedPageBreak/>
        <w:t xml:space="preserve">Figure 1: Chemical structures of </w:t>
      </w:r>
      <w:r w:rsidR="00842EE0">
        <w:t>primaquine</w:t>
      </w:r>
      <w:r>
        <w:t xml:space="preserve"> and tafenoquine</w:t>
      </w:r>
    </w:p>
    <w:p w14:paraId="62DDCEF1" w14:textId="77777777" w:rsidR="009C7682" w:rsidRPr="00895B7D" w:rsidRDefault="009C7682" w:rsidP="003C1292">
      <w:r>
        <w:rPr>
          <w:noProof/>
          <w:lang w:eastAsia="en-AU"/>
        </w:rPr>
        <w:drawing>
          <wp:inline distT="0" distB="0" distL="0" distR="0" wp14:anchorId="50ECDAB0" wp14:editId="298E646F">
            <wp:extent cx="3495055" cy="3408466"/>
            <wp:effectExtent l="0" t="0" r="0" b="1905"/>
            <wp:docPr id="5" name="Picture 5" descr="Chemical structures of primaquine and tafeno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95766" cy="3409159"/>
                    </a:xfrm>
                    <a:prstGeom prst="rect">
                      <a:avLst/>
                    </a:prstGeom>
                  </pic:spPr>
                </pic:pic>
              </a:graphicData>
            </a:graphic>
          </wp:inline>
        </w:drawing>
      </w:r>
    </w:p>
    <w:p w14:paraId="58165599" w14:textId="3066C09F" w:rsidR="0053760E" w:rsidRPr="0020528D" w:rsidRDefault="0053760E" w:rsidP="0053760E">
      <w:pPr>
        <w:pStyle w:val="FigureDescription"/>
        <w:rPr>
          <w:szCs w:val="24"/>
        </w:rPr>
      </w:pPr>
      <w:r w:rsidRPr="0020528D">
        <w:t xml:space="preserve">Molecular formula: </w:t>
      </w:r>
      <w:proofErr w:type="gramStart"/>
      <w:r w:rsidRPr="0020528D">
        <w:t>C</w:t>
      </w:r>
      <w:r w:rsidRPr="0020528D">
        <w:rPr>
          <w:vertAlign w:val="subscript"/>
        </w:rPr>
        <w:t>24</w:t>
      </w:r>
      <w:r w:rsidRPr="0020528D">
        <w:t>H</w:t>
      </w:r>
      <w:r w:rsidRPr="0020528D">
        <w:rPr>
          <w:vertAlign w:val="subscript"/>
        </w:rPr>
        <w:t>28</w:t>
      </w:r>
      <w:r w:rsidRPr="0020528D">
        <w:t>F</w:t>
      </w:r>
      <w:r w:rsidRPr="0020528D">
        <w:rPr>
          <w:vertAlign w:val="subscript"/>
        </w:rPr>
        <w:t>3</w:t>
      </w:r>
      <w:r w:rsidRPr="0020528D">
        <w:t>N</w:t>
      </w:r>
      <w:r w:rsidRPr="0020528D">
        <w:rPr>
          <w:vertAlign w:val="subscript"/>
        </w:rPr>
        <w:t>3</w:t>
      </w:r>
      <w:r w:rsidRPr="0020528D">
        <w:t>O</w:t>
      </w:r>
      <w:r w:rsidRPr="0020528D">
        <w:rPr>
          <w:vertAlign w:val="subscript"/>
        </w:rPr>
        <w:t>3</w:t>
      </w:r>
      <w:r w:rsidRPr="0020528D">
        <w:t>.C</w:t>
      </w:r>
      <w:r w:rsidRPr="0020528D">
        <w:rPr>
          <w:vertAlign w:val="subscript"/>
        </w:rPr>
        <w:t>4</w:t>
      </w:r>
      <w:r w:rsidRPr="0020528D">
        <w:t>H</w:t>
      </w:r>
      <w:r w:rsidRPr="0020528D">
        <w:rPr>
          <w:vertAlign w:val="subscript"/>
        </w:rPr>
        <w:t>6</w:t>
      </w:r>
      <w:r w:rsidRPr="0020528D">
        <w:t>O</w:t>
      </w:r>
      <w:r w:rsidRPr="0020528D">
        <w:rPr>
          <w:vertAlign w:val="subscript"/>
        </w:rPr>
        <w:t xml:space="preserve">4 </w:t>
      </w:r>
      <w:r w:rsidR="00842EE0">
        <w:t>;</w:t>
      </w:r>
      <w:proofErr w:type="gramEnd"/>
      <w:r w:rsidR="00842EE0">
        <w:t xml:space="preserve"> m</w:t>
      </w:r>
      <w:r w:rsidRPr="0020528D">
        <w:t>olecular weight: 463.49 g/mol (free base); 581.58 g/mol (succinate)</w:t>
      </w:r>
      <w:r w:rsidR="00842EE0">
        <w:t>;</w:t>
      </w:r>
      <w:r w:rsidRPr="0020528D">
        <w:t xml:space="preserve"> pKa: 6.7 and 9.5</w:t>
      </w:r>
      <w:r w:rsidR="00842EE0">
        <w:t>;</w:t>
      </w:r>
      <w:r w:rsidRPr="0020528D">
        <w:t xml:space="preserve"> Octanol/water partition coefficient (Kow): </w:t>
      </w:r>
      <w:r w:rsidR="006F2C7A" w:rsidRPr="006F2C7A">
        <w:rPr>
          <w:sz w:val="20"/>
        </w:rPr>
        <w:t>approximately</w:t>
      </w:r>
      <w:r w:rsidR="003A2C7B">
        <w:rPr>
          <w:sz w:val="20"/>
        </w:rPr>
        <w:t xml:space="preserve"> </w:t>
      </w:r>
      <w:r w:rsidRPr="0020528D">
        <w:rPr>
          <w:sz w:val="20"/>
        </w:rPr>
        <w:t>3.1</w:t>
      </w:r>
      <w:r w:rsidR="00842EE0">
        <w:rPr>
          <w:sz w:val="20"/>
        </w:rPr>
        <w:t>.</w:t>
      </w:r>
    </w:p>
    <w:p w14:paraId="6BDEA69F" w14:textId="77777777" w:rsidR="00820B30" w:rsidRDefault="00820B30" w:rsidP="006C365A">
      <w:pPr>
        <w:autoSpaceDE w:val="0"/>
        <w:autoSpaceDN w:val="0"/>
        <w:adjustRightInd w:val="0"/>
        <w:rPr>
          <w:szCs w:val="24"/>
        </w:rPr>
      </w:pPr>
      <w:r w:rsidRPr="00413B63">
        <w:rPr>
          <w:szCs w:val="24"/>
        </w:rPr>
        <w:t xml:space="preserve">Tafenoquine succinate drug substance is produced by chemical synthesis. The drug substance specifications are sufficient to ensure the quality and consistency of the </w:t>
      </w:r>
      <w:r>
        <w:rPr>
          <w:szCs w:val="24"/>
        </w:rPr>
        <w:t>substance</w:t>
      </w:r>
      <w:r w:rsidRPr="00413B63">
        <w:rPr>
          <w:szCs w:val="24"/>
        </w:rPr>
        <w:t>.</w:t>
      </w:r>
    </w:p>
    <w:p w14:paraId="57AB0C02" w14:textId="242B3455" w:rsidR="006C365A" w:rsidRPr="00413B63" w:rsidRDefault="006C365A" w:rsidP="006C365A">
      <w:pPr>
        <w:autoSpaceDE w:val="0"/>
        <w:autoSpaceDN w:val="0"/>
        <w:adjustRightInd w:val="0"/>
        <w:rPr>
          <w:szCs w:val="24"/>
        </w:rPr>
      </w:pPr>
      <w:r w:rsidRPr="00413B63">
        <w:rPr>
          <w:szCs w:val="24"/>
        </w:rPr>
        <w:t>Tafenoquine succinate is practically insoluble in water (&lt;</w:t>
      </w:r>
      <w:r w:rsidR="00842EE0">
        <w:rPr>
          <w:szCs w:val="24"/>
        </w:rPr>
        <w:t xml:space="preserve"> </w:t>
      </w:r>
      <w:r w:rsidRPr="00413B63">
        <w:rPr>
          <w:szCs w:val="24"/>
        </w:rPr>
        <w:t xml:space="preserve">0.1 mg/mL) and is soluble in methanol. </w:t>
      </w:r>
    </w:p>
    <w:p w14:paraId="57F89872" w14:textId="77777777" w:rsidR="006C365A" w:rsidRPr="00413B63" w:rsidRDefault="006C365A" w:rsidP="006C365A">
      <w:pPr>
        <w:autoSpaceDE w:val="0"/>
        <w:autoSpaceDN w:val="0"/>
        <w:adjustRightInd w:val="0"/>
        <w:rPr>
          <w:szCs w:val="24"/>
        </w:rPr>
      </w:pPr>
      <w:r w:rsidRPr="00413B63">
        <w:rPr>
          <w:szCs w:val="24"/>
        </w:rPr>
        <w:t>The drug substance shows good solid state stability.</w:t>
      </w:r>
    </w:p>
    <w:p w14:paraId="76FD2095" w14:textId="25733B92" w:rsidR="006C365A" w:rsidRPr="00B224B9" w:rsidRDefault="006C365A" w:rsidP="006C365A">
      <w:pPr>
        <w:jc w:val="both"/>
        <w:rPr>
          <w:rFonts w:asciiTheme="majorHAnsi" w:hAnsiTheme="majorHAnsi"/>
          <w:b/>
          <w:szCs w:val="24"/>
        </w:rPr>
      </w:pPr>
      <w:r w:rsidRPr="00B224B9">
        <w:rPr>
          <w:rFonts w:asciiTheme="majorHAnsi" w:hAnsiTheme="majorHAnsi"/>
          <w:b/>
          <w:szCs w:val="24"/>
        </w:rPr>
        <w:t xml:space="preserve">Drug </w:t>
      </w:r>
      <w:r w:rsidR="003C1292">
        <w:rPr>
          <w:rFonts w:asciiTheme="majorHAnsi" w:hAnsiTheme="majorHAnsi"/>
          <w:b/>
          <w:szCs w:val="24"/>
        </w:rPr>
        <w:t>p</w:t>
      </w:r>
      <w:r w:rsidRPr="00B224B9">
        <w:rPr>
          <w:rFonts w:asciiTheme="majorHAnsi" w:hAnsiTheme="majorHAnsi"/>
          <w:b/>
          <w:szCs w:val="24"/>
        </w:rPr>
        <w:t>roduct</w:t>
      </w:r>
    </w:p>
    <w:p w14:paraId="67D7E5CB" w14:textId="77777777" w:rsidR="006C365A" w:rsidRPr="00B224B9" w:rsidRDefault="006C365A" w:rsidP="006C365A">
      <w:pPr>
        <w:numPr>
          <w:ilvl w:val="12"/>
          <w:numId w:val="0"/>
        </w:numPr>
        <w:rPr>
          <w:szCs w:val="24"/>
        </w:rPr>
      </w:pPr>
      <w:r w:rsidRPr="00B224B9">
        <w:rPr>
          <w:szCs w:val="24"/>
        </w:rPr>
        <w:t>The proposed tafenoquine (as succinate) 100 mg tablets are unscored, immediate release, dark pink, capsule-shaped, film-coated tablets debossed with ‘</w:t>
      </w:r>
      <w:r w:rsidR="00C312D1">
        <w:rPr>
          <w:szCs w:val="24"/>
        </w:rPr>
        <w:t>tafenoquine</w:t>
      </w:r>
      <w:r w:rsidRPr="00B224B9">
        <w:rPr>
          <w:szCs w:val="24"/>
        </w:rPr>
        <w:t>100’ on one side and plain on the other.</w:t>
      </w:r>
    </w:p>
    <w:p w14:paraId="60978BB7" w14:textId="77777777" w:rsidR="006C365A" w:rsidRPr="00B224B9" w:rsidRDefault="006C365A" w:rsidP="006C365A">
      <w:pPr>
        <w:rPr>
          <w:szCs w:val="24"/>
          <w:lang w:eastAsia="en-AU"/>
        </w:rPr>
      </w:pPr>
      <w:r w:rsidRPr="00B224B9">
        <w:rPr>
          <w:szCs w:val="24"/>
        </w:rPr>
        <w:t>The tablets are to be marketed in blister packs of</w:t>
      </w:r>
      <w:r w:rsidR="003A2C7B">
        <w:rPr>
          <w:szCs w:val="24"/>
        </w:rPr>
        <w:t xml:space="preserve"> 8 and</w:t>
      </w:r>
      <w:r w:rsidRPr="00B224B9">
        <w:rPr>
          <w:szCs w:val="24"/>
        </w:rPr>
        <w:t xml:space="preserve"> 16.</w:t>
      </w:r>
    </w:p>
    <w:p w14:paraId="30D7C5B2" w14:textId="77777777" w:rsidR="006C365A" w:rsidRPr="00B224B9" w:rsidRDefault="006C365A" w:rsidP="006C365A">
      <w:pPr>
        <w:rPr>
          <w:szCs w:val="24"/>
        </w:rPr>
      </w:pPr>
      <w:r w:rsidRPr="00B224B9">
        <w:rPr>
          <w:szCs w:val="24"/>
        </w:rPr>
        <w:t>The tablets are manufactured by a typical direct compression technique, using excipient</w:t>
      </w:r>
      <w:r>
        <w:rPr>
          <w:szCs w:val="24"/>
        </w:rPr>
        <w:t>s</w:t>
      </w:r>
      <w:r w:rsidRPr="00B224B9">
        <w:rPr>
          <w:szCs w:val="24"/>
        </w:rPr>
        <w:t xml:space="preserve"> which are commonly used in this type of product.</w:t>
      </w:r>
    </w:p>
    <w:p w14:paraId="60C80BD0" w14:textId="3E26BC2E" w:rsidR="006C365A" w:rsidRPr="005F3453" w:rsidRDefault="006C365A" w:rsidP="006C365A">
      <w:pPr>
        <w:rPr>
          <w:szCs w:val="24"/>
        </w:rPr>
      </w:pPr>
      <w:r w:rsidRPr="00B224B9">
        <w:rPr>
          <w:szCs w:val="24"/>
        </w:rPr>
        <w:t xml:space="preserve">The finished product specifications include tests for appearance, identification, assay, </w:t>
      </w:r>
      <w:proofErr w:type="gramStart"/>
      <w:r w:rsidRPr="00B224B9">
        <w:rPr>
          <w:szCs w:val="24"/>
        </w:rPr>
        <w:t>content</w:t>
      </w:r>
      <w:proofErr w:type="gramEnd"/>
      <w:r w:rsidRPr="00B224B9">
        <w:rPr>
          <w:szCs w:val="24"/>
        </w:rPr>
        <w:t xml:space="preserve"> uniformity, control of related impurities, dissolution and microbial quality</w:t>
      </w:r>
      <w:r w:rsidRPr="005F3453">
        <w:rPr>
          <w:szCs w:val="24"/>
        </w:rPr>
        <w:t>. Aft</w:t>
      </w:r>
      <w:r w:rsidR="00820B30">
        <w:rPr>
          <w:szCs w:val="24"/>
        </w:rPr>
        <w:t xml:space="preserve">er some tightening of initially </w:t>
      </w:r>
      <w:r w:rsidRPr="005F3453">
        <w:rPr>
          <w:szCs w:val="24"/>
        </w:rPr>
        <w:t>proposed limits, the finished product specifications are considered sufficient to ensure the quality of the finished product at release and throughout the shelf</w:t>
      </w:r>
      <w:r w:rsidR="00842EE0">
        <w:rPr>
          <w:szCs w:val="24"/>
        </w:rPr>
        <w:t xml:space="preserve"> </w:t>
      </w:r>
      <w:r w:rsidRPr="005F3453">
        <w:rPr>
          <w:szCs w:val="24"/>
        </w:rPr>
        <w:t>life. A shelf life of 24 months, stored below 30ºC, is supported by the stability data.</w:t>
      </w:r>
    </w:p>
    <w:p w14:paraId="757A15B5" w14:textId="77777777" w:rsidR="006C365A" w:rsidRPr="00E73778" w:rsidRDefault="006C365A" w:rsidP="006C365A">
      <w:pPr>
        <w:rPr>
          <w:szCs w:val="24"/>
        </w:rPr>
      </w:pPr>
      <w:r w:rsidRPr="00E73778">
        <w:rPr>
          <w:szCs w:val="24"/>
        </w:rPr>
        <w:t xml:space="preserve">All issues raised with the </w:t>
      </w:r>
      <w:r w:rsidR="00820B30">
        <w:rPr>
          <w:szCs w:val="24"/>
        </w:rPr>
        <w:t>sponsor</w:t>
      </w:r>
      <w:r w:rsidRPr="00E73778">
        <w:rPr>
          <w:szCs w:val="24"/>
        </w:rPr>
        <w:t xml:space="preserve"> regarding chemistry and quality control aspects have been satisfactorily resolved</w:t>
      </w:r>
      <w:r w:rsidR="00820B30">
        <w:rPr>
          <w:szCs w:val="24"/>
        </w:rPr>
        <w:t>.</w:t>
      </w:r>
    </w:p>
    <w:p w14:paraId="679FB737" w14:textId="77777777" w:rsidR="006C365A" w:rsidRPr="00E73778" w:rsidRDefault="006C365A" w:rsidP="006C365A">
      <w:pPr>
        <w:rPr>
          <w:szCs w:val="24"/>
        </w:rPr>
      </w:pPr>
      <w:r w:rsidRPr="00E73778">
        <w:rPr>
          <w:szCs w:val="24"/>
        </w:rPr>
        <w:t>Chemistry and quality control aspects are acceptable.</w:t>
      </w:r>
    </w:p>
    <w:p w14:paraId="7544998F" w14:textId="77777777" w:rsidR="006C365A" w:rsidRPr="00E73778" w:rsidRDefault="006C365A" w:rsidP="00820B30">
      <w:pPr>
        <w:pStyle w:val="Heading3"/>
      </w:pPr>
      <w:bookmarkStart w:id="34" w:name="_Toc12348772"/>
      <w:r w:rsidRPr="00E73778">
        <w:lastRenderedPageBreak/>
        <w:t>Biopharmaceutics</w:t>
      </w:r>
      <w:bookmarkEnd w:id="34"/>
      <w:r w:rsidRPr="00E73778">
        <w:t xml:space="preserve"> </w:t>
      </w:r>
    </w:p>
    <w:p w14:paraId="63C40852" w14:textId="57EE09CF" w:rsidR="006C365A" w:rsidRPr="00E73778" w:rsidRDefault="006C365A" w:rsidP="00820B30">
      <w:pPr>
        <w:rPr>
          <w:lang w:eastAsia="en-AU"/>
        </w:rPr>
      </w:pPr>
      <w:r w:rsidRPr="00E73778">
        <w:t>Clinical Study 022 compar</w:t>
      </w:r>
      <w:r w:rsidR="00AF29EC">
        <w:t>ed</w:t>
      </w:r>
      <w:r w:rsidRPr="00E73778">
        <w:t xml:space="preserve"> fed and </w:t>
      </w:r>
      <w:proofErr w:type="gramStart"/>
      <w:r w:rsidRPr="00E73778">
        <w:t>fasted</w:t>
      </w:r>
      <w:proofErr w:type="gramEnd"/>
      <w:r w:rsidRPr="00E73778">
        <w:t xml:space="preserve"> state exposures of the 200 mg Phase III capsule formulation used</w:t>
      </w:r>
      <w:r w:rsidR="00AF29EC">
        <w:t xml:space="preserve"> in</w:t>
      </w:r>
      <w:r w:rsidRPr="00E73778">
        <w:t xml:space="preserve"> the majority of the Phase III clinical studies</w:t>
      </w:r>
      <w:r w:rsidR="00AF29EC">
        <w:t>.</w:t>
      </w:r>
      <w:r w:rsidRPr="00E73778">
        <w:t xml:space="preserve"> Study </w:t>
      </w:r>
      <w:r w:rsidR="00AF29EC">
        <w:t>TQ</w:t>
      </w:r>
      <w:r w:rsidR="006D4F86">
        <w:t>-2016-01</w:t>
      </w:r>
      <w:r w:rsidRPr="00E73778">
        <w:t xml:space="preserve"> compar</w:t>
      </w:r>
      <w:r w:rsidR="00AF29EC">
        <w:t>ed</w:t>
      </w:r>
      <w:r w:rsidRPr="00E73778">
        <w:t xml:space="preserve"> the pharmacokinetic parameters of the </w:t>
      </w:r>
      <w:r w:rsidR="00AF29EC">
        <w:t xml:space="preserve">commercial </w:t>
      </w:r>
      <w:r w:rsidRPr="00E73778">
        <w:t>10</w:t>
      </w:r>
      <w:r w:rsidR="00A84DBA">
        <w:t>0 mg</w:t>
      </w:r>
      <w:r w:rsidRPr="00E73778">
        <w:t xml:space="preserve"> tablets with the 200 mg Phase III capsule formulation</w:t>
      </w:r>
      <w:r w:rsidR="00AF29EC">
        <w:t xml:space="preserve">. Both of these studies </w:t>
      </w:r>
      <w:r w:rsidRPr="00E73778">
        <w:t>were considered most pertinent.</w:t>
      </w:r>
    </w:p>
    <w:p w14:paraId="728017EA" w14:textId="61FB34D2" w:rsidR="006C365A" w:rsidRPr="00E73778" w:rsidRDefault="006C365A" w:rsidP="00820B30">
      <w:pPr>
        <w:rPr>
          <w:rFonts w:eastAsiaTheme="minorHAnsi"/>
        </w:rPr>
      </w:pPr>
      <w:r w:rsidRPr="00E71EF1">
        <w:rPr>
          <w:rStyle w:val="Heading4Char"/>
          <w:b w:val="0"/>
        </w:rPr>
        <w:t>Study 022</w:t>
      </w:r>
      <w:r w:rsidRPr="00E73778">
        <w:rPr>
          <w:rFonts w:eastAsiaTheme="minorHAnsi"/>
        </w:rPr>
        <w:t xml:space="preserve"> was a randomised, parallel</w:t>
      </w:r>
      <w:r w:rsidR="00842EE0">
        <w:rPr>
          <w:rFonts w:eastAsiaTheme="minorHAnsi"/>
        </w:rPr>
        <w:t xml:space="preserve"> </w:t>
      </w:r>
      <w:r w:rsidRPr="00E73778">
        <w:rPr>
          <w:rFonts w:eastAsiaTheme="minorHAnsi"/>
        </w:rPr>
        <w:t xml:space="preserve">group study to compare the bioavailability of tafenoquine from the 200 mg capsule formulation, used in the majority of the Phase III clinical studies, under fasted and fed conditions. The investigators concluded that administration of tafenoquine 200 mg capsules after a high-fat meal resulted in </w:t>
      </w:r>
      <w:r w:rsidR="00820B30">
        <w:rPr>
          <w:rFonts w:eastAsiaTheme="minorHAnsi"/>
        </w:rPr>
        <w:t>peak plasma concentration (</w:t>
      </w:r>
      <w:r w:rsidRPr="00E73778">
        <w:rPr>
          <w:rFonts w:eastAsiaTheme="minorHAnsi"/>
        </w:rPr>
        <w:t>C</w:t>
      </w:r>
      <w:r w:rsidRPr="00E73778">
        <w:rPr>
          <w:rFonts w:eastAsiaTheme="minorHAnsi"/>
          <w:vertAlign w:val="subscript"/>
        </w:rPr>
        <w:t>max</w:t>
      </w:r>
      <w:r w:rsidR="00820B30">
        <w:rPr>
          <w:rFonts w:eastAsiaTheme="minorHAnsi"/>
        </w:rPr>
        <w:t xml:space="preserve">) </w:t>
      </w:r>
      <w:r w:rsidRPr="00E73778">
        <w:rPr>
          <w:rFonts w:eastAsiaTheme="minorHAnsi"/>
        </w:rPr>
        <w:t xml:space="preserve">and </w:t>
      </w:r>
      <w:r w:rsidR="00820B30">
        <w:rPr>
          <w:rFonts w:eastAsiaTheme="minorHAnsi"/>
        </w:rPr>
        <w:t>area under the plasma concentration versus time curve (</w:t>
      </w:r>
      <w:r w:rsidRPr="00E73778">
        <w:rPr>
          <w:rFonts w:eastAsiaTheme="minorHAnsi"/>
        </w:rPr>
        <w:t>AUC</w:t>
      </w:r>
      <w:r w:rsidR="00820B30">
        <w:rPr>
          <w:rFonts w:eastAsiaTheme="minorHAnsi"/>
        </w:rPr>
        <w:t>)</w:t>
      </w:r>
      <w:r w:rsidRPr="00E73778">
        <w:rPr>
          <w:rFonts w:eastAsiaTheme="minorHAnsi"/>
        </w:rPr>
        <w:t xml:space="preserve"> values 1.31 and 1.41 times higher respectively than under fasted conditions.</w:t>
      </w:r>
    </w:p>
    <w:p w14:paraId="37225BF4" w14:textId="0340ED4B" w:rsidR="006C365A" w:rsidRPr="00820B30" w:rsidRDefault="006C365A" w:rsidP="00820B30">
      <w:pPr>
        <w:rPr>
          <w:rFonts w:eastAsiaTheme="minorHAnsi"/>
        </w:rPr>
      </w:pPr>
      <w:r w:rsidRPr="00E73778">
        <w:rPr>
          <w:rFonts w:eastAsiaTheme="minorHAnsi"/>
        </w:rPr>
        <w:t xml:space="preserve">The results support the recommendation in the </w:t>
      </w:r>
      <w:r w:rsidR="00820B30">
        <w:rPr>
          <w:rFonts w:eastAsiaTheme="minorHAnsi"/>
        </w:rPr>
        <w:t>PI</w:t>
      </w:r>
      <w:r w:rsidRPr="00E73778">
        <w:rPr>
          <w:rFonts w:eastAsiaTheme="minorHAnsi"/>
        </w:rPr>
        <w:t xml:space="preserve"> to take the tablets with or without food, </w:t>
      </w:r>
      <w:r w:rsidRPr="00820B30">
        <w:rPr>
          <w:rFonts w:eastAsiaTheme="minorHAnsi"/>
        </w:rPr>
        <w:t xml:space="preserve">although it is noted that this is based only on the Phase III 200 mg capsule formulation and no </w:t>
      </w:r>
      <w:r w:rsidR="00AF29EC">
        <w:rPr>
          <w:rFonts w:eastAsiaTheme="minorHAnsi"/>
        </w:rPr>
        <w:t xml:space="preserve">separate </w:t>
      </w:r>
      <w:r w:rsidRPr="00820B30">
        <w:rPr>
          <w:rFonts w:eastAsiaTheme="minorHAnsi"/>
        </w:rPr>
        <w:t>study examining the effect of food on the tablet formulation proposed for registration was performed</w:t>
      </w:r>
      <w:r w:rsidR="00AF29EC">
        <w:rPr>
          <w:rFonts w:eastAsiaTheme="minorHAnsi"/>
        </w:rPr>
        <w:t xml:space="preserve"> </w:t>
      </w:r>
    </w:p>
    <w:p w14:paraId="3C2E6181" w14:textId="51E09F33" w:rsidR="006C365A" w:rsidRPr="00E73778" w:rsidRDefault="006C365A" w:rsidP="00820B30">
      <w:pPr>
        <w:rPr>
          <w:rFonts w:eastAsiaTheme="minorHAnsi"/>
        </w:rPr>
      </w:pPr>
      <w:r w:rsidRPr="009C7682">
        <w:rPr>
          <w:rStyle w:val="Heading4Char"/>
          <w:b w:val="0"/>
        </w:rPr>
        <w:t xml:space="preserve">Study </w:t>
      </w:r>
      <w:r w:rsidR="00AF29EC" w:rsidRPr="009C7682">
        <w:rPr>
          <w:rStyle w:val="Heading4Char"/>
          <w:b w:val="0"/>
        </w:rPr>
        <w:t>T</w:t>
      </w:r>
      <w:r w:rsidR="00AF29EC">
        <w:rPr>
          <w:rStyle w:val="Heading4Char"/>
          <w:b w:val="0"/>
        </w:rPr>
        <w:t>Q</w:t>
      </w:r>
      <w:r w:rsidR="006D4F86" w:rsidRPr="009C7682">
        <w:rPr>
          <w:rStyle w:val="Heading4Char"/>
          <w:b w:val="0"/>
        </w:rPr>
        <w:t>-2016-01</w:t>
      </w:r>
      <w:r w:rsidRPr="00E73778">
        <w:rPr>
          <w:rFonts w:eastAsiaTheme="minorHAnsi"/>
        </w:rPr>
        <w:t xml:space="preserve"> was a single</w:t>
      </w:r>
      <w:r w:rsidR="00820B30">
        <w:rPr>
          <w:rFonts w:eastAsiaTheme="minorHAnsi"/>
        </w:rPr>
        <w:t xml:space="preserve"> </w:t>
      </w:r>
      <w:r w:rsidRPr="00E73778">
        <w:rPr>
          <w:rFonts w:eastAsiaTheme="minorHAnsi"/>
        </w:rPr>
        <w:t>treatment study to determine the pharmacokinetic parameters of the 100 mg tablet formulation proposed for registration and to compare them with fed</w:t>
      </w:r>
      <w:r w:rsidR="00820B30">
        <w:rPr>
          <w:rFonts w:eastAsiaTheme="minorHAnsi"/>
        </w:rPr>
        <w:t xml:space="preserve"> </w:t>
      </w:r>
      <w:r w:rsidRPr="00E73778">
        <w:rPr>
          <w:rFonts w:eastAsiaTheme="minorHAnsi"/>
        </w:rPr>
        <w:t>state data</w:t>
      </w:r>
      <w:r w:rsidR="00AF29EC">
        <w:rPr>
          <w:rFonts w:eastAsiaTheme="minorHAnsi"/>
        </w:rPr>
        <w:t xml:space="preserve"> (high</w:t>
      </w:r>
      <w:r w:rsidR="00842EE0">
        <w:rPr>
          <w:rFonts w:eastAsiaTheme="minorHAnsi"/>
        </w:rPr>
        <w:t xml:space="preserve"> </w:t>
      </w:r>
      <w:r w:rsidR="00AF29EC">
        <w:rPr>
          <w:rFonts w:eastAsiaTheme="minorHAnsi"/>
        </w:rPr>
        <w:t>fat meal)</w:t>
      </w:r>
      <w:r w:rsidRPr="00E73778">
        <w:rPr>
          <w:rFonts w:eastAsiaTheme="minorHAnsi"/>
        </w:rPr>
        <w:t xml:space="preserve"> for the 200 mg Phase III capsule formulation from Study 022.</w:t>
      </w:r>
    </w:p>
    <w:p w14:paraId="5A5F5EBD" w14:textId="77777777" w:rsidR="006C365A" w:rsidRPr="00E73778" w:rsidRDefault="006C365A" w:rsidP="00820B30">
      <w:pPr>
        <w:rPr>
          <w:rFonts w:eastAsiaTheme="minorHAnsi"/>
        </w:rPr>
      </w:pPr>
      <w:r w:rsidRPr="00E73778">
        <w:rPr>
          <w:rFonts w:eastAsiaTheme="minorHAnsi"/>
        </w:rPr>
        <w:t>Confidence intervals could not be calculated due to the differing numbers in the groups</w:t>
      </w:r>
      <w:r>
        <w:rPr>
          <w:rFonts w:eastAsiaTheme="minorHAnsi"/>
        </w:rPr>
        <w:t xml:space="preserve"> used for each study. H</w:t>
      </w:r>
      <w:r w:rsidRPr="00E73778">
        <w:rPr>
          <w:rFonts w:eastAsiaTheme="minorHAnsi"/>
        </w:rPr>
        <w:t xml:space="preserve">owever, the </w:t>
      </w:r>
      <w:r>
        <w:rPr>
          <w:rFonts w:eastAsiaTheme="minorHAnsi"/>
        </w:rPr>
        <w:t xml:space="preserve">results for </w:t>
      </w:r>
      <w:r w:rsidRPr="00E73778">
        <w:rPr>
          <w:rFonts w:eastAsiaTheme="minorHAnsi"/>
        </w:rPr>
        <w:t xml:space="preserve">the ratios </w:t>
      </w:r>
      <w:r>
        <w:rPr>
          <w:rFonts w:eastAsiaTheme="minorHAnsi"/>
        </w:rPr>
        <w:t>of parameters C</w:t>
      </w:r>
      <w:r w:rsidRPr="00E73778">
        <w:rPr>
          <w:rFonts w:eastAsiaTheme="minorHAnsi"/>
          <w:vertAlign w:val="subscript"/>
        </w:rPr>
        <w:t>max</w:t>
      </w:r>
      <w:r>
        <w:rPr>
          <w:rFonts w:eastAsiaTheme="minorHAnsi"/>
        </w:rPr>
        <w:t xml:space="preserve"> (96.7%) and </w:t>
      </w:r>
      <w:proofErr w:type="gramStart"/>
      <w:r>
        <w:rPr>
          <w:rFonts w:eastAsiaTheme="minorHAnsi"/>
        </w:rPr>
        <w:t>AUC</w:t>
      </w:r>
      <w:r w:rsidRPr="00E73778">
        <w:rPr>
          <w:rFonts w:eastAsiaTheme="minorHAnsi"/>
          <w:vertAlign w:val="subscript"/>
        </w:rPr>
        <w:t>(</w:t>
      </w:r>
      <w:proofErr w:type="gramEnd"/>
      <w:r w:rsidRPr="00E73778">
        <w:rPr>
          <w:rFonts w:eastAsiaTheme="minorHAnsi"/>
          <w:vertAlign w:val="subscript"/>
        </w:rPr>
        <w:t>0-t)</w:t>
      </w:r>
      <w:r w:rsidRPr="00E73778">
        <w:rPr>
          <w:rFonts w:eastAsiaTheme="minorHAnsi"/>
        </w:rPr>
        <w:t xml:space="preserve"> (</w:t>
      </w:r>
      <w:r>
        <w:rPr>
          <w:rFonts w:eastAsiaTheme="minorHAnsi"/>
        </w:rPr>
        <w:t xml:space="preserve">103.0%) for the two studies, indicate that bioequivalence between </w:t>
      </w:r>
      <w:r w:rsidRPr="00E73778">
        <w:rPr>
          <w:rFonts w:eastAsiaTheme="minorHAnsi"/>
        </w:rPr>
        <w:t xml:space="preserve">the </w:t>
      </w:r>
      <w:r>
        <w:rPr>
          <w:rFonts w:eastAsiaTheme="minorHAnsi"/>
        </w:rPr>
        <w:t xml:space="preserve">proposed </w:t>
      </w:r>
      <w:r w:rsidRPr="00E73778">
        <w:rPr>
          <w:rFonts w:eastAsiaTheme="minorHAnsi"/>
        </w:rPr>
        <w:t xml:space="preserve">100 mg tablet formulation </w:t>
      </w:r>
      <w:r>
        <w:rPr>
          <w:rFonts w:eastAsiaTheme="minorHAnsi"/>
        </w:rPr>
        <w:t>and</w:t>
      </w:r>
      <w:r w:rsidRPr="00E73778">
        <w:rPr>
          <w:rFonts w:eastAsiaTheme="minorHAnsi"/>
        </w:rPr>
        <w:t xml:space="preserve"> the Phase III capsule formulation</w:t>
      </w:r>
      <w:r>
        <w:rPr>
          <w:rFonts w:eastAsiaTheme="minorHAnsi"/>
        </w:rPr>
        <w:t xml:space="preserve"> is likely.</w:t>
      </w:r>
    </w:p>
    <w:p w14:paraId="17C26070" w14:textId="10F77E18" w:rsidR="006C365A" w:rsidRPr="00820B30" w:rsidRDefault="006C365A" w:rsidP="00820B30">
      <w:pPr>
        <w:rPr>
          <w:rFonts w:eastAsiaTheme="minorHAnsi"/>
        </w:rPr>
      </w:pPr>
      <w:r w:rsidRPr="00820B30">
        <w:rPr>
          <w:rFonts w:eastAsiaTheme="minorHAnsi"/>
        </w:rPr>
        <w:t>No studies have been performed to directly compare the 100 mg tablet formulation proposed for registration directly with the Phase III capsule formulation. The dossier states that this is because the Phase III capsule is no longer being manufactured and no remaining samples are available.</w:t>
      </w:r>
    </w:p>
    <w:p w14:paraId="16FA721F" w14:textId="77777777" w:rsidR="006C365A" w:rsidRPr="00406083" w:rsidRDefault="00820B30" w:rsidP="00820B30">
      <w:pPr>
        <w:pStyle w:val="Heading3"/>
      </w:pPr>
      <w:bookmarkStart w:id="35" w:name="_Toc12348773"/>
      <w:r>
        <w:t>Quality r</w:t>
      </w:r>
      <w:r w:rsidR="006C365A" w:rsidRPr="00406083">
        <w:t>ecommendations</w:t>
      </w:r>
      <w:bookmarkEnd w:id="35"/>
    </w:p>
    <w:p w14:paraId="20F8C30A" w14:textId="77777777" w:rsidR="006C365A" w:rsidRPr="00406083" w:rsidRDefault="006C365A" w:rsidP="006C365A">
      <w:pPr>
        <w:rPr>
          <w:szCs w:val="24"/>
        </w:rPr>
      </w:pPr>
      <w:r w:rsidRPr="00406083">
        <w:rPr>
          <w:szCs w:val="24"/>
        </w:rPr>
        <w:t>Approval of the registration of the proposed tafenoquine (as succinate) 100 mg tablets is recommended from a chemistry and quality control perspective.</w:t>
      </w:r>
    </w:p>
    <w:p w14:paraId="025F1DD2" w14:textId="77777777" w:rsidR="008E7846" w:rsidRDefault="008E7846" w:rsidP="008E7846">
      <w:pPr>
        <w:pStyle w:val="Heading2"/>
      </w:pPr>
      <w:bookmarkStart w:id="36" w:name="_Toc196046439"/>
      <w:bookmarkStart w:id="37" w:name="_Toc247691510"/>
      <w:bookmarkStart w:id="38" w:name="_Toc314842494"/>
      <w:bookmarkStart w:id="39" w:name="_Toc12348774"/>
      <w:bookmarkEnd w:id="31"/>
      <w:bookmarkEnd w:id="32"/>
      <w:r>
        <w:t>I</w:t>
      </w:r>
      <w:r w:rsidR="00500337">
        <w:t>V</w:t>
      </w:r>
      <w:r>
        <w:t>. Nonclinical</w:t>
      </w:r>
      <w:bookmarkEnd w:id="36"/>
      <w:r>
        <w:t xml:space="preserve"> findings</w:t>
      </w:r>
      <w:bookmarkEnd w:id="37"/>
      <w:bookmarkEnd w:id="38"/>
      <w:bookmarkEnd w:id="39"/>
    </w:p>
    <w:p w14:paraId="1607A3D5" w14:textId="77777777" w:rsidR="0020528D" w:rsidRDefault="0020528D" w:rsidP="006C365A">
      <w:pPr>
        <w:pStyle w:val="AssessmentSection"/>
      </w:pPr>
      <w:bookmarkStart w:id="40" w:name="_Toc12348775"/>
      <w:bookmarkStart w:id="41" w:name="_Toc294861723"/>
      <w:bookmarkStart w:id="42" w:name="_Toc295290865"/>
      <w:bookmarkStart w:id="43" w:name="_Toc517098881"/>
      <w:r w:rsidRPr="00455D15">
        <w:t>Intro</w:t>
      </w:r>
      <w:r w:rsidR="00455D15" w:rsidRPr="00455D15">
        <w:t>duction</w:t>
      </w:r>
      <w:bookmarkEnd w:id="40"/>
    </w:p>
    <w:p w14:paraId="3E24F21B" w14:textId="27DA9993" w:rsidR="00455D15" w:rsidRDefault="00455D15" w:rsidP="00455D15">
      <w:r>
        <w:t xml:space="preserve">Pivotal core safety pharmacology, toxicokinetic and repeat dose toxicity studies were Good Laboratory Compliant (GLP) compliant and were generally conducted in accordance with the </w:t>
      </w:r>
      <w:r w:rsidRPr="0084395F">
        <w:t xml:space="preserve">International Conference </w:t>
      </w:r>
      <w:r>
        <w:t>o</w:t>
      </w:r>
      <w:r w:rsidRPr="0084395F">
        <w:t>n Harmonisation</w:t>
      </w:r>
      <w:r w:rsidR="00842EE0">
        <w:t xml:space="preserve"> (ICH)</w:t>
      </w:r>
      <w:r w:rsidRPr="0084395F">
        <w:t xml:space="preserve"> </w:t>
      </w:r>
      <w:r>
        <w:t>o</w:t>
      </w:r>
      <w:r w:rsidRPr="0084395F">
        <w:t xml:space="preserve">f Technical Requirements </w:t>
      </w:r>
      <w:r>
        <w:t>f</w:t>
      </w:r>
      <w:r w:rsidRPr="0084395F">
        <w:t xml:space="preserve">or Registration </w:t>
      </w:r>
      <w:r>
        <w:t>o</w:t>
      </w:r>
      <w:r w:rsidRPr="0084395F">
        <w:t xml:space="preserve">f Pharmaceuticals </w:t>
      </w:r>
      <w:r>
        <w:t>f</w:t>
      </w:r>
      <w:r w:rsidRPr="0084395F">
        <w:t>or Human Use</w:t>
      </w:r>
      <w:r>
        <w:t xml:space="preserve"> guideline.</w:t>
      </w:r>
      <w:bookmarkStart w:id="44" w:name="_Ref524002363"/>
      <w:r>
        <w:rPr>
          <w:rStyle w:val="FootnoteReference"/>
        </w:rPr>
        <w:footnoteReference w:id="4"/>
      </w:r>
      <w:bookmarkEnd w:id="44"/>
    </w:p>
    <w:p w14:paraId="2A68CA7B" w14:textId="77777777" w:rsidR="002B10E3" w:rsidRDefault="002B10E3" w:rsidP="002B10E3">
      <w:pPr>
        <w:pStyle w:val="ListBullet"/>
        <w:numPr>
          <w:ilvl w:val="0"/>
          <w:numId w:val="0"/>
        </w:numPr>
      </w:pPr>
      <w:r>
        <w:t>Overall the nonclinical submission was adequate.</w:t>
      </w:r>
    </w:p>
    <w:p w14:paraId="112C8DE7" w14:textId="77777777" w:rsidR="006C365A" w:rsidRDefault="006C365A" w:rsidP="0020528D">
      <w:pPr>
        <w:pStyle w:val="Heading3"/>
      </w:pPr>
      <w:bookmarkStart w:id="45" w:name="_Toc12348776"/>
      <w:r w:rsidRPr="00EB69F1">
        <w:lastRenderedPageBreak/>
        <w:t>Pharmacology</w:t>
      </w:r>
      <w:bookmarkEnd w:id="41"/>
      <w:bookmarkEnd w:id="42"/>
      <w:bookmarkEnd w:id="43"/>
      <w:bookmarkEnd w:id="45"/>
    </w:p>
    <w:p w14:paraId="754C99C0" w14:textId="77777777" w:rsidR="006C365A" w:rsidRDefault="006C365A" w:rsidP="0020528D">
      <w:pPr>
        <w:pStyle w:val="Heading4"/>
      </w:pPr>
      <w:r w:rsidRPr="00EB69F1">
        <w:t>Primary pharmacology</w:t>
      </w:r>
    </w:p>
    <w:p w14:paraId="16B35BDB" w14:textId="77777777" w:rsidR="006C365A" w:rsidRPr="00AF5968" w:rsidRDefault="006C365A" w:rsidP="0020528D">
      <w:pPr>
        <w:pStyle w:val="Heading5"/>
      </w:pPr>
      <w:r w:rsidRPr="00AF5968">
        <w:t xml:space="preserve">In vitro </w:t>
      </w:r>
      <w:r>
        <w:t>susc</w:t>
      </w:r>
      <w:r w:rsidR="0020528D">
        <w:t>eptibility of malaria parasites</w:t>
      </w:r>
    </w:p>
    <w:p w14:paraId="79D792D5" w14:textId="53F6DC1C" w:rsidR="0020528D" w:rsidRDefault="006C365A" w:rsidP="0020528D">
      <w:r>
        <w:t>A</w:t>
      </w:r>
      <w:r w:rsidRPr="00380322">
        <w:t xml:space="preserve"> preliminary</w:t>
      </w:r>
      <w:r>
        <w:rPr>
          <w:i/>
        </w:rPr>
        <w:t xml:space="preserve"> </w:t>
      </w:r>
      <w:r w:rsidR="0020528D" w:rsidRPr="0020528D">
        <w:t>in vitro</w:t>
      </w:r>
      <w:r w:rsidRPr="00D456CA">
        <w:t xml:space="preserve"> </w:t>
      </w:r>
      <w:r>
        <w:t xml:space="preserve">study showed </w:t>
      </w:r>
      <w:r w:rsidRPr="00D456CA">
        <w:t>blood schizonticidal activity of tafenoquine</w:t>
      </w:r>
      <w:r w:rsidRPr="00380322">
        <w:t xml:space="preserve"> (</w:t>
      </w:r>
      <w:r w:rsidR="0020528D">
        <w:t>50% inhibitory concentration (</w:t>
      </w:r>
      <w:r>
        <w:t>IC</w:t>
      </w:r>
      <w:r>
        <w:rPr>
          <w:vertAlign w:val="subscript"/>
        </w:rPr>
        <w:t>50</w:t>
      </w:r>
      <w:r w:rsidR="0020528D">
        <w:t xml:space="preserve">) </w:t>
      </w:r>
      <w:r>
        <w:t xml:space="preserve">1130 nM against Sierra Leone </w:t>
      </w:r>
      <w:r w:rsidR="00842EE0">
        <w:t xml:space="preserve">clone </w:t>
      </w:r>
      <w:r>
        <w:t xml:space="preserve">D6 resistant to mefloquine, 150 nM against Indochina clone W-2 resistant to </w:t>
      </w:r>
      <w:r w:rsidRPr="00CF0EC3">
        <w:t>chloroquine</w:t>
      </w:r>
      <w:r>
        <w:t xml:space="preserve"> and</w:t>
      </w:r>
      <w:r w:rsidRPr="00CF0EC3">
        <w:t xml:space="preserve"> pyrimethamine</w:t>
      </w:r>
      <w:r>
        <w:t>)</w:t>
      </w:r>
      <w:r w:rsidRPr="00D456CA">
        <w:t xml:space="preserve"> was 4 to 15 fold greater </w:t>
      </w:r>
      <w:r w:rsidRPr="00380322">
        <w:t xml:space="preserve">than </w:t>
      </w:r>
      <w:r w:rsidR="00842EE0">
        <w:t xml:space="preserve">primaquine </w:t>
      </w:r>
      <w:r w:rsidRPr="00D456CA">
        <w:t xml:space="preserve">against </w:t>
      </w:r>
      <w:r>
        <w:t>drug resistant</w:t>
      </w:r>
      <w:r w:rsidRPr="00D456CA">
        <w:t xml:space="preserve"> clones of the mala</w:t>
      </w:r>
      <w:r>
        <w:t>r</w:t>
      </w:r>
      <w:r w:rsidRPr="00D456CA">
        <w:t xml:space="preserve">ia parasite </w:t>
      </w:r>
      <w:r w:rsidR="002352EB" w:rsidRPr="002352EB">
        <w:t>Pf</w:t>
      </w:r>
      <w:r w:rsidR="0020528D">
        <w:t>.</w:t>
      </w:r>
    </w:p>
    <w:p w14:paraId="5E28F102" w14:textId="451BA909" w:rsidR="006C365A" w:rsidRPr="00FE32F4" w:rsidRDefault="006C365A" w:rsidP="0020528D">
      <w:r>
        <w:t>In a published study investigating the activity of tafenoquine and 12 other 8</w:t>
      </w:r>
      <w:r w:rsidR="00842EE0">
        <w:noBreakHyphen/>
      </w:r>
      <w:r>
        <w:t xml:space="preserve">aminoquinoline compounds against seven </w:t>
      </w:r>
      <w:r w:rsidR="002352EB" w:rsidRPr="002352EB">
        <w:t>Pf</w:t>
      </w:r>
      <w:r>
        <w:t xml:space="preserve"> clones and isolates, tafenoquine was more effective than </w:t>
      </w:r>
      <w:r w:rsidR="00994561">
        <w:t>primaquine</w:t>
      </w:r>
      <w:r>
        <w:t xml:space="preserve"> against all isolates with an average</w:t>
      </w:r>
      <w:r w:rsidR="005A22E3">
        <w:t xml:space="preserve"> 50% inhibitory concentration</w:t>
      </w:r>
      <w:r>
        <w:t xml:space="preserve"> </w:t>
      </w:r>
      <w:r w:rsidR="005A22E3">
        <w:t>(</w:t>
      </w:r>
      <w:r>
        <w:t>IC</w:t>
      </w:r>
      <w:r w:rsidRPr="00757124">
        <w:rPr>
          <w:vertAlign w:val="subscript"/>
        </w:rPr>
        <w:t>50</w:t>
      </w:r>
      <w:r w:rsidR="005A22E3">
        <w:t>)</w:t>
      </w:r>
      <w:r>
        <w:t xml:space="preserve"> (436 nM, range 59</w:t>
      </w:r>
      <w:r w:rsidR="00842EE0">
        <w:t xml:space="preserve"> to </w:t>
      </w:r>
      <w:r>
        <w:t>1470 nM) approximately 3</w:t>
      </w:r>
      <w:r w:rsidR="0020528D">
        <w:t xml:space="preserve"> </w:t>
      </w:r>
      <w:r>
        <w:t xml:space="preserve">fold lower than </w:t>
      </w:r>
      <w:r w:rsidR="00994561">
        <w:t>primaquine</w:t>
      </w:r>
      <w:r w:rsidR="00842EE0">
        <w:t>.</w:t>
      </w:r>
      <w:r>
        <w:rPr>
          <w:rStyle w:val="FootnoteReference"/>
        </w:rPr>
        <w:footnoteReference w:id="5"/>
      </w:r>
      <w:r w:rsidR="0020528D" w:rsidRPr="0020528D">
        <w:t xml:space="preserve"> </w:t>
      </w:r>
      <w:r w:rsidRPr="00836ED7">
        <w:t xml:space="preserve">It would be relevant to note in this same study no cross resistance was observed between tafenoquine and chloroquine or tafenoquine and mefloquine; however, tafenoquine cross resistance correlated significantly with </w:t>
      </w:r>
      <w:r w:rsidR="00994561">
        <w:t>primaquine</w:t>
      </w:r>
      <w:r w:rsidRPr="00836ED7">
        <w:t xml:space="preserve"> against blood stage parasites in culture (r = 0.783, p=</w:t>
      </w:r>
      <w:r w:rsidR="00842EE0">
        <w:t> </w:t>
      </w:r>
      <w:r w:rsidRPr="00836ED7">
        <w:t>0.037).</w:t>
      </w:r>
      <w:r w:rsidR="0020528D" w:rsidRPr="0020528D">
        <w:t xml:space="preserve"> </w:t>
      </w:r>
      <w:r w:rsidRPr="00836ED7">
        <w:t>The submission did not include any studies predicting the expected drug resistance, which would have been useful in understanding the likelihood of the emergence of general resistance to tafenoquine.</w:t>
      </w:r>
      <w:r w:rsidR="0020528D" w:rsidRPr="0020528D">
        <w:t xml:space="preserve"> </w:t>
      </w:r>
      <w:r w:rsidR="0020528D">
        <w:t>50% effective concentration (</w:t>
      </w:r>
      <w:r>
        <w:t>EC</w:t>
      </w:r>
      <w:r w:rsidRPr="00FE32F4">
        <w:rPr>
          <w:vertAlign w:val="subscript"/>
        </w:rPr>
        <w:t>50</w:t>
      </w:r>
      <w:r w:rsidR="0020528D">
        <w:t xml:space="preserve">) </w:t>
      </w:r>
      <w:r>
        <w:t xml:space="preserve">of tafenoquine (209 nM) against the most drug resistant </w:t>
      </w:r>
      <w:r w:rsidR="002352EB" w:rsidRPr="002352EB">
        <w:t>Pf</w:t>
      </w:r>
      <w:r>
        <w:t xml:space="preserve"> </w:t>
      </w:r>
      <w:r w:rsidRPr="003B6D58">
        <w:t>schizont maturation</w:t>
      </w:r>
      <w:r>
        <w:t xml:space="preserve"> was in the same range as quinine and 2.4 and 10 times greater than the EC</w:t>
      </w:r>
      <w:r w:rsidRPr="00836ED7">
        <w:rPr>
          <w:vertAlign w:val="subscript"/>
        </w:rPr>
        <w:t>50</w:t>
      </w:r>
      <w:r>
        <w:t xml:space="preserve"> for chloroquine and m</w:t>
      </w:r>
      <w:r w:rsidRPr="00645182">
        <w:t>efloquine</w:t>
      </w:r>
      <w:r>
        <w:t>, respectively</w:t>
      </w:r>
      <w:r w:rsidR="00842EE0">
        <w:t>.</w:t>
      </w:r>
      <w:r>
        <w:rPr>
          <w:rStyle w:val="FootnoteReference"/>
        </w:rPr>
        <w:footnoteReference w:id="6"/>
      </w:r>
      <w:r w:rsidRPr="00AF5968">
        <w:t xml:space="preserve"> </w:t>
      </w:r>
      <w:r>
        <w:t>Tafenoquine (mean IC</w:t>
      </w:r>
      <w:r>
        <w:rPr>
          <w:vertAlign w:val="subscript"/>
        </w:rPr>
        <w:t>50</w:t>
      </w:r>
      <w:r>
        <w:t xml:space="preserve"> 4430 nM) was either equal to or approximately 2</w:t>
      </w:r>
      <w:r w:rsidR="0020528D">
        <w:t xml:space="preserve"> </w:t>
      </w:r>
      <w:r>
        <w:t xml:space="preserve">fold more potent than </w:t>
      </w:r>
      <w:r w:rsidR="00994561">
        <w:t>primaquine</w:t>
      </w:r>
      <w:r>
        <w:t xml:space="preserve"> but less potent than chloroquine and mefloquine against multi-drug resistant </w:t>
      </w:r>
      <w:r w:rsidR="002352EB" w:rsidRPr="002352EB">
        <w:t>Pf</w:t>
      </w:r>
      <w:r>
        <w:t xml:space="preserve"> isolates from Djibouti (East Africa), Gabon (Central Africa) and Senegal (West Africa</w:t>
      </w:r>
      <w:r w:rsidRPr="00F23E62">
        <w:t>)</w:t>
      </w:r>
      <w:r>
        <w:rPr>
          <w:rStyle w:val="FootnoteReference"/>
        </w:rPr>
        <w:footnoteReference w:id="7"/>
      </w:r>
      <w:r>
        <w:t>. T</w:t>
      </w:r>
      <w:r w:rsidRPr="003E3750">
        <w:t>he IC</w:t>
      </w:r>
      <w:r w:rsidRPr="003E3750">
        <w:rPr>
          <w:vertAlign w:val="subscript"/>
        </w:rPr>
        <w:t>50</w:t>
      </w:r>
      <w:r w:rsidRPr="003E3750">
        <w:t xml:space="preserve"> of tafenoquine and </w:t>
      </w:r>
      <w:r w:rsidR="00994561">
        <w:t>primaquine</w:t>
      </w:r>
      <w:r w:rsidRPr="003E3750">
        <w:t xml:space="preserve"> were comparable (2189.9 nM and 1990 nM, respectively)</w:t>
      </w:r>
      <w:r>
        <w:t xml:space="preserve"> </w:t>
      </w:r>
      <w:r w:rsidRPr="003E3750">
        <w:t xml:space="preserve">against </w:t>
      </w:r>
      <w:r w:rsidR="002352EB" w:rsidRPr="002352EB">
        <w:t>Pf</w:t>
      </w:r>
      <w:r w:rsidRPr="003E3750">
        <w:t xml:space="preserve"> clone </w:t>
      </w:r>
      <w:r>
        <w:t>HB3 (Honduras, chloroquine-sensitive)</w:t>
      </w:r>
      <w:r>
        <w:rPr>
          <w:rStyle w:val="FootnoteReference"/>
        </w:rPr>
        <w:footnoteReference w:id="8"/>
      </w:r>
      <w:r>
        <w:t>.</w:t>
      </w:r>
      <w:r w:rsidR="0020528D" w:rsidRPr="0020528D">
        <w:t xml:space="preserve"> </w:t>
      </w:r>
      <w:r>
        <w:t xml:space="preserve">In the same study tafenoquine against </w:t>
      </w:r>
      <w:r w:rsidR="002352EB" w:rsidRPr="002352EB">
        <w:t>Pf</w:t>
      </w:r>
      <w:r>
        <w:t xml:space="preserve"> clone Dd2 (Indochina, chloroquine-resistant), exhibited IC</w:t>
      </w:r>
      <w:r w:rsidRPr="00AF5968">
        <w:rPr>
          <w:vertAlign w:val="subscript"/>
        </w:rPr>
        <w:t>50</w:t>
      </w:r>
      <w:r>
        <w:t xml:space="preserve"> of 2092 nM which was 2</w:t>
      </w:r>
      <w:r w:rsidR="006F2C7A">
        <w:t xml:space="preserve"> </w:t>
      </w:r>
      <w:r>
        <w:t>fold lower than the IC</w:t>
      </w:r>
      <w:r w:rsidRPr="00AF5968">
        <w:rPr>
          <w:vertAlign w:val="subscript"/>
        </w:rPr>
        <w:t>50</w:t>
      </w:r>
      <w:r>
        <w:t xml:space="preserve"> of </w:t>
      </w:r>
      <w:r w:rsidR="00994561">
        <w:t>primaquine</w:t>
      </w:r>
      <w:r>
        <w:t xml:space="preserve"> (4695 nM).</w:t>
      </w:r>
      <w:r w:rsidRPr="00AF5968">
        <w:t xml:space="preserve"> Ghanaian </w:t>
      </w:r>
      <w:r w:rsidR="002352EB" w:rsidRPr="002352EB">
        <w:t>Pf</w:t>
      </w:r>
      <w:r w:rsidRPr="00AF5968">
        <w:t xml:space="preserve"> </w:t>
      </w:r>
      <w:r>
        <w:t>isolates (160 from 3 sentinel sites</w:t>
      </w:r>
      <w:r w:rsidR="006F2C7A">
        <w:t>:</w:t>
      </w:r>
      <w:r>
        <w:t xml:space="preserve"> Cape Coast, Hohoe and Navrongo representing three distinct epidemiological zones) were highly sensitive to tafenoquine (</w:t>
      </w:r>
      <w:r w:rsidRPr="00AF5968">
        <w:t>pooled IC</w:t>
      </w:r>
      <w:r w:rsidRPr="00AF5968">
        <w:rPr>
          <w:vertAlign w:val="subscript"/>
        </w:rPr>
        <w:t>50</w:t>
      </w:r>
      <w:r>
        <w:t xml:space="preserve"> value of 93.6 nM)</w:t>
      </w:r>
      <w:r>
        <w:rPr>
          <w:rStyle w:val="FootnoteReference"/>
        </w:rPr>
        <w:footnoteReference w:id="9"/>
      </w:r>
      <w:r>
        <w:t xml:space="preserve">. These </w:t>
      </w:r>
      <w:r w:rsidR="0020528D" w:rsidRPr="0020528D">
        <w:t>in vitro</w:t>
      </w:r>
      <w:r>
        <w:t xml:space="preserve"> studies demonstrated schizonticidal activity of tafenoquine and that sensitivity of </w:t>
      </w:r>
      <w:r w:rsidR="002352EB" w:rsidRPr="002352EB">
        <w:t>Pf</w:t>
      </w:r>
      <w:r>
        <w:t xml:space="preserve"> asexual forms to tafenoquine was greater than to </w:t>
      </w:r>
      <w:r w:rsidR="00994561">
        <w:t>primaquine</w:t>
      </w:r>
      <w:r>
        <w:t xml:space="preserve">. The </w:t>
      </w:r>
      <w:r w:rsidR="0020528D" w:rsidRPr="0020528D">
        <w:t>in vitro</w:t>
      </w:r>
      <w:r>
        <w:t xml:space="preserve"> IC</w:t>
      </w:r>
      <w:r>
        <w:rPr>
          <w:vertAlign w:val="subscript"/>
        </w:rPr>
        <w:t>50</w:t>
      </w:r>
      <w:r>
        <w:t xml:space="preserve"> values were considerably higher than the expected clinical unbound C</w:t>
      </w:r>
      <w:r>
        <w:rPr>
          <w:vertAlign w:val="subscript"/>
        </w:rPr>
        <w:t>max</w:t>
      </w:r>
      <w:r>
        <w:t xml:space="preserve"> (6.47 nM)</w:t>
      </w:r>
      <w:r>
        <w:rPr>
          <w:rStyle w:val="FootnoteReference"/>
        </w:rPr>
        <w:footnoteReference w:id="10"/>
      </w:r>
      <w:r>
        <w:t>.</w:t>
      </w:r>
      <w:r w:rsidR="00646BB4">
        <w:t xml:space="preserve"> </w:t>
      </w:r>
    </w:p>
    <w:p w14:paraId="63B2CED6" w14:textId="77777777" w:rsidR="006F2C7A" w:rsidRDefault="006C365A" w:rsidP="006F2C7A">
      <w:pPr>
        <w:pStyle w:val="Heading5"/>
      </w:pPr>
      <w:r w:rsidRPr="00DD770C">
        <w:t xml:space="preserve">Susceptibility of different life cycle stages to tafenoquine </w:t>
      </w:r>
      <w:r w:rsidR="0020528D" w:rsidRPr="0020528D">
        <w:t>in vivo</w:t>
      </w:r>
    </w:p>
    <w:p w14:paraId="5DB5E446" w14:textId="0CE215E7" w:rsidR="006F2C7A" w:rsidRDefault="006C365A" w:rsidP="006F2C7A">
      <w:pPr>
        <w:pStyle w:val="Heading6"/>
      </w:pPr>
      <w:r w:rsidRPr="00725779">
        <w:t>Blood schizonticid</w:t>
      </w:r>
      <w:r w:rsidR="006F2C7A">
        <w:t>al activity in mice and monkeys</w:t>
      </w:r>
    </w:p>
    <w:p w14:paraId="260326ED" w14:textId="586F0640" w:rsidR="006C365A" w:rsidRPr="00725779" w:rsidRDefault="006C365A" w:rsidP="006F2C7A">
      <w:r w:rsidRPr="00725779">
        <w:t>In mice</w:t>
      </w:r>
      <w:r>
        <w:t>,</w:t>
      </w:r>
      <w:r w:rsidRPr="00725779">
        <w:t xml:space="preserve"> </w:t>
      </w:r>
      <w:r w:rsidR="006F2C7A">
        <w:t>subcutaneous (</w:t>
      </w:r>
      <w:r w:rsidRPr="00725779">
        <w:t>SC</w:t>
      </w:r>
      <w:r w:rsidR="006F2C7A">
        <w:t>)</w:t>
      </w:r>
      <w:r w:rsidRPr="00725779">
        <w:t xml:space="preserve"> administration of tafenoquine at doses of 16 </w:t>
      </w:r>
      <w:r w:rsidR="00842EE0">
        <w:t>to</w:t>
      </w:r>
      <w:r w:rsidR="00842EE0" w:rsidRPr="00725779">
        <w:t xml:space="preserve"> </w:t>
      </w:r>
      <w:r w:rsidRPr="00725779">
        <w:t>128 mg/</w:t>
      </w:r>
      <w:r>
        <w:t>kg</w:t>
      </w:r>
      <w:r w:rsidRPr="00725779">
        <w:t xml:space="preserve"> 72 h after infection with the blood stages of </w:t>
      </w:r>
      <w:r w:rsidRPr="00C97D55">
        <w:rPr>
          <w:i/>
        </w:rPr>
        <w:t>P</w:t>
      </w:r>
      <w:r w:rsidR="002352EB" w:rsidRPr="00C97D55">
        <w:rPr>
          <w:i/>
        </w:rPr>
        <w:t>lasmodium</w:t>
      </w:r>
      <w:r w:rsidRPr="00C97D55">
        <w:rPr>
          <w:i/>
        </w:rPr>
        <w:t xml:space="preserve"> berghei</w:t>
      </w:r>
      <w:r w:rsidRPr="00725779">
        <w:t xml:space="preserve"> </w:t>
      </w:r>
      <w:r>
        <w:t>(</w:t>
      </w:r>
      <w:r w:rsidRPr="00725779">
        <w:t>a rodent malaria</w:t>
      </w:r>
      <w:r>
        <w:t>)</w:t>
      </w:r>
      <w:r w:rsidRPr="00725779">
        <w:t>, enabled survival of animals for at least 60 days post infection demonstrating the blood schizonticidal activity of tafenoquine</w:t>
      </w:r>
      <w:r>
        <w:t xml:space="preserve"> (untreated animals died 6</w:t>
      </w:r>
      <w:r w:rsidR="00842EE0">
        <w:t xml:space="preserve"> to </w:t>
      </w:r>
      <w:r>
        <w:t>8 days after infection)</w:t>
      </w:r>
      <w:r w:rsidRPr="00725779">
        <w:t xml:space="preserve">. </w:t>
      </w:r>
      <w:r w:rsidRPr="00725779">
        <w:lastRenderedPageBreak/>
        <w:t xml:space="preserve">Tafenoquine demonstrated different effects against different malaria strains in Panamanian </w:t>
      </w:r>
      <w:r w:rsidRPr="00725779">
        <w:rPr>
          <w:i/>
        </w:rPr>
        <w:t>Aotus trivirgatus</w:t>
      </w:r>
      <w:r w:rsidRPr="00725779">
        <w:t xml:space="preserve"> monkeys. An oral dose of 1 mg/kg/day tafenoquine (</w:t>
      </w:r>
      <w:r w:rsidR="006F2C7A" w:rsidRPr="006F2C7A">
        <w:t>approximately</w:t>
      </w:r>
      <w:r w:rsidRPr="00725779">
        <w:t xml:space="preserve"> 0.1 </w:t>
      </w:r>
      <w:r>
        <w:t>times</w:t>
      </w:r>
      <w:r w:rsidRPr="00725779">
        <w:t xml:space="preserve"> human dose on </w:t>
      </w:r>
      <w:r>
        <w:t xml:space="preserve">a </w:t>
      </w:r>
      <w:r w:rsidRPr="00725779">
        <w:t>μg/m</w:t>
      </w:r>
      <w:r w:rsidRPr="00725779">
        <w:rPr>
          <w:vertAlign w:val="superscript"/>
        </w:rPr>
        <w:t>2</w:t>
      </w:r>
      <w:r w:rsidRPr="00725779">
        <w:t xml:space="preserve"> body surface area basis) administered for 3 days had no effect or a slight suppressive effect against the Uganda Palo Alto or Vietnam Smith strain </w:t>
      </w:r>
      <w:r w:rsidR="002352EB" w:rsidRPr="002352EB">
        <w:t>Pf</w:t>
      </w:r>
      <w:r w:rsidRPr="00725779">
        <w:t>. An oral dose of 4 mg/kg/day (</w:t>
      </w:r>
      <w:r w:rsidR="006F2C7A" w:rsidRPr="006F2C7A">
        <w:t>approximately</w:t>
      </w:r>
      <w:r w:rsidRPr="00725779">
        <w:t xml:space="preserve"> 0.4 </w:t>
      </w:r>
      <w:r>
        <w:t>times</w:t>
      </w:r>
      <w:r w:rsidRPr="00725779">
        <w:t xml:space="preserve"> human dose on </w:t>
      </w:r>
      <w:r>
        <w:t xml:space="preserve">a </w:t>
      </w:r>
      <w:r w:rsidRPr="00725779">
        <w:t>μg/m</w:t>
      </w:r>
      <w:r w:rsidRPr="00836ED7">
        <w:rPr>
          <w:vertAlign w:val="superscript"/>
        </w:rPr>
        <w:t>2</w:t>
      </w:r>
      <w:r w:rsidRPr="00725779">
        <w:t xml:space="preserve"> body surface area basis) administered for 3 days cleared primary parasitemia (Uganda Palo Alto) or recrudescent parasitemia (Vietnam Smith), but cured (defined as no evidence of blood parasitemia for 100 days) only a small number of recrudescent animals infected with </w:t>
      </w:r>
      <w:r w:rsidR="002352EB" w:rsidRPr="002352EB">
        <w:t>Pf</w:t>
      </w:r>
      <w:r w:rsidRPr="00725779">
        <w:t xml:space="preserve"> (Vietnam Smith strain only).</w:t>
      </w:r>
      <w:r w:rsidR="0020528D" w:rsidRPr="0020528D">
        <w:t xml:space="preserve"> </w:t>
      </w:r>
      <w:r w:rsidRPr="00725779">
        <w:t xml:space="preserve">An improved response was seen after 3 daily doses of 16 mg/kg which did offer cure in a higher proportion of primary and recrudescent infections with </w:t>
      </w:r>
      <w:r w:rsidR="002352EB" w:rsidRPr="002352EB">
        <w:t>Pf</w:t>
      </w:r>
      <w:r w:rsidRPr="00725779">
        <w:t>.</w:t>
      </w:r>
      <w:r w:rsidR="0020528D" w:rsidRPr="0020528D">
        <w:t xml:space="preserve"> </w:t>
      </w:r>
      <w:r w:rsidRPr="00725779">
        <w:t xml:space="preserve">These data are in contrast to effects against </w:t>
      </w:r>
      <w:r w:rsidR="002352EB" w:rsidRPr="002352EB">
        <w:t>Pv</w:t>
      </w:r>
      <w:r w:rsidRPr="00725779">
        <w:t xml:space="preserve"> (Chesson strain), where tafenoquine doses of 1, 4 or 16 mg/kg/day (</w:t>
      </w:r>
      <w:r w:rsidR="006F2C7A" w:rsidRPr="006F2C7A">
        <w:t>approximately</w:t>
      </w:r>
      <w:r w:rsidRPr="00725779">
        <w:t xml:space="preserve"> 0.1, 0.4 or 1.5 </w:t>
      </w:r>
      <w:r>
        <w:t>times</w:t>
      </w:r>
      <w:r w:rsidRPr="00725779">
        <w:t xml:space="preserve"> human dose on μg/m</w:t>
      </w:r>
      <w:r w:rsidRPr="00725779">
        <w:rPr>
          <w:vertAlign w:val="superscript"/>
        </w:rPr>
        <w:t>2</w:t>
      </w:r>
      <w:r w:rsidRPr="00725779">
        <w:t xml:space="preserve"> body surface area basis respectively) administered </w:t>
      </w:r>
      <w:r>
        <w:t>orally</w:t>
      </w:r>
      <w:r w:rsidRPr="00725779">
        <w:t xml:space="preserve"> for 3 days cleared primary parasitemia in </w:t>
      </w:r>
      <w:r w:rsidRPr="00725779">
        <w:rPr>
          <w:i/>
        </w:rPr>
        <w:t>Aotus trivirgatus</w:t>
      </w:r>
      <w:r w:rsidRPr="00725779">
        <w:t xml:space="preserve"> monkeys, with cures at doses ≥ 4 mg/kg/day in some primary and recrudescent animals. A combination study investigating tafenoquine and chloroquine showed 100% tissue schizonticidal cures in monkeys. These studies collectively show </w:t>
      </w:r>
      <w:r w:rsidR="002522B4">
        <w:t xml:space="preserve">the </w:t>
      </w:r>
      <w:r w:rsidR="002522B4" w:rsidRPr="00725779">
        <w:t xml:space="preserve">schizonticidal potential </w:t>
      </w:r>
      <w:r w:rsidR="002522B4">
        <w:t xml:space="preserve">of </w:t>
      </w:r>
      <w:r w:rsidRPr="00725779">
        <w:t>tafenoquine.</w:t>
      </w:r>
    </w:p>
    <w:p w14:paraId="61F90F3D" w14:textId="27240C34" w:rsidR="006F2C7A" w:rsidRDefault="006C365A" w:rsidP="006F2C7A">
      <w:pPr>
        <w:pStyle w:val="Heading6"/>
      </w:pPr>
      <w:r>
        <w:t>P</w:t>
      </w:r>
      <w:r w:rsidRPr="00526624">
        <w:t>rophylaxis in mice</w:t>
      </w:r>
      <w:r>
        <w:t xml:space="preserve"> and monkeys</w:t>
      </w:r>
    </w:p>
    <w:p w14:paraId="2ACA7965" w14:textId="2CF4E54F" w:rsidR="006C365A" w:rsidRPr="00A10580" w:rsidRDefault="006C365A" w:rsidP="006F2C7A">
      <w:r>
        <w:t>Prophylactic activity of tafenoquine (</w:t>
      </w:r>
      <w:r w:rsidR="006F2C7A" w:rsidRPr="006F2C7A">
        <w:t>that is,</w:t>
      </w:r>
      <w:r>
        <w:t xml:space="preserve"> preventing the schizogony of liver parasites thus preventing entry of erythrocytic forms into the blood), was demonstrated in mice when oral or </w:t>
      </w:r>
      <w:r w:rsidR="005A22E3">
        <w:t>subcutaneous (</w:t>
      </w:r>
      <w:r>
        <w:t>SC</w:t>
      </w:r>
      <w:r w:rsidR="005A22E3">
        <w:t>)</w:t>
      </w:r>
      <w:r>
        <w:t xml:space="preserve"> doses of tafenoquine given 4 h prior to infection with </w:t>
      </w:r>
      <w:r w:rsidRPr="006A770C">
        <w:t>sporozoites</w:t>
      </w:r>
      <w:r w:rsidRPr="00F42368">
        <w:rPr>
          <w:color w:val="FF0000"/>
        </w:rPr>
        <w:t xml:space="preserve"> </w:t>
      </w:r>
      <w:r>
        <w:t xml:space="preserve">of </w:t>
      </w:r>
      <w:r w:rsidRPr="00A70B60">
        <w:rPr>
          <w:i/>
        </w:rPr>
        <w:t>P</w:t>
      </w:r>
      <w:r w:rsidR="002352EB" w:rsidRPr="00A70B60">
        <w:rPr>
          <w:i/>
        </w:rPr>
        <w:t>lasmodium</w:t>
      </w:r>
      <w:r w:rsidRPr="00A70B60">
        <w:rPr>
          <w:i/>
        </w:rPr>
        <w:t xml:space="preserve"> berghei</w:t>
      </w:r>
      <w:r w:rsidR="0020528D" w:rsidRPr="00A70B60">
        <w:rPr>
          <w:i/>
        </w:rPr>
        <w:t xml:space="preserve"> </w:t>
      </w:r>
      <w:r w:rsidRPr="00A70B60">
        <w:rPr>
          <w:i/>
        </w:rPr>
        <w:t>yoelii</w:t>
      </w:r>
      <w:r w:rsidR="005A22E3">
        <w:t xml:space="preserve"> (rodent malaria)</w:t>
      </w:r>
      <w:r>
        <w:t>, and prevented parasitemia when administered at doses greater than 8 mg/kg.</w:t>
      </w:r>
      <w:r w:rsidR="0020528D" w:rsidRPr="0020528D">
        <w:t xml:space="preserve"> </w:t>
      </w:r>
      <w:r>
        <w:t>In another study, prophylactic activity in mice was demonstrated when 24 mg/kg tafenoquine</w:t>
      </w:r>
      <w:r w:rsidRPr="00B24154">
        <w:t xml:space="preserve"> </w:t>
      </w:r>
      <w:r>
        <w:t xml:space="preserve">was </w:t>
      </w:r>
      <w:r w:rsidRPr="00B24154">
        <w:t>administered</w:t>
      </w:r>
      <w:r>
        <w:t xml:space="preserve"> SC to mice, 2 h following inoculation with the sporozoites of </w:t>
      </w:r>
      <w:r w:rsidRPr="002352EB">
        <w:t>P</w:t>
      </w:r>
      <w:r w:rsidR="002352EB" w:rsidRPr="002352EB">
        <w:t>lasmodium</w:t>
      </w:r>
      <w:r w:rsidRPr="002352EB">
        <w:t xml:space="preserve"> yoelii nigeriensis</w:t>
      </w:r>
      <w:r>
        <w:t>.</w:t>
      </w:r>
      <w:r w:rsidRPr="00411F5C">
        <w:t xml:space="preserve"> </w:t>
      </w:r>
      <w:r>
        <w:t xml:space="preserve">Duration of action of tafenoquine administered </w:t>
      </w:r>
      <w:r w:rsidRPr="00411F5C">
        <w:t xml:space="preserve">at doses of 64 mg/kg </w:t>
      </w:r>
      <w:r>
        <w:t xml:space="preserve">on </w:t>
      </w:r>
      <w:r w:rsidR="006F2C7A">
        <w:t>D</w:t>
      </w:r>
      <w:r>
        <w:t xml:space="preserve">ay 0 followed by challenge with </w:t>
      </w:r>
      <w:r w:rsidRPr="00A70B60">
        <w:rPr>
          <w:i/>
        </w:rPr>
        <w:t>P</w:t>
      </w:r>
      <w:r w:rsidR="002352EB" w:rsidRPr="00A70B60">
        <w:rPr>
          <w:i/>
        </w:rPr>
        <w:t>lasmodium</w:t>
      </w:r>
      <w:r w:rsidRPr="00A70B60">
        <w:rPr>
          <w:i/>
        </w:rPr>
        <w:t xml:space="preserve"> </w:t>
      </w:r>
      <w:proofErr w:type="spellStart"/>
      <w:r w:rsidRPr="00A70B60">
        <w:rPr>
          <w:i/>
        </w:rPr>
        <w:t>yoelii</w:t>
      </w:r>
      <w:proofErr w:type="spellEnd"/>
      <w:r w:rsidRPr="00A70B60">
        <w:rPr>
          <w:i/>
        </w:rPr>
        <w:t xml:space="preserve"> </w:t>
      </w:r>
      <w:proofErr w:type="spellStart"/>
      <w:r w:rsidRPr="00A70B60">
        <w:rPr>
          <w:i/>
        </w:rPr>
        <w:t>yoelii</w:t>
      </w:r>
      <w:proofErr w:type="spellEnd"/>
      <w:r w:rsidRPr="002352EB">
        <w:t xml:space="preserve"> </w:t>
      </w:r>
      <w:proofErr w:type="spellStart"/>
      <w:r w:rsidRPr="002352EB">
        <w:t>sporozoites</w:t>
      </w:r>
      <w:proofErr w:type="spellEnd"/>
      <w:r w:rsidR="0020528D" w:rsidRPr="002352EB">
        <w:t xml:space="preserve"> </w:t>
      </w:r>
      <w:r w:rsidRPr="002352EB">
        <w:t>in mice was determined to be 3 days, and no to limited activity</w:t>
      </w:r>
      <w:r>
        <w:t xml:space="preserve"> was reported 7 </w:t>
      </w:r>
      <w:r w:rsidR="002352EB">
        <w:t xml:space="preserve">to </w:t>
      </w:r>
      <w:r>
        <w:t>21 days prior to challenge.</w:t>
      </w:r>
      <w:r w:rsidR="0020528D" w:rsidRPr="0020528D">
        <w:t xml:space="preserve"> </w:t>
      </w:r>
      <w:r>
        <w:t xml:space="preserve">In </w:t>
      </w:r>
      <w:r w:rsidR="006F2C7A">
        <w:t>R</w:t>
      </w:r>
      <w:r>
        <w:t>hesus monkeys t</w:t>
      </w:r>
      <w:r w:rsidRPr="00E90EBF">
        <w:t xml:space="preserve">afenoquine at oral doses of ≥ 0.3 mg/kg/day </w:t>
      </w:r>
      <w:r w:rsidRPr="00421BFA">
        <w:t xml:space="preserve">(≥ </w:t>
      </w:r>
      <w:r w:rsidR="006F2C7A" w:rsidRPr="006F2C7A">
        <w:t>approximately</w:t>
      </w:r>
      <w:r w:rsidRPr="00421BFA">
        <w:t xml:space="preserve"> 0.02 </w:t>
      </w:r>
      <w:r>
        <w:t>times</w:t>
      </w:r>
      <w:r w:rsidRPr="00421BFA">
        <w:t xml:space="preserve"> human dose on </w:t>
      </w:r>
      <w:r>
        <w:t xml:space="preserve">a </w:t>
      </w:r>
      <w:r w:rsidRPr="00421BFA">
        <w:t>μg/m</w:t>
      </w:r>
      <w:r w:rsidRPr="00421BFA">
        <w:rPr>
          <w:vertAlign w:val="superscript"/>
        </w:rPr>
        <w:t>2</w:t>
      </w:r>
      <w:r w:rsidRPr="00421BFA">
        <w:t xml:space="preserve"> body surface area basis) </w:t>
      </w:r>
      <w:r w:rsidRPr="00E90EBF">
        <w:t>given for 3 days was found to be</w:t>
      </w:r>
      <w:r>
        <w:t xml:space="preserve"> </w:t>
      </w:r>
      <w:r w:rsidRPr="00E90EBF">
        <w:t xml:space="preserve">effective at preventing </w:t>
      </w:r>
      <w:r w:rsidRPr="00A70B60">
        <w:rPr>
          <w:i/>
        </w:rPr>
        <w:t>P</w:t>
      </w:r>
      <w:r w:rsidR="002352EB" w:rsidRPr="00A70B60">
        <w:rPr>
          <w:i/>
        </w:rPr>
        <w:t>lasmodium</w:t>
      </w:r>
      <w:r w:rsidRPr="00A70B60">
        <w:rPr>
          <w:i/>
        </w:rPr>
        <w:t xml:space="preserve"> cynomolgi</w:t>
      </w:r>
      <w:r w:rsidRPr="00E90EBF">
        <w:t xml:space="preserve"> sporozoite-induced infection in and a</w:t>
      </w:r>
      <w:r>
        <w:t xml:space="preserve"> </w:t>
      </w:r>
      <w:r w:rsidRPr="00E90EBF">
        <w:t xml:space="preserve">single dose of 5.68 mg/kg </w:t>
      </w:r>
      <w:r w:rsidRPr="00421BFA">
        <w:t>(</w:t>
      </w:r>
      <w:r w:rsidR="006F2C7A" w:rsidRPr="006F2C7A">
        <w:t>approximately</w:t>
      </w:r>
      <w:r w:rsidRPr="00421BFA">
        <w:t xml:space="preserve"> 0.5 </w:t>
      </w:r>
      <w:r>
        <w:t>times</w:t>
      </w:r>
      <w:r w:rsidRPr="00421BFA">
        <w:t xml:space="preserve"> human dose on μg/m</w:t>
      </w:r>
      <w:r w:rsidRPr="00421BFA">
        <w:rPr>
          <w:vertAlign w:val="superscript"/>
        </w:rPr>
        <w:t>2</w:t>
      </w:r>
      <w:r w:rsidRPr="00421BFA">
        <w:t xml:space="preserve"> body surface area basis</w:t>
      </w:r>
      <w:r w:rsidRPr="00E90EBF">
        <w:t>) was fully protective when given 3 days prior to</w:t>
      </w:r>
      <w:r>
        <w:t xml:space="preserve"> </w:t>
      </w:r>
      <w:r w:rsidRPr="00E90EBF">
        <w:t>challenge</w:t>
      </w:r>
      <w:r>
        <w:t xml:space="preserve"> (studied in 3 animals only), but not when given 4 days prior to challenge.</w:t>
      </w:r>
      <w:r w:rsidRPr="00E90EBF">
        <w:t xml:space="preserve"> </w:t>
      </w:r>
      <w:r w:rsidRPr="00A10580">
        <w:t xml:space="preserve">These findings indicate that tafenoquine is active against the initial liver stage of malaria infection, consistent with higher levels </w:t>
      </w:r>
      <w:r>
        <w:t xml:space="preserve">of tafenoquine found </w:t>
      </w:r>
      <w:r w:rsidRPr="00A10580">
        <w:t>in the liver in the tissue distribution studies.</w:t>
      </w:r>
    </w:p>
    <w:p w14:paraId="349FD030" w14:textId="4A0DC6F0" w:rsidR="006F2C7A" w:rsidRDefault="006C365A" w:rsidP="006F2C7A">
      <w:pPr>
        <w:pStyle w:val="Heading6"/>
      </w:pPr>
      <w:r>
        <w:t>Sporontocidal activity in mosquitoes ingesting blood of treated mice</w:t>
      </w:r>
    </w:p>
    <w:p w14:paraId="720299A0" w14:textId="609D4E5E" w:rsidR="006C365A" w:rsidDel="00486E80" w:rsidRDefault="006C365A" w:rsidP="006F2C7A">
      <w:r>
        <w:t>Tafenoquine had no impact on ookinete production; however, oocyst numbers were significantly reduced in mosquitoes fed on</w:t>
      </w:r>
      <w:r w:rsidRPr="00176336">
        <w:t xml:space="preserve"> </w:t>
      </w:r>
      <w:r w:rsidRPr="00A70B60">
        <w:rPr>
          <w:i/>
        </w:rPr>
        <w:t>P</w:t>
      </w:r>
      <w:r w:rsidR="002352EB" w:rsidRPr="00A70B60">
        <w:rPr>
          <w:i/>
        </w:rPr>
        <w:t>lasmodium</w:t>
      </w:r>
      <w:r w:rsidRPr="00A70B60">
        <w:rPr>
          <w:i/>
        </w:rPr>
        <w:t xml:space="preserve"> berghei</w:t>
      </w:r>
      <w:r w:rsidRPr="00176336">
        <w:t xml:space="preserve"> infected mice</w:t>
      </w:r>
      <w:r>
        <w:t xml:space="preserve">, 90 mins after treatment with a single </w:t>
      </w:r>
      <w:r w:rsidR="006F2C7A">
        <w:t>intraperitoneal (</w:t>
      </w:r>
      <w:r>
        <w:t>IP</w:t>
      </w:r>
      <w:r w:rsidR="006F2C7A">
        <w:t>)</w:t>
      </w:r>
      <w:r>
        <w:t xml:space="preserve"> dose of 5</w:t>
      </w:r>
      <w:r w:rsidR="006F2C7A" w:rsidRPr="006F2C7A">
        <w:t>-</w:t>
      </w:r>
      <w:r>
        <w:t>25 mg/kg tafenoquine. Subsequent salivary gland infection rates were significantly reduced in mosquitoes fed on mice treated with 10</w:t>
      </w:r>
      <w:r w:rsidR="006F2C7A" w:rsidRPr="006F2C7A">
        <w:t>-</w:t>
      </w:r>
      <w:r>
        <w:t>25 mg/kg tafenoquine</w:t>
      </w:r>
      <w:r w:rsidR="00A52F63">
        <w:t>.</w:t>
      </w:r>
      <w:r>
        <w:rPr>
          <w:rStyle w:val="FootnoteReference"/>
        </w:rPr>
        <w:footnoteReference w:id="11"/>
      </w:r>
      <w:r>
        <w:t xml:space="preserve"> In another </w:t>
      </w:r>
      <w:r w:rsidRPr="002352EB">
        <w:t xml:space="preserve">study </w:t>
      </w:r>
      <w:proofErr w:type="gramStart"/>
      <w:r w:rsidRPr="002352EB">
        <w:t>P</w:t>
      </w:r>
      <w:r w:rsidR="002352EB" w:rsidRPr="002352EB">
        <w:t>v</w:t>
      </w:r>
      <w:proofErr w:type="gramEnd"/>
      <w:r w:rsidRPr="002352EB">
        <w:t xml:space="preserve"> i</w:t>
      </w:r>
      <w:r>
        <w:t xml:space="preserve">nfected </w:t>
      </w:r>
      <w:r w:rsidRPr="00071137">
        <w:rPr>
          <w:i/>
        </w:rPr>
        <w:t>Anopheles dirus</w:t>
      </w:r>
      <w:r>
        <w:t xml:space="preserve"> mosquitoes (4 days post infection) were fed on uninfected mice treated 90 mins earlier with 100 mg/kg of </w:t>
      </w:r>
      <w:r w:rsidR="00994561">
        <w:t>primaquine</w:t>
      </w:r>
      <w:r>
        <w:t xml:space="preserve"> or tafenoquine by IP injection. Tafenoquine significantly reduced sporozoite production while </w:t>
      </w:r>
      <w:r w:rsidR="00994561">
        <w:t>primaquine</w:t>
      </w:r>
      <w:r>
        <w:t xml:space="preserve"> had no effect on sporozoite production</w:t>
      </w:r>
      <w:r w:rsidR="00A52F63">
        <w:t>.</w:t>
      </w:r>
      <w:r>
        <w:rPr>
          <w:rStyle w:val="FootnoteReference"/>
        </w:rPr>
        <w:footnoteReference w:id="12"/>
      </w:r>
    </w:p>
    <w:p w14:paraId="68CC874F" w14:textId="7DF07805" w:rsidR="006C365A" w:rsidRPr="00D533C7" w:rsidRDefault="006C365A" w:rsidP="006F2C7A">
      <w:r>
        <w:rPr>
          <w:lang w:eastAsia="zh-CN"/>
        </w:rPr>
        <w:lastRenderedPageBreak/>
        <w:t>A</w:t>
      </w:r>
      <w:r w:rsidRPr="00217BC4">
        <w:rPr>
          <w:lang w:eastAsia="zh-CN"/>
        </w:rPr>
        <w:t>dministration of tafenoquine</w:t>
      </w:r>
      <w:r>
        <w:rPr>
          <w:lang w:eastAsia="zh-CN"/>
        </w:rPr>
        <w:t xml:space="preserve"> (</w:t>
      </w:r>
      <w:r w:rsidR="006F2C7A" w:rsidRPr="006F2C7A">
        <w:rPr>
          <w:lang w:eastAsia="zh-CN"/>
        </w:rPr>
        <w:t>that is,</w:t>
      </w:r>
      <w:r>
        <w:rPr>
          <w:lang w:eastAsia="zh-CN"/>
        </w:rPr>
        <w:t xml:space="preserve"> fed on mice 90 min after IP injection of 25</w:t>
      </w:r>
      <w:r w:rsidR="00A52F63">
        <w:rPr>
          <w:lang w:eastAsia="zh-CN"/>
        </w:rPr>
        <w:t xml:space="preserve"> to </w:t>
      </w:r>
      <w:r>
        <w:rPr>
          <w:lang w:eastAsia="zh-CN"/>
        </w:rPr>
        <w:t>100</w:t>
      </w:r>
      <w:r w:rsidR="00A52F63">
        <w:rPr>
          <w:lang w:eastAsia="zh-CN"/>
        </w:rPr>
        <w:t> </w:t>
      </w:r>
      <w:r>
        <w:rPr>
          <w:lang w:eastAsia="zh-CN"/>
        </w:rPr>
        <w:t>mg/kg tafenoquine) 4</w:t>
      </w:r>
      <w:r w:rsidRPr="00217BC4">
        <w:rPr>
          <w:lang w:eastAsia="zh-CN"/>
        </w:rPr>
        <w:t xml:space="preserve"> days after the infectious feed inhibited sporozoite</w:t>
      </w:r>
      <w:r>
        <w:rPr>
          <w:lang w:eastAsia="zh-CN"/>
        </w:rPr>
        <w:t xml:space="preserve"> </w:t>
      </w:r>
      <w:r w:rsidRPr="00217BC4">
        <w:rPr>
          <w:lang w:eastAsia="zh-CN"/>
        </w:rPr>
        <w:t xml:space="preserve">invasion of </w:t>
      </w:r>
      <w:r>
        <w:rPr>
          <w:lang w:eastAsia="zh-CN"/>
        </w:rPr>
        <w:t xml:space="preserve">mosquito </w:t>
      </w:r>
      <w:r w:rsidRPr="00217BC4">
        <w:rPr>
          <w:lang w:eastAsia="zh-CN"/>
        </w:rPr>
        <w:t>salivary glands</w:t>
      </w:r>
      <w:r>
        <w:rPr>
          <w:lang w:eastAsia="zh-CN"/>
        </w:rPr>
        <w:t xml:space="preserve">, but had no </w:t>
      </w:r>
      <w:r w:rsidRPr="00217BC4">
        <w:rPr>
          <w:lang w:eastAsia="zh-CN"/>
        </w:rPr>
        <w:t>impact on sporozoite invasion of the salivary glands</w:t>
      </w:r>
      <w:r>
        <w:rPr>
          <w:lang w:eastAsia="zh-CN"/>
        </w:rPr>
        <w:t xml:space="preserve"> when tafenoquine was given 8, 11 or </w:t>
      </w:r>
      <w:r w:rsidRPr="00217BC4">
        <w:rPr>
          <w:lang w:eastAsia="zh-CN"/>
        </w:rPr>
        <w:t>16 days post-infection</w:t>
      </w:r>
      <w:r>
        <w:rPr>
          <w:lang w:eastAsia="zh-CN"/>
        </w:rPr>
        <w:t>.</w:t>
      </w:r>
      <w:r w:rsidR="0020528D" w:rsidRPr="0020528D">
        <w:rPr>
          <w:lang w:eastAsia="zh-CN"/>
        </w:rPr>
        <w:t xml:space="preserve"> </w:t>
      </w:r>
      <w:r>
        <w:rPr>
          <w:lang w:eastAsia="zh-CN"/>
        </w:rPr>
        <w:t>D</w:t>
      </w:r>
      <w:r w:rsidRPr="00086CBE">
        <w:rPr>
          <w:lang w:eastAsia="zh-CN"/>
        </w:rPr>
        <w:t>oses of</w:t>
      </w:r>
      <w:r>
        <w:rPr>
          <w:lang w:eastAsia="zh-CN"/>
        </w:rPr>
        <w:t xml:space="preserve"> </w:t>
      </w:r>
      <w:r w:rsidRPr="00086CBE">
        <w:rPr>
          <w:lang w:eastAsia="zh-CN"/>
        </w:rPr>
        <w:t>6.25</w:t>
      </w:r>
      <w:r w:rsidR="00A52F63">
        <w:rPr>
          <w:lang w:eastAsia="zh-CN"/>
        </w:rPr>
        <w:t xml:space="preserve"> to </w:t>
      </w:r>
      <w:r w:rsidRPr="00086CBE">
        <w:rPr>
          <w:lang w:eastAsia="zh-CN"/>
        </w:rPr>
        <w:t>100 mg</w:t>
      </w:r>
      <w:r>
        <w:rPr>
          <w:lang w:eastAsia="zh-CN"/>
        </w:rPr>
        <w:t xml:space="preserve">/kg </w:t>
      </w:r>
      <w:r w:rsidRPr="00086CBE">
        <w:rPr>
          <w:lang w:eastAsia="zh-CN"/>
        </w:rPr>
        <w:t>tafenoquine did not</w:t>
      </w:r>
      <w:r>
        <w:rPr>
          <w:lang w:eastAsia="zh-CN"/>
        </w:rPr>
        <w:t xml:space="preserve"> </w:t>
      </w:r>
      <w:r w:rsidRPr="00086CBE">
        <w:rPr>
          <w:lang w:eastAsia="zh-CN"/>
        </w:rPr>
        <w:t>affect either the percentage of mosquitoes with oocysts or the</w:t>
      </w:r>
      <w:r>
        <w:rPr>
          <w:lang w:eastAsia="zh-CN"/>
        </w:rPr>
        <w:t xml:space="preserve"> </w:t>
      </w:r>
      <w:r w:rsidRPr="00086CBE">
        <w:rPr>
          <w:lang w:eastAsia="zh-CN"/>
        </w:rPr>
        <w:t>number of oocysts per infected mosquito</w:t>
      </w:r>
      <w:r>
        <w:rPr>
          <w:lang w:eastAsia="zh-CN"/>
        </w:rPr>
        <w:t xml:space="preserve">. </w:t>
      </w:r>
      <w:r>
        <w:t>These studies demonstrated that t</w:t>
      </w:r>
      <w:r w:rsidRPr="00176336">
        <w:t>afenoquine affect</w:t>
      </w:r>
      <w:r>
        <w:t>s</w:t>
      </w:r>
      <w:r w:rsidRPr="00176336">
        <w:t xml:space="preserve"> sporogenic development (</w:t>
      </w:r>
      <w:r w:rsidR="006F2C7A" w:rsidRPr="006F2C7A">
        <w:t>that is,</w:t>
      </w:r>
      <w:r w:rsidRPr="00176336">
        <w:t xml:space="preserve"> it inhibits the development of the parasite </w:t>
      </w:r>
      <w:r>
        <w:t xml:space="preserve">to sporozoites </w:t>
      </w:r>
      <w:r w:rsidRPr="00176336">
        <w:t xml:space="preserve">in the mosquito) of </w:t>
      </w:r>
      <w:r w:rsidRPr="00A70B60">
        <w:rPr>
          <w:i/>
        </w:rPr>
        <w:t>P</w:t>
      </w:r>
      <w:r w:rsidR="002352EB" w:rsidRPr="00A70B60">
        <w:rPr>
          <w:i/>
        </w:rPr>
        <w:t>lasmodium</w:t>
      </w:r>
      <w:r w:rsidRPr="00A70B60">
        <w:rPr>
          <w:i/>
        </w:rPr>
        <w:t xml:space="preserve"> berghei</w:t>
      </w:r>
      <w:r w:rsidRPr="002352EB">
        <w:t xml:space="preserve"> and </w:t>
      </w:r>
      <w:proofErr w:type="gramStart"/>
      <w:r w:rsidRPr="002352EB">
        <w:t>P</w:t>
      </w:r>
      <w:r w:rsidR="002352EB" w:rsidRPr="002352EB">
        <w:t>v</w:t>
      </w:r>
      <w:proofErr w:type="gramEnd"/>
      <w:r w:rsidRPr="00176336">
        <w:t xml:space="preserve"> in mosquitoes at doses of </w:t>
      </w:r>
      <w:r>
        <w:t xml:space="preserve">≥ </w:t>
      </w:r>
      <w:r w:rsidRPr="00176336">
        <w:t xml:space="preserve">25 mg/kg </w:t>
      </w:r>
      <w:r>
        <w:t>IP in mice, but does not affect oocyst production</w:t>
      </w:r>
      <w:r w:rsidRPr="00176336">
        <w:t>.</w:t>
      </w:r>
      <w:r w:rsidR="005A22E3">
        <w:t xml:space="preserve"> </w:t>
      </w:r>
    </w:p>
    <w:p w14:paraId="096FC907" w14:textId="77777777" w:rsidR="006C365A" w:rsidRPr="009126C7" w:rsidRDefault="006C365A" w:rsidP="00FB518A">
      <w:pPr>
        <w:pStyle w:val="Heading6"/>
      </w:pPr>
      <w:r w:rsidRPr="009126C7">
        <w:t xml:space="preserve">Possible mechanisms of action against malaria parasites </w:t>
      </w:r>
      <w:r w:rsidR="0020528D" w:rsidRPr="0020528D">
        <w:t>in vivo</w:t>
      </w:r>
    </w:p>
    <w:p w14:paraId="207FD787" w14:textId="0D3961FD" w:rsidR="006C365A" w:rsidRPr="00782A04" w:rsidRDefault="006C365A" w:rsidP="00FB518A">
      <w:r>
        <w:t>Mechanism of action is not fully understood. Possible tafenoquine mechanism of action that have been alluded to include: (i) tafenoquine inhibits detoxification of h</w:t>
      </w:r>
      <w:r w:rsidR="002522B4">
        <w:t>a</w:t>
      </w:r>
      <w:r>
        <w:t>em to h</w:t>
      </w:r>
      <w:r w:rsidR="002522B4">
        <w:t>a</w:t>
      </w:r>
      <w:r>
        <w:t>emozin in the parasite</w:t>
      </w:r>
      <w:r w:rsidR="00A52F63">
        <w:t>;</w:t>
      </w:r>
      <w:r>
        <w:rPr>
          <w:rStyle w:val="FootnoteReference"/>
        </w:rPr>
        <w:footnoteReference w:id="13"/>
      </w:r>
      <w:r w:rsidRPr="00A70B60">
        <w:rPr>
          <w:vertAlign w:val="superscript"/>
        </w:rPr>
        <w:t>,</w:t>
      </w:r>
      <w:r>
        <w:rPr>
          <w:rStyle w:val="FootnoteReference"/>
        </w:rPr>
        <w:footnoteReference w:id="14"/>
      </w:r>
      <w:r>
        <w:t xml:space="preserve"> (ii) tafenoquine pro-oxidant properties may have blood schizonticidal activity</w:t>
      </w:r>
      <w:proofErr w:type="gramStart"/>
      <w:r w:rsidR="00A52F63">
        <w:t>;</w:t>
      </w:r>
      <w:r w:rsidRPr="0055327E">
        <w:rPr>
          <w:vertAlign w:val="superscript"/>
        </w:rPr>
        <w:t>1</w:t>
      </w:r>
      <w:r>
        <w:rPr>
          <w:vertAlign w:val="superscript"/>
        </w:rPr>
        <w:t>0</w:t>
      </w:r>
      <w:proofErr w:type="gramEnd"/>
      <w:r>
        <w:t xml:space="preserve"> and (iii) tafenoquine causes destruction of internal structures of the mitochondria causing the organelles to swell</w:t>
      </w:r>
      <w:r>
        <w:rPr>
          <w:rStyle w:val="FootnoteReference"/>
        </w:rPr>
        <w:footnoteReference w:id="15"/>
      </w:r>
      <w:r>
        <w:t xml:space="preserve"> and possible disruption of mitochondrial function in Leishmania promastiogotes, leading</w:t>
      </w:r>
      <w:r w:rsidR="0020528D" w:rsidRPr="0020528D">
        <w:t xml:space="preserve"> </w:t>
      </w:r>
      <w:r>
        <w:t>to apoptosis death.</w:t>
      </w:r>
    </w:p>
    <w:p w14:paraId="637C228B" w14:textId="6D70D849" w:rsidR="006C365A" w:rsidRPr="00B00F43" w:rsidRDefault="006C365A" w:rsidP="00FB518A">
      <w:r w:rsidRPr="00FF39FA">
        <w:t xml:space="preserve">Nonclinical data </w:t>
      </w:r>
      <w:r>
        <w:t>have demonstrated that tafenoquine is active against the liver and blood stages of malaria infections in mice and monkeys and also has activity against sporozoite development in mosquitos. The mechanisms of action are unclear.</w:t>
      </w:r>
    </w:p>
    <w:p w14:paraId="2C4619CC" w14:textId="77777777" w:rsidR="00FB518A" w:rsidRDefault="006C365A" w:rsidP="00FB518A">
      <w:pPr>
        <w:pStyle w:val="Heading4"/>
      </w:pPr>
      <w:r>
        <w:t>Safety pharmacology</w:t>
      </w:r>
    </w:p>
    <w:p w14:paraId="18585EC9" w14:textId="6B3F11DB" w:rsidR="006C365A" w:rsidRDefault="006C365A" w:rsidP="00FB518A">
      <w:r w:rsidRPr="00066520">
        <w:t xml:space="preserve">Safety </w:t>
      </w:r>
      <w:r>
        <w:t xml:space="preserve">pharmacology </w:t>
      </w:r>
      <w:r w:rsidRPr="00066520">
        <w:t>studies covered the central nervous</w:t>
      </w:r>
      <w:r>
        <w:t xml:space="preserve"> (CNS)</w:t>
      </w:r>
      <w:r w:rsidRPr="00066520">
        <w:t>, respiratory and the cardiovascular systems.</w:t>
      </w:r>
      <w:r>
        <w:t xml:space="preserve"> No CNS drug related effects (</w:t>
      </w:r>
      <w:r w:rsidRPr="00E843B3">
        <w:t>including microscopic findings of the brain</w:t>
      </w:r>
      <w:r>
        <w:t>) were observed at doses up to 50</w:t>
      </w:r>
      <w:r w:rsidR="00A84DBA">
        <w:t>0 mg</w:t>
      </w:r>
      <w:r>
        <w:t>/kg (</w:t>
      </w:r>
      <w:r w:rsidR="006F2C7A" w:rsidRPr="006F2C7A">
        <w:t>approximately</w:t>
      </w:r>
      <w:r w:rsidR="005A22E3">
        <w:t xml:space="preserve"> </w:t>
      </w:r>
      <w:r w:rsidRPr="00795E8C">
        <w:t xml:space="preserve">11 </w:t>
      </w:r>
      <w:r>
        <w:t>times</w:t>
      </w:r>
      <w:r w:rsidRPr="00795E8C">
        <w:t xml:space="preserve"> the clinical dose based on C</w:t>
      </w:r>
      <w:r w:rsidRPr="00795E8C">
        <w:rPr>
          <w:vertAlign w:val="subscript"/>
        </w:rPr>
        <w:t>max</w:t>
      </w:r>
      <w:r>
        <w:t xml:space="preserve">) in rats. Tafenoquine inhibited </w:t>
      </w:r>
      <w:r w:rsidR="00FB518A">
        <w:t>potassium (</w:t>
      </w:r>
      <w:r>
        <w:t>hERG</w:t>
      </w:r>
      <w:r w:rsidR="00FB518A">
        <w:t>)</w:t>
      </w:r>
      <w:r>
        <w:t xml:space="preserve"> current with an </w:t>
      </w:r>
      <w:r w:rsidRPr="0001430D">
        <w:t>IC</w:t>
      </w:r>
      <w:r w:rsidRPr="0001430D">
        <w:rPr>
          <w:vertAlign w:val="subscript"/>
        </w:rPr>
        <w:t>50</w:t>
      </w:r>
      <w:r>
        <w:t xml:space="preserve"> of 0.51 µg/mL </w:t>
      </w:r>
      <w:r w:rsidRPr="00F91BC7">
        <w:t xml:space="preserve">(&gt; 300 times the expected clinical </w:t>
      </w:r>
      <w:r w:rsidRPr="00FD18D9">
        <w:t>C</w:t>
      </w:r>
      <w:r w:rsidRPr="00FD18D9">
        <w:rPr>
          <w:vertAlign w:val="subscript"/>
        </w:rPr>
        <w:t>max</w:t>
      </w:r>
      <w:r>
        <w:t xml:space="preserve"> </w:t>
      </w:r>
      <w:r w:rsidRPr="00F91BC7">
        <w:t>of tafenoquine (unbound))</w:t>
      </w:r>
      <w:r>
        <w:t>. In</w:t>
      </w:r>
      <w:r w:rsidRPr="008A183A">
        <w:t xml:space="preserve"> isolated dog Purkinje</w:t>
      </w:r>
      <w:r>
        <w:t xml:space="preserve"> </w:t>
      </w:r>
      <w:r w:rsidRPr="008A183A">
        <w:t>fibres,</w:t>
      </w:r>
      <w:r>
        <w:t xml:space="preserve"> </w:t>
      </w:r>
      <w:r w:rsidRPr="008A183A">
        <w:t>exposure to tafenoquine at concentrations of</w:t>
      </w:r>
      <w:r>
        <w:t xml:space="preserve"> </w:t>
      </w:r>
      <w:r w:rsidRPr="008A183A">
        <w:t xml:space="preserve">0.46 and 4.64 μg/mL </w:t>
      </w:r>
      <w:r>
        <w:t xml:space="preserve">showed </w:t>
      </w:r>
      <w:r w:rsidRPr="008A183A">
        <w:t>no potential to</w:t>
      </w:r>
      <w:r>
        <w:t xml:space="preserve"> </w:t>
      </w:r>
      <w:r w:rsidRPr="008A183A">
        <w:t>prolong QT interval</w:t>
      </w:r>
      <w:r w:rsidR="00A52F63">
        <w:t>;</w:t>
      </w:r>
      <w:r w:rsidR="00FB518A">
        <w:rPr>
          <w:rStyle w:val="FootnoteReference"/>
        </w:rPr>
        <w:footnoteReference w:id="16"/>
      </w:r>
      <w:r>
        <w:t xml:space="preserve"> (although </w:t>
      </w:r>
      <w:r w:rsidRPr="002F17A1">
        <w:t>nonspecific effects were observed at</w:t>
      </w:r>
      <w:r w:rsidR="0020528D" w:rsidRPr="0020528D">
        <w:t xml:space="preserve"> </w:t>
      </w:r>
      <w:r>
        <w:t xml:space="preserve">the highest concentration of </w:t>
      </w:r>
      <w:r w:rsidRPr="002F17A1">
        <w:t>46.4 µg/mL</w:t>
      </w:r>
      <w:r>
        <w:t>). IV infusion of tafenoquine at doses of 18.6</w:t>
      </w:r>
      <w:r w:rsidR="00A52F63">
        <w:t xml:space="preserve"> to </w:t>
      </w:r>
      <w:r>
        <w:t xml:space="preserve">64.8 mg/kg for 20 mins produced dose-related effects on cardiopulmonary parameters (which included decrease in blood pressure, increase in stroke volume, </w:t>
      </w:r>
      <w:r w:rsidRPr="00795E8C">
        <w:t>mean pulmonary artery and pulmonary wedge</w:t>
      </w:r>
      <w:r>
        <w:t xml:space="preserve"> </w:t>
      </w:r>
      <w:r w:rsidRPr="00795E8C">
        <w:t>pressures</w:t>
      </w:r>
      <w:r>
        <w:t>, rise in</w:t>
      </w:r>
      <w:r w:rsidRPr="00795E8C">
        <w:t xml:space="preserve"> </w:t>
      </w:r>
      <w:r>
        <w:t xml:space="preserve">respiratory rate and volume and depressed tidal volume and death of one dog) in </w:t>
      </w:r>
      <w:r w:rsidR="00A52F63">
        <w:t xml:space="preserve">anaesthetised </w:t>
      </w:r>
      <w:r>
        <w:t>dogs. Tafenoquine is not intended to be given by the IV route and when administered orally at doses up to 16</w:t>
      </w:r>
      <w:r w:rsidR="00A52F63">
        <w:t> </w:t>
      </w:r>
      <w:r>
        <w:t xml:space="preserve">mg/kg (3 times the clinical dose based on </w:t>
      </w:r>
      <w:r w:rsidRPr="00F6039D">
        <w:t>C</w:t>
      </w:r>
      <w:r w:rsidRPr="00F6039D">
        <w:rPr>
          <w:vertAlign w:val="subscript"/>
        </w:rPr>
        <w:t>max</w:t>
      </w:r>
      <w:r>
        <w:t xml:space="preserve">) to conscious dogs, </w:t>
      </w:r>
      <w:r w:rsidRPr="00F6039D">
        <w:t xml:space="preserve">there were no treatment-related effects on either cardiovascular or </w:t>
      </w:r>
      <w:r w:rsidR="00FB518A">
        <w:t>electrocardiogram (</w:t>
      </w:r>
      <w:r w:rsidRPr="00F6039D">
        <w:t>ECG</w:t>
      </w:r>
      <w:r w:rsidR="00FB518A">
        <w:t>)</w:t>
      </w:r>
      <w:r w:rsidRPr="00F6039D">
        <w:t xml:space="preserve"> parameters up</w:t>
      </w:r>
      <w:r>
        <w:t xml:space="preserve"> </w:t>
      </w:r>
      <w:r w:rsidRPr="00F6039D">
        <w:t>to 170 h (7 days) after dosing</w:t>
      </w:r>
      <w:r>
        <w:t>. Therefore, cardiovascular effects may not be of potential clinical significance given that no effects were observed when dogs were dosed orally.</w:t>
      </w:r>
    </w:p>
    <w:p w14:paraId="1138F6ED" w14:textId="77777777" w:rsidR="006C365A" w:rsidRDefault="006C365A" w:rsidP="00FB518A">
      <w:pPr>
        <w:pStyle w:val="Heading3"/>
      </w:pPr>
      <w:bookmarkStart w:id="46" w:name="_Toc294861724"/>
      <w:bookmarkStart w:id="47" w:name="_Toc295290866"/>
      <w:bookmarkStart w:id="48" w:name="_Toc517098882"/>
      <w:bookmarkStart w:id="49" w:name="_Toc12348777"/>
      <w:r w:rsidRPr="00EB69F1">
        <w:lastRenderedPageBreak/>
        <w:t>Pharmacokinetics</w:t>
      </w:r>
      <w:bookmarkEnd w:id="46"/>
      <w:bookmarkEnd w:id="47"/>
      <w:bookmarkEnd w:id="48"/>
      <w:bookmarkEnd w:id="49"/>
    </w:p>
    <w:p w14:paraId="51659486" w14:textId="77777777" w:rsidR="00FB518A" w:rsidRDefault="006C365A" w:rsidP="00FB518A">
      <w:pPr>
        <w:pStyle w:val="Heading4"/>
      </w:pPr>
      <w:r w:rsidRPr="00D26738">
        <w:t>Absorption</w:t>
      </w:r>
    </w:p>
    <w:p w14:paraId="40FFBBE3" w14:textId="2B1C3C71" w:rsidR="006C365A" w:rsidRDefault="006C365A" w:rsidP="00FB518A">
      <w:r>
        <w:t>Oral bioavailability was high in dogs (</w:t>
      </w:r>
      <w:r w:rsidR="006F2C7A" w:rsidRPr="006F2C7A">
        <w:t>approximately</w:t>
      </w:r>
      <w:r w:rsidR="005A22E3">
        <w:t xml:space="preserve"> </w:t>
      </w:r>
      <w:r>
        <w:t>80%).</w:t>
      </w:r>
      <w:r>
        <w:rPr>
          <w:color w:val="FF0000"/>
        </w:rPr>
        <w:t xml:space="preserve"> </w:t>
      </w:r>
      <w:r>
        <w:t>Tafenoquine levels were observed to peak relatively slowly after oral dosing in all species tested (with T</w:t>
      </w:r>
      <w:r w:rsidRPr="00F3088F">
        <w:rPr>
          <w:vertAlign w:val="subscript"/>
        </w:rPr>
        <w:t>max</w:t>
      </w:r>
      <w:r>
        <w:t xml:space="preserve"> in the mouse being 6</w:t>
      </w:r>
      <w:r w:rsidR="00A52F63">
        <w:t xml:space="preserve"> to </w:t>
      </w:r>
      <w:r>
        <w:t>12 h; in the rat 8</w:t>
      </w:r>
      <w:r w:rsidR="00A52F63">
        <w:t xml:space="preserve"> to </w:t>
      </w:r>
      <w:r>
        <w:t>12 h; and in the dog 4</w:t>
      </w:r>
      <w:r w:rsidR="00A52F63">
        <w:t xml:space="preserve"> to </w:t>
      </w:r>
      <w:r>
        <w:t xml:space="preserve">12 h). There were no observed differences in absorption parameters between male and female animals. The </w:t>
      </w:r>
      <w:r w:rsidR="00FB518A">
        <w:t>half-life (</w:t>
      </w:r>
      <w:r>
        <w:t>t</w:t>
      </w:r>
      <w:r w:rsidRPr="00330BC1">
        <w:rPr>
          <w:vertAlign w:val="subscript"/>
        </w:rPr>
        <w:t>½</w:t>
      </w:r>
      <w:r w:rsidR="00FB518A">
        <w:t>)</w:t>
      </w:r>
      <w:r>
        <w:t xml:space="preserve"> following oral dosing of tafenoquine to dogs was highly variable between animals but was not affected by dose, showing mean elimination t</w:t>
      </w:r>
      <w:r w:rsidRPr="00330BC1">
        <w:rPr>
          <w:vertAlign w:val="subscript"/>
        </w:rPr>
        <w:t>½</w:t>
      </w:r>
      <w:r>
        <w:t xml:space="preserve"> ranging from 2.25</w:t>
      </w:r>
      <w:r w:rsidR="00A52F63">
        <w:t xml:space="preserve"> to </w:t>
      </w:r>
      <w:r>
        <w:t>6.9 days and in the monkey mean t</w:t>
      </w:r>
      <w:r w:rsidRPr="00330BC1">
        <w:rPr>
          <w:vertAlign w:val="subscript"/>
        </w:rPr>
        <w:t>½</w:t>
      </w:r>
      <w:r>
        <w:t xml:space="preserve"> was 2.3 days. The elimination in animal species </w:t>
      </w:r>
      <w:r w:rsidR="002522B4">
        <w:t>is</w:t>
      </w:r>
      <w:r>
        <w:t xml:space="preserve"> much faster than in humans after a single dose (14 days in males</w:t>
      </w:r>
      <w:r w:rsidR="00A52F63">
        <w:t>).</w:t>
      </w:r>
      <w:r>
        <w:rPr>
          <w:rStyle w:val="FootnoteReference"/>
        </w:rPr>
        <w:footnoteReference w:id="17"/>
      </w:r>
      <w:r>
        <w:t>)</w:t>
      </w:r>
    </w:p>
    <w:p w14:paraId="2DD7B9D3" w14:textId="77777777" w:rsidR="00FB518A" w:rsidRDefault="006C365A" w:rsidP="00FB518A">
      <w:pPr>
        <w:pStyle w:val="Heading4"/>
      </w:pPr>
      <w:r w:rsidRPr="003B1747">
        <w:t>Distribution</w:t>
      </w:r>
    </w:p>
    <w:p w14:paraId="48009CA2" w14:textId="546D146A" w:rsidR="006C365A" w:rsidRPr="007711EC" w:rsidRDefault="006C365A" w:rsidP="00FB518A">
      <w:r>
        <w:t xml:space="preserve">Tafenoquine is highly protein bound (generally &gt;99%) across animal species. There was also a high uptake of circulating tafenoquine and metabolites into </w:t>
      </w:r>
      <w:r w:rsidR="00FB518A">
        <w:t>red blood cells (</w:t>
      </w:r>
      <w:r>
        <w:t>RBC</w:t>
      </w:r>
      <w:r w:rsidR="00FB518A">
        <w:t>)</w:t>
      </w:r>
      <w:r>
        <w:t xml:space="preserve"> </w:t>
      </w:r>
      <w:r w:rsidR="0020528D" w:rsidRPr="0020528D">
        <w:t>in vivo</w:t>
      </w:r>
      <w:r>
        <w:t xml:space="preserve"> in dogs (blood/plasma ratio: 2</w:t>
      </w:r>
      <w:r w:rsidR="00A52F63">
        <w:t xml:space="preserve"> to </w:t>
      </w:r>
      <w:r>
        <w:t xml:space="preserve">4 based on blood and plasma AUC for tafenoquine and 1.2 </w:t>
      </w:r>
      <w:r w:rsidR="0020528D" w:rsidRPr="0020528D">
        <w:t>in vitro</w:t>
      </w:r>
      <w:r>
        <w:t xml:space="preserve"> incubation in blood) </w:t>
      </w:r>
      <w:r w:rsidRPr="000412E2">
        <w:t xml:space="preserve">and rats </w:t>
      </w:r>
      <w:r>
        <w:t xml:space="preserve">(blood/plasma ratio 2.6 </w:t>
      </w:r>
      <w:r w:rsidR="0020528D" w:rsidRPr="0020528D">
        <w:t>in vitro</w:t>
      </w:r>
      <w:r>
        <w:t xml:space="preserve"> incubation in blood) </w:t>
      </w:r>
      <w:r w:rsidRPr="000412E2">
        <w:t>but not monkeys</w:t>
      </w:r>
      <w:r>
        <w:t xml:space="preserve"> (blood/plasma ratio: 1.1 based on AUC for total radioactivity), and moderate uptake of tafenoquine to human RBC (blood/plasma ratio: 1.4 </w:t>
      </w:r>
      <w:r w:rsidR="0020528D" w:rsidRPr="0020528D">
        <w:t>in vitro</w:t>
      </w:r>
      <w:r>
        <w:t xml:space="preserve"> incubation in blood). </w:t>
      </w:r>
      <w:r w:rsidRPr="00AA1AC3">
        <w:t xml:space="preserve">Tissue distribution was </w:t>
      </w:r>
      <w:r>
        <w:t xml:space="preserve">studied </w:t>
      </w:r>
      <w:r w:rsidRPr="00AA1AC3">
        <w:t xml:space="preserve">in rats where orally administered </w:t>
      </w:r>
      <w:r>
        <w:t xml:space="preserve">radio-labelled </w:t>
      </w:r>
      <w:r w:rsidRPr="00AA1AC3">
        <w:t xml:space="preserve">tafenoquine was distributed relatively slowly but was widespread as shown by measureable peak exposure around 12 to 24 h across a large number of body tissues. The decline in radioactivity was slow with </w:t>
      </w:r>
      <w:r>
        <w:t>tissue radioactivity</w:t>
      </w:r>
      <w:r w:rsidRPr="00AA1AC3">
        <w:t xml:space="preserve"> still measureable at 10 days after a single </w:t>
      </w:r>
      <w:r>
        <w:t xml:space="preserve">PO </w:t>
      </w:r>
      <w:r w:rsidRPr="00AA1AC3">
        <w:t xml:space="preserve">dose of 0.5 mg/kg. Apart from the intestines, exposure was highest in the lung, liver, spleen, kidney, adrenal cortex, pituitary, ovary and Harderian gland and lowest in the brain, spinal cord and white fat. Concentrations of radioactivity in the body tissues were generally higher than those in the blood with the exception of the brain and the spinal cord </w:t>
      </w:r>
      <w:r w:rsidR="007711EC">
        <w:t>that had</w:t>
      </w:r>
      <w:r w:rsidRPr="00AA1AC3">
        <w:t xml:space="preserve"> similar levels </w:t>
      </w:r>
      <w:r w:rsidR="007711EC">
        <w:t xml:space="preserve">to those </w:t>
      </w:r>
      <w:r w:rsidRPr="00AA1AC3">
        <w:t xml:space="preserve">measured in </w:t>
      </w:r>
      <w:r w:rsidRPr="007711EC">
        <w:t>blood.</w:t>
      </w:r>
    </w:p>
    <w:p w14:paraId="5A85C98B" w14:textId="77777777" w:rsidR="007711EC" w:rsidRDefault="006C365A" w:rsidP="007711EC">
      <w:pPr>
        <w:pStyle w:val="Heading4"/>
      </w:pPr>
      <w:r w:rsidRPr="00933E2E">
        <w:t>Metaboli</w:t>
      </w:r>
      <w:r>
        <w:t>sm</w:t>
      </w:r>
    </w:p>
    <w:p w14:paraId="5991B967" w14:textId="0F796BF9" w:rsidR="006C365A" w:rsidRPr="00595C11" w:rsidRDefault="006C365A" w:rsidP="00FB518A">
      <w:pPr>
        <w:rPr>
          <w:b/>
        </w:rPr>
      </w:pPr>
      <w:r>
        <w:t xml:space="preserve">No metabolism of tafenoquine could be detected in </w:t>
      </w:r>
      <w:r w:rsidR="0020528D" w:rsidRPr="0020528D">
        <w:t>in vitro</w:t>
      </w:r>
      <w:r>
        <w:t xml:space="preserve"> systems (rat, dog and human microsomes or human hepatocytes) mainly due to analytical issues and lack of sensitivity of assays, which prevented simple cross species comparison.</w:t>
      </w:r>
      <w:r w:rsidR="00624941">
        <w:rPr>
          <w:rStyle w:val="FootnoteReference"/>
        </w:rPr>
        <w:footnoteReference w:id="18"/>
      </w:r>
      <w:r>
        <w:t xml:space="preserve"> In rats and dogs, tafenoquine was found to be the primary circulating component in rat and dog plasma at all time points examined as reported in humans, and unchanged tafenoquine was the primary extractable drug-related component observed in extracts of rat and dog liver homogenate.</w:t>
      </w:r>
      <w:r w:rsidRPr="00763E09">
        <w:t xml:space="preserve"> </w:t>
      </w:r>
      <w:r>
        <w:t xml:space="preserve">Absorbed tafenoquine eliminated via the bile was primarily in the form of desaryl metabolites, with low levels of detectable tafenoquine. </w:t>
      </w:r>
      <w:r w:rsidRPr="009B7936">
        <w:t>Metabolites in urine were predominantly in the form of desaryl metabolites, where the trifluoromethyl benzene group had been removed accounting for 1</w:t>
      </w:r>
      <w:r w:rsidR="00A52F63">
        <w:t xml:space="preserve"> to </w:t>
      </w:r>
      <w:r w:rsidRPr="009B7936">
        <w:t xml:space="preserve">2% of the dose in total in the dog and rat. Routes of </w:t>
      </w:r>
      <w:r w:rsidR="007711EC">
        <w:t>P</w:t>
      </w:r>
      <w:r w:rsidRPr="009B7936">
        <w:t>hase 1 metabolism in the rat and dog also included O-demethylation, oxidation (to alcohols, ketones and carboxylic acids) and deamination</w:t>
      </w:r>
      <w:r>
        <w:t>, similar the pathways in humans</w:t>
      </w:r>
      <w:r w:rsidRPr="009B7936">
        <w:t xml:space="preserve">. </w:t>
      </w:r>
      <w:r w:rsidRPr="00E35B3A">
        <w:t>Phase 2 metabolism consisted of N-glucuronidation, carbamyl glucuronidation and possibly glucuronidation of hydroxyl groups</w:t>
      </w:r>
      <w:r>
        <w:t>, which also occur in humans</w:t>
      </w:r>
      <w:r w:rsidRPr="00E35B3A">
        <w:t xml:space="preserve">. </w:t>
      </w:r>
      <w:r w:rsidRPr="009B7936">
        <w:t xml:space="preserve">The structure of metabolites in rat faeces was not obtained. </w:t>
      </w:r>
      <w:r w:rsidR="007711EC">
        <w:t>As far as</w:t>
      </w:r>
      <w:r w:rsidRPr="009B7936">
        <w:t xml:space="preserve"> dog faecal metabolites, the majority were identified </w:t>
      </w:r>
      <w:r>
        <w:t>but structural identity was unclear</w:t>
      </w:r>
      <w:r w:rsidRPr="009B7936">
        <w:t>.</w:t>
      </w:r>
      <w:r w:rsidR="0020528D" w:rsidRPr="0020528D">
        <w:t xml:space="preserve"> </w:t>
      </w:r>
      <w:r>
        <w:t>F</w:t>
      </w:r>
      <w:r w:rsidRPr="009B7936">
        <w:t xml:space="preserve">aecal metabolite profiles in the </w:t>
      </w:r>
      <w:r>
        <w:t xml:space="preserve">rat and </w:t>
      </w:r>
      <w:r w:rsidRPr="009B7936">
        <w:t xml:space="preserve">dog were less complex than those in bile. </w:t>
      </w:r>
      <w:r>
        <w:t xml:space="preserve">Detection of </w:t>
      </w:r>
      <w:r w:rsidRPr="00145C78">
        <w:t xml:space="preserve">predominantly </w:t>
      </w:r>
      <w:r>
        <w:lastRenderedPageBreak/>
        <w:t>unchanged tafenoquine in the plasma of nonclinical species and metabolism and excretion in bile and urine is also similar between animal species.</w:t>
      </w:r>
    </w:p>
    <w:p w14:paraId="46829170" w14:textId="77777777" w:rsidR="007711EC" w:rsidRDefault="007711EC" w:rsidP="007711EC">
      <w:pPr>
        <w:pStyle w:val="Heading4"/>
      </w:pPr>
      <w:r>
        <w:t>Excretion</w:t>
      </w:r>
    </w:p>
    <w:p w14:paraId="1A125A8B" w14:textId="402FEBA0" w:rsidR="006C365A" w:rsidRPr="002C6509" w:rsidRDefault="006C365A" w:rsidP="00FB518A">
      <w:r>
        <w:t>The major route of excretion in the rat, dog and monkey was via the faeces and to a lesser extent via the urine. In the dog, the approximate ratio of faecal to urinary excretion was 3</w:t>
      </w:r>
      <w:r w:rsidR="00A52F63">
        <w:t xml:space="preserve">:1 to </w:t>
      </w:r>
      <w:r>
        <w:t>7:1</w:t>
      </w:r>
      <w:r w:rsidR="00A52F63">
        <w:t>,</w:t>
      </w:r>
      <w:r>
        <w:t xml:space="preserve"> while in the rat was approximately 10:1. Overall excretion of radioactivity was slow; approximately 60% and 80% of a single dose was excreted in faeces and urine within 10 days of administration in the dog and monkey respectively and </w:t>
      </w:r>
      <w:r w:rsidRPr="0069658B">
        <w:t>90% and 79% was excreted within 7 to 5 days in the rat following a single oral dose of 2 or</w:t>
      </w:r>
      <w:r>
        <w:rPr>
          <w:rFonts w:eastAsiaTheme="minorEastAsia" w:hint="eastAsia"/>
          <w:lang w:eastAsia="zh-CN"/>
        </w:rPr>
        <w:t xml:space="preserve"> </w:t>
      </w:r>
      <w:r w:rsidRPr="0069658B">
        <w:t>25 mg/kg respectively</w:t>
      </w:r>
      <w:r>
        <w:t>.</w:t>
      </w:r>
      <w:r w:rsidRPr="009E7A12">
        <w:t xml:space="preserve"> </w:t>
      </w:r>
      <w:r>
        <w:rPr>
          <w:rFonts w:eastAsiaTheme="minorEastAsia" w:hint="eastAsia"/>
          <w:lang w:eastAsia="zh-CN"/>
        </w:rPr>
        <w:t>B</w:t>
      </w:r>
      <w:r>
        <w:rPr>
          <w:rFonts w:eastAsiaTheme="minorEastAsia"/>
          <w:lang w:eastAsia="zh-CN"/>
        </w:rPr>
        <w:t>iliary excretion was demonstrated in bile-cannulated rats and dogs, with approximate</w:t>
      </w:r>
      <w:r w:rsidR="007711EC">
        <w:rPr>
          <w:rFonts w:eastAsiaTheme="minorEastAsia"/>
          <w:lang w:eastAsia="zh-CN"/>
        </w:rPr>
        <w:t xml:space="preserve">ly 5% of dose in bile in rats (compared to </w:t>
      </w:r>
      <w:r>
        <w:rPr>
          <w:rFonts w:eastAsiaTheme="minorEastAsia"/>
          <w:lang w:eastAsia="zh-CN"/>
        </w:rPr>
        <w:t>75% in faeces in 4 days) and equal amount in bile and faeces in dogs (</w:t>
      </w:r>
      <w:r w:rsidR="006F2C7A" w:rsidRPr="006F2C7A">
        <w:rPr>
          <w:rFonts w:eastAsiaTheme="minorEastAsia"/>
          <w:lang w:eastAsia="zh-CN"/>
        </w:rPr>
        <w:t>approximately</w:t>
      </w:r>
      <w:r w:rsidR="00646BB4">
        <w:rPr>
          <w:rFonts w:eastAsiaTheme="minorEastAsia"/>
          <w:lang w:eastAsia="zh-CN"/>
        </w:rPr>
        <w:t xml:space="preserve"> </w:t>
      </w:r>
      <w:r>
        <w:rPr>
          <w:rFonts w:eastAsiaTheme="minorEastAsia"/>
          <w:lang w:eastAsia="zh-CN"/>
        </w:rPr>
        <w:t>20% of dose in 7 days) following oral dosing.</w:t>
      </w:r>
      <w:r w:rsidR="0020528D" w:rsidRPr="0020528D">
        <w:rPr>
          <w:rFonts w:eastAsiaTheme="minorEastAsia"/>
          <w:lang w:eastAsia="zh-CN"/>
        </w:rPr>
        <w:t xml:space="preserve"> </w:t>
      </w:r>
      <w:r w:rsidRPr="009E7A12">
        <w:t>Human radiolabelled mass balance studies have not been conducted to characterise the clinical excretion of tafenoquine.</w:t>
      </w:r>
    </w:p>
    <w:p w14:paraId="4D284CB4" w14:textId="2EEA66CC" w:rsidR="006C365A" w:rsidRPr="00CE5A35" w:rsidRDefault="006C365A" w:rsidP="00FB518A">
      <w:r w:rsidRPr="00CE5A35">
        <w:t xml:space="preserve">Considering </w:t>
      </w:r>
      <w:r w:rsidR="002522B4">
        <w:t xml:space="preserve">the </w:t>
      </w:r>
      <w:r w:rsidR="002522B4" w:rsidRPr="00CE5A35">
        <w:t xml:space="preserve">metabolic profiles </w:t>
      </w:r>
      <w:r w:rsidR="002522B4">
        <w:t xml:space="preserve">of </w:t>
      </w:r>
      <w:r>
        <w:t>tafenoquine</w:t>
      </w:r>
      <w:r w:rsidRPr="00CE5A35">
        <w:t xml:space="preserve"> </w:t>
      </w:r>
      <w:r>
        <w:t xml:space="preserve">in rats, dogs and humans, </w:t>
      </w:r>
      <w:r w:rsidRPr="00CE5A35">
        <w:t xml:space="preserve">the similarity in protein binding </w:t>
      </w:r>
      <w:r>
        <w:t xml:space="preserve">and </w:t>
      </w:r>
      <w:r w:rsidRPr="00CE5A35">
        <w:t xml:space="preserve">RBC uptake of tafenoquine in humans and these nonclinical species, </w:t>
      </w:r>
      <w:r>
        <w:t xml:space="preserve">rats and dogs are </w:t>
      </w:r>
      <w:r w:rsidRPr="00CE5A35">
        <w:t xml:space="preserve">adequate </w:t>
      </w:r>
      <w:r>
        <w:t xml:space="preserve">animal </w:t>
      </w:r>
      <w:r w:rsidRPr="00CE5A35">
        <w:t>model</w:t>
      </w:r>
      <w:r>
        <w:t>s</w:t>
      </w:r>
      <w:r w:rsidRPr="00CE5A35">
        <w:t xml:space="preserve"> f</w:t>
      </w:r>
      <w:r>
        <w:t>or</w:t>
      </w:r>
      <w:r w:rsidRPr="00CE5A35">
        <w:t xml:space="preserve"> the</w:t>
      </w:r>
      <w:r w:rsidR="00646BB4">
        <w:t xml:space="preserve"> toxicological</w:t>
      </w:r>
      <w:r w:rsidRPr="00CE5A35">
        <w:t xml:space="preserve"> assessment of tafenoquine.</w:t>
      </w:r>
    </w:p>
    <w:p w14:paraId="1E1376CD" w14:textId="77777777" w:rsidR="006C365A" w:rsidRPr="00EB69F1" w:rsidRDefault="006C365A" w:rsidP="007711EC">
      <w:pPr>
        <w:pStyle w:val="Heading4"/>
      </w:pPr>
      <w:bookmarkStart w:id="50" w:name="_Toc294861725"/>
      <w:r w:rsidRPr="00EB69F1">
        <w:t>Pharmacokinetic drug interactions</w:t>
      </w:r>
      <w:bookmarkEnd w:id="50"/>
    </w:p>
    <w:p w14:paraId="6BC14F0B" w14:textId="096F2D7F" w:rsidR="006C365A" w:rsidRDefault="006C365A" w:rsidP="007711EC">
      <w:r w:rsidRPr="00D315F6">
        <w:t>Oral administration of tafenoquine to rats</w:t>
      </w:r>
      <w:r>
        <w:t xml:space="preserve"> at dose levels up to 9.0 mg/kg/</w:t>
      </w:r>
      <w:r w:rsidRPr="00D315F6">
        <w:t xml:space="preserve">day for 56 consecutive days </w:t>
      </w:r>
      <w:r>
        <w:t xml:space="preserve">did not affect total </w:t>
      </w:r>
      <w:r w:rsidR="007711EC">
        <w:t>cytochrome P450 (</w:t>
      </w:r>
      <w:r>
        <w:t>CYP450</w:t>
      </w:r>
      <w:r w:rsidR="007711EC">
        <w:t>)</w:t>
      </w:r>
      <w:r>
        <w:t xml:space="preserve"> proteins and </w:t>
      </w:r>
      <w:r w:rsidRPr="00D315F6">
        <w:t xml:space="preserve">had no marked effect on </w:t>
      </w:r>
      <w:r w:rsidR="007711EC">
        <w:t xml:space="preserve">isozymes </w:t>
      </w:r>
      <w:r w:rsidRPr="00D315F6">
        <w:t>CYP1A, CYP2E, or CYP4A</w:t>
      </w:r>
      <w:r>
        <w:t>;</w:t>
      </w:r>
      <w:r w:rsidRPr="00D315F6">
        <w:t xml:space="preserve"> however induction of CYP3A </w:t>
      </w:r>
      <w:r>
        <w:t>(</w:t>
      </w:r>
      <w:r w:rsidR="006F2C7A" w:rsidRPr="006F2C7A">
        <w:t>approximately</w:t>
      </w:r>
      <w:r>
        <w:t xml:space="preserve"> 2</w:t>
      </w:r>
      <w:r w:rsidR="007711EC">
        <w:t xml:space="preserve"> fold</w:t>
      </w:r>
      <w:r>
        <w:t xml:space="preserve"> increase) </w:t>
      </w:r>
      <w:r w:rsidRPr="00D315F6">
        <w:t>was observed in male rats at the highest dose level of 9.0</w:t>
      </w:r>
      <w:r w:rsidR="00A52F63">
        <w:t> </w:t>
      </w:r>
      <w:r w:rsidRPr="00D315F6">
        <w:t>mg/kg/day</w:t>
      </w:r>
      <w:r>
        <w:t xml:space="preserve"> </w:t>
      </w:r>
      <w:r w:rsidRPr="00D315F6">
        <w:t>(</w:t>
      </w:r>
      <w:r w:rsidR="006F2C7A" w:rsidRPr="006F2C7A">
        <w:t>approximately</w:t>
      </w:r>
      <w:r>
        <w:t xml:space="preserve"> 0.4 times </w:t>
      </w:r>
      <w:r w:rsidRPr="00C5428C">
        <w:t>clinical exposure based on AUC</w:t>
      </w:r>
      <w:r w:rsidRPr="00D315F6">
        <w:t>)</w:t>
      </w:r>
      <w:r>
        <w:t>.</w:t>
      </w:r>
      <w:r w:rsidRPr="00D315F6">
        <w:t xml:space="preserve"> </w:t>
      </w:r>
      <w:r w:rsidRPr="007711EC">
        <w:t>In vitro</w:t>
      </w:r>
      <w:r w:rsidRPr="007E2926">
        <w:t xml:space="preserve"> tafenoquine (up to 50 </w:t>
      </w:r>
      <w:r>
        <w:t>µ</w:t>
      </w:r>
      <w:r w:rsidRPr="007E2926">
        <w:t xml:space="preserve">M) failed to activate the human pregnane-X-receptor relative to the positive control rifampicin, thus based on this assay </w:t>
      </w:r>
      <w:r>
        <w:t xml:space="preserve">it might not </w:t>
      </w:r>
      <w:r w:rsidRPr="007E2926">
        <w:t>cause induction of CYP3A4 genes</w:t>
      </w:r>
      <w:r>
        <w:t xml:space="preserve">. Oral administration of tafenoquine to dogs at 4.0 mg/kg/day </w:t>
      </w:r>
      <w:r w:rsidRPr="00E46E86">
        <w:t>(</w:t>
      </w:r>
      <w:r>
        <w:t>1-5</w:t>
      </w:r>
      <w:r w:rsidRPr="00E46E86">
        <w:t xml:space="preserve"> </w:t>
      </w:r>
      <w:r>
        <w:t>times</w:t>
      </w:r>
      <w:r w:rsidRPr="00E46E86">
        <w:t xml:space="preserve"> clinical exposure based on AUC) for 56 consecutive days, decreased the activities of a nu</w:t>
      </w:r>
      <w:r>
        <w:t xml:space="preserve">mber of enzymes, including CYP2C and/or CYP2B, CYP2E, CYP3A and CYP4A. Decreased CYP3A and 4A activities were also observed at 1 mg/kg/day. Given the conflicting results of CYP3A induction/inhibition in rats and dogs, the effects on CYP3A activity in patients are uncertain. </w:t>
      </w:r>
      <w:r w:rsidRPr="0013579C">
        <w:rPr>
          <w:kern w:val="2"/>
          <w:szCs w:val="20"/>
        </w:rPr>
        <w:t>In vitro</w:t>
      </w:r>
      <w:r>
        <w:rPr>
          <w:kern w:val="2"/>
          <w:szCs w:val="20"/>
        </w:rPr>
        <w:t xml:space="preserve"> studies using human hepatocytes would provide further information on the potential for effects on CYP450 enzymes.</w:t>
      </w:r>
      <w:r w:rsidR="00624941">
        <w:rPr>
          <w:rStyle w:val="FootnoteReference"/>
          <w:kern w:val="2"/>
          <w:szCs w:val="20"/>
        </w:rPr>
        <w:footnoteReference w:id="19"/>
      </w:r>
    </w:p>
    <w:p w14:paraId="72023827" w14:textId="24EF3920" w:rsidR="006C365A" w:rsidRDefault="006C365A" w:rsidP="007711EC">
      <w:r w:rsidRPr="007711EC">
        <w:t>In vitro</w:t>
      </w:r>
      <w:r>
        <w:t xml:space="preserve"> studies suggest tafenoquine is </w:t>
      </w:r>
      <w:r w:rsidRPr="00DC67DE">
        <w:t xml:space="preserve">an </w:t>
      </w:r>
      <w:r w:rsidR="0013579C">
        <w:t>organic anion transporter protein (</w:t>
      </w:r>
      <w:r w:rsidRPr="00DC67DE">
        <w:t>OATP</w:t>
      </w:r>
      <w:r w:rsidR="0013579C">
        <w:t xml:space="preserve">) </w:t>
      </w:r>
      <w:r w:rsidRPr="00DC67DE">
        <w:t>1B1</w:t>
      </w:r>
      <w:r>
        <w:t xml:space="preserve"> substrate and weak substrate of OATP1B3 and P-gp. Tafenoquine</w:t>
      </w:r>
      <w:r w:rsidRPr="007A32FE">
        <w:t xml:space="preserve"> </w:t>
      </w:r>
      <w:r>
        <w:t xml:space="preserve">was not an inhibitor of OAT1, OAT3, OATP1B1, OATP1B3 or </w:t>
      </w:r>
      <w:r w:rsidR="0013579C">
        <w:t>breast cancer resistance protein (</w:t>
      </w:r>
      <w:r>
        <w:t>BCRP</w:t>
      </w:r>
      <w:r w:rsidR="0013579C">
        <w:t>)</w:t>
      </w:r>
      <w:r>
        <w:t xml:space="preserve"> but </w:t>
      </w:r>
      <w:r w:rsidRPr="007A32FE">
        <w:t>inhibit</w:t>
      </w:r>
      <w:r>
        <w:t>ed</w:t>
      </w:r>
      <w:r w:rsidRPr="007A32FE">
        <w:t xml:space="preserve"> P-glycoprotein with an IC</w:t>
      </w:r>
      <w:r w:rsidRPr="00803CA7">
        <w:rPr>
          <w:vertAlign w:val="subscript"/>
        </w:rPr>
        <w:t>50</w:t>
      </w:r>
      <w:r w:rsidRPr="007A32FE">
        <w:t xml:space="preserve"> of </w:t>
      </w:r>
      <w:r>
        <w:t>8.49 µM</w:t>
      </w:r>
      <w:r w:rsidRPr="007A32FE">
        <w:t>. This is &gt;</w:t>
      </w:r>
      <w:r>
        <w:t>1000 times</w:t>
      </w:r>
      <w:r w:rsidRPr="007A32FE">
        <w:t xml:space="preserve"> the expected maximum clinical unbound </w:t>
      </w:r>
      <w:r>
        <w:t>C</w:t>
      </w:r>
      <w:r>
        <w:rPr>
          <w:vertAlign w:val="subscript"/>
        </w:rPr>
        <w:t>max</w:t>
      </w:r>
      <w:r w:rsidRPr="007A32FE">
        <w:t>, and therefore unlikely to be clinically relevant.</w:t>
      </w:r>
      <w:r w:rsidRPr="0009625D">
        <w:t xml:space="preserve"> </w:t>
      </w:r>
      <w:r w:rsidRPr="0013579C">
        <w:t>In vitro</w:t>
      </w:r>
      <w:r w:rsidRPr="00880569">
        <w:t xml:space="preserve"> tafenoquine inhibited the renal transporters organic cation transporter 2 (OCT2) and multidrug and toxin extrusion transporters 1 and 2-K (MATE1 and MATE2-K) with IC</w:t>
      </w:r>
      <w:r w:rsidRPr="00880569">
        <w:rPr>
          <w:vertAlign w:val="subscript"/>
        </w:rPr>
        <w:t>50</w:t>
      </w:r>
      <w:r w:rsidRPr="00880569">
        <w:t xml:space="preserve"> values </w:t>
      </w:r>
      <w:r w:rsidR="006F2C7A" w:rsidRPr="006F2C7A">
        <w:t>approximately</w:t>
      </w:r>
      <w:r>
        <w:t xml:space="preserve"> </w:t>
      </w:r>
      <w:r w:rsidRPr="00880569">
        <w:t>44-307 times the expected clinical unbound C</w:t>
      </w:r>
      <w:r w:rsidRPr="00880569">
        <w:rPr>
          <w:vertAlign w:val="subscript"/>
        </w:rPr>
        <w:t xml:space="preserve">max </w:t>
      </w:r>
      <w:r w:rsidRPr="00880569">
        <w:t>indicating a potential clinical risk of interactions with OCT2 and MATE substrates.</w:t>
      </w:r>
      <w:r w:rsidR="0020528D" w:rsidRPr="0020528D">
        <w:t xml:space="preserve"> </w:t>
      </w:r>
      <w:r w:rsidRPr="00D2703A">
        <w:t xml:space="preserve">In dogs there was evidence of minor interactions when tafenoquine </w:t>
      </w:r>
      <w:r>
        <w:t xml:space="preserve">was co-administered with </w:t>
      </w:r>
      <w:r w:rsidRPr="00D2703A">
        <w:t>chloroquine</w:t>
      </w:r>
      <w:r>
        <w:t xml:space="preserve"> (51% increase in tafenoquine AUC and 45% increase in C</w:t>
      </w:r>
      <w:r>
        <w:rPr>
          <w:vertAlign w:val="subscript"/>
        </w:rPr>
        <w:t>max</w:t>
      </w:r>
      <w:r>
        <w:t>)</w:t>
      </w:r>
      <w:r w:rsidRPr="00D2703A">
        <w:t xml:space="preserve"> </w:t>
      </w:r>
      <w:r>
        <w:t xml:space="preserve">or </w:t>
      </w:r>
      <w:r w:rsidRPr="00D2703A">
        <w:t>quinine</w:t>
      </w:r>
      <w:r>
        <w:t xml:space="preserve"> and </w:t>
      </w:r>
      <w:r w:rsidRPr="00D2703A">
        <w:t>doxycycline</w:t>
      </w:r>
      <w:r>
        <w:t xml:space="preserve"> (</w:t>
      </w:r>
      <w:r w:rsidR="006F2C7A" w:rsidRPr="006F2C7A">
        <w:t>approximately</w:t>
      </w:r>
      <w:r w:rsidR="00F7542B">
        <w:t xml:space="preserve"> </w:t>
      </w:r>
      <w:r>
        <w:t>35% decrease in tafenoquine AUC and C</w:t>
      </w:r>
      <w:r>
        <w:rPr>
          <w:vertAlign w:val="subscript"/>
        </w:rPr>
        <w:t>max</w:t>
      </w:r>
      <w:r>
        <w:t>), suggesting potential interactions in humans</w:t>
      </w:r>
      <w:r w:rsidRPr="00D2703A">
        <w:t>.</w:t>
      </w:r>
    </w:p>
    <w:p w14:paraId="5A312461" w14:textId="77777777" w:rsidR="006C365A" w:rsidRPr="00EB69F1" w:rsidRDefault="006C365A" w:rsidP="0013579C">
      <w:pPr>
        <w:pStyle w:val="Heading3"/>
      </w:pPr>
      <w:bookmarkStart w:id="51" w:name="_Toc294861726"/>
      <w:bookmarkStart w:id="52" w:name="_Toc295290867"/>
      <w:bookmarkStart w:id="53" w:name="_Toc517098883"/>
      <w:bookmarkStart w:id="54" w:name="_Toc12348778"/>
      <w:r w:rsidRPr="00EB69F1">
        <w:lastRenderedPageBreak/>
        <w:t>Toxi</w:t>
      </w:r>
      <w:r w:rsidR="0013579C">
        <w:t>cology</w:t>
      </w:r>
      <w:bookmarkEnd w:id="51"/>
      <w:bookmarkEnd w:id="52"/>
      <w:bookmarkEnd w:id="53"/>
      <w:bookmarkEnd w:id="54"/>
    </w:p>
    <w:p w14:paraId="2A4D92F4" w14:textId="77777777" w:rsidR="006C365A" w:rsidRPr="00EB69F1" w:rsidRDefault="006C365A" w:rsidP="0013579C">
      <w:pPr>
        <w:pStyle w:val="Heading4"/>
      </w:pPr>
      <w:bookmarkStart w:id="55" w:name="_Toc294861727"/>
      <w:r w:rsidRPr="00EB69F1">
        <w:t>Acute toxicity</w:t>
      </w:r>
      <w:bookmarkEnd w:id="55"/>
    </w:p>
    <w:p w14:paraId="7D0B5BD3" w14:textId="4B678430" w:rsidR="006C365A" w:rsidRPr="0013579C" w:rsidRDefault="006C365A" w:rsidP="0013579C">
      <w:r w:rsidRPr="0013579C">
        <w:t>Single-dose toxicity studies were conducted in mice, rats, guinea pigs and rabbits (IP and PO), with limited observations performed over 14 days (which was sufficient to observe delayed toxicity effects and recovery). The maximum non-lethal oral dose for male and female mice was 84 mg/kg, for male and female rats it was 172 and 220 mg/kg respectively, for male guinea pigs it was 242 mg/kg and for female rabbits &lt; 332 mg/kg (mortality at all doses).</w:t>
      </w:r>
      <w:r w:rsidR="0020528D" w:rsidRPr="0013579C">
        <w:t xml:space="preserve"> </w:t>
      </w:r>
      <w:r w:rsidRPr="0013579C">
        <w:t>The maximum non-lethal IP dose for male and female mice was 36.8 mg/kg, for male and female rats was &lt;28 and 28 mg/kg respectively, for male guinea pig was 10.9 mg/kg and female rabbits was 18.4 mg/kg. The mouse was the species most sensitive to tafenoquine (showing 3</w:t>
      </w:r>
      <w:r w:rsidR="00A52F63">
        <w:t xml:space="preserve"> to </w:t>
      </w:r>
      <w:r w:rsidRPr="0013579C">
        <w:t xml:space="preserve">4 fold lower </w:t>
      </w:r>
      <w:r w:rsidR="0013579C">
        <w:t>50% lethal dose (</w:t>
      </w:r>
      <w:r w:rsidRPr="0013579C">
        <w:t>LD</w:t>
      </w:r>
      <w:r w:rsidRPr="0013579C">
        <w:rPr>
          <w:vertAlign w:val="subscript"/>
        </w:rPr>
        <w:t>50</w:t>
      </w:r>
      <w:r w:rsidR="0013579C">
        <w:t>),</w:t>
      </w:r>
      <w:r w:rsidRPr="0013579C">
        <w:t xml:space="preserve"> followed by the guinea pig and the rat). </w:t>
      </w:r>
      <w:proofErr w:type="gramStart"/>
      <w:r w:rsidRPr="0013579C">
        <w:t>High single doses at or near lethal doses produced non-specific clinical signs of toxicity across species and dosing routes.</w:t>
      </w:r>
      <w:proofErr w:type="gramEnd"/>
      <w:r w:rsidRPr="0013579C">
        <w:t xml:space="preserve"> These generally included observations of rough coat, nasal/ocular discharge, hyperactivity, abnormal/laboured respiration, lethargy, hunched posture, tremors, bloated/distended abdomen (IP route), prostration and paralysis. The rabbit also showed signs of soft stools, diarrhoea and reduction in food and water consumption. In the guinea pig, oral doses causing lethality caused a pale liver, a fluid-filled abdomen and distended caecum. Death and/or clinical signs were generally noted at high doses within the first few days following dosing and if animals survived, recovery was seen after 1 week. In all species, acute IP dosing was associated with greater toxicity and lower </w:t>
      </w:r>
      <w:r w:rsidR="00A70B60">
        <w:t>LD</w:t>
      </w:r>
      <w:r w:rsidR="00A70B60" w:rsidRPr="00A70B60">
        <w:rPr>
          <w:vertAlign w:val="subscript"/>
        </w:rPr>
        <w:t>50</w:t>
      </w:r>
      <w:r w:rsidRPr="0013579C">
        <w:t xml:space="preserve"> values; however this is of limited relevance as tafenoquine is intended for oral administration and the oral route showed moderate acute toxicity.</w:t>
      </w:r>
    </w:p>
    <w:p w14:paraId="37CEAEE8" w14:textId="77777777" w:rsidR="006C365A" w:rsidRPr="00EB69F1" w:rsidRDefault="006C365A" w:rsidP="0013579C">
      <w:pPr>
        <w:pStyle w:val="Heading4"/>
      </w:pPr>
      <w:bookmarkStart w:id="56" w:name="_Toc294861728"/>
      <w:r w:rsidRPr="00EB69F1">
        <w:t>Repeat-dose toxicity</w:t>
      </w:r>
      <w:bookmarkEnd w:id="56"/>
    </w:p>
    <w:p w14:paraId="0F18BA80" w14:textId="56BD0739" w:rsidR="006C365A" w:rsidRPr="00432488" w:rsidRDefault="006C365A" w:rsidP="0013579C">
      <w:r w:rsidRPr="00432488">
        <w:t xml:space="preserve">Studies </w:t>
      </w:r>
      <w:r>
        <w:t xml:space="preserve">of </w:t>
      </w:r>
      <w:r w:rsidRPr="00432488">
        <w:t>up to 52 weeks duration were conducted in mice, rats, and dogs</w:t>
      </w:r>
      <w:r>
        <w:t>, with p</w:t>
      </w:r>
      <w:r w:rsidRPr="00432488">
        <w:t xml:space="preserve">ivotal GLP compliant studies of 13 weeks in </w:t>
      </w:r>
      <w:r>
        <w:t>mice</w:t>
      </w:r>
      <w:r w:rsidRPr="00432488">
        <w:t xml:space="preserve">, </w:t>
      </w:r>
      <w:r>
        <w:t>1</w:t>
      </w:r>
      <w:r w:rsidR="00A52F63">
        <w:t xml:space="preserve"> to </w:t>
      </w:r>
      <w:r w:rsidRPr="00432488">
        <w:t>6 months</w:t>
      </w:r>
      <w:r>
        <w:t xml:space="preserve"> </w:t>
      </w:r>
      <w:r w:rsidRPr="00432488">
        <w:t xml:space="preserve">in rats and </w:t>
      </w:r>
      <w:r>
        <w:t>1-</w:t>
      </w:r>
      <w:r w:rsidRPr="00432488">
        <w:t>12 months in dogs. Tafenoquine was administered orally by daily gavage, consistent with the route of administration in humans. Group sizes and study duration were adequate. The studies conducted were generally consistent with relevant guidelines on repeated dose toxicity</w:t>
      </w:r>
      <w:r w:rsidR="00F7542B">
        <w:t xml:space="preserve"> studies</w:t>
      </w:r>
      <w:r w:rsidRPr="00432488">
        <w:t>.</w:t>
      </w:r>
    </w:p>
    <w:p w14:paraId="42B7672A" w14:textId="77777777" w:rsidR="006C365A" w:rsidRPr="00EB69F1" w:rsidRDefault="006C365A" w:rsidP="0013579C">
      <w:pPr>
        <w:pStyle w:val="Heading5"/>
      </w:pPr>
      <w:r w:rsidRPr="00EB69F1">
        <w:t>Relative exposure</w:t>
      </w:r>
    </w:p>
    <w:p w14:paraId="10FD859C" w14:textId="7FBC4662" w:rsidR="006C365A" w:rsidRDefault="006C365A" w:rsidP="0013579C">
      <w:r w:rsidRPr="00342435">
        <w:t xml:space="preserve">Exposure ratios were calculated based </w:t>
      </w:r>
      <w:r>
        <w:t xml:space="preserve">on </w:t>
      </w:r>
      <w:r w:rsidRPr="00342435">
        <w:t xml:space="preserve">animal: human plasma </w:t>
      </w:r>
      <w:r>
        <w:t xml:space="preserve">steady state </w:t>
      </w:r>
      <w:r w:rsidRPr="00342435">
        <w:t>AUC</w:t>
      </w:r>
      <w:r w:rsidRPr="00342435">
        <w:rPr>
          <w:vertAlign w:val="subscript"/>
        </w:rPr>
        <w:t>0–</w:t>
      </w:r>
      <w:r>
        <w:rPr>
          <w:vertAlign w:val="subscript"/>
        </w:rPr>
        <w:t>1week</w:t>
      </w:r>
      <w:r w:rsidRPr="00342435">
        <w:rPr>
          <w:vertAlign w:val="subscript"/>
        </w:rPr>
        <w:t xml:space="preserve"> </w:t>
      </w:r>
      <w:r w:rsidRPr="00342435">
        <w:t xml:space="preserve">for pivotal repeat-dose studies. Human reference values are from </w:t>
      </w:r>
      <w:r>
        <w:t xml:space="preserve">demographic population </w:t>
      </w:r>
      <w:r w:rsidR="00A52F63">
        <w:t xml:space="preserve">pharmacokinetics </w:t>
      </w:r>
      <w:r w:rsidR="00E37C05">
        <w:t>(</w:t>
      </w:r>
      <w:r>
        <w:t>PK</w:t>
      </w:r>
      <w:r w:rsidR="00E37C05">
        <w:t>)</w:t>
      </w:r>
      <w:r>
        <w:t xml:space="preserve"> analysis from 10 healthy volunteers studies (866 participants).</w:t>
      </w:r>
      <w:r w:rsidRPr="00342435">
        <w:t xml:space="preserve"> </w:t>
      </w:r>
      <w:r>
        <w:t xml:space="preserve">The human PK parameters provided in this PK analysis were </w:t>
      </w:r>
      <w:r w:rsidRPr="001131AA">
        <w:t>anticipated</w:t>
      </w:r>
      <w:r>
        <w:t xml:space="preserve"> for the</w:t>
      </w:r>
      <w:r w:rsidRPr="001131AA">
        <w:t xml:space="preserve"> clinical regimen (200 mg/day x 3 days followed by 200 mg weekly)</w:t>
      </w:r>
      <w:r>
        <w:t>. The AUC</w:t>
      </w:r>
      <w:r w:rsidRPr="001131AA">
        <w:rPr>
          <w:vertAlign w:val="subscript"/>
        </w:rPr>
        <w:t>0-</w:t>
      </w:r>
      <w:r>
        <w:rPr>
          <w:vertAlign w:val="subscript"/>
        </w:rPr>
        <w:t>1 week</w:t>
      </w:r>
      <w:r>
        <w:t xml:space="preserve"> in the nonclinical studies was extrapolated from values derived from AUC</w:t>
      </w:r>
      <w:r w:rsidRPr="00DD11DD">
        <w:rPr>
          <w:vertAlign w:val="subscript"/>
        </w:rPr>
        <w:t>0</w:t>
      </w:r>
      <w:r w:rsidR="00A52F63">
        <w:rPr>
          <w:vertAlign w:val="subscript"/>
        </w:rPr>
        <w:noBreakHyphen/>
      </w:r>
      <w:r w:rsidRPr="00DD11DD">
        <w:rPr>
          <w:vertAlign w:val="subscript"/>
        </w:rPr>
        <w:t xml:space="preserve">24 </w:t>
      </w:r>
      <w:r>
        <w:t>values (both sexes combined as they were similar).</w:t>
      </w:r>
    </w:p>
    <w:p w14:paraId="68FB72DB" w14:textId="77777777" w:rsidR="006C365A" w:rsidRDefault="006C365A" w:rsidP="0013579C">
      <w:r>
        <w:t>Exposures were low due to the sensitivity of the animal species to the treatment related effects of tafenoquine. Exposures achieved in studies of 13 weeks or longer were up to 0.9 in mice, 8 in rats and 9 in dogs.</w:t>
      </w:r>
    </w:p>
    <w:p w14:paraId="11723CD0" w14:textId="74E51196" w:rsidR="006C365A" w:rsidRPr="00EB69F1" w:rsidRDefault="006C365A" w:rsidP="00B50630">
      <w:pPr>
        <w:pStyle w:val="TableTitle"/>
      </w:pPr>
      <w:r>
        <w:lastRenderedPageBreak/>
        <w:t xml:space="preserve">Table </w:t>
      </w:r>
      <w:r w:rsidR="00B52F8D">
        <w:t>6</w:t>
      </w:r>
      <w:r w:rsidR="00B50630">
        <w:t>:</w:t>
      </w:r>
      <w:r>
        <w:t xml:space="preserve"> Comparative assessment of r</w:t>
      </w:r>
      <w:r w:rsidRPr="00EB69F1">
        <w:t>elative exposure in repeat-dose toxicity and carcinogenicity studies</w:t>
      </w:r>
    </w:p>
    <w:tbl>
      <w:tblPr>
        <w:tblStyle w:val="TableTGAblue"/>
        <w:tblW w:w="8755" w:type="dxa"/>
        <w:tblLayout w:type="fixed"/>
        <w:tblLook w:val="01E0" w:firstRow="1" w:lastRow="1" w:firstColumn="1" w:lastColumn="1" w:noHBand="0" w:noVBand="0"/>
      </w:tblPr>
      <w:tblGrid>
        <w:gridCol w:w="1668"/>
        <w:gridCol w:w="2551"/>
        <w:gridCol w:w="1559"/>
        <w:gridCol w:w="1560"/>
        <w:gridCol w:w="1417"/>
      </w:tblGrid>
      <w:tr w:rsidR="006C365A" w:rsidRPr="00B50630" w14:paraId="5BFDB052" w14:textId="77777777" w:rsidTr="00A70B60">
        <w:trPr>
          <w:cnfStyle w:val="100000000000" w:firstRow="1" w:lastRow="0" w:firstColumn="0" w:lastColumn="0" w:oddVBand="0" w:evenVBand="0" w:oddHBand="0" w:evenHBand="0" w:firstRowFirstColumn="0" w:firstRowLastColumn="0" w:lastRowFirstColumn="0" w:lastRowLastColumn="0"/>
          <w:cantSplit/>
          <w:trHeight w:val="867"/>
        </w:trPr>
        <w:tc>
          <w:tcPr>
            <w:tcW w:w="1668" w:type="dxa"/>
          </w:tcPr>
          <w:p w14:paraId="6693B7B3" w14:textId="77777777" w:rsidR="006C365A" w:rsidRPr="00B50630" w:rsidRDefault="006C365A" w:rsidP="00B50630">
            <w:pPr>
              <w:rPr>
                <w:sz w:val="20"/>
                <w:szCs w:val="20"/>
              </w:rPr>
            </w:pPr>
            <w:r w:rsidRPr="00B50630">
              <w:rPr>
                <w:sz w:val="20"/>
                <w:szCs w:val="20"/>
              </w:rPr>
              <w:t>Species</w:t>
            </w:r>
          </w:p>
        </w:tc>
        <w:tc>
          <w:tcPr>
            <w:tcW w:w="2551" w:type="dxa"/>
          </w:tcPr>
          <w:p w14:paraId="0B0EF230" w14:textId="77777777" w:rsidR="00222998" w:rsidRDefault="006C365A" w:rsidP="00222998">
            <w:pPr>
              <w:rPr>
                <w:sz w:val="20"/>
                <w:szCs w:val="20"/>
              </w:rPr>
            </w:pPr>
            <w:r w:rsidRPr="00B50630">
              <w:rPr>
                <w:sz w:val="20"/>
                <w:szCs w:val="20"/>
              </w:rPr>
              <w:t>Study duration</w:t>
            </w:r>
          </w:p>
          <w:p w14:paraId="4BFB3A73" w14:textId="576DD641" w:rsidR="006C365A" w:rsidRPr="00B50630" w:rsidRDefault="006C365A" w:rsidP="00222998">
            <w:pPr>
              <w:rPr>
                <w:sz w:val="20"/>
                <w:szCs w:val="20"/>
              </w:rPr>
            </w:pPr>
            <w:r w:rsidRPr="00B50630">
              <w:rPr>
                <w:sz w:val="20"/>
                <w:szCs w:val="20"/>
              </w:rPr>
              <w:t>[Study no.]</w:t>
            </w:r>
          </w:p>
        </w:tc>
        <w:tc>
          <w:tcPr>
            <w:tcW w:w="1559" w:type="dxa"/>
          </w:tcPr>
          <w:p w14:paraId="36594DE3" w14:textId="77777777" w:rsidR="00222998" w:rsidRDefault="006C365A" w:rsidP="00222998">
            <w:pPr>
              <w:ind w:left="0"/>
              <w:rPr>
                <w:sz w:val="20"/>
                <w:szCs w:val="20"/>
              </w:rPr>
            </w:pPr>
            <w:r w:rsidRPr="00B50630">
              <w:rPr>
                <w:sz w:val="20"/>
                <w:szCs w:val="20"/>
              </w:rPr>
              <w:t>Dose</w:t>
            </w:r>
          </w:p>
          <w:p w14:paraId="7FFE213E" w14:textId="1B0DCA0B" w:rsidR="006C365A" w:rsidRPr="00B50630" w:rsidRDefault="002A1B27" w:rsidP="00222998">
            <w:pPr>
              <w:ind w:left="0"/>
              <w:rPr>
                <w:b w:val="0"/>
                <w:color w:val="auto"/>
                <w:sz w:val="20"/>
                <w:szCs w:val="20"/>
                <w:lang w:eastAsia="en-US"/>
              </w:rPr>
            </w:pPr>
            <w:r>
              <w:rPr>
                <w:sz w:val="20"/>
                <w:szCs w:val="20"/>
              </w:rPr>
              <w:t>mg/kg/day</w:t>
            </w:r>
          </w:p>
        </w:tc>
        <w:tc>
          <w:tcPr>
            <w:tcW w:w="1560" w:type="dxa"/>
          </w:tcPr>
          <w:p w14:paraId="534E5510" w14:textId="7B0CD3E5" w:rsidR="006C365A" w:rsidRPr="00B50630" w:rsidRDefault="006C365A" w:rsidP="00222998">
            <w:pPr>
              <w:ind w:left="0"/>
              <w:rPr>
                <w:b w:val="0"/>
                <w:color w:val="auto"/>
                <w:sz w:val="20"/>
                <w:szCs w:val="20"/>
                <w:lang w:eastAsia="en-US"/>
              </w:rPr>
            </w:pPr>
            <w:r w:rsidRPr="00B50630">
              <w:rPr>
                <w:sz w:val="20"/>
                <w:szCs w:val="20"/>
              </w:rPr>
              <w:t>AUC</w:t>
            </w:r>
            <w:r w:rsidRPr="00B50630">
              <w:rPr>
                <w:sz w:val="20"/>
                <w:szCs w:val="20"/>
                <w:vertAlign w:val="subscript"/>
              </w:rPr>
              <w:t>0–1 week</w:t>
            </w:r>
            <w:r w:rsidRPr="00B50630">
              <w:rPr>
                <w:sz w:val="20"/>
                <w:szCs w:val="20"/>
              </w:rPr>
              <w:t>^(ng∙h/mL)</w:t>
            </w:r>
          </w:p>
        </w:tc>
        <w:tc>
          <w:tcPr>
            <w:tcW w:w="1417" w:type="dxa"/>
          </w:tcPr>
          <w:p w14:paraId="7F22254B" w14:textId="77777777" w:rsidR="006C365A" w:rsidRPr="00B50630" w:rsidRDefault="006C365A" w:rsidP="00A70B60">
            <w:pPr>
              <w:ind w:left="0"/>
              <w:rPr>
                <w:b w:val="0"/>
                <w:color w:val="auto"/>
                <w:sz w:val="20"/>
                <w:szCs w:val="20"/>
                <w:lang w:eastAsia="en-US"/>
              </w:rPr>
            </w:pPr>
            <w:r w:rsidRPr="00B50630">
              <w:rPr>
                <w:sz w:val="20"/>
                <w:szCs w:val="20"/>
              </w:rPr>
              <w:t>Exposure ratio</w:t>
            </w:r>
            <w:r w:rsidRPr="00B50630">
              <w:rPr>
                <w:sz w:val="20"/>
                <w:szCs w:val="20"/>
                <w:vertAlign w:val="superscript"/>
              </w:rPr>
              <w:t>#</w:t>
            </w:r>
          </w:p>
        </w:tc>
      </w:tr>
      <w:tr w:rsidR="006C365A" w:rsidRPr="00B50630" w14:paraId="47D3F3B2" w14:textId="77777777" w:rsidTr="00A70B60">
        <w:trPr>
          <w:trHeight w:val="227"/>
        </w:trPr>
        <w:tc>
          <w:tcPr>
            <w:tcW w:w="1668" w:type="dxa"/>
            <w:vMerge w:val="restart"/>
          </w:tcPr>
          <w:p w14:paraId="2E622038" w14:textId="77777777" w:rsidR="006C365A" w:rsidRPr="00E71EF1" w:rsidRDefault="006C365A" w:rsidP="00B50630">
            <w:pPr>
              <w:rPr>
                <w:b/>
                <w:color w:val="auto"/>
                <w:kern w:val="2"/>
                <w:sz w:val="20"/>
                <w:szCs w:val="20"/>
              </w:rPr>
            </w:pPr>
            <w:r w:rsidRPr="00E71EF1">
              <w:rPr>
                <w:b/>
                <w:color w:val="auto"/>
                <w:kern w:val="2"/>
                <w:sz w:val="20"/>
                <w:szCs w:val="20"/>
              </w:rPr>
              <w:t>Mouse</w:t>
            </w:r>
          </w:p>
          <w:p w14:paraId="057AC370" w14:textId="77777777" w:rsidR="006C365A" w:rsidRPr="00E71EF1" w:rsidRDefault="006C365A" w:rsidP="00B50630">
            <w:pPr>
              <w:rPr>
                <w:color w:val="auto"/>
                <w:kern w:val="2"/>
                <w:sz w:val="20"/>
                <w:szCs w:val="20"/>
              </w:rPr>
            </w:pPr>
            <w:r w:rsidRPr="00E71EF1">
              <w:rPr>
                <w:color w:val="auto"/>
                <w:kern w:val="2"/>
                <w:sz w:val="20"/>
                <w:szCs w:val="20"/>
              </w:rPr>
              <w:t>(CD)</w:t>
            </w:r>
          </w:p>
        </w:tc>
        <w:tc>
          <w:tcPr>
            <w:tcW w:w="2551" w:type="dxa"/>
            <w:vMerge w:val="restart"/>
          </w:tcPr>
          <w:p w14:paraId="51A850EA" w14:textId="77777777" w:rsidR="006C365A" w:rsidRPr="00B50630" w:rsidRDefault="006C365A" w:rsidP="00B50630">
            <w:pPr>
              <w:rPr>
                <w:kern w:val="2"/>
                <w:sz w:val="20"/>
                <w:szCs w:val="20"/>
              </w:rPr>
            </w:pPr>
            <w:r w:rsidRPr="00B50630">
              <w:rPr>
                <w:kern w:val="2"/>
                <w:sz w:val="20"/>
                <w:szCs w:val="20"/>
              </w:rPr>
              <w:t>13 week</w:t>
            </w:r>
            <w:r w:rsidRPr="00B50630">
              <w:rPr>
                <w:kern w:val="2"/>
                <w:sz w:val="20"/>
                <w:szCs w:val="20"/>
                <w:vertAlign w:val="superscript"/>
              </w:rPr>
              <w:t>A</w:t>
            </w:r>
          </w:p>
          <w:p w14:paraId="413507CF" w14:textId="77777777" w:rsidR="006C365A" w:rsidRPr="00B50630" w:rsidRDefault="006C365A" w:rsidP="00B50630">
            <w:pPr>
              <w:rPr>
                <w:color w:val="00B050"/>
                <w:kern w:val="2"/>
                <w:sz w:val="20"/>
                <w:szCs w:val="20"/>
              </w:rPr>
            </w:pPr>
            <w:r w:rsidRPr="00B50630">
              <w:rPr>
                <w:kern w:val="2"/>
                <w:sz w:val="20"/>
                <w:szCs w:val="20"/>
              </w:rPr>
              <w:t>[Study G99554]</w:t>
            </w:r>
          </w:p>
        </w:tc>
        <w:tc>
          <w:tcPr>
            <w:tcW w:w="1559" w:type="dxa"/>
          </w:tcPr>
          <w:p w14:paraId="2A797222" w14:textId="77777777" w:rsidR="006C365A" w:rsidRPr="00B50630" w:rsidRDefault="006C365A" w:rsidP="00B50630">
            <w:pPr>
              <w:rPr>
                <w:kern w:val="2"/>
                <w:sz w:val="20"/>
                <w:szCs w:val="20"/>
              </w:rPr>
            </w:pPr>
            <w:r w:rsidRPr="00B50630">
              <w:rPr>
                <w:kern w:val="2"/>
                <w:sz w:val="20"/>
                <w:szCs w:val="20"/>
              </w:rPr>
              <w:t>0.1</w:t>
            </w:r>
          </w:p>
        </w:tc>
        <w:tc>
          <w:tcPr>
            <w:tcW w:w="1560" w:type="dxa"/>
          </w:tcPr>
          <w:p w14:paraId="101C4557" w14:textId="77777777" w:rsidR="006C365A" w:rsidRPr="00B50630" w:rsidRDefault="006C365A" w:rsidP="00B50630">
            <w:pPr>
              <w:rPr>
                <w:kern w:val="2"/>
                <w:sz w:val="20"/>
                <w:szCs w:val="20"/>
              </w:rPr>
            </w:pPr>
            <w:r w:rsidRPr="00B50630">
              <w:rPr>
                <w:kern w:val="2"/>
                <w:sz w:val="20"/>
                <w:szCs w:val="20"/>
              </w:rPr>
              <w:t>1435</w:t>
            </w:r>
          </w:p>
        </w:tc>
        <w:tc>
          <w:tcPr>
            <w:tcW w:w="1417" w:type="dxa"/>
          </w:tcPr>
          <w:p w14:paraId="279CDCEB" w14:textId="77777777" w:rsidR="006C365A" w:rsidRPr="00B50630" w:rsidRDefault="006C365A" w:rsidP="00B50630">
            <w:pPr>
              <w:rPr>
                <w:kern w:val="2"/>
                <w:sz w:val="20"/>
                <w:szCs w:val="20"/>
              </w:rPr>
            </w:pPr>
            <w:r w:rsidRPr="00B50630">
              <w:rPr>
                <w:kern w:val="2"/>
                <w:sz w:val="20"/>
                <w:szCs w:val="20"/>
              </w:rPr>
              <w:t>0.03</w:t>
            </w:r>
          </w:p>
        </w:tc>
      </w:tr>
      <w:tr w:rsidR="006C365A" w:rsidRPr="00B50630" w14:paraId="74BFFAFC" w14:textId="77777777" w:rsidTr="00AE6543">
        <w:trPr>
          <w:trHeight w:val="227"/>
        </w:trPr>
        <w:tc>
          <w:tcPr>
            <w:tcW w:w="1668" w:type="dxa"/>
            <w:vMerge/>
          </w:tcPr>
          <w:p w14:paraId="2938C2B7" w14:textId="77777777" w:rsidR="006C365A" w:rsidRPr="00E71EF1" w:rsidRDefault="006C365A" w:rsidP="00B50630">
            <w:pPr>
              <w:rPr>
                <w:color w:val="auto"/>
                <w:kern w:val="2"/>
                <w:sz w:val="20"/>
                <w:szCs w:val="20"/>
              </w:rPr>
            </w:pPr>
          </w:p>
        </w:tc>
        <w:tc>
          <w:tcPr>
            <w:tcW w:w="2551" w:type="dxa"/>
            <w:vMerge/>
          </w:tcPr>
          <w:p w14:paraId="0192B22A" w14:textId="77777777" w:rsidR="006C365A" w:rsidRPr="00B50630" w:rsidRDefault="006C365A" w:rsidP="00B50630">
            <w:pPr>
              <w:rPr>
                <w:color w:val="00B050"/>
                <w:kern w:val="2"/>
                <w:sz w:val="20"/>
                <w:szCs w:val="20"/>
              </w:rPr>
            </w:pPr>
          </w:p>
        </w:tc>
        <w:tc>
          <w:tcPr>
            <w:tcW w:w="1559" w:type="dxa"/>
          </w:tcPr>
          <w:p w14:paraId="73C993E7" w14:textId="77777777" w:rsidR="006C365A" w:rsidRPr="00B50630" w:rsidRDefault="006C365A" w:rsidP="00B50630">
            <w:pPr>
              <w:rPr>
                <w:kern w:val="2"/>
                <w:sz w:val="20"/>
                <w:szCs w:val="20"/>
              </w:rPr>
            </w:pPr>
            <w:r w:rsidRPr="00B50630">
              <w:rPr>
                <w:kern w:val="2"/>
                <w:sz w:val="20"/>
                <w:szCs w:val="20"/>
              </w:rPr>
              <w:t>0.3</w:t>
            </w:r>
          </w:p>
        </w:tc>
        <w:tc>
          <w:tcPr>
            <w:tcW w:w="1560" w:type="dxa"/>
          </w:tcPr>
          <w:p w14:paraId="173BE9ED" w14:textId="77777777" w:rsidR="006C365A" w:rsidRPr="00B50630" w:rsidRDefault="006C365A" w:rsidP="00B50630">
            <w:pPr>
              <w:rPr>
                <w:kern w:val="2"/>
                <w:sz w:val="20"/>
                <w:szCs w:val="20"/>
              </w:rPr>
            </w:pPr>
            <w:r w:rsidRPr="00B50630">
              <w:rPr>
                <w:kern w:val="2"/>
                <w:sz w:val="20"/>
                <w:szCs w:val="20"/>
              </w:rPr>
              <w:t>4221</w:t>
            </w:r>
          </w:p>
        </w:tc>
        <w:tc>
          <w:tcPr>
            <w:tcW w:w="1417" w:type="dxa"/>
          </w:tcPr>
          <w:p w14:paraId="7089E26A" w14:textId="77777777" w:rsidR="006C365A" w:rsidRPr="00B50630" w:rsidRDefault="006C365A" w:rsidP="00B50630">
            <w:pPr>
              <w:rPr>
                <w:kern w:val="2"/>
                <w:sz w:val="20"/>
                <w:szCs w:val="20"/>
              </w:rPr>
            </w:pPr>
            <w:r w:rsidRPr="00B50630">
              <w:rPr>
                <w:kern w:val="2"/>
                <w:sz w:val="20"/>
                <w:szCs w:val="20"/>
              </w:rPr>
              <w:t>0.09</w:t>
            </w:r>
          </w:p>
        </w:tc>
      </w:tr>
      <w:tr w:rsidR="006C365A" w:rsidRPr="00B50630" w14:paraId="36C4FD9E" w14:textId="77777777" w:rsidTr="00AE6543">
        <w:trPr>
          <w:trHeight w:val="227"/>
        </w:trPr>
        <w:tc>
          <w:tcPr>
            <w:tcW w:w="1668" w:type="dxa"/>
            <w:vMerge/>
          </w:tcPr>
          <w:p w14:paraId="040C86C4" w14:textId="77777777" w:rsidR="006C365A" w:rsidRPr="00E71EF1" w:rsidRDefault="006C365A" w:rsidP="00B50630">
            <w:pPr>
              <w:rPr>
                <w:color w:val="auto"/>
                <w:kern w:val="2"/>
                <w:sz w:val="20"/>
                <w:szCs w:val="20"/>
              </w:rPr>
            </w:pPr>
          </w:p>
        </w:tc>
        <w:tc>
          <w:tcPr>
            <w:tcW w:w="2551" w:type="dxa"/>
            <w:vMerge/>
          </w:tcPr>
          <w:p w14:paraId="6F9AD25C" w14:textId="77777777" w:rsidR="006C365A" w:rsidRPr="00B50630" w:rsidRDefault="006C365A" w:rsidP="00B50630">
            <w:pPr>
              <w:rPr>
                <w:color w:val="00B050"/>
                <w:kern w:val="2"/>
                <w:sz w:val="20"/>
                <w:szCs w:val="20"/>
              </w:rPr>
            </w:pPr>
          </w:p>
        </w:tc>
        <w:tc>
          <w:tcPr>
            <w:tcW w:w="1559" w:type="dxa"/>
          </w:tcPr>
          <w:p w14:paraId="2185065D" w14:textId="77777777" w:rsidR="006C365A" w:rsidRPr="00B50630" w:rsidRDefault="006C365A" w:rsidP="00B50630">
            <w:pPr>
              <w:rPr>
                <w:kern w:val="2"/>
                <w:sz w:val="20"/>
                <w:szCs w:val="20"/>
              </w:rPr>
            </w:pPr>
            <w:r w:rsidRPr="00B50630">
              <w:rPr>
                <w:kern w:val="2"/>
                <w:sz w:val="20"/>
                <w:szCs w:val="20"/>
              </w:rPr>
              <w:t>1.0</w:t>
            </w:r>
          </w:p>
        </w:tc>
        <w:tc>
          <w:tcPr>
            <w:tcW w:w="1560" w:type="dxa"/>
          </w:tcPr>
          <w:p w14:paraId="0751E9D7" w14:textId="77777777" w:rsidR="006C365A" w:rsidRPr="00B50630" w:rsidRDefault="006C365A" w:rsidP="00B50630">
            <w:pPr>
              <w:rPr>
                <w:kern w:val="2"/>
                <w:sz w:val="20"/>
                <w:szCs w:val="20"/>
              </w:rPr>
            </w:pPr>
            <w:r w:rsidRPr="00B50630">
              <w:rPr>
                <w:kern w:val="2"/>
                <w:sz w:val="20"/>
                <w:szCs w:val="20"/>
              </w:rPr>
              <w:t>14252</w:t>
            </w:r>
          </w:p>
        </w:tc>
        <w:tc>
          <w:tcPr>
            <w:tcW w:w="1417" w:type="dxa"/>
          </w:tcPr>
          <w:p w14:paraId="6C849E97" w14:textId="77777777" w:rsidR="006C365A" w:rsidRPr="00B50630" w:rsidRDefault="006C365A" w:rsidP="00B50630">
            <w:pPr>
              <w:rPr>
                <w:kern w:val="2"/>
                <w:sz w:val="20"/>
                <w:szCs w:val="20"/>
              </w:rPr>
            </w:pPr>
            <w:r w:rsidRPr="00B50630">
              <w:rPr>
                <w:kern w:val="2"/>
                <w:sz w:val="20"/>
                <w:szCs w:val="20"/>
              </w:rPr>
              <w:t>0.3</w:t>
            </w:r>
          </w:p>
        </w:tc>
      </w:tr>
      <w:tr w:rsidR="006C365A" w:rsidRPr="00B50630" w14:paraId="6DC79827" w14:textId="77777777" w:rsidTr="00AE6543">
        <w:trPr>
          <w:trHeight w:val="227"/>
        </w:trPr>
        <w:tc>
          <w:tcPr>
            <w:tcW w:w="1668" w:type="dxa"/>
            <w:vMerge/>
          </w:tcPr>
          <w:p w14:paraId="3E426C7E" w14:textId="77777777" w:rsidR="006C365A" w:rsidRPr="00E71EF1" w:rsidRDefault="006C365A" w:rsidP="00B50630">
            <w:pPr>
              <w:rPr>
                <w:color w:val="auto"/>
                <w:kern w:val="2"/>
                <w:sz w:val="20"/>
                <w:szCs w:val="20"/>
              </w:rPr>
            </w:pPr>
          </w:p>
        </w:tc>
        <w:tc>
          <w:tcPr>
            <w:tcW w:w="2551" w:type="dxa"/>
            <w:vMerge/>
          </w:tcPr>
          <w:p w14:paraId="1548EC4D" w14:textId="77777777" w:rsidR="006C365A" w:rsidRPr="00B50630" w:rsidRDefault="006C365A" w:rsidP="00B50630">
            <w:pPr>
              <w:rPr>
                <w:color w:val="00B050"/>
                <w:kern w:val="2"/>
                <w:sz w:val="20"/>
                <w:szCs w:val="20"/>
              </w:rPr>
            </w:pPr>
          </w:p>
        </w:tc>
        <w:tc>
          <w:tcPr>
            <w:tcW w:w="1559" w:type="dxa"/>
          </w:tcPr>
          <w:p w14:paraId="299E073D" w14:textId="77777777" w:rsidR="006C365A" w:rsidRPr="00B50630" w:rsidRDefault="006C365A" w:rsidP="00B50630">
            <w:pPr>
              <w:rPr>
                <w:kern w:val="2"/>
                <w:sz w:val="20"/>
                <w:szCs w:val="20"/>
              </w:rPr>
            </w:pPr>
            <w:r w:rsidRPr="00B50630">
              <w:rPr>
                <w:kern w:val="2"/>
                <w:sz w:val="20"/>
                <w:szCs w:val="20"/>
              </w:rPr>
              <w:t>3</w:t>
            </w:r>
          </w:p>
        </w:tc>
        <w:tc>
          <w:tcPr>
            <w:tcW w:w="1560" w:type="dxa"/>
          </w:tcPr>
          <w:p w14:paraId="2E886AA8" w14:textId="77777777" w:rsidR="006C365A" w:rsidRPr="00B50630" w:rsidRDefault="006C365A" w:rsidP="00B50630">
            <w:pPr>
              <w:rPr>
                <w:kern w:val="2"/>
                <w:sz w:val="20"/>
                <w:szCs w:val="20"/>
              </w:rPr>
            </w:pPr>
            <w:r w:rsidRPr="00B50630">
              <w:rPr>
                <w:kern w:val="2"/>
                <w:sz w:val="20"/>
                <w:szCs w:val="20"/>
              </w:rPr>
              <w:t>42756</w:t>
            </w:r>
          </w:p>
        </w:tc>
        <w:tc>
          <w:tcPr>
            <w:tcW w:w="1417" w:type="dxa"/>
          </w:tcPr>
          <w:p w14:paraId="42706B0D" w14:textId="77777777" w:rsidR="006C365A" w:rsidRPr="00B50630" w:rsidRDefault="006C365A" w:rsidP="00B50630">
            <w:pPr>
              <w:rPr>
                <w:kern w:val="2"/>
                <w:sz w:val="20"/>
                <w:szCs w:val="20"/>
              </w:rPr>
            </w:pPr>
            <w:r w:rsidRPr="00B50630">
              <w:rPr>
                <w:kern w:val="2"/>
                <w:sz w:val="20"/>
                <w:szCs w:val="20"/>
              </w:rPr>
              <w:t>0.9</w:t>
            </w:r>
          </w:p>
        </w:tc>
      </w:tr>
      <w:tr w:rsidR="006C365A" w:rsidRPr="00B50630" w14:paraId="5B876C81" w14:textId="77777777" w:rsidTr="00AE6543">
        <w:trPr>
          <w:trHeight w:val="227"/>
        </w:trPr>
        <w:tc>
          <w:tcPr>
            <w:tcW w:w="1668" w:type="dxa"/>
            <w:vMerge w:val="restart"/>
          </w:tcPr>
          <w:p w14:paraId="1D25067B" w14:textId="77777777" w:rsidR="006C365A" w:rsidRPr="00E71EF1" w:rsidRDefault="006C365A" w:rsidP="00B50630">
            <w:pPr>
              <w:rPr>
                <w:b/>
                <w:color w:val="auto"/>
                <w:kern w:val="2"/>
                <w:sz w:val="20"/>
                <w:szCs w:val="20"/>
                <w:vertAlign w:val="superscript"/>
              </w:rPr>
            </w:pPr>
            <w:r w:rsidRPr="00E71EF1">
              <w:rPr>
                <w:b/>
                <w:color w:val="auto"/>
                <w:kern w:val="2"/>
                <w:sz w:val="20"/>
                <w:szCs w:val="20"/>
              </w:rPr>
              <w:t>Rat</w:t>
            </w:r>
          </w:p>
          <w:p w14:paraId="30766F55" w14:textId="77777777" w:rsidR="006C365A" w:rsidRPr="00E71EF1" w:rsidRDefault="006C365A" w:rsidP="00B50630">
            <w:pPr>
              <w:rPr>
                <w:b/>
                <w:color w:val="auto"/>
                <w:kern w:val="2"/>
                <w:sz w:val="20"/>
                <w:szCs w:val="20"/>
              </w:rPr>
            </w:pPr>
            <w:r w:rsidRPr="00E71EF1">
              <w:rPr>
                <w:b/>
                <w:color w:val="auto"/>
                <w:kern w:val="2"/>
                <w:sz w:val="20"/>
                <w:szCs w:val="20"/>
              </w:rPr>
              <w:t>(SD)</w:t>
            </w:r>
          </w:p>
        </w:tc>
        <w:tc>
          <w:tcPr>
            <w:tcW w:w="2551" w:type="dxa"/>
            <w:vMerge w:val="restart"/>
          </w:tcPr>
          <w:p w14:paraId="4A99D0C4" w14:textId="77777777" w:rsidR="006C365A" w:rsidRPr="00B50630" w:rsidRDefault="006C365A" w:rsidP="00B50630">
            <w:pPr>
              <w:rPr>
                <w:kern w:val="2"/>
                <w:sz w:val="20"/>
                <w:szCs w:val="20"/>
              </w:rPr>
            </w:pPr>
            <w:r w:rsidRPr="00B50630">
              <w:rPr>
                <w:kern w:val="2"/>
                <w:sz w:val="20"/>
                <w:szCs w:val="20"/>
              </w:rPr>
              <w:t>13 weeks</w:t>
            </w:r>
            <w:r w:rsidRPr="00B50630">
              <w:rPr>
                <w:kern w:val="2"/>
                <w:sz w:val="20"/>
                <w:szCs w:val="20"/>
                <w:vertAlign w:val="superscript"/>
              </w:rPr>
              <w:t>B</w:t>
            </w:r>
          </w:p>
          <w:p w14:paraId="09EAD496" w14:textId="77777777" w:rsidR="006C365A" w:rsidRPr="00B50630" w:rsidRDefault="006C365A" w:rsidP="00B50630">
            <w:pPr>
              <w:rPr>
                <w:kern w:val="2"/>
                <w:sz w:val="20"/>
                <w:szCs w:val="20"/>
              </w:rPr>
            </w:pPr>
            <w:r w:rsidRPr="00B50630">
              <w:rPr>
                <w:kern w:val="2"/>
                <w:sz w:val="20"/>
                <w:szCs w:val="20"/>
              </w:rPr>
              <w:t>[Study 098]</w:t>
            </w:r>
          </w:p>
        </w:tc>
        <w:tc>
          <w:tcPr>
            <w:tcW w:w="1559" w:type="dxa"/>
          </w:tcPr>
          <w:p w14:paraId="10EA28C1" w14:textId="77777777" w:rsidR="006C365A" w:rsidRPr="00B50630" w:rsidRDefault="006C365A" w:rsidP="00B50630">
            <w:pPr>
              <w:rPr>
                <w:kern w:val="2"/>
                <w:sz w:val="20"/>
                <w:szCs w:val="20"/>
              </w:rPr>
            </w:pPr>
            <w:r w:rsidRPr="00B50630">
              <w:rPr>
                <w:kern w:val="2"/>
                <w:sz w:val="20"/>
                <w:szCs w:val="20"/>
              </w:rPr>
              <w:t>0.5</w:t>
            </w:r>
          </w:p>
        </w:tc>
        <w:tc>
          <w:tcPr>
            <w:tcW w:w="1560" w:type="dxa"/>
          </w:tcPr>
          <w:p w14:paraId="022A38AD" w14:textId="77777777" w:rsidR="006C365A" w:rsidRPr="00B50630" w:rsidRDefault="006C365A" w:rsidP="00B50630">
            <w:pPr>
              <w:rPr>
                <w:kern w:val="2"/>
                <w:sz w:val="20"/>
                <w:szCs w:val="20"/>
              </w:rPr>
            </w:pPr>
            <w:r w:rsidRPr="00B50630">
              <w:rPr>
                <w:kern w:val="2"/>
                <w:sz w:val="20"/>
                <w:szCs w:val="20"/>
              </w:rPr>
              <w:t>6650</w:t>
            </w:r>
          </w:p>
        </w:tc>
        <w:tc>
          <w:tcPr>
            <w:tcW w:w="1417" w:type="dxa"/>
          </w:tcPr>
          <w:p w14:paraId="28CD000B" w14:textId="77777777" w:rsidR="006C365A" w:rsidRPr="00B50630" w:rsidRDefault="006C365A" w:rsidP="00B50630">
            <w:pPr>
              <w:rPr>
                <w:kern w:val="2"/>
                <w:sz w:val="20"/>
                <w:szCs w:val="20"/>
              </w:rPr>
            </w:pPr>
            <w:r w:rsidRPr="00B50630">
              <w:rPr>
                <w:kern w:val="2"/>
                <w:sz w:val="20"/>
                <w:szCs w:val="20"/>
              </w:rPr>
              <w:t>0.1</w:t>
            </w:r>
          </w:p>
        </w:tc>
      </w:tr>
      <w:tr w:rsidR="006C365A" w:rsidRPr="00B50630" w14:paraId="746B98F9" w14:textId="77777777" w:rsidTr="00AE6543">
        <w:trPr>
          <w:trHeight w:val="227"/>
        </w:trPr>
        <w:tc>
          <w:tcPr>
            <w:tcW w:w="1668" w:type="dxa"/>
            <w:vMerge/>
          </w:tcPr>
          <w:p w14:paraId="755A7EC8" w14:textId="77777777" w:rsidR="006C365A" w:rsidRPr="00B50630" w:rsidRDefault="006C365A" w:rsidP="00B50630">
            <w:pPr>
              <w:rPr>
                <w:b/>
                <w:kern w:val="2"/>
                <w:sz w:val="20"/>
                <w:szCs w:val="20"/>
              </w:rPr>
            </w:pPr>
          </w:p>
        </w:tc>
        <w:tc>
          <w:tcPr>
            <w:tcW w:w="2551" w:type="dxa"/>
            <w:vMerge/>
          </w:tcPr>
          <w:p w14:paraId="2BBEAA68" w14:textId="77777777" w:rsidR="006C365A" w:rsidRPr="00B50630" w:rsidRDefault="006C365A" w:rsidP="00B50630">
            <w:pPr>
              <w:rPr>
                <w:kern w:val="2"/>
                <w:sz w:val="20"/>
                <w:szCs w:val="20"/>
              </w:rPr>
            </w:pPr>
          </w:p>
        </w:tc>
        <w:tc>
          <w:tcPr>
            <w:tcW w:w="1559" w:type="dxa"/>
          </w:tcPr>
          <w:p w14:paraId="4C9C130D" w14:textId="77777777" w:rsidR="006C365A" w:rsidRPr="00B50630" w:rsidRDefault="006C365A" w:rsidP="00B50630">
            <w:pPr>
              <w:rPr>
                <w:kern w:val="2"/>
                <w:sz w:val="20"/>
                <w:szCs w:val="20"/>
              </w:rPr>
            </w:pPr>
            <w:r w:rsidRPr="00B50630">
              <w:rPr>
                <w:kern w:val="2"/>
                <w:sz w:val="20"/>
                <w:szCs w:val="20"/>
              </w:rPr>
              <w:t>6</w:t>
            </w:r>
          </w:p>
        </w:tc>
        <w:tc>
          <w:tcPr>
            <w:tcW w:w="1560" w:type="dxa"/>
          </w:tcPr>
          <w:p w14:paraId="1A93A733" w14:textId="77777777" w:rsidR="006C365A" w:rsidRPr="00B50630" w:rsidRDefault="006C365A" w:rsidP="00B50630">
            <w:pPr>
              <w:rPr>
                <w:kern w:val="2"/>
                <w:sz w:val="20"/>
                <w:szCs w:val="20"/>
              </w:rPr>
            </w:pPr>
            <w:r w:rsidRPr="00B50630">
              <w:rPr>
                <w:kern w:val="2"/>
                <w:sz w:val="20"/>
                <w:szCs w:val="20"/>
              </w:rPr>
              <w:t>119467</w:t>
            </w:r>
          </w:p>
        </w:tc>
        <w:tc>
          <w:tcPr>
            <w:tcW w:w="1417" w:type="dxa"/>
          </w:tcPr>
          <w:p w14:paraId="2D822253" w14:textId="77777777" w:rsidR="006C365A" w:rsidRPr="00B50630" w:rsidRDefault="006C365A" w:rsidP="00B50630">
            <w:pPr>
              <w:rPr>
                <w:kern w:val="2"/>
                <w:sz w:val="20"/>
                <w:szCs w:val="20"/>
              </w:rPr>
            </w:pPr>
            <w:r w:rsidRPr="00B50630">
              <w:rPr>
                <w:kern w:val="2"/>
                <w:sz w:val="20"/>
                <w:szCs w:val="20"/>
              </w:rPr>
              <w:t>2.5</w:t>
            </w:r>
          </w:p>
        </w:tc>
      </w:tr>
      <w:tr w:rsidR="006C365A" w:rsidRPr="00B50630" w14:paraId="7440ECB6" w14:textId="77777777" w:rsidTr="00AE6543">
        <w:trPr>
          <w:trHeight w:val="227"/>
        </w:trPr>
        <w:tc>
          <w:tcPr>
            <w:tcW w:w="1668" w:type="dxa"/>
            <w:vMerge/>
          </w:tcPr>
          <w:p w14:paraId="5ED88BF4" w14:textId="77777777" w:rsidR="006C365A" w:rsidRPr="00B50630" w:rsidRDefault="006C365A" w:rsidP="00B50630">
            <w:pPr>
              <w:rPr>
                <w:b/>
                <w:kern w:val="2"/>
                <w:sz w:val="20"/>
                <w:szCs w:val="20"/>
              </w:rPr>
            </w:pPr>
          </w:p>
        </w:tc>
        <w:tc>
          <w:tcPr>
            <w:tcW w:w="2551" w:type="dxa"/>
            <w:vMerge/>
          </w:tcPr>
          <w:p w14:paraId="347E0774" w14:textId="77777777" w:rsidR="006C365A" w:rsidRPr="00B50630" w:rsidRDefault="006C365A" w:rsidP="00B50630">
            <w:pPr>
              <w:rPr>
                <w:kern w:val="2"/>
                <w:sz w:val="20"/>
                <w:szCs w:val="20"/>
              </w:rPr>
            </w:pPr>
          </w:p>
        </w:tc>
        <w:tc>
          <w:tcPr>
            <w:tcW w:w="1559" w:type="dxa"/>
          </w:tcPr>
          <w:p w14:paraId="61F0B1A0" w14:textId="77777777" w:rsidR="006C365A" w:rsidRPr="00B50630" w:rsidRDefault="006C365A" w:rsidP="00B50630">
            <w:pPr>
              <w:rPr>
                <w:kern w:val="2"/>
                <w:sz w:val="20"/>
                <w:szCs w:val="20"/>
              </w:rPr>
            </w:pPr>
            <w:r w:rsidRPr="00B50630">
              <w:rPr>
                <w:kern w:val="2"/>
                <w:sz w:val="20"/>
                <w:szCs w:val="20"/>
              </w:rPr>
              <w:t>18</w:t>
            </w:r>
          </w:p>
        </w:tc>
        <w:tc>
          <w:tcPr>
            <w:tcW w:w="1560" w:type="dxa"/>
          </w:tcPr>
          <w:p w14:paraId="69DB21B6" w14:textId="77777777" w:rsidR="006C365A" w:rsidRPr="00B50630" w:rsidRDefault="006C365A" w:rsidP="00B50630">
            <w:pPr>
              <w:rPr>
                <w:kern w:val="2"/>
                <w:sz w:val="20"/>
                <w:szCs w:val="20"/>
              </w:rPr>
            </w:pPr>
            <w:r w:rsidRPr="00B50630">
              <w:rPr>
                <w:kern w:val="2"/>
                <w:sz w:val="20"/>
                <w:szCs w:val="20"/>
              </w:rPr>
              <w:t>358400</w:t>
            </w:r>
          </w:p>
        </w:tc>
        <w:tc>
          <w:tcPr>
            <w:tcW w:w="1417" w:type="dxa"/>
          </w:tcPr>
          <w:p w14:paraId="16A9341D" w14:textId="77777777" w:rsidR="006C365A" w:rsidRPr="00B50630" w:rsidRDefault="006C365A" w:rsidP="00B50630">
            <w:pPr>
              <w:rPr>
                <w:kern w:val="2"/>
                <w:sz w:val="20"/>
                <w:szCs w:val="20"/>
              </w:rPr>
            </w:pPr>
            <w:r w:rsidRPr="00B50630">
              <w:rPr>
                <w:kern w:val="2"/>
                <w:sz w:val="20"/>
                <w:szCs w:val="20"/>
              </w:rPr>
              <w:t>7.5</w:t>
            </w:r>
          </w:p>
        </w:tc>
      </w:tr>
      <w:tr w:rsidR="006C365A" w:rsidRPr="00B50630" w14:paraId="47B8E0AF" w14:textId="77777777" w:rsidTr="00AE6543">
        <w:trPr>
          <w:trHeight w:val="227"/>
        </w:trPr>
        <w:tc>
          <w:tcPr>
            <w:tcW w:w="1668" w:type="dxa"/>
            <w:vMerge/>
          </w:tcPr>
          <w:p w14:paraId="79C5FA73" w14:textId="77777777" w:rsidR="006C365A" w:rsidRPr="00B50630" w:rsidRDefault="006C365A" w:rsidP="00B50630">
            <w:pPr>
              <w:rPr>
                <w:color w:val="00B050"/>
                <w:kern w:val="2"/>
                <w:sz w:val="20"/>
                <w:szCs w:val="20"/>
              </w:rPr>
            </w:pPr>
          </w:p>
        </w:tc>
        <w:tc>
          <w:tcPr>
            <w:tcW w:w="2551" w:type="dxa"/>
            <w:vMerge w:val="restart"/>
          </w:tcPr>
          <w:p w14:paraId="3B260331" w14:textId="77777777" w:rsidR="006C365A" w:rsidRPr="00B50630" w:rsidRDefault="006C365A" w:rsidP="00B50630">
            <w:pPr>
              <w:rPr>
                <w:color w:val="00B050"/>
                <w:kern w:val="2"/>
                <w:sz w:val="20"/>
                <w:szCs w:val="20"/>
              </w:rPr>
            </w:pPr>
            <w:r w:rsidRPr="00B50630">
              <w:rPr>
                <w:kern w:val="2"/>
                <w:sz w:val="20"/>
                <w:szCs w:val="20"/>
              </w:rPr>
              <w:t>26 weeks</w:t>
            </w:r>
            <w:r w:rsidRPr="00B50630">
              <w:rPr>
                <w:kern w:val="2"/>
                <w:sz w:val="20"/>
                <w:szCs w:val="20"/>
                <w:vertAlign w:val="superscript"/>
              </w:rPr>
              <w:t>B</w:t>
            </w:r>
            <w:r w:rsidRPr="00B50630">
              <w:rPr>
                <w:kern w:val="2"/>
                <w:sz w:val="20"/>
                <w:szCs w:val="20"/>
              </w:rPr>
              <w:br/>
              <w:t>[Study SBF 152]</w:t>
            </w:r>
          </w:p>
        </w:tc>
        <w:tc>
          <w:tcPr>
            <w:tcW w:w="1559" w:type="dxa"/>
          </w:tcPr>
          <w:p w14:paraId="3C553A8E" w14:textId="77777777" w:rsidR="006C365A" w:rsidRPr="00B50630" w:rsidRDefault="006C365A" w:rsidP="00B50630">
            <w:pPr>
              <w:rPr>
                <w:kern w:val="2"/>
                <w:sz w:val="20"/>
                <w:szCs w:val="20"/>
              </w:rPr>
            </w:pPr>
            <w:r w:rsidRPr="00B50630">
              <w:rPr>
                <w:kern w:val="2"/>
                <w:sz w:val="20"/>
                <w:szCs w:val="20"/>
              </w:rPr>
              <w:t>0.5</w:t>
            </w:r>
          </w:p>
        </w:tc>
        <w:tc>
          <w:tcPr>
            <w:tcW w:w="1560" w:type="dxa"/>
          </w:tcPr>
          <w:p w14:paraId="2CB42591" w14:textId="77777777" w:rsidR="006C365A" w:rsidRPr="00B50630" w:rsidRDefault="006C365A" w:rsidP="00B50630">
            <w:pPr>
              <w:rPr>
                <w:kern w:val="2"/>
                <w:sz w:val="20"/>
                <w:szCs w:val="20"/>
              </w:rPr>
            </w:pPr>
            <w:r w:rsidRPr="00B50630">
              <w:rPr>
                <w:kern w:val="2"/>
                <w:sz w:val="20"/>
                <w:szCs w:val="20"/>
              </w:rPr>
              <w:t>6650</w:t>
            </w:r>
          </w:p>
        </w:tc>
        <w:tc>
          <w:tcPr>
            <w:tcW w:w="1417" w:type="dxa"/>
          </w:tcPr>
          <w:p w14:paraId="1611E633" w14:textId="77777777" w:rsidR="006C365A" w:rsidRPr="00B50630" w:rsidRDefault="006C365A" w:rsidP="00B50630">
            <w:pPr>
              <w:rPr>
                <w:kern w:val="2"/>
                <w:sz w:val="20"/>
                <w:szCs w:val="20"/>
              </w:rPr>
            </w:pPr>
            <w:r w:rsidRPr="00B50630">
              <w:rPr>
                <w:kern w:val="2"/>
                <w:sz w:val="20"/>
                <w:szCs w:val="20"/>
              </w:rPr>
              <w:t>0.1</w:t>
            </w:r>
          </w:p>
        </w:tc>
      </w:tr>
      <w:tr w:rsidR="006C365A" w:rsidRPr="00B50630" w14:paraId="0F860361" w14:textId="77777777" w:rsidTr="00AE6543">
        <w:trPr>
          <w:trHeight w:val="227"/>
        </w:trPr>
        <w:tc>
          <w:tcPr>
            <w:tcW w:w="1668" w:type="dxa"/>
            <w:vMerge/>
          </w:tcPr>
          <w:p w14:paraId="1A906F38" w14:textId="77777777" w:rsidR="006C365A" w:rsidRPr="00B50630" w:rsidRDefault="006C365A" w:rsidP="00B50630">
            <w:pPr>
              <w:rPr>
                <w:color w:val="00B050"/>
                <w:kern w:val="2"/>
                <w:sz w:val="20"/>
                <w:szCs w:val="20"/>
              </w:rPr>
            </w:pPr>
          </w:p>
        </w:tc>
        <w:tc>
          <w:tcPr>
            <w:tcW w:w="2551" w:type="dxa"/>
            <w:vMerge/>
          </w:tcPr>
          <w:p w14:paraId="3207826C" w14:textId="77777777" w:rsidR="006C365A" w:rsidRPr="00B50630" w:rsidRDefault="006C365A" w:rsidP="00B50630">
            <w:pPr>
              <w:rPr>
                <w:color w:val="00B050"/>
                <w:kern w:val="2"/>
                <w:sz w:val="20"/>
                <w:szCs w:val="20"/>
              </w:rPr>
            </w:pPr>
          </w:p>
        </w:tc>
        <w:tc>
          <w:tcPr>
            <w:tcW w:w="1559" w:type="dxa"/>
          </w:tcPr>
          <w:p w14:paraId="65234339" w14:textId="77777777" w:rsidR="006C365A" w:rsidRPr="00B50630" w:rsidRDefault="006C365A" w:rsidP="00B50630">
            <w:pPr>
              <w:rPr>
                <w:kern w:val="2"/>
                <w:sz w:val="20"/>
                <w:szCs w:val="20"/>
              </w:rPr>
            </w:pPr>
            <w:r w:rsidRPr="00B50630">
              <w:rPr>
                <w:kern w:val="2"/>
                <w:sz w:val="20"/>
                <w:szCs w:val="20"/>
              </w:rPr>
              <w:t>2</w:t>
            </w:r>
          </w:p>
        </w:tc>
        <w:tc>
          <w:tcPr>
            <w:tcW w:w="1560" w:type="dxa"/>
          </w:tcPr>
          <w:p w14:paraId="14D6C152" w14:textId="77777777" w:rsidR="006C365A" w:rsidRPr="00B50630" w:rsidRDefault="006C365A" w:rsidP="00B50630">
            <w:pPr>
              <w:rPr>
                <w:kern w:val="2"/>
                <w:sz w:val="20"/>
                <w:szCs w:val="20"/>
              </w:rPr>
            </w:pPr>
            <w:r w:rsidRPr="00B50630">
              <w:rPr>
                <w:kern w:val="2"/>
                <w:sz w:val="20"/>
                <w:szCs w:val="20"/>
              </w:rPr>
              <w:t>27965</w:t>
            </w:r>
          </w:p>
        </w:tc>
        <w:tc>
          <w:tcPr>
            <w:tcW w:w="1417" w:type="dxa"/>
          </w:tcPr>
          <w:p w14:paraId="0DC31194" w14:textId="77777777" w:rsidR="006C365A" w:rsidRPr="00B50630" w:rsidRDefault="006C365A" w:rsidP="00B50630">
            <w:pPr>
              <w:rPr>
                <w:kern w:val="2"/>
                <w:sz w:val="20"/>
                <w:szCs w:val="20"/>
              </w:rPr>
            </w:pPr>
            <w:r w:rsidRPr="00B50630">
              <w:rPr>
                <w:kern w:val="2"/>
                <w:sz w:val="20"/>
                <w:szCs w:val="20"/>
              </w:rPr>
              <w:t>0.6</w:t>
            </w:r>
          </w:p>
        </w:tc>
      </w:tr>
      <w:tr w:rsidR="006C365A" w:rsidRPr="00B50630" w14:paraId="32F1F5E8" w14:textId="77777777" w:rsidTr="00AE6543">
        <w:trPr>
          <w:trHeight w:val="227"/>
        </w:trPr>
        <w:tc>
          <w:tcPr>
            <w:tcW w:w="1668" w:type="dxa"/>
            <w:vMerge/>
          </w:tcPr>
          <w:p w14:paraId="233C64F3" w14:textId="77777777" w:rsidR="006C365A" w:rsidRPr="00B50630" w:rsidRDefault="006C365A" w:rsidP="00B50630">
            <w:pPr>
              <w:rPr>
                <w:color w:val="00B050"/>
                <w:kern w:val="2"/>
                <w:sz w:val="20"/>
                <w:szCs w:val="20"/>
              </w:rPr>
            </w:pPr>
          </w:p>
        </w:tc>
        <w:tc>
          <w:tcPr>
            <w:tcW w:w="2551" w:type="dxa"/>
            <w:vMerge/>
          </w:tcPr>
          <w:p w14:paraId="5EF98768" w14:textId="77777777" w:rsidR="006C365A" w:rsidRPr="00B50630" w:rsidRDefault="006C365A" w:rsidP="00B50630">
            <w:pPr>
              <w:rPr>
                <w:color w:val="00B050"/>
                <w:kern w:val="2"/>
                <w:sz w:val="20"/>
                <w:szCs w:val="20"/>
              </w:rPr>
            </w:pPr>
          </w:p>
        </w:tc>
        <w:tc>
          <w:tcPr>
            <w:tcW w:w="1559" w:type="dxa"/>
          </w:tcPr>
          <w:p w14:paraId="25CC8569" w14:textId="77777777" w:rsidR="006C365A" w:rsidRPr="00B50630" w:rsidRDefault="006C365A" w:rsidP="00B50630">
            <w:pPr>
              <w:rPr>
                <w:kern w:val="2"/>
                <w:sz w:val="20"/>
                <w:szCs w:val="20"/>
              </w:rPr>
            </w:pPr>
            <w:r w:rsidRPr="00B50630">
              <w:rPr>
                <w:kern w:val="2"/>
                <w:sz w:val="20"/>
                <w:szCs w:val="20"/>
              </w:rPr>
              <w:t>9</w:t>
            </w:r>
          </w:p>
        </w:tc>
        <w:tc>
          <w:tcPr>
            <w:tcW w:w="1560" w:type="dxa"/>
          </w:tcPr>
          <w:p w14:paraId="3226E4D0" w14:textId="77777777" w:rsidR="006C365A" w:rsidRPr="00B50630" w:rsidRDefault="006C365A" w:rsidP="00B50630">
            <w:pPr>
              <w:rPr>
                <w:kern w:val="2"/>
                <w:sz w:val="20"/>
                <w:szCs w:val="20"/>
              </w:rPr>
            </w:pPr>
            <w:r w:rsidRPr="00B50630">
              <w:rPr>
                <w:kern w:val="2"/>
                <w:sz w:val="20"/>
                <w:szCs w:val="20"/>
              </w:rPr>
              <w:t>179200</w:t>
            </w:r>
          </w:p>
        </w:tc>
        <w:tc>
          <w:tcPr>
            <w:tcW w:w="1417" w:type="dxa"/>
          </w:tcPr>
          <w:p w14:paraId="1924C6F9" w14:textId="77777777" w:rsidR="006C365A" w:rsidRPr="00B50630" w:rsidRDefault="006C365A" w:rsidP="00B50630">
            <w:pPr>
              <w:rPr>
                <w:kern w:val="2"/>
                <w:sz w:val="20"/>
                <w:szCs w:val="20"/>
              </w:rPr>
            </w:pPr>
            <w:r w:rsidRPr="00B50630">
              <w:rPr>
                <w:kern w:val="2"/>
                <w:sz w:val="20"/>
                <w:szCs w:val="20"/>
              </w:rPr>
              <w:t>3.7</w:t>
            </w:r>
          </w:p>
        </w:tc>
      </w:tr>
      <w:tr w:rsidR="006C365A" w:rsidRPr="00B50630" w14:paraId="48C30AA9" w14:textId="77777777" w:rsidTr="00AE6543">
        <w:trPr>
          <w:trHeight w:val="227"/>
        </w:trPr>
        <w:tc>
          <w:tcPr>
            <w:tcW w:w="1668" w:type="dxa"/>
            <w:vMerge/>
          </w:tcPr>
          <w:p w14:paraId="077388A5" w14:textId="77777777" w:rsidR="006C365A" w:rsidRPr="00B50630" w:rsidRDefault="006C365A" w:rsidP="00B50630">
            <w:pPr>
              <w:rPr>
                <w:color w:val="00B050"/>
                <w:kern w:val="2"/>
                <w:sz w:val="20"/>
                <w:szCs w:val="20"/>
              </w:rPr>
            </w:pPr>
          </w:p>
        </w:tc>
        <w:tc>
          <w:tcPr>
            <w:tcW w:w="2551" w:type="dxa"/>
            <w:vMerge w:val="restart"/>
          </w:tcPr>
          <w:p w14:paraId="764DE0BA" w14:textId="77777777" w:rsidR="006C365A" w:rsidRPr="00B50630" w:rsidRDefault="006C365A" w:rsidP="00B50630">
            <w:pPr>
              <w:rPr>
                <w:color w:val="00B050"/>
                <w:kern w:val="2"/>
                <w:sz w:val="20"/>
                <w:szCs w:val="20"/>
              </w:rPr>
            </w:pPr>
            <w:r w:rsidRPr="00B50630">
              <w:rPr>
                <w:kern w:val="2"/>
                <w:sz w:val="20"/>
                <w:szCs w:val="20"/>
              </w:rPr>
              <w:t>2 years</w:t>
            </w:r>
            <w:r w:rsidRPr="00B50630">
              <w:rPr>
                <w:kern w:val="2"/>
                <w:sz w:val="20"/>
                <w:szCs w:val="20"/>
                <w:vertAlign w:val="superscript"/>
              </w:rPr>
              <w:t>C</w:t>
            </w:r>
            <w:r w:rsidRPr="00B50630">
              <w:rPr>
                <w:kern w:val="2"/>
                <w:sz w:val="20"/>
                <w:szCs w:val="20"/>
              </w:rPr>
              <w:br/>
              <w:t>[carcinogenicity; data collected at 12 months</w:t>
            </w:r>
            <w:r w:rsidRPr="00B50630">
              <w:rPr>
                <w:kern w:val="2"/>
                <w:sz w:val="20"/>
                <w:szCs w:val="20"/>
              </w:rPr>
              <w:br/>
              <w:t>Study 9200-02-04]</w:t>
            </w:r>
          </w:p>
        </w:tc>
        <w:tc>
          <w:tcPr>
            <w:tcW w:w="1559" w:type="dxa"/>
          </w:tcPr>
          <w:p w14:paraId="24B34804" w14:textId="77777777" w:rsidR="006C365A" w:rsidRPr="00B50630" w:rsidRDefault="006C365A" w:rsidP="00B50630">
            <w:pPr>
              <w:rPr>
                <w:kern w:val="2"/>
                <w:sz w:val="20"/>
                <w:szCs w:val="20"/>
              </w:rPr>
            </w:pPr>
            <w:r w:rsidRPr="00B50630">
              <w:rPr>
                <w:kern w:val="2"/>
                <w:sz w:val="20"/>
                <w:szCs w:val="20"/>
              </w:rPr>
              <w:t>0.1</w:t>
            </w:r>
          </w:p>
        </w:tc>
        <w:tc>
          <w:tcPr>
            <w:tcW w:w="1560" w:type="dxa"/>
          </w:tcPr>
          <w:p w14:paraId="0CDE9274" w14:textId="77777777" w:rsidR="006C365A" w:rsidRPr="00B50630" w:rsidRDefault="006C365A" w:rsidP="00B50630">
            <w:pPr>
              <w:rPr>
                <w:kern w:val="2"/>
                <w:sz w:val="20"/>
                <w:szCs w:val="20"/>
              </w:rPr>
            </w:pPr>
            <w:r w:rsidRPr="00B50630">
              <w:rPr>
                <w:kern w:val="2"/>
                <w:sz w:val="20"/>
                <w:szCs w:val="20"/>
              </w:rPr>
              <w:t>1267</w:t>
            </w:r>
          </w:p>
        </w:tc>
        <w:tc>
          <w:tcPr>
            <w:tcW w:w="1417" w:type="dxa"/>
          </w:tcPr>
          <w:p w14:paraId="51A52D2D" w14:textId="77777777" w:rsidR="006C365A" w:rsidRPr="00B50630" w:rsidRDefault="006C365A" w:rsidP="00B50630">
            <w:pPr>
              <w:rPr>
                <w:kern w:val="2"/>
                <w:sz w:val="20"/>
                <w:szCs w:val="20"/>
              </w:rPr>
            </w:pPr>
            <w:r w:rsidRPr="00B50630">
              <w:rPr>
                <w:kern w:val="2"/>
                <w:sz w:val="20"/>
                <w:szCs w:val="20"/>
              </w:rPr>
              <w:t>0.03</w:t>
            </w:r>
          </w:p>
        </w:tc>
      </w:tr>
      <w:tr w:rsidR="006C365A" w:rsidRPr="00B50630" w14:paraId="339F1AA8" w14:textId="77777777" w:rsidTr="00AE6543">
        <w:trPr>
          <w:trHeight w:val="227"/>
        </w:trPr>
        <w:tc>
          <w:tcPr>
            <w:tcW w:w="1668" w:type="dxa"/>
            <w:vMerge/>
          </w:tcPr>
          <w:p w14:paraId="7D7CE423" w14:textId="77777777" w:rsidR="006C365A" w:rsidRPr="00B50630" w:rsidRDefault="006C365A" w:rsidP="00B50630">
            <w:pPr>
              <w:rPr>
                <w:color w:val="00B050"/>
                <w:kern w:val="2"/>
                <w:sz w:val="20"/>
                <w:szCs w:val="20"/>
              </w:rPr>
            </w:pPr>
          </w:p>
        </w:tc>
        <w:tc>
          <w:tcPr>
            <w:tcW w:w="2551" w:type="dxa"/>
            <w:vMerge/>
          </w:tcPr>
          <w:p w14:paraId="3B48FE63" w14:textId="77777777" w:rsidR="006C365A" w:rsidRPr="00B50630" w:rsidRDefault="006C365A" w:rsidP="00B50630">
            <w:pPr>
              <w:rPr>
                <w:color w:val="00B050"/>
                <w:kern w:val="2"/>
                <w:sz w:val="20"/>
                <w:szCs w:val="20"/>
              </w:rPr>
            </w:pPr>
          </w:p>
        </w:tc>
        <w:tc>
          <w:tcPr>
            <w:tcW w:w="1559" w:type="dxa"/>
          </w:tcPr>
          <w:p w14:paraId="7A53F68D" w14:textId="77777777" w:rsidR="006C365A" w:rsidRPr="00B50630" w:rsidRDefault="006C365A" w:rsidP="00B50630">
            <w:pPr>
              <w:rPr>
                <w:kern w:val="2"/>
                <w:sz w:val="20"/>
                <w:szCs w:val="20"/>
              </w:rPr>
            </w:pPr>
            <w:r w:rsidRPr="00B50630">
              <w:rPr>
                <w:kern w:val="2"/>
                <w:sz w:val="20"/>
                <w:szCs w:val="20"/>
              </w:rPr>
              <w:t>0.5</w:t>
            </w:r>
          </w:p>
        </w:tc>
        <w:tc>
          <w:tcPr>
            <w:tcW w:w="1560" w:type="dxa"/>
          </w:tcPr>
          <w:p w14:paraId="02267038" w14:textId="77777777" w:rsidR="006C365A" w:rsidRPr="00B50630" w:rsidRDefault="006C365A" w:rsidP="00B50630">
            <w:pPr>
              <w:rPr>
                <w:kern w:val="2"/>
                <w:sz w:val="20"/>
                <w:szCs w:val="20"/>
              </w:rPr>
            </w:pPr>
            <w:r w:rsidRPr="00B50630">
              <w:rPr>
                <w:kern w:val="2"/>
                <w:sz w:val="20"/>
                <w:szCs w:val="20"/>
              </w:rPr>
              <w:t>12362</w:t>
            </w:r>
          </w:p>
        </w:tc>
        <w:tc>
          <w:tcPr>
            <w:tcW w:w="1417" w:type="dxa"/>
          </w:tcPr>
          <w:p w14:paraId="17ABC487" w14:textId="77777777" w:rsidR="006C365A" w:rsidRPr="00B50630" w:rsidRDefault="006C365A" w:rsidP="00B50630">
            <w:pPr>
              <w:rPr>
                <w:kern w:val="2"/>
                <w:sz w:val="20"/>
                <w:szCs w:val="20"/>
              </w:rPr>
            </w:pPr>
            <w:r w:rsidRPr="00B50630">
              <w:rPr>
                <w:kern w:val="2"/>
                <w:sz w:val="20"/>
                <w:szCs w:val="20"/>
              </w:rPr>
              <w:t>0.3</w:t>
            </w:r>
          </w:p>
        </w:tc>
      </w:tr>
      <w:tr w:rsidR="006C365A" w:rsidRPr="00B50630" w14:paraId="36349D63" w14:textId="77777777" w:rsidTr="00AE6543">
        <w:trPr>
          <w:trHeight w:val="227"/>
        </w:trPr>
        <w:tc>
          <w:tcPr>
            <w:tcW w:w="1668" w:type="dxa"/>
            <w:vMerge/>
          </w:tcPr>
          <w:p w14:paraId="79CE5E91" w14:textId="77777777" w:rsidR="006C365A" w:rsidRPr="00B50630" w:rsidRDefault="006C365A" w:rsidP="00B50630">
            <w:pPr>
              <w:rPr>
                <w:color w:val="00B050"/>
                <w:kern w:val="2"/>
                <w:sz w:val="20"/>
                <w:szCs w:val="20"/>
              </w:rPr>
            </w:pPr>
          </w:p>
        </w:tc>
        <w:tc>
          <w:tcPr>
            <w:tcW w:w="2551" w:type="dxa"/>
            <w:vMerge/>
          </w:tcPr>
          <w:p w14:paraId="7D0EE213" w14:textId="77777777" w:rsidR="006C365A" w:rsidRPr="00B50630" w:rsidRDefault="006C365A" w:rsidP="00B50630">
            <w:pPr>
              <w:rPr>
                <w:color w:val="00B050"/>
                <w:kern w:val="2"/>
                <w:sz w:val="20"/>
                <w:szCs w:val="20"/>
              </w:rPr>
            </w:pPr>
          </w:p>
        </w:tc>
        <w:tc>
          <w:tcPr>
            <w:tcW w:w="1559" w:type="dxa"/>
          </w:tcPr>
          <w:p w14:paraId="3F03E76B" w14:textId="77777777" w:rsidR="006C365A" w:rsidRPr="00B50630" w:rsidRDefault="006C365A" w:rsidP="00B50630">
            <w:pPr>
              <w:rPr>
                <w:kern w:val="2"/>
                <w:sz w:val="20"/>
                <w:szCs w:val="20"/>
              </w:rPr>
            </w:pPr>
            <w:r w:rsidRPr="00B50630">
              <w:rPr>
                <w:kern w:val="2"/>
                <w:sz w:val="20"/>
                <w:szCs w:val="20"/>
              </w:rPr>
              <w:t>1.0</w:t>
            </w:r>
          </w:p>
        </w:tc>
        <w:tc>
          <w:tcPr>
            <w:tcW w:w="1560" w:type="dxa"/>
          </w:tcPr>
          <w:p w14:paraId="13D1B8BC" w14:textId="77777777" w:rsidR="006C365A" w:rsidRPr="00B50630" w:rsidRDefault="006C365A" w:rsidP="00B50630">
            <w:pPr>
              <w:rPr>
                <w:kern w:val="2"/>
                <w:sz w:val="20"/>
                <w:szCs w:val="20"/>
              </w:rPr>
            </w:pPr>
            <w:r w:rsidRPr="00B50630">
              <w:rPr>
                <w:kern w:val="2"/>
                <w:sz w:val="20"/>
                <w:szCs w:val="20"/>
              </w:rPr>
              <w:t>33887</w:t>
            </w:r>
          </w:p>
        </w:tc>
        <w:tc>
          <w:tcPr>
            <w:tcW w:w="1417" w:type="dxa"/>
          </w:tcPr>
          <w:p w14:paraId="6FA8B4FF" w14:textId="77777777" w:rsidR="006C365A" w:rsidRPr="00B50630" w:rsidRDefault="006C365A" w:rsidP="00B50630">
            <w:pPr>
              <w:rPr>
                <w:kern w:val="2"/>
                <w:sz w:val="20"/>
                <w:szCs w:val="20"/>
              </w:rPr>
            </w:pPr>
            <w:r w:rsidRPr="00B50630">
              <w:rPr>
                <w:kern w:val="2"/>
                <w:sz w:val="20"/>
                <w:szCs w:val="20"/>
              </w:rPr>
              <w:t>0.7</w:t>
            </w:r>
          </w:p>
        </w:tc>
      </w:tr>
      <w:tr w:rsidR="006C365A" w:rsidRPr="00B50630" w14:paraId="1B9F9F67" w14:textId="77777777" w:rsidTr="00AE6543">
        <w:trPr>
          <w:trHeight w:val="227"/>
        </w:trPr>
        <w:tc>
          <w:tcPr>
            <w:tcW w:w="1668" w:type="dxa"/>
            <w:vMerge/>
          </w:tcPr>
          <w:p w14:paraId="1B86B775" w14:textId="77777777" w:rsidR="006C365A" w:rsidRPr="00B50630" w:rsidRDefault="006C365A" w:rsidP="00B50630">
            <w:pPr>
              <w:rPr>
                <w:color w:val="00B050"/>
                <w:kern w:val="2"/>
                <w:sz w:val="20"/>
                <w:szCs w:val="20"/>
              </w:rPr>
            </w:pPr>
          </w:p>
        </w:tc>
        <w:tc>
          <w:tcPr>
            <w:tcW w:w="2551" w:type="dxa"/>
            <w:vMerge/>
          </w:tcPr>
          <w:p w14:paraId="1A38CAD7" w14:textId="77777777" w:rsidR="006C365A" w:rsidRPr="00B50630" w:rsidRDefault="006C365A" w:rsidP="00B50630">
            <w:pPr>
              <w:rPr>
                <w:color w:val="00B050"/>
                <w:kern w:val="2"/>
                <w:sz w:val="20"/>
                <w:szCs w:val="20"/>
              </w:rPr>
            </w:pPr>
          </w:p>
        </w:tc>
        <w:tc>
          <w:tcPr>
            <w:tcW w:w="1559" w:type="dxa"/>
          </w:tcPr>
          <w:p w14:paraId="0FCA4A96" w14:textId="77777777" w:rsidR="006C365A" w:rsidRPr="00B50630" w:rsidRDefault="006C365A" w:rsidP="00B50630">
            <w:pPr>
              <w:rPr>
                <w:kern w:val="2"/>
                <w:sz w:val="20"/>
                <w:szCs w:val="20"/>
              </w:rPr>
            </w:pPr>
            <w:r w:rsidRPr="00B50630">
              <w:rPr>
                <w:kern w:val="2"/>
                <w:sz w:val="20"/>
                <w:szCs w:val="20"/>
              </w:rPr>
              <w:t>2.0</w:t>
            </w:r>
          </w:p>
        </w:tc>
        <w:tc>
          <w:tcPr>
            <w:tcW w:w="1560" w:type="dxa"/>
          </w:tcPr>
          <w:p w14:paraId="5E9C23F9" w14:textId="77777777" w:rsidR="006C365A" w:rsidRPr="00B50630" w:rsidRDefault="006C365A" w:rsidP="00B50630">
            <w:pPr>
              <w:rPr>
                <w:kern w:val="2"/>
                <w:sz w:val="20"/>
                <w:szCs w:val="20"/>
              </w:rPr>
            </w:pPr>
            <w:r w:rsidRPr="00B50630">
              <w:rPr>
                <w:kern w:val="2"/>
                <w:sz w:val="20"/>
                <w:szCs w:val="20"/>
              </w:rPr>
              <w:t>74778</w:t>
            </w:r>
          </w:p>
        </w:tc>
        <w:tc>
          <w:tcPr>
            <w:tcW w:w="1417" w:type="dxa"/>
          </w:tcPr>
          <w:p w14:paraId="271CEC3D" w14:textId="77777777" w:rsidR="006C365A" w:rsidRPr="00B50630" w:rsidRDefault="006C365A" w:rsidP="00B50630">
            <w:pPr>
              <w:rPr>
                <w:kern w:val="2"/>
                <w:sz w:val="20"/>
                <w:szCs w:val="20"/>
              </w:rPr>
            </w:pPr>
            <w:r w:rsidRPr="00B50630">
              <w:rPr>
                <w:kern w:val="2"/>
                <w:sz w:val="20"/>
                <w:szCs w:val="20"/>
              </w:rPr>
              <w:t>1.6</w:t>
            </w:r>
          </w:p>
        </w:tc>
      </w:tr>
      <w:tr w:rsidR="006C365A" w:rsidRPr="00B50630" w14:paraId="7553E068" w14:textId="77777777" w:rsidTr="00AE6543">
        <w:trPr>
          <w:trHeight w:val="227"/>
        </w:trPr>
        <w:tc>
          <w:tcPr>
            <w:tcW w:w="1668" w:type="dxa"/>
            <w:vMerge w:val="restart"/>
          </w:tcPr>
          <w:p w14:paraId="55B2F195" w14:textId="77777777" w:rsidR="006C365A" w:rsidRPr="00B50630" w:rsidRDefault="006C365A" w:rsidP="00B50630">
            <w:pPr>
              <w:rPr>
                <w:b/>
                <w:kern w:val="2"/>
                <w:sz w:val="20"/>
                <w:szCs w:val="20"/>
              </w:rPr>
            </w:pPr>
            <w:r w:rsidRPr="00B50630">
              <w:rPr>
                <w:b/>
                <w:kern w:val="2"/>
                <w:sz w:val="20"/>
                <w:szCs w:val="20"/>
              </w:rPr>
              <w:t>Dog</w:t>
            </w:r>
          </w:p>
          <w:p w14:paraId="4CEABFB0" w14:textId="77777777" w:rsidR="006C365A" w:rsidRPr="00B50630" w:rsidRDefault="006C365A" w:rsidP="00B50630">
            <w:pPr>
              <w:rPr>
                <w:b/>
                <w:kern w:val="2"/>
                <w:sz w:val="20"/>
                <w:szCs w:val="20"/>
              </w:rPr>
            </w:pPr>
            <w:r w:rsidRPr="00B50630">
              <w:rPr>
                <w:b/>
                <w:kern w:val="2"/>
                <w:sz w:val="20"/>
                <w:szCs w:val="20"/>
              </w:rPr>
              <w:t>(Beagle)</w:t>
            </w:r>
          </w:p>
        </w:tc>
        <w:tc>
          <w:tcPr>
            <w:tcW w:w="2551" w:type="dxa"/>
            <w:vMerge w:val="restart"/>
          </w:tcPr>
          <w:p w14:paraId="64C8A59E" w14:textId="77777777" w:rsidR="006C365A" w:rsidRPr="00B50630" w:rsidRDefault="006C365A" w:rsidP="00B50630">
            <w:pPr>
              <w:rPr>
                <w:kern w:val="2"/>
                <w:sz w:val="20"/>
                <w:szCs w:val="20"/>
              </w:rPr>
            </w:pPr>
            <w:r w:rsidRPr="00B50630">
              <w:rPr>
                <w:kern w:val="2"/>
                <w:sz w:val="20"/>
                <w:szCs w:val="20"/>
              </w:rPr>
              <w:t>13 weeks</w:t>
            </w:r>
            <w:r w:rsidRPr="00B50630">
              <w:rPr>
                <w:kern w:val="2"/>
                <w:sz w:val="20"/>
                <w:szCs w:val="20"/>
                <w:vertAlign w:val="superscript"/>
              </w:rPr>
              <w:t>D</w:t>
            </w:r>
          </w:p>
          <w:p w14:paraId="008680B5" w14:textId="77777777" w:rsidR="006C365A" w:rsidRPr="00B50630" w:rsidRDefault="006C365A" w:rsidP="00B50630">
            <w:pPr>
              <w:rPr>
                <w:kern w:val="2"/>
                <w:sz w:val="20"/>
                <w:szCs w:val="20"/>
              </w:rPr>
            </w:pPr>
            <w:r w:rsidRPr="00B50630">
              <w:rPr>
                <w:kern w:val="2"/>
                <w:sz w:val="20"/>
                <w:szCs w:val="20"/>
              </w:rPr>
              <w:t>[Study 097]</w:t>
            </w:r>
          </w:p>
        </w:tc>
        <w:tc>
          <w:tcPr>
            <w:tcW w:w="1559" w:type="dxa"/>
          </w:tcPr>
          <w:p w14:paraId="43045F38" w14:textId="77777777" w:rsidR="006C365A" w:rsidRPr="00B50630" w:rsidRDefault="006C365A" w:rsidP="00B50630">
            <w:pPr>
              <w:rPr>
                <w:kern w:val="2"/>
                <w:sz w:val="20"/>
                <w:szCs w:val="20"/>
              </w:rPr>
            </w:pPr>
            <w:r w:rsidRPr="00B50630">
              <w:rPr>
                <w:kern w:val="2"/>
                <w:sz w:val="20"/>
                <w:szCs w:val="20"/>
              </w:rPr>
              <w:t>0.1</w:t>
            </w:r>
          </w:p>
        </w:tc>
        <w:tc>
          <w:tcPr>
            <w:tcW w:w="1560" w:type="dxa"/>
          </w:tcPr>
          <w:p w14:paraId="19C5BB6B" w14:textId="77777777" w:rsidR="006C365A" w:rsidRPr="00B50630" w:rsidRDefault="006C365A" w:rsidP="00B50630">
            <w:pPr>
              <w:rPr>
                <w:kern w:val="2"/>
                <w:sz w:val="20"/>
                <w:szCs w:val="20"/>
              </w:rPr>
            </w:pPr>
            <w:r w:rsidRPr="00B50630">
              <w:rPr>
                <w:kern w:val="2"/>
                <w:sz w:val="20"/>
                <w:szCs w:val="20"/>
              </w:rPr>
              <w:t>6839</w:t>
            </w:r>
          </w:p>
        </w:tc>
        <w:tc>
          <w:tcPr>
            <w:tcW w:w="1417" w:type="dxa"/>
          </w:tcPr>
          <w:p w14:paraId="51B3AF2B" w14:textId="77777777" w:rsidR="006C365A" w:rsidRPr="00B50630" w:rsidRDefault="006C365A" w:rsidP="00B50630">
            <w:pPr>
              <w:rPr>
                <w:kern w:val="2"/>
                <w:sz w:val="20"/>
                <w:szCs w:val="20"/>
              </w:rPr>
            </w:pPr>
            <w:r w:rsidRPr="00B50630">
              <w:rPr>
                <w:kern w:val="2"/>
                <w:sz w:val="20"/>
                <w:szCs w:val="20"/>
              </w:rPr>
              <w:t>0.1</w:t>
            </w:r>
          </w:p>
        </w:tc>
      </w:tr>
      <w:tr w:rsidR="006C365A" w:rsidRPr="00B50630" w14:paraId="612D25C8" w14:textId="77777777" w:rsidTr="00AE6543">
        <w:trPr>
          <w:trHeight w:val="227"/>
        </w:trPr>
        <w:tc>
          <w:tcPr>
            <w:tcW w:w="1668" w:type="dxa"/>
            <w:vMerge/>
          </w:tcPr>
          <w:p w14:paraId="2DD4E32E" w14:textId="77777777" w:rsidR="006C365A" w:rsidRPr="00B50630" w:rsidRDefault="006C365A" w:rsidP="00B50630">
            <w:pPr>
              <w:rPr>
                <w:b/>
                <w:kern w:val="2"/>
                <w:sz w:val="20"/>
                <w:szCs w:val="20"/>
              </w:rPr>
            </w:pPr>
          </w:p>
        </w:tc>
        <w:tc>
          <w:tcPr>
            <w:tcW w:w="2551" w:type="dxa"/>
            <w:vMerge/>
          </w:tcPr>
          <w:p w14:paraId="5B1C16AE" w14:textId="77777777" w:rsidR="006C365A" w:rsidRPr="00B50630" w:rsidRDefault="006C365A" w:rsidP="00B50630">
            <w:pPr>
              <w:rPr>
                <w:kern w:val="2"/>
                <w:sz w:val="20"/>
                <w:szCs w:val="20"/>
              </w:rPr>
            </w:pPr>
          </w:p>
        </w:tc>
        <w:tc>
          <w:tcPr>
            <w:tcW w:w="1559" w:type="dxa"/>
          </w:tcPr>
          <w:p w14:paraId="5F9EE92D" w14:textId="77777777" w:rsidR="006C365A" w:rsidRPr="00B50630" w:rsidRDefault="006C365A" w:rsidP="00B50630">
            <w:pPr>
              <w:rPr>
                <w:kern w:val="2"/>
                <w:sz w:val="20"/>
                <w:szCs w:val="20"/>
              </w:rPr>
            </w:pPr>
            <w:r w:rsidRPr="00B50630">
              <w:rPr>
                <w:kern w:val="2"/>
                <w:sz w:val="20"/>
                <w:szCs w:val="20"/>
              </w:rPr>
              <w:t>2.0</w:t>
            </w:r>
          </w:p>
        </w:tc>
        <w:tc>
          <w:tcPr>
            <w:tcW w:w="1560" w:type="dxa"/>
          </w:tcPr>
          <w:p w14:paraId="6E6446A0" w14:textId="77777777" w:rsidR="006C365A" w:rsidRPr="00B50630" w:rsidRDefault="006C365A" w:rsidP="00B50630">
            <w:pPr>
              <w:rPr>
                <w:kern w:val="2"/>
                <w:sz w:val="20"/>
                <w:szCs w:val="20"/>
              </w:rPr>
            </w:pPr>
            <w:r w:rsidRPr="00B50630">
              <w:rPr>
                <w:kern w:val="2"/>
                <w:sz w:val="20"/>
                <w:szCs w:val="20"/>
              </w:rPr>
              <w:t>208600</w:t>
            </w:r>
          </w:p>
        </w:tc>
        <w:tc>
          <w:tcPr>
            <w:tcW w:w="1417" w:type="dxa"/>
          </w:tcPr>
          <w:p w14:paraId="17F65BD1" w14:textId="77777777" w:rsidR="006C365A" w:rsidRPr="00B50630" w:rsidRDefault="006C365A" w:rsidP="00B50630">
            <w:pPr>
              <w:rPr>
                <w:kern w:val="2"/>
                <w:sz w:val="20"/>
                <w:szCs w:val="20"/>
              </w:rPr>
            </w:pPr>
            <w:r w:rsidRPr="00B50630">
              <w:rPr>
                <w:kern w:val="2"/>
                <w:sz w:val="20"/>
                <w:szCs w:val="20"/>
              </w:rPr>
              <w:t>4.4</w:t>
            </w:r>
          </w:p>
        </w:tc>
      </w:tr>
      <w:tr w:rsidR="006C365A" w:rsidRPr="00B50630" w14:paraId="021EDA24" w14:textId="77777777" w:rsidTr="00AE6543">
        <w:trPr>
          <w:trHeight w:val="227"/>
        </w:trPr>
        <w:tc>
          <w:tcPr>
            <w:tcW w:w="1668" w:type="dxa"/>
            <w:vMerge/>
          </w:tcPr>
          <w:p w14:paraId="1C0F6717" w14:textId="77777777" w:rsidR="006C365A" w:rsidRPr="00B50630" w:rsidRDefault="006C365A" w:rsidP="00B50630">
            <w:pPr>
              <w:rPr>
                <w:b/>
                <w:kern w:val="2"/>
                <w:sz w:val="20"/>
                <w:szCs w:val="20"/>
              </w:rPr>
            </w:pPr>
          </w:p>
        </w:tc>
        <w:tc>
          <w:tcPr>
            <w:tcW w:w="2551" w:type="dxa"/>
            <w:vMerge/>
          </w:tcPr>
          <w:p w14:paraId="15F29362" w14:textId="77777777" w:rsidR="006C365A" w:rsidRPr="00B50630" w:rsidRDefault="006C365A" w:rsidP="00B50630">
            <w:pPr>
              <w:rPr>
                <w:kern w:val="2"/>
                <w:sz w:val="20"/>
                <w:szCs w:val="20"/>
              </w:rPr>
            </w:pPr>
          </w:p>
        </w:tc>
        <w:tc>
          <w:tcPr>
            <w:tcW w:w="1559" w:type="dxa"/>
          </w:tcPr>
          <w:p w14:paraId="160CC8A8" w14:textId="77777777" w:rsidR="006C365A" w:rsidRPr="00B50630" w:rsidRDefault="006C365A" w:rsidP="00B50630">
            <w:pPr>
              <w:rPr>
                <w:kern w:val="2"/>
                <w:sz w:val="20"/>
                <w:szCs w:val="20"/>
              </w:rPr>
            </w:pPr>
            <w:r w:rsidRPr="00B50630">
              <w:rPr>
                <w:kern w:val="2"/>
                <w:sz w:val="20"/>
                <w:szCs w:val="20"/>
              </w:rPr>
              <w:t>6.0</w:t>
            </w:r>
          </w:p>
        </w:tc>
        <w:tc>
          <w:tcPr>
            <w:tcW w:w="1560" w:type="dxa"/>
          </w:tcPr>
          <w:p w14:paraId="037A9566" w14:textId="77777777" w:rsidR="006C365A" w:rsidRPr="00B50630" w:rsidRDefault="006C365A" w:rsidP="00B50630">
            <w:pPr>
              <w:rPr>
                <w:kern w:val="2"/>
                <w:sz w:val="20"/>
                <w:szCs w:val="20"/>
              </w:rPr>
            </w:pPr>
            <w:r w:rsidRPr="00B50630">
              <w:rPr>
                <w:kern w:val="2"/>
                <w:sz w:val="20"/>
                <w:szCs w:val="20"/>
              </w:rPr>
              <w:t>418950</w:t>
            </w:r>
          </w:p>
        </w:tc>
        <w:tc>
          <w:tcPr>
            <w:tcW w:w="1417" w:type="dxa"/>
          </w:tcPr>
          <w:p w14:paraId="10C21EA8" w14:textId="77777777" w:rsidR="006C365A" w:rsidRPr="00B50630" w:rsidRDefault="006C365A" w:rsidP="00B50630">
            <w:pPr>
              <w:rPr>
                <w:kern w:val="2"/>
                <w:sz w:val="20"/>
                <w:szCs w:val="20"/>
              </w:rPr>
            </w:pPr>
            <w:r w:rsidRPr="00B50630">
              <w:rPr>
                <w:kern w:val="2"/>
                <w:sz w:val="20"/>
                <w:szCs w:val="20"/>
              </w:rPr>
              <w:t>8.7</w:t>
            </w:r>
          </w:p>
        </w:tc>
      </w:tr>
      <w:tr w:rsidR="006C365A" w:rsidRPr="00B50630" w14:paraId="5F5DA06B" w14:textId="77777777" w:rsidTr="00AE6543">
        <w:trPr>
          <w:trHeight w:val="227"/>
        </w:trPr>
        <w:tc>
          <w:tcPr>
            <w:tcW w:w="1668" w:type="dxa"/>
            <w:vMerge/>
          </w:tcPr>
          <w:p w14:paraId="74A35903" w14:textId="77777777" w:rsidR="006C365A" w:rsidRPr="00B50630" w:rsidRDefault="006C365A" w:rsidP="00B50630">
            <w:pPr>
              <w:rPr>
                <w:color w:val="00B050"/>
                <w:kern w:val="2"/>
                <w:sz w:val="20"/>
                <w:szCs w:val="20"/>
              </w:rPr>
            </w:pPr>
          </w:p>
        </w:tc>
        <w:tc>
          <w:tcPr>
            <w:tcW w:w="2551" w:type="dxa"/>
            <w:vMerge w:val="restart"/>
          </w:tcPr>
          <w:p w14:paraId="399AC24D" w14:textId="77777777" w:rsidR="006C365A" w:rsidRPr="00B50630" w:rsidRDefault="006C365A" w:rsidP="00B50630">
            <w:pPr>
              <w:rPr>
                <w:kern w:val="2"/>
                <w:sz w:val="20"/>
                <w:szCs w:val="20"/>
              </w:rPr>
            </w:pPr>
            <w:r w:rsidRPr="00B50630">
              <w:rPr>
                <w:kern w:val="2"/>
                <w:sz w:val="20"/>
                <w:szCs w:val="20"/>
              </w:rPr>
              <w:t>52 weeks</w:t>
            </w:r>
            <w:r w:rsidRPr="00B50630">
              <w:rPr>
                <w:kern w:val="2"/>
                <w:sz w:val="20"/>
                <w:szCs w:val="20"/>
                <w:vertAlign w:val="superscript"/>
              </w:rPr>
              <w:t>D</w:t>
            </w:r>
          </w:p>
          <w:p w14:paraId="011CD845" w14:textId="77777777" w:rsidR="006C365A" w:rsidRPr="00B50630" w:rsidRDefault="006C365A" w:rsidP="00B50630">
            <w:pPr>
              <w:rPr>
                <w:color w:val="00B050"/>
                <w:kern w:val="2"/>
                <w:sz w:val="20"/>
                <w:szCs w:val="20"/>
              </w:rPr>
            </w:pPr>
            <w:r w:rsidRPr="00B50630">
              <w:rPr>
                <w:kern w:val="2"/>
                <w:sz w:val="20"/>
                <w:szCs w:val="20"/>
              </w:rPr>
              <w:t>[Study 219]</w:t>
            </w:r>
          </w:p>
        </w:tc>
        <w:tc>
          <w:tcPr>
            <w:tcW w:w="1559" w:type="dxa"/>
          </w:tcPr>
          <w:p w14:paraId="4AA18FCE" w14:textId="77777777" w:rsidR="006C365A" w:rsidRPr="00B50630" w:rsidRDefault="006C365A" w:rsidP="00B50630">
            <w:pPr>
              <w:rPr>
                <w:kern w:val="2"/>
                <w:sz w:val="20"/>
                <w:szCs w:val="20"/>
              </w:rPr>
            </w:pPr>
            <w:r w:rsidRPr="00B50630">
              <w:rPr>
                <w:kern w:val="2"/>
                <w:sz w:val="20"/>
                <w:szCs w:val="20"/>
              </w:rPr>
              <w:t>0.1</w:t>
            </w:r>
          </w:p>
        </w:tc>
        <w:tc>
          <w:tcPr>
            <w:tcW w:w="1560" w:type="dxa"/>
          </w:tcPr>
          <w:p w14:paraId="3316A948" w14:textId="77777777" w:rsidR="006C365A" w:rsidRPr="00B50630" w:rsidRDefault="006C365A" w:rsidP="00B50630">
            <w:pPr>
              <w:rPr>
                <w:kern w:val="2"/>
                <w:sz w:val="20"/>
                <w:szCs w:val="20"/>
              </w:rPr>
            </w:pPr>
            <w:r w:rsidRPr="00B50630">
              <w:rPr>
                <w:kern w:val="2"/>
                <w:sz w:val="20"/>
                <w:szCs w:val="20"/>
              </w:rPr>
              <w:t>6839</w:t>
            </w:r>
          </w:p>
        </w:tc>
        <w:tc>
          <w:tcPr>
            <w:tcW w:w="1417" w:type="dxa"/>
          </w:tcPr>
          <w:p w14:paraId="0768ED20" w14:textId="77777777" w:rsidR="006C365A" w:rsidRPr="00B50630" w:rsidRDefault="006C365A" w:rsidP="00B50630">
            <w:pPr>
              <w:rPr>
                <w:kern w:val="2"/>
                <w:sz w:val="20"/>
                <w:szCs w:val="20"/>
              </w:rPr>
            </w:pPr>
            <w:r w:rsidRPr="00B50630">
              <w:rPr>
                <w:kern w:val="2"/>
                <w:sz w:val="20"/>
                <w:szCs w:val="20"/>
              </w:rPr>
              <w:t>0.1</w:t>
            </w:r>
          </w:p>
        </w:tc>
      </w:tr>
      <w:tr w:rsidR="006C365A" w:rsidRPr="00B50630" w14:paraId="230D53EE" w14:textId="77777777" w:rsidTr="00AE6543">
        <w:trPr>
          <w:trHeight w:val="227"/>
        </w:trPr>
        <w:tc>
          <w:tcPr>
            <w:tcW w:w="1668" w:type="dxa"/>
            <w:vMerge/>
          </w:tcPr>
          <w:p w14:paraId="25E000C4" w14:textId="77777777" w:rsidR="006C365A" w:rsidRPr="00B50630" w:rsidRDefault="006C365A" w:rsidP="00B50630">
            <w:pPr>
              <w:rPr>
                <w:kern w:val="2"/>
                <w:sz w:val="20"/>
                <w:szCs w:val="20"/>
              </w:rPr>
            </w:pPr>
          </w:p>
        </w:tc>
        <w:tc>
          <w:tcPr>
            <w:tcW w:w="2551" w:type="dxa"/>
            <w:vMerge/>
          </w:tcPr>
          <w:p w14:paraId="1D8A1527" w14:textId="77777777" w:rsidR="006C365A" w:rsidRPr="00B50630" w:rsidRDefault="006C365A" w:rsidP="00B50630">
            <w:pPr>
              <w:rPr>
                <w:color w:val="00B050"/>
                <w:kern w:val="2"/>
                <w:sz w:val="20"/>
                <w:szCs w:val="20"/>
              </w:rPr>
            </w:pPr>
          </w:p>
        </w:tc>
        <w:tc>
          <w:tcPr>
            <w:tcW w:w="1559" w:type="dxa"/>
          </w:tcPr>
          <w:p w14:paraId="555A4A9D" w14:textId="77777777" w:rsidR="006C365A" w:rsidRPr="00B50630" w:rsidRDefault="006C365A" w:rsidP="00B50630">
            <w:pPr>
              <w:rPr>
                <w:kern w:val="2"/>
                <w:sz w:val="20"/>
                <w:szCs w:val="20"/>
              </w:rPr>
            </w:pPr>
            <w:r w:rsidRPr="00B50630">
              <w:rPr>
                <w:kern w:val="2"/>
                <w:sz w:val="20"/>
                <w:szCs w:val="20"/>
              </w:rPr>
              <w:t>1</w:t>
            </w:r>
          </w:p>
        </w:tc>
        <w:tc>
          <w:tcPr>
            <w:tcW w:w="1560" w:type="dxa"/>
          </w:tcPr>
          <w:p w14:paraId="03ED53E3" w14:textId="77777777" w:rsidR="006C365A" w:rsidRPr="00B50630" w:rsidRDefault="006C365A" w:rsidP="00B50630">
            <w:pPr>
              <w:rPr>
                <w:kern w:val="2"/>
                <w:sz w:val="20"/>
                <w:szCs w:val="20"/>
              </w:rPr>
            </w:pPr>
            <w:r w:rsidRPr="00B50630">
              <w:rPr>
                <w:kern w:val="2"/>
                <w:sz w:val="20"/>
                <w:szCs w:val="20"/>
              </w:rPr>
              <w:t>104300</w:t>
            </w:r>
          </w:p>
        </w:tc>
        <w:tc>
          <w:tcPr>
            <w:tcW w:w="1417" w:type="dxa"/>
          </w:tcPr>
          <w:p w14:paraId="42B7DFB1" w14:textId="77777777" w:rsidR="006C365A" w:rsidRPr="00B50630" w:rsidRDefault="006C365A" w:rsidP="00B50630">
            <w:pPr>
              <w:rPr>
                <w:kern w:val="2"/>
                <w:sz w:val="20"/>
                <w:szCs w:val="20"/>
              </w:rPr>
            </w:pPr>
            <w:r w:rsidRPr="00B50630">
              <w:rPr>
                <w:kern w:val="2"/>
                <w:sz w:val="20"/>
                <w:szCs w:val="20"/>
              </w:rPr>
              <w:t>2.2</w:t>
            </w:r>
          </w:p>
        </w:tc>
      </w:tr>
      <w:tr w:rsidR="006C365A" w:rsidRPr="00B50630" w14:paraId="7F35014B" w14:textId="77777777" w:rsidTr="00AE6543">
        <w:trPr>
          <w:trHeight w:val="227"/>
        </w:trPr>
        <w:tc>
          <w:tcPr>
            <w:tcW w:w="1668" w:type="dxa"/>
            <w:vMerge/>
          </w:tcPr>
          <w:p w14:paraId="5159A801" w14:textId="77777777" w:rsidR="006C365A" w:rsidRPr="00B50630" w:rsidRDefault="006C365A" w:rsidP="00B50630">
            <w:pPr>
              <w:rPr>
                <w:kern w:val="2"/>
                <w:sz w:val="20"/>
                <w:szCs w:val="20"/>
              </w:rPr>
            </w:pPr>
          </w:p>
        </w:tc>
        <w:tc>
          <w:tcPr>
            <w:tcW w:w="2551" w:type="dxa"/>
            <w:vMerge/>
          </w:tcPr>
          <w:p w14:paraId="778F0055" w14:textId="77777777" w:rsidR="006C365A" w:rsidRPr="00B50630" w:rsidRDefault="006C365A" w:rsidP="00B50630">
            <w:pPr>
              <w:rPr>
                <w:color w:val="00B050"/>
                <w:kern w:val="2"/>
                <w:sz w:val="20"/>
                <w:szCs w:val="20"/>
              </w:rPr>
            </w:pPr>
          </w:p>
        </w:tc>
        <w:tc>
          <w:tcPr>
            <w:tcW w:w="1559" w:type="dxa"/>
          </w:tcPr>
          <w:p w14:paraId="440CB224" w14:textId="77777777" w:rsidR="006C365A" w:rsidRPr="00B50630" w:rsidRDefault="006C365A" w:rsidP="00B50630">
            <w:pPr>
              <w:rPr>
                <w:kern w:val="2"/>
                <w:sz w:val="20"/>
                <w:szCs w:val="20"/>
              </w:rPr>
            </w:pPr>
            <w:r w:rsidRPr="00B50630">
              <w:rPr>
                <w:kern w:val="2"/>
                <w:sz w:val="20"/>
                <w:szCs w:val="20"/>
              </w:rPr>
              <w:t>4</w:t>
            </w:r>
          </w:p>
        </w:tc>
        <w:tc>
          <w:tcPr>
            <w:tcW w:w="1560" w:type="dxa"/>
          </w:tcPr>
          <w:p w14:paraId="361AF342" w14:textId="77777777" w:rsidR="006C365A" w:rsidRPr="00B50630" w:rsidRDefault="006C365A" w:rsidP="00B50630">
            <w:pPr>
              <w:rPr>
                <w:kern w:val="2"/>
                <w:sz w:val="20"/>
                <w:szCs w:val="20"/>
              </w:rPr>
            </w:pPr>
            <w:r w:rsidRPr="00B50630">
              <w:rPr>
                <w:kern w:val="2"/>
                <w:sz w:val="20"/>
                <w:szCs w:val="20"/>
              </w:rPr>
              <w:t>279300</w:t>
            </w:r>
          </w:p>
        </w:tc>
        <w:tc>
          <w:tcPr>
            <w:tcW w:w="1417" w:type="dxa"/>
          </w:tcPr>
          <w:p w14:paraId="42F2FF32" w14:textId="77777777" w:rsidR="006C365A" w:rsidRPr="00B50630" w:rsidRDefault="006C365A" w:rsidP="00B50630">
            <w:pPr>
              <w:rPr>
                <w:kern w:val="2"/>
                <w:sz w:val="20"/>
                <w:szCs w:val="20"/>
              </w:rPr>
            </w:pPr>
            <w:r w:rsidRPr="00B50630">
              <w:rPr>
                <w:kern w:val="2"/>
                <w:sz w:val="20"/>
                <w:szCs w:val="20"/>
              </w:rPr>
              <w:t>5.8</w:t>
            </w:r>
          </w:p>
        </w:tc>
      </w:tr>
      <w:tr w:rsidR="006C365A" w:rsidRPr="00B50630" w14:paraId="4786170E" w14:textId="77777777" w:rsidTr="00AE6543">
        <w:trPr>
          <w:trHeight w:val="227"/>
        </w:trPr>
        <w:tc>
          <w:tcPr>
            <w:tcW w:w="1668" w:type="dxa"/>
          </w:tcPr>
          <w:p w14:paraId="2F7F9C2C" w14:textId="77777777" w:rsidR="006C365A" w:rsidRPr="00B50630" w:rsidRDefault="006C365A" w:rsidP="00B50630">
            <w:pPr>
              <w:rPr>
                <w:kern w:val="2"/>
                <w:sz w:val="20"/>
                <w:szCs w:val="20"/>
              </w:rPr>
            </w:pPr>
            <w:r w:rsidRPr="00B50630">
              <w:rPr>
                <w:b/>
                <w:kern w:val="2"/>
                <w:sz w:val="20"/>
                <w:szCs w:val="20"/>
              </w:rPr>
              <w:t>Human</w:t>
            </w:r>
            <w:r w:rsidRPr="00B50630">
              <w:rPr>
                <w:kern w:val="2"/>
                <w:sz w:val="20"/>
                <w:szCs w:val="20"/>
              </w:rPr>
              <w:br/>
              <w:t>(healthy volunteers)</w:t>
            </w:r>
          </w:p>
        </w:tc>
        <w:tc>
          <w:tcPr>
            <w:tcW w:w="2551" w:type="dxa"/>
          </w:tcPr>
          <w:p w14:paraId="4D971CA0" w14:textId="77777777" w:rsidR="006C365A" w:rsidRPr="00B50630" w:rsidRDefault="006C365A" w:rsidP="00B50630">
            <w:pPr>
              <w:rPr>
                <w:kern w:val="2"/>
                <w:sz w:val="20"/>
                <w:szCs w:val="20"/>
              </w:rPr>
            </w:pPr>
            <w:r w:rsidRPr="00B50630">
              <w:rPr>
                <w:kern w:val="2"/>
                <w:sz w:val="20"/>
                <w:szCs w:val="20"/>
              </w:rPr>
              <w:t>Demographic population PK analysis from 10 healthy volunteers studies (866 participants)</w:t>
            </w:r>
          </w:p>
        </w:tc>
        <w:tc>
          <w:tcPr>
            <w:tcW w:w="1559" w:type="dxa"/>
          </w:tcPr>
          <w:p w14:paraId="3931FB65" w14:textId="77777777" w:rsidR="006C365A" w:rsidRPr="00B50630" w:rsidRDefault="006C365A" w:rsidP="00B50630">
            <w:pPr>
              <w:rPr>
                <w:kern w:val="2"/>
                <w:sz w:val="20"/>
                <w:szCs w:val="20"/>
              </w:rPr>
            </w:pPr>
            <w:r w:rsidRPr="00B50630">
              <w:rPr>
                <w:kern w:val="2"/>
                <w:sz w:val="20"/>
                <w:szCs w:val="20"/>
              </w:rPr>
              <w:t>[200 mg]</w:t>
            </w:r>
          </w:p>
        </w:tc>
        <w:tc>
          <w:tcPr>
            <w:tcW w:w="1560" w:type="dxa"/>
          </w:tcPr>
          <w:p w14:paraId="4D86204A" w14:textId="77777777" w:rsidR="006C365A" w:rsidRPr="00B50630" w:rsidRDefault="006C365A" w:rsidP="00B50630">
            <w:pPr>
              <w:rPr>
                <w:kern w:val="2"/>
                <w:sz w:val="20"/>
                <w:szCs w:val="20"/>
              </w:rPr>
            </w:pPr>
            <w:r w:rsidRPr="00B50630">
              <w:rPr>
                <w:kern w:val="2"/>
                <w:sz w:val="20"/>
                <w:szCs w:val="20"/>
              </w:rPr>
              <w:t>48 000*</w:t>
            </w:r>
          </w:p>
        </w:tc>
        <w:tc>
          <w:tcPr>
            <w:tcW w:w="1417" w:type="dxa"/>
          </w:tcPr>
          <w:p w14:paraId="2D91A57A" w14:textId="77777777" w:rsidR="006C365A" w:rsidRPr="00B50630" w:rsidRDefault="006C365A" w:rsidP="00B50630">
            <w:pPr>
              <w:rPr>
                <w:kern w:val="2"/>
                <w:sz w:val="20"/>
                <w:szCs w:val="20"/>
              </w:rPr>
            </w:pPr>
            <w:r w:rsidRPr="00B50630">
              <w:rPr>
                <w:kern w:val="2"/>
                <w:sz w:val="20"/>
                <w:szCs w:val="20"/>
              </w:rPr>
              <w:t>–</w:t>
            </w:r>
          </w:p>
        </w:tc>
      </w:tr>
    </w:tbl>
    <w:p w14:paraId="7E2F56D7" w14:textId="77777777" w:rsidR="006C365A" w:rsidRDefault="006C365A" w:rsidP="00B50630">
      <w:pPr>
        <w:pStyle w:val="TableDescription"/>
      </w:pPr>
      <w:r w:rsidRPr="009C4A4C">
        <w:rPr>
          <w:vertAlign w:val="superscript"/>
        </w:rPr>
        <w:t>A</w:t>
      </w:r>
      <w:r w:rsidRPr="009C4A4C">
        <w:t xml:space="preserve"> Based on pharmacokinetic data from an 8</w:t>
      </w:r>
      <w:r w:rsidR="000C24B0">
        <w:t xml:space="preserve"> week</w:t>
      </w:r>
      <w:r w:rsidRPr="009C4A4C">
        <w:t xml:space="preserve"> PK study (802-589) assuming linear pharmacokinetics between 1 and 3 mg/kg/day; </w:t>
      </w:r>
      <w:r w:rsidRPr="009C4A4C">
        <w:rPr>
          <w:vertAlign w:val="superscript"/>
        </w:rPr>
        <w:t xml:space="preserve">B </w:t>
      </w:r>
      <w:r w:rsidRPr="009C4A4C">
        <w:t>Based on pharmacokinetic data from an 8</w:t>
      </w:r>
      <w:r w:rsidR="000C24B0">
        <w:t xml:space="preserve"> week</w:t>
      </w:r>
      <w:r w:rsidRPr="009C4A4C">
        <w:t xml:space="preserve"> PK study (SBF/232) assuming linear pharmacokinetics between 6 and 18 mg/kg/day; </w:t>
      </w:r>
      <w:r w:rsidRPr="009C4A4C">
        <w:rPr>
          <w:vertAlign w:val="superscript"/>
        </w:rPr>
        <w:t>C</w:t>
      </w:r>
      <w:r w:rsidRPr="009C4A4C">
        <w:t xml:space="preserve"> Pharmacokinetic data at 12 months; </w:t>
      </w:r>
      <w:r w:rsidRPr="009C4A4C">
        <w:rPr>
          <w:vertAlign w:val="superscript"/>
        </w:rPr>
        <w:t>D</w:t>
      </w:r>
      <w:r w:rsidRPr="009C4A4C">
        <w:t xml:space="preserve"> Based on pharmacokinetic data from an 8 week PK study (SBF/233); ^ AUC</w:t>
      </w:r>
      <w:r w:rsidRPr="009C4A4C">
        <w:rPr>
          <w:vertAlign w:val="subscript"/>
        </w:rPr>
        <w:t>0-1 week</w:t>
      </w:r>
      <w:r w:rsidRPr="009C4A4C">
        <w:t xml:space="preserve"> values were calculated </w:t>
      </w:r>
      <w:r w:rsidRPr="009C4A4C">
        <w:lastRenderedPageBreak/>
        <w:t>by multiplying</w:t>
      </w:r>
      <w:r w:rsidR="0020528D" w:rsidRPr="0020528D">
        <w:t xml:space="preserve"> </w:t>
      </w:r>
      <w:r w:rsidRPr="009C4A4C">
        <w:t>AUC</w:t>
      </w:r>
      <w:r w:rsidRPr="009C4A4C">
        <w:rPr>
          <w:vertAlign w:val="subscript"/>
        </w:rPr>
        <w:t>0-24h</w:t>
      </w:r>
      <w:r w:rsidRPr="009C4A4C">
        <w:t xml:space="preserve"> by 7; # </w:t>
      </w:r>
      <w:r w:rsidR="002522B4" w:rsidRPr="009C4A4C">
        <w:t>animal: human</w:t>
      </w:r>
      <w:r w:rsidRPr="009C4A4C">
        <w:t xml:space="preserve"> plasma AUC</w:t>
      </w:r>
      <w:r w:rsidRPr="009C4A4C">
        <w:rPr>
          <w:vertAlign w:val="subscript"/>
        </w:rPr>
        <w:t>0–1 week</w:t>
      </w:r>
      <w:r w:rsidRPr="009C4A4C">
        <w:t>; * AUC calculated by dividing dose by clearance (CL/F).</w:t>
      </w:r>
    </w:p>
    <w:p w14:paraId="79235F60" w14:textId="77777777" w:rsidR="006C365A" w:rsidRDefault="006C365A" w:rsidP="00B50630">
      <w:pPr>
        <w:pStyle w:val="Heading5"/>
      </w:pPr>
      <w:r w:rsidRPr="00EB69F1">
        <w:t>Major toxicities</w:t>
      </w:r>
    </w:p>
    <w:p w14:paraId="5D0EEE05" w14:textId="77777777" w:rsidR="006C365A" w:rsidRDefault="006C365A" w:rsidP="00B50630">
      <w:r w:rsidRPr="00221911">
        <w:t xml:space="preserve">The major target organs </w:t>
      </w:r>
      <w:r>
        <w:t xml:space="preserve">for tafenoquine </w:t>
      </w:r>
      <w:r w:rsidRPr="00221911">
        <w:t xml:space="preserve">were </w:t>
      </w:r>
      <w:r>
        <w:t xml:space="preserve">the </w:t>
      </w:r>
      <w:r w:rsidRPr="00221911">
        <w:t>lung (phospholipid</w:t>
      </w:r>
      <w:r>
        <w:t>osi</w:t>
      </w:r>
      <w:r w:rsidRPr="00221911">
        <w:t>s), liver (centrilobular inflammation</w:t>
      </w:r>
      <w:r>
        <w:t>, apoptosis</w:t>
      </w:r>
      <w:r w:rsidRPr="00221911">
        <w:t xml:space="preserve"> and fatty change</w:t>
      </w:r>
      <w:r>
        <w:t xml:space="preserve"> and </w:t>
      </w:r>
      <w:r w:rsidRPr="005E738E">
        <w:t>increase</w:t>
      </w:r>
      <w:r>
        <w:t>d</w:t>
      </w:r>
      <w:r w:rsidRPr="005E738E">
        <w:t xml:space="preserve"> </w:t>
      </w:r>
      <w:r>
        <w:t>plasma transaminases</w:t>
      </w:r>
      <w:r w:rsidRPr="00221911">
        <w:t>)</w:t>
      </w:r>
      <w:r>
        <w:t xml:space="preserve"> and kidney </w:t>
      </w:r>
      <w:r w:rsidRPr="000A0292">
        <w:t>(tubular nephrosis,</w:t>
      </w:r>
      <w:r>
        <w:t xml:space="preserve"> </w:t>
      </w:r>
      <w:r w:rsidRPr="000A0292">
        <w:t xml:space="preserve">necrosis and dilation at 13 weeks in the rat; not present in </w:t>
      </w:r>
      <w:r>
        <w:t xml:space="preserve">the </w:t>
      </w:r>
      <w:r w:rsidRPr="000A0292">
        <w:t>dog)</w:t>
      </w:r>
      <w:r w:rsidRPr="00221911">
        <w:t>.</w:t>
      </w:r>
      <w:r>
        <w:t xml:space="preserve"> Mortalities occurred in mice at ≥ 3 mg/kg/day and in rats at ≥9 mg/kg/day. Other principal and consistent recurrent toxicological findings included poor clinical conditions, reduced food consumption and weight gain, increased</w:t>
      </w:r>
      <w:r w:rsidR="0020528D" w:rsidRPr="0020528D">
        <w:t xml:space="preserve"> </w:t>
      </w:r>
      <w:r w:rsidRPr="0053401C">
        <w:t>meth</w:t>
      </w:r>
      <w:r w:rsidR="00F900F9">
        <w:t>a</w:t>
      </w:r>
      <w:r w:rsidRPr="0053401C">
        <w:t>emoglobin</w:t>
      </w:r>
      <w:r>
        <w:t xml:space="preserve"> (</w:t>
      </w:r>
      <w:r w:rsidRPr="0034787B">
        <w:t>MetHb</w:t>
      </w:r>
      <w:r>
        <w:t xml:space="preserve">), </w:t>
      </w:r>
      <w:r w:rsidRPr="005E738E">
        <w:t>the appearance of blue tongue or gums in the dog</w:t>
      </w:r>
      <w:r>
        <w:t>,</w:t>
      </w:r>
      <w:r w:rsidRPr="005E738E">
        <w:t xml:space="preserve"> blue skin/ears and pallor in</w:t>
      </w:r>
      <w:r>
        <w:t xml:space="preserve"> </w:t>
      </w:r>
      <w:r w:rsidRPr="005E738E">
        <w:t>r</w:t>
      </w:r>
      <w:r>
        <w:t>at</w:t>
      </w:r>
      <w:r w:rsidRPr="005E738E">
        <w:t>s</w:t>
      </w:r>
      <w:r>
        <w:t>,</w:t>
      </w:r>
      <w:r w:rsidRPr="005E738E">
        <w:t xml:space="preserve"> mild anaemia </w:t>
      </w:r>
      <w:r>
        <w:t xml:space="preserve">associated with </w:t>
      </w:r>
      <w:r w:rsidRPr="005E738E">
        <w:t>compensatory erythropoiesis</w:t>
      </w:r>
      <w:r>
        <w:t>,</w:t>
      </w:r>
      <w:r w:rsidRPr="005E738E">
        <w:t xml:space="preserve"> increased deposition of</w:t>
      </w:r>
      <w:r>
        <w:t xml:space="preserve"> </w:t>
      </w:r>
      <w:r w:rsidRPr="005E738E">
        <w:t>brown/haemosiderin pigment in a number of tissues</w:t>
      </w:r>
      <w:r>
        <w:t>,</w:t>
      </w:r>
      <w:r w:rsidRPr="005E738E">
        <w:t xml:space="preserve"> bone marr</w:t>
      </w:r>
      <w:r>
        <w:t xml:space="preserve">ow hyperplasia in rats and dogs, </w:t>
      </w:r>
      <w:r w:rsidRPr="005E738E">
        <w:t>increased spleen weight (all species) and splenic hyperplasia, as well as splenic congestion and</w:t>
      </w:r>
      <w:r>
        <w:t xml:space="preserve"> </w:t>
      </w:r>
      <w:r w:rsidRPr="005E738E">
        <w:t>pooling of red blood cells in rats and dogs</w:t>
      </w:r>
      <w:r>
        <w:t>,</w:t>
      </w:r>
      <w:r w:rsidRPr="005E738E">
        <w:t xml:space="preserve"> increased adrenal weight, </w:t>
      </w:r>
      <w:r w:rsidRPr="00394CD0">
        <w:t>pigmentation</w:t>
      </w:r>
      <w:r w:rsidRPr="005E738E">
        <w:t xml:space="preserve"> and congestion in</w:t>
      </w:r>
      <w:r>
        <w:t xml:space="preserve"> </w:t>
      </w:r>
      <w:r w:rsidRPr="005E738E">
        <w:t>the rat</w:t>
      </w:r>
      <w:r>
        <w:t>, and lymphocyte depletion/necrosis in lymphoid tissues in rats and dogs. These effects were both time and dose dependent and showed partial or complete reversibility.</w:t>
      </w:r>
    </w:p>
    <w:p w14:paraId="20CE114E" w14:textId="77896A95" w:rsidR="006C365A" w:rsidRDefault="006C365A" w:rsidP="00B50630">
      <w:r w:rsidRPr="00573B40">
        <w:t xml:space="preserve">Lung phospholipidosis </w:t>
      </w:r>
      <w:r>
        <w:t xml:space="preserve">was </w:t>
      </w:r>
      <w:r w:rsidRPr="00573B40">
        <w:t>observed in all pivotal repeat dose toxicity studies in mice, rats and dogs</w:t>
      </w:r>
      <w:r>
        <w:t>, and was characterised by increases in the number of foamy macrophages, presence of eosinophilic material in lung alveolar spaces and alveolar proteinosis.</w:t>
      </w:r>
      <w:r w:rsidRPr="00590588">
        <w:t xml:space="preserve"> </w:t>
      </w:r>
      <w:r>
        <w:t>Generally</w:t>
      </w:r>
      <w:r w:rsidRPr="00590588">
        <w:t xml:space="preserve"> functional consequence</w:t>
      </w:r>
      <w:r>
        <w:t>s</w:t>
      </w:r>
      <w:r w:rsidRPr="00590588">
        <w:t xml:space="preserve"> to the pathology</w:t>
      </w:r>
      <w:r>
        <w:t xml:space="preserve"> were observed (</w:t>
      </w:r>
      <w:r w:rsidRPr="00590588">
        <w:t xml:space="preserve">except </w:t>
      </w:r>
      <w:r>
        <w:t>in the case of</w:t>
      </w:r>
      <w:r w:rsidRPr="00590588">
        <w:t xml:space="preserve"> one dog receiving</w:t>
      </w:r>
      <w:r>
        <w:t xml:space="preserve"> </w:t>
      </w:r>
      <w:r w:rsidRPr="00590588">
        <w:t>4.0 mg/kg/day</w:t>
      </w:r>
      <w:r>
        <w:t xml:space="preserve"> (exposure ratio 6)</w:t>
      </w:r>
      <w:r w:rsidR="0020528D" w:rsidRPr="0020528D">
        <w:t xml:space="preserve"> </w:t>
      </w:r>
      <w:r w:rsidRPr="00590588">
        <w:t>in the 52</w:t>
      </w:r>
      <w:r w:rsidR="00F7542B">
        <w:t xml:space="preserve"> </w:t>
      </w:r>
      <w:r w:rsidRPr="00590588">
        <w:t xml:space="preserve">week study </w:t>
      </w:r>
      <w:r>
        <w:t xml:space="preserve">which </w:t>
      </w:r>
      <w:r w:rsidRPr="00590588">
        <w:t>show</w:t>
      </w:r>
      <w:r>
        <w:t xml:space="preserve">ed </w:t>
      </w:r>
      <w:r w:rsidRPr="00590588">
        <w:t>increased respiratory rate and also</w:t>
      </w:r>
      <w:r>
        <w:t xml:space="preserve"> </w:t>
      </w:r>
      <w:r w:rsidRPr="00590588">
        <w:t>showed the largest lung weight increase compared to other similarly dosed males</w:t>
      </w:r>
      <w:r>
        <w:t>)</w:t>
      </w:r>
      <w:r w:rsidRPr="00590588">
        <w:t>.</w:t>
      </w:r>
      <w:r w:rsidR="0020528D" w:rsidRPr="0020528D">
        <w:t xml:space="preserve"> </w:t>
      </w:r>
      <w:r>
        <w:t xml:space="preserve">In rats and dogs these effects were reversed during the recovery </w:t>
      </w:r>
      <w:r w:rsidRPr="00DD2671">
        <w:t>period</w:t>
      </w:r>
      <w:r>
        <w:t>;</w:t>
      </w:r>
      <w:r w:rsidRPr="00DD2671">
        <w:t xml:space="preserve"> </w:t>
      </w:r>
      <w:r>
        <w:t xml:space="preserve">however, </w:t>
      </w:r>
      <w:r w:rsidRPr="00DD2671">
        <w:t>chronic inflammation of</w:t>
      </w:r>
      <w:r>
        <w:t xml:space="preserve"> </w:t>
      </w:r>
      <w:r w:rsidRPr="00DD2671">
        <w:t>minimal severity in alveolar macrophages of the lungs developed</w:t>
      </w:r>
      <w:r>
        <w:t>. Phospholipidosis was also seen in kidneys of rats by electron microscopy</w:t>
      </w:r>
      <w:r w:rsidRPr="00B30326">
        <w:t xml:space="preserve"> </w:t>
      </w:r>
      <w:r>
        <w:t>in a 13</w:t>
      </w:r>
      <w:r w:rsidR="00B50630">
        <w:t xml:space="preserve"> </w:t>
      </w:r>
      <w:r>
        <w:t xml:space="preserve">week study. Phospholipidosis has been associated with this class of drugs, including chloroquine and other </w:t>
      </w:r>
      <w:r w:rsidRPr="006739AF">
        <w:t>cationic amphiphilic drugs</w:t>
      </w:r>
      <w:r>
        <w:t xml:space="preserve"> (</w:t>
      </w:r>
      <w:r w:rsidR="00B50630">
        <w:t>for example,</w:t>
      </w:r>
      <w:r>
        <w:t xml:space="preserve"> amiodarone, fluoxetine), in animal species and humans</w:t>
      </w:r>
      <w:r>
        <w:rPr>
          <w:rStyle w:val="FootnoteReference"/>
          <w:kern w:val="2"/>
          <w:szCs w:val="20"/>
        </w:rPr>
        <w:footnoteReference w:id="20"/>
      </w:r>
      <w:r>
        <w:t>.</w:t>
      </w:r>
    </w:p>
    <w:p w14:paraId="1C7AAEDC" w14:textId="77777777" w:rsidR="006C365A" w:rsidRPr="00D52D6B" w:rsidRDefault="006C365A" w:rsidP="00B50630">
      <w:r w:rsidRPr="00D52D6B">
        <w:t>Tafenoquine-related liver changes were observed in dogs and rats. The dog appeared more sensitive to the liver changes. A minimal to mild chronic inflammation of the liver was seen in treated dogs with an increase in haptoglobin levels, haemosiderin deposits and minimal subacute inflammation with the addition of Kupffer cell hypertrophy or Kupffer cell pigmentation and in severe cases hepatocellular necrosis (&gt; 6 exposure ratios). All changes in dogs showed reversibility over 13 weeks except haemosiderin deposits which remained</w:t>
      </w:r>
      <w:r>
        <w:t>.</w:t>
      </w:r>
      <w:r w:rsidRPr="00D52D6B">
        <w:t xml:space="preserve"> Mild hepatic effects were evident in the rat</w:t>
      </w:r>
      <w:r>
        <w:t>,</w:t>
      </w:r>
      <w:r w:rsidRPr="00D52D6B">
        <w:t xml:space="preserve"> shown by an increase in serum aspartate aminotransferase at ≥ 9.2 mg/kg/day (exposure ratio 4) and increased liver weight in males only at 27.7 mg/kg but with no associated pathology. The liver pathology of male rats dosed for 26 weeks at 9.0 mg/kg/day (exposure ratio 4) showed apoptosis, brown pigmentation and fatty change</w:t>
      </w:r>
      <w:r>
        <w:t>,</w:t>
      </w:r>
      <w:r w:rsidRPr="00D52D6B">
        <w:t xml:space="preserve"> the fatty change also being evident in males at 2.0 mg/kg (exposure ratio 0.6).</w:t>
      </w:r>
    </w:p>
    <w:p w14:paraId="2992F960" w14:textId="77777777" w:rsidR="006C365A" w:rsidRDefault="006C365A" w:rsidP="00B50630">
      <w:r>
        <w:t>Tafenoquine</w:t>
      </w:r>
      <w:r w:rsidR="00B50630">
        <w:t xml:space="preserve"> </w:t>
      </w:r>
      <w:r>
        <w:t xml:space="preserve">related changes were also observed in the kidneys and included brown pigment (haemosiderin), eosinophilic droplets (consistent with haemoglobin and haemoglobin related material), focal cortical tubular basophilia in the cortical tubular cells, and diffuse cytoplasmic basophilia and karyomegaly in the outer strip of renal medulla in rats dosed with 2 or 18 mg/kg/day in a 13 week study. There was also diffuse medullary epithelial vacuolation and single cell necrosis at 18 mg/kg/day. </w:t>
      </w:r>
      <w:r w:rsidRPr="00851DB9">
        <w:t>In the 26</w:t>
      </w:r>
      <w:r w:rsidR="000C24B0">
        <w:t xml:space="preserve"> </w:t>
      </w:r>
      <w:r w:rsidRPr="00851DB9">
        <w:t xml:space="preserve">week study, pigment was noticed in kidney tubules at 2 and 9 mg/kg/day, but eosinophilic </w:t>
      </w:r>
      <w:r w:rsidRPr="00851DB9">
        <w:lastRenderedPageBreak/>
        <w:t>droplets were not described.</w:t>
      </w:r>
      <w:r>
        <w:t xml:space="preserve"> Renal tumours were observed in the carcinogenicity study (discussed below).</w:t>
      </w:r>
    </w:p>
    <w:p w14:paraId="0675AE59" w14:textId="77777777" w:rsidR="006C365A" w:rsidRDefault="006C365A" w:rsidP="000C24B0">
      <w:r w:rsidRPr="00C62A8D">
        <w:t xml:space="preserve">Haematological changes </w:t>
      </w:r>
      <w:r w:rsidRPr="00E26DC1">
        <w:t xml:space="preserve">were observed across the studies. </w:t>
      </w:r>
      <w:r w:rsidRPr="00C62A8D">
        <w:t>In rats a mild anaemia (up to approximately 15% reduction in red blood cell count,</w:t>
      </w:r>
      <w:r>
        <w:t xml:space="preserve"> </w:t>
      </w:r>
      <w:r w:rsidRPr="00C62A8D">
        <w:t xml:space="preserve">haematocrit, haemoglobin concentration, mean cell haemoglobin and/or mean cell </w:t>
      </w:r>
      <w:r>
        <w:t xml:space="preserve">haemoglobin </w:t>
      </w:r>
      <w:r w:rsidRPr="00C62A8D">
        <w:t xml:space="preserve">concentration) was </w:t>
      </w:r>
      <w:r>
        <w:t>evident, probably as a result of haemolysis induced by tafenoquine.</w:t>
      </w:r>
      <w:r w:rsidRPr="0034787B">
        <w:t xml:space="preserve"> In the dog a mild dose-related anaemia was similarly seen </w:t>
      </w:r>
      <w:r>
        <w:t xml:space="preserve">and changes included </w:t>
      </w:r>
      <w:r w:rsidRPr="0034787B">
        <w:t>a</w:t>
      </w:r>
      <w:r>
        <w:t xml:space="preserve"> </w:t>
      </w:r>
      <w:r w:rsidRPr="0034787B">
        <w:t>decrease in red blood cell count, haemoglobin levels, haematocrit, mean cell haemoglobin and/or</w:t>
      </w:r>
      <w:r>
        <w:t xml:space="preserve"> </w:t>
      </w:r>
      <w:r w:rsidRPr="0034787B">
        <w:t xml:space="preserve">mean cell haemoglobin concentration up to a maximum of approximately 20%. </w:t>
      </w:r>
      <w:r>
        <w:t xml:space="preserve">MetHb level increase was observed in both rats and dogs and recovery was evident in both species. </w:t>
      </w:r>
      <w:r w:rsidRPr="00ED6AD9">
        <w:t xml:space="preserve">The red </w:t>
      </w:r>
      <w:r>
        <w:t xml:space="preserve">blood </w:t>
      </w:r>
      <w:r w:rsidRPr="00ED6AD9">
        <w:t xml:space="preserve">cell changes, </w:t>
      </w:r>
      <w:r>
        <w:t>MetHb</w:t>
      </w:r>
      <w:r w:rsidRPr="00ED6AD9">
        <w:t>, bone marrow and</w:t>
      </w:r>
      <w:r>
        <w:t xml:space="preserve"> </w:t>
      </w:r>
      <w:r w:rsidRPr="00ED6AD9">
        <w:t>spleen hyperplasia</w:t>
      </w:r>
      <w:r>
        <w:t>,</w:t>
      </w:r>
      <w:r w:rsidRPr="00ED6AD9">
        <w:t xml:space="preserve"> and h</w:t>
      </w:r>
      <w:r>
        <w:t>a</w:t>
      </w:r>
      <w:r w:rsidRPr="00ED6AD9">
        <w:t>emosiderin deposition are consistent with oxidative red cell damage and</w:t>
      </w:r>
      <w:r>
        <w:t xml:space="preserve"> </w:t>
      </w:r>
      <w:r w:rsidRPr="00ED6AD9">
        <w:t xml:space="preserve">death and are </w:t>
      </w:r>
      <w:r>
        <w:t>known effects of</w:t>
      </w:r>
      <w:r w:rsidRPr="00ED6AD9">
        <w:t xml:space="preserve"> 8-aminoquinoline compounds</w:t>
      </w:r>
      <w:r>
        <w:t xml:space="preserve"> and so would need to be monitored in clinical studies. Other observations that could possibly be se</w:t>
      </w:r>
      <w:r w:rsidRPr="00ED6AD9">
        <w:t>condary changes</w:t>
      </w:r>
      <w:r>
        <w:t xml:space="preserve"> as a result of anaemia include </w:t>
      </w:r>
      <w:r w:rsidRPr="00ED6AD9">
        <w:t>splenic</w:t>
      </w:r>
      <w:r>
        <w:t xml:space="preserve"> and bone marrow</w:t>
      </w:r>
      <w:r w:rsidRPr="00ED6AD9">
        <w:t xml:space="preserve"> hyperplasia, h</w:t>
      </w:r>
      <w:r>
        <w:t>a</w:t>
      </w:r>
      <w:r w:rsidRPr="00ED6AD9">
        <w:t>emosiderin</w:t>
      </w:r>
      <w:r>
        <w:t xml:space="preserve"> </w:t>
      </w:r>
      <w:r w:rsidRPr="00ED6AD9">
        <w:t xml:space="preserve">deposits in the kidney and bone marrow, </w:t>
      </w:r>
      <w:r>
        <w:t xml:space="preserve">and </w:t>
      </w:r>
      <w:r w:rsidRPr="00ED6AD9">
        <w:t>protein nephropathy</w:t>
      </w:r>
      <w:r>
        <w:t>.</w:t>
      </w:r>
    </w:p>
    <w:p w14:paraId="6BAE30F8" w14:textId="7E0A51C0" w:rsidR="006C365A" w:rsidRDefault="006C365A" w:rsidP="000C24B0">
      <w:r>
        <w:t>Lymphocyte depletion in the spleen (but not in other lymphoid tissues) was observed in the 4</w:t>
      </w:r>
      <w:r w:rsidR="000C24B0">
        <w:t xml:space="preserve"> week</w:t>
      </w:r>
      <w:r>
        <w:t xml:space="preserve"> rat study at ≥ 27.7 mg/kg/day. In dogs, lymphocyte depletion and/or necrosis were seen in spleen, lymph nodes and thymus at ≥ 3.1 mg/kg/day for 4 weeks, and lymphocyte depletion in thymus (not in spleen or lymph nodes) at ≥ 2 mg/kg/day for 13 weeks. There was no lymphocyte depletion in rats in the 3- and 6-month studies or in dogs in the one-year study, and peripheral lymphocyte counts were unaffected in all toxicity studies.</w:t>
      </w:r>
    </w:p>
    <w:p w14:paraId="2DED87EF" w14:textId="0ADACF8F" w:rsidR="00F7542B" w:rsidRPr="00573B40" w:rsidRDefault="006C365A" w:rsidP="000C24B0">
      <w:r w:rsidRPr="000C24B0">
        <w:t>In vitro</w:t>
      </w:r>
      <w:r>
        <w:t xml:space="preserve"> tafenoquine had minimal effect on the heart (unlike </w:t>
      </w:r>
      <w:r w:rsidR="00994561">
        <w:t>primaquine</w:t>
      </w:r>
      <w:r>
        <w:t>). Heart pathology was only observed in the mouse after 13 week dosing (</w:t>
      </w:r>
      <w:r w:rsidRPr="00267AE1">
        <w:t>related myocardial degeneration with or without</w:t>
      </w:r>
      <w:r>
        <w:t xml:space="preserve"> </w:t>
      </w:r>
      <w:r w:rsidRPr="00267AE1">
        <w:t>inflammation</w:t>
      </w:r>
      <w:r>
        <w:t xml:space="preserve">) and </w:t>
      </w:r>
      <w:r w:rsidRPr="00267AE1">
        <w:t xml:space="preserve">was </w:t>
      </w:r>
      <w:r>
        <w:t>not seen in the 2 year mouse carcinogenicity study. In rats a decrease in the heart weight was observed at ≥ 2 mg/kg/day with no associated pathology. No heart weight change or heart pathology was observed in dogs in any of the studies. Animal studies predict low risks of myocardial effects in humans.</w:t>
      </w:r>
    </w:p>
    <w:p w14:paraId="62BB930C" w14:textId="77777777" w:rsidR="006C365A" w:rsidRPr="00EB69F1" w:rsidRDefault="006C365A" w:rsidP="0098580E">
      <w:pPr>
        <w:pStyle w:val="Heading4"/>
      </w:pPr>
      <w:bookmarkStart w:id="57" w:name="_Toc294861729"/>
      <w:r w:rsidRPr="00EB69F1">
        <w:t>Genotoxicity</w:t>
      </w:r>
      <w:bookmarkEnd w:id="57"/>
    </w:p>
    <w:p w14:paraId="51052A7F" w14:textId="4226ADB1" w:rsidR="006C365A" w:rsidRDefault="006C365A" w:rsidP="0098580E">
      <w:r w:rsidRPr="00124CEF">
        <w:t xml:space="preserve">The genotoxic potential of tafenoquine was tested in bacterial reverse mutation assays, </w:t>
      </w:r>
      <w:r>
        <w:t xml:space="preserve">in gene mutation assays in mammalian cells (mouse lymphoma cells and Chinese hamster ovary cells), </w:t>
      </w:r>
      <w:r w:rsidR="0020528D" w:rsidRPr="0020528D">
        <w:t>in vitro</w:t>
      </w:r>
      <w:r w:rsidRPr="00124CEF">
        <w:t xml:space="preserve"> chromosome aberration assays in Chinese hamster ovary cells and </w:t>
      </w:r>
      <w:r w:rsidR="0020528D" w:rsidRPr="0020528D">
        <w:t>in vivo</w:t>
      </w:r>
      <w:r w:rsidRPr="00124CEF">
        <w:t xml:space="preserve"> </w:t>
      </w:r>
      <w:r>
        <w:t xml:space="preserve">mouse </w:t>
      </w:r>
      <w:r w:rsidRPr="00124CEF">
        <w:t xml:space="preserve">micronucleus test. This testing strategy was consistent with </w:t>
      </w:r>
      <w:r w:rsidR="002A04BA">
        <w:t xml:space="preserve">the </w:t>
      </w:r>
      <w:r w:rsidRPr="00124CEF">
        <w:t>ICH guideline S2 (R1).</w:t>
      </w:r>
      <w:r w:rsidR="0098580E">
        <w:rPr>
          <w:rStyle w:val="FootnoteReference"/>
        </w:rPr>
        <w:footnoteReference w:id="21"/>
      </w:r>
      <w:r w:rsidRPr="00124CEF">
        <w:t xml:space="preserve"> </w:t>
      </w:r>
      <w:r>
        <w:t xml:space="preserve">All the studies were negative except for a weakly positive result in the mouse lymphoma cell assay with metabolic activation. </w:t>
      </w:r>
      <w:r w:rsidRPr="00124CEF">
        <w:t xml:space="preserve">The </w:t>
      </w:r>
      <w:r w:rsidR="0020528D" w:rsidRPr="0020528D">
        <w:t>in vitro</w:t>
      </w:r>
      <w:r w:rsidRPr="00124CEF">
        <w:t xml:space="preserve"> studies indicated that tafenoquine was not mutagenic or clastogenic however</w:t>
      </w:r>
      <w:r>
        <w:t xml:space="preserve"> generally these</w:t>
      </w:r>
      <w:r w:rsidRPr="00124CEF">
        <w:t xml:space="preserve"> assays were limited to very low </w:t>
      </w:r>
      <w:r>
        <w:t xml:space="preserve">test </w:t>
      </w:r>
      <w:r w:rsidRPr="00124CEF">
        <w:t>concentrations of tafenoquine</w:t>
      </w:r>
      <w:r>
        <w:t xml:space="preserve"> (</w:t>
      </w:r>
      <w:r w:rsidRPr="00124CEF">
        <w:t>5</w:t>
      </w:r>
      <w:r w:rsidR="00490410">
        <w:t xml:space="preserve"> to </w:t>
      </w:r>
      <w:r w:rsidRPr="00124CEF">
        <w:t xml:space="preserve">10 µg) due to cytotoxicity. A single dose of 400 mg/kg </w:t>
      </w:r>
      <w:r w:rsidRPr="006613B2">
        <w:t>tafenoquine (</w:t>
      </w:r>
      <w:r w:rsidR="006F2C7A" w:rsidRPr="006F2C7A">
        <w:t>approximately</w:t>
      </w:r>
      <w:r w:rsidRPr="006613B2">
        <w:t xml:space="preserve"> relative exposure of 9 based on body surface area)</w:t>
      </w:r>
      <w:r w:rsidRPr="00124CEF">
        <w:t xml:space="preserve"> did not increase micronucleus formation in mice.</w:t>
      </w:r>
      <w:r w:rsidR="00F530F5">
        <w:t xml:space="preserve"> </w:t>
      </w:r>
    </w:p>
    <w:p w14:paraId="4E3C1CA2" w14:textId="44D5B0C6" w:rsidR="006C365A" w:rsidRDefault="006C365A" w:rsidP="0098580E">
      <w:r w:rsidRPr="005E712C">
        <w:t xml:space="preserve">A GLP bacterial Ames assay was also performed with GSK3172964A, </w:t>
      </w:r>
      <w:r w:rsidR="002522B4" w:rsidRPr="005E712C">
        <w:t>an</w:t>
      </w:r>
      <w:r w:rsidRPr="005E712C">
        <w:t xml:space="preserve"> N-nitroso metabolite of tafenoquine. GSK3172964A was not mutagenic in the bacterial mutation assay</w:t>
      </w:r>
      <w:r>
        <w:t>.</w:t>
      </w:r>
    </w:p>
    <w:p w14:paraId="54EB734C" w14:textId="3C9A7CC0" w:rsidR="00F530F5" w:rsidRPr="005E712C" w:rsidRDefault="00DC6C86" w:rsidP="0098580E">
      <w:r>
        <w:t>Overall, tafenoquine is not considered to present a genotoxic risk to humans.</w:t>
      </w:r>
    </w:p>
    <w:p w14:paraId="73234C2A" w14:textId="77777777" w:rsidR="006C365A" w:rsidRPr="00EB69F1" w:rsidRDefault="006C365A" w:rsidP="0098580E">
      <w:pPr>
        <w:pStyle w:val="Heading4"/>
      </w:pPr>
      <w:bookmarkStart w:id="58" w:name="_Toc294861730"/>
      <w:r w:rsidRPr="00EB69F1">
        <w:lastRenderedPageBreak/>
        <w:t>Carcinogenicity</w:t>
      </w:r>
      <w:bookmarkEnd w:id="58"/>
    </w:p>
    <w:p w14:paraId="2C2DD4E1" w14:textId="07F15441" w:rsidR="006C365A" w:rsidRDefault="006C365A" w:rsidP="0098580E">
      <w:r w:rsidRPr="008558EF">
        <w:t>The carcinogenic potential of tafenoquine by the oral route was assessed in mice and rat</w:t>
      </w:r>
      <w:r>
        <w:t>s</w:t>
      </w:r>
      <w:r w:rsidRPr="008558EF">
        <w:t xml:space="preserve"> in conventional 2 year oral carcinogenicity stud</w:t>
      </w:r>
      <w:r>
        <w:t>ies as per the</w:t>
      </w:r>
      <w:r w:rsidRPr="00C51969">
        <w:t xml:space="preserve"> relevant ICH guidelines</w:t>
      </w:r>
      <w:r w:rsidRPr="008558EF">
        <w:t>.</w:t>
      </w:r>
      <w:r w:rsidRPr="00F73BEC">
        <w:t xml:space="preserve"> </w:t>
      </w:r>
      <w:r>
        <w:t>In the mice study</w:t>
      </w:r>
      <w:r w:rsidR="0084395F">
        <w:t>, the</w:t>
      </w:r>
      <w:r w:rsidRPr="00F73BEC">
        <w:t xml:space="preserve"> group sizes used (</w:t>
      </w:r>
      <w:r>
        <w:t>60</w:t>
      </w:r>
      <w:r w:rsidRPr="00F73BEC">
        <w:t>/sex)</w:t>
      </w:r>
      <w:r>
        <w:t xml:space="preserve"> and</w:t>
      </w:r>
      <w:r w:rsidRPr="00F73BEC">
        <w:t xml:space="preserve"> </w:t>
      </w:r>
      <w:r w:rsidR="0084395F">
        <w:t xml:space="preserve">the </w:t>
      </w:r>
      <w:r w:rsidRPr="00F73BEC">
        <w:t>duration of dosing (</w:t>
      </w:r>
      <w:r>
        <w:t>2 years</w:t>
      </w:r>
      <w:r w:rsidRPr="00F73BEC">
        <w:t>)</w:t>
      </w:r>
      <w:r>
        <w:t xml:space="preserve"> </w:t>
      </w:r>
      <w:r w:rsidRPr="00F73BEC">
        <w:t>were appropriate</w:t>
      </w:r>
      <w:r>
        <w:t>. However, the selection of the dose tested was based on maximum tolerated dose (1 mg/kg) in a dose range finding study and was limited to only</w:t>
      </w:r>
      <w:r w:rsidR="004C098C">
        <w:t xml:space="preserve"> </w:t>
      </w:r>
      <w:r w:rsidR="006F2C7A" w:rsidRPr="006F2C7A">
        <w:t>approximately</w:t>
      </w:r>
      <w:r>
        <w:t xml:space="preserve"> 0.3x the clinical AUC. </w:t>
      </w:r>
      <w:r w:rsidRPr="003F0220">
        <w:t xml:space="preserve">There were no treatment-related increases in tumour development in the </w:t>
      </w:r>
      <w:r>
        <w:t>mice</w:t>
      </w:r>
      <w:r w:rsidRPr="003F0220">
        <w:t xml:space="preserve"> study at </w:t>
      </w:r>
      <w:r>
        <w:t xml:space="preserve">these low doses. </w:t>
      </w:r>
      <w:r w:rsidRPr="003F0220">
        <w:t>In the lungs there was a higher incidence of eosinophilic</w:t>
      </w:r>
      <w:r>
        <w:t xml:space="preserve"> </w:t>
      </w:r>
      <w:r w:rsidRPr="003F0220">
        <w:t xml:space="preserve">histiocytes </w:t>
      </w:r>
      <w:r>
        <w:t xml:space="preserve">(indicative of phospholipidosis) </w:t>
      </w:r>
      <w:r w:rsidRPr="003F0220">
        <w:t xml:space="preserve">and alveolar crystals </w:t>
      </w:r>
      <w:r>
        <w:t>in</w:t>
      </w:r>
      <w:r w:rsidRPr="003F0220">
        <w:t xml:space="preserve"> mice given 1.0</w:t>
      </w:r>
      <w:r w:rsidR="00380988">
        <w:t> </w:t>
      </w:r>
      <w:r w:rsidRPr="003F0220">
        <w:t>mg/kg/day</w:t>
      </w:r>
      <w:r>
        <w:t xml:space="preserve"> which were also reported and discussed in the repeat dose studies.</w:t>
      </w:r>
      <w:r w:rsidRPr="00BE362F">
        <w:t xml:space="preserve"> </w:t>
      </w:r>
    </w:p>
    <w:p w14:paraId="754C8BAF" w14:textId="55105566" w:rsidR="006C365A" w:rsidRPr="005E712C" w:rsidRDefault="006C365A" w:rsidP="0098580E">
      <w:r w:rsidRPr="00BE362F">
        <w:t>In the rat carcinogenicity study, tafenoquine was given daily, by oral gavage,</w:t>
      </w:r>
      <w:r>
        <w:t xml:space="preserve"> </w:t>
      </w:r>
      <w:r w:rsidRPr="00BE362F">
        <w:t xml:space="preserve">to rats at doses of 0, 0.1, 0.5, 1 or 2 mg/kg/day </w:t>
      </w:r>
      <w:r>
        <w:t xml:space="preserve">(equivalent to </w:t>
      </w:r>
      <w:r w:rsidR="006F2C7A" w:rsidRPr="006F2C7A">
        <w:t>approximately</w:t>
      </w:r>
      <w:r>
        <w:t xml:space="preserve"> 0.03. 0.26, 0.71 and 1.6</w:t>
      </w:r>
      <w:r w:rsidR="00380988">
        <w:t> </w:t>
      </w:r>
      <w:r>
        <w:t xml:space="preserve">times the clinical AUC) </w:t>
      </w:r>
      <w:r w:rsidRPr="00BE362F">
        <w:t>for 2 years</w:t>
      </w:r>
      <w:r>
        <w:t>.</w:t>
      </w:r>
      <w:r w:rsidRPr="00BE362F">
        <w:t xml:space="preserve"> </w:t>
      </w:r>
      <w:r>
        <w:t>I</w:t>
      </w:r>
      <w:r w:rsidRPr="00BE362F">
        <w:t>ncidence</w:t>
      </w:r>
      <w:r>
        <w:t xml:space="preserve"> </w:t>
      </w:r>
      <w:r w:rsidRPr="00BE362F">
        <w:t xml:space="preserve">of renal tumours </w:t>
      </w:r>
      <w:r>
        <w:t>(renal cell adenoma at 1</w:t>
      </w:r>
      <w:r w:rsidR="00380988">
        <w:t> </w:t>
      </w:r>
      <w:r>
        <w:t xml:space="preserve">and 2 mg/kg/day with only one incidence of carcinoma at 2 mg/kg/day) </w:t>
      </w:r>
      <w:r w:rsidRPr="00BE362F">
        <w:t xml:space="preserve">and </w:t>
      </w:r>
      <w:r>
        <w:t xml:space="preserve">cortical </w:t>
      </w:r>
      <w:r w:rsidRPr="00BE362F">
        <w:t xml:space="preserve">hyperplasia in male rats </w:t>
      </w:r>
      <w:r>
        <w:t xml:space="preserve">at </w:t>
      </w:r>
      <w:r w:rsidRPr="00BE362F">
        <w:t>2 mg/kg/day</w:t>
      </w:r>
      <w:r>
        <w:t xml:space="preserve"> were observed. Chronic progressive nephropathy (CPN) was also increased in male rats at these doses. </w:t>
      </w:r>
      <w:r w:rsidRPr="004841A3">
        <w:t>Chronic progressive nephropathy</w:t>
      </w:r>
      <w:r>
        <w:t xml:space="preserve"> is a common renal lesion in male rats with no counter-part in humans, is exacerbated by many chemicals and drug substances, and is considered a risk factor for renal tubular hyperplasia and tumours</w:t>
      </w:r>
      <w:r w:rsidR="00380988">
        <w:t>.</w:t>
      </w:r>
      <w:r>
        <w:rPr>
          <w:rStyle w:val="FootnoteReference"/>
          <w:kern w:val="2"/>
          <w:szCs w:val="20"/>
        </w:rPr>
        <w:footnoteReference w:id="22"/>
      </w:r>
      <w:r>
        <w:t xml:space="preserve"> In a 13</w:t>
      </w:r>
      <w:r w:rsidR="000C24B0">
        <w:t xml:space="preserve"> week</w:t>
      </w:r>
      <w:r>
        <w:t xml:space="preserve"> study, immunostaining of kidney sections showed increased Ki67 and </w:t>
      </w:r>
      <w:r w:rsidRPr="00C9343A">
        <w:t>proliferating cell nuclear antigen</w:t>
      </w:r>
      <w:r>
        <w:t>, both of which are markers of cell proliferation, in both sexes at 18 mg/kg/day and in males at 2 mg/kg/day. In the same 13</w:t>
      </w:r>
      <w:r w:rsidR="000C24B0">
        <w:t xml:space="preserve"> week</w:t>
      </w:r>
      <w:r>
        <w:t xml:space="preserve"> study there were also karyomegaly in the outer strip of renal medulla at 2 or 18 mg/kg/day and diffuse medullary epithelial vacuolation and single cell necrosis in both sexes at 18 mg/kg/day.</w:t>
      </w:r>
      <w:r w:rsidR="0020528D" w:rsidRPr="0020528D">
        <w:t xml:space="preserve"> </w:t>
      </w:r>
      <w:r>
        <w:t xml:space="preserve">The above findings, together with the absence of genotoxicity, point to a non-genotoxic mechanism of renal carcinogenicity. The renal tumours in rats probably resulted from chronic cellular damage leading to cell regeneration, proliferation, hyperplasia and finally renal tumours. The exact mechanism is unclear but CPN might be a contributing factor since renal tumours were observed only in male rats. The renal tumours in rats are considered clinically relevant. However, the risk of renal tumours in humans is low given (i) proposed treatment duration of 6 months </w:t>
      </w:r>
      <w:r w:rsidR="00380988">
        <w:t>compared with</w:t>
      </w:r>
      <w:r>
        <w:t xml:space="preserve"> the life time exposure in the rat carcinogenicity study, (ii) the absence of tumours in the 6</w:t>
      </w:r>
      <w:r w:rsidR="0084395F">
        <w:t xml:space="preserve"> </w:t>
      </w:r>
      <w:r>
        <w:t>month rat study and in the mouse carcinogenicity, study and (iii) the absence of hyperplasia of renal tubule cells in the one year dog study.</w:t>
      </w:r>
    </w:p>
    <w:p w14:paraId="1497B183" w14:textId="77777777" w:rsidR="006C365A" w:rsidRPr="00EB69F1" w:rsidRDefault="006C365A" w:rsidP="0084395F">
      <w:pPr>
        <w:pStyle w:val="Heading4"/>
      </w:pPr>
      <w:r w:rsidRPr="00EB69F1">
        <w:t>Reproductive toxicity</w:t>
      </w:r>
    </w:p>
    <w:p w14:paraId="1A81A8A9" w14:textId="203D0C5E" w:rsidR="006C365A" w:rsidRPr="009272FB" w:rsidRDefault="006C365A" w:rsidP="0084395F">
      <w:r w:rsidRPr="005A5763">
        <w:t>A GLP fertility and embryonic development study in rats was submitted where tafenoquine was administered to males for 67</w:t>
      </w:r>
      <w:r w:rsidR="00380988">
        <w:t xml:space="preserve"> to </w:t>
      </w:r>
      <w:r w:rsidRPr="005A5763">
        <w:t xml:space="preserve">69 days and to pregnant females for </w:t>
      </w:r>
      <w:r>
        <w:t>15</w:t>
      </w:r>
      <w:r w:rsidR="00380988">
        <w:t> </w:t>
      </w:r>
      <w:r w:rsidRPr="005A5763">
        <w:t>days</w:t>
      </w:r>
      <w:r>
        <w:t xml:space="preserve"> before cohabitation</w:t>
      </w:r>
      <w:r w:rsidRPr="005A5763">
        <w:t xml:space="preserve">, during cohabitation and from </w:t>
      </w:r>
      <w:r w:rsidR="00380988">
        <w:t>D</w:t>
      </w:r>
      <w:r w:rsidR="00380988" w:rsidRPr="005A5763">
        <w:t xml:space="preserve">ay </w:t>
      </w:r>
      <w:r w:rsidRPr="005A5763">
        <w:t>0 to 6 of pregnancy.</w:t>
      </w:r>
      <w:r>
        <w:t xml:space="preserve"> Embryofetal development was studied in rats and rabbits. Tafenoquine was administered daily </w:t>
      </w:r>
      <w:r w:rsidRPr="009272FB">
        <w:t>during organogenesis (gestation</w:t>
      </w:r>
      <w:r w:rsidR="00380988" w:rsidRPr="009272FB">
        <w:t xml:space="preserve"> </w:t>
      </w:r>
      <w:r w:rsidR="00380988">
        <w:t>D</w:t>
      </w:r>
      <w:r w:rsidR="00380988" w:rsidRPr="009272FB">
        <w:t xml:space="preserve">ays </w:t>
      </w:r>
      <w:r w:rsidR="00380988">
        <w:t>(</w:t>
      </w:r>
      <w:r>
        <w:t>GD</w:t>
      </w:r>
      <w:r w:rsidR="00380988">
        <w:t>)</w:t>
      </w:r>
      <w:r>
        <w:t xml:space="preserve"> </w:t>
      </w:r>
      <w:r w:rsidRPr="009272FB">
        <w:t>6 to 1</w:t>
      </w:r>
      <w:r>
        <w:t xml:space="preserve">5 in rats or </w:t>
      </w:r>
      <w:r w:rsidR="00380988">
        <w:t xml:space="preserve">GD </w:t>
      </w:r>
      <w:r>
        <w:t>6</w:t>
      </w:r>
      <w:r w:rsidR="00380988">
        <w:t xml:space="preserve"> to </w:t>
      </w:r>
      <w:r>
        <w:t>18 in rabbits).</w:t>
      </w:r>
      <w:r w:rsidRPr="009272FB">
        <w:t xml:space="preserve"> Caesarean sectioning was performed on </w:t>
      </w:r>
      <w:r w:rsidR="00380988">
        <w:t>GD</w:t>
      </w:r>
      <w:r w:rsidRPr="009272FB">
        <w:t xml:space="preserve"> 20 </w:t>
      </w:r>
      <w:r>
        <w:t xml:space="preserve">in rats and </w:t>
      </w:r>
      <w:r w:rsidR="00380988">
        <w:t>GD</w:t>
      </w:r>
      <w:r>
        <w:t xml:space="preserve"> 29 in rabbits. A GLP postnatal development study was performed in rats where tafenoquine was administered to pups from GD6 to postnatal </w:t>
      </w:r>
      <w:r w:rsidR="00380988">
        <w:t xml:space="preserve">Day </w:t>
      </w:r>
      <w:r>
        <w:t>(PND) 21 and terminated on PND</w:t>
      </w:r>
      <w:r w:rsidR="00380988">
        <w:t xml:space="preserve"> </w:t>
      </w:r>
      <w:r>
        <w:t>21. These studies were consistent with the ICH guidelines S5 (R2).</w:t>
      </w:r>
      <w:r w:rsidR="0084395F">
        <w:rPr>
          <w:rStyle w:val="FootnoteReference"/>
        </w:rPr>
        <w:footnoteReference w:id="23"/>
      </w:r>
      <w:r w:rsidRPr="00C31FFB">
        <w:t xml:space="preserve"> </w:t>
      </w:r>
      <w:r>
        <w:t>Pharmacokinetics data was not provided and p</w:t>
      </w:r>
      <w:r w:rsidRPr="003E22DB">
        <w:t xml:space="preserve">lacental </w:t>
      </w:r>
      <w:r w:rsidRPr="00C31FFB">
        <w:t xml:space="preserve">transfer and excretion </w:t>
      </w:r>
      <w:r w:rsidRPr="002471CA">
        <w:t xml:space="preserve">of tafenoquine </w:t>
      </w:r>
      <w:r w:rsidRPr="00C31FFB">
        <w:t>into milk were also not assessed</w:t>
      </w:r>
      <w:r>
        <w:t>.</w:t>
      </w:r>
    </w:p>
    <w:p w14:paraId="7B302C77" w14:textId="7DA1922B" w:rsidR="006C365A" w:rsidRPr="00C37884" w:rsidRDefault="006C365A" w:rsidP="0084395F">
      <w:r w:rsidRPr="00C37884">
        <w:t>In the fertility stud</w:t>
      </w:r>
      <w:r>
        <w:t>y</w:t>
      </w:r>
      <w:r w:rsidRPr="00C37884">
        <w:t xml:space="preserve"> no effects on mating and fertility indices, </w:t>
      </w:r>
      <w:r w:rsidR="002522B4">
        <w:t>o</w:t>
      </w:r>
      <w:r w:rsidRPr="00C37884">
        <w:t>estrous cycles, sperm motility, sperm count or morphology</w:t>
      </w:r>
      <w:r>
        <w:t xml:space="preserve"> were observed</w:t>
      </w:r>
      <w:r w:rsidRPr="00C37884">
        <w:t xml:space="preserve">, when tafenoquine was given at doses </w:t>
      </w:r>
      <w:r>
        <w:lastRenderedPageBreak/>
        <w:t xml:space="preserve">1.5, 5 or </w:t>
      </w:r>
      <w:r w:rsidRPr="00C37884">
        <w:t>15 mg/kg/day</w:t>
      </w:r>
      <w:r>
        <w:t xml:space="preserve"> </w:t>
      </w:r>
      <w:r w:rsidRPr="00C37884">
        <w:t>(</w:t>
      </w:r>
      <w:r>
        <w:t xml:space="preserve">up </w:t>
      </w:r>
      <w:r w:rsidRPr="0043305E">
        <w:t xml:space="preserve">to </w:t>
      </w:r>
      <w:r w:rsidR="006F2C7A" w:rsidRPr="006F2C7A">
        <w:t>approximately</w:t>
      </w:r>
      <w:r w:rsidR="00F530F5">
        <w:t xml:space="preserve"> </w:t>
      </w:r>
      <w:r w:rsidRPr="0043305E">
        <w:t>6</w:t>
      </w:r>
      <w:r>
        <w:t xml:space="preserve"> times the </w:t>
      </w:r>
      <w:r w:rsidRPr="00C37884">
        <w:t>clinical exposure based on AUC). Females dosed with 15 mg/kg/day showed a statistically significant decrease (</w:t>
      </w:r>
      <w:r w:rsidR="00380988">
        <w:t>p</w:t>
      </w:r>
      <w:r w:rsidRPr="00C37884">
        <w:t>&lt;0.05) in the number o</w:t>
      </w:r>
      <w:r>
        <w:t>f</w:t>
      </w:r>
      <w:r w:rsidRPr="00C37884">
        <w:t xml:space="preserve"> corpora lutea, the number of implantations and ultimately the number of viable fetuses compared to control animals</w:t>
      </w:r>
      <w:r>
        <w:t>,</w:t>
      </w:r>
      <w:r w:rsidRPr="00C37884">
        <w:t xml:space="preserve"> which suggest that dosing with 15 mg/kg/day for 15 days prior to mating affected oocyte maturation but not ovulation, mating behaviour, implantation or embryonic development. </w:t>
      </w:r>
      <w:r>
        <w:t>Maternal and paternal toxicity was observed at 15 mg/kg/day and to a lesser extent at 5 mg/kg/day and was characterised clinical signs (piloerection, rough coat and audible breathing or increased respiratory rate) and</w:t>
      </w:r>
      <w:r w:rsidRPr="00193E25">
        <w:t xml:space="preserve"> by significantly decreased body weight gain</w:t>
      </w:r>
      <w:r>
        <w:t xml:space="preserve">. The </w:t>
      </w:r>
      <w:r w:rsidR="0084395F">
        <w:t>No observable adverse effect level (</w:t>
      </w:r>
      <w:r>
        <w:t>NOAEL</w:t>
      </w:r>
      <w:r w:rsidR="0084395F">
        <w:t>)</w:t>
      </w:r>
      <w:r>
        <w:t xml:space="preserve"> for effects on female fertility was 5 mg/kg/day (</w:t>
      </w:r>
      <w:r w:rsidR="006F2C7A" w:rsidRPr="006F2C7A">
        <w:t>approximately</w:t>
      </w:r>
      <w:r w:rsidR="00F530F5">
        <w:t xml:space="preserve"> </w:t>
      </w:r>
      <w:r>
        <w:t xml:space="preserve">2 times the clinical exposure). </w:t>
      </w:r>
      <w:r w:rsidRPr="00326AF7">
        <w:t>It was also noted that no gross or histopathology findings were noted in the testes or prostate of the male rats administered tafenoquine at doses up to 18</w:t>
      </w:r>
      <w:r w:rsidR="00380988">
        <w:t> </w:t>
      </w:r>
      <w:r w:rsidRPr="00326AF7">
        <w:t>mg/kg/day for thirteen weeks.</w:t>
      </w:r>
    </w:p>
    <w:p w14:paraId="0226BF9B" w14:textId="77777777" w:rsidR="006C365A" w:rsidRDefault="006C365A" w:rsidP="0084395F">
      <w:r w:rsidRPr="00407F76">
        <w:t xml:space="preserve">Pregnant rats at doses </w:t>
      </w:r>
      <w:r>
        <w:t xml:space="preserve">of </w:t>
      </w:r>
      <w:r w:rsidRPr="00407F76">
        <w:t>up to 30 mg/kg/day and rabbits at doses</w:t>
      </w:r>
      <w:r>
        <w:t xml:space="preserve"> of</w:t>
      </w:r>
      <w:r w:rsidRPr="00407F76">
        <w:t xml:space="preserve"> up to 25 mg/kg showed maternal toxicity at ≥ 10 mg/kg in the rat and 25 mg/kg in the rabbit. These maternally toxic doses did not cause fetal toxicity, </w:t>
      </w:r>
      <w:r>
        <w:t xml:space="preserve">and </w:t>
      </w:r>
      <w:r w:rsidRPr="00407F76">
        <w:t xml:space="preserve">tafenoquine was not teratogenic in either species at any dose. </w:t>
      </w:r>
      <w:r>
        <w:t>The highest dose in the rat and rabbit embryo</w:t>
      </w:r>
      <w:r w:rsidR="002522B4">
        <w:t>-</w:t>
      </w:r>
      <w:r>
        <w:t xml:space="preserve">fetal development studies was 10 times (rat) and 16 times (rabbit) the clinical dose on </w:t>
      </w:r>
      <w:r w:rsidR="002522B4">
        <w:t>an</w:t>
      </w:r>
      <w:r>
        <w:t xml:space="preserve"> mg/</w:t>
      </w:r>
      <w:r w:rsidRPr="00B40D80">
        <w:t>m</w:t>
      </w:r>
      <w:r w:rsidRPr="00B40D80">
        <w:rPr>
          <w:vertAlign w:val="superscript"/>
        </w:rPr>
        <w:t>2</w:t>
      </w:r>
      <w:r>
        <w:t>/week basis.</w:t>
      </w:r>
    </w:p>
    <w:p w14:paraId="23913FDA" w14:textId="3A71645F" w:rsidR="006C365A" w:rsidRDefault="006C365A" w:rsidP="0084395F">
      <w:r>
        <w:t>In the pre/postnatal development study, t</w:t>
      </w:r>
      <w:r w:rsidRPr="00040387">
        <w:t>afenoquine had no effect on pregnancy, parturition, and lactation in</w:t>
      </w:r>
      <w:r>
        <w:t xml:space="preserve"> rats </w:t>
      </w:r>
      <w:r w:rsidRPr="00040387">
        <w:t xml:space="preserve">at </w:t>
      </w:r>
      <w:r>
        <w:t xml:space="preserve">up to </w:t>
      </w:r>
      <w:r w:rsidRPr="00040387">
        <w:t xml:space="preserve">18 mg/kg/day in spite of </w:t>
      </w:r>
      <w:r>
        <w:t xml:space="preserve">maternal </w:t>
      </w:r>
      <w:r w:rsidRPr="00040387">
        <w:t>toxicity</w:t>
      </w:r>
      <w:r>
        <w:t xml:space="preserve"> </w:t>
      </w:r>
      <w:r w:rsidRPr="00040387">
        <w:t xml:space="preserve">observed at this dose level. </w:t>
      </w:r>
      <w:r>
        <w:t xml:space="preserve">However, </w:t>
      </w:r>
      <w:r w:rsidRPr="00040387">
        <w:t xml:space="preserve">alterations in </w:t>
      </w:r>
      <w:r>
        <w:t xml:space="preserve">pup </w:t>
      </w:r>
      <w:r w:rsidRPr="00040387">
        <w:t>body weights, slight developmental and</w:t>
      </w:r>
      <w:r>
        <w:t xml:space="preserve"> </w:t>
      </w:r>
      <w:r w:rsidRPr="00040387">
        <w:t>functional delays in offspring including delayed eye opening and decreased rearing activity</w:t>
      </w:r>
      <w:r>
        <w:t xml:space="preserve"> was observed</w:t>
      </w:r>
      <w:r w:rsidRPr="00040387">
        <w:t xml:space="preserve"> at</w:t>
      </w:r>
      <w:r>
        <w:t xml:space="preserve"> this dose. There were no postnatal effects at 6</w:t>
      </w:r>
      <w:r w:rsidR="00380988">
        <w:t> </w:t>
      </w:r>
      <w:r>
        <w:t>mg/kg/day.</w:t>
      </w:r>
    </w:p>
    <w:p w14:paraId="164B5DED" w14:textId="2C55BA38" w:rsidR="006C365A" w:rsidRPr="00642C7F" w:rsidRDefault="006C365A" w:rsidP="00A70B60">
      <w:pPr>
        <w:pStyle w:val="Heading4"/>
        <w:tabs>
          <w:tab w:val="left" w:pos="3102"/>
        </w:tabs>
      </w:pPr>
      <w:r w:rsidRPr="00642C7F">
        <w:t>Pregnancy classification</w:t>
      </w:r>
    </w:p>
    <w:p w14:paraId="645EFB67" w14:textId="19BD88A7" w:rsidR="006C365A" w:rsidRPr="00A70B60" w:rsidRDefault="006C365A" w:rsidP="006C365A">
      <w:pPr>
        <w:pStyle w:val="Standard"/>
        <w:rPr>
          <w:sz w:val="22"/>
          <w:szCs w:val="22"/>
        </w:rPr>
      </w:pPr>
      <w:r w:rsidRPr="00A70B60">
        <w:rPr>
          <w:sz w:val="22"/>
          <w:szCs w:val="22"/>
        </w:rPr>
        <w:t>The sponsor proposed Pregnancy Category D.</w:t>
      </w:r>
      <w:r w:rsidR="00C62FFC" w:rsidRPr="00A70B60">
        <w:rPr>
          <w:rStyle w:val="FootnoteReference"/>
          <w:sz w:val="22"/>
          <w:szCs w:val="22"/>
        </w:rPr>
        <w:footnoteReference w:id="24"/>
      </w:r>
      <w:r w:rsidR="005A767E" w:rsidRPr="00A70B60">
        <w:rPr>
          <w:rStyle w:val="FootnoteReference"/>
          <w:sz w:val="22"/>
          <w:szCs w:val="22"/>
        </w:rPr>
        <w:footnoteReference w:id="25"/>
      </w:r>
      <w:r w:rsidRPr="00A70B60">
        <w:rPr>
          <w:sz w:val="22"/>
          <w:szCs w:val="22"/>
        </w:rPr>
        <w:t xml:space="preserve"> The absence of embryo</w:t>
      </w:r>
      <w:r w:rsidR="002522B4" w:rsidRPr="00A70B60">
        <w:rPr>
          <w:sz w:val="22"/>
          <w:szCs w:val="22"/>
        </w:rPr>
        <w:t>-</w:t>
      </w:r>
      <w:r w:rsidRPr="00A70B60">
        <w:rPr>
          <w:sz w:val="22"/>
          <w:szCs w:val="22"/>
        </w:rPr>
        <w:t>f</w:t>
      </w:r>
      <w:r w:rsidR="00F530F5" w:rsidRPr="00A70B60">
        <w:rPr>
          <w:sz w:val="22"/>
          <w:szCs w:val="22"/>
        </w:rPr>
        <w:t>oe</w:t>
      </w:r>
      <w:r w:rsidRPr="00A70B60">
        <w:rPr>
          <w:sz w:val="22"/>
          <w:szCs w:val="22"/>
        </w:rPr>
        <w:t>tal effects in the rat and rabbit embryof</w:t>
      </w:r>
      <w:r w:rsidR="00F530F5" w:rsidRPr="00A70B60">
        <w:rPr>
          <w:sz w:val="22"/>
          <w:szCs w:val="22"/>
        </w:rPr>
        <w:t>e</w:t>
      </w:r>
      <w:r w:rsidRPr="00A70B60">
        <w:rPr>
          <w:sz w:val="22"/>
          <w:szCs w:val="22"/>
        </w:rPr>
        <w:t>tal development studies would suggest a Pregnancy Category B1.</w:t>
      </w:r>
      <w:r w:rsidR="00C62FFC" w:rsidRPr="00A70B60">
        <w:rPr>
          <w:rStyle w:val="FootnoteReference"/>
          <w:sz w:val="22"/>
          <w:szCs w:val="22"/>
        </w:rPr>
        <w:footnoteReference w:id="26"/>
      </w:r>
      <w:r w:rsidRPr="00A70B60">
        <w:rPr>
          <w:sz w:val="22"/>
          <w:szCs w:val="22"/>
        </w:rPr>
        <w:t xml:space="preserve"> Placental transfer of tafenoquine in rats and rabbits was not determined. Anaemia (haemolysis) and methaemoglobinaemia may occur in the f</w:t>
      </w:r>
      <w:r w:rsidR="00F530F5" w:rsidRPr="00A70B60">
        <w:rPr>
          <w:sz w:val="22"/>
          <w:szCs w:val="22"/>
        </w:rPr>
        <w:t>o</w:t>
      </w:r>
      <w:r w:rsidRPr="00A70B60">
        <w:rPr>
          <w:sz w:val="22"/>
          <w:szCs w:val="22"/>
        </w:rPr>
        <w:t xml:space="preserve">etus due to pharmacological activity of the drug, although there was no evidence of these effects in pups born from rats dosed with up to 18 mg/kg/day tafenoquine during gestation and lactation. However, fetuses with </w:t>
      </w:r>
      <w:r w:rsidR="00380988" w:rsidRPr="00A70B60">
        <w:rPr>
          <w:sz w:val="22"/>
          <w:szCs w:val="22"/>
        </w:rPr>
        <w:t>glucose</w:t>
      </w:r>
      <w:r w:rsidR="00C62FFC" w:rsidRPr="00A70B60">
        <w:rPr>
          <w:sz w:val="22"/>
          <w:szCs w:val="22"/>
        </w:rPr>
        <w:t>-6-phosphate dehydrogenase (</w:t>
      </w:r>
      <w:r w:rsidRPr="00A70B60">
        <w:rPr>
          <w:sz w:val="22"/>
          <w:szCs w:val="22"/>
        </w:rPr>
        <w:t>G6PD</w:t>
      </w:r>
      <w:r w:rsidR="00C62FFC" w:rsidRPr="00A70B60">
        <w:rPr>
          <w:sz w:val="22"/>
          <w:szCs w:val="22"/>
        </w:rPr>
        <w:t>)</w:t>
      </w:r>
      <w:r w:rsidRPr="00A70B60">
        <w:rPr>
          <w:sz w:val="22"/>
          <w:szCs w:val="22"/>
        </w:rPr>
        <w:t xml:space="preserve"> deficiency in patients may be susceptible to haemolysis induced by tafenoquine. Therefore, </w:t>
      </w:r>
      <w:r w:rsidR="00380988">
        <w:rPr>
          <w:sz w:val="22"/>
          <w:szCs w:val="22"/>
        </w:rPr>
        <w:t>P</w:t>
      </w:r>
      <w:r w:rsidR="00380988" w:rsidRPr="00A70B60">
        <w:rPr>
          <w:sz w:val="22"/>
          <w:szCs w:val="22"/>
        </w:rPr>
        <w:t xml:space="preserve">regnancy </w:t>
      </w:r>
      <w:r w:rsidR="00C62FFC" w:rsidRPr="00A70B60">
        <w:rPr>
          <w:sz w:val="22"/>
          <w:szCs w:val="22"/>
        </w:rPr>
        <w:t>C</w:t>
      </w:r>
      <w:r w:rsidRPr="00A70B60">
        <w:rPr>
          <w:sz w:val="22"/>
          <w:szCs w:val="22"/>
        </w:rPr>
        <w:t>ategory C</w:t>
      </w:r>
      <w:r w:rsidR="00380988" w:rsidRPr="00380988">
        <w:rPr>
          <w:sz w:val="22"/>
          <w:szCs w:val="22"/>
        </w:rPr>
        <w:t xml:space="preserve"> </w:t>
      </w:r>
      <w:r w:rsidR="00380988" w:rsidRPr="00FC4502">
        <w:rPr>
          <w:sz w:val="22"/>
          <w:szCs w:val="22"/>
        </w:rPr>
        <w:t>is considered appropriate</w:t>
      </w:r>
      <w:r w:rsidR="00380988" w:rsidRPr="00380988">
        <w:rPr>
          <w:rStyle w:val="FootnoteReference"/>
          <w:sz w:val="22"/>
          <w:szCs w:val="22"/>
        </w:rPr>
        <w:t xml:space="preserve"> </w:t>
      </w:r>
      <w:r w:rsidR="00380988">
        <w:t>.</w:t>
      </w:r>
      <w:r w:rsidR="00C62FFC" w:rsidRPr="00A70B60">
        <w:rPr>
          <w:rStyle w:val="FootnoteReference"/>
          <w:sz w:val="22"/>
          <w:szCs w:val="22"/>
        </w:rPr>
        <w:footnoteReference w:id="27"/>
      </w:r>
      <w:r w:rsidRPr="00A70B60">
        <w:rPr>
          <w:sz w:val="22"/>
          <w:szCs w:val="22"/>
        </w:rPr>
        <w:t>.</w:t>
      </w:r>
    </w:p>
    <w:p w14:paraId="2ADF8200" w14:textId="77777777" w:rsidR="006C365A" w:rsidRPr="005A5763" w:rsidRDefault="006C365A" w:rsidP="00C62FFC">
      <w:pPr>
        <w:pStyle w:val="Heading4"/>
      </w:pPr>
      <w:r>
        <w:t>Juvenile studies</w:t>
      </w:r>
    </w:p>
    <w:p w14:paraId="5B8AFCD6" w14:textId="77777777" w:rsidR="006C365A" w:rsidRPr="00C62FFC" w:rsidRDefault="006C365A" w:rsidP="00C62FFC">
      <w:r>
        <w:t>Tafenoquine</w:t>
      </w:r>
      <w:r w:rsidRPr="00BA7991">
        <w:t xml:space="preserve"> was generally well tolerated</w:t>
      </w:r>
      <w:r>
        <w:t xml:space="preserve"> by juvenile rats</w:t>
      </w:r>
      <w:r w:rsidRPr="00BA7991">
        <w:t xml:space="preserve"> when dosed</w:t>
      </w:r>
      <w:r>
        <w:t xml:space="preserve"> orally</w:t>
      </w:r>
      <w:r w:rsidRPr="00BA7991">
        <w:t xml:space="preserve"> every 5 days from PND 7 at doses of 5,</w:t>
      </w:r>
      <w:r>
        <w:t xml:space="preserve"> </w:t>
      </w:r>
      <w:r w:rsidRPr="00BA7991">
        <w:t xml:space="preserve">15 or 25 mg/kg </w:t>
      </w:r>
      <w:r>
        <w:t xml:space="preserve">and from </w:t>
      </w:r>
      <w:r w:rsidRPr="00BA7991">
        <w:t xml:space="preserve">PND 27 </w:t>
      </w:r>
      <w:r>
        <w:t>to 62 at 10, 20 or 50 mg/kg</w:t>
      </w:r>
      <w:r w:rsidRPr="00BA7991">
        <w:t xml:space="preserve">. </w:t>
      </w:r>
      <w:r w:rsidRPr="00BA7991">
        <w:lastRenderedPageBreak/>
        <w:t xml:space="preserve">Tafenoquine related effects were similar to those seen in adults and they included decreased body weight gain and food consumption, </w:t>
      </w:r>
      <w:r>
        <w:t xml:space="preserve">anaemia, </w:t>
      </w:r>
      <w:r w:rsidRPr="00BA7991">
        <w:t>increases in meth</w:t>
      </w:r>
      <w:r>
        <w:t>a</w:t>
      </w:r>
      <w:r w:rsidRPr="00BA7991">
        <w:t>emoglobin formation</w:t>
      </w:r>
      <w:r>
        <w:t>,</w:t>
      </w:r>
      <w:r w:rsidRPr="00BA7991">
        <w:t xml:space="preserve"> minimal/slight microscopic changes in the spleen, lung and kidney associated with macroscopic pathology and increased weight in the spleen</w:t>
      </w:r>
      <w:r>
        <w:t>, liver</w:t>
      </w:r>
      <w:r w:rsidRPr="00BA7991">
        <w:t xml:space="preserve"> and kidney with some associated minor disturbances in clinical chemistry and urine analysis in males and/or females. These changes were generally </w:t>
      </w:r>
      <w:r w:rsidRPr="00C62FFC">
        <w:t>reversible. There was no tafenoquine-related effect on growth or development, including pre-weaning body weight gain, long bone length, sexual maturation, and neuro-behavioural function.</w:t>
      </w:r>
    </w:p>
    <w:p w14:paraId="7E12787A" w14:textId="77777777" w:rsidR="006C365A" w:rsidRDefault="006C365A" w:rsidP="00C62FFC">
      <w:pPr>
        <w:pStyle w:val="Heading4"/>
      </w:pPr>
      <w:r>
        <w:t>Phototoxicity</w:t>
      </w:r>
    </w:p>
    <w:p w14:paraId="25A4DF40" w14:textId="7E8E7793" w:rsidR="006C365A" w:rsidRPr="002E7F5D" w:rsidRDefault="006C365A" w:rsidP="00C62FFC">
      <w:r w:rsidRPr="002E7F5D">
        <w:t xml:space="preserve">The phototoxicity of tafenoquine was assessed in a validated </w:t>
      </w:r>
      <w:r w:rsidR="0020528D" w:rsidRPr="0020528D">
        <w:t>in vitro</w:t>
      </w:r>
      <w:r w:rsidRPr="002E7F5D">
        <w:t xml:space="preserve"> assay (3T3 Neutral Red uptake). Tafenoquine was considered ‘probably phototoxic’ after producing a photo-irritation factor (PIF) of 4, calculated from IC</w:t>
      </w:r>
      <w:r w:rsidRPr="002E7F5D">
        <w:rPr>
          <w:vertAlign w:val="subscript"/>
        </w:rPr>
        <w:t>50</w:t>
      </w:r>
      <w:r w:rsidRPr="002E7F5D">
        <w:t xml:space="preserve"> of Neutral Red uptake into Balb/c 3T3 fibroblast cells in the presence and absence of ultra-violet A.</w:t>
      </w:r>
      <w:r w:rsidR="0020528D" w:rsidRPr="0020528D">
        <w:t xml:space="preserve"> </w:t>
      </w:r>
      <w:r>
        <w:t xml:space="preserve">A tissue distribution study in albino rats showed minimal distribution to skin and uveal tract (pigmented tissue). </w:t>
      </w:r>
      <w:r w:rsidRPr="002E7F5D">
        <w:t xml:space="preserve">No further testing for phototoxicity was performed which is consistent with </w:t>
      </w:r>
      <w:r w:rsidR="00455D15">
        <w:t>the relevant ICH guidance</w:t>
      </w:r>
      <w:r w:rsidRPr="002E7F5D">
        <w:t>.</w:t>
      </w:r>
      <w:r w:rsidR="00455D15">
        <w:rPr>
          <w:rStyle w:val="FootnoteReference"/>
        </w:rPr>
        <w:footnoteReference w:id="28"/>
      </w:r>
      <w:r w:rsidR="00AD1030">
        <w:t xml:space="preserve"> </w:t>
      </w:r>
    </w:p>
    <w:p w14:paraId="411568B3" w14:textId="77777777" w:rsidR="008E7846" w:rsidRDefault="008E7846" w:rsidP="008E7846">
      <w:pPr>
        <w:pStyle w:val="Heading3"/>
      </w:pPr>
      <w:bookmarkStart w:id="59" w:name="_Toc247691515"/>
      <w:bookmarkStart w:id="60" w:name="_Toc314842499"/>
      <w:bookmarkStart w:id="61" w:name="_Toc12348779"/>
      <w:r>
        <w:t>Nonclinical summary</w:t>
      </w:r>
      <w:bookmarkEnd w:id="59"/>
      <w:bookmarkEnd w:id="60"/>
      <w:bookmarkEnd w:id="61"/>
    </w:p>
    <w:p w14:paraId="6D5E7BAF" w14:textId="77777777" w:rsidR="006C365A" w:rsidRDefault="006C365A" w:rsidP="002A1B27">
      <w:pPr>
        <w:pStyle w:val="ListBullet"/>
      </w:pPr>
      <w:r>
        <w:t>Pivotal core safety pharmacology, toxicokinetic and repeat dose toxicity studies were GLP compliant and were generally conducted in accordance with ICH guidelines (ICH M3 (R2)).</w:t>
      </w:r>
      <w:r w:rsidR="002A1B27" w:rsidRPr="002A1B27">
        <w:rPr>
          <w:vertAlign w:val="superscript"/>
        </w:rPr>
        <w:fldChar w:fldCharType="begin"/>
      </w:r>
      <w:r w:rsidR="002A1B27" w:rsidRPr="002A1B27">
        <w:rPr>
          <w:vertAlign w:val="superscript"/>
        </w:rPr>
        <w:instrText xml:space="preserve"> NOTEREF _Ref524002363 \h </w:instrText>
      </w:r>
      <w:r w:rsidR="002A1B27">
        <w:rPr>
          <w:vertAlign w:val="superscript"/>
        </w:rPr>
        <w:instrText xml:space="preserve"> \* MERGEFORMAT </w:instrText>
      </w:r>
      <w:r w:rsidR="002A1B27" w:rsidRPr="002A1B27">
        <w:rPr>
          <w:vertAlign w:val="superscript"/>
        </w:rPr>
      </w:r>
      <w:r w:rsidR="002A1B27" w:rsidRPr="002A1B27">
        <w:rPr>
          <w:vertAlign w:val="superscript"/>
        </w:rPr>
        <w:fldChar w:fldCharType="separate"/>
      </w:r>
      <w:r w:rsidR="00CE218E">
        <w:rPr>
          <w:vertAlign w:val="superscript"/>
        </w:rPr>
        <w:t>4</w:t>
      </w:r>
      <w:r w:rsidR="002A1B27" w:rsidRPr="002A1B27">
        <w:rPr>
          <w:vertAlign w:val="superscript"/>
        </w:rPr>
        <w:fldChar w:fldCharType="end"/>
      </w:r>
    </w:p>
    <w:p w14:paraId="5CBBCE8D" w14:textId="7FBA992C" w:rsidR="006C365A" w:rsidRDefault="006C365A" w:rsidP="002A1B27">
      <w:pPr>
        <w:pStyle w:val="ListBullet"/>
      </w:pPr>
      <w:r>
        <w:t>Tafenoquine affects multiple aspects of the malaria life cycle.</w:t>
      </w:r>
      <w:r w:rsidR="0020528D" w:rsidRPr="0020528D">
        <w:t xml:space="preserve"> </w:t>
      </w:r>
      <w:r>
        <w:t>In vitro blood schizonticide activity of tafenoquine was demonstrated to be 2</w:t>
      </w:r>
      <w:r w:rsidR="00380988">
        <w:t xml:space="preserve"> to </w:t>
      </w:r>
      <w:r>
        <w:t xml:space="preserve">15 folds greater than </w:t>
      </w:r>
      <w:r w:rsidR="00994561">
        <w:t>primaquine</w:t>
      </w:r>
      <w:r>
        <w:t>. In vivo blood schizonticidal and prophylaxis activity was demonstrated in mice. In monkeys tafenoquine showed slow acting schizonticide activity in the treatment of malaria infection. Together these studies demonstrated that tafenoquine kills the early hepatic stages of the parasite that result from sporozoite infection of the liver after a mosquito bites the host and is also a slow acting blood schizonticide. However the actual mechanism of action of tafenoquine was not defined.</w:t>
      </w:r>
    </w:p>
    <w:p w14:paraId="2BEFD94E" w14:textId="34933AC0" w:rsidR="006C365A" w:rsidRDefault="006C365A" w:rsidP="002A1B27">
      <w:pPr>
        <w:pStyle w:val="ListBullet"/>
      </w:pPr>
      <w:r>
        <w:t xml:space="preserve">Safety pharmacology studies assessed effects on the cardiovascular, respiratory and CNS. No adverse effects were seen on CNS function (including microscopic findings of the brain) in rats or respiratory function in dogs. Significant tafenoquine inhibition of </w:t>
      </w:r>
      <w:r w:rsidR="002A1B27">
        <w:t>potassium (</w:t>
      </w:r>
      <w:r>
        <w:t>hERG</w:t>
      </w:r>
      <w:r w:rsidR="002A1B27">
        <w:t>)</w:t>
      </w:r>
      <w:r>
        <w:t xml:space="preserve"> channel tail current was observed in a dose dependent manner in vitro (IC</w:t>
      </w:r>
      <w:r w:rsidRPr="002A1B27">
        <w:rPr>
          <w:vertAlign w:val="subscript"/>
        </w:rPr>
        <w:t>50</w:t>
      </w:r>
      <w:r>
        <w:t xml:space="preserve"> &gt; 300 times the expected clinical C</w:t>
      </w:r>
      <w:r w:rsidRPr="002A1B27">
        <w:rPr>
          <w:vertAlign w:val="subscript"/>
        </w:rPr>
        <w:t>max</w:t>
      </w:r>
      <w:r>
        <w:t xml:space="preserve"> of tafenoquine (unbound)). However, when administered orally at doses up to 16 mg/kg (3 x the clinical dose based on C</w:t>
      </w:r>
      <w:r w:rsidRPr="002A1B27">
        <w:rPr>
          <w:vertAlign w:val="subscript"/>
        </w:rPr>
        <w:t>max</w:t>
      </w:r>
      <w:r>
        <w:t>), there were no treatment related effects on either cardiovascular or ECG parameters and therefore tafenoquine is not predicted to prolong the QT interval in patients.</w:t>
      </w:r>
    </w:p>
    <w:p w14:paraId="2B705643" w14:textId="22854DE4" w:rsidR="006C365A" w:rsidRDefault="006C365A" w:rsidP="002A1B27">
      <w:pPr>
        <w:pStyle w:val="ListBullet"/>
      </w:pPr>
      <w:r>
        <w:t>Single doses of tafenoquine in mice, rats and dogs demonstrated slow absorption and elimination with T</w:t>
      </w:r>
      <w:r w:rsidRPr="002A1B27">
        <w:rPr>
          <w:vertAlign w:val="subscript"/>
        </w:rPr>
        <w:t>max</w:t>
      </w:r>
      <w:r>
        <w:t xml:space="preserve"> of 4</w:t>
      </w:r>
      <w:r w:rsidR="00380988">
        <w:t xml:space="preserve"> to </w:t>
      </w:r>
      <w:r>
        <w:t>12 h (similar to humans) and elimination t</w:t>
      </w:r>
      <w:r w:rsidRPr="002A1B27">
        <w:rPr>
          <w:vertAlign w:val="subscript"/>
        </w:rPr>
        <w:t>1/2</w:t>
      </w:r>
      <w:r>
        <w:t xml:space="preserve"> of 2</w:t>
      </w:r>
      <w:r w:rsidR="00380988">
        <w:t xml:space="preserve"> to </w:t>
      </w:r>
      <w:r>
        <w:t>7 days, compared with 14 days in humans. Tafenoquine is highly protein bound (generally &gt;99%) across</w:t>
      </w:r>
      <w:r w:rsidR="00AD1030">
        <w:t xml:space="preserve"> </w:t>
      </w:r>
      <w:r>
        <w:t>animal species. Minimal metabolism of tafenoquine occurred in all species and generally only tafenoquine was extracted in the plasma of all species.</w:t>
      </w:r>
      <w:r w:rsidR="0020528D" w:rsidRPr="0020528D">
        <w:t xml:space="preserve"> </w:t>
      </w:r>
      <w:r>
        <w:t>The major route of excretion in the rat, dog and monkey was via the faeces (with biliary excretion) and to a lesser extend via the urine.</w:t>
      </w:r>
    </w:p>
    <w:p w14:paraId="0FAA026A" w14:textId="1C47772A" w:rsidR="006C365A" w:rsidRDefault="006C365A" w:rsidP="002A1B27">
      <w:pPr>
        <w:pStyle w:val="ListBullet"/>
      </w:pPr>
      <w:r>
        <w:t>Single dose toxicity studies in rats, guinea pigs and rabbits (by the oral route) showed moderate to acute toxicity.</w:t>
      </w:r>
    </w:p>
    <w:p w14:paraId="082B4738" w14:textId="449A1A10" w:rsidR="006C365A" w:rsidRDefault="006C365A" w:rsidP="002A1B27">
      <w:pPr>
        <w:pStyle w:val="ListBullet"/>
      </w:pPr>
      <w:r>
        <w:lastRenderedPageBreak/>
        <w:t>Pivotal repeat dose studies were conducted in mice, rats and dogs with low exposures. The major target organs for tafenoquine were the lung (phospholipidosis), liver (centrilobular inflammation, apoptosis, fatty change and increased plasma transaminases) and kidney (tubular nephrosis, necrosis and dilation at 13 weeks in the rat; not present in the dog). Mortalities occurred in mice at ≥ 3 mg/kg/day and in rats at ≥9 mg/kg/day. Other principal and consistent recurrent toxicological findings included poor clinical conditions, reduced food consumption and weight gain, decreased red cell parameter values, increased</w:t>
      </w:r>
      <w:r w:rsidR="0020528D" w:rsidRPr="0020528D">
        <w:t xml:space="preserve"> </w:t>
      </w:r>
      <w:r>
        <w:t>MetHb, the appearance of blue tongue or gums in the dog, blue skin/ears and pallor in rats, mild anaemia associated with compensatory erythropoiesis, increased deposition of brown/haemosiderin pigment in a number of tissues, bone marrow hyperplasia in rats and dogs, increased spleen weight (all species) and splenic hyperplasia, as well as splenic congestion and pooling of red blood cells in rats and dogs, increased adrenal weight, pigmentation and congestion in the rat, and lymphocyte depletion/necrosis in lymphoid tissues in rats and dogs. These effects were both time and dose dependent and showed partial or complete reversibility.</w:t>
      </w:r>
    </w:p>
    <w:p w14:paraId="7F57F759" w14:textId="77777777" w:rsidR="006C365A" w:rsidRDefault="006C365A" w:rsidP="002A1B27">
      <w:pPr>
        <w:pStyle w:val="ListBullet"/>
      </w:pPr>
      <w:r>
        <w:t xml:space="preserve">Tafenoquine was not mutagenic in bacterial reverse mutation assays, in vitro chromosome aberration assays in Chinese hamster ovary cells, in vivo micronucleus test, in gene mutation assays in Chinese hamster ovary cells but was weekly positive in a mouse lymphoma cell gene mutation assay with metabolic activation. Overall, tafenoquine is not considered to present a genotoxic risk to humans. </w:t>
      </w:r>
    </w:p>
    <w:p w14:paraId="6CB90086" w14:textId="50207D28" w:rsidR="006C365A" w:rsidRDefault="006C365A" w:rsidP="002A1B27">
      <w:pPr>
        <w:pStyle w:val="ListBullet"/>
      </w:pPr>
      <w:r>
        <w:t>In a two year rat carcinogenicity study, an increase in the incidence of renal tumours and hyperplasia in male rats was observed following oral administration of 1.0 and/or 2.0 mg/kg/day (clinical exposures of 0.7 and 1.6 respectively based on AUC). Increased cell proliferation, karyomegaly and diffuse medullary epithelial vacuolation and single cell necrosis were observed in both sexes in a 13</w:t>
      </w:r>
      <w:r w:rsidR="000C24B0">
        <w:t xml:space="preserve"> week</w:t>
      </w:r>
      <w:r>
        <w:t xml:space="preserve"> study at 2 and/or 18</w:t>
      </w:r>
      <w:r w:rsidR="00380988">
        <w:t> </w:t>
      </w:r>
      <w:r>
        <w:t>mg/kg/day.</w:t>
      </w:r>
      <w:r w:rsidR="0020528D" w:rsidRPr="0020528D">
        <w:t xml:space="preserve"> </w:t>
      </w:r>
      <w:r>
        <w:t>The above findings together with the absence of genotoxicity point to a non-genotoxic mechanism of renal carcinogenicity. The renal tumours in rats probably resulted from chronic cellular damage leading to cell regeneration, proliferation, hyperplasia and finally renal tumours. The exact mechanism is unclear but CPN was increased in male rats at these doses, suggesting CPN might be a contributing factor since renal tumours were observed only in male rats. CPN is a common renal lesion in male rats with no counter-part in humans, and is not considered relevant to human risk assessment. Considering other findings described above in both sexes in the 13</w:t>
      </w:r>
      <w:r w:rsidR="000C24B0">
        <w:t xml:space="preserve"> week</w:t>
      </w:r>
      <w:r>
        <w:t xml:space="preserve"> study and that the exact mechanism is unclear, renal tumours in male rats treated with tafenoquine are clinically relevant. Tafenoquine was not carcinogenic in a life time study in mice at up to 1 mg/kg/day for 2 years. There is a low risk of carcinogenicity in humans from the proposed short term dosing regimen.</w:t>
      </w:r>
    </w:p>
    <w:p w14:paraId="105603CD" w14:textId="096E4B44" w:rsidR="006C365A" w:rsidRDefault="006C365A" w:rsidP="002A1B27">
      <w:pPr>
        <w:pStyle w:val="ListBullet"/>
      </w:pPr>
      <w:r>
        <w:t>In fertility studies female rats dosed with 15 mg/kg/day (</w:t>
      </w:r>
      <w:r w:rsidR="006F2C7A" w:rsidRPr="006F2C7A">
        <w:t>approximately</w:t>
      </w:r>
      <w:r w:rsidR="00AD1030">
        <w:t xml:space="preserve"> </w:t>
      </w:r>
      <w:r>
        <w:t>6 times the clinical exposure based on AUC) showed a statistically significant decrease (</w:t>
      </w:r>
      <w:r w:rsidR="00380988">
        <w:t>p</w:t>
      </w:r>
      <w:r>
        <w:t>&lt;0.05) in the number or corpora lutea, resulting in decreased number of implantations and viable fetuses. There was no effect on male fertility in rats. In embryo</w:t>
      </w:r>
      <w:r w:rsidR="002522B4">
        <w:t>-</w:t>
      </w:r>
      <w:r>
        <w:t xml:space="preserve">fetal development studies tafenoquine was not teratogenic in rats or rabbits. In a postnatal development study, developmental and functional delays were observed in rat offspring at the highest dose of 18 mg/kg/day (&gt; 6 times the clinical AUC). </w:t>
      </w:r>
    </w:p>
    <w:p w14:paraId="4EDC9156" w14:textId="77777777" w:rsidR="006C365A" w:rsidRDefault="006C365A" w:rsidP="002A1B27">
      <w:pPr>
        <w:pStyle w:val="ListBullet"/>
      </w:pPr>
      <w:r>
        <w:t>In vitro inhibition of renal transporter OCT2, MATE1 and MATE2‐K (based on unbound C</w:t>
      </w:r>
      <w:r w:rsidRPr="002B10E3">
        <w:rPr>
          <w:vertAlign w:val="subscript"/>
        </w:rPr>
        <w:t>max</w:t>
      </w:r>
      <w:r>
        <w:t xml:space="preserve"> and IC</w:t>
      </w:r>
      <w:r w:rsidRPr="002B10E3">
        <w:rPr>
          <w:vertAlign w:val="subscript"/>
        </w:rPr>
        <w:t>50</w:t>
      </w:r>
      <w:r>
        <w:t xml:space="preserve"> values) indicate a weak potential interaction of tafenoquine with OCT2 and MATE.</w:t>
      </w:r>
    </w:p>
    <w:p w14:paraId="7EC05D1D" w14:textId="77777777" w:rsidR="002B10E3" w:rsidRDefault="006C365A" w:rsidP="002A1B27">
      <w:pPr>
        <w:pStyle w:val="ListBullet"/>
      </w:pPr>
      <w:r>
        <w:t>Tafenoquine showed low potential to be phototoxic in a validated in vitro assay (3T3 Neutral Red uptake). The in vitro phototoxicity results and low distribution to skin in rats suggest low risk of phototoxicity in humans.</w:t>
      </w:r>
      <w:r w:rsidRPr="006C365A">
        <w:t xml:space="preserve"> </w:t>
      </w:r>
    </w:p>
    <w:p w14:paraId="34C12FAD" w14:textId="77777777" w:rsidR="006C365A" w:rsidRDefault="002B10E3" w:rsidP="002B10E3">
      <w:pPr>
        <w:pStyle w:val="Heading3"/>
      </w:pPr>
      <w:bookmarkStart w:id="62" w:name="_Toc12348780"/>
      <w:r>
        <w:lastRenderedPageBreak/>
        <w:t>Nonclinical conclusions and recommendation</w:t>
      </w:r>
      <w:bookmarkEnd w:id="62"/>
    </w:p>
    <w:p w14:paraId="724EC959" w14:textId="77777777" w:rsidR="006C365A" w:rsidRDefault="006C365A" w:rsidP="002A1B27">
      <w:pPr>
        <w:pStyle w:val="ListBullet"/>
      </w:pPr>
      <w:r>
        <w:t xml:space="preserve">Overall the </w:t>
      </w:r>
      <w:r w:rsidR="002B10E3">
        <w:t>nonclinical submission</w:t>
      </w:r>
      <w:r>
        <w:t xml:space="preserve"> was adequate.</w:t>
      </w:r>
    </w:p>
    <w:p w14:paraId="538F62CD" w14:textId="77777777" w:rsidR="006C365A" w:rsidRDefault="006C365A" w:rsidP="002A1B27">
      <w:pPr>
        <w:pStyle w:val="ListBullet"/>
      </w:pPr>
      <w:r>
        <w:t>The primary pharmacology studies support the use of tafenoquine for the proposed indication.</w:t>
      </w:r>
    </w:p>
    <w:p w14:paraId="3ECE3BE6" w14:textId="77777777" w:rsidR="006C365A" w:rsidRDefault="006C365A" w:rsidP="002A1B27">
      <w:pPr>
        <w:pStyle w:val="ListBullet"/>
      </w:pPr>
      <w:r>
        <w:t>The major target organs for tafenoquine in repeat dose studies were the lung (phospholipidosis), liver (centrilobular inflammation, apoptosis, fatty change and increased plasma transaminases) and kidney (tubular nephrosis, necrosis and dilation at 13 weeks in the rat; not present in the dog). These findings are clinically relevant.</w:t>
      </w:r>
    </w:p>
    <w:p w14:paraId="08DCAFD7" w14:textId="77777777" w:rsidR="006C365A" w:rsidRDefault="006C365A" w:rsidP="002A1B27">
      <w:pPr>
        <w:pStyle w:val="ListBullet"/>
      </w:pPr>
      <w:r>
        <w:t>Tafenoquine does not pose a genotoxic hazard but caused renal tumours in male rats through a non-genotoxic mechanism, probably as result of chronic cellular damage leading to cell regeneration, proliferation, hyperplasia and finally renal tumours. There is a low risk of developing renal tumours in humans from the proposed short term use.</w:t>
      </w:r>
    </w:p>
    <w:p w14:paraId="155270F2" w14:textId="77777777" w:rsidR="006C365A" w:rsidRDefault="006C365A" w:rsidP="002A1B27">
      <w:pPr>
        <w:pStyle w:val="ListBullet"/>
      </w:pPr>
      <w:r>
        <w:t>Tafenoquine is not teratogenic. Postnatal developmental and functional delays were observed in the offspring of rats at 8 times the clinical exposure based on AUC.</w:t>
      </w:r>
    </w:p>
    <w:p w14:paraId="16C3C357" w14:textId="674A1A1C" w:rsidR="006C365A" w:rsidRDefault="006C365A" w:rsidP="002A1B27">
      <w:pPr>
        <w:pStyle w:val="ListBullet"/>
      </w:pPr>
      <w:r>
        <w:t xml:space="preserve">Pregnancy Category C is considered appropriate based on the expected haemolytic effects on fetuses with G6PD deficiency in </w:t>
      </w:r>
      <w:r w:rsidR="00AD1030">
        <w:t>women taking tafenoquine</w:t>
      </w:r>
      <w:r>
        <w:t>. Use during pregnancy and breastfeeding is not recommended.</w:t>
      </w:r>
    </w:p>
    <w:p w14:paraId="6F29A8C2" w14:textId="77777777" w:rsidR="006C365A" w:rsidRDefault="006C365A" w:rsidP="002A1B27">
      <w:pPr>
        <w:pStyle w:val="ListBullet"/>
      </w:pPr>
      <w:r>
        <w:t>Provided the above effects are adequately monitored or managed during clinical use and that the benefit/risk profile seems acceptable from a clinical perspective, there are no objections on nonclinical grounds to the proposed registration of tafenoquine succinate (</w:t>
      </w:r>
      <w:r w:rsidR="00A84DBA">
        <w:t>Kodatef</w:t>
      </w:r>
      <w:r>
        <w:t xml:space="preserve">). </w:t>
      </w:r>
    </w:p>
    <w:p w14:paraId="2C3C179C" w14:textId="77777777" w:rsidR="006C365A" w:rsidRPr="006C365A" w:rsidRDefault="002B10E3" w:rsidP="002A1B27">
      <w:pPr>
        <w:pStyle w:val="ListBullet"/>
      </w:pPr>
      <w:r>
        <w:t>The nonclinical evaluator recommended amendments to the</w:t>
      </w:r>
      <w:r w:rsidR="004415DE">
        <w:t xml:space="preserve"> </w:t>
      </w:r>
      <w:r w:rsidR="006C365A">
        <w:t xml:space="preserve">draft Product Information </w:t>
      </w:r>
      <w:r>
        <w:t>but these are beyond the scope of this AusPAR</w:t>
      </w:r>
      <w:r w:rsidR="006C365A">
        <w:t>.</w:t>
      </w:r>
    </w:p>
    <w:p w14:paraId="18627C56" w14:textId="77777777" w:rsidR="008E7846" w:rsidRPr="00254787" w:rsidRDefault="008E7846" w:rsidP="008E7846">
      <w:pPr>
        <w:pStyle w:val="Heading2"/>
      </w:pPr>
      <w:bookmarkStart w:id="63" w:name="_Toc196046462"/>
      <w:bookmarkStart w:id="64" w:name="_Toc247691516"/>
      <w:bookmarkStart w:id="65" w:name="_Toc314842500"/>
      <w:bookmarkStart w:id="66" w:name="_Toc12348781"/>
      <w:bookmarkStart w:id="67" w:name="_Toc163441353"/>
      <w:bookmarkStart w:id="68" w:name="_Toc163441348"/>
      <w:r>
        <w:t xml:space="preserve">V. </w:t>
      </w:r>
      <w:r w:rsidRPr="00254787">
        <w:t>Clinical</w:t>
      </w:r>
      <w:bookmarkEnd w:id="63"/>
      <w:r>
        <w:t xml:space="preserve"> </w:t>
      </w:r>
      <w:r w:rsidR="003A7F6C">
        <w:t>f</w:t>
      </w:r>
      <w:r>
        <w:t>indings</w:t>
      </w:r>
      <w:bookmarkEnd w:id="64"/>
      <w:bookmarkEnd w:id="65"/>
      <w:bookmarkEnd w:id="66"/>
    </w:p>
    <w:p w14:paraId="1548BFB8" w14:textId="77777777" w:rsidR="00C80137" w:rsidRDefault="00C80137" w:rsidP="00D425BB">
      <w:bookmarkStart w:id="69" w:name="_Toc196046463"/>
      <w:r>
        <w:t xml:space="preserve">A summary of the </w:t>
      </w:r>
      <w:r w:rsidRPr="00FD70B8">
        <w:t>clinical finding</w:t>
      </w:r>
      <w:r w:rsidR="002B10E3">
        <w:t>s is presented in this section.</w:t>
      </w:r>
    </w:p>
    <w:p w14:paraId="22EFAC78" w14:textId="77777777" w:rsidR="008E7846" w:rsidRDefault="008E7846" w:rsidP="008E7846">
      <w:pPr>
        <w:pStyle w:val="Heading3"/>
      </w:pPr>
      <w:bookmarkStart w:id="70" w:name="_Toc247691517"/>
      <w:bookmarkStart w:id="71" w:name="_Toc314842501"/>
      <w:bookmarkStart w:id="72" w:name="_Toc12348782"/>
      <w:r w:rsidRPr="00254787">
        <w:t>Introduction</w:t>
      </w:r>
      <w:bookmarkEnd w:id="69"/>
      <w:bookmarkEnd w:id="70"/>
      <w:bookmarkEnd w:id="71"/>
      <w:bookmarkEnd w:id="72"/>
    </w:p>
    <w:p w14:paraId="5FB83B07" w14:textId="77777777" w:rsidR="00023DE8" w:rsidRDefault="00023DE8" w:rsidP="007340ED">
      <w:pPr>
        <w:pStyle w:val="Heading4"/>
      </w:pPr>
      <w:bookmarkStart w:id="73" w:name="_Toc504229353"/>
      <w:bookmarkStart w:id="74" w:name="_Toc501809126"/>
      <w:bookmarkStart w:id="75" w:name="_Toc196046464"/>
      <w:bookmarkStart w:id="76" w:name="_Toc247691518"/>
      <w:bookmarkStart w:id="77" w:name="_Toc314842502"/>
      <w:r>
        <w:t>Clinical rationale</w:t>
      </w:r>
      <w:bookmarkEnd w:id="73"/>
      <w:bookmarkEnd w:id="74"/>
    </w:p>
    <w:p w14:paraId="39BD67AA" w14:textId="5DF3F2F6" w:rsidR="00023DE8" w:rsidRDefault="00023DE8" w:rsidP="00023DE8">
      <w:pPr>
        <w:rPr>
          <w:lang w:eastAsia="ja-JP"/>
        </w:rPr>
      </w:pPr>
      <w:r>
        <w:rPr>
          <w:lang w:eastAsia="ja-JP"/>
        </w:rPr>
        <w:t xml:space="preserve">The wide range of side effects with both doxycycline and mefloquine, as well adherence to dosing regimens and prescribed chemoprophylaxis after leaving the country of exposure, are the major issues with these drugs being used effectively. Daily administration of drugs is a problem in relation to compliance (doxycycline and </w:t>
      </w:r>
      <w:r w:rsidR="00BE6286">
        <w:rPr>
          <w:lang w:eastAsia="ja-JP"/>
        </w:rPr>
        <w:t>Malarone</w:t>
      </w:r>
      <w:r>
        <w:rPr>
          <w:lang w:eastAsia="ja-JP"/>
        </w:rPr>
        <w:t>). There is better adherence with weekly regimens (such as mefloquine) but the neuropsychiatric adverse effects of mefloquine have curtained its use as a chemoprophylactic agent.</w:t>
      </w:r>
    </w:p>
    <w:p w14:paraId="323EC2B8" w14:textId="77777777" w:rsidR="00023DE8" w:rsidRDefault="00023DE8" w:rsidP="00023DE8">
      <w:pPr>
        <w:rPr>
          <w:lang w:eastAsia="ja-JP"/>
        </w:rPr>
      </w:pPr>
      <w:r>
        <w:rPr>
          <w:lang w:eastAsia="ja-JP"/>
        </w:rPr>
        <w:t xml:space="preserve">The unmet medical need for malaria chemoprophylaxis </w:t>
      </w:r>
      <w:r w:rsidRPr="00512DCC">
        <w:rPr>
          <w:lang w:eastAsia="ja-JP"/>
        </w:rPr>
        <w:t>while in endemic regions</w:t>
      </w:r>
      <w:r>
        <w:rPr>
          <w:lang w:eastAsia="ja-JP"/>
        </w:rPr>
        <w:t xml:space="preserve"> is an effective, weekly drug without the neuropsychiatric adverse reactions of mefloquine.</w:t>
      </w:r>
    </w:p>
    <w:p w14:paraId="2CC0DE24" w14:textId="4DC2AEE9" w:rsidR="00023DE8" w:rsidRDefault="00023DE8" w:rsidP="00023DE8">
      <w:pPr>
        <w:rPr>
          <w:lang w:eastAsia="ja-JP"/>
        </w:rPr>
      </w:pPr>
      <w:r>
        <w:rPr>
          <w:lang w:eastAsia="ja-JP"/>
        </w:rPr>
        <w:t>In relation to post-exposure prophylaxis to kill Pv dormant forms (thus preventing relapse) the unmet medical need is a 1</w:t>
      </w:r>
      <w:r w:rsidR="007340ED">
        <w:rPr>
          <w:lang w:eastAsia="ja-JP"/>
        </w:rPr>
        <w:t xml:space="preserve"> </w:t>
      </w:r>
      <w:r>
        <w:rPr>
          <w:lang w:eastAsia="ja-JP"/>
        </w:rPr>
        <w:t xml:space="preserve">dose regimen that will be inherently superior to 7 daily doses of Malarone, 4 weekly doses of </w:t>
      </w:r>
      <w:r w:rsidR="00E71EF1">
        <w:rPr>
          <w:lang w:eastAsia="ja-JP"/>
        </w:rPr>
        <w:t>m</w:t>
      </w:r>
      <w:r>
        <w:rPr>
          <w:lang w:eastAsia="ja-JP"/>
        </w:rPr>
        <w:t xml:space="preserve">efloquine, and either of those regimens combined with 14 daily doses of </w:t>
      </w:r>
      <w:r w:rsidR="00994561">
        <w:rPr>
          <w:lang w:eastAsia="ja-JP"/>
        </w:rPr>
        <w:t>primaquine</w:t>
      </w:r>
      <w:r>
        <w:rPr>
          <w:lang w:eastAsia="ja-JP"/>
        </w:rPr>
        <w:t>. Po malaria can also relapse but is rarely seen in Australia.</w:t>
      </w:r>
    </w:p>
    <w:p w14:paraId="7E16E7FC" w14:textId="77777777" w:rsidR="00023DE8" w:rsidRDefault="00023DE8" w:rsidP="007340ED">
      <w:pPr>
        <w:pStyle w:val="Heading4"/>
      </w:pPr>
      <w:bookmarkStart w:id="78" w:name="_Toc504229356"/>
      <w:bookmarkStart w:id="79" w:name="_Toc501809129"/>
      <w:r>
        <w:lastRenderedPageBreak/>
        <w:t>Guidance</w:t>
      </w:r>
      <w:bookmarkEnd w:id="78"/>
      <w:bookmarkEnd w:id="79"/>
    </w:p>
    <w:p w14:paraId="4FCEB7BD" w14:textId="40BD0520" w:rsidR="00023DE8" w:rsidRDefault="00023DE8" w:rsidP="00023DE8">
      <w:pPr>
        <w:rPr>
          <w:lang w:eastAsia="ja-JP"/>
        </w:rPr>
      </w:pPr>
      <w:r>
        <w:rPr>
          <w:lang w:eastAsia="ja-JP"/>
        </w:rPr>
        <w:t>The major guidance comes from the FDA draft guidance on development of prophylactic antimalarial drugs</w:t>
      </w:r>
      <w:r w:rsidR="0094784D">
        <w:rPr>
          <w:lang w:eastAsia="ja-JP"/>
        </w:rPr>
        <w:t>;</w:t>
      </w:r>
      <w:r w:rsidR="00025C59">
        <w:rPr>
          <w:rStyle w:val="FootnoteReference"/>
          <w:lang w:eastAsia="ja-JP"/>
        </w:rPr>
        <w:footnoteReference w:id="29"/>
      </w:r>
      <w:r>
        <w:rPr>
          <w:lang w:eastAsia="ja-JP"/>
        </w:rPr>
        <w:t xml:space="preserve"> lists all of the following possible study designs. There are 3</w:t>
      </w:r>
      <w:r w:rsidR="0094784D">
        <w:rPr>
          <w:lang w:eastAsia="ja-JP"/>
        </w:rPr>
        <w:t> </w:t>
      </w:r>
      <w:r>
        <w:rPr>
          <w:lang w:eastAsia="ja-JP"/>
        </w:rPr>
        <w:t>alternatives for a pivotal trial, each with advantages and disadvantages:</w:t>
      </w:r>
    </w:p>
    <w:p w14:paraId="486BBDFA" w14:textId="2E7A665B" w:rsidR="00023DE8" w:rsidRDefault="00023DE8" w:rsidP="00025C59">
      <w:pPr>
        <w:pStyle w:val="Numberbullet0"/>
        <w:rPr>
          <w:lang w:eastAsia="ja-JP"/>
        </w:rPr>
      </w:pPr>
      <w:r>
        <w:rPr>
          <w:lang w:eastAsia="ja-JP"/>
        </w:rPr>
        <w:t>A comparator-controlled study can be performed in non-immunes. Historic placebo infection rates can be used to address this difficulty, and are required for a non</w:t>
      </w:r>
      <w:r w:rsidR="0094784D">
        <w:rPr>
          <w:lang w:eastAsia="ja-JP"/>
        </w:rPr>
        <w:noBreakHyphen/>
      </w:r>
      <w:r>
        <w:rPr>
          <w:lang w:eastAsia="ja-JP"/>
        </w:rPr>
        <w:t xml:space="preserve">inferiority analysis of the study. </w:t>
      </w:r>
    </w:p>
    <w:p w14:paraId="6864045F" w14:textId="28B580B6" w:rsidR="00023DE8" w:rsidRDefault="00023DE8" w:rsidP="00025C59">
      <w:pPr>
        <w:pStyle w:val="Numberbullet0"/>
        <w:rPr>
          <w:lang w:eastAsia="ja-JP"/>
        </w:rPr>
      </w:pPr>
      <w:r>
        <w:rPr>
          <w:lang w:eastAsia="ja-JP"/>
        </w:rPr>
        <w:t>A placebo-controlled study can be performed in a semi-immune population who, through repeated prior exposure to parasites, will tolerate infection well during the study. However, interpretation of the study data is difficult because of the unknown contribution of immunity to drug effect.</w:t>
      </w:r>
    </w:p>
    <w:p w14:paraId="6008A792" w14:textId="77777777" w:rsidR="00023DE8" w:rsidRDefault="00023DE8" w:rsidP="00025C59">
      <w:pPr>
        <w:pStyle w:val="Numberbullet0"/>
        <w:rPr>
          <w:lang w:eastAsia="ja-JP"/>
        </w:rPr>
      </w:pPr>
      <w:r>
        <w:rPr>
          <w:lang w:eastAsia="ja-JP"/>
        </w:rPr>
        <w:t>A placebo-controlled study in non-immunes can be performed in the malaria challenge model in a clinical laboratory where subject safety is tightly monitored, but the precise relevance of this model to parasite challenge in the real world is uncertain but protective efficacy can be shown.</w:t>
      </w:r>
    </w:p>
    <w:p w14:paraId="47117DEE" w14:textId="77777777" w:rsidR="009C7682" w:rsidRDefault="00023DE8" w:rsidP="00023DE8">
      <w:pPr>
        <w:rPr>
          <w:lang w:eastAsia="ja-JP"/>
        </w:rPr>
      </w:pPr>
      <w:r>
        <w:rPr>
          <w:lang w:eastAsia="ja-JP"/>
        </w:rPr>
        <w:t>It further states that prophylaxis applications can be significantly strengthened by studies involving treatment of established infection.</w:t>
      </w:r>
    </w:p>
    <w:p w14:paraId="0518F0E7" w14:textId="79440683" w:rsidR="00023DE8" w:rsidRPr="00C41638" w:rsidRDefault="009C7682" w:rsidP="00025C59">
      <w:pPr>
        <w:rPr>
          <w:vertAlign w:val="superscript"/>
        </w:rPr>
      </w:pPr>
      <w:r>
        <w:rPr>
          <w:lang w:eastAsia="ja-JP"/>
        </w:rPr>
        <w:t>T</w:t>
      </w:r>
      <w:r w:rsidR="00023DE8" w:rsidRPr="00BA2F35">
        <w:rPr>
          <w:lang w:eastAsia="ja-JP"/>
        </w:rPr>
        <w:t>he submission includes the comparator-controlled pivotal Study 033 (</w:t>
      </w:r>
      <w:r w:rsidR="002B4B0B">
        <w:rPr>
          <w:lang w:eastAsia="ja-JP"/>
        </w:rPr>
        <w:t>with Australian Defence Force</w:t>
      </w:r>
      <w:r w:rsidR="00023DE8" w:rsidRPr="00BA2F35">
        <w:rPr>
          <w:lang w:eastAsia="ja-JP"/>
        </w:rPr>
        <w:t xml:space="preserve"> personnel stationed in </w:t>
      </w:r>
      <w:r w:rsidR="004C098C">
        <w:rPr>
          <w:lang w:eastAsia="ja-JP"/>
        </w:rPr>
        <w:t xml:space="preserve">East </w:t>
      </w:r>
      <w:r w:rsidR="00023DE8" w:rsidRPr="00BA2F35">
        <w:rPr>
          <w:lang w:eastAsia="ja-JP"/>
        </w:rPr>
        <w:t>Timor), supported by a placebo</w:t>
      </w:r>
      <w:r w:rsidR="00025C59">
        <w:rPr>
          <w:lang w:eastAsia="ja-JP"/>
        </w:rPr>
        <w:t xml:space="preserve"> </w:t>
      </w:r>
      <w:r w:rsidR="00023DE8" w:rsidRPr="00BA2F35">
        <w:rPr>
          <w:lang w:eastAsia="ja-JP"/>
        </w:rPr>
        <w:t>controlled prophylaxis stud</w:t>
      </w:r>
      <w:r w:rsidR="00023DE8">
        <w:rPr>
          <w:lang w:eastAsia="ja-JP"/>
        </w:rPr>
        <w:t>y</w:t>
      </w:r>
      <w:r w:rsidR="00023DE8" w:rsidRPr="00BA2F35">
        <w:rPr>
          <w:lang w:eastAsia="ja-JP"/>
        </w:rPr>
        <w:t xml:space="preserve"> in semi-immunes </w:t>
      </w:r>
      <w:r w:rsidR="00023DE8">
        <w:rPr>
          <w:lang w:eastAsia="ja-JP"/>
        </w:rPr>
        <w:t xml:space="preserve">in East </w:t>
      </w:r>
      <w:r w:rsidR="00023DE8" w:rsidRPr="00A836CC">
        <w:rPr>
          <w:lang w:eastAsia="ja-JP"/>
        </w:rPr>
        <w:t>Africa</w:t>
      </w:r>
      <w:r w:rsidR="00025C59">
        <w:rPr>
          <w:lang w:eastAsia="ja-JP"/>
        </w:rPr>
        <w:t>;</w:t>
      </w:r>
      <w:r w:rsidR="00023DE8" w:rsidRPr="00A836CC">
        <w:rPr>
          <w:lang w:eastAsia="ja-JP"/>
        </w:rPr>
        <w:t xml:space="preserve"> Study 045),</w:t>
      </w:r>
      <w:r w:rsidR="00023DE8" w:rsidRPr="00BA2F35">
        <w:rPr>
          <w:lang w:eastAsia="ja-JP"/>
        </w:rPr>
        <w:t xml:space="preserve"> and by a placebo</w:t>
      </w:r>
      <w:r w:rsidR="00E71EF1">
        <w:rPr>
          <w:lang w:eastAsia="ja-JP"/>
        </w:rPr>
        <w:t xml:space="preserve"> </w:t>
      </w:r>
      <w:r w:rsidR="00023DE8" w:rsidRPr="00BA2F35">
        <w:rPr>
          <w:lang w:eastAsia="ja-JP"/>
        </w:rPr>
        <w:t>controlled prophylactic study in non-immunes in a human challenge model</w:t>
      </w:r>
      <w:r w:rsidR="00023DE8">
        <w:rPr>
          <w:lang w:eastAsia="ja-JP"/>
        </w:rPr>
        <w:t xml:space="preserve"> </w:t>
      </w:r>
      <w:r w:rsidR="00023DE8" w:rsidRPr="00BA2F35">
        <w:rPr>
          <w:lang w:eastAsia="ja-JP"/>
        </w:rPr>
        <w:t>(</w:t>
      </w:r>
      <w:r w:rsidR="002B4B0B">
        <w:rPr>
          <w:lang w:eastAsia="ja-JP"/>
        </w:rPr>
        <w:t>TQ</w:t>
      </w:r>
      <w:r w:rsidR="00023DE8" w:rsidRPr="00BA2F35">
        <w:rPr>
          <w:lang w:eastAsia="ja-JP"/>
        </w:rPr>
        <w:t>-2016-02).</w:t>
      </w:r>
    </w:p>
    <w:p w14:paraId="28DE6E70" w14:textId="41BAD44A" w:rsidR="00023DE8" w:rsidRDefault="00023DE8" w:rsidP="00025C59">
      <w:r w:rsidRPr="00BA2F35">
        <w:t>The primary efficacy endpoints and primary efficacy analytic endpoints are based</w:t>
      </w:r>
      <w:r w:rsidR="002B4B0B">
        <w:t xml:space="preserve"> on</w:t>
      </w:r>
      <w:r w:rsidRPr="00BA2F35">
        <w:t xml:space="preserve"> the cumulative incidence of parasit</w:t>
      </w:r>
      <w:r w:rsidR="002B4B0B">
        <w:t>a</w:t>
      </w:r>
      <w:r w:rsidRPr="00BA2F35">
        <w:t>emia, with incidence density (parasitology per unit time) being used for secondary analyses, in conformity with the FDA Guidance document.</w:t>
      </w:r>
    </w:p>
    <w:p w14:paraId="783F9214" w14:textId="77777777" w:rsidR="00023DE8" w:rsidRPr="009D3CC4" w:rsidRDefault="00023DE8" w:rsidP="00025C59">
      <w:pPr>
        <w:pStyle w:val="Heading4"/>
      </w:pPr>
      <w:bookmarkStart w:id="80" w:name="_Toc444102334"/>
      <w:r w:rsidRPr="009D3CC4">
        <w:t>Evaluator’s commentary on the background information</w:t>
      </w:r>
      <w:bookmarkEnd w:id="80"/>
    </w:p>
    <w:p w14:paraId="39D40FD6" w14:textId="34E34392" w:rsidR="00023DE8" w:rsidRPr="00BA2F35" w:rsidRDefault="00023DE8" w:rsidP="00025C59">
      <w:r>
        <w:t xml:space="preserve">The background information is adequate. The rationale for needing a prophylaxis medication that can be taken weekly and is free of neuropsychiatric side effects is good. The information about the global impact of malaria and the available prophylaxis in Australia is accurate. </w:t>
      </w:r>
    </w:p>
    <w:p w14:paraId="17706747" w14:textId="77777777" w:rsidR="00605AD4" w:rsidRDefault="00605AD4" w:rsidP="00025C59">
      <w:pPr>
        <w:pStyle w:val="Heading4"/>
      </w:pPr>
      <w:r w:rsidRPr="00605AD4">
        <w:t>Contents of the clinical dossier</w:t>
      </w:r>
    </w:p>
    <w:p w14:paraId="4E36BCCC" w14:textId="77777777" w:rsidR="00023DE8" w:rsidRDefault="00023DE8" w:rsidP="00023DE8">
      <w:pPr>
        <w:rPr>
          <w:lang w:eastAsia="ja-JP"/>
        </w:rPr>
      </w:pPr>
      <w:r w:rsidRPr="00A55675">
        <w:t>The dossier documented a development program of pharmacology, dose-finding, pivotal and other clinical trials</w:t>
      </w:r>
      <w:r>
        <w:t>.</w:t>
      </w:r>
      <w:r w:rsidR="0020528D" w:rsidRPr="0020528D">
        <w:t xml:space="preserve"> </w:t>
      </w:r>
    </w:p>
    <w:p w14:paraId="24F5CC2E" w14:textId="231747FA" w:rsidR="00023DE8" w:rsidRDefault="00023DE8" w:rsidP="00023DE8">
      <w:pPr>
        <w:rPr>
          <w:lang w:eastAsia="ja-JP"/>
        </w:rPr>
      </w:pPr>
      <w:r>
        <w:rPr>
          <w:lang w:eastAsia="ja-JP"/>
        </w:rPr>
        <w:t xml:space="preserve">Included in this dossier is data from </w:t>
      </w:r>
      <w:r w:rsidRPr="000944AD">
        <w:rPr>
          <w:lang w:eastAsia="ja-JP"/>
        </w:rPr>
        <w:t>22 clinical trials</w:t>
      </w:r>
      <w:r>
        <w:rPr>
          <w:lang w:eastAsia="ja-JP"/>
        </w:rPr>
        <w:t xml:space="preserve">, including eight Phase </w:t>
      </w:r>
      <w:r w:rsidR="00025C59">
        <w:rPr>
          <w:lang w:eastAsia="ja-JP"/>
        </w:rPr>
        <w:t>I</w:t>
      </w:r>
      <w:r>
        <w:rPr>
          <w:lang w:eastAsia="ja-JP"/>
        </w:rPr>
        <w:t xml:space="preserve"> pharmacokinetics (PK) and safety studies in healthy volunteers; 2 Phase </w:t>
      </w:r>
      <w:r w:rsidR="00025C59">
        <w:rPr>
          <w:lang w:eastAsia="ja-JP"/>
        </w:rPr>
        <w:t>I</w:t>
      </w:r>
      <w:r>
        <w:rPr>
          <w:lang w:eastAsia="ja-JP"/>
        </w:rPr>
        <w:t xml:space="preserve"> drug-drug interaction studies in healthy volunteers; 3 Phase </w:t>
      </w:r>
      <w:r w:rsidR="00A76D3B">
        <w:rPr>
          <w:lang w:eastAsia="ja-JP"/>
        </w:rPr>
        <w:t>I</w:t>
      </w:r>
      <w:r>
        <w:rPr>
          <w:lang w:eastAsia="ja-JP"/>
        </w:rPr>
        <w:t xml:space="preserve"> malaria challenge studies; 7</w:t>
      </w:r>
      <w:r w:rsidR="0094784D">
        <w:rPr>
          <w:lang w:eastAsia="ja-JP"/>
        </w:rPr>
        <w:t> </w:t>
      </w:r>
      <w:r>
        <w:rPr>
          <w:lang w:eastAsia="ja-JP"/>
        </w:rPr>
        <w:t>Phase</w:t>
      </w:r>
      <w:r w:rsidR="0094784D">
        <w:rPr>
          <w:lang w:eastAsia="ja-JP"/>
        </w:rPr>
        <w:t> </w:t>
      </w:r>
      <w:r w:rsidR="00025C59">
        <w:rPr>
          <w:lang w:eastAsia="ja-JP"/>
        </w:rPr>
        <w:t>II</w:t>
      </w:r>
      <w:r w:rsidR="0094784D">
        <w:rPr>
          <w:lang w:eastAsia="ja-JP"/>
        </w:rPr>
        <w:t>/</w:t>
      </w:r>
      <w:r w:rsidR="00025C59">
        <w:rPr>
          <w:lang w:eastAsia="ja-JP"/>
        </w:rPr>
        <w:t>III</w:t>
      </w:r>
      <w:r>
        <w:rPr>
          <w:lang w:eastAsia="ja-JP"/>
        </w:rPr>
        <w:t xml:space="preserve"> </w:t>
      </w:r>
      <w:r w:rsidRPr="000D2A48">
        <w:rPr>
          <w:lang w:eastAsia="ja-JP"/>
        </w:rPr>
        <w:t xml:space="preserve">studies for malaria prophylaxis and 2 Phase </w:t>
      </w:r>
      <w:r w:rsidR="00025C59" w:rsidRPr="000D2A48">
        <w:rPr>
          <w:lang w:eastAsia="ja-JP"/>
        </w:rPr>
        <w:t>II</w:t>
      </w:r>
      <w:r w:rsidRPr="000D2A48">
        <w:rPr>
          <w:lang w:eastAsia="ja-JP"/>
        </w:rPr>
        <w:t xml:space="preserve"> studies for the treatment of Pv malaria. These are summarised by phase in Tables </w:t>
      </w:r>
      <w:r w:rsidR="0094784D">
        <w:rPr>
          <w:lang w:eastAsia="ja-JP"/>
        </w:rPr>
        <w:t>7 to 9</w:t>
      </w:r>
      <w:r w:rsidRPr="000D2A48">
        <w:rPr>
          <w:lang w:eastAsia="ja-JP"/>
        </w:rPr>
        <w:t xml:space="preserve"> (Phase </w:t>
      </w:r>
      <w:r w:rsidR="0081101C" w:rsidRPr="000D2A48">
        <w:rPr>
          <w:lang w:eastAsia="ja-JP"/>
        </w:rPr>
        <w:t>I</w:t>
      </w:r>
      <w:r w:rsidRPr="000D2A48">
        <w:rPr>
          <w:lang w:eastAsia="ja-JP"/>
        </w:rPr>
        <w:t>) and Phase</w:t>
      </w:r>
      <w:r w:rsidR="0094784D">
        <w:rPr>
          <w:lang w:eastAsia="ja-JP"/>
        </w:rPr>
        <w:t> </w:t>
      </w:r>
      <w:r w:rsidR="0081101C" w:rsidRPr="000D2A48">
        <w:rPr>
          <w:lang w:eastAsia="ja-JP"/>
        </w:rPr>
        <w:t>II</w:t>
      </w:r>
      <w:r w:rsidR="0094784D">
        <w:rPr>
          <w:lang w:eastAsia="ja-JP"/>
        </w:rPr>
        <w:t>/</w:t>
      </w:r>
      <w:r w:rsidR="0081101C" w:rsidRPr="000D2A48">
        <w:rPr>
          <w:lang w:eastAsia="ja-JP"/>
        </w:rPr>
        <w:t>III</w:t>
      </w:r>
      <w:r w:rsidRPr="000D2A48">
        <w:rPr>
          <w:lang w:eastAsia="ja-JP"/>
        </w:rPr>
        <w:t xml:space="preserve"> (Table</w:t>
      </w:r>
      <w:r w:rsidR="0094784D">
        <w:rPr>
          <w:lang w:eastAsia="ja-JP"/>
        </w:rPr>
        <w:t>s 10 and 11</w:t>
      </w:r>
      <w:r w:rsidRPr="000D2A48">
        <w:rPr>
          <w:lang w:eastAsia="ja-JP"/>
        </w:rPr>
        <w:t>) along with the publication references.</w:t>
      </w:r>
      <w:r w:rsidR="0020528D" w:rsidRPr="000D2A48">
        <w:rPr>
          <w:lang w:eastAsia="ja-JP"/>
        </w:rPr>
        <w:t xml:space="preserve"> </w:t>
      </w:r>
      <w:r w:rsidR="00980FDF">
        <w:rPr>
          <w:lang w:eastAsia="ja-JP"/>
        </w:rPr>
        <w:t xml:space="preserve">Table </w:t>
      </w:r>
      <w:r w:rsidR="0094784D">
        <w:rPr>
          <w:lang w:eastAsia="ja-JP"/>
        </w:rPr>
        <w:t>12</w:t>
      </w:r>
      <w:r w:rsidR="0094784D" w:rsidRPr="000D2A48">
        <w:rPr>
          <w:lang w:eastAsia="ja-JP"/>
        </w:rPr>
        <w:t xml:space="preserve"> </w:t>
      </w:r>
      <w:r w:rsidRPr="000D2A48">
        <w:rPr>
          <w:lang w:eastAsia="ja-JP"/>
        </w:rPr>
        <w:t>summarises the submitted studies and designs, specifies the numbers in the cohorts and contains PK summary data.</w:t>
      </w:r>
    </w:p>
    <w:p w14:paraId="04A6D409" w14:textId="4F31106B" w:rsidR="00023DE8" w:rsidRDefault="00023DE8" w:rsidP="00023DE8">
      <w:pPr>
        <w:rPr>
          <w:lang w:eastAsia="ja-JP"/>
        </w:rPr>
      </w:pPr>
      <w:r>
        <w:rPr>
          <w:lang w:eastAsia="ja-JP"/>
        </w:rPr>
        <w:t xml:space="preserve">The </w:t>
      </w:r>
      <w:r w:rsidR="00025C59">
        <w:rPr>
          <w:lang w:eastAsia="ja-JP"/>
        </w:rPr>
        <w:t>P</w:t>
      </w:r>
      <w:r>
        <w:rPr>
          <w:lang w:eastAsia="ja-JP"/>
        </w:rPr>
        <w:t xml:space="preserve">hase </w:t>
      </w:r>
      <w:r w:rsidR="00025C59">
        <w:rPr>
          <w:lang w:eastAsia="ja-JP"/>
        </w:rPr>
        <w:t>II</w:t>
      </w:r>
      <w:r>
        <w:rPr>
          <w:lang w:eastAsia="ja-JP"/>
        </w:rPr>
        <w:t xml:space="preserve"> studies that support the key trials listed above consist of the following:</w:t>
      </w:r>
    </w:p>
    <w:p w14:paraId="0F211026" w14:textId="77777777" w:rsidR="00023DE8" w:rsidRDefault="00023DE8" w:rsidP="00025C59">
      <w:pPr>
        <w:pStyle w:val="ListBullet"/>
      </w:pPr>
      <w:r>
        <w:t>Studies 053 and 054: Prophylactic efficacy of single-dose (Study 053) and early multiple-dose (Study 054) tafenoquine regimens in the human Pf challenge model.</w:t>
      </w:r>
    </w:p>
    <w:p w14:paraId="02754219" w14:textId="77777777" w:rsidR="00023DE8" w:rsidRDefault="00023DE8" w:rsidP="00025C59">
      <w:pPr>
        <w:pStyle w:val="ListBullet"/>
      </w:pPr>
      <w:r>
        <w:t>Study 006: Different loading doses for semi-immunes in Africa.</w:t>
      </w:r>
    </w:p>
    <w:p w14:paraId="677566B6" w14:textId="77777777" w:rsidR="00023DE8" w:rsidRDefault="00023DE8" w:rsidP="00025C59">
      <w:pPr>
        <w:pStyle w:val="ListBullet"/>
      </w:pPr>
      <w:r>
        <w:lastRenderedPageBreak/>
        <w:t xml:space="preserve">Study 043: Different loading doses and </w:t>
      </w:r>
      <w:r w:rsidR="0039759D">
        <w:t>‘</w:t>
      </w:r>
      <w:r>
        <w:t>full prophylactic regimens</w:t>
      </w:r>
      <w:r w:rsidR="0039759D">
        <w:t>’</w:t>
      </w:r>
      <w:r>
        <w:t xml:space="preserve"> (loading dose followed by weekly or monthly dosing) for semi-immunes in Africa.</w:t>
      </w:r>
    </w:p>
    <w:p w14:paraId="1DF245B7" w14:textId="77777777" w:rsidR="00023DE8" w:rsidRDefault="00023DE8" w:rsidP="00025C59">
      <w:pPr>
        <w:pStyle w:val="ListBullet"/>
      </w:pPr>
      <w:r>
        <w:t xml:space="preserve">Study 044: </w:t>
      </w:r>
      <w:r w:rsidR="0039759D">
        <w:t>‘</w:t>
      </w:r>
      <w:r>
        <w:t>Full prophylactic regimen</w:t>
      </w:r>
      <w:r w:rsidR="0039759D">
        <w:t>’</w:t>
      </w:r>
      <w:r>
        <w:t xml:space="preserve"> with a higher dose than the final clinical dose for non-immunes in Southeast Asia (Thailand)</w:t>
      </w:r>
      <w:r w:rsidR="00025C59">
        <w:t>.</w:t>
      </w:r>
    </w:p>
    <w:p w14:paraId="72692FAE" w14:textId="284FC778" w:rsidR="00023DE8" w:rsidRDefault="00023DE8" w:rsidP="00025C59">
      <w:pPr>
        <w:pStyle w:val="ListBullet"/>
      </w:pPr>
      <w:r>
        <w:t>Study 030: The anticipated clinical regimen (200 mg per day x 3 days followed by</w:t>
      </w:r>
      <w:r w:rsidR="002B4B0B">
        <w:t xml:space="preserve"> </w:t>
      </w:r>
      <w:r>
        <w:t>200</w:t>
      </w:r>
      <w:r w:rsidR="00A76D3B">
        <w:t> </w:t>
      </w:r>
      <w:r>
        <w:t>mg weekly) compared to placebo and positive control (mefloquine).</w:t>
      </w:r>
    </w:p>
    <w:p w14:paraId="48571AE0" w14:textId="17A3FDF8" w:rsidR="00023DE8" w:rsidRDefault="00023DE8" w:rsidP="00025C59">
      <w:pPr>
        <w:pStyle w:val="ListBullet"/>
      </w:pPr>
      <w:r>
        <w:t xml:space="preserve">Study 049 compares tafenoquine to </w:t>
      </w:r>
      <w:r w:rsidR="00994561">
        <w:t>primaquine</w:t>
      </w:r>
      <w:r>
        <w:t xml:space="preserve"> in non-immunes.</w:t>
      </w:r>
    </w:p>
    <w:p w14:paraId="50AED62C" w14:textId="48EEB152" w:rsidR="00023DE8" w:rsidRDefault="00023DE8" w:rsidP="00025C59">
      <w:pPr>
        <w:pStyle w:val="ListBullet"/>
      </w:pPr>
      <w:r>
        <w:t xml:space="preserve">Studies 047 and 058 compare tafenoquine to </w:t>
      </w:r>
      <w:r w:rsidR="00994561">
        <w:t>primaquine</w:t>
      </w:r>
      <w:r>
        <w:t xml:space="preserve"> in Thai</w:t>
      </w:r>
      <w:r w:rsidR="00A76D3B">
        <w:t xml:space="preserve"> people</w:t>
      </w:r>
      <w:r>
        <w:t xml:space="preserve"> with variable immunity.</w:t>
      </w:r>
    </w:p>
    <w:p w14:paraId="5E5B24CF" w14:textId="77777777" w:rsidR="00023DE8" w:rsidRDefault="00023DE8" w:rsidP="00025C59">
      <w:pPr>
        <w:pStyle w:val="ListBullet"/>
      </w:pPr>
      <w:r>
        <w:t>Study 046 enrolled only 1 subject and is not considered further.</w:t>
      </w:r>
    </w:p>
    <w:p w14:paraId="699FF655" w14:textId="77777777" w:rsidR="00023DE8" w:rsidRDefault="00023DE8" w:rsidP="00023DE8">
      <w:pPr>
        <w:rPr>
          <w:lang w:eastAsia="ja-JP"/>
        </w:rPr>
      </w:pPr>
      <w:r>
        <w:rPr>
          <w:lang w:eastAsia="ja-JP"/>
        </w:rPr>
        <w:t xml:space="preserve">For </w:t>
      </w:r>
      <w:r w:rsidR="0039759D">
        <w:rPr>
          <w:lang w:eastAsia="ja-JP"/>
        </w:rPr>
        <w:t>‘</w:t>
      </w:r>
      <w:r>
        <w:rPr>
          <w:lang w:eastAsia="ja-JP"/>
        </w:rPr>
        <w:t>Prophylaxis of malaria after leaving the endemic region,</w:t>
      </w:r>
      <w:r w:rsidR="0039759D">
        <w:rPr>
          <w:lang w:eastAsia="ja-JP"/>
        </w:rPr>
        <w:t>’</w:t>
      </w:r>
      <w:r>
        <w:rPr>
          <w:lang w:eastAsia="ja-JP"/>
        </w:rPr>
        <w:t xml:space="preserve"> 5 relevant studies provide data.</w:t>
      </w:r>
    </w:p>
    <w:p w14:paraId="38BA129D" w14:textId="08157880" w:rsidR="00023DE8" w:rsidRDefault="00023DE8" w:rsidP="00E37C05">
      <w:pPr>
        <w:pStyle w:val="ListBullet"/>
      </w:pPr>
      <w:r>
        <w:t xml:space="preserve">Study 033: Upon exit of non-immunes from the endemic region, mefloquine subjects received </w:t>
      </w:r>
      <w:r w:rsidR="00994561">
        <w:t>primaquine</w:t>
      </w:r>
      <w:r>
        <w:t xml:space="preserve"> while tafenoquine subjects were not further treated (</w:t>
      </w:r>
      <w:r w:rsidR="00E37C05">
        <w:t>that is,</w:t>
      </w:r>
      <w:r>
        <w:t xml:space="preserve"> </w:t>
      </w:r>
      <w:r w:rsidR="002522B4">
        <w:t>d</w:t>
      </w:r>
      <w:r>
        <w:t>id not receive a post-exposure dose of tafenoquine, they received 14 days of placebo).</w:t>
      </w:r>
    </w:p>
    <w:p w14:paraId="5568F4EA" w14:textId="77777777" w:rsidR="00023DE8" w:rsidRDefault="00023DE8" w:rsidP="00E37C05">
      <w:pPr>
        <w:pStyle w:val="ListBullet"/>
      </w:pPr>
      <w:r>
        <w:t>Study 045: Prophylaxis in semi-immunes in East Africa.</w:t>
      </w:r>
    </w:p>
    <w:p w14:paraId="368893B8" w14:textId="3ABC7495" w:rsidR="00023DE8" w:rsidRDefault="00023DE8" w:rsidP="00E37C05">
      <w:pPr>
        <w:pStyle w:val="ListBullet"/>
      </w:pPr>
      <w:r>
        <w:t xml:space="preserve">Study 047: Wide range of short tafenoquine regimens for </w:t>
      </w:r>
      <w:r w:rsidR="00A76D3B">
        <w:t xml:space="preserve">Thai people </w:t>
      </w:r>
      <w:r>
        <w:t>in Southeast Asia</w:t>
      </w:r>
      <w:r w:rsidR="00E37C05">
        <w:t>.</w:t>
      </w:r>
    </w:p>
    <w:p w14:paraId="3097C419" w14:textId="77777777" w:rsidR="00023DE8" w:rsidRDefault="00023DE8" w:rsidP="00E37C05">
      <w:pPr>
        <w:pStyle w:val="ListBullet"/>
      </w:pPr>
      <w:r>
        <w:t>Study 049: Several short tafenoquine regimens for Australian non-immunes</w:t>
      </w:r>
      <w:r w:rsidR="00E37C05">
        <w:t>.</w:t>
      </w:r>
    </w:p>
    <w:p w14:paraId="494ACD25" w14:textId="79961C08" w:rsidR="00023DE8" w:rsidRDefault="00023DE8" w:rsidP="00E37C05">
      <w:pPr>
        <w:pStyle w:val="ListBullet"/>
      </w:pPr>
      <w:r>
        <w:t xml:space="preserve">Study 058: In addition to evaluating the treatment effect of tafenoquine against </w:t>
      </w:r>
      <w:proofErr w:type="gramStart"/>
      <w:r>
        <w:t>Pv</w:t>
      </w:r>
      <w:proofErr w:type="gramEnd"/>
      <w:r>
        <w:t xml:space="preserve"> already present in the blood of semi-immune Thai</w:t>
      </w:r>
      <w:r w:rsidR="00A76D3B">
        <w:t xml:space="preserve"> people</w:t>
      </w:r>
      <w:r>
        <w:t>, follow-up was extended to 120</w:t>
      </w:r>
      <w:r w:rsidR="00A76D3B">
        <w:t> </w:t>
      </w:r>
      <w:r>
        <w:t xml:space="preserve">days </w:t>
      </w:r>
      <w:r w:rsidRPr="009E5FCC">
        <w:t>to assess relapse</w:t>
      </w:r>
      <w:r>
        <w:t xml:space="preserve"> up to that time.</w:t>
      </w:r>
    </w:p>
    <w:p w14:paraId="55ACEB04" w14:textId="77777777" w:rsidR="00023DE8" w:rsidRDefault="00023DE8" w:rsidP="00E37C05">
      <w:pPr>
        <w:rPr>
          <w:lang w:eastAsia="ja-JP"/>
        </w:rPr>
      </w:pPr>
      <w:r>
        <w:rPr>
          <w:lang w:eastAsia="ja-JP"/>
        </w:rPr>
        <w:t>These can be summarised as:</w:t>
      </w:r>
    </w:p>
    <w:p w14:paraId="65C0EBD7" w14:textId="77777777" w:rsidR="00023DE8" w:rsidRPr="00E37C05" w:rsidRDefault="00023DE8" w:rsidP="00A70B60">
      <w:pPr>
        <w:pStyle w:val="ListBullet"/>
      </w:pPr>
      <w:r w:rsidRPr="00E37C05">
        <w:t xml:space="preserve">14 studies providing PK, </w:t>
      </w:r>
      <w:r w:rsidR="002522B4">
        <w:t>p</w:t>
      </w:r>
      <w:r w:rsidR="00F32DAA">
        <w:t>harmacodynamics (</w:t>
      </w:r>
      <w:r w:rsidRPr="00E37C05">
        <w:t>PD</w:t>
      </w:r>
      <w:r w:rsidR="00F32DAA">
        <w:t>)</w:t>
      </w:r>
      <w:r w:rsidRPr="00E37C05">
        <w:t xml:space="preserve"> and safety pharmacology data.</w:t>
      </w:r>
    </w:p>
    <w:p w14:paraId="35248CD2" w14:textId="77777777" w:rsidR="00023DE8" w:rsidRPr="00E37C05" w:rsidRDefault="00023DE8" w:rsidP="00E37C05">
      <w:pPr>
        <w:pStyle w:val="ListBullet"/>
      </w:pPr>
      <w:r w:rsidRPr="00E37C05">
        <w:t>1 one population PK data study</w:t>
      </w:r>
    </w:p>
    <w:p w14:paraId="563B157A" w14:textId="77777777" w:rsidR="00023DE8" w:rsidRPr="00E37C05" w:rsidRDefault="00023DE8" w:rsidP="00E37C05">
      <w:pPr>
        <w:pStyle w:val="ListBullet"/>
      </w:pPr>
      <w:r w:rsidRPr="00E37C05">
        <w:t>6 studies that use varying doses.</w:t>
      </w:r>
    </w:p>
    <w:p w14:paraId="33B3C436" w14:textId="77777777" w:rsidR="00023DE8" w:rsidRPr="00E37C05" w:rsidRDefault="00023DE8" w:rsidP="00E37C05">
      <w:pPr>
        <w:pStyle w:val="ListBullet"/>
      </w:pPr>
      <w:r w:rsidRPr="00E37C05">
        <w:t>1 Population PK (popPK) analyses.</w:t>
      </w:r>
    </w:p>
    <w:p w14:paraId="127B0BC2" w14:textId="77777777" w:rsidR="00023DE8" w:rsidRPr="00E37C05" w:rsidRDefault="00023DE8" w:rsidP="00E37C05">
      <w:pPr>
        <w:pStyle w:val="ListBullet"/>
      </w:pPr>
      <w:r w:rsidRPr="00E37C05">
        <w:t>2 Pivotal efficacy/safety studies.</w:t>
      </w:r>
    </w:p>
    <w:p w14:paraId="157ED78A" w14:textId="77777777" w:rsidR="00023DE8" w:rsidRPr="00E37C05" w:rsidRDefault="00023DE8" w:rsidP="00E37C05">
      <w:pPr>
        <w:pStyle w:val="ListBullet"/>
      </w:pPr>
      <w:r w:rsidRPr="00E37C05">
        <w:t>10 Other efficacy/safety studies.</w:t>
      </w:r>
    </w:p>
    <w:p w14:paraId="3E1F763D" w14:textId="77777777" w:rsidR="00023DE8" w:rsidRDefault="00023DE8" w:rsidP="00E37C05">
      <w:r>
        <w:t>Although a number of studies performed more than one function (</w:t>
      </w:r>
      <w:r w:rsidR="00E37C05">
        <w:t xml:space="preserve">for example, </w:t>
      </w:r>
      <w:r>
        <w:t xml:space="preserve">dose finding, </w:t>
      </w:r>
      <w:proofErr w:type="gramStart"/>
      <w:r>
        <w:t>efficacy</w:t>
      </w:r>
      <w:proofErr w:type="gramEnd"/>
      <w:r>
        <w:t xml:space="preserve"> and safety data)</w:t>
      </w:r>
      <w:r w:rsidR="0081101C">
        <w:t>.</w:t>
      </w:r>
    </w:p>
    <w:p w14:paraId="5807E956" w14:textId="75F4C0A1" w:rsidR="0081101C" w:rsidRPr="004B4CC5" w:rsidRDefault="0081101C" w:rsidP="0081101C">
      <w:pPr>
        <w:pStyle w:val="TableTitle"/>
        <w:rPr>
          <w:lang w:val="en-US" w:eastAsia="ja-JP"/>
        </w:rPr>
      </w:pPr>
      <w:r>
        <w:t xml:space="preserve">Table </w:t>
      </w:r>
      <w:r w:rsidR="00B52F8D">
        <w:t>7</w:t>
      </w:r>
      <w:r>
        <w:t xml:space="preserve">: </w:t>
      </w:r>
      <w:r w:rsidRPr="004B4CC5">
        <w:rPr>
          <w:lang w:val="en-US" w:eastAsia="ja-JP"/>
        </w:rPr>
        <w:t xml:space="preserve">Phase </w:t>
      </w:r>
      <w:r>
        <w:rPr>
          <w:lang w:val="en-US" w:eastAsia="ja-JP"/>
        </w:rPr>
        <w:t>I</w:t>
      </w:r>
      <w:r w:rsidRPr="004B4CC5">
        <w:rPr>
          <w:lang w:val="en-US" w:eastAsia="ja-JP"/>
        </w:rPr>
        <w:t xml:space="preserve"> </w:t>
      </w:r>
      <w:r w:rsidR="009E28FB">
        <w:rPr>
          <w:lang w:val="en-US" w:eastAsia="ja-JP"/>
        </w:rPr>
        <w:t>s</w:t>
      </w:r>
      <w:r w:rsidR="009E28FB" w:rsidRPr="004B4CC5">
        <w:rPr>
          <w:lang w:val="en-US" w:eastAsia="ja-JP"/>
        </w:rPr>
        <w:t xml:space="preserve">tudies </w:t>
      </w:r>
      <w:r w:rsidRPr="004B4CC5">
        <w:rPr>
          <w:lang w:val="en-US" w:eastAsia="ja-JP"/>
        </w:rPr>
        <w:t xml:space="preserve">in </w:t>
      </w:r>
      <w:r w:rsidR="009E28FB">
        <w:rPr>
          <w:lang w:val="en-US" w:eastAsia="ja-JP"/>
        </w:rPr>
        <w:t>h</w:t>
      </w:r>
      <w:r w:rsidR="009E28FB" w:rsidRPr="004B4CC5">
        <w:rPr>
          <w:lang w:val="en-US" w:eastAsia="ja-JP"/>
        </w:rPr>
        <w:t xml:space="preserve">ealthy </w:t>
      </w:r>
      <w:r w:rsidR="009E28FB">
        <w:rPr>
          <w:lang w:val="en-US" w:eastAsia="ja-JP"/>
        </w:rPr>
        <w:t>v</w:t>
      </w:r>
      <w:r w:rsidR="009E28FB" w:rsidRPr="004B4CC5">
        <w:rPr>
          <w:lang w:val="en-US" w:eastAsia="ja-JP"/>
        </w:rPr>
        <w:t>olunteers</w:t>
      </w:r>
    </w:p>
    <w:tbl>
      <w:tblPr>
        <w:tblStyle w:val="TableTGAblue"/>
        <w:tblW w:w="5000" w:type="pct"/>
        <w:tblLook w:val="00A0" w:firstRow="1" w:lastRow="0" w:firstColumn="1" w:lastColumn="0" w:noHBand="0" w:noVBand="0"/>
      </w:tblPr>
      <w:tblGrid>
        <w:gridCol w:w="1241"/>
        <w:gridCol w:w="1767"/>
        <w:gridCol w:w="2027"/>
        <w:gridCol w:w="1796"/>
        <w:gridCol w:w="160"/>
        <w:gridCol w:w="1729"/>
      </w:tblGrid>
      <w:tr w:rsidR="0081101C" w:rsidRPr="0081101C" w14:paraId="07C51FBE" w14:textId="77777777" w:rsidTr="00A70B60">
        <w:trPr>
          <w:cnfStyle w:val="100000000000" w:firstRow="1" w:lastRow="0" w:firstColumn="0" w:lastColumn="0" w:oddVBand="0" w:evenVBand="0" w:oddHBand="0" w:evenHBand="0" w:firstRowFirstColumn="0" w:firstRowLastColumn="0" w:lastRowFirstColumn="0" w:lastRowLastColumn="0"/>
          <w:trHeight w:val="1069"/>
        </w:trPr>
        <w:tc>
          <w:tcPr>
            <w:tcW w:w="712" w:type="pct"/>
          </w:tcPr>
          <w:p w14:paraId="428F66A7" w14:textId="77777777" w:rsidR="0081101C" w:rsidRPr="0081101C" w:rsidRDefault="00980FDF" w:rsidP="000E36DE">
            <w:pPr>
              <w:ind w:left="0"/>
              <w:rPr>
                <w:b w:val="0"/>
                <w:sz w:val="20"/>
                <w:szCs w:val="20"/>
                <w:lang w:val="en-US" w:eastAsia="ja-JP"/>
              </w:rPr>
            </w:pPr>
            <w:r>
              <w:rPr>
                <w:sz w:val="20"/>
                <w:szCs w:val="20"/>
                <w:lang w:val="en-US" w:eastAsia="ja-JP"/>
              </w:rPr>
              <w:t>Study No.</w:t>
            </w:r>
          </w:p>
        </w:tc>
        <w:tc>
          <w:tcPr>
            <w:tcW w:w="1013" w:type="pct"/>
          </w:tcPr>
          <w:p w14:paraId="1261E96A" w14:textId="084EE37D"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w:t>
            </w:r>
            <w:r w:rsidR="009E28FB">
              <w:rPr>
                <w:sz w:val="20"/>
                <w:szCs w:val="20"/>
                <w:lang w:val="en-US" w:eastAsia="ja-JP"/>
              </w:rPr>
              <w:t>d</w:t>
            </w:r>
            <w:r w:rsidR="009E28FB" w:rsidRPr="0081101C">
              <w:rPr>
                <w:sz w:val="20"/>
                <w:szCs w:val="20"/>
                <w:lang w:val="en-US" w:eastAsia="ja-JP"/>
              </w:rPr>
              <w:t>esign</w:t>
            </w:r>
            <w:r w:rsidRPr="0081101C">
              <w:rPr>
                <w:sz w:val="20"/>
                <w:szCs w:val="20"/>
                <w:vertAlign w:val="superscript"/>
                <w:lang w:val="en-US" w:eastAsia="ja-JP"/>
              </w:rPr>
              <w:fldChar w:fldCharType="begin"/>
            </w:r>
            <w:r w:rsidRPr="0081101C">
              <w:rPr>
                <w:sz w:val="20"/>
                <w:szCs w:val="20"/>
                <w:vertAlign w:val="superscript"/>
                <w:lang w:val="en-US" w:eastAsia="ja-JP"/>
              </w:rPr>
              <w:instrText xml:space="preserve"> LISTNUM TableNoteAlpha \* MERGEFORMAT \s1</w:instrText>
            </w:r>
            <w:r w:rsidRPr="0081101C">
              <w:rPr>
                <w:sz w:val="20"/>
                <w:szCs w:val="20"/>
                <w:lang w:eastAsia="ja-JP"/>
              </w:rPr>
              <w:fldChar w:fldCharType="end">
                <w:numberingChange w:id="81" w:author="HART, Anna" w:date="2019-02-21T10:30:00Z" w:original="(a)"/>
              </w:fldChar>
            </w:r>
          </w:p>
        </w:tc>
        <w:tc>
          <w:tcPr>
            <w:tcW w:w="1162" w:type="pct"/>
          </w:tcPr>
          <w:p w14:paraId="51444BB1" w14:textId="42095E97"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w:t>
            </w:r>
            <w:r w:rsidR="009E28FB" w:rsidRPr="0081101C">
              <w:rPr>
                <w:sz w:val="20"/>
                <w:szCs w:val="20"/>
                <w:lang w:val="en-US" w:eastAsia="ja-JP"/>
              </w:rPr>
              <w:t>o</w:t>
            </w:r>
            <w:r w:rsidRPr="0081101C">
              <w:rPr>
                <w:sz w:val="20"/>
                <w:szCs w:val="20"/>
                <w:lang w:val="en-US" w:eastAsia="ja-JP"/>
              </w:rPr>
              <w:t>bjectives</w:t>
            </w:r>
          </w:p>
        </w:tc>
        <w:tc>
          <w:tcPr>
            <w:tcW w:w="1030" w:type="pct"/>
          </w:tcPr>
          <w:p w14:paraId="4418AA61" w14:textId="5621FD16" w:rsidR="0081101C" w:rsidRPr="0081101C" w:rsidRDefault="0081101C" w:rsidP="001B3525">
            <w:pPr>
              <w:rPr>
                <w:b w:val="0"/>
                <w:sz w:val="20"/>
                <w:szCs w:val="20"/>
                <w:lang w:val="en-US" w:eastAsia="ja-JP"/>
              </w:rPr>
            </w:pPr>
            <w:r w:rsidRPr="0081101C">
              <w:rPr>
                <w:sz w:val="20"/>
                <w:szCs w:val="20"/>
                <w:lang w:val="en-US" w:eastAsia="ja-JP"/>
              </w:rPr>
              <w:t xml:space="preserve">Tafenoquine </w:t>
            </w:r>
            <w:r w:rsidR="009E28FB" w:rsidRPr="0081101C">
              <w:rPr>
                <w:sz w:val="20"/>
                <w:szCs w:val="20"/>
                <w:lang w:val="en-US" w:eastAsia="ja-JP"/>
              </w:rPr>
              <w:t>doses administered</w:t>
            </w:r>
          </w:p>
        </w:tc>
        <w:tc>
          <w:tcPr>
            <w:tcW w:w="1083" w:type="pct"/>
            <w:gridSpan w:val="2"/>
          </w:tcPr>
          <w:p w14:paraId="014D265B" w14:textId="77777777" w:rsidR="0081101C" w:rsidRPr="0081101C" w:rsidRDefault="0081101C" w:rsidP="001B3525">
            <w:pPr>
              <w:rPr>
                <w:b w:val="0"/>
                <w:sz w:val="20"/>
                <w:szCs w:val="20"/>
                <w:lang w:val="en-US" w:eastAsia="ja-JP"/>
              </w:rPr>
            </w:pPr>
            <w:r w:rsidRPr="0081101C">
              <w:rPr>
                <w:sz w:val="20"/>
                <w:szCs w:val="20"/>
                <w:lang w:val="en-US" w:eastAsia="ja-JP"/>
              </w:rPr>
              <w:t>Population</w:t>
            </w:r>
          </w:p>
        </w:tc>
      </w:tr>
      <w:tr w:rsidR="0081101C" w:rsidRPr="0081101C" w14:paraId="5933F3F0" w14:textId="77777777" w:rsidTr="0081101C">
        <w:tc>
          <w:tcPr>
            <w:tcW w:w="5000" w:type="pct"/>
            <w:gridSpan w:val="6"/>
          </w:tcPr>
          <w:p w14:paraId="305F75B8" w14:textId="3DDD0503" w:rsidR="0081101C" w:rsidRPr="0081101C" w:rsidRDefault="0081101C" w:rsidP="009E28FB">
            <w:pPr>
              <w:rPr>
                <w:sz w:val="20"/>
                <w:szCs w:val="20"/>
                <w:lang w:val="en-US" w:eastAsia="ja-JP"/>
              </w:rPr>
            </w:pPr>
            <w:r w:rsidRPr="0081101C">
              <w:rPr>
                <w:b/>
                <w:sz w:val="20"/>
                <w:szCs w:val="20"/>
                <w:lang w:val="en-US" w:eastAsia="ja-JP"/>
              </w:rPr>
              <w:t>Single-</w:t>
            </w:r>
            <w:r w:rsidR="009E28FB">
              <w:rPr>
                <w:b/>
                <w:sz w:val="20"/>
                <w:szCs w:val="20"/>
                <w:lang w:val="en-US" w:eastAsia="ja-JP"/>
              </w:rPr>
              <w:t>d</w:t>
            </w:r>
            <w:r w:rsidR="009E28FB" w:rsidRPr="0081101C">
              <w:rPr>
                <w:b/>
                <w:sz w:val="20"/>
                <w:szCs w:val="20"/>
                <w:lang w:val="en-US" w:eastAsia="ja-JP"/>
              </w:rPr>
              <w:t xml:space="preserve">ose </w:t>
            </w:r>
            <w:r w:rsidR="009E28FB">
              <w:rPr>
                <w:b/>
                <w:sz w:val="20"/>
                <w:szCs w:val="20"/>
                <w:lang w:val="en-US" w:eastAsia="ja-JP"/>
              </w:rPr>
              <w:t>s</w:t>
            </w:r>
            <w:r w:rsidR="009E28FB" w:rsidRPr="0081101C">
              <w:rPr>
                <w:b/>
                <w:sz w:val="20"/>
                <w:szCs w:val="20"/>
                <w:lang w:val="en-US" w:eastAsia="ja-JP"/>
              </w:rPr>
              <w:t>tudies</w:t>
            </w:r>
          </w:p>
        </w:tc>
      </w:tr>
      <w:tr w:rsidR="0081101C" w:rsidRPr="0081101C" w14:paraId="13291971" w14:textId="77777777" w:rsidTr="00A70B60">
        <w:tc>
          <w:tcPr>
            <w:tcW w:w="712" w:type="pct"/>
          </w:tcPr>
          <w:p w14:paraId="39222973" w14:textId="77777777" w:rsidR="0081101C" w:rsidRPr="0081101C" w:rsidRDefault="0081101C" w:rsidP="0081101C">
            <w:pPr>
              <w:rPr>
                <w:sz w:val="20"/>
                <w:szCs w:val="20"/>
                <w:lang w:val="en-US" w:eastAsia="ja-JP"/>
              </w:rPr>
            </w:pPr>
            <w:r w:rsidRPr="0081101C">
              <w:rPr>
                <w:sz w:val="20"/>
                <w:szCs w:val="20"/>
                <w:lang w:val="en-US" w:eastAsia="ja-JP"/>
              </w:rPr>
              <w:t>050</w:t>
            </w:r>
          </w:p>
        </w:tc>
        <w:tc>
          <w:tcPr>
            <w:tcW w:w="1013" w:type="pct"/>
          </w:tcPr>
          <w:p w14:paraId="6E9CE81B" w14:textId="77777777" w:rsidR="0081101C" w:rsidRPr="0081101C" w:rsidRDefault="0081101C" w:rsidP="001B3525">
            <w:pPr>
              <w:rPr>
                <w:sz w:val="20"/>
                <w:szCs w:val="20"/>
                <w:lang w:val="en-US" w:eastAsia="ja-JP"/>
              </w:rPr>
            </w:pPr>
            <w:r w:rsidRPr="0081101C">
              <w:rPr>
                <w:sz w:val="20"/>
                <w:szCs w:val="20"/>
                <w:lang w:val="en-US" w:eastAsia="ja-JP"/>
              </w:rPr>
              <w:t>R, DB, PC</w:t>
            </w:r>
          </w:p>
        </w:tc>
        <w:tc>
          <w:tcPr>
            <w:tcW w:w="1162" w:type="pct"/>
          </w:tcPr>
          <w:p w14:paraId="14815104" w14:textId="77777777" w:rsidR="0081101C" w:rsidRPr="0081101C" w:rsidRDefault="0081101C" w:rsidP="001B3525">
            <w:pPr>
              <w:rPr>
                <w:sz w:val="20"/>
                <w:szCs w:val="20"/>
                <w:lang w:val="en-US" w:eastAsia="ja-JP"/>
              </w:rPr>
            </w:pPr>
            <w:r w:rsidRPr="0081101C">
              <w:rPr>
                <w:sz w:val="20"/>
                <w:szCs w:val="20"/>
                <w:lang w:val="en-US" w:eastAsia="ja-JP"/>
              </w:rPr>
              <w:t>PK and Safety in fasted state</w:t>
            </w:r>
          </w:p>
        </w:tc>
        <w:tc>
          <w:tcPr>
            <w:tcW w:w="1030" w:type="pct"/>
          </w:tcPr>
          <w:p w14:paraId="400DCE03" w14:textId="15A16DD3" w:rsidR="0081101C" w:rsidRPr="0081101C" w:rsidRDefault="0081101C" w:rsidP="008C4598">
            <w:pPr>
              <w:rPr>
                <w:sz w:val="20"/>
                <w:szCs w:val="20"/>
                <w:lang w:val="en-US" w:eastAsia="ja-JP"/>
              </w:rPr>
            </w:pPr>
            <w:r w:rsidRPr="0081101C">
              <w:rPr>
                <w:sz w:val="20"/>
                <w:szCs w:val="20"/>
                <w:lang w:val="en-US" w:eastAsia="ja-JP"/>
              </w:rPr>
              <w:t>4</w:t>
            </w:r>
            <w:r w:rsidR="00A70B60">
              <w:rPr>
                <w:sz w:val="20"/>
                <w:szCs w:val="20"/>
                <w:lang w:val="en-US" w:eastAsia="ja-JP"/>
              </w:rPr>
              <w:t>00</w:t>
            </w:r>
            <w:r w:rsidR="008C4598">
              <w:rPr>
                <w:sz w:val="20"/>
                <w:szCs w:val="20"/>
                <w:lang w:val="en-US" w:eastAsia="ja-JP"/>
              </w:rPr>
              <w:t>-</w:t>
            </w:r>
            <w:r w:rsidRPr="0081101C">
              <w:rPr>
                <w:sz w:val="20"/>
                <w:szCs w:val="20"/>
                <w:lang w:val="en-US" w:eastAsia="ja-JP"/>
              </w:rPr>
              <w:t>600</w:t>
            </w:r>
            <w:r w:rsidR="009E28FB">
              <w:rPr>
                <w:sz w:val="20"/>
                <w:szCs w:val="20"/>
                <w:lang w:val="en-US" w:eastAsia="ja-JP"/>
              </w:rPr>
              <w:t xml:space="preserve"> </w:t>
            </w:r>
            <w:r w:rsidRPr="0081101C">
              <w:rPr>
                <w:sz w:val="20"/>
                <w:szCs w:val="20"/>
                <w:lang w:val="en-US" w:eastAsia="ja-JP"/>
              </w:rPr>
              <w:t>mg</w:t>
            </w:r>
          </w:p>
        </w:tc>
        <w:tc>
          <w:tcPr>
            <w:tcW w:w="1083" w:type="pct"/>
            <w:gridSpan w:val="2"/>
          </w:tcPr>
          <w:p w14:paraId="6CA50E79" w14:textId="77777777" w:rsidR="0081101C" w:rsidRPr="0081101C" w:rsidRDefault="0081101C" w:rsidP="001B3525">
            <w:pPr>
              <w:rPr>
                <w:sz w:val="20"/>
                <w:szCs w:val="20"/>
                <w:lang w:val="en-US" w:eastAsia="ja-JP"/>
              </w:rPr>
            </w:pPr>
            <w:r w:rsidRPr="0081101C">
              <w:rPr>
                <w:sz w:val="20"/>
                <w:szCs w:val="20"/>
                <w:lang w:val="en-US" w:eastAsia="ja-JP"/>
              </w:rPr>
              <w:t>N=75; 75M/0F</w:t>
            </w:r>
          </w:p>
        </w:tc>
      </w:tr>
      <w:tr w:rsidR="0081101C" w:rsidRPr="0081101C" w14:paraId="0AF257D5" w14:textId="77777777" w:rsidTr="00A70B60">
        <w:tc>
          <w:tcPr>
            <w:tcW w:w="712" w:type="pct"/>
          </w:tcPr>
          <w:p w14:paraId="2AC1C3AB" w14:textId="77777777" w:rsidR="0081101C" w:rsidRPr="0081101C" w:rsidRDefault="0081101C" w:rsidP="001B3525">
            <w:pPr>
              <w:rPr>
                <w:sz w:val="20"/>
                <w:szCs w:val="20"/>
                <w:lang w:val="en-US" w:eastAsia="ja-JP"/>
              </w:rPr>
            </w:pPr>
            <w:r w:rsidRPr="0081101C">
              <w:rPr>
                <w:sz w:val="20"/>
                <w:szCs w:val="20"/>
                <w:lang w:val="en-US" w:eastAsia="ja-JP"/>
              </w:rPr>
              <w:t>052</w:t>
            </w:r>
          </w:p>
        </w:tc>
        <w:tc>
          <w:tcPr>
            <w:tcW w:w="1013" w:type="pct"/>
          </w:tcPr>
          <w:p w14:paraId="667C32C3" w14:textId="77777777" w:rsidR="0081101C" w:rsidRPr="0081101C" w:rsidRDefault="0081101C" w:rsidP="001B3525">
            <w:pPr>
              <w:rPr>
                <w:sz w:val="20"/>
                <w:szCs w:val="20"/>
                <w:lang w:val="en-US" w:eastAsia="ja-JP"/>
              </w:rPr>
            </w:pPr>
            <w:r w:rsidRPr="0081101C">
              <w:rPr>
                <w:sz w:val="20"/>
                <w:szCs w:val="20"/>
                <w:lang w:val="en-US" w:eastAsia="ja-JP"/>
              </w:rPr>
              <w:t>R, PG</w:t>
            </w:r>
          </w:p>
        </w:tc>
        <w:tc>
          <w:tcPr>
            <w:tcW w:w="1162" w:type="pct"/>
          </w:tcPr>
          <w:p w14:paraId="45B45328" w14:textId="77777777" w:rsidR="0081101C" w:rsidRPr="0081101C" w:rsidRDefault="0081101C" w:rsidP="001B3525">
            <w:pPr>
              <w:rPr>
                <w:sz w:val="20"/>
                <w:szCs w:val="20"/>
                <w:lang w:val="en-US" w:eastAsia="ja-JP"/>
              </w:rPr>
            </w:pPr>
            <w:r w:rsidRPr="0081101C">
              <w:rPr>
                <w:sz w:val="20"/>
                <w:szCs w:val="20"/>
                <w:lang w:val="en-US" w:eastAsia="ja-JP"/>
              </w:rPr>
              <w:t>PK and Safety in fasted state</w:t>
            </w:r>
          </w:p>
        </w:tc>
        <w:tc>
          <w:tcPr>
            <w:tcW w:w="1030" w:type="pct"/>
          </w:tcPr>
          <w:p w14:paraId="31E70A16" w14:textId="77777777" w:rsidR="0081101C" w:rsidRPr="0081101C" w:rsidRDefault="0081101C" w:rsidP="001B3525">
            <w:pPr>
              <w:rPr>
                <w:sz w:val="20"/>
                <w:szCs w:val="20"/>
                <w:lang w:val="en-US" w:eastAsia="ja-JP"/>
              </w:rPr>
            </w:pPr>
            <w:r w:rsidRPr="0081101C">
              <w:rPr>
                <w:sz w:val="20"/>
                <w:szCs w:val="20"/>
                <w:lang w:val="en-US" w:eastAsia="ja-JP"/>
              </w:rPr>
              <w:t>100, 200, or 400 mg</w:t>
            </w:r>
          </w:p>
        </w:tc>
        <w:tc>
          <w:tcPr>
            <w:tcW w:w="1083" w:type="pct"/>
            <w:gridSpan w:val="2"/>
          </w:tcPr>
          <w:p w14:paraId="077ABEB2" w14:textId="77777777" w:rsidR="0081101C" w:rsidRPr="0081101C" w:rsidRDefault="0081101C" w:rsidP="001B3525">
            <w:pPr>
              <w:rPr>
                <w:sz w:val="20"/>
                <w:szCs w:val="20"/>
                <w:lang w:val="en-US" w:eastAsia="ja-JP"/>
              </w:rPr>
            </w:pPr>
            <w:r w:rsidRPr="0081101C">
              <w:rPr>
                <w:sz w:val="20"/>
                <w:szCs w:val="20"/>
                <w:lang w:val="en-US" w:eastAsia="ja-JP"/>
              </w:rPr>
              <w:t>N=18; 18M/0F</w:t>
            </w:r>
          </w:p>
        </w:tc>
      </w:tr>
      <w:tr w:rsidR="0081101C" w:rsidRPr="0081101C" w14:paraId="1CB4E443" w14:textId="77777777" w:rsidTr="00AE6543">
        <w:tc>
          <w:tcPr>
            <w:tcW w:w="712" w:type="pct"/>
          </w:tcPr>
          <w:p w14:paraId="0E203D74" w14:textId="77777777" w:rsidR="0081101C" w:rsidRPr="0081101C" w:rsidRDefault="0081101C" w:rsidP="001B3525">
            <w:pPr>
              <w:rPr>
                <w:sz w:val="20"/>
                <w:szCs w:val="20"/>
                <w:lang w:val="en-US" w:eastAsia="ja-JP"/>
              </w:rPr>
            </w:pPr>
            <w:r w:rsidRPr="0081101C">
              <w:rPr>
                <w:sz w:val="20"/>
                <w:szCs w:val="20"/>
                <w:lang w:val="en-US" w:eastAsia="ja-JP"/>
              </w:rPr>
              <w:lastRenderedPageBreak/>
              <w:t>003</w:t>
            </w:r>
          </w:p>
        </w:tc>
        <w:tc>
          <w:tcPr>
            <w:tcW w:w="1013" w:type="pct"/>
          </w:tcPr>
          <w:p w14:paraId="05E25207" w14:textId="77777777" w:rsidR="0081101C" w:rsidRPr="0081101C" w:rsidRDefault="0081101C" w:rsidP="001B3525">
            <w:pPr>
              <w:rPr>
                <w:sz w:val="20"/>
                <w:szCs w:val="20"/>
                <w:lang w:val="en-US" w:eastAsia="ja-JP"/>
              </w:rPr>
            </w:pPr>
            <w:r w:rsidRPr="0081101C">
              <w:rPr>
                <w:sz w:val="20"/>
                <w:szCs w:val="20"/>
                <w:lang w:val="en-US" w:eastAsia="ja-JP"/>
              </w:rPr>
              <w:t>R, O, PG</w:t>
            </w:r>
          </w:p>
        </w:tc>
        <w:tc>
          <w:tcPr>
            <w:tcW w:w="1162" w:type="pct"/>
          </w:tcPr>
          <w:p w14:paraId="56718393" w14:textId="30740E01" w:rsidR="0081101C" w:rsidRPr="0081101C" w:rsidRDefault="0081101C" w:rsidP="001B3525">
            <w:pPr>
              <w:rPr>
                <w:sz w:val="20"/>
                <w:szCs w:val="20"/>
                <w:lang w:val="en-US" w:eastAsia="ja-JP"/>
              </w:rPr>
            </w:pPr>
            <w:r w:rsidRPr="0081101C">
              <w:rPr>
                <w:sz w:val="20"/>
                <w:szCs w:val="20"/>
                <w:lang w:val="en-US" w:eastAsia="ja-JP"/>
              </w:rPr>
              <w:t>PK and Safety in fed v</w:t>
            </w:r>
            <w:r w:rsidR="009E28FB">
              <w:rPr>
                <w:sz w:val="20"/>
                <w:szCs w:val="20"/>
                <w:lang w:val="en-US" w:eastAsia="ja-JP"/>
              </w:rPr>
              <w:t>ersu</w:t>
            </w:r>
            <w:r w:rsidRPr="0081101C">
              <w:rPr>
                <w:sz w:val="20"/>
                <w:szCs w:val="20"/>
                <w:lang w:val="en-US" w:eastAsia="ja-JP"/>
              </w:rPr>
              <w:t>s fasted state. Gender effects.</w:t>
            </w:r>
          </w:p>
        </w:tc>
        <w:tc>
          <w:tcPr>
            <w:tcW w:w="1030" w:type="pct"/>
          </w:tcPr>
          <w:p w14:paraId="5BD17E9C" w14:textId="77777777" w:rsidR="0081101C" w:rsidRPr="0081101C" w:rsidRDefault="0081101C" w:rsidP="001B3525">
            <w:pPr>
              <w:rPr>
                <w:sz w:val="20"/>
                <w:szCs w:val="20"/>
                <w:lang w:val="en-US" w:eastAsia="ja-JP"/>
              </w:rPr>
            </w:pPr>
            <w:r w:rsidRPr="0081101C">
              <w:rPr>
                <w:sz w:val="20"/>
                <w:szCs w:val="20"/>
                <w:lang w:val="en-US" w:eastAsia="ja-JP"/>
              </w:rPr>
              <w:t>400 mg</w:t>
            </w:r>
          </w:p>
        </w:tc>
        <w:tc>
          <w:tcPr>
            <w:tcW w:w="1083" w:type="pct"/>
            <w:gridSpan w:val="2"/>
          </w:tcPr>
          <w:p w14:paraId="0EF30935" w14:textId="77777777" w:rsidR="0081101C" w:rsidRPr="0081101C" w:rsidRDefault="0081101C" w:rsidP="001B3525">
            <w:pPr>
              <w:rPr>
                <w:sz w:val="20"/>
                <w:szCs w:val="20"/>
                <w:lang w:val="en-US" w:eastAsia="ja-JP"/>
              </w:rPr>
            </w:pPr>
            <w:r w:rsidRPr="0081101C">
              <w:rPr>
                <w:sz w:val="20"/>
                <w:szCs w:val="20"/>
                <w:lang w:val="en-US" w:eastAsia="ja-JP"/>
              </w:rPr>
              <w:t>N=32;16M/16F</w:t>
            </w:r>
          </w:p>
        </w:tc>
      </w:tr>
      <w:tr w:rsidR="0081101C" w:rsidRPr="0081101C" w14:paraId="50A2003B" w14:textId="77777777" w:rsidTr="00AE6543">
        <w:tc>
          <w:tcPr>
            <w:tcW w:w="712" w:type="pct"/>
          </w:tcPr>
          <w:p w14:paraId="62A5A60B" w14:textId="77777777" w:rsidR="0081101C" w:rsidRPr="0081101C" w:rsidRDefault="0081101C" w:rsidP="001B3525">
            <w:pPr>
              <w:rPr>
                <w:sz w:val="20"/>
                <w:szCs w:val="20"/>
                <w:lang w:val="en-US" w:eastAsia="ja-JP"/>
              </w:rPr>
            </w:pPr>
            <w:r w:rsidRPr="0081101C">
              <w:rPr>
                <w:sz w:val="20"/>
                <w:szCs w:val="20"/>
                <w:lang w:val="en-US" w:eastAsia="ja-JP"/>
              </w:rPr>
              <w:t>022</w:t>
            </w:r>
          </w:p>
        </w:tc>
        <w:tc>
          <w:tcPr>
            <w:tcW w:w="1013" w:type="pct"/>
          </w:tcPr>
          <w:p w14:paraId="07DFEDAF" w14:textId="77777777" w:rsidR="0081101C" w:rsidRPr="0081101C" w:rsidRDefault="0081101C" w:rsidP="001B3525">
            <w:pPr>
              <w:rPr>
                <w:sz w:val="20"/>
                <w:szCs w:val="20"/>
                <w:lang w:val="en-US" w:eastAsia="ja-JP"/>
              </w:rPr>
            </w:pPr>
            <w:r w:rsidRPr="0081101C">
              <w:rPr>
                <w:sz w:val="20"/>
                <w:szCs w:val="20"/>
                <w:lang w:val="en-US" w:eastAsia="ja-JP"/>
              </w:rPr>
              <w:t>R, PG</w:t>
            </w:r>
          </w:p>
        </w:tc>
        <w:tc>
          <w:tcPr>
            <w:tcW w:w="1162" w:type="pct"/>
          </w:tcPr>
          <w:p w14:paraId="34AE0574" w14:textId="6F49FC1E" w:rsidR="0081101C" w:rsidRPr="0081101C" w:rsidRDefault="0081101C" w:rsidP="001B3525">
            <w:pPr>
              <w:rPr>
                <w:sz w:val="20"/>
                <w:szCs w:val="20"/>
                <w:lang w:val="en-US" w:eastAsia="ja-JP"/>
              </w:rPr>
            </w:pPr>
            <w:r w:rsidRPr="0081101C">
              <w:rPr>
                <w:sz w:val="20"/>
                <w:szCs w:val="20"/>
                <w:lang w:val="en-US" w:eastAsia="ja-JP"/>
              </w:rPr>
              <w:t>PK and Safety in fed v</w:t>
            </w:r>
            <w:r w:rsidR="009E28FB">
              <w:rPr>
                <w:sz w:val="20"/>
                <w:szCs w:val="20"/>
                <w:lang w:val="en-US" w:eastAsia="ja-JP"/>
              </w:rPr>
              <w:t>ersu</w:t>
            </w:r>
            <w:r w:rsidRPr="0081101C">
              <w:rPr>
                <w:sz w:val="20"/>
                <w:szCs w:val="20"/>
                <w:lang w:val="en-US" w:eastAsia="ja-JP"/>
              </w:rPr>
              <w:t>s fasted state. Gender effects.</w:t>
            </w:r>
          </w:p>
        </w:tc>
        <w:tc>
          <w:tcPr>
            <w:tcW w:w="1030" w:type="pct"/>
          </w:tcPr>
          <w:p w14:paraId="1313F36F" w14:textId="77777777" w:rsidR="0081101C" w:rsidRPr="0081101C" w:rsidRDefault="0081101C" w:rsidP="001B3525">
            <w:pPr>
              <w:rPr>
                <w:sz w:val="20"/>
                <w:szCs w:val="20"/>
                <w:lang w:val="en-US" w:eastAsia="ja-JP"/>
              </w:rPr>
            </w:pPr>
            <w:r w:rsidRPr="0081101C">
              <w:rPr>
                <w:sz w:val="20"/>
                <w:szCs w:val="20"/>
                <w:lang w:val="en-US" w:eastAsia="ja-JP"/>
              </w:rPr>
              <w:t>200 mg</w:t>
            </w:r>
          </w:p>
        </w:tc>
        <w:tc>
          <w:tcPr>
            <w:tcW w:w="1083" w:type="pct"/>
            <w:gridSpan w:val="2"/>
          </w:tcPr>
          <w:p w14:paraId="7F6E96F4" w14:textId="77777777" w:rsidR="0081101C" w:rsidRPr="0081101C" w:rsidRDefault="0081101C" w:rsidP="001B3525">
            <w:pPr>
              <w:rPr>
                <w:sz w:val="20"/>
                <w:szCs w:val="20"/>
                <w:lang w:val="en-US" w:eastAsia="ja-JP"/>
              </w:rPr>
            </w:pPr>
            <w:r w:rsidRPr="0081101C">
              <w:rPr>
                <w:sz w:val="20"/>
                <w:szCs w:val="20"/>
                <w:lang w:val="en-US" w:eastAsia="ja-JP"/>
              </w:rPr>
              <w:t>N=40; 20M/20F</w:t>
            </w:r>
          </w:p>
        </w:tc>
      </w:tr>
      <w:tr w:rsidR="0081101C" w:rsidRPr="0081101C" w14:paraId="53B83DA0" w14:textId="77777777" w:rsidTr="00AE6543">
        <w:tc>
          <w:tcPr>
            <w:tcW w:w="712" w:type="pct"/>
          </w:tcPr>
          <w:p w14:paraId="71EFBF5B" w14:textId="77777777" w:rsidR="0081101C" w:rsidRPr="0081101C" w:rsidRDefault="0081101C" w:rsidP="001B3525">
            <w:pPr>
              <w:rPr>
                <w:sz w:val="20"/>
                <w:szCs w:val="20"/>
                <w:lang w:val="en-US" w:eastAsia="ja-JP"/>
              </w:rPr>
            </w:pPr>
            <w:r w:rsidRPr="0081101C">
              <w:rPr>
                <w:sz w:val="20"/>
                <w:szCs w:val="20"/>
                <w:lang w:val="en-US" w:eastAsia="ja-JP"/>
              </w:rPr>
              <w:t>TQ-2016-01</w:t>
            </w:r>
          </w:p>
        </w:tc>
        <w:tc>
          <w:tcPr>
            <w:tcW w:w="1013" w:type="pct"/>
          </w:tcPr>
          <w:p w14:paraId="158D03CB" w14:textId="77777777" w:rsidR="0081101C" w:rsidRPr="0081101C" w:rsidRDefault="0081101C" w:rsidP="001B3525">
            <w:pPr>
              <w:rPr>
                <w:sz w:val="20"/>
                <w:szCs w:val="20"/>
                <w:lang w:val="en-US" w:eastAsia="ja-JP"/>
              </w:rPr>
            </w:pPr>
            <w:r w:rsidRPr="0081101C">
              <w:rPr>
                <w:sz w:val="20"/>
                <w:szCs w:val="20"/>
                <w:lang w:val="en-US" w:eastAsia="ja-JP"/>
              </w:rPr>
              <w:t>O</w:t>
            </w:r>
          </w:p>
        </w:tc>
        <w:tc>
          <w:tcPr>
            <w:tcW w:w="1162" w:type="pct"/>
          </w:tcPr>
          <w:p w14:paraId="5DD72E6E" w14:textId="08425CFF" w:rsidR="0081101C" w:rsidRPr="0081101C" w:rsidRDefault="0081101C" w:rsidP="001B3525">
            <w:pPr>
              <w:rPr>
                <w:sz w:val="20"/>
                <w:szCs w:val="20"/>
                <w:lang w:val="en-US" w:eastAsia="ja-JP"/>
              </w:rPr>
            </w:pPr>
            <w:r w:rsidRPr="0081101C">
              <w:rPr>
                <w:sz w:val="20"/>
                <w:szCs w:val="20"/>
                <w:lang w:val="en-US" w:eastAsia="ja-JP"/>
              </w:rPr>
              <w:t>Compare PK parameters of the new tafenoquine clinical formulation (100 mg tablets) to PK of the 200</w:t>
            </w:r>
            <w:r w:rsidR="009E28FB">
              <w:rPr>
                <w:sz w:val="20"/>
                <w:szCs w:val="20"/>
                <w:lang w:val="en-US" w:eastAsia="ja-JP"/>
              </w:rPr>
              <w:t> </w:t>
            </w:r>
            <w:r w:rsidRPr="0081101C">
              <w:rPr>
                <w:sz w:val="20"/>
                <w:szCs w:val="20"/>
                <w:lang w:val="en-US" w:eastAsia="ja-JP"/>
              </w:rPr>
              <w:t>mg capsule used in previous tafenoquine trials (specifically Study 022). Also, compare AEs, vital signs and h</w:t>
            </w:r>
            <w:r w:rsidR="000E36DE">
              <w:rPr>
                <w:sz w:val="20"/>
                <w:szCs w:val="20"/>
                <w:lang w:val="en-US" w:eastAsia="ja-JP"/>
              </w:rPr>
              <w:t>a</w:t>
            </w:r>
            <w:r w:rsidRPr="0081101C">
              <w:rPr>
                <w:sz w:val="20"/>
                <w:szCs w:val="20"/>
                <w:lang w:val="en-US" w:eastAsia="ja-JP"/>
              </w:rPr>
              <w:t>ematology parameters.</w:t>
            </w:r>
          </w:p>
        </w:tc>
        <w:tc>
          <w:tcPr>
            <w:tcW w:w="1030" w:type="pct"/>
          </w:tcPr>
          <w:p w14:paraId="231D07D5" w14:textId="08AFFC77" w:rsidR="0081101C" w:rsidRPr="0081101C" w:rsidRDefault="0081101C" w:rsidP="001B3525">
            <w:pPr>
              <w:rPr>
                <w:sz w:val="20"/>
                <w:szCs w:val="20"/>
                <w:lang w:val="en-US" w:eastAsia="ja-JP"/>
              </w:rPr>
            </w:pPr>
            <w:r w:rsidRPr="0081101C">
              <w:rPr>
                <w:sz w:val="20"/>
                <w:szCs w:val="20"/>
                <w:lang w:val="en-US" w:eastAsia="ja-JP"/>
              </w:rPr>
              <w:t>200</w:t>
            </w:r>
            <w:r w:rsidR="009E28FB">
              <w:rPr>
                <w:sz w:val="20"/>
                <w:szCs w:val="20"/>
                <w:lang w:val="en-US" w:eastAsia="ja-JP"/>
              </w:rPr>
              <w:t xml:space="preserve"> </w:t>
            </w:r>
            <w:r w:rsidRPr="0081101C">
              <w:rPr>
                <w:sz w:val="20"/>
                <w:szCs w:val="20"/>
                <w:lang w:val="en-US" w:eastAsia="ja-JP"/>
              </w:rPr>
              <w:t>mg (dosed as two 100 mg tablets)</w:t>
            </w:r>
          </w:p>
        </w:tc>
        <w:tc>
          <w:tcPr>
            <w:tcW w:w="1083" w:type="pct"/>
            <w:gridSpan w:val="2"/>
          </w:tcPr>
          <w:p w14:paraId="2BC23000" w14:textId="77777777" w:rsidR="0081101C" w:rsidRPr="0081101C" w:rsidRDefault="0081101C" w:rsidP="001B3525">
            <w:pPr>
              <w:rPr>
                <w:sz w:val="20"/>
                <w:szCs w:val="20"/>
                <w:lang w:val="en-US" w:eastAsia="ja-JP"/>
              </w:rPr>
            </w:pPr>
            <w:r w:rsidRPr="0081101C">
              <w:rPr>
                <w:sz w:val="20"/>
                <w:szCs w:val="20"/>
                <w:lang w:val="en-US" w:eastAsia="ja-JP"/>
              </w:rPr>
              <w:t xml:space="preserve">N=70 </w:t>
            </w:r>
          </w:p>
        </w:tc>
      </w:tr>
      <w:tr w:rsidR="0081101C" w:rsidRPr="0081101C" w14:paraId="339DD581" w14:textId="77777777" w:rsidTr="0081101C">
        <w:tc>
          <w:tcPr>
            <w:tcW w:w="5000" w:type="pct"/>
            <w:gridSpan w:val="6"/>
          </w:tcPr>
          <w:p w14:paraId="5E2103DB" w14:textId="26DFC467" w:rsidR="0081101C" w:rsidRPr="0081101C" w:rsidRDefault="0081101C" w:rsidP="009E28FB">
            <w:pPr>
              <w:rPr>
                <w:sz w:val="20"/>
                <w:szCs w:val="20"/>
                <w:lang w:val="en-US" w:eastAsia="ja-JP"/>
              </w:rPr>
            </w:pPr>
            <w:r w:rsidRPr="0081101C">
              <w:rPr>
                <w:b/>
                <w:sz w:val="20"/>
                <w:szCs w:val="20"/>
                <w:lang w:val="en-US" w:eastAsia="ja-JP"/>
              </w:rPr>
              <w:t>Multiple-</w:t>
            </w:r>
            <w:r w:rsidR="009E28FB">
              <w:rPr>
                <w:b/>
                <w:sz w:val="20"/>
                <w:szCs w:val="20"/>
                <w:lang w:val="en-US" w:eastAsia="ja-JP"/>
              </w:rPr>
              <w:t>d</w:t>
            </w:r>
            <w:r w:rsidR="009E28FB" w:rsidRPr="0081101C">
              <w:rPr>
                <w:b/>
                <w:sz w:val="20"/>
                <w:szCs w:val="20"/>
                <w:lang w:val="en-US" w:eastAsia="ja-JP"/>
              </w:rPr>
              <w:t xml:space="preserve">ose </w:t>
            </w:r>
            <w:r w:rsidR="009E28FB">
              <w:rPr>
                <w:b/>
                <w:sz w:val="20"/>
                <w:szCs w:val="20"/>
                <w:lang w:val="en-US" w:eastAsia="ja-JP"/>
              </w:rPr>
              <w:t>s</w:t>
            </w:r>
            <w:r w:rsidR="009E28FB" w:rsidRPr="0081101C">
              <w:rPr>
                <w:b/>
                <w:sz w:val="20"/>
                <w:szCs w:val="20"/>
                <w:lang w:val="en-US" w:eastAsia="ja-JP"/>
              </w:rPr>
              <w:t>tudies</w:t>
            </w:r>
          </w:p>
        </w:tc>
      </w:tr>
      <w:tr w:rsidR="0081101C" w:rsidRPr="0081101C" w14:paraId="44D74B98" w14:textId="77777777" w:rsidTr="00AE6543">
        <w:tc>
          <w:tcPr>
            <w:tcW w:w="712" w:type="pct"/>
          </w:tcPr>
          <w:p w14:paraId="491493C0" w14:textId="77777777" w:rsidR="0081101C" w:rsidRPr="0081101C" w:rsidRDefault="0081101C" w:rsidP="001B3525">
            <w:pPr>
              <w:rPr>
                <w:sz w:val="20"/>
                <w:szCs w:val="20"/>
                <w:lang w:val="en-US" w:eastAsia="ja-JP"/>
              </w:rPr>
            </w:pPr>
            <w:r w:rsidRPr="0081101C">
              <w:rPr>
                <w:sz w:val="20"/>
                <w:szCs w:val="20"/>
                <w:lang w:val="en-US" w:eastAsia="ja-JP"/>
              </w:rPr>
              <w:t>051</w:t>
            </w:r>
          </w:p>
        </w:tc>
        <w:tc>
          <w:tcPr>
            <w:tcW w:w="1013" w:type="pct"/>
          </w:tcPr>
          <w:p w14:paraId="3574F714" w14:textId="77777777" w:rsidR="0081101C" w:rsidRPr="0081101C" w:rsidRDefault="0081101C" w:rsidP="001B3525">
            <w:pPr>
              <w:rPr>
                <w:sz w:val="20"/>
                <w:szCs w:val="20"/>
                <w:lang w:val="en-US" w:eastAsia="ja-JP"/>
              </w:rPr>
            </w:pPr>
            <w:r w:rsidRPr="0081101C">
              <w:rPr>
                <w:sz w:val="20"/>
                <w:szCs w:val="20"/>
                <w:lang w:val="en-US" w:eastAsia="ja-JP"/>
              </w:rPr>
              <w:t>R, DB, PC</w:t>
            </w:r>
          </w:p>
        </w:tc>
        <w:tc>
          <w:tcPr>
            <w:tcW w:w="1162" w:type="pct"/>
          </w:tcPr>
          <w:p w14:paraId="63379B4C" w14:textId="77777777" w:rsidR="0081101C" w:rsidRPr="0081101C" w:rsidRDefault="0081101C" w:rsidP="001B3525">
            <w:pPr>
              <w:rPr>
                <w:sz w:val="20"/>
                <w:szCs w:val="20"/>
                <w:lang w:val="en-US" w:eastAsia="ja-JP"/>
              </w:rPr>
            </w:pPr>
            <w:r w:rsidRPr="0081101C">
              <w:rPr>
                <w:sz w:val="20"/>
                <w:szCs w:val="20"/>
                <w:lang w:val="en-US" w:eastAsia="ja-JP"/>
              </w:rPr>
              <w:t>PK and Safety in fasted state</w:t>
            </w:r>
          </w:p>
        </w:tc>
        <w:tc>
          <w:tcPr>
            <w:tcW w:w="1122" w:type="pct"/>
            <w:gridSpan w:val="2"/>
          </w:tcPr>
          <w:p w14:paraId="674D9510" w14:textId="717E667A" w:rsidR="0081101C" w:rsidRPr="0081101C" w:rsidRDefault="0081101C" w:rsidP="001B3525">
            <w:pPr>
              <w:rPr>
                <w:sz w:val="20"/>
                <w:szCs w:val="20"/>
                <w:lang w:val="en-US" w:eastAsia="ja-JP"/>
              </w:rPr>
            </w:pPr>
            <w:r w:rsidRPr="0081101C">
              <w:rPr>
                <w:sz w:val="20"/>
                <w:szCs w:val="20"/>
                <w:lang w:val="en-US" w:eastAsia="ja-JP"/>
              </w:rPr>
              <w:t>200, 400, or 600</w:t>
            </w:r>
            <w:r w:rsidR="009E28FB">
              <w:rPr>
                <w:sz w:val="20"/>
                <w:szCs w:val="20"/>
                <w:lang w:val="en-US" w:eastAsia="ja-JP"/>
              </w:rPr>
              <w:t> </w:t>
            </w:r>
            <w:r w:rsidRPr="0081101C">
              <w:rPr>
                <w:sz w:val="20"/>
                <w:szCs w:val="20"/>
                <w:lang w:val="en-US" w:eastAsia="ja-JP"/>
              </w:rPr>
              <w:t>mg weekly x 10 weeks</w:t>
            </w:r>
          </w:p>
        </w:tc>
        <w:tc>
          <w:tcPr>
            <w:tcW w:w="991" w:type="pct"/>
          </w:tcPr>
          <w:p w14:paraId="265C7A94" w14:textId="77777777" w:rsidR="0081101C" w:rsidRPr="0081101C" w:rsidRDefault="0081101C" w:rsidP="001B3525">
            <w:pPr>
              <w:rPr>
                <w:sz w:val="20"/>
                <w:szCs w:val="20"/>
                <w:lang w:val="en-US" w:eastAsia="ja-JP"/>
              </w:rPr>
            </w:pPr>
            <w:r w:rsidRPr="0081101C">
              <w:rPr>
                <w:sz w:val="20"/>
                <w:szCs w:val="20"/>
                <w:lang w:val="en-US" w:eastAsia="ja-JP"/>
              </w:rPr>
              <w:t>N=36; 30M/6F</w:t>
            </w:r>
          </w:p>
        </w:tc>
      </w:tr>
      <w:tr w:rsidR="0081101C" w:rsidRPr="0081101C" w14:paraId="07075B81" w14:textId="77777777" w:rsidTr="00AE6543">
        <w:tc>
          <w:tcPr>
            <w:tcW w:w="712" w:type="pct"/>
          </w:tcPr>
          <w:p w14:paraId="127BD92B" w14:textId="77777777" w:rsidR="0081101C" w:rsidRPr="0081101C" w:rsidRDefault="0081101C" w:rsidP="001B3525">
            <w:pPr>
              <w:rPr>
                <w:sz w:val="20"/>
                <w:szCs w:val="20"/>
                <w:lang w:val="en-US" w:eastAsia="ja-JP"/>
              </w:rPr>
            </w:pPr>
            <w:r w:rsidRPr="0081101C">
              <w:rPr>
                <w:sz w:val="20"/>
                <w:szCs w:val="20"/>
                <w:lang w:val="en-US" w:eastAsia="ja-JP"/>
              </w:rPr>
              <w:t>014</w:t>
            </w:r>
          </w:p>
        </w:tc>
        <w:tc>
          <w:tcPr>
            <w:tcW w:w="1013" w:type="pct"/>
          </w:tcPr>
          <w:p w14:paraId="3446FD05" w14:textId="77777777" w:rsidR="0081101C" w:rsidRPr="0081101C" w:rsidRDefault="0081101C" w:rsidP="001B3525">
            <w:pPr>
              <w:rPr>
                <w:sz w:val="20"/>
                <w:szCs w:val="20"/>
                <w:lang w:val="en-US" w:eastAsia="ja-JP"/>
              </w:rPr>
            </w:pPr>
            <w:r w:rsidRPr="0081101C">
              <w:rPr>
                <w:sz w:val="20"/>
                <w:szCs w:val="20"/>
                <w:lang w:val="en-US" w:eastAsia="ja-JP"/>
              </w:rPr>
              <w:t>R, O, PG</w:t>
            </w:r>
          </w:p>
        </w:tc>
        <w:tc>
          <w:tcPr>
            <w:tcW w:w="1162" w:type="pct"/>
          </w:tcPr>
          <w:p w14:paraId="22657DB6" w14:textId="77777777" w:rsidR="0081101C" w:rsidRPr="0081101C" w:rsidRDefault="0081101C" w:rsidP="001B3525">
            <w:pPr>
              <w:rPr>
                <w:sz w:val="20"/>
                <w:szCs w:val="20"/>
                <w:lang w:val="en-US" w:eastAsia="ja-JP"/>
              </w:rPr>
            </w:pPr>
            <w:r w:rsidRPr="0081101C">
              <w:rPr>
                <w:sz w:val="20"/>
                <w:szCs w:val="20"/>
                <w:lang w:val="en-US" w:eastAsia="ja-JP"/>
              </w:rPr>
              <w:t>Relative bioavailability of 3 different oral formulations.</w:t>
            </w:r>
          </w:p>
        </w:tc>
        <w:tc>
          <w:tcPr>
            <w:tcW w:w="1122" w:type="pct"/>
            <w:gridSpan w:val="2"/>
          </w:tcPr>
          <w:p w14:paraId="2A94813D" w14:textId="77777777" w:rsidR="0081101C" w:rsidRPr="0081101C" w:rsidRDefault="0081101C" w:rsidP="001B3525">
            <w:pPr>
              <w:rPr>
                <w:sz w:val="20"/>
                <w:szCs w:val="20"/>
                <w:lang w:val="en-US" w:eastAsia="ja-JP"/>
              </w:rPr>
            </w:pPr>
            <w:r w:rsidRPr="0081101C">
              <w:rPr>
                <w:sz w:val="20"/>
                <w:szCs w:val="20"/>
                <w:lang w:val="en-US" w:eastAsia="ja-JP"/>
              </w:rPr>
              <w:t>400 mg daily x 3 days</w:t>
            </w:r>
          </w:p>
        </w:tc>
        <w:tc>
          <w:tcPr>
            <w:tcW w:w="991" w:type="pct"/>
          </w:tcPr>
          <w:p w14:paraId="1E2EDE00" w14:textId="77777777" w:rsidR="0081101C" w:rsidRPr="0081101C" w:rsidRDefault="0081101C" w:rsidP="001B3525">
            <w:pPr>
              <w:rPr>
                <w:sz w:val="20"/>
                <w:szCs w:val="20"/>
                <w:lang w:val="en-US" w:eastAsia="ja-JP"/>
              </w:rPr>
            </w:pPr>
            <w:r w:rsidRPr="0081101C">
              <w:rPr>
                <w:sz w:val="20"/>
                <w:szCs w:val="20"/>
                <w:lang w:val="en-US" w:eastAsia="ja-JP"/>
              </w:rPr>
              <w:t>N=58; 43M/15F</w:t>
            </w:r>
          </w:p>
        </w:tc>
      </w:tr>
      <w:tr w:rsidR="0081101C" w:rsidRPr="0081101C" w14:paraId="03D02955" w14:textId="77777777" w:rsidTr="00AE6543">
        <w:tc>
          <w:tcPr>
            <w:tcW w:w="712" w:type="pct"/>
          </w:tcPr>
          <w:p w14:paraId="404E0B80" w14:textId="44DFC614" w:rsidR="0081101C" w:rsidRPr="0081101C" w:rsidRDefault="0081101C" w:rsidP="00AE6543">
            <w:pPr>
              <w:rPr>
                <w:sz w:val="20"/>
                <w:szCs w:val="20"/>
                <w:lang w:val="en-US" w:eastAsia="ja-JP"/>
              </w:rPr>
            </w:pPr>
            <w:r w:rsidRPr="0081101C">
              <w:rPr>
                <w:sz w:val="20"/>
                <w:szCs w:val="20"/>
                <w:lang w:val="en-US" w:eastAsia="ja-JP"/>
              </w:rPr>
              <w:t>057</w:t>
            </w:r>
          </w:p>
        </w:tc>
        <w:tc>
          <w:tcPr>
            <w:tcW w:w="1013" w:type="pct"/>
          </w:tcPr>
          <w:p w14:paraId="0D1C0AB7" w14:textId="77777777" w:rsidR="0081101C" w:rsidRPr="0081101C" w:rsidRDefault="0081101C" w:rsidP="001B3525">
            <w:pPr>
              <w:rPr>
                <w:sz w:val="20"/>
                <w:szCs w:val="20"/>
                <w:lang w:val="en-US" w:eastAsia="ja-JP"/>
              </w:rPr>
            </w:pPr>
            <w:r w:rsidRPr="0081101C">
              <w:rPr>
                <w:sz w:val="20"/>
                <w:szCs w:val="20"/>
                <w:lang w:val="en-US" w:eastAsia="ja-JP"/>
              </w:rPr>
              <w:t>R, PC</w:t>
            </w:r>
          </w:p>
        </w:tc>
        <w:tc>
          <w:tcPr>
            <w:tcW w:w="1162" w:type="pct"/>
          </w:tcPr>
          <w:p w14:paraId="07D3C076" w14:textId="77777777" w:rsidR="0081101C" w:rsidRPr="0081101C" w:rsidRDefault="0081101C" w:rsidP="001B3525">
            <w:pPr>
              <w:rPr>
                <w:sz w:val="20"/>
                <w:szCs w:val="20"/>
                <w:lang w:val="en-US" w:eastAsia="ja-JP"/>
              </w:rPr>
            </w:pPr>
            <w:r w:rsidRPr="0081101C">
              <w:rPr>
                <w:sz w:val="20"/>
                <w:szCs w:val="20"/>
                <w:lang w:val="en-US" w:eastAsia="ja-JP"/>
              </w:rPr>
              <w:t>Renal and ocular Safety.</w:t>
            </w:r>
          </w:p>
        </w:tc>
        <w:tc>
          <w:tcPr>
            <w:tcW w:w="1122" w:type="pct"/>
            <w:gridSpan w:val="2"/>
          </w:tcPr>
          <w:p w14:paraId="618B2843" w14:textId="77777777" w:rsidR="0081101C" w:rsidRPr="0081101C" w:rsidRDefault="0081101C" w:rsidP="001B3525">
            <w:pPr>
              <w:rPr>
                <w:sz w:val="20"/>
                <w:szCs w:val="20"/>
                <w:lang w:val="en-US" w:eastAsia="ja-JP"/>
              </w:rPr>
            </w:pPr>
            <w:r w:rsidRPr="0081101C">
              <w:rPr>
                <w:sz w:val="20"/>
                <w:szCs w:val="20"/>
                <w:lang w:val="en-US" w:eastAsia="ja-JP"/>
              </w:rPr>
              <w:t>200 mg daily x 3 days, then weekly x 23 weeks</w:t>
            </w:r>
          </w:p>
        </w:tc>
        <w:tc>
          <w:tcPr>
            <w:tcW w:w="991" w:type="pct"/>
          </w:tcPr>
          <w:p w14:paraId="3294716D" w14:textId="77777777" w:rsidR="0081101C" w:rsidRPr="0081101C" w:rsidRDefault="0081101C" w:rsidP="001B3525">
            <w:pPr>
              <w:rPr>
                <w:sz w:val="20"/>
                <w:szCs w:val="20"/>
                <w:lang w:val="en-US" w:eastAsia="ja-JP"/>
              </w:rPr>
            </w:pPr>
            <w:r w:rsidRPr="0081101C">
              <w:rPr>
                <w:sz w:val="20"/>
                <w:szCs w:val="20"/>
                <w:lang w:val="en-US" w:eastAsia="ja-JP"/>
              </w:rPr>
              <w:t>N=120; 73M/47F</w:t>
            </w:r>
          </w:p>
        </w:tc>
      </w:tr>
    </w:tbl>
    <w:p w14:paraId="63CE6756" w14:textId="491A2AE6" w:rsidR="0081101C" w:rsidRPr="00D15D79" w:rsidRDefault="0081101C" w:rsidP="0081101C">
      <w:pPr>
        <w:pStyle w:val="TableDescription"/>
        <w:rPr>
          <w:lang w:val="en-US" w:eastAsia="ja-JP"/>
        </w:rPr>
      </w:pPr>
      <w:r w:rsidRPr="00D15D79">
        <w:rPr>
          <w:lang w:val="en-US" w:eastAsia="ja-JP"/>
        </w:rPr>
        <w:fldChar w:fldCharType="begin"/>
      </w:r>
      <w:r w:rsidRPr="00D15D79">
        <w:rPr>
          <w:lang w:val="en-US" w:eastAsia="ja-JP"/>
        </w:rPr>
        <w:instrText xml:space="preserve"> REF _TNCF0EB61497D79422694054A15F4673A94  \* MERGEFORMAT </w:instrText>
      </w:r>
      <w:r w:rsidRPr="00D15D79">
        <w:rPr>
          <w:lang w:val="en-US" w:eastAsia="ja-JP"/>
        </w:rPr>
        <w:fldChar w:fldCharType="separate"/>
      </w:r>
      <w:r w:rsidR="00CE218E" w:rsidRPr="00CE218E">
        <w:rPr>
          <w:vertAlign w:val="superscript"/>
          <w:lang w:val="en-US" w:eastAsia="ja-JP"/>
        </w:rPr>
        <w:t>(</w:t>
      </w:r>
      <w:proofErr w:type="gramStart"/>
      <w:r w:rsidR="00CE218E" w:rsidRPr="00CE218E">
        <w:rPr>
          <w:vertAlign w:val="superscript"/>
          <w:lang w:val="en-US" w:eastAsia="ja-JP"/>
        </w:rPr>
        <w:t>a</w:t>
      </w:r>
      <w:proofErr w:type="gramEnd"/>
      <w:r w:rsidR="00CE218E">
        <w:rPr>
          <w:sz w:val="18"/>
          <w:szCs w:val="18"/>
          <w:vertAlign w:val="superscript"/>
          <w:lang w:val="en-US" w:eastAsia="ja-JP"/>
        </w:rPr>
        <w:t>)</w:t>
      </w:r>
      <w:r w:rsidRPr="00D15D79">
        <w:rPr>
          <w:lang w:eastAsia="ja-JP"/>
        </w:rPr>
        <w:fldChar w:fldCharType="end"/>
      </w:r>
      <w:r w:rsidRPr="00D15D79">
        <w:rPr>
          <w:lang w:val="en-US" w:eastAsia="ja-JP"/>
        </w:rPr>
        <w:t>R=</w:t>
      </w:r>
      <w:proofErr w:type="spellStart"/>
      <w:r w:rsidR="009E28FB" w:rsidRPr="00D15D79">
        <w:rPr>
          <w:lang w:val="en-US" w:eastAsia="ja-JP"/>
        </w:rPr>
        <w:t>Randomi</w:t>
      </w:r>
      <w:r w:rsidR="009E28FB">
        <w:rPr>
          <w:lang w:val="en-US" w:eastAsia="ja-JP"/>
        </w:rPr>
        <w:t>s</w:t>
      </w:r>
      <w:r w:rsidR="009E28FB" w:rsidRPr="00D15D79">
        <w:rPr>
          <w:lang w:val="en-US" w:eastAsia="ja-JP"/>
        </w:rPr>
        <w:t>ed</w:t>
      </w:r>
      <w:proofErr w:type="spellEnd"/>
      <w:r w:rsidRPr="00D15D79">
        <w:rPr>
          <w:lang w:val="en-US" w:eastAsia="ja-JP"/>
        </w:rPr>
        <w:t xml:space="preserve">; DB=Double-blind; P=Placebo-controlled trial; PG=Parallel-group; O=Open-label. </w:t>
      </w:r>
    </w:p>
    <w:p w14:paraId="005F36B2" w14:textId="0E18D8C8" w:rsidR="0081101C" w:rsidRPr="004B4CC5" w:rsidRDefault="0081101C" w:rsidP="0081101C">
      <w:pPr>
        <w:pStyle w:val="TableTitle"/>
        <w:rPr>
          <w:lang w:val="en-US" w:eastAsia="ja-JP"/>
        </w:rPr>
      </w:pPr>
      <w:bookmarkStart w:id="82" w:name="_Toc452381792"/>
      <w:bookmarkStart w:id="83" w:name="_Toc472947950"/>
      <w:bookmarkStart w:id="84" w:name="_Toc476549700"/>
      <w:bookmarkStart w:id="85" w:name="_Toc504229427"/>
      <w:bookmarkStart w:id="86" w:name="_Toc501293677"/>
      <w:r>
        <w:lastRenderedPageBreak/>
        <w:t xml:space="preserve">Table </w:t>
      </w:r>
      <w:r w:rsidR="00B52F8D">
        <w:t>8</w:t>
      </w:r>
      <w:r>
        <w:t>:</w:t>
      </w:r>
      <w:r>
        <w:rPr>
          <w:noProof/>
        </w:rPr>
        <w:t xml:space="preserve"> </w:t>
      </w:r>
      <w:r>
        <w:rPr>
          <w:lang w:val="en-US" w:eastAsia="ja-JP"/>
        </w:rPr>
        <w:t xml:space="preserve">Phase </w:t>
      </w:r>
      <w:r w:rsidR="007E4973">
        <w:rPr>
          <w:lang w:val="en-US" w:eastAsia="ja-JP"/>
        </w:rPr>
        <w:t>I</w:t>
      </w:r>
      <w:r w:rsidR="007E4973" w:rsidRPr="004B4CC5">
        <w:rPr>
          <w:lang w:val="en-US" w:eastAsia="ja-JP"/>
        </w:rPr>
        <w:t xml:space="preserve"> drug-drug interaction studies in healthy volunteers</w:t>
      </w:r>
      <w:bookmarkEnd w:id="82"/>
      <w:bookmarkEnd w:id="83"/>
      <w:bookmarkEnd w:id="84"/>
      <w:bookmarkEnd w:id="85"/>
      <w:bookmarkEnd w:id="86"/>
    </w:p>
    <w:tbl>
      <w:tblPr>
        <w:tblStyle w:val="TableTGAblue"/>
        <w:tblW w:w="5000" w:type="pct"/>
        <w:tblLayout w:type="fixed"/>
        <w:tblLook w:val="00A0" w:firstRow="1" w:lastRow="0" w:firstColumn="1" w:lastColumn="0" w:noHBand="0" w:noVBand="0"/>
      </w:tblPr>
      <w:tblGrid>
        <w:gridCol w:w="958"/>
        <w:gridCol w:w="1364"/>
        <w:gridCol w:w="2367"/>
        <w:gridCol w:w="2632"/>
        <w:gridCol w:w="1399"/>
      </w:tblGrid>
      <w:tr w:rsidR="0081101C" w:rsidRPr="004B4CC5" w14:paraId="4EA28759" w14:textId="77777777" w:rsidTr="00A70B60">
        <w:trPr>
          <w:cnfStyle w:val="100000000000" w:firstRow="1" w:lastRow="0" w:firstColumn="0" w:lastColumn="0" w:oddVBand="0" w:evenVBand="0" w:oddHBand="0" w:evenHBand="0" w:firstRowFirstColumn="0" w:firstRowLastColumn="0" w:lastRowFirstColumn="0" w:lastRowLastColumn="0"/>
        </w:trPr>
        <w:tc>
          <w:tcPr>
            <w:tcW w:w="550" w:type="pct"/>
          </w:tcPr>
          <w:p w14:paraId="5FC20615" w14:textId="77777777"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No. </w:t>
            </w:r>
          </w:p>
        </w:tc>
        <w:tc>
          <w:tcPr>
            <w:tcW w:w="782" w:type="pct"/>
          </w:tcPr>
          <w:p w14:paraId="31702F0B" w14:textId="3AC78033"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w:t>
            </w:r>
            <w:bookmarkStart w:id="87" w:name="_TNCB9D0F4B03D6A45A7A6D4868F1034E210"/>
            <w:r w:rsidR="007E4973">
              <w:rPr>
                <w:sz w:val="20"/>
                <w:szCs w:val="20"/>
                <w:lang w:val="en-US" w:eastAsia="ja-JP"/>
              </w:rPr>
              <w:t>d</w:t>
            </w:r>
            <w:r w:rsidR="007E4973" w:rsidRPr="0081101C">
              <w:rPr>
                <w:sz w:val="20"/>
                <w:szCs w:val="20"/>
                <w:lang w:val="en-US" w:eastAsia="ja-JP"/>
              </w:rPr>
              <w:t>esign</w:t>
            </w:r>
            <w:r w:rsidRPr="0081101C">
              <w:rPr>
                <w:sz w:val="20"/>
                <w:szCs w:val="20"/>
                <w:vertAlign w:val="superscript"/>
                <w:lang w:val="en-US" w:eastAsia="ja-JP"/>
              </w:rPr>
              <w:fldChar w:fldCharType="begin"/>
            </w:r>
            <w:r w:rsidRPr="0081101C">
              <w:rPr>
                <w:sz w:val="20"/>
                <w:szCs w:val="20"/>
                <w:vertAlign w:val="superscript"/>
                <w:lang w:val="en-US" w:eastAsia="ja-JP"/>
              </w:rPr>
              <w:instrText xml:space="preserve"> LISTNUM TableNoteAlpha \* MERGEFORMAT \s1</w:instrText>
            </w:r>
            <w:r w:rsidRPr="0081101C">
              <w:rPr>
                <w:sz w:val="20"/>
                <w:szCs w:val="20"/>
                <w:lang w:eastAsia="ja-JP"/>
              </w:rPr>
              <w:fldChar w:fldCharType="end">
                <w:numberingChange w:id="88" w:author="HART, Anna" w:date="2019-02-21T10:30:00Z" w:original="(a)"/>
              </w:fldChar>
            </w:r>
            <w:bookmarkEnd w:id="87"/>
          </w:p>
        </w:tc>
        <w:tc>
          <w:tcPr>
            <w:tcW w:w="1357" w:type="pct"/>
          </w:tcPr>
          <w:p w14:paraId="37C991F0" w14:textId="128DF228"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w:t>
            </w:r>
            <w:r w:rsidR="007E4973">
              <w:rPr>
                <w:sz w:val="20"/>
                <w:szCs w:val="20"/>
                <w:lang w:val="en-US" w:eastAsia="ja-JP"/>
              </w:rPr>
              <w:t>o</w:t>
            </w:r>
            <w:r w:rsidR="007E4973" w:rsidRPr="0081101C">
              <w:rPr>
                <w:sz w:val="20"/>
                <w:szCs w:val="20"/>
                <w:lang w:val="en-US" w:eastAsia="ja-JP"/>
              </w:rPr>
              <w:t>bjectives</w:t>
            </w:r>
          </w:p>
        </w:tc>
        <w:tc>
          <w:tcPr>
            <w:tcW w:w="1509" w:type="pct"/>
          </w:tcPr>
          <w:p w14:paraId="4AF06EF7" w14:textId="23693E81"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Tafenoquine </w:t>
            </w:r>
            <w:r w:rsidR="007E4973">
              <w:rPr>
                <w:sz w:val="20"/>
                <w:szCs w:val="20"/>
                <w:lang w:val="en-US" w:eastAsia="ja-JP"/>
              </w:rPr>
              <w:t>d</w:t>
            </w:r>
            <w:r w:rsidR="007E4973" w:rsidRPr="0081101C">
              <w:rPr>
                <w:sz w:val="20"/>
                <w:szCs w:val="20"/>
                <w:lang w:val="en-US" w:eastAsia="ja-JP"/>
              </w:rPr>
              <w:t xml:space="preserve">oses </w:t>
            </w:r>
            <w:r w:rsidR="007E4973">
              <w:rPr>
                <w:sz w:val="20"/>
                <w:szCs w:val="20"/>
                <w:lang w:val="en-US" w:eastAsia="ja-JP"/>
              </w:rPr>
              <w:t>a</w:t>
            </w:r>
            <w:r w:rsidR="007E4973" w:rsidRPr="0081101C">
              <w:rPr>
                <w:sz w:val="20"/>
                <w:szCs w:val="20"/>
                <w:lang w:val="en-US" w:eastAsia="ja-JP"/>
              </w:rPr>
              <w:t>dministered</w:t>
            </w:r>
          </w:p>
        </w:tc>
        <w:tc>
          <w:tcPr>
            <w:tcW w:w="802" w:type="pct"/>
          </w:tcPr>
          <w:p w14:paraId="04DDDE37" w14:textId="178F9263" w:rsidR="0081101C" w:rsidRPr="0081101C" w:rsidRDefault="007E4973" w:rsidP="00A70B60">
            <w:pPr>
              <w:ind w:left="0"/>
              <w:rPr>
                <w:b w:val="0"/>
                <w:color w:val="auto"/>
                <w:sz w:val="20"/>
                <w:szCs w:val="20"/>
                <w:lang w:val="en-US" w:eastAsia="ja-JP"/>
              </w:rPr>
            </w:pPr>
            <w:r>
              <w:rPr>
                <w:sz w:val="20"/>
                <w:szCs w:val="20"/>
                <w:lang w:val="en-US" w:eastAsia="ja-JP"/>
              </w:rPr>
              <w:t>P</w:t>
            </w:r>
            <w:r w:rsidR="0081101C" w:rsidRPr="0081101C">
              <w:rPr>
                <w:sz w:val="20"/>
                <w:szCs w:val="20"/>
                <w:lang w:val="en-US" w:eastAsia="ja-JP"/>
              </w:rPr>
              <w:t>opulation</w:t>
            </w:r>
          </w:p>
        </w:tc>
      </w:tr>
      <w:tr w:rsidR="0081101C" w:rsidRPr="004B4CC5" w14:paraId="021E8178" w14:textId="77777777" w:rsidTr="00A70B60">
        <w:tc>
          <w:tcPr>
            <w:tcW w:w="550" w:type="pct"/>
          </w:tcPr>
          <w:p w14:paraId="4C2F30FB" w14:textId="77777777" w:rsidR="0081101C" w:rsidRPr="0081101C" w:rsidRDefault="0081101C" w:rsidP="00A70B60">
            <w:pPr>
              <w:ind w:left="0"/>
              <w:rPr>
                <w:color w:val="auto"/>
                <w:sz w:val="20"/>
                <w:szCs w:val="20"/>
                <w:lang w:val="en-US" w:eastAsia="ja-JP"/>
              </w:rPr>
            </w:pPr>
            <w:r w:rsidRPr="0081101C">
              <w:rPr>
                <w:sz w:val="20"/>
                <w:szCs w:val="20"/>
                <w:lang w:val="en-US" w:eastAsia="ja-JP"/>
              </w:rPr>
              <w:t>015</w:t>
            </w:r>
          </w:p>
        </w:tc>
        <w:tc>
          <w:tcPr>
            <w:tcW w:w="782" w:type="pct"/>
          </w:tcPr>
          <w:p w14:paraId="4976EA3F" w14:textId="77777777" w:rsidR="0081101C" w:rsidRPr="0081101C" w:rsidRDefault="0081101C" w:rsidP="00A70B60">
            <w:pPr>
              <w:ind w:left="0"/>
              <w:rPr>
                <w:color w:val="auto"/>
                <w:sz w:val="20"/>
                <w:szCs w:val="20"/>
                <w:lang w:val="en-US" w:eastAsia="ja-JP"/>
              </w:rPr>
            </w:pPr>
            <w:r w:rsidRPr="0081101C">
              <w:rPr>
                <w:sz w:val="20"/>
                <w:szCs w:val="20"/>
                <w:lang w:val="en-US" w:eastAsia="ja-JP"/>
              </w:rPr>
              <w:t>O, SS</w:t>
            </w:r>
          </w:p>
        </w:tc>
        <w:tc>
          <w:tcPr>
            <w:tcW w:w="1357" w:type="pct"/>
          </w:tcPr>
          <w:p w14:paraId="72053D4A" w14:textId="51D3285E" w:rsidR="0081101C" w:rsidRPr="0081101C" w:rsidRDefault="0081101C" w:rsidP="00A70B60">
            <w:pPr>
              <w:ind w:left="0"/>
              <w:rPr>
                <w:color w:val="auto"/>
                <w:sz w:val="20"/>
                <w:szCs w:val="20"/>
                <w:lang w:val="en-US" w:eastAsia="ja-JP"/>
              </w:rPr>
            </w:pPr>
            <w:r w:rsidRPr="0081101C">
              <w:rPr>
                <w:sz w:val="20"/>
                <w:szCs w:val="20"/>
                <w:lang w:val="en-US" w:eastAsia="ja-JP"/>
              </w:rPr>
              <w:t>Study PK and DDI of tafenoquine</w:t>
            </w:r>
            <w:r w:rsidR="000E36DE">
              <w:rPr>
                <w:sz w:val="20"/>
                <w:szCs w:val="20"/>
                <w:lang w:val="en-US" w:eastAsia="ja-JP"/>
              </w:rPr>
              <w:t xml:space="preserve"> </w:t>
            </w:r>
            <w:r w:rsidRPr="0081101C">
              <w:rPr>
                <w:sz w:val="20"/>
                <w:szCs w:val="20"/>
                <w:lang w:val="en-US" w:eastAsia="ja-JP"/>
              </w:rPr>
              <w:t>+</w:t>
            </w:r>
            <w:r w:rsidR="000E36DE">
              <w:rPr>
                <w:sz w:val="20"/>
                <w:szCs w:val="20"/>
                <w:lang w:val="en-US" w:eastAsia="ja-JP"/>
              </w:rPr>
              <w:t xml:space="preserve"> </w:t>
            </w:r>
            <w:r w:rsidRPr="0081101C">
              <w:rPr>
                <w:sz w:val="20"/>
                <w:szCs w:val="20"/>
                <w:lang w:val="en-US" w:eastAsia="ja-JP"/>
              </w:rPr>
              <w:t>desipramine</w:t>
            </w:r>
          </w:p>
        </w:tc>
        <w:tc>
          <w:tcPr>
            <w:tcW w:w="1509" w:type="pct"/>
          </w:tcPr>
          <w:p w14:paraId="4E0D27E2" w14:textId="79EFAA4A" w:rsidR="0081101C" w:rsidRPr="0081101C" w:rsidRDefault="0081101C" w:rsidP="00A70B60">
            <w:pPr>
              <w:ind w:left="0"/>
              <w:rPr>
                <w:color w:val="auto"/>
                <w:sz w:val="20"/>
                <w:szCs w:val="20"/>
                <w:lang w:val="en-US" w:eastAsia="ja-JP"/>
              </w:rPr>
            </w:pPr>
            <w:r w:rsidRPr="0081101C">
              <w:rPr>
                <w:sz w:val="20"/>
                <w:szCs w:val="20"/>
                <w:lang w:val="en-US" w:eastAsia="ja-JP"/>
              </w:rPr>
              <w:t>400 mg daily x</w:t>
            </w:r>
            <w:r w:rsidR="009E28FB">
              <w:rPr>
                <w:sz w:val="20"/>
                <w:szCs w:val="20"/>
                <w:lang w:val="en-US" w:eastAsia="ja-JP"/>
              </w:rPr>
              <w:t> </w:t>
            </w:r>
            <w:r w:rsidRPr="0081101C">
              <w:rPr>
                <w:sz w:val="20"/>
                <w:szCs w:val="20"/>
                <w:lang w:val="en-US" w:eastAsia="ja-JP"/>
              </w:rPr>
              <w:t>3 days</w:t>
            </w:r>
          </w:p>
        </w:tc>
        <w:tc>
          <w:tcPr>
            <w:tcW w:w="802" w:type="pct"/>
          </w:tcPr>
          <w:p w14:paraId="69BFE76F" w14:textId="77777777" w:rsidR="0081101C" w:rsidRPr="0081101C" w:rsidRDefault="0081101C" w:rsidP="00A70B60">
            <w:pPr>
              <w:ind w:left="0"/>
              <w:rPr>
                <w:color w:val="auto"/>
                <w:sz w:val="20"/>
                <w:szCs w:val="20"/>
                <w:lang w:val="en-US" w:eastAsia="ja-JP"/>
              </w:rPr>
            </w:pPr>
            <w:r w:rsidRPr="0081101C">
              <w:rPr>
                <w:sz w:val="20"/>
                <w:szCs w:val="20"/>
                <w:lang w:val="en-US" w:eastAsia="ja-JP"/>
              </w:rPr>
              <w:t>34; 20M/14F</w:t>
            </w:r>
          </w:p>
        </w:tc>
      </w:tr>
      <w:tr w:rsidR="0081101C" w:rsidRPr="004B4CC5" w14:paraId="37F3B398" w14:textId="77777777" w:rsidTr="00A70B60">
        <w:tc>
          <w:tcPr>
            <w:tcW w:w="550" w:type="pct"/>
          </w:tcPr>
          <w:p w14:paraId="67597A89" w14:textId="77777777" w:rsidR="0081101C" w:rsidRPr="0081101C" w:rsidRDefault="0081101C" w:rsidP="00A70B60">
            <w:pPr>
              <w:ind w:left="0"/>
              <w:rPr>
                <w:color w:val="auto"/>
                <w:sz w:val="20"/>
                <w:szCs w:val="20"/>
                <w:lang w:val="en-US" w:eastAsia="ja-JP"/>
              </w:rPr>
            </w:pPr>
            <w:r w:rsidRPr="0081101C">
              <w:rPr>
                <w:sz w:val="20"/>
                <w:szCs w:val="20"/>
                <w:lang w:val="en-US" w:eastAsia="ja-JP"/>
              </w:rPr>
              <w:t>040</w:t>
            </w:r>
          </w:p>
        </w:tc>
        <w:tc>
          <w:tcPr>
            <w:tcW w:w="782" w:type="pct"/>
          </w:tcPr>
          <w:p w14:paraId="6EBEBE79" w14:textId="77777777" w:rsidR="0081101C" w:rsidRPr="0081101C" w:rsidRDefault="0081101C" w:rsidP="00A70B60">
            <w:pPr>
              <w:ind w:left="0"/>
              <w:rPr>
                <w:color w:val="auto"/>
                <w:sz w:val="20"/>
                <w:szCs w:val="20"/>
                <w:lang w:val="en-US" w:eastAsia="ja-JP"/>
              </w:rPr>
            </w:pPr>
            <w:r w:rsidRPr="0081101C">
              <w:rPr>
                <w:sz w:val="20"/>
                <w:szCs w:val="20"/>
                <w:lang w:val="en-US" w:eastAsia="ja-JP"/>
              </w:rPr>
              <w:t>O, TP, NR, C</w:t>
            </w:r>
          </w:p>
        </w:tc>
        <w:tc>
          <w:tcPr>
            <w:tcW w:w="1357" w:type="pct"/>
          </w:tcPr>
          <w:p w14:paraId="269E1D99" w14:textId="6B7B6FCE" w:rsidR="0081101C" w:rsidRPr="0081101C" w:rsidRDefault="0081101C" w:rsidP="00A70B60">
            <w:pPr>
              <w:ind w:left="0"/>
              <w:rPr>
                <w:color w:val="auto"/>
                <w:sz w:val="20"/>
                <w:szCs w:val="20"/>
                <w:lang w:val="en-US" w:eastAsia="ja-JP"/>
              </w:rPr>
            </w:pPr>
            <w:r w:rsidRPr="0081101C">
              <w:rPr>
                <w:sz w:val="20"/>
                <w:szCs w:val="20"/>
                <w:lang w:val="en-US" w:eastAsia="ja-JP"/>
              </w:rPr>
              <w:t>Study PK and DDI of tafenoquine</w:t>
            </w:r>
            <w:r w:rsidR="000E36DE">
              <w:rPr>
                <w:sz w:val="20"/>
                <w:szCs w:val="20"/>
                <w:lang w:val="en-US" w:eastAsia="ja-JP"/>
              </w:rPr>
              <w:t xml:space="preserve"> </w:t>
            </w:r>
            <w:r w:rsidRPr="0081101C">
              <w:rPr>
                <w:sz w:val="20"/>
                <w:szCs w:val="20"/>
                <w:lang w:val="en-US" w:eastAsia="ja-JP"/>
              </w:rPr>
              <w:t>+</w:t>
            </w:r>
            <w:r w:rsidR="000E36DE">
              <w:rPr>
                <w:sz w:val="20"/>
                <w:szCs w:val="20"/>
                <w:lang w:val="en-US" w:eastAsia="ja-JP"/>
              </w:rPr>
              <w:t xml:space="preserve"> </w:t>
            </w:r>
            <w:r w:rsidRPr="0081101C">
              <w:rPr>
                <w:sz w:val="20"/>
                <w:szCs w:val="20"/>
                <w:lang w:val="en-US" w:eastAsia="ja-JP"/>
              </w:rPr>
              <w:t>midazolam, flurbiprofen, caffeine</w:t>
            </w:r>
          </w:p>
        </w:tc>
        <w:tc>
          <w:tcPr>
            <w:tcW w:w="1509" w:type="pct"/>
          </w:tcPr>
          <w:p w14:paraId="1AE230F4" w14:textId="7A64E046" w:rsidR="0081101C" w:rsidRPr="0081101C" w:rsidRDefault="0081101C" w:rsidP="00A70B60">
            <w:pPr>
              <w:ind w:left="0"/>
              <w:rPr>
                <w:color w:val="auto"/>
                <w:sz w:val="20"/>
                <w:szCs w:val="20"/>
                <w:lang w:val="en-US" w:eastAsia="ja-JP"/>
              </w:rPr>
            </w:pPr>
            <w:r w:rsidRPr="0081101C">
              <w:rPr>
                <w:sz w:val="20"/>
                <w:szCs w:val="20"/>
                <w:lang w:val="en-US" w:eastAsia="ja-JP"/>
              </w:rPr>
              <w:t>400 mg daily x</w:t>
            </w:r>
            <w:r w:rsidR="009E28FB">
              <w:rPr>
                <w:sz w:val="20"/>
                <w:szCs w:val="20"/>
                <w:lang w:val="en-US" w:eastAsia="ja-JP"/>
              </w:rPr>
              <w:t> </w:t>
            </w:r>
            <w:r w:rsidRPr="0081101C">
              <w:rPr>
                <w:sz w:val="20"/>
                <w:szCs w:val="20"/>
                <w:lang w:val="en-US" w:eastAsia="ja-JP"/>
              </w:rPr>
              <w:t>3 days</w:t>
            </w:r>
          </w:p>
        </w:tc>
        <w:tc>
          <w:tcPr>
            <w:tcW w:w="802" w:type="pct"/>
          </w:tcPr>
          <w:p w14:paraId="727CC738" w14:textId="77777777" w:rsidR="0081101C" w:rsidRPr="0081101C" w:rsidRDefault="0081101C" w:rsidP="00A70B60">
            <w:pPr>
              <w:ind w:left="0"/>
              <w:rPr>
                <w:color w:val="auto"/>
                <w:sz w:val="20"/>
                <w:szCs w:val="20"/>
                <w:lang w:val="en-US" w:eastAsia="ja-JP"/>
              </w:rPr>
            </w:pPr>
            <w:r w:rsidRPr="0081101C">
              <w:rPr>
                <w:sz w:val="20"/>
                <w:szCs w:val="20"/>
                <w:lang w:val="en-US" w:eastAsia="ja-JP"/>
              </w:rPr>
              <w:t>28; 18M/10F</w:t>
            </w:r>
          </w:p>
        </w:tc>
      </w:tr>
    </w:tbl>
    <w:p w14:paraId="1B3D98A0" w14:textId="3629F878" w:rsidR="0081101C" w:rsidRPr="00D15D79" w:rsidRDefault="0081101C" w:rsidP="0081101C">
      <w:pPr>
        <w:pStyle w:val="TableDescription"/>
        <w:rPr>
          <w:lang w:val="en-US" w:eastAsia="ja-JP"/>
        </w:rPr>
      </w:pPr>
      <w:r w:rsidRPr="00D15D79">
        <w:rPr>
          <w:lang w:val="en-US" w:eastAsia="ja-JP"/>
        </w:rPr>
        <w:fldChar w:fldCharType="begin"/>
      </w:r>
      <w:r w:rsidRPr="00D15D79">
        <w:rPr>
          <w:lang w:val="en-US" w:eastAsia="ja-JP"/>
        </w:rPr>
        <w:instrText xml:space="preserve"> REF _TNCB9D0F4B03D6A45A7A6D4868F1034E210  \* MERGEFORMAT </w:instrText>
      </w:r>
      <w:r w:rsidRPr="00D15D79">
        <w:rPr>
          <w:lang w:val="en-US" w:eastAsia="ja-JP"/>
        </w:rPr>
        <w:fldChar w:fldCharType="separate"/>
      </w:r>
      <w:bookmarkStart w:id="89" w:name="_TN1"/>
      <w:proofErr w:type="gramStart"/>
      <w:r w:rsidR="00CE218E" w:rsidRPr="00CE218E">
        <w:rPr>
          <w:vertAlign w:val="superscript"/>
          <w:lang w:val="en-US" w:eastAsia="ja-JP"/>
        </w:rPr>
        <w:t>design(</w:t>
      </w:r>
      <w:proofErr w:type="gramEnd"/>
      <w:r w:rsidR="00CE218E">
        <w:rPr>
          <w:sz w:val="20"/>
          <w:szCs w:val="20"/>
          <w:vertAlign w:val="superscript"/>
          <w:lang w:val="en-US" w:eastAsia="ja-JP"/>
        </w:rPr>
        <w:t>a)</w:t>
      </w:r>
      <w:bookmarkEnd w:id="89"/>
      <w:r w:rsidRPr="00D15D79">
        <w:rPr>
          <w:lang w:eastAsia="ja-JP"/>
        </w:rPr>
        <w:fldChar w:fldCharType="end"/>
      </w:r>
      <w:r w:rsidRPr="00D15D79">
        <w:rPr>
          <w:lang w:val="en-US" w:eastAsia="ja-JP"/>
        </w:rPr>
        <w:t>O=Open-label; SS=Single sequence; TP=Two-period; NR=Non</w:t>
      </w:r>
      <w:r w:rsidR="00222998">
        <w:rPr>
          <w:lang w:val="en-US" w:eastAsia="ja-JP"/>
        </w:rPr>
        <w:t>-</w:t>
      </w:r>
      <w:r w:rsidRPr="00D15D79">
        <w:rPr>
          <w:lang w:val="en-US" w:eastAsia="ja-JP"/>
        </w:rPr>
        <w:t>randomi</w:t>
      </w:r>
      <w:r w:rsidR="0029187B">
        <w:rPr>
          <w:lang w:val="en-US" w:eastAsia="ja-JP"/>
        </w:rPr>
        <w:t>s</w:t>
      </w:r>
      <w:r w:rsidRPr="00D15D79">
        <w:rPr>
          <w:lang w:val="en-US" w:eastAsia="ja-JP"/>
        </w:rPr>
        <w:t>ed; C=Crossover; DDI = Drug-drug interaction.</w:t>
      </w:r>
    </w:p>
    <w:p w14:paraId="2514F3C4" w14:textId="23C80642" w:rsidR="0081101C" w:rsidRPr="004B4CC5" w:rsidRDefault="0081101C" w:rsidP="0081101C">
      <w:pPr>
        <w:pStyle w:val="TableTitle"/>
        <w:rPr>
          <w:lang w:val="en-US" w:eastAsia="ja-JP"/>
        </w:rPr>
      </w:pPr>
      <w:bookmarkStart w:id="90" w:name="_Toc452381793"/>
      <w:bookmarkStart w:id="91" w:name="_Toc472947951"/>
      <w:bookmarkStart w:id="92" w:name="_Toc476549701"/>
      <w:bookmarkStart w:id="93" w:name="_Toc504229428"/>
      <w:bookmarkStart w:id="94" w:name="_Toc501293678"/>
      <w:r>
        <w:t xml:space="preserve">Table </w:t>
      </w:r>
      <w:r w:rsidR="00B52F8D">
        <w:t>9</w:t>
      </w:r>
      <w:r>
        <w:t xml:space="preserve">: </w:t>
      </w:r>
      <w:r w:rsidRPr="004B4CC5">
        <w:rPr>
          <w:lang w:val="en-US" w:eastAsia="ja-JP"/>
        </w:rPr>
        <w:t xml:space="preserve">Phase </w:t>
      </w:r>
      <w:r>
        <w:rPr>
          <w:lang w:val="en-US" w:eastAsia="ja-JP"/>
        </w:rPr>
        <w:t>I</w:t>
      </w:r>
      <w:r w:rsidRPr="004B4CC5">
        <w:rPr>
          <w:lang w:val="en-US" w:eastAsia="ja-JP"/>
        </w:rPr>
        <w:t xml:space="preserve"> </w:t>
      </w:r>
      <w:r w:rsidR="007E4973" w:rsidRPr="004B4CC5">
        <w:rPr>
          <w:lang w:val="en-US" w:eastAsia="ja-JP"/>
        </w:rPr>
        <w:t>malaria challenge studies in healthy volunteers</w:t>
      </w:r>
      <w:bookmarkEnd w:id="90"/>
      <w:bookmarkEnd w:id="91"/>
      <w:bookmarkEnd w:id="92"/>
      <w:bookmarkEnd w:id="93"/>
      <w:bookmarkEnd w:id="94"/>
    </w:p>
    <w:tbl>
      <w:tblPr>
        <w:tblStyle w:val="TableTGAblue"/>
        <w:tblW w:w="5000" w:type="pct"/>
        <w:tblLayout w:type="fixed"/>
        <w:tblLook w:val="00A0" w:firstRow="1" w:lastRow="0" w:firstColumn="1" w:lastColumn="0" w:noHBand="0" w:noVBand="0"/>
      </w:tblPr>
      <w:tblGrid>
        <w:gridCol w:w="1009"/>
        <w:gridCol w:w="375"/>
        <w:gridCol w:w="1153"/>
        <w:gridCol w:w="2143"/>
        <w:gridCol w:w="2517"/>
        <w:gridCol w:w="1523"/>
      </w:tblGrid>
      <w:tr w:rsidR="0081101C" w:rsidRPr="004B4CC5" w14:paraId="24BE717B" w14:textId="77777777" w:rsidTr="00A70B60">
        <w:trPr>
          <w:cnfStyle w:val="100000000000" w:firstRow="1" w:lastRow="0" w:firstColumn="0" w:lastColumn="0" w:oddVBand="0" w:evenVBand="0" w:oddHBand="0" w:evenHBand="0" w:firstRowFirstColumn="0" w:firstRowLastColumn="0" w:lastRowFirstColumn="0" w:lastRowLastColumn="0"/>
        </w:trPr>
        <w:tc>
          <w:tcPr>
            <w:tcW w:w="579" w:type="pct"/>
          </w:tcPr>
          <w:p w14:paraId="2FD85E2D" w14:textId="77777777"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No. </w:t>
            </w:r>
          </w:p>
        </w:tc>
        <w:tc>
          <w:tcPr>
            <w:tcW w:w="876" w:type="pct"/>
            <w:gridSpan w:val="2"/>
          </w:tcPr>
          <w:p w14:paraId="1AA1B220" w14:textId="4BA4E12D"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w:t>
            </w:r>
            <w:bookmarkStart w:id="95" w:name="_TNC7E60FF9401984786BED3BB04CCE1A4D1"/>
            <w:r w:rsidR="007E4973">
              <w:rPr>
                <w:sz w:val="20"/>
                <w:szCs w:val="20"/>
                <w:lang w:val="en-US" w:eastAsia="ja-JP"/>
              </w:rPr>
              <w:t>d</w:t>
            </w:r>
            <w:r w:rsidR="007E4973" w:rsidRPr="0081101C">
              <w:rPr>
                <w:sz w:val="20"/>
                <w:szCs w:val="20"/>
                <w:lang w:val="en-US" w:eastAsia="ja-JP"/>
              </w:rPr>
              <w:t>esign</w:t>
            </w:r>
            <w:r w:rsidRPr="0081101C">
              <w:rPr>
                <w:sz w:val="20"/>
                <w:szCs w:val="20"/>
                <w:vertAlign w:val="superscript"/>
                <w:lang w:val="en-US" w:eastAsia="ja-JP"/>
              </w:rPr>
              <w:fldChar w:fldCharType="begin"/>
            </w:r>
            <w:r w:rsidRPr="0081101C">
              <w:rPr>
                <w:sz w:val="20"/>
                <w:szCs w:val="20"/>
                <w:vertAlign w:val="superscript"/>
                <w:lang w:val="en-US" w:eastAsia="ja-JP"/>
              </w:rPr>
              <w:instrText xml:space="preserve"> LISTNUM TableNoteAlpha \* MERGEFORMAT \s1</w:instrText>
            </w:r>
            <w:r w:rsidRPr="0081101C">
              <w:rPr>
                <w:sz w:val="20"/>
                <w:szCs w:val="20"/>
                <w:lang w:eastAsia="ja-JP"/>
              </w:rPr>
              <w:fldChar w:fldCharType="end">
                <w:numberingChange w:id="96" w:author="HART, Anna" w:date="2019-02-21T10:30:00Z" w:original="(a)"/>
              </w:fldChar>
            </w:r>
            <w:bookmarkEnd w:id="95"/>
          </w:p>
        </w:tc>
        <w:tc>
          <w:tcPr>
            <w:tcW w:w="1229" w:type="pct"/>
          </w:tcPr>
          <w:p w14:paraId="483B3DEE" w14:textId="0F5F54F7"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Study </w:t>
            </w:r>
            <w:r w:rsidR="007E4973">
              <w:rPr>
                <w:sz w:val="20"/>
                <w:szCs w:val="20"/>
                <w:lang w:val="en-US" w:eastAsia="ja-JP"/>
              </w:rPr>
              <w:t>o</w:t>
            </w:r>
            <w:r w:rsidR="007E4973" w:rsidRPr="0081101C">
              <w:rPr>
                <w:sz w:val="20"/>
                <w:szCs w:val="20"/>
                <w:lang w:val="en-US" w:eastAsia="ja-JP"/>
              </w:rPr>
              <w:t>bjectives</w:t>
            </w:r>
          </w:p>
        </w:tc>
        <w:tc>
          <w:tcPr>
            <w:tcW w:w="1443" w:type="pct"/>
          </w:tcPr>
          <w:p w14:paraId="23C3B82B" w14:textId="7D8FA1E3" w:rsidR="0081101C" w:rsidRPr="0081101C" w:rsidRDefault="0081101C" w:rsidP="00A70B60">
            <w:pPr>
              <w:ind w:left="0"/>
              <w:rPr>
                <w:b w:val="0"/>
                <w:color w:val="auto"/>
                <w:sz w:val="20"/>
                <w:szCs w:val="20"/>
                <w:lang w:val="en-US" w:eastAsia="ja-JP"/>
              </w:rPr>
            </w:pPr>
            <w:r w:rsidRPr="0081101C">
              <w:rPr>
                <w:sz w:val="20"/>
                <w:szCs w:val="20"/>
                <w:lang w:val="en-US" w:eastAsia="ja-JP"/>
              </w:rPr>
              <w:t xml:space="preserve">Tafenoquine </w:t>
            </w:r>
            <w:r w:rsidR="007E4973">
              <w:rPr>
                <w:sz w:val="20"/>
                <w:szCs w:val="20"/>
                <w:lang w:val="en-US" w:eastAsia="ja-JP"/>
              </w:rPr>
              <w:t>d</w:t>
            </w:r>
            <w:r w:rsidR="007E4973" w:rsidRPr="0081101C">
              <w:rPr>
                <w:sz w:val="20"/>
                <w:szCs w:val="20"/>
                <w:lang w:val="en-US" w:eastAsia="ja-JP"/>
              </w:rPr>
              <w:t xml:space="preserve">oses </w:t>
            </w:r>
            <w:r w:rsidR="007E4973">
              <w:rPr>
                <w:sz w:val="20"/>
                <w:szCs w:val="20"/>
                <w:lang w:val="en-US" w:eastAsia="ja-JP"/>
              </w:rPr>
              <w:t>a</w:t>
            </w:r>
            <w:r w:rsidR="007E4973" w:rsidRPr="0081101C">
              <w:rPr>
                <w:sz w:val="20"/>
                <w:szCs w:val="20"/>
                <w:lang w:val="en-US" w:eastAsia="ja-JP"/>
              </w:rPr>
              <w:t>dministered</w:t>
            </w:r>
          </w:p>
        </w:tc>
        <w:tc>
          <w:tcPr>
            <w:tcW w:w="873" w:type="pct"/>
          </w:tcPr>
          <w:p w14:paraId="267D01E5" w14:textId="77777777" w:rsidR="0081101C" w:rsidRPr="0081101C" w:rsidRDefault="0081101C" w:rsidP="00A70B60">
            <w:pPr>
              <w:ind w:left="0"/>
              <w:rPr>
                <w:b w:val="0"/>
                <w:color w:val="auto"/>
                <w:sz w:val="20"/>
                <w:szCs w:val="20"/>
                <w:lang w:val="en-US" w:eastAsia="ja-JP"/>
              </w:rPr>
            </w:pPr>
            <w:r w:rsidRPr="0081101C">
              <w:rPr>
                <w:sz w:val="20"/>
                <w:szCs w:val="20"/>
                <w:lang w:val="en-US" w:eastAsia="ja-JP"/>
              </w:rPr>
              <w:t>Population</w:t>
            </w:r>
          </w:p>
        </w:tc>
      </w:tr>
      <w:tr w:rsidR="0081101C" w:rsidRPr="004B4CC5" w14:paraId="5708C210" w14:textId="77777777" w:rsidTr="00A70B60">
        <w:tc>
          <w:tcPr>
            <w:tcW w:w="5000" w:type="pct"/>
            <w:gridSpan w:val="6"/>
          </w:tcPr>
          <w:p w14:paraId="39143382" w14:textId="46C28AFD" w:rsidR="0081101C" w:rsidRPr="0081101C" w:rsidRDefault="0081101C" w:rsidP="000E36DE">
            <w:pPr>
              <w:rPr>
                <w:sz w:val="20"/>
                <w:szCs w:val="20"/>
                <w:lang w:val="en-US" w:eastAsia="ja-JP"/>
              </w:rPr>
            </w:pPr>
            <w:r w:rsidRPr="0081101C">
              <w:rPr>
                <w:b/>
                <w:sz w:val="20"/>
                <w:szCs w:val="20"/>
                <w:lang w:val="en-US" w:eastAsia="ja-JP"/>
              </w:rPr>
              <w:t>Single-</w:t>
            </w:r>
            <w:r w:rsidR="000E36DE">
              <w:rPr>
                <w:b/>
                <w:sz w:val="20"/>
                <w:szCs w:val="20"/>
                <w:lang w:val="en-US" w:eastAsia="ja-JP"/>
              </w:rPr>
              <w:t>d</w:t>
            </w:r>
            <w:r w:rsidRPr="0081101C">
              <w:rPr>
                <w:b/>
                <w:sz w:val="20"/>
                <w:szCs w:val="20"/>
                <w:lang w:val="en-US" w:eastAsia="ja-JP"/>
              </w:rPr>
              <w:t xml:space="preserve">ose </w:t>
            </w:r>
            <w:r w:rsidR="000E36DE">
              <w:rPr>
                <w:b/>
                <w:sz w:val="20"/>
                <w:szCs w:val="20"/>
                <w:lang w:val="en-US" w:eastAsia="ja-JP"/>
              </w:rPr>
              <w:t>s</w:t>
            </w:r>
            <w:r w:rsidRPr="0081101C">
              <w:rPr>
                <w:b/>
                <w:sz w:val="20"/>
                <w:szCs w:val="20"/>
                <w:lang w:val="en-US" w:eastAsia="ja-JP"/>
              </w:rPr>
              <w:t>tudies</w:t>
            </w:r>
          </w:p>
        </w:tc>
      </w:tr>
      <w:tr w:rsidR="0081101C" w:rsidRPr="004B4CC5" w14:paraId="6A32E04F" w14:textId="77777777" w:rsidTr="00AE6543">
        <w:tc>
          <w:tcPr>
            <w:tcW w:w="579" w:type="pct"/>
          </w:tcPr>
          <w:p w14:paraId="0609D6BA" w14:textId="77777777" w:rsidR="0081101C" w:rsidRPr="0081101C" w:rsidRDefault="0081101C" w:rsidP="000E36DE">
            <w:pPr>
              <w:ind w:left="0"/>
              <w:rPr>
                <w:sz w:val="20"/>
                <w:szCs w:val="20"/>
                <w:lang w:val="en-US" w:eastAsia="ja-JP"/>
              </w:rPr>
            </w:pPr>
            <w:r w:rsidRPr="0081101C">
              <w:rPr>
                <w:sz w:val="20"/>
                <w:szCs w:val="20"/>
                <w:lang w:val="en-US" w:eastAsia="ja-JP"/>
              </w:rPr>
              <w:t>053</w:t>
            </w:r>
          </w:p>
        </w:tc>
        <w:tc>
          <w:tcPr>
            <w:tcW w:w="876" w:type="pct"/>
            <w:gridSpan w:val="2"/>
          </w:tcPr>
          <w:p w14:paraId="427F5B29" w14:textId="77777777" w:rsidR="0081101C" w:rsidRPr="0081101C" w:rsidRDefault="0081101C" w:rsidP="000E36DE">
            <w:pPr>
              <w:ind w:left="0"/>
              <w:rPr>
                <w:sz w:val="20"/>
                <w:szCs w:val="20"/>
                <w:lang w:val="en-US" w:eastAsia="ja-JP"/>
              </w:rPr>
            </w:pPr>
            <w:r w:rsidRPr="0081101C">
              <w:rPr>
                <w:sz w:val="20"/>
                <w:szCs w:val="20"/>
                <w:lang w:val="en-US" w:eastAsia="ja-JP"/>
              </w:rPr>
              <w:t>R, DB, PC</w:t>
            </w:r>
          </w:p>
        </w:tc>
        <w:tc>
          <w:tcPr>
            <w:tcW w:w="1229" w:type="pct"/>
          </w:tcPr>
          <w:p w14:paraId="2AD91993" w14:textId="77777777" w:rsidR="0081101C" w:rsidRPr="0081101C" w:rsidRDefault="0081101C" w:rsidP="000E36DE">
            <w:pPr>
              <w:ind w:left="0"/>
              <w:rPr>
                <w:sz w:val="20"/>
                <w:szCs w:val="20"/>
                <w:lang w:val="en-US" w:eastAsia="ja-JP"/>
              </w:rPr>
            </w:pPr>
            <w:r w:rsidRPr="0081101C">
              <w:rPr>
                <w:sz w:val="20"/>
                <w:szCs w:val="20"/>
                <w:lang w:val="en-US" w:eastAsia="ja-JP"/>
              </w:rPr>
              <w:t xml:space="preserve">Determine prophylactic efficacy of tafenoquine against </w:t>
            </w:r>
            <w:r w:rsidRPr="000E36DE">
              <w:rPr>
                <w:sz w:val="20"/>
                <w:szCs w:val="20"/>
                <w:lang w:val="en-US" w:eastAsia="ja-JP"/>
              </w:rPr>
              <w:t xml:space="preserve">Pf </w:t>
            </w:r>
            <w:r w:rsidRPr="0081101C">
              <w:rPr>
                <w:sz w:val="20"/>
                <w:szCs w:val="20"/>
                <w:lang w:val="en-US" w:eastAsia="ja-JP"/>
              </w:rPr>
              <w:t>malaria in non-immune fasted subjects when given prior to mosquito inoculation</w:t>
            </w:r>
          </w:p>
        </w:tc>
        <w:tc>
          <w:tcPr>
            <w:tcW w:w="1443" w:type="pct"/>
          </w:tcPr>
          <w:p w14:paraId="65B6E289" w14:textId="77777777" w:rsidR="0081101C" w:rsidRPr="0081101C" w:rsidRDefault="0081101C" w:rsidP="000E36DE">
            <w:pPr>
              <w:ind w:left="0"/>
              <w:rPr>
                <w:sz w:val="20"/>
                <w:szCs w:val="20"/>
                <w:lang w:val="en-US" w:eastAsia="ja-JP"/>
              </w:rPr>
            </w:pPr>
            <w:r w:rsidRPr="0081101C">
              <w:rPr>
                <w:sz w:val="20"/>
                <w:szCs w:val="20"/>
                <w:lang w:val="en-US" w:eastAsia="ja-JP"/>
              </w:rPr>
              <w:t>600 mg</w:t>
            </w:r>
          </w:p>
        </w:tc>
        <w:tc>
          <w:tcPr>
            <w:tcW w:w="873" w:type="pct"/>
          </w:tcPr>
          <w:p w14:paraId="341D7C36" w14:textId="77777777" w:rsidR="0081101C" w:rsidRPr="0081101C" w:rsidRDefault="0081101C" w:rsidP="000E36DE">
            <w:pPr>
              <w:ind w:left="0"/>
              <w:rPr>
                <w:sz w:val="20"/>
                <w:szCs w:val="20"/>
                <w:lang w:val="en-US" w:eastAsia="ja-JP"/>
              </w:rPr>
            </w:pPr>
            <w:r w:rsidRPr="0081101C">
              <w:rPr>
                <w:sz w:val="20"/>
                <w:szCs w:val="20"/>
                <w:lang w:val="en-US" w:eastAsia="ja-JP"/>
              </w:rPr>
              <w:t>N=6; 4M/2F</w:t>
            </w:r>
          </w:p>
        </w:tc>
      </w:tr>
      <w:tr w:rsidR="0081101C" w:rsidRPr="004B4CC5" w14:paraId="2F490745" w14:textId="77777777" w:rsidTr="00AE6543">
        <w:tc>
          <w:tcPr>
            <w:tcW w:w="5000" w:type="pct"/>
            <w:gridSpan w:val="6"/>
          </w:tcPr>
          <w:p w14:paraId="3CD4157C" w14:textId="63F7425E" w:rsidR="0081101C" w:rsidRPr="0081101C" w:rsidRDefault="0081101C" w:rsidP="000E36DE">
            <w:pPr>
              <w:rPr>
                <w:sz w:val="20"/>
                <w:szCs w:val="20"/>
                <w:lang w:val="en-US" w:eastAsia="ja-JP"/>
              </w:rPr>
            </w:pPr>
            <w:r w:rsidRPr="0081101C">
              <w:rPr>
                <w:b/>
                <w:sz w:val="20"/>
                <w:szCs w:val="20"/>
                <w:lang w:val="en-US" w:eastAsia="ja-JP"/>
              </w:rPr>
              <w:t>Multiple-</w:t>
            </w:r>
            <w:r w:rsidR="000E36DE">
              <w:rPr>
                <w:b/>
                <w:sz w:val="20"/>
                <w:szCs w:val="20"/>
                <w:lang w:val="en-US" w:eastAsia="ja-JP"/>
              </w:rPr>
              <w:t>d</w:t>
            </w:r>
            <w:r w:rsidRPr="0081101C">
              <w:rPr>
                <w:b/>
                <w:sz w:val="20"/>
                <w:szCs w:val="20"/>
                <w:lang w:val="en-US" w:eastAsia="ja-JP"/>
              </w:rPr>
              <w:t xml:space="preserve">ose </w:t>
            </w:r>
            <w:r w:rsidR="000E36DE">
              <w:rPr>
                <w:b/>
                <w:sz w:val="20"/>
                <w:szCs w:val="20"/>
                <w:lang w:val="en-US" w:eastAsia="ja-JP"/>
              </w:rPr>
              <w:t>s</w:t>
            </w:r>
            <w:r w:rsidRPr="0081101C">
              <w:rPr>
                <w:b/>
                <w:sz w:val="20"/>
                <w:szCs w:val="20"/>
                <w:lang w:val="en-US" w:eastAsia="ja-JP"/>
              </w:rPr>
              <w:t>tudies</w:t>
            </w:r>
          </w:p>
        </w:tc>
      </w:tr>
      <w:tr w:rsidR="0081101C" w:rsidRPr="004B4CC5" w14:paraId="5B4AD9DE" w14:textId="77777777" w:rsidTr="00AE6543">
        <w:tc>
          <w:tcPr>
            <w:tcW w:w="794" w:type="pct"/>
            <w:gridSpan w:val="2"/>
          </w:tcPr>
          <w:p w14:paraId="1FA8B803" w14:textId="77777777" w:rsidR="0081101C" w:rsidRPr="0081101C" w:rsidRDefault="0081101C" w:rsidP="000E36DE">
            <w:pPr>
              <w:ind w:left="0"/>
              <w:rPr>
                <w:sz w:val="20"/>
                <w:szCs w:val="20"/>
                <w:lang w:val="en-US" w:eastAsia="ja-JP"/>
              </w:rPr>
            </w:pPr>
            <w:r w:rsidRPr="0081101C">
              <w:rPr>
                <w:sz w:val="20"/>
                <w:szCs w:val="20"/>
                <w:lang w:val="en-US" w:eastAsia="ja-JP"/>
              </w:rPr>
              <w:t>054</w:t>
            </w:r>
          </w:p>
        </w:tc>
        <w:tc>
          <w:tcPr>
            <w:tcW w:w="661" w:type="pct"/>
          </w:tcPr>
          <w:p w14:paraId="26A80BAE" w14:textId="77777777" w:rsidR="0081101C" w:rsidRPr="0081101C" w:rsidRDefault="0081101C" w:rsidP="000E36DE">
            <w:pPr>
              <w:ind w:left="0"/>
              <w:rPr>
                <w:sz w:val="20"/>
                <w:szCs w:val="20"/>
                <w:lang w:val="en-US" w:eastAsia="ja-JP"/>
              </w:rPr>
            </w:pPr>
            <w:r w:rsidRPr="0081101C">
              <w:rPr>
                <w:sz w:val="20"/>
                <w:szCs w:val="20"/>
                <w:lang w:val="en-US" w:eastAsia="ja-JP"/>
              </w:rPr>
              <w:t>R, DB, PC</w:t>
            </w:r>
          </w:p>
        </w:tc>
        <w:tc>
          <w:tcPr>
            <w:tcW w:w="1229" w:type="pct"/>
          </w:tcPr>
          <w:p w14:paraId="17D4DBB8" w14:textId="3A22A231" w:rsidR="0081101C" w:rsidRPr="0081101C" w:rsidRDefault="0081101C" w:rsidP="000E36DE">
            <w:pPr>
              <w:ind w:left="0"/>
              <w:rPr>
                <w:sz w:val="20"/>
                <w:szCs w:val="20"/>
                <w:lang w:val="en-US" w:eastAsia="ja-JP"/>
              </w:rPr>
            </w:pPr>
            <w:r w:rsidRPr="0081101C">
              <w:rPr>
                <w:sz w:val="20"/>
                <w:szCs w:val="20"/>
                <w:lang w:val="en-US" w:eastAsia="ja-JP"/>
              </w:rPr>
              <w:t xml:space="preserve">Determine whether tafenoquine was prophylactic against </w:t>
            </w:r>
            <w:r w:rsidRPr="000E36DE">
              <w:rPr>
                <w:sz w:val="20"/>
                <w:szCs w:val="20"/>
                <w:lang w:val="en-US" w:eastAsia="ja-JP"/>
              </w:rPr>
              <w:t>Pf</w:t>
            </w:r>
            <w:r w:rsidRPr="0081101C">
              <w:rPr>
                <w:sz w:val="20"/>
                <w:szCs w:val="20"/>
                <w:lang w:val="en-US" w:eastAsia="ja-JP"/>
              </w:rPr>
              <w:t xml:space="preserve"> malaria</w:t>
            </w:r>
            <w:r w:rsidR="0029187B">
              <w:rPr>
                <w:sz w:val="20"/>
                <w:szCs w:val="20"/>
                <w:lang w:val="en-US" w:eastAsia="ja-JP"/>
              </w:rPr>
              <w:t>.</w:t>
            </w:r>
          </w:p>
          <w:p w14:paraId="5BFDDC96" w14:textId="2547BDAC" w:rsidR="0081101C" w:rsidRPr="0081101C" w:rsidRDefault="0029187B" w:rsidP="000E36DE">
            <w:pPr>
              <w:ind w:left="0"/>
              <w:rPr>
                <w:sz w:val="20"/>
                <w:szCs w:val="20"/>
                <w:lang w:val="en-US" w:eastAsia="ja-JP"/>
              </w:rPr>
            </w:pPr>
            <w:r>
              <w:rPr>
                <w:sz w:val="20"/>
                <w:szCs w:val="20"/>
                <w:lang w:val="en-US" w:eastAsia="ja-JP"/>
              </w:rPr>
              <w:t>Gather PK (tafenoquine co</w:t>
            </w:r>
            <w:r>
              <w:rPr>
                <w:sz w:val="20"/>
                <w:szCs w:val="20"/>
                <w:lang w:val="en-US" w:eastAsia="ja-JP"/>
              </w:rPr>
              <w:noBreakHyphen/>
            </w:r>
            <w:r w:rsidR="0081101C" w:rsidRPr="0081101C">
              <w:rPr>
                <w:sz w:val="20"/>
                <w:szCs w:val="20"/>
                <w:lang w:val="en-US" w:eastAsia="ja-JP"/>
              </w:rPr>
              <w:t>administered with food) and Safety data.</w:t>
            </w:r>
          </w:p>
        </w:tc>
        <w:tc>
          <w:tcPr>
            <w:tcW w:w="1443" w:type="pct"/>
          </w:tcPr>
          <w:p w14:paraId="60BBC276" w14:textId="0387ADF8" w:rsidR="000E36DE" w:rsidRDefault="0081101C" w:rsidP="000E36DE">
            <w:pPr>
              <w:ind w:left="0"/>
              <w:rPr>
                <w:sz w:val="20"/>
                <w:szCs w:val="20"/>
                <w:lang w:val="en-US" w:eastAsia="ja-JP"/>
              </w:rPr>
            </w:pPr>
            <w:r w:rsidRPr="0081101C">
              <w:rPr>
                <w:sz w:val="20"/>
                <w:szCs w:val="20"/>
                <w:lang w:val="en-US" w:eastAsia="ja-JP"/>
              </w:rPr>
              <w:t>600 mg daily x</w:t>
            </w:r>
            <w:r w:rsidR="000E36DE">
              <w:rPr>
                <w:sz w:val="20"/>
                <w:szCs w:val="20"/>
                <w:lang w:val="en-US" w:eastAsia="ja-JP"/>
              </w:rPr>
              <w:t xml:space="preserve"> 2 days, then 300 mg weekly x 4 </w:t>
            </w:r>
            <w:r w:rsidRPr="0081101C">
              <w:rPr>
                <w:sz w:val="20"/>
                <w:szCs w:val="20"/>
                <w:lang w:val="en-US" w:eastAsia="ja-JP"/>
              </w:rPr>
              <w:t>weeks</w:t>
            </w:r>
            <w:r w:rsidR="000E36DE">
              <w:rPr>
                <w:sz w:val="20"/>
                <w:szCs w:val="20"/>
                <w:lang w:val="en-US" w:eastAsia="ja-JP"/>
              </w:rPr>
              <w:t>; or</w:t>
            </w:r>
          </w:p>
          <w:p w14:paraId="35044FEB" w14:textId="1E201930" w:rsidR="0081101C" w:rsidRPr="0081101C" w:rsidRDefault="0081101C" w:rsidP="000E36DE">
            <w:pPr>
              <w:ind w:left="0"/>
              <w:rPr>
                <w:sz w:val="20"/>
                <w:szCs w:val="20"/>
                <w:lang w:val="en-US" w:eastAsia="ja-JP"/>
              </w:rPr>
            </w:pPr>
            <w:r w:rsidRPr="0081101C">
              <w:rPr>
                <w:sz w:val="20"/>
                <w:szCs w:val="20"/>
                <w:lang w:val="en-US" w:eastAsia="ja-JP"/>
              </w:rPr>
              <w:t>600 mg daily x 2 days, then 300 mg one week later</w:t>
            </w:r>
          </w:p>
        </w:tc>
        <w:tc>
          <w:tcPr>
            <w:tcW w:w="873" w:type="pct"/>
          </w:tcPr>
          <w:p w14:paraId="017AB3A8" w14:textId="77777777" w:rsidR="0081101C" w:rsidRPr="0081101C" w:rsidRDefault="0081101C" w:rsidP="000E36DE">
            <w:pPr>
              <w:ind w:left="0"/>
              <w:rPr>
                <w:sz w:val="20"/>
                <w:szCs w:val="20"/>
                <w:lang w:val="en-US" w:eastAsia="ja-JP"/>
              </w:rPr>
            </w:pPr>
            <w:r w:rsidRPr="0081101C">
              <w:rPr>
                <w:sz w:val="20"/>
                <w:szCs w:val="20"/>
                <w:lang w:val="en-US" w:eastAsia="ja-JP"/>
              </w:rPr>
              <w:t>N=10; 10M/0F</w:t>
            </w:r>
          </w:p>
        </w:tc>
      </w:tr>
      <w:tr w:rsidR="0081101C" w:rsidRPr="004B4CC5" w14:paraId="46275F49" w14:textId="77777777" w:rsidTr="00A70B60">
        <w:tc>
          <w:tcPr>
            <w:tcW w:w="794" w:type="pct"/>
            <w:gridSpan w:val="2"/>
          </w:tcPr>
          <w:p w14:paraId="61950F6F" w14:textId="77777777" w:rsidR="0081101C" w:rsidRPr="0081101C" w:rsidRDefault="0081101C" w:rsidP="000E36DE">
            <w:pPr>
              <w:ind w:left="0"/>
              <w:rPr>
                <w:sz w:val="20"/>
                <w:szCs w:val="20"/>
                <w:lang w:val="en-US" w:eastAsia="ja-JP"/>
              </w:rPr>
            </w:pPr>
            <w:r w:rsidRPr="0081101C">
              <w:rPr>
                <w:sz w:val="20"/>
                <w:szCs w:val="20"/>
                <w:lang w:val="en-US" w:eastAsia="ja-JP"/>
              </w:rPr>
              <w:t>TQ-2016-02</w:t>
            </w:r>
          </w:p>
        </w:tc>
        <w:tc>
          <w:tcPr>
            <w:tcW w:w="661" w:type="pct"/>
          </w:tcPr>
          <w:p w14:paraId="2E7E0F4F" w14:textId="77777777" w:rsidR="0081101C" w:rsidRPr="0081101C" w:rsidRDefault="0081101C" w:rsidP="000E36DE">
            <w:pPr>
              <w:ind w:left="0"/>
              <w:rPr>
                <w:sz w:val="20"/>
                <w:szCs w:val="20"/>
                <w:lang w:val="en-US" w:eastAsia="ja-JP"/>
              </w:rPr>
            </w:pPr>
            <w:r w:rsidRPr="0081101C">
              <w:rPr>
                <w:sz w:val="20"/>
                <w:szCs w:val="20"/>
                <w:lang w:val="en-US" w:eastAsia="ja-JP"/>
              </w:rPr>
              <w:t>R, DB, PC</w:t>
            </w:r>
          </w:p>
        </w:tc>
        <w:tc>
          <w:tcPr>
            <w:tcW w:w="1229" w:type="pct"/>
          </w:tcPr>
          <w:p w14:paraId="351E1873" w14:textId="328CA4DB" w:rsidR="0081101C" w:rsidRPr="0081101C" w:rsidRDefault="0081101C" w:rsidP="0029187B">
            <w:pPr>
              <w:ind w:left="0"/>
              <w:rPr>
                <w:sz w:val="20"/>
                <w:szCs w:val="20"/>
                <w:lang w:val="en-US" w:eastAsia="ja-JP"/>
              </w:rPr>
            </w:pPr>
            <w:r w:rsidRPr="0081101C">
              <w:rPr>
                <w:sz w:val="20"/>
                <w:szCs w:val="20"/>
                <w:lang w:val="en-US" w:eastAsia="ja-JP"/>
              </w:rPr>
              <w:t xml:space="preserve">Evaluate the prophylactic activity of tafenoquine against challenge with </w:t>
            </w:r>
            <w:r w:rsidRPr="0081101C">
              <w:rPr>
                <w:i/>
                <w:sz w:val="20"/>
                <w:szCs w:val="20"/>
                <w:lang w:val="en-US" w:eastAsia="ja-JP"/>
              </w:rPr>
              <w:t>Pf</w:t>
            </w:r>
            <w:r w:rsidRPr="0081101C">
              <w:rPr>
                <w:sz w:val="20"/>
                <w:szCs w:val="20"/>
                <w:lang w:val="en-US" w:eastAsia="ja-JP"/>
              </w:rPr>
              <w:t xml:space="preserve"> asexual blood stage parasites in non-immune participants; </w:t>
            </w:r>
            <w:r w:rsidR="007E4973" w:rsidRPr="0081101C">
              <w:rPr>
                <w:sz w:val="20"/>
                <w:szCs w:val="20"/>
                <w:lang w:val="en-US" w:eastAsia="ja-JP"/>
              </w:rPr>
              <w:t>characteri</w:t>
            </w:r>
            <w:r w:rsidR="007E4973">
              <w:rPr>
                <w:sz w:val="20"/>
                <w:szCs w:val="20"/>
                <w:lang w:val="en-US" w:eastAsia="ja-JP"/>
              </w:rPr>
              <w:t>s</w:t>
            </w:r>
            <w:r w:rsidR="007E4973" w:rsidRPr="0081101C">
              <w:rPr>
                <w:sz w:val="20"/>
                <w:szCs w:val="20"/>
                <w:lang w:val="en-US" w:eastAsia="ja-JP"/>
              </w:rPr>
              <w:t xml:space="preserve">e </w:t>
            </w:r>
            <w:r w:rsidRPr="0081101C">
              <w:rPr>
                <w:sz w:val="20"/>
                <w:szCs w:val="20"/>
                <w:lang w:val="en-US" w:eastAsia="ja-JP"/>
              </w:rPr>
              <w:t xml:space="preserve">the exposure-response </w:t>
            </w:r>
            <w:r w:rsidRPr="0081101C">
              <w:rPr>
                <w:sz w:val="20"/>
                <w:szCs w:val="20"/>
                <w:lang w:val="en-US" w:eastAsia="ja-JP"/>
              </w:rPr>
              <w:lastRenderedPageBreak/>
              <w:t>relationship for tafenoquine; and provide safety and tolerability data for tafenoquine in a controlled disease-like setting.</w:t>
            </w:r>
          </w:p>
        </w:tc>
        <w:tc>
          <w:tcPr>
            <w:tcW w:w="1443" w:type="pct"/>
          </w:tcPr>
          <w:p w14:paraId="5E9CC9F1" w14:textId="77777777" w:rsidR="0081101C" w:rsidRPr="0081101C" w:rsidRDefault="0081101C" w:rsidP="0029187B">
            <w:pPr>
              <w:ind w:left="0"/>
              <w:rPr>
                <w:sz w:val="20"/>
                <w:szCs w:val="20"/>
                <w:lang w:val="en-US" w:eastAsia="ja-JP"/>
              </w:rPr>
            </w:pPr>
            <w:r w:rsidRPr="0081101C">
              <w:rPr>
                <w:sz w:val="20"/>
                <w:szCs w:val="20"/>
                <w:lang w:val="en-US" w:eastAsia="ja-JP"/>
              </w:rPr>
              <w:lastRenderedPageBreak/>
              <w:t>200 mg daily x 3 days, then 200 mg one week later</w:t>
            </w:r>
          </w:p>
        </w:tc>
        <w:tc>
          <w:tcPr>
            <w:tcW w:w="873" w:type="pct"/>
          </w:tcPr>
          <w:p w14:paraId="3FFC1E68" w14:textId="77777777" w:rsidR="0081101C" w:rsidRPr="0081101C" w:rsidRDefault="0081101C" w:rsidP="0029187B">
            <w:pPr>
              <w:ind w:left="0"/>
              <w:rPr>
                <w:sz w:val="20"/>
                <w:szCs w:val="20"/>
                <w:lang w:val="en-US" w:eastAsia="ja-JP"/>
              </w:rPr>
            </w:pPr>
            <w:r w:rsidRPr="0081101C">
              <w:rPr>
                <w:sz w:val="20"/>
                <w:szCs w:val="20"/>
                <w:lang w:val="en-US" w:eastAsia="ja-JP"/>
              </w:rPr>
              <w:t>N=16</w:t>
            </w:r>
          </w:p>
        </w:tc>
      </w:tr>
    </w:tbl>
    <w:p w14:paraId="6F7F55BF" w14:textId="12976089" w:rsidR="0081101C" w:rsidRPr="00D15D79" w:rsidRDefault="0081101C" w:rsidP="0081101C">
      <w:pPr>
        <w:pStyle w:val="TableDescription"/>
        <w:rPr>
          <w:lang w:val="en-US" w:eastAsia="ja-JP"/>
        </w:rPr>
      </w:pPr>
      <w:r w:rsidRPr="00D15D79">
        <w:rPr>
          <w:lang w:val="en-US" w:eastAsia="ja-JP"/>
        </w:rPr>
        <w:lastRenderedPageBreak/>
        <w:fldChar w:fldCharType="begin"/>
      </w:r>
      <w:r w:rsidRPr="00D15D79">
        <w:rPr>
          <w:lang w:val="en-US" w:eastAsia="ja-JP"/>
        </w:rPr>
        <w:instrText xml:space="preserve"> REF _TNC7E60FF9401984786BED3BB04CCE1A4D1  \* MERGEFORMAT </w:instrText>
      </w:r>
      <w:r w:rsidRPr="00D15D79">
        <w:rPr>
          <w:lang w:val="en-US" w:eastAsia="ja-JP"/>
        </w:rPr>
        <w:fldChar w:fldCharType="separate"/>
      </w:r>
      <w:bookmarkStart w:id="97" w:name="_TN3"/>
      <w:proofErr w:type="gramStart"/>
      <w:r w:rsidR="00CE218E" w:rsidRPr="00CE218E">
        <w:rPr>
          <w:vertAlign w:val="superscript"/>
          <w:lang w:val="en-US" w:eastAsia="ja-JP"/>
        </w:rPr>
        <w:t>design(</w:t>
      </w:r>
      <w:proofErr w:type="gramEnd"/>
      <w:r w:rsidR="00CE218E">
        <w:rPr>
          <w:sz w:val="20"/>
          <w:szCs w:val="20"/>
          <w:vertAlign w:val="superscript"/>
          <w:lang w:val="en-US" w:eastAsia="ja-JP"/>
        </w:rPr>
        <w:t>a)</w:t>
      </w:r>
      <w:bookmarkEnd w:id="97"/>
      <w:r w:rsidRPr="00D15D79">
        <w:rPr>
          <w:lang w:eastAsia="ja-JP"/>
        </w:rPr>
        <w:fldChar w:fldCharType="end"/>
      </w:r>
      <w:r w:rsidR="000E36DE">
        <w:rPr>
          <w:lang w:val="en-US" w:eastAsia="ja-JP"/>
        </w:rPr>
        <w:t>RCT=</w:t>
      </w:r>
      <w:proofErr w:type="spellStart"/>
      <w:r w:rsidR="000E36DE">
        <w:rPr>
          <w:lang w:val="en-US" w:eastAsia="ja-JP"/>
        </w:rPr>
        <w:t>Randomis</w:t>
      </w:r>
      <w:r w:rsidRPr="00D15D79">
        <w:rPr>
          <w:lang w:val="en-US" w:eastAsia="ja-JP"/>
        </w:rPr>
        <w:t>ed</w:t>
      </w:r>
      <w:proofErr w:type="spellEnd"/>
      <w:r w:rsidRPr="00D15D79">
        <w:rPr>
          <w:lang w:val="en-US" w:eastAsia="ja-JP"/>
        </w:rPr>
        <w:t>; DB=Double-blind; PC=Placebo-controlled. O=open label</w:t>
      </w:r>
    </w:p>
    <w:p w14:paraId="0309859D" w14:textId="0FEB53C7" w:rsidR="0081101C" w:rsidRPr="004B4CC5" w:rsidRDefault="0081101C" w:rsidP="007E4973">
      <w:pPr>
        <w:pStyle w:val="TableTitle"/>
        <w:rPr>
          <w:lang w:val="en-US" w:eastAsia="ja-JP"/>
        </w:rPr>
      </w:pPr>
      <w:bookmarkStart w:id="98" w:name="_Toc452381795"/>
      <w:bookmarkStart w:id="99" w:name="_Toc472947952"/>
      <w:bookmarkStart w:id="100" w:name="_Toc476549702"/>
      <w:bookmarkStart w:id="101" w:name="_Toc504229429"/>
      <w:bookmarkStart w:id="102" w:name="_Toc501293679"/>
      <w:r>
        <w:t xml:space="preserve">Table </w:t>
      </w:r>
      <w:r w:rsidR="00B52F8D">
        <w:t>10</w:t>
      </w:r>
      <w:r>
        <w:t xml:space="preserve">: </w:t>
      </w:r>
      <w:r w:rsidRPr="004B4CC5">
        <w:rPr>
          <w:lang w:val="en-US" w:eastAsia="ja-JP"/>
        </w:rPr>
        <w:t xml:space="preserve">Malaria </w:t>
      </w:r>
      <w:r w:rsidR="007E4973">
        <w:rPr>
          <w:lang w:val="en-US" w:eastAsia="ja-JP"/>
        </w:rPr>
        <w:t>p</w:t>
      </w:r>
      <w:r w:rsidR="007E4973" w:rsidRPr="004B4CC5">
        <w:rPr>
          <w:lang w:val="en-US" w:eastAsia="ja-JP"/>
        </w:rPr>
        <w:t xml:space="preserve">rophylaxis </w:t>
      </w:r>
      <w:r w:rsidR="007E4973">
        <w:rPr>
          <w:lang w:val="en-US" w:eastAsia="ja-JP"/>
        </w:rPr>
        <w:t>s</w:t>
      </w:r>
      <w:r w:rsidR="007E4973" w:rsidRPr="004B4CC5">
        <w:rPr>
          <w:lang w:val="en-US" w:eastAsia="ja-JP"/>
        </w:rPr>
        <w:t xml:space="preserve">tudies </w:t>
      </w:r>
      <w:r w:rsidRPr="004B4CC5">
        <w:rPr>
          <w:lang w:val="en-US" w:eastAsia="ja-JP"/>
        </w:rPr>
        <w:t xml:space="preserve">(Phase </w:t>
      </w:r>
      <w:r>
        <w:rPr>
          <w:lang w:val="en-US" w:eastAsia="ja-JP"/>
        </w:rPr>
        <w:t>II</w:t>
      </w:r>
      <w:r w:rsidRPr="004B4CC5">
        <w:rPr>
          <w:lang w:val="en-US" w:eastAsia="ja-JP"/>
        </w:rPr>
        <w:t xml:space="preserve"> and </w:t>
      </w:r>
      <w:r>
        <w:rPr>
          <w:lang w:val="en-US" w:eastAsia="ja-JP"/>
        </w:rPr>
        <w:t>III</w:t>
      </w:r>
      <w:r w:rsidRPr="004B4CC5">
        <w:rPr>
          <w:lang w:val="en-US" w:eastAsia="ja-JP"/>
        </w:rPr>
        <w:t>)</w:t>
      </w:r>
      <w:bookmarkEnd w:id="98"/>
      <w:bookmarkEnd w:id="99"/>
      <w:bookmarkEnd w:id="100"/>
      <w:bookmarkEnd w:id="101"/>
      <w:bookmarkEnd w:id="102"/>
    </w:p>
    <w:tbl>
      <w:tblPr>
        <w:tblStyle w:val="TableTGAblue"/>
        <w:tblW w:w="5000" w:type="pct"/>
        <w:tblLayout w:type="fixed"/>
        <w:tblLook w:val="00A0" w:firstRow="1" w:lastRow="0" w:firstColumn="1" w:lastColumn="0" w:noHBand="0" w:noVBand="0"/>
      </w:tblPr>
      <w:tblGrid>
        <w:gridCol w:w="1526"/>
        <w:gridCol w:w="1702"/>
        <w:gridCol w:w="2126"/>
        <w:gridCol w:w="1674"/>
        <w:gridCol w:w="1692"/>
      </w:tblGrid>
      <w:tr w:rsidR="0081101C" w:rsidRPr="004B4CC5" w14:paraId="0E6D4568" w14:textId="77777777" w:rsidTr="0029187B">
        <w:trPr>
          <w:cnfStyle w:val="100000000000" w:firstRow="1" w:lastRow="0" w:firstColumn="0" w:lastColumn="0" w:oddVBand="0" w:evenVBand="0" w:oddHBand="0" w:evenHBand="0" w:firstRowFirstColumn="0" w:firstRowLastColumn="0" w:lastRowFirstColumn="0" w:lastRowLastColumn="0"/>
        </w:trPr>
        <w:tc>
          <w:tcPr>
            <w:tcW w:w="875" w:type="pct"/>
          </w:tcPr>
          <w:p w14:paraId="1F578A04" w14:textId="77777777" w:rsidR="0081101C" w:rsidRPr="0081101C" w:rsidRDefault="0081101C" w:rsidP="000E36DE">
            <w:pPr>
              <w:ind w:left="0"/>
              <w:rPr>
                <w:b w:val="0"/>
                <w:sz w:val="20"/>
                <w:szCs w:val="20"/>
                <w:lang w:val="en-US" w:eastAsia="ja-JP"/>
              </w:rPr>
            </w:pPr>
            <w:r w:rsidRPr="0081101C">
              <w:rPr>
                <w:sz w:val="20"/>
                <w:szCs w:val="20"/>
                <w:lang w:val="en-US" w:eastAsia="ja-JP"/>
              </w:rPr>
              <w:t>Study No.</w:t>
            </w:r>
          </w:p>
        </w:tc>
        <w:tc>
          <w:tcPr>
            <w:tcW w:w="976" w:type="pct"/>
          </w:tcPr>
          <w:p w14:paraId="7C5674D9" w14:textId="472D919A" w:rsidR="0081101C" w:rsidRPr="0081101C" w:rsidRDefault="0081101C" w:rsidP="007E4973">
            <w:pPr>
              <w:ind w:left="0"/>
              <w:rPr>
                <w:b w:val="0"/>
                <w:sz w:val="20"/>
                <w:szCs w:val="20"/>
                <w:lang w:val="en-US" w:eastAsia="ja-JP"/>
              </w:rPr>
            </w:pPr>
            <w:r w:rsidRPr="0081101C">
              <w:rPr>
                <w:sz w:val="20"/>
                <w:szCs w:val="20"/>
                <w:lang w:val="en-US" w:eastAsia="ja-JP"/>
              </w:rPr>
              <w:t xml:space="preserve">Study </w:t>
            </w:r>
            <w:r w:rsidR="007E4973">
              <w:rPr>
                <w:sz w:val="20"/>
                <w:szCs w:val="20"/>
                <w:lang w:val="en-US" w:eastAsia="ja-JP"/>
              </w:rPr>
              <w:t>d</w:t>
            </w:r>
            <w:r w:rsidRPr="0081101C">
              <w:rPr>
                <w:sz w:val="20"/>
                <w:szCs w:val="20"/>
                <w:lang w:val="en-US" w:eastAsia="ja-JP"/>
              </w:rPr>
              <w:t>esign</w:t>
            </w:r>
            <w:bookmarkStart w:id="103" w:name="_TNCE4E2369413F14DCBB17015607D221D2F"/>
            <w:r w:rsidRPr="0081101C">
              <w:rPr>
                <w:sz w:val="20"/>
                <w:szCs w:val="20"/>
                <w:vertAlign w:val="superscript"/>
                <w:lang w:val="en-US" w:eastAsia="ja-JP"/>
              </w:rPr>
              <w:fldChar w:fldCharType="begin"/>
            </w:r>
            <w:r w:rsidRPr="0081101C">
              <w:rPr>
                <w:sz w:val="20"/>
                <w:szCs w:val="20"/>
                <w:vertAlign w:val="superscript"/>
                <w:lang w:val="en-US" w:eastAsia="ja-JP"/>
              </w:rPr>
              <w:instrText xml:space="preserve"> LISTNUM TableNoteAlpha \* MERGEFORMAT \s1</w:instrText>
            </w:r>
            <w:r w:rsidRPr="0081101C">
              <w:rPr>
                <w:sz w:val="20"/>
                <w:szCs w:val="20"/>
                <w:lang w:eastAsia="ja-JP"/>
              </w:rPr>
              <w:fldChar w:fldCharType="end">
                <w:numberingChange w:id="104" w:author="HART, Anna" w:date="2019-02-21T10:31:00Z" w:original="(a)"/>
              </w:fldChar>
            </w:r>
            <w:bookmarkEnd w:id="103"/>
          </w:p>
        </w:tc>
        <w:tc>
          <w:tcPr>
            <w:tcW w:w="1219" w:type="pct"/>
          </w:tcPr>
          <w:p w14:paraId="1BCD9EEC" w14:textId="6C289191" w:rsidR="0081101C" w:rsidRPr="0081101C" w:rsidRDefault="0081101C" w:rsidP="0029187B">
            <w:pPr>
              <w:ind w:left="0"/>
              <w:rPr>
                <w:b w:val="0"/>
                <w:sz w:val="20"/>
                <w:szCs w:val="20"/>
                <w:lang w:val="en-US" w:eastAsia="ja-JP"/>
              </w:rPr>
            </w:pPr>
            <w:r w:rsidRPr="0081101C">
              <w:rPr>
                <w:sz w:val="20"/>
                <w:szCs w:val="20"/>
                <w:lang w:val="en-US" w:eastAsia="ja-JP"/>
              </w:rPr>
              <w:t xml:space="preserve">Study </w:t>
            </w:r>
            <w:r w:rsidR="007E4973">
              <w:rPr>
                <w:sz w:val="20"/>
                <w:szCs w:val="20"/>
                <w:lang w:val="en-US" w:eastAsia="ja-JP"/>
              </w:rPr>
              <w:t>o</w:t>
            </w:r>
            <w:r w:rsidR="007E4973" w:rsidRPr="0081101C">
              <w:rPr>
                <w:sz w:val="20"/>
                <w:szCs w:val="20"/>
                <w:lang w:val="en-US" w:eastAsia="ja-JP"/>
              </w:rPr>
              <w:t>bjectives</w:t>
            </w:r>
          </w:p>
        </w:tc>
        <w:tc>
          <w:tcPr>
            <w:tcW w:w="960" w:type="pct"/>
          </w:tcPr>
          <w:p w14:paraId="3A568167" w14:textId="3ADA84E1" w:rsidR="0081101C" w:rsidRPr="0081101C" w:rsidRDefault="0081101C" w:rsidP="007E4973">
            <w:pPr>
              <w:ind w:left="0"/>
              <w:rPr>
                <w:b w:val="0"/>
                <w:sz w:val="20"/>
                <w:szCs w:val="20"/>
                <w:lang w:val="en-US" w:eastAsia="ja-JP"/>
              </w:rPr>
            </w:pPr>
            <w:r w:rsidRPr="0081101C">
              <w:rPr>
                <w:sz w:val="20"/>
                <w:szCs w:val="20"/>
                <w:lang w:val="en-US" w:eastAsia="ja-JP"/>
              </w:rPr>
              <w:t xml:space="preserve">Tafenoquine </w:t>
            </w:r>
            <w:r w:rsidR="007E4973">
              <w:rPr>
                <w:sz w:val="20"/>
                <w:szCs w:val="20"/>
                <w:lang w:val="en-US" w:eastAsia="ja-JP"/>
              </w:rPr>
              <w:t>d</w:t>
            </w:r>
            <w:r w:rsidR="007E4973" w:rsidRPr="0081101C">
              <w:rPr>
                <w:sz w:val="20"/>
                <w:szCs w:val="20"/>
                <w:lang w:val="en-US" w:eastAsia="ja-JP"/>
              </w:rPr>
              <w:t xml:space="preserve">oses </w:t>
            </w:r>
            <w:r w:rsidR="007E4973">
              <w:rPr>
                <w:sz w:val="20"/>
                <w:szCs w:val="20"/>
                <w:lang w:val="en-US" w:eastAsia="ja-JP"/>
              </w:rPr>
              <w:t>a</w:t>
            </w:r>
            <w:r w:rsidR="007E4973" w:rsidRPr="0081101C">
              <w:rPr>
                <w:sz w:val="20"/>
                <w:szCs w:val="20"/>
                <w:lang w:val="en-US" w:eastAsia="ja-JP"/>
              </w:rPr>
              <w:t>dministered</w:t>
            </w:r>
          </w:p>
        </w:tc>
        <w:tc>
          <w:tcPr>
            <w:tcW w:w="970" w:type="pct"/>
          </w:tcPr>
          <w:p w14:paraId="23AF12B4" w14:textId="77777777" w:rsidR="0081101C" w:rsidRPr="004B4CC5" w:rsidRDefault="0081101C" w:rsidP="007E4973">
            <w:pPr>
              <w:ind w:left="0"/>
              <w:rPr>
                <w:b w:val="0"/>
                <w:lang w:val="en-US" w:eastAsia="ja-JP"/>
              </w:rPr>
            </w:pPr>
            <w:r w:rsidRPr="004B4CC5">
              <w:rPr>
                <w:lang w:val="en-US" w:eastAsia="ja-JP"/>
              </w:rPr>
              <w:t>Population</w:t>
            </w:r>
          </w:p>
        </w:tc>
      </w:tr>
      <w:tr w:rsidR="0081101C" w:rsidRPr="004B4CC5" w14:paraId="1BB53AC7" w14:textId="77777777" w:rsidTr="0029187B">
        <w:tc>
          <w:tcPr>
            <w:tcW w:w="875" w:type="pct"/>
          </w:tcPr>
          <w:p w14:paraId="110C5B3C" w14:textId="77777777" w:rsidR="0081101C" w:rsidRPr="0081101C" w:rsidRDefault="0081101C" w:rsidP="00A70B60">
            <w:pPr>
              <w:keepNext/>
              <w:spacing w:before="0" w:after="0"/>
              <w:ind w:left="0"/>
              <w:rPr>
                <w:color w:val="auto"/>
                <w:sz w:val="20"/>
                <w:szCs w:val="20"/>
                <w:lang w:val="en-US" w:eastAsia="ja-JP"/>
              </w:rPr>
            </w:pPr>
            <w:r w:rsidRPr="0081101C">
              <w:rPr>
                <w:sz w:val="20"/>
                <w:szCs w:val="20"/>
                <w:lang w:val="en-US" w:eastAsia="ja-JP"/>
              </w:rPr>
              <w:t>006</w:t>
            </w:r>
          </w:p>
        </w:tc>
        <w:tc>
          <w:tcPr>
            <w:tcW w:w="976" w:type="pct"/>
          </w:tcPr>
          <w:p w14:paraId="2214C5F8" w14:textId="77777777" w:rsidR="0081101C" w:rsidRPr="0081101C" w:rsidRDefault="0081101C" w:rsidP="00A70B60">
            <w:pPr>
              <w:keepNext/>
              <w:spacing w:before="0" w:after="0"/>
              <w:ind w:left="0"/>
              <w:rPr>
                <w:color w:val="auto"/>
                <w:sz w:val="20"/>
                <w:szCs w:val="20"/>
                <w:lang w:val="en-US" w:eastAsia="ja-JP"/>
              </w:rPr>
            </w:pPr>
            <w:r w:rsidRPr="0081101C">
              <w:rPr>
                <w:sz w:val="20"/>
                <w:szCs w:val="20"/>
                <w:lang w:val="en-US" w:eastAsia="ja-JP"/>
              </w:rPr>
              <w:t>R, DB, PC</w:t>
            </w:r>
          </w:p>
        </w:tc>
        <w:tc>
          <w:tcPr>
            <w:tcW w:w="1219" w:type="pct"/>
          </w:tcPr>
          <w:p w14:paraId="11FB8547" w14:textId="77777777" w:rsidR="0081101C" w:rsidRPr="0081101C" w:rsidRDefault="0081101C" w:rsidP="00A70B60">
            <w:pPr>
              <w:keepNext/>
              <w:spacing w:before="0" w:after="0"/>
              <w:ind w:left="0"/>
              <w:rPr>
                <w:color w:val="auto"/>
                <w:sz w:val="20"/>
                <w:szCs w:val="20"/>
                <w:lang w:val="en-US" w:eastAsia="ja-JP"/>
              </w:rPr>
            </w:pPr>
            <w:r w:rsidRPr="0081101C">
              <w:rPr>
                <w:sz w:val="20"/>
                <w:szCs w:val="20"/>
                <w:lang w:val="en-US" w:eastAsia="ja-JP"/>
              </w:rPr>
              <w:t xml:space="preserve">Malaria prevention in semi-immune subjects of Lamaréné, Gabon (highly </w:t>
            </w:r>
            <w:r w:rsidRPr="0029187B">
              <w:rPr>
                <w:sz w:val="20"/>
                <w:szCs w:val="20"/>
                <w:lang w:val="en-US" w:eastAsia="ja-JP"/>
              </w:rPr>
              <w:t>endemic Pf)</w:t>
            </w:r>
          </w:p>
        </w:tc>
        <w:tc>
          <w:tcPr>
            <w:tcW w:w="960" w:type="pct"/>
          </w:tcPr>
          <w:p w14:paraId="7934A186" w14:textId="43B9CEEC" w:rsidR="0081101C" w:rsidRPr="0081101C" w:rsidRDefault="0029187B" w:rsidP="00A70B60">
            <w:pPr>
              <w:keepNext/>
              <w:spacing w:before="0" w:after="0"/>
              <w:ind w:left="0"/>
              <w:rPr>
                <w:color w:val="auto"/>
                <w:sz w:val="20"/>
                <w:szCs w:val="20"/>
                <w:lang w:val="en-US" w:eastAsia="ja-JP"/>
              </w:rPr>
            </w:pPr>
            <w:r>
              <w:rPr>
                <w:sz w:val="20"/>
                <w:szCs w:val="20"/>
                <w:lang w:val="en-US" w:eastAsia="ja-JP"/>
              </w:rPr>
              <w:t>25, 50, 100 or 200mg daily x </w:t>
            </w:r>
            <w:r w:rsidR="0081101C" w:rsidRPr="0081101C">
              <w:rPr>
                <w:sz w:val="20"/>
                <w:szCs w:val="20"/>
                <w:lang w:val="en-US" w:eastAsia="ja-JP"/>
              </w:rPr>
              <w:t>3 days</w:t>
            </w:r>
          </w:p>
        </w:tc>
        <w:tc>
          <w:tcPr>
            <w:tcW w:w="970" w:type="pct"/>
          </w:tcPr>
          <w:p w14:paraId="73257C60" w14:textId="77777777" w:rsidR="0081101C" w:rsidRPr="00A70B60" w:rsidRDefault="0081101C" w:rsidP="00A70B60">
            <w:pPr>
              <w:keepNext/>
              <w:spacing w:before="0" w:after="0"/>
              <w:ind w:left="0" w:right="0"/>
              <w:rPr>
                <w:sz w:val="20"/>
                <w:szCs w:val="20"/>
                <w:lang w:val="en-US" w:eastAsia="ja-JP"/>
              </w:rPr>
            </w:pPr>
            <w:r w:rsidRPr="00A70B60">
              <w:rPr>
                <w:sz w:val="20"/>
                <w:szCs w:val="20"/>
                <w:lang w:val="en-US" w:eastAsia="ja-JP"/>
              </w:rPr>
              <w:t xml:space="preserve">N=415; </w:t>
            </w:r>
            <w:r w:rsidRPr="00A70B60">
              <w:rPr>
                <w:sz w:val="20"/>
                <w:szCs w:val="20"/>
                <w:lang w:val="en-US" w:eastAsia="ja-JP"/>
              </w:rPr>
              <w:br/>
              <w:t>194 M/221 F</w:t>
            </w:r>
          </w:p>
          <w:p w14:paraId="002161E5" w14:textId="77777777" w:rsidR="0081101C" w:rsidRPr="00A70B60" w:rsidRDefault="0081101C" w:rsidP="00A70B60">
            <w:pPr>
              <w:keepNext/>
              <w:spacing w:before="0" w:after="0"/>
              <w:ind w:left="0" w:right="0"/>
              <w:rPr>
                <w:sz w:val="20"/>
                <w:szCs w:val="20"/>
                <w:lang w:val="en-US" w:eastAsia="ja-JP"/>
              </w:rPr>
            </w:pPr>
          </w:p>
        </w:tc>
      </w:tr>
      <w:tr w:rsidR="0081101C" w:rsidRPr="004B4CC5" w14:paraId="08E8C870" w14:textId="77777777" w:rsidTr="0029187B">
        <w:trPr>
          <w:cantSplit/>
        </w:trPr>
        <w:tc>
          <w:tcPr>
            <w:tcW w:w="875" w:type="pct"/>
          </w:tcPr>
          <w:p w14:paraId="129C9AB2"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030</w:t>
            </w:r>
          </w:p>
        </w:tc>
        <w:tc>
          <w:tcPr>
            <w:tcW w:w="976" w:type="pct"/>
          </w:tcPr>
          <w:p w14:paraId="1CE75B95"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R, DB, PC, AC (mefloquine)</w:t>
            </w:r>
          </w:p>
        </w:tc>
        <w:tc>
          <w:tcPr>
            <w:tcW w:w="1219" w:type="pct"/>
          </w:tcPr>
          <w:p w14:paraId="72B13074"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 xml:space="preserve">Prevention of malaria in semi-immune subjects of Nyanza Province, Kenya (area holoendemic for </w:t>
            </w:r>
            <w:r w:rsidRPr="0081101C">
              <w:rPr>
                <w:i/>
                <w:sz w:val="20"/>
                <w:szCs w:val="20"/>
                <w:lang w:val="en-US" w:eastAsia="ja-JP"/>
              </w:rPr>
              <w:t>Pf)</w:t>
            </w:r>
          </w:p>
        </w:tc>
        <w:tc>
          <w:tcPr>
            <w:tcW w:w="960" w:type="pct"/>
          </w:tcPr>
          <w:p w14:paraId="129CBD5E" w14:textId="0F7DB857" w:rsidR="0081101C" w:rsidRPr="0081101C" w:rsidRDefault="0029187B" w:rsidP="0029187B">
            <w:pPr>
              <w:spacing w:before="0" w:after="0"/>
              <w:ind w:left="0"/>
              <w:rPr>
                <w:sz w:val="20"/>
                <w:szCs w:val="20"/>
                <w:lang w:val="en-US" w:eastAsia="ja-JP"/>
              </w:rPr>
            </w:pPr>
            <w:r>
              <w:rPr>
                <w:sz w:val="20"/>
                <w:szCs w:val="20"/>
                <w:lang w:val="en-US" w:eastAsia="ja-JP"/>
              </w:rPr>
              <w:t>200 daily x 3 days then 200 </w:t>
            </w:r>
            <w:r w:rsidR="0081101C" w:rsidRPr="0081101C">
              <w:rPr>
                <w:sz w:val="20"/>
                <w:szCs w:val="20"/>
                <w:lang w:val="en-US" w:eastAsia="ja-JP"/>
              </w:rPr>
              <w:t>mg weekly for 24 weeks</w:t>
            </w:r>
          </w:p>
        </w:tc>
        <w:tc>
          <w:tcPr>
            <w:tcW w:w="970" w:type="pct"/>
          </w:tcPr>
          <w:p w14:paraId="22196FEE" w14:textId="77777777" w:rsidR="0081101C" w:rsidRPr="00A70B60" w:rsidRDefault="0081101C" w:rsidP="000E36DE">
            <w:pPr>
              <w:spacing w:before="0" w:after="0"/>
              <w:ind w:left="0" w:right="0"/>
              <w:rPr>
                <w:sz w:val="20"/>
                <w:szCs w:val="20"/>
                <w:lang w:val="en-US" w:eastAsia="ja-JP"/>
              </w:rPr>
            </w:pPr>
            <w:r w:rsidRPr="00A70B60">
              <w:rPr>
                <w:sz w:val="20"/>
                <w:szCs w:val="20"/>
                <w:lang w:val="en-US" w:eastAsia="ja-JP"/>
              </w:rPr>
              <w:t xml:space="preserve">N=300; </w:t>
            </w:r>
            <w:r w:rsidRPr="00A70B60">
              <w:rPr>
                <w:sz w:val="20"/>
                <w:szCs w:val="20"/>
                <w:lang w:val="en-US" w:eastAsia="ja-JP"/>
              </w:rPr>
              <w:br/>
              <w:t>195 M/105 F</w:t>
            </w:r>
          </w:p>
          <w:p w14:paraId="44E7BA74" w14:textId="77777777" w:rsidR="0081101C" w:rsidRPr="00A70B60" w:rsidRDefault="0081101C" w:rsidP="000E36DE">
            <w:pPr>
              <w:spacing w:before="0" w:after="0"/>
              <w:ind w:left="0" w:right="0"/>
              <w:rPr>
                <w:sz w:val="20"/>
                <w:szCs w:val="20"/>
                <w:lang w:val="en-US" w:eastAsia="ja-JP"/>
              </w:rPr>
            </w:pPr>
          </w:p>
        </w:tc>
      </w:tr>
      <w:tr w:rsidR="0081101C" w:rsidRPr="004B4CC5" w14:paraId="58DAD572" w14:textId="77777777" w:rsidTr="0029187B">
        <w:tc>
          <w:tcPr>
            <w:tcW w:w="875" w:type="pct"/>
          </w:tcPr>
          <w:p w14:paraId="655E316C"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033</w:t>
            </w:r>
          </w:p>
        </w:tc>
        <w:tc>
          <w:tcPr>
            <w:tcW w:w="976" w:type="pct"/>
          </w:tcPr>
          <w:p w14:paraId="699AFA09"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R, DB, AC (mefloquine)</w:t>
            </w:r>
          </w:p>
        </w:tc>
        <w:tc>
          <w:tcPr>
            <w:tcW w:w="1219" w:type="pct"/>
          </w:tcPr>
          <w:p w14:paraId="79772A7F" w14:textId="657BEBCD" w:rsidR="0081101C" w:rsidRPr="0081101C" w:rsidRDefault="0081101C" w:rsidP="0029187B">
            <w:pPr>
              <w:spacing w:before="0" w:after="0"/>
              <w:ind w:left="0"/>
              <w:rPr>
                <w:sz w:val="20"/>
                <w:szCs w:val="20"/>
                <w:lang w:val="en-US" w:eastAsia="ja-JP"/>
              </w:rPr>
            </w:pPr>
            <w:r w:rsidRPr="0081101C">
              <w:rPr>
                <w:sz w:val="20"/>
                <w:szCs w:val="20"/>
                <w:lang w:val="en-US" w:eastAsia="ja-JP"/>
              </w:rPr>
              <w:t>Prevention of malaria in non-immune members of the Australian Defen</w:t>
            </w:r>
            <w:r w:rsidR="002B4B0B">
              <w:rPr>
                <w:sz w:val="20"/>
                <w:szCs w:val="20"/>
                <w:lang w:val="en-US" w:eastAsia="ja-JP"/>
              </w:rPr>
              <w:t>c</w:t>
            </w:r>
            <w:r w:rsidRPr="0081101C">
              <w:rPr>
                <w:sz w:val="20"/>
                <w:szCs w:val="20"/>
                <w:lang w:val="en-US" w:eastAsia="ja-JP"/>
              </w:rPr>
              <w:t xml:space="preserve">e Force (ADF) deployed to Bobanaro District, Timor Leste (area mesoendemic for </w:t>
            </w:r>
            <w:r w:rsidRPr="0081101C">
              <w:rPr>
                <w:i/>
                <w:sz w:val="20"/>
                <w:szCs w:val="20"/>
                <w:lang w:val="en-US" w:eastAsia="ja-JP"/>
              </w:rPr>
              <w:t>Pf</w:t>
            </w:r>
            <w:r w:rsidRPr="0081101C">
              <w:rPr>
                <w:sz w:val="20"/>
                <w:szCs w:val="20"/>
                <w:lang w:val="en-US" w:eastAsia="ja-JP"/>
              </w:rPr>
              <w:t xml:space="preserve"> and </w:t>
            </w:r>
            <w:r w:rsidR="002352EB" w:rsidRPr="002352EB">
              <w:rPr>
                <w:sz w:val="20"/>
                <w:szCs w:val="20"/>
                <w:lang w:val="en-US" w:eastAsia="ja-JP"/>
              </w:rPr>
              <w:t>Pv</w:t>
            </w:r>
            <w:r w:rsidRPr="0081101C">
              <w:rPr>
                <w:sz w:val="20"/>
                <w:szCs w:val="20"/>
                <w:lang w:val="en-US" w:eastAsia="ja-JP"/>
              </w:rPr>
              <w:t>)</w:t>
            </w:r>
          </w:p>
        </w:tc>
        <w:tc>
          <w:tcPr>
            <w:tcW w:w="960" w:type="pct"/>
          </w:tcPr>
          <w:p w14:paraId="6BA6344F" w14:textId="77777777" w:rsidR="0081101C" w:rsidRPr="0081101C" w:rsidRDefault="0081101C" w:rsidP="000E36DE">
            <w:pPr>
              <w:spacing w:before="0" w:after="0"/>
              <w:rPr>
                <w:sz w:val="20"/>
                <w:szCs w:val="20"/>
                <w:lang w:val="en-US" w:eastAsia="ja-JP"/>
              </w:rPr>
            </w:pPr>
            <w:r w:rsidRPr="0081101C">
              <w:rPr>
                <w:sz w:val="20"/>
                <w:szCs w:val="20"/>
                <w:lang w:val="en-US" w:eastAsia="ja-JP"/>
              </w:rPr>
              <w:t>200 mg daily x 3 days, then 200 mg weekly throughout deployment</w:t>
            </w:r>
          </w:p>
        </w:tc>
        <w:tc>
          <w:tcPr>
            <w:tcW w:w="970" w:type="pct"/>
          </w:tcPr>
          <w:p w14:paraId="6231A35F" w14:textId="77777777" w:rsidR="0081101C" w:rsidRPr="00A70B60" w:rsidRDefault="0081101C" w:rsidP="000E36DE">
            <w:pPr>
              <w:spacing w:before="0" w:after="0"/>
              <w:ind w:left="0" w:right="0"/>
              <w:rPr>
                <w:sz w:val="20"/>
                <w:szCs w:val="20"/>
                <w:lang w:val="en-US" w:eastAsia="ja-JP"/>
              </w:rPr>
            </w:pPr>
            <w:r w:rsidRPr="00A70B60">
              <w:rPr>
                <w:sz w:val="20"/>
                <w:szCs w:val="20"/>
                <w:lang w:val="en-US" w:eastAsia="ja-JP"/>
              </w:rPr>
              <w:t xml:space="preserve">N=654; </w:t>
            </w:r>
            <w:r w:rsidRPr="00A70B60">
              <w:rPr>
                <w:sz w:val="20"/>
                <w:szCs w:val="20"/>
                <w:lang w:val="en-US" w:eastAsia="ja-JP"/>
              </w:rPr>
              <w:br/>
              <w:t>632 M/22 F</w:t>
            </w:r>
          </w:p>
          <w:p w14:paraId="25556A46" w14:textId="77777777" w:rsidR="0081101C" w:rsidRPr="00A70B60" w:rsidRDefault="0081101C" w:rsidP="000E36DE">
            <w:pPr>
              <w:spacing w:before="0" w:after="0"/>
              <w:ind w:left="0" w:right="0"/>
              <w:rPr>
                <w:sz w:val="20"/>
                <w:szCs w:val="20"/>
                <w:lang w:val="en-US" w:eastAsia="ja-JP"/>
              </w:rPr>
            </w:pPr>
          </w:p>
        </w:tc>
      </w:tr>
      <w:tr w:rsidR="0081101C" w:rsidRPr="004B4CC5" w14:paraId="0171081C" w14:textId="77777777" w:rsidTr="0029187B">
        <w:tc>
          <w:tcPr>
            <w:tcW w:w="875" w:type="pct"/>
          </w:tcPr>
          <w:p w14:paraId="5E3B6455"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043</w:t>
            </w:r>
          </w:p>
        </w:tc>
        <w:tc>
          <w:tcPr>
            <w:tcW w:w="976" w:type="pct"/>
          </w:tcPr>
          <w:p w14:paraId="2784FCA1"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R, DB, PC, PG</w:t>
            </w:r>
          </w:p>
        </w:tc>
        <w:tc>
          <w:tcPr>
            <w:tcW w:w="1219" w:type="pct"/>
          </w:tcPr>
          <w:p w14:paraId="33DC679C"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Determine the chemosuppressive effectiveness of weekly regimens of tafenoquine in preventing falciparum parasitemia compared with placebo in semi-immune Kenyan subjects.</w:t>
            </w:r>
          </w:p>
        </w:tc>
        <w:tc>
          <w:tcPr>
            <w:tcW w:w="960" w:type="pct"/>
          </w:tcPr>
          <w:p w14:paraId="297F8B36" w14:textId="031FF602" w:rsidR="0081101C" w:rsidRPr="0081101C" w:rsidRDefault="0029187B" w:rsidP="0029187B">
            <w:pPr>
              <w:spacing w:before="0" w:after="0"/>
              <w:ind w:left="0"/>
              <w:rPr>
                <w:sz w:val="20"/>
                <w:szCs w:val="20"/>
                <w:lang w:val="en-US" w:eastAsia="ja-JP"/>
              </w:rPr>
            </w:pPr>
            <w:r>
              <w:rPr>
                <w:sz w:val="20"/>
                <w:szCs w:val="20"/>
                <w:lang w:val="en-US" w:eastAsia="ja-JP"/>
              </w:rPr>
              <w:t>400 mg daily x </w:t>
            </w:r>
            <w:r w:rsidR="0081101C" w:rsidRPr="0081101C">
              <w:rPr>
                <w:sz w:val="20"/>
                <w:szCs w:val="20"/>
                <w:lang w:val="en-US" w:eastAsia="ja-JP"/>
              </w:rPr>
              <w:t>3days</w:t>
            </w:r>
            <w:r w:rsidR="00E71EF1">
              <w:rPr>
                <w:sz w:val="20"/>
                <w:szCs w:val="20"/>
                <w:lang w:val="en-US" w:eastAsia="ja-JP"/>
              </w:rPr>
              <w:t xml:space="preserve"> </w:t>
            </w:r>
            <w:r w:rsidR="0081101C" w:rsidRPr="0081101C">
              <w:rPr>
                <w:sz w:val="20"/>
                <w:szCs w:val="20"/>
                <w:lang w:val="en-US" w:eastAsia="ja-JP"/>
              </w:rPr>
              <w:t>or</w:t>
            </w:r>
            <w:r w:rsidR="00E71EF1">
              <w:rPr>
                <w:sz w:val="20"/>
                <w:szCs w:val="20"/>
                <w:lang w:val="en-US" w:eastAsia="ja-JP"/>
              </w:rPr>
              <w:t xml:space="preserve"> </w:t>
            </w:r>
            <w:r>
              <w:rPr>
                <w:sz w:val="20"/>
                <w:szCs w:val="20"/>
                <w:lang w:val="en-US" w:eastAsia="ja-JP"/>
              </w:rPr>
              <w:t>200 mg daily x </w:t>
            </w:r>
            <w:r w:rsidR="0081101C" w:rsidRPr="0081101C">
              <w:rPr>
                <w:sz w:val="20"/>
                <w:szCs w:val="20"/>
                <w:lang w:val="en-US" w:eastAsia="ja-JP"/>
              </w:rPr>
              <w:t>3</w:t>
            </w:r>
            <w:r>
              <w:rPr>
                <w:sz w:val="20"/>
                <w:szCs w:val="20"/>
                <w:lang w:val="en-US" w:eastAsia="ja-JP"/>
              </w:rPr>
              <w:t xml:space="preserve"> </w:t>
            </w:r>
            <w:r w:rsidR="0081101C" w:rsidRPr="0081101C">
              <w:rPr>
                <w:sz w:val="20"/>
                <w:szCs w:val="20"/>
                <w:lang w:val="en-US" w:eastAsia="ja-JP"/>
              </w:rPr>
              <w:t>days, then 200mg weekly for 10</w:t>
            </w:r>
            <w:r>
              <w:rPr>
                <w:sz w:val="20"/>
                <w:szCs w:val="20"/>
                <w:lang w:val="en-US" w:eastAsia="ja-JP"/>
              </w:rPr>
              <w:t xml:space="preserve"> to </w:t>
            </w:r>
            <w:r w:rsidR="0081101C" w:rsidRPr="0081101C">
              <w:rPr>
                <w:sz w:val="20"/>
                <w:szCs w:val="20"/>
                <w:lang w:val="en-US" w:eastAsia="ja-JP"/>
              </w:rPr>
              <w:t>15 weeks</w:t>
            </w:r>
            <w:r w:rsidR="00E71EF1">
              <w:rPr>
                <w:sz w:val="20"/>
                <w:szCs w:val="20"/>
                <w:lang w:val="en-US" w:eastAsia="ja-JP"/>
              </w:rPr>
              <w:t xml:space="preserve"> </w:t>
            </w:r>
            <w:r w:rsidR="0081101C" w:rsidRPr="0081101C">
              <w:rPr>
                <w:sz w:val="20"/>
                <w:szCs w:val="20"/>
                <w:lang w:val="en-US" w:eastAsia="ja-JP"/>
              </w:rPr>
              <w:t>or</w:t>
            </w:r>
            <w:r w:rsidR="00E71EF1">
              <w:rPr>
                <w:sz w:val="20"/>
                <w:szCs w:val="20"/>
                <w:lang w:val="en-US" w:eastAsia="ja-JP"/>
              </w:rPr>
              <w:t xml:space="preserve"> </w:t>
            </w:r>
            <w:r>
              <w:rPr>
                <w:sz w:val="20"/>
                <w:szCs w:val="20"/>
                <w:lang w:val="en-US" w:eastAsia="ja-JP"/>
              </w:rPr>
              <w:t>400 </w:t>
            </w:r>
            <w:r w:rsidR="0081101C" w:rsidRPr="0081101C">
              <w:rPr>
                <w:sz w:val="20"/>
                <w:szCs w:val="20"/>
                <w:lang w:val="en-US" w:eastAsia="ja-JP"/>
              </w:rPr>
              <w:t>mg daily x 3</w:t>
            </w:r>
            <w:r>
              <w:rPr>
                <w:sz w:val="20"/>
                <w:szCs w:val="20"/>
                <w:lang w:val="en-US" w:eastAsia="ja-JP"/>
              </w:rPr>
              <w:t xml:space="preserve"> days, then 400 mg weekly for 10 to </w:t>
            </w:r>
            <w:r w:rsidR="0081101C" w:rsidRPr="0081101C">
              <w:rPr>
                <w:sz w:val="20"/>
                <w:szCs w:val="20"/>
                <w:lang w:val="en-US" w:eastAsia="ja-JP"/>
              </w:rPr>
              <w:t>25 weeks</w:t>
            </w:r>
          </w:p>
        </w:tc>
        <w:tc>
          <w:tcPr>
            <w:tcW w:w="970" w:type="pct"/>
          </w:tcPr>
          <w:p w14:paraId="1D0C71A8" w14:textId="3BFBA5E3" w:rsidR="0081101C" w:rsidRPr="00A70B60" w:rsidRDefault="0081101C" w:rsidP="000E36DE">
            <w:pPr>
              <w:spacing w:before="0" w:after="0"/>
              <w:ind w:left="0" w:right="0"/>
              <w:rPr>
                <w:sz w:val="20"/>
                <w:szCs w:val="20"/>
                <w:lang w:val="en-US" w:eastAsia="ja-JP"/>
              </w:rPr>
            </w:pPr>
            <w:r w:rsidRPr="00A70B60">
              <w:rPr>
                <w:sz w:val="20"/>
                <w:szCs w:val="20"/>
                <w:lang w:val="en-US" w:eastAsia="ja-JP"/>
              </w:rPr>
              <w:t xml:space="preserve">Tafenoquine </w:t>
            </w:r>
            <w:r w:rsidRPr="002B4B0B">
              <w:rPr>
                <w:sz w:val="20"/>
                <w:szCs w:val="20"/>
              </w:rPr>
              <w:t>groups 174;</w:t>
            </w:r>
            <w:r w:rsidR="00E71EF1" w:rsidRPr="002B4B0B">
              <w:rPr>
                <w:sz w:val="20"/>
                <w:szCs w:val="20"/>
              </w:rPr>
              <w:t xml:space="preserve"> </w:t>
            </w:r>
            <w:r w:rsidRPr="002B4B0B">
              <w:rPr>
                <w:sz w:val="20"/>
                <w:szCs w:val="20"/>
              </w:rPr>
              <w:t>109 M/ 65 F</w:t>
            </w:r>
          </w:p>
        </w:tc>
      </w:tr>
      <w:tr w:rsidR="0081101C" w:rsidRPr="004B4CC5" w14:paraId="35794DF5" w14:textId="77777777" w:rsidTr="0029187B">
        <w:tc>
          <w:tcPr>
            <w:tcW w:w="875" w:type="pct"/>
          </w:tcPr>
          <w:p w14:paraId="6850D7FC"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044</w:t>
            </w:r>
          </w:p>
        </w:tc>
        <w:tc>
          <w:tcPr>
            <w:tcW w:w="976" w:type="pct"/>
          </w:tcPr>
          <w:p w14:paraId="007AD923" w14:textId="77777777" w:rsidR="0081101C" w:rsidRPr="0081101C" w:rsidRDefault="0081101C" w:rsidP="000E36DE">
            <w:pPr>
              <w:spacing w:before="0" w:after="0"/>
              <w:rPr>
                <w:sz w:val="20"/>
                <w:szCs w:val="20"/>
                <w:lang w:val="en-US" w:eastAsia="ja-JP"/>
              </w:rPr>
            </w:pPr>
            <w:r w:rsidRPr="0081101C">
              <w:rPr>
                <w:sz w:val="20"/>
                <w:szCs w:val="20"/>
                <w:lang w:val="en-US" w:eastAsia="ja-JP"/>
              </w:rPr>
              <w:t>R, DB, PC</w:t>
            </w:r>
          </w:p>
        </w:tc>
        <w:tc>
          <w:tcPr>
            <w:tcW w:w="1219" w:type="pct"/>
          </w:tcPr>
          <w:p w14:paraId="03E8B297" w14:textId="77777777" w:rsidR="0081101C" w:rsidRPr="0081101C" w:rsidRDefault="0081101C" w:rsidP="0029187B">
            <w:pPr>
              <w:spacing w:before="0" w:after="0"/>
              <w:ind w:left="0"/>
              <w:rPr>
                <w:sz w:val="20"/>
                <w:szCs w:val="20"/>
                <w:lang w:val="en-US" w:eastAsia="ja-JP"/>
              </w:rPr>
            </w:pPr>
            <w:r w:rsidRPr="0081101C">
              <w:rPr>
                <w:sz w:val="20"/>
                <w:szCs w:val="20"/>
                <w:lang w:val="en-US" w:eastAsia="ja-JP"/>
              </w:rPr>
              <w:t xml:space="preserve">Determine the efficacy of monthly doses of tafenoquine v. placebo in the chemoprophylaxis </w:t>
            </w:r>
            <w:r w:rsidRPr="0081101C">
              <w:rPr>
                <w:sz w:val="20"/>
                <w:szCs w:val="20"/>
                <w:lang w:val="en-US" w:eastAsia="ja-JP"/>
              </w:rPr>
              <w:lastRenderedPageBreak/>
              <w:t xml:space="preserve">of multi-drug resistant </w:t>
            </w:r>
            <w:r w:rsidRPr="0029187B">
              <w:rPr>
                <w:sz w:val="20"/>
                <w:szCs w:val="20"/>
                <w:lang w:val="en-US" w:eastAsia="ja-JP"/>
              </w:rPr>
              <w:t xml:space="preserve">Pf </w:t>
            </w:r>
            <w:r w:rsidRPr="0081101C">
              <w:rPr>
                <w:sz w:val="20"/>
                <w:szCs w:val="20"/>
                <w:lang w:val="en-US" w:eastAsia="ja-JP"/>
              </w:rPr>
              <w:t xml:space="preserve">and </w:t>
            </w:r>
            <w:r w:rsidR="002352EB" w:rsidRPr="002352EB">
              <w:rPr>
                <w:sz w:val="20"/>
                <w:szCs w:val="20"/>
                <w:lang w:val="en-US" w:eastAsia="ja-JP"/>
              </w:rPr>
              <w:t>Pv</w:t>
            </w:r>
            <w:r w:rsidRPr="0081101C">
              <w:rPr>
                <w:sz w:val="20"/>
                <w:szCs w:val="20"/>
                <w:lang w:val="en-US" w:eastAsia="ja-JP"/>
              </w:rPr>
              <w:t xml:space="preserve"> in Thailand.</w:t>
            </w:r>
          </w:p>
        </w:tc>
        <w:tc>
          <w:tcPr>
            <w:tcW w:w="960" w:type="pct"/>
          </w:tcPr>
          <w:p w14:paraId="1117F80B" w14:textId="77777777" w:rsidR="0081101C" w:rsidRPr="0081101C" w:rsidRDefault="0081101C" w:rsidP="000E36DE">
            <w:pPr>
              <w:spacing w:before="0" w:after="0"/>
              <w:rPr>
                <w:sz w:val="20"/>
                <w:szCs w:val="20"/>
                <w:lang w:val="en-US" w:eastAsia="ja-JP"/>
              </w:rPr>
            </w:pPr>
            <w:r w:rsidRPr="0081101C">
              <w:rPr>
                <w:sz w:val="20"/>
                <w:szCs w:val="20"/>
                <w:lang w:val="en-US" w:eastAsia="ja-JP"/>
              </w:rPr>
              <w:lastRenderedPageBreak/>
              <w:t>400 mg daily x 3d, then 400 mg monthly</w:t>
            </w:r>
          </w:p>
        </w:tc>
        <w:tc>
          <w:tcPr>
            <w:tcW w:w="970" w:type="pct"/>
          </w:tcPr>
          <w:p w14:paraId="5F936AE9" w14:textId="77777777" w:rsidR="0081101C" w:rsidRPr="00A70B60" w:rsidRDefault="0081101C" w:rsidP="000E36DE">
            <w:pPr>
              <w:spacing w:before="0" w:after="0"/>
              <w:ind w:left="0" w:right="0"/>
              <w:rPr>
                <w:sz w:val="20"/>
                <w:szCs w:val="20"/>
                <w:lang w:val="en-US" w:eastAsia="ja-JP"/>
              </w:rPr>
            </w:pPr>
            <w:r w:rsidRPr="00A70B60">
              <w:rPr>
                <w:sz w:val="20"/>
                <w:szCs w:val="20"/>
                <w:lang w:val="en-US" w:eastAsia="ja-JP"/>
              </w:rPr>
              <w:t>Tafenoquine n=104</w:t>
            </w:r>
            <w:r w:rsidRPr="00A70B60">
              <w:rPr>
                <w:sz w:val="20"/>
                <w:szCs w:val="20"/>
                <w:lang w:val="en-US" w:eastAsia="ja-JP"/>
              </w:rPr>
              <w:br/>
              <w:t>Placebo n=101</w:t>
            </w:r>
          </w:p>
        </w:tc>
      </w:tr>
      <w:tr w:rsidR="0081101C" w:rsidRPr="004B4CC5" w14:paraId="5621C92D" w14:textId="77777777" w:rsidTr="0029187B">
        <w:tc>
          <w:tcPr>
            <w:tcW w:w="875" w:type="pct"/>
          </w:tcPr>
          <w:p w14:paraId="09B08FD7" w14:textId="77777777" w:rsidR="00980FDF" w:rsidRDefault="0081101C" w:rsidP="000E36DE">
            <w:pPr>
              <w:ind w:left="0"/>
              <w:rPr>
                <w:sz w:val="20"/>
                <w:szCs w:val="20"/>
                <w:lang w:val="en-US" w:eastAsia="ja-JP"/>
              </w:rPr>
            </w:pPr>
            <w:r w:rsidRPr="0081101C">
              <w:rPr>
                <w:sz w:val="20"/>
                <w:szCs w:val="20"/>
                <w:lang w:val="en-US" w:eastAsia="ja-JP"/>
              </w:rPr>
              <w:lastRenderedPageBreak/>
              <w:t xml:space="preserve">049 </w:t>
            </w:r>
          </w:p>
          <w:p w14:paraId="558AEACB" w14:textId="73F3DD85" w:rsidR="0081101C" w:rsidRPr="0081101C" w:rsidRDefault="0081101C" w:rsidP="0029187B">
            <w:pPr>
              <w:ind w:left="0"/>
              <w:rPr>
                <w:sz w:val="20"/>
                <w:szCs w:val="20"/>
                <w:lang w:val="en-US" w:eastAsia="ja-JP"/>
              </w:rPr>
            </w:pPr>
            <w:r w:rsidRPr="0081101C">
              <w:rPr>
                <w:sz w:val="20"/>
                <w:szCs w:val="20"/>
                <w:lang w:val="en-US" w:eastAsia="ja-JP"/>
              </w:rPr>
              <w:t xml:space="preserve">Post-exposure </w:t>
            </w:r>
            <w:r w:rsidR="0029187B">
              <w:rPr>
                <w:sz w:val="20"/>
                <w:szCs w:val="20"/>
                <w:lang w:val="en-US" w:eastAsia="ja-JP"/>
              </w:rPr>
              <w:t>p</w:t>
            </w:r>
            <w:r w:rsidRPr="0081101C">
              <w:rPr>
                <w:sz w:val="20"/>
                <w:szCs w:val="20"/>
                <w:lang w:val="en-US" w:eastAsia="ja-JP"/>
              </w:rPr>
              <w:t>rophylaxis</w:t>
            </w:r>
          </w:p>
        </w:tc>
        <w:tc>
          <w:tcPr>
            <w:tcW w:w="976" w:type="pct"/>
          </w:tcPr>
          <w:p w14:paraId="4D5E56B8" w14:textId="77777777" w:rsidR="0081101C" w:rsidRPr="0081101C" w:rsidRDefault="0081101C" w:rsidP="000E36DE">
            <w:pPr>
              <w:ind w:left="0"/>
              <w:rPr>
                <w:sz w:val="20"/>
                <w:szCs w:val="20"/>
                <w:lang w:val="en-US" w:eastAsia="ja-JP"/>
              </w:rPr>
            </w:pPr>
            <w:r w:rsidRPr="0081101C">
              <w:rPr>
                <w:sz w:val="20"/>
                <w:szCs w:val="20"/>
                <w:lang w:val="en-US" w:eastAsia="ja-JP"/>
              </w:rPr>
              <w:t xml:space="preserve">O, R, PG, AC </w:t>
            </w:r>
            <w:r w:rsidR="00C73BF4">
              <w:rPr>
                <w:sz w:val="20"/>
                <w:szCs w:val="20"/>
                <w:lang w:val="en-US" w:eastAsia="ja-JP"/>
              </w:rPr>
              <w:t>PQ</w:t>
            </w:r>
          </w:p>
        </w:tc>
        <w:tc>
          <w:tcPr>
            <w:tcW w:w="1219" w:type="pct"/>
          </w:tcPr>
          <w:p w14:paraId="3731BD0B" w14:textId="77777777" w:rsidR="0081101C" w:rsidRPr="0081101C" w:rsidRDefault="0081101C" w:rsidP="00C60459">
            <w:pPr>
              <w:ind w:left="0"/>
              <w:rPr>
                <w:sz w:val="20"/>
                <w:szCs w:val="20"/>
                <w:lang w:val="en-US" w:eastAsia="ja-JP"/>
              </w:rPr>
            </w:pPr>
            <w:r w:rsidRPr="0081101C">
              <w:rPr>
                <w:sz w:val="20"/>
                <w:szCs w:val="20"/>
                <w:lang w:val="en-US" w:eastAsia="ja-JP"/>
              </w:rPr>
              <w:t xml:space="preserve">Compare the effectiveness and tolerability of tafenoquine with </w:t>
            </w:r>
            <w:r w:rsidR="00C73BF4">
              <w:rPr>
                <w:sz w:val="20"/>
                <w:szCs w:val="20"/>
                <w:lang w:val="en-US" w:eastAsia="ja-JP"/>
              </w:rPr>
              <w:t>PQ</w:t>
            </w:r>
            <w:r w:rsidRPr="0081101C">
              <w:rPr>
                <w:sz w:val="20"/>
                <w:szCs w:val="20"/>
                <w:lang w:val="en-US" w:eastAsia="ja-JP"/>
              </w:rPr>
              <w:t xml:space="preserve"> in preventing </w:t>
            </w:r>
            <w:r w:rsidR="002352EB" w:rsidRPr="002352EB">
              <w:rPr>
                <w:sz w:val="20"/>
                <w:szCs w:val="20"/>
                <w:lang w:val="en-US" w:eastAsia="ja-JP"/>
              </w:rPr>
              <w:t>Pv</w:t>
            </w:r>
            <w:r w:rsidRPr="0081101C">
              <w:rPr>
                <w:sz w:val="20"/>
                <w:szCs w:val="20"/>
                <w:lang w:val="en-US" w:eastAsia="ja-JP"/>
              </w:rPr>
              <w:t xml:space="preserve"> malaria in non-immune ADF after leaving malarious areas of Papua New Guinea and East Timor.</w:t>
            </w:r>
          </w:p>
        </w:tc>
        <w:tc>
          <w:tcPr>
            <w:tcW w:w="960" w:type="pct"/>
          </w:tcPr>
          <w:p w14:paraId="55C7AB6F" w14:textId="0959173E" w:rsidR="00C60459" w:rsidRDefault="00C60459" w:rsidP="00C60459">
            <w:pPr>
              <w:ind w:left="0"/>
              <w:rPr>
                <w:sz w:val="20"/>
                <w:szCs w:val="20"/>
                <w:lang w:val="en-US" w:eastAsia="ja-JP"/>
              </w:rPr>
            </w:pPr>
            <w:r>
              <w:rPr>
                <w:sz w:val="20"/>
                <w:szCs w:val="20"/>
                <w:lang w:val="en-US" w:eastAsia="ja-JP"/>
              </w:rPr>
              <w:t>200 mg daily x </w:t>
            </w:r>
            <w:r w:rsidR="0081101C" w:rsidRPr="0081101C">
              <w:rPr>
                <w:sz w:val="20"/>
                <w:szCs w:val="20"/>
                <w:lang w:val="en-US" w:eastAsia="ja-JP"/>
              </w:rPr>
              <w:t>3 days</w:t>
            </w:r>
            <w:r>
              <w:rPr>
                <w:sz w:val="20"/>
                <w:szCs w:val="20"/>
                <w:lang w:val="en-US" w:eastAsia="ja-JP"/>
              </w:rPr>
              <w:t>; or</w:t>
            </w:r>
          </w:p>
          <w:p w14:paraId="23CB1A7E" w14:textId="7A58F5EE" w:rsidR="0081101C" w:rsidRPr="0081101C" w:rsidRDefault="0081101C" w:rsidP="00C60459">
            <w:pPr>
              <w:ind w:left="0"/>
              <w:rPr>
                <w:sz w:val="20"/>
                <w:szCs w:val="20"/>
                <w:lang w:val="en-US" w:eastAsia="ja-JP"/>
              </w:rPr>
            </w:pPr>
            <w:r w:rsidRPr="0081101C">
              <w:rPr>
                <w:sz w:val="20"/>
                <w:szCs w:val="20"/>
                <w:lang w:val="en-US" w:eastAsia="ja-JP"/>
              </w:rPr>
              <w:t>200 mg twice daily x 3 days</w:t>
            </w:r>
            <w:r w:rsidR="00C60459">
              <w:rPr>
                <w:sz w:val="20"/>
                <w:szCs w:val="20"/>
                <w:lang w:val="en-US" w:eastAsia="ja-JP"/>
              </w:rPr>
              <w:t xml:space="preserve">; </w:t>
            </w:r>
            <w:r w:rsidRPr="0081101C">
              <w:rPr>
                <w:sz w:val="20"/>
                <w:szCs w:val="20"/>
                <w:lang w:val="en-US" w:eastAsia="ja-JP"/>
              </w:rPr>
              <w:t>or</w:t>
            </w:r>
          </w:p>
          <w:p w14:paraId="41C40AB2" w14:textId="7EB89206" w:rsidR="0081101C" w:rsidRPr="0081101C" w:rsidRDefault="0081101C" w:rsidP="00C60459">
            <w:pPr>
              <w:ind w:left="0"/>
              <w:rPr>
                <w:sz w:val="20"/>
                <w:szCs w:val="20"/>
                <w:lang w:val="en-US" w:eastAsia="ja-JP"/>
              </w:rPr>
            </w:pPr>
            <w:r w:rsidRPr="0081101C">
              <w:rPr>
                <w:sz w:val="20"/>
                <w:szCs w:val="20"/>
                <w:lang w:val="en-US" w:eastAsia="ja-JP"/>
              </w:rPr>
              <w:t>400 mg</w:t>
            </w:r>
            <w:r w:rsidR="00C60459">
              <w:rPr>
                <w:sz w:val="20"/>
                <w:szCs w:val="20"/>
                <w:lang w:val="en-US" w:eastAsia="ja-JP"/>
              </w:rPr>
              <w:t xml:space="preserve"> daily x </w:t>
            </w:r>
            <w:r w:rsidRPr="0081101C">
              <w:rPr>
                <w:sz w:val="20"/>
                <w:szCs w:val="20"/>
                <w:lang w:val="en-US" w:eastAsia="ja-JP"/>
              </w:rPr>
              <w:t>3 days</w:t>
            </w:r>
          </w:p>
        </w:tc>
        <w:tc>
          <w:tcPr>
            <w:tcW w:w="970" w:type="pct"/>
          </w:tcPr>
          <w:p w14:paraId="18DB2DFA" w14:textId="77777777" w:rsidR="0081101C" w:rsidRPr="00A70B60" w:rsidRDefault="0081101C" w:rsidP="001B3525">
            <w:pPr>
              <w:ind w:left="0" w:right="0"/>
              <w:rPr>
                <w:sz w:val="20"/>
                <w:szCs w:val="20"/>
                <w:lang w:val="en-US" w:eastAsia="ja-JP"/>
              </w:rPr>
            </w:pPr>
            <w:r w:rsidRPr="00A70B60">
              <w:rPr>
                <w:sz w:val="20"/>
                <w:szCs w:val="20"/>
                <w:lang w:val="en-US" w:eastAsia="ja-JP"/>
              </w:rPr>
              <w:t>N=1512;</w:t>
            </w:r>
          </w:p>
          <w:p w14:paraId="2B7F8519" w14:textId="77777777" w:rsidR="0081101C" w:rsidRPr="00A70B60" w:rsidRDefault="0081101C" w:rsidP="001B3525">
            <w:pPr>
              <w:ind w:left="0" w:right="0"/>
              <w:rPr>
                <w:sz w:val="20"/>
                <w:szCs w:val="20"/>
                <w:lang w:val="en-US" w:eastAsia="ja-JP"/>
              </w:rPr>
            </w:pPr>
            <w:r w:rsidRPr="00A70B60">
              <w:rPr>
                <w:sz w:val="20"/>
                <w:szCs w:val="20"/>
                <w:lang w:val="en-US" w:eastAsia="ja-JP"/>
              </w:rPr>
              <w:t>1431 M/ 81 F</w:t>
            </w:r>
          </w:p>
        </w:tc>
      </w:tr>
    </w:tbl>
    <w:p w14:paraId="692FACEB" w14:textId="5E1204CB" w:rsidR="0081101C" w:rsidRPr="00C472A2" w:rsidRDefault="0081101C" w:rsidP="0081101C">
      <w:pPr>
        <w:pStyle w:val="TableDescription"/>
        <w:rPr>
          <w:lang w:val="en-US" w:eastAsia="ja-JP"/>
        </w:rPr>
      </w:pPr>
      <w:r w:rsidRPr="00C472A2">
        <w:rPr>
          <w:lang w:val="en-US" w:eastAsia="ja-JP"/>
        </w:rPr>
        <w:t>R=</w:t>
      </w:r>
      <w:r w:rsidR="007E4973" w:rsidRPr="00C472A2">
        <w:rPr>
          <w:lang w:val="en-US" w:eastAsia="ja-JP"/>
        </w:rPr>
        <w:t>Randomi</w:t>
      </w:r>
      <w:r w:rsidR="007E4973">
        <w:rPr>
          <w:lang w:val="en-US" w:eastAsia="ja-JP"/>
        </w:rPr>
        <w:t>s</w:t>
      </w:r>
      <w:r w:rsidR="007E4973" w:rsidRPr="00C472A2">
        <w:rPr>
          <w:lang w:val="en-US" w:eastAsia="ja-JP"/>
        </w:rPr>
        <w:t>ed</w:t>
      </w:r>
      <w:r w:rsidRPr="00C472A2">
        <w:rPr>
          <w:lang w:val="en-US" w:eastAsia="ja-JP"/>
        </w:rPr>
        <w:t>; DB=Double-blind; PC=Placebo Control; AC=Active Comparator; PG=Parallel Group; O=Open label</w:t>
      </w:r>
    </w:p>
    <w:p w14:paraId="6509B0F3" w14:textId="744EBA1B" w:rsidR="0081101C" w:rsidRPr="004B4CC5" w:rsidRDefault="0081101C" w:rsidP="0081101C">
      <w:pPr>
        <w:pStyle w:val="TableTitle"/>
        <w:rPr>
          <w:lang w:val="en-US" w:eastAsia="ja-JP"/>
        </w:rPr>
      </w:pPr>
      <w:bookmarkStart w:id="105" w:name="_Toc452381796"/>
      <w:bookmarkStart w:id="106" w:name="_Toc472947953"/>
      <w:bookmarkStart w:id="107" w:name="_Toc476549703"/>
      <w:bookmarkStart w:id="108" w:name="_Toc504229430"/>
      <w:bookmarkStart w:id="109" w:name="_Toc501293680"/>
      <w:r>
        <w:t>Table 1</w:t>
      </w:r>
      <w:r w:rsidR="00B52F8D">
        <w:t>1</w:t>
      </w:r>
      <w:r>
        <w:t xml:space="preserve">: </w:t>
      </w:r>
      <w:proofErr w:type="gramStart"/>
      <w:r w:rsidRPr="002522B4">
        <w:rPr>
          <w:lang w:val="en-US" w:eastAsia="ja-JP"/>
        </w:rPr>
        <w:t>Pv</w:t>
      </w:r>
      <w:proofErr w:type="gramEnd"/>
      <w:r w:rsidRPr="002522B4">
        <w:rPr>
          <w:lang w:val="en-US" w:eastAsia="ja-JP"/>
        </w:rPr>
        <w:t xml:space="preserve"> </w:t>
      </w:r>
      <w:r w:rsidR="000E36DE">
        <w:rPr>
          <w:lang w:val="en-US" w:eastAsia="ja-JP"/>
        </w:rPr>
        <w:t>t</w:t>
      </w:r>
      <w:r w:rsidRPr="004B4CC5">
        <w:rPr>
          <w:lang w:val="en-US" w:eastAsia="ja-JP"/>
        </w:rPr>
        <w:t xml:space="preserve">reatment </w:t>
      </w:r>
      <w:r w:rsidR="000E36DE">
        <w:rPr>
          <w:lang w:val="en-US" w:eastAsia="ja-JP"/>
        </w:rPr>
        <w:t>s</w:t>
      </w:r>
      <w:r w:rsidRPr="004B4CC5">
        <w:rPr>
          <w:lang w:val="en-US" w:eastAsia="ja-JP"/>
        </w:rPr>
        <w:t xml:space="preserve">tudies (Phase </w:t>
      </w:r>
      <w:r w:rsidR="00E71EF1">
        <w:rPr>
          <w:lang w:val="en-US" w:eastAsia="ja-JP"/>
        </w:rPr>
        <w:t>II</w:t>
      </w:r>
      <w:r w:rsidRPr="004B4CC5">
        <w:rPr>
          <w:lang w:val="en-US" w:eastAsia="ja-JP"/>
        </w:rPr>
        <w:t>)</w:t>
      </w:r>
      <w:bookmarkEnd w:id="105"/>
      <w:bookmarkEnd w:id="106"/>
      <w:bookmarkEnd w:id="107"/>
      <w:bookmarkEnd w:id="108"/>
      <w:bookmarkEnd w:id="109"/>
    </w:p>
    <w:tbl>
      <w:tblPr>
        <w:tblStyle w:val="TableTGAblue"/>
        <w:tblW w:w="5000" w:type="pct"/>
        <w:tblLook w:val="00A0" w:firstRow="1" w:lastRow="0" w:firstColumn="1" w:lastColumn="0" w:noHBand="0" w:noVBand="0"/>
      </w:tblPr>
      <w:tblGrid>
        <w:gridCol w:w="1744"/>
        <w:gridCol w:w="1744"/>
        <w:gridCol w:w="1744"/>
        <w:gridCol w:w="1744"/>
        <w:gridCol w:w="1744"/>
      </w:tblGrid>
      <w:tr w:rsidR="0081101C" w:rsidRPr="004B4CC5" w14:paraId="0735BC33" w14:textId="77777777" w:rsidTr="00C60459">
        <w:trPr>
          <w:cnfStyle w:val="100000000000" w:firstRow="1" w:lastRow="0" w:firstColumn="0" w:lastColumn="0" w:oddVBand="0" w:evenVBand="0" w:oddHBand="0" w:evenHBand="0" w:firstRowFirstColumn="0" w:firstRowLastColumn="0" w:lastRowFirstColumn="0" w:lastRowLastColumn="0"/>
          <w:trHeight w:val="1115"/>
        </w:trPr>
        <w:tc>
          <w:tcPr>
            <w:tcW w:w="1000" w:type="pct"/>
          </w:tcPr>
          <w:p w14:paraId="3FD6449A" w14:textId="77777777" w:rsidR="0081101C" w:rsidRPr="0081101C" w:rsidRDefault="0081101C" w:rsidP="0081101C">
            <w:pPr>
              <w:rPr>
                <w:b w:val="0"/>
                <w:sz w:val="20"/>
                <w:szCs w:val="20"/>
                <w:lang w:val="en-US" w:eastAsia="ja-JP"/>
              </w:rPr>
            </w:pPr>
            <w:r w:rsidRPr="0081101C">
              <w:rPr>
                <w:sz w:val="20"/>
                <w:szCs w:val="20"/>
                <w:lang w:val="en-US" w:eastAsia="ja-JP"/>
              </w:rPr>
              <w:t>Study No.</w:t>
            </w:r>
          </w:p>
        </w:tc>
        <w:tc>
          <w:tcPr>
            <w:tcW w:w="1000" w:type="pct"/>
          </w:tcPr>
          <w:p w14:paraId="1A12981F" w14:textId="703B4263" w:rsidR="0081101C" w:rsidRPr="0081101C" w:rsidRDefault="0081101C" w:rsidP="007E4973">
            <w:pPr>
              <w:ind w:left="0"/>
              <w:rPr>
                <w:b w:val="0"/>
                <w:sz w:val="20"/>
                <w:szCs w:val="20"/>
                <w:lang w:val="en-US" w:eastAsia="ja-JP"/>
              </w:rPr>
            </w:pPr>
            <w:r w:rsidRPr="0081101C">
              <w:rPr>
                <w:sz w:val="20"/>
                <w:szCs w:val="20"/>
                <w:lang w:val="en-US" w:eastAsia="ja-JP"/>
              </w:rPr>
              <w:t xml:space="preserve">Study </w:t>
            </w:r>
            <w:r w:rsidR="007E4973">
              <w:rPr>
                <w:sz w:val="20"/>
                <w:szCs w:val="20"/>
                <w:lang w:val="en-US" w:eastAsia="ja-JP"/>
              </w:rPr>
              <w:t>d</w:t>
            </w:r>
            <w:r w:rsidRPr="0081101C">
              <w:rPr>
                <w:sz w:val="20"/>
                <w:szCs w:val="20"/>
                <w:lang w:val="en-US" w:eastAsia="ja-JP"/>
              </w:rPr>
              <w:t>esign</w:t>
            </w:r>
            <w:bookmarkStart w:id="110" w:name="_TNCFEF25EE3171042E2A324BCAE640FFAD0"/>
            <w:r w:rsidRPr="0081101C">
              <w:rPr>
                <w:sz w:val="20"/>
                <w:szCs w:val="20"/>
                <w:vertAlign w:val="superscript"/>
                <w:lang w:val="en-US" w:eastAsia="ja-JP"/>
              </w:rPr>
              <w:fldChar w:fldCharType="begin"/>
            </w:r>
            <w:r w:rsidRPr="0081101C">
              <w:rPr>
                <w:sz w:val="20"/>
                <w:szCs w:val="20"/>
                <w:vertAlign w:val="superscript"/>
                <w:lang w:val="en-US" w:eastAsia="ja-JP"/>
              </w:rPr>
              <w:instrText xml:space="preserve"> LISTNUM TableNoteAlpha \* MERGEFORMAT \s1</w:instrText>
            </w:r>
            <w:r w:rsidRPr="0081101C">
              <w:rPr>
                <w:sz w:val="20"/>
                <w:szCs w:val="20"/>
                <w:lang w:eastAsia="ja-JP"/>
              </w:rPr>
              <w:fldChar w:fldCharType="end">
                <w:numberingChange w:id="111" w:author="HART, Anna" w:date="2019-02-21T10:31:00Z" w:original="(a)"/>
              </w:fldChar>
            </w:r>
            <w:bookmarkEnd w:id="110"/>
          </w:p>
        </w:tc>
        <w:tc>
          <w:tcPr>
            <w:tcW w:w="1000" w:type="pct"/>
          </w:tcPr>
          <w:p w14:paraId="56629E60" w14:textId="5107E8AF" w:rsidR="0081101C" w:rsidRPr="0081101C" w:rsidRDefault="0081101C" w:rsidP="007E4973">
            <w:pPr>
              <w:ind w:left="0"/>
              <w:rPr>
                <w:b w:val="0"/>
                <w:sz w:val="20"/>
                <w:szCs w:val="20"/>
                <w:lang w:val="en-US" w:eastAsia="ja-JP"/>
              </w:rPr>
            </w:pPr>
            <w:r w:rsidRPr="0081101C">
              <w:rPr>
                <w:sz w:val="20"/>
                <w:szCs w:val="20"/>
                <w:lang w:val="en-US" w:eastAsia="ja-JP"/>
              </w:rPr>
              <w:t>Stu</w:t>
            </w:r>
            <w:r w:rsidR="007E4973">
              <w:rPr>
                <w:sz w:val="20"/>
                <w:szCs w:val="20"/>
                <w:lang w:val="en-US" w:eastAsia="ja-JP"/>
              </w:rPr>
              <w:t>dy o</w:t>
            </w:r>
            <w:r w:rsidRPr="0081101C">
              <w:rPr>
                <w:sz w:val="20"/>
                <w:szCs w:val="20"/>
                <w:lang w:val="en-US" w:eastAsia="ja-JP"/>
              </w:rPr>
              <w:t>bjectives</w:t>
            </w:r>
          </w:p>
        </w:tc>
        <w:tc>
          <w:tcPr>
            <w:tcW w:w="1000" w:type="pct"/>
          </w:tcPr>
          <w:p w14:paraId="20629CCC" w14:textId="146BC2DC" w:rsidR="0081101C" w:rsidRPr="0081101C" w:rsidRDefault="0081101C" w:rsidP="007E4973">
            <w:pPr>
              <w:ind w:left="0"/>
              <w:rPr>
                <w:b w:val="0"/>
                <w:sz w:val="20"/>
                <w:szCs w:val="20"/>
                <w:lang w:val="en-US" w:eastAsia="ja-JP"/>
              </w:rPr>
            </w:pPr>
            <w:r w:rsidRPr="0081101C">
              <w:rPr>
                <w:sz w:val="20"/>
                <w:szCs w:val="20"/>
                <w:lang w:val="en-US" w:eastAsia="ja-JP"/>
              </w:rPr>
              <w:t xml:space="preserve">Tafenoquine </w:t>
            </w:r>
            <w:r w:rsidR="007E4973">
              <w:rPr>
                <w:sz w:val="20"/>
                <w:szCs w:val="20"/>
                <w:lang w:val="en-US" w:eastAsia="ja-JP"/>
              </w:rPr>
              <w:t>doses a</w:t>
            </w:r>
            <w:r w:rsidRPr="0081101C">
              <w:rPr>
                <w:sz w:val="20"/>
                <w:szCs w:val="20"/>
                <w:lang w:val="en-US" w:eastAsia="ja-JP"/>
              </w:rPr>
              <w:t>dministered</w:t>
            </w:r>
          </w:p>
        </w:tc>
        <w:tc>
          <w:tcPr>
            <w:tcW w:w="1000" w:type="pct"/>
          </w:tcPr>
          <w:p w14:paraId="02260260" w14:textId="77777777" w:rsidR="0081101C" w:rsidRPr="0081101C" w:rsidRDefault="0081101C" w:rsidP="007E4973">
            <w:pPr>
              <w:ind w:left="0"/>
              <w:rPr>
                <w:b w:val="0"/>
                <w:sz w:val="20"/>
                <w:szCs w:val="20"/>
                <w:lang w:val="en-US" w:eastAsia="ja-JP"/>
              </w:rPr>
            </w:pPr>
            <w:r w:rsidRPr="0081101C">
              <w:rPr>
                <w:sz w:val="20"/>
                <w:szCs w:val="20"/>
                <w:lang w:val="en-US" w:eastAsia="ja-JP"/>
              </w:rPr>
              <w:t>Population</w:t>
            </w:r>
          </w:p>
        </w:tc>
      </w:tr>
      <w:tr w:rsidR="0081101C" w:rsidRPr="004B4CC5" w14:paraId="0DE7E52D" w14:textId="77777777" w:rsidTr="0081101C">
        <w:tc>
          <w:tcPr>
            <w:tcW w:w="1000" w:type="pct"/>
          </w:tcPr>
          <w:p w14:paraId="3381A129" w14:textId="77777777" w:rsidR="0081101C" w:rsidRPr="0081101C" w:rsidRDefault="0081101C" w:rsidP="0081101C">
            <w:pPr>
              <w:rPr>
                <w:sz w:val="20"/>
                <w:szCs w:val="20"/>
                <w:lang w:val="en-US" w:eastAsia="ja-JP"/>
              </w:rPr>
            </w:pPr>
            <w:r w:rsidRPr="0081101C">
              <w:rPr>
                <w:sz w:val="20"/>
                <w:szCs w:val="20"/>
                <w:lang w:val="en-US" w:eastAsia="ja-JP"/>
              </w:rPr>
              <w:t>047</w:t>
            </w:r>
          </w:p>
        </w:tc>
        <w:tc>
          <w:tcPr>
            <w:tcW w:w="1000" w:type="pct"/>
          </w:tcPr>
          <w:p w14:paraId="0F1067F2" w14:textId="77777777" w:rsidR="0081101C" w:rsidRPr="0081101C" w:rsidRDefault="0081101C" w:rsidP="00C60459">
            <w:pPr>
              <w:ind w:left="0"/>
              <w:rPr>
                <w:sz w:val="20"/>
                <w:szCs w:val="20"/>
                <w:lang w:val="en-US" w:eastAsia="ja-JP"/>
              </w:rPr>
            </w:pPr>
            <w:r w:rsidRPr="0081101C">
              <w:rPr>
                <w:sz w:val="20"/>
                <w:szCs w:val="20"/>
                <w:lang w:val="en-US" w:eastAsia="ja-JP"/>
              </w:rPr>
              <w:t>R, O, NC (CQ)</w:t>
            </w:r>
          </w:p>
        </w:tc>
        <w:tc>
          <w:tcPr>
            <w:tcW w:w="1000" w:type="pct"/>
          </w:tcPr>
          <w:p w14:paraId="03707324" w14:textId="77777777" w:rsidR="0081101C" w:rsidRPr="0081101C" w:rsidRDefault="0081101C" w:rsidP="00C60459">
            <w:pPr>
              <w:ind w:left="0"/>
              <w:rPr>
                <w:sz w:val="20"/>
                <w:szCs w:val="20"/>
                <w:lang w:val="en-US" w:eastAsia="ja-JP"/>
              </w:rPr>
            </w:pPr>
            <w:r w:rsidRPr="0081101C">
              <w:rPr>
                <w:sz w:val="20"/>
                <w:szCs w:val="20"/>
                <w:lang w:val="en-US" w:eastAsia="ja-JP"/>
              </w:rPr>
              <w:t xml:space="preserve">Determine efficacy of various dosing regimens of tafenoquine when combined with chloroquine in preventing relapse of </w:t>
            </w:r>
            <w:r w:rsidR="002352EB" w:rsidRPr="002352EB">
              <w:rPr>
                <w:sz w:val="20"/>
                <w:szCs w:val="20"/>
                <w:lang w:val="en-US" w:eastAsia="ja-JP"/>
              </w:rPr>
              <w:t>Pv</w:t>
            </w:r>
            <w:r w:rsidRPr="0081101C">
              <w:rPr>
                <w:sz w:val="20"/>
                <w:szCs w:val="20"/>
                <w:lang w:val="en-US" w:eastAsia="ja-JP"/>
              </w:rPr>
              <w:t xml:space="preserve"> malaria in Thailand.</w:t>
            </w:r>
          </w:p>
          <w:p w14:paraId="0BFDDB19" w14:textId="77777777" w:rsidR="0081101C" w:rsidRPr="0081101C" w:rsidRDefault="0081101C" w:rsidP="0081101C">
            <w:pPr>
              <w:rPr>
                <w:sz w:val="20"/>
                <w:szCs w:val="20"/>
                <w:lang w:val="en-US" w:eastAsia="ja-JP"/>
              </w:rPr>
            </w:pPr>
            <w:r w:rsidRPr="0081101C">
              <w:rPr>
                <w:sz w:val="20"/>
                <w:szCs w:val="20"/>
                <w:lang w:val="en-US" w:eastAsia="ja-JP"/>
              </w:rPr>
              <w:t>Safety and PK of tafenoquine in normal and infected subjects.</w:t>
            </w:r>
          </w:p>
        </w:tc>
        <w:tc>
          <w:tcPr>
            <w:tcW w:w="1000" w:type="pct"/>
          </w:tcPr>
          <w:p w14:paraId="1DC94CE0" w14:textId="568115B1" w:rsidR="0081101C" w:rsidRPr="0081101C" w:rsidRDefault="0081101C" w:rsidP="00C60459">
            <w:pPr>
              <w:ind w:left="0"/>
              <w:rPr>
                <w:sz w:val="20"/>
                <w:szCs w:val="20"/>
                <w:lang w:val="en-US" w:eastAsia="ja-JP"/>
              </w:rPr>
            </w:pPr>
            <w:r w:rsidRPr="0081101C">
              <w:rPr>
                <w:sz w:val="20"/>
                <w:szCs w:val="20"/>
                <w:lang w:val="en-US" w:eastAsia="ja-JP"/>
              </w:rPr>
              <w:t>500 mg once</w:t>
            </w:r>
            <w:r w:rsidR="00E71EF1">
              <w:rPr>
                <w:sz w:val="20"/>
                <w:szCs w:val="20"/>
                <w:lang w:val="en-US" w:eastAsia="ja-JP"/>
              </w:rPr>
              <w:t xml:space="preserve"> </w:t>
            </w:r>
            <w:r w:rsidRPr="0081101C">
              <w:rPr>
                <w:sz w:val="20"/>
                <w:szCs w:val="20"/>
                <w:lang w:val="en-US" w:eastAsia="ja-JP"/>
              </w:rPr>
              <w:t>or</w:t>
            </w:r>
            <w:r w:rsidR="00E71EF1">
              <w:rPr>
                <w:sz w:val="20"/>
                <w:szCs w:val="20"/>
                <w:lang w:val="en-US" w:eastAsia="ja-JP"/>
              </w:rPr>
              <w:t xml:space="preserve"> </w:t>
            </w:r>
            <w:r w:rsidRPr="0081101C">
              <w:rPr>
                <w:sz w:val="20"/>
                <w:szCs w:val="20"/>
                <w:lang w:val="en-US" w:eastAsia="ja-JP"/>
              </w:rPr>
              <w:t>500 mg x 3</w:t>
            </w:r>
            <w:r w:rsidR="00C60459">
              <w:rPr>
                <w:sz w:val="20"/>
                <w:szCs w:val="20"/>
                <w:lang w:val="en-US" w:eastAsia="ja-JP"/>
              </w:rPr>
              <w:t> </w:t>
            </w:r>
            <w:r w:rsidRPr="0081101C">
              <w:rPr>
                <w:sz w:val="20"/>
                <w:szCs w:val="20"/>
                <w:lang w:val="en-US" w:eastAsia="ja-JP"/>
              </w:rPr>
              <w:t>d</w:t>
            </w:r>
            <w:r w:rsidR="00C60459">
              <w:rPr>
                <w:sz w:val="20"/>
                <w:szCs w:val="20"/>
                <w:lang w:val="en-US" w:eastAsia="ja-JP"/>
              </w:rPr>
              <w:t xml:space="preserve">ays, repeated 1 week later </w:t>
            </w:r>
            <w:r w:rsidRPr="0081101C">
              <w:rPr>
                <w:sz w:val="20"/>
                <w:szCs w:val="20"/>
                <w:lang w:val="en-US" w:eastAsia="ja-JP"/>
              </w:rPr>
              <w:t>or 300 mg daily x 7</w:t>
            </w:r>
            <w:r w:rsidR="00C60459">
              <w:rPr>
                <w:sz w:val="20"/>
                <w:szCs w:val="20"/>
                <w:lang w:val="en-US" w:eastAsia="ja-JP"/>
              </w:rPr>
              <w:t xml:space="preserve"> </w:t>
            </w:r>
            <w:r w:rsidRPr="0081101C">
              <w:rPr>
                <w:sz w:val="20"/>
                <w:szCs w:val="20"/>
                <w:lang w:val="en-US" w:eastAsia="ja-JP"/>
              </w:rPr>
              <w:t>d</w:t>
            </w:r>
            <w:r w:rsidR="00C60459">
              <w:rPr>
                <w:sz w:val="20"/>
                <w:szCs w:val="20"/>
                <w:lang w:val="en-US" w:eastAsia="ja-JP"/>
              </w:rPr>
              <w:t>ays</w:t>
            </w:r>
          </w:p>
        </w:tc>
        <w:tc>
          <w:tcPr>
            <w:tcW w:w="1000" w:type="pct"/>
          </w:tcPr>
          <w:p w14:paraId="4E96E54F" w14:textId="77777777" w:rsidR="0081101C" w:rsidRPr="0081101C" w:rsidRDefault="0081101C" w:rsidP="00C60459">
            <w:pPr>
              <w:ind w:left="0"/>
              <w:rPr>
                <w:sz w:val="20"/>
                <w:szCs w:val="20"/>
                <w:lang w:val="en-US" w:eastAsia="ja-JP"/>
              </w:rPr>
            </w:pPr>
            <w:r w:rsidRPr="0081101C">
              <w:rPr>
                <w:sz w:val="20"/>
                <w:szCs w:val="20"/>
                <w:lang w:val="en-US" w:eastAsia="ja-JP"/>
              </w:rPr>
              <w:t>N=79;</w:t>
            </w:r>
            <w:r w:rsidRPr="0081101C">
              <w:rPr>
                <w:sz w:val="20"/>
                <w:szCs w:val="20"/>
                <w:lang w:val="en-US" w:eastAsia="ja-JP"/>
              </w:rPr>
              <w:br/>
              <w:t>38M/41F</w:t>
            </w:r>
          </w:p>
        </w:tc>
      </w:tr>
      <w:tr w:rsidR="0081101C" w:rsidRPr="004B4CC5" w14:paraId="40A574C3" w14:textId="77777777" w:rsidTr="0081101C">
        <w:tc>
          <w:tcPr>
            <w:tcW w:w="1000" w:type="pct"/>
          </w:tcPr>
          <w:p w14:paraId="144FA67F" w14:textId="77777777" w:rsidR="0081101C" w:rsidRPr="0081101C" w:rsidRDefault="0081101C" w:rsidP="0081101C">
            <w:pPr>
              <w:rPr>
                <w:sz w:val="20"/>
                <w:szCs w:val="20"/>
                <w:lang w:val="en-US" w:eastAsia="ja-JP"/>
              </w:rPr>
            </w:pPr>
            <w:r w:rsidRPr="0081101C">
              <w:rPr>
                <w:sz w:val="20"/>
                <w:szCs w:val="20"/>
                <w:lang w:val="en-US" w:eastAsia="ja-JP"/>
              </w:rPr>
              <w:t>058</w:t>
            </w:r>
          </w:p>
        </w:tc>
        <w:tc>
          <w:tcPr>
            <w:tcW w:w="1000" w:type="pct"/>
          </w:tcPr>
          <w:p w14:paraId="4EB323FD" w14:textId="77777777" w:rsidR="0081101C" w:rsidRPr="0081101C" w:rsidRDefault="0081101C" w:rsidP="0081101C">
            <w:pPr>
              <w:rPr>
                <w:sz w:val="20"/>
                <w:szCs w:val="20"/>
                <w:lang w:val="en-US" w:eastAsia="ja-JP"/>
              </w:rPr>
            </w:pPr>
            <w:r w:rsidRPr="0081101C">
              <w:rPr>
                <w:sz w:val="20"/>
                <w:szCs w:val="20"/>
                <w:lang w:val="en-US" w:eastAsia="ja-JP"/>
              </w:rPr>
              <w:t xml:space="preserve">R, DB, AC, </w:t>
            </w:r>
          </w:p>
        </w:tc>
        <w:tc>
          <w:tcPr>
            <w:tcW w:w="1000" w:type="pct"/>
          </w:tcPr>
          <w:p w14:paraId="4978702F" w14:textId="77777777" w:rsidR="0081101C" w:rsidRPr="0081101C" w:rsidRDefault="0081101C" w:rsidP="00C60459">
            <w:pPr>
              <w:ind w:left="0"/>
              <w:rPr>
                <w:sz w:val="20"/>
                <w:szCs w:val="20"/>
                <w:lang w:val="en-US" w:eastAsia="ja-JP"/>
              </w:rPr>
            </w:pPr>
            <w:r w:rsidRPr="0081101C">
              <w:rPr>
                <w:sz w:val="20"/>
                <w:szCs w:val="20"/>
                <w:lang w:val="en-US" w:eastAsia="ja-JP"/>
              </w:rPr>
              <w:t xml:space="preserve">Assess whether treatment with tafenoquine alone could radically cure </w:t>
            </w:r>
            <w:r w:rsidR="002352EB" w:rsidRPr="002352EB">
              <w:rPr>
                <w:sz w:val="20"/>
                <w:szCs w:val="20"/>
                <w:lang w:val="en-US" w:eastAsia="ja-JP"/>
              </w:rPr>
              <w:t>Pv</w:t>
            </w:r>
            <w:r w:rsidRPr="0081101C">
              <w:rPr>
                <w:sz w:val="20"/>
                <w:szCs w:val="20"/>
                <w:lang w:val="en-US" w:eastAsia="ja-JP"/>
              </w:rPr>
              <w:t xml:space="preserve"> malaria in adults.</w:t>
            </w:r>
          </w:p>
        </w:tc>
        <w:tc>
          <w:tcPr>
            <w:tcW w:w="1000" w:type="pct"/>
          </w:tcPr>
          <w:p w14:paraId="2C749BA9" w14:textId="110E92C6" w:rsidR="0081101C" w:rsidRPr="0081101C" w:rsidRDefault="00C60459" w:rsidP="00C60459">
            <w:pPr>
              <w:ind w:left="0"/>
              <w:rPr>
                <w:sz w:val="20"/>
                <w:szCs w:val="20"/>
                <w:lang w:val="en-US" w:eastAsia="ja-JP"/>
              </w:rPr>
            </w:pPr>
            <w:r>
              <w:rPr>
                <w:sz w:val="20"/>
                <w:szCs w:val="20"/>
                <w:lang w:val="en-US" w:eastAsia="ja-JP"/>
              </w:rPr>
              <w:t>600 mg once or 400 mg daily x </w:t>
            </w:r>
            <w:r w:rsidR="0081101C" w:rsidRPr="0081101C">
              <w:rPr>
                <w:sz w:val="20"/>
                <w:szCs w:val="20"/>
                <w:lang w:val="en-US" w:eastAsia="ja-JP"/>
              </w:rPr>
              <w:t>3 days</w:t>
            </w:r>
          </w:p>
        </w:tc>
        <w:tc>
          <w:tcPr>
            <w:tcW w:w="1000" w:type="pct"/>
          </w:tcPr>
          <w:p w14:paraId="10845B0B" w14:textId="77777777" w:rsidR="0081101C" w:rsidRPr="0081101C" w:rsidRDefault="0081101C" w:rsidP="0081101C">
            <w:pPr>
              <w:rPr>
                <w:sz w:val="20"/>
                <w:szCs w:val="20"/>
                <w:lang w:val="en-US" w:eastAsia="ja-JP"/>
              </w:rPr>
            </w:pPr>
            <w:r w:rsidRPr="0081101C">
              <w:rPr>
                <w:sz w:val="20"/>
                <w:szCs w:val="20"/>
                <w:lang w:val="en-US" w:eastAsia="ja-JP"/>
              </w:rPr>
              <w:t>N=120; 60M/60F</w:t>
            </w:r>
          </w:p>
        </w:tc>
      </w:tr>
    </w:tbl>
    <w:p w14:paraId="267D266C" w14:textId="7AA2159E" w:rsidR="0081101C" w:rsidRDefault="0081101C" w:rsidP="0081101C">
      <w:pPr>
        <w:pStyle w:val="TableDescription"/>
        <w:rPr>
          <w:lang w:val="en-US" w:eastAsia="ja-JP"/>
        </w:rPr>
      </w:pPr>
      <w:r w:rsidRPr="004B4CC5">
        <w:rPr>
          <w:lang w:val="en-US" w:eastAsia="ja-JP"/>
        </w:rPr>
        <w:fldChar w:fldCharType="begin"/>
      </w:r>
      <w:r w:rsidRPr="004B4CC5">
        <w:rPr>
          <w:lang w:val="en-US" w:eastAsia="ja-JP"/>
        </w:rPr>
        <w:instrText xml:space="preserve"> REF _TNCFEF25EE3171042E2A324BCAE640FFAD0  \* MERGEFORMAT </w:instrText>
      </w:r>
      <w:r w:rsidRPr="004B4CC5">
        <w:rPr>
          <w:lang w:val="en-US" w:eastAsia="ja-JP"/>
        </w:rPr>
        <w:fldChar w:fldCharType="separate"/>
      </w:r>
      <w:bookmarkStart w:id="112" w:name="_TN5"/>
      <w:r w:rsidR="00CE218E" w:rsidRPr="00CE218E">
        <w:rPr>
          <w:vertAlign w:val="superscript"/>
          <w:lang w:val="en-US" w:eastAsia="ja-JP"/>
        </w:rPr>
        <w:t>(</w:t>
      </w:r>
      <w:proofErr w:type="gramStart"/>
      <w:r w:rsidR="00CE218E" w:rsidRPr="00CE218E">
        <w:rPr>
          <w:vertAlign w:val="superscript"/>
          <w:lang w:val="en-US" w:eastAsia="ja-JP"/>
        </w:rPr>
        <w:t>a</w:t>
      </w:r>
      <w:proofErr w:type="gramEnd"/>
      <w:r w:rsidR="00CE218E">
        <w:rPr>
          <w:sz w:val="20"/>
          <w:szCs w:val="20"/>
          <w:vertAlign w:val="superscript"/>
          <w:lang w:val="en-US" w:eastAsia="ja-JP"/>
        </w:rPr>
        <w:t>)</w:t>
      </w:r>
      <w:bookmarkEnd w:id="112"/>
      <w:r w:rsidRPr="004B4CC5">
        <w:rPr>
          <w:lang w:eastAsia="ja-JP"/>
        </w:rPr>
        <w:fldChar w:fldCharType="end"/>
      </w:r>
      <w:r w:rsidRPr="004B4CC5">
        <w:rPr>
          <w:lang w:val="en-US" w:eastAsia="ja-JP"/>
        </w:rPr>
        <w:t>R=</w:t>
      </w:r>
      <w:proofErr w:type="spellStart"/>
      <w:r w:rsidR="007E4973" w:rsidRPr="004B4CC5">
        <w:rPr>
          <w:lang w:val="en-US" w:eastAsia="ja-JP"/>
        </w:rPr>
        <w:t>Randomi</w:t>
      </w:r>
      <w:r w:rsidR="007E4973">
        <w:rPr>
          <w:lang w:val="en-US" w:eastAsia="ja-JP"/>
        </w:rPr>
        <w:t>s</w:t>
      </w:r>
      <w:r w:rsidR="007E4973" w:rsidRPr="004B4CC5">
        <w:rPr>
          <w:lang w:val="en-US" w:eastAsia="ja-JP"/>
        </w:rPr>
        <w:t>ed</w:t>
      </w:r>
      <w:proofErr w:type="spellEnd"/>
      <w:r w:rsidRPr="004B4CC5">
        <w:rPr>
          <w:lang w:val="en-US" w:eastAsia="ja-JP"/>
        </w:rPr>
        <w:t>; O=Open label; DB=Double blind; NC=Negative control; CQ=Chloroquine; AC=Active control</w:t>
      </w:r>
      <w:r>
        <w:rPr>
          <w:lang w:val="en-US" w:eastAsia="ja-JP"/>
        </w:rPr>
        <w:t>.</w:t>
      </w:r>
    </w:p>
    <w:p w14:paraId="2A37BEF3" w14:textId="140F5C71" w:rsidR="0081101C" w:rsidRDefault="0081101C" w:rsidP="0081101C">
      <w:pPr>
        <w:pStyle w:val="TableTitle"/>
      </w:pPr>
      <w:r w:rsidRPr="0081101C">
        <w:lastRenderedPageBreak/>
        <w:t xml:space="preserve">Table </w:t>
      </w:r>
      <w:r>
        <w:t>1</w:t>
      </w:r>
      <w:r w:rsidR="00B52F8D">
        <w:t>2</w:t>
      </w:r>
      <w:r>
        <w:t>:</w:t>
      </w:r>
      <w:r w:rsidRPr="0081101C">
        <w:t xml:space="preserve"> Summary of </w:t>
      </w:r>
      <w:r w:rsidR="007E4973">
        <w:t>s</w:t>
      </w:r>
      <w:r w:rsidR="007E4973" w:rsidRPr="0081101C">
        <w:t xml:space="preserve">tudies </w:t>
      </w:r>
      <w:r w:rsidRPr="0081101C">
        <w:t xml:space="preserve">and </w:t>
      </w:r>
      <w:r w:rsidR="007E4973">
        <w:t>d</w:t>
      </w:r>
      <w:r w:rsidR="007E4973" w:rsidRPr="0081101C">
        <w:t>esign</w:t>
      </w:r>
    </w:p>
    <w:p w14:paraId="37A52F38" w14:textId="77777777" w:rsidR="0081101C" w:rsidRPr="00A55675" w:rsidRDefault="0081101C" w:rsidP="00E37C05">
      <w:r w:rsidRPr="00A4056E">
        <w:rPr>
          <w:noProof/>
          <w:lang w:eastAsia="en-AU"/>
        </w:rPr>
        <w:drawing>
          <wp:inline distT="0" distB="0" distL="0" distR="0" wp14:anchorId="56AFCFA3" wp14:editId="31BD8DD6">
            <wp:extent cx="5400040" cy="2883338"/>
            <wp:effectExtent l="0" t="0" r="0" b="0"/>
            <wp:docPr id="41" name="Picture 41" descr="Summary of Studies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400040" cy="2883338"/>
                    </a:xfrm>
                    <a:prstGeom prst="rect">
                      <a:avLst/>
                    </a:prstGeom>
                    <a:noFill/>
                    <a:ln>
                      <a:noFill/>
                    </a:ln>
                  </pic:spPr>
                </pic:pic>
              </a:graphicData>
            </a:graphic>
          </wp:inline>
        </w:drawing>
      </w:r>
    </w:p>
    <w:p w14:paraId="571140FF" w14:textId="77777777" w:rsidR="00605AD4" w:rsidRDefault="00605AD4" w:rsidP="00605AD4">
      <w:pPr>
        <w:pStyle w:val="Heading4"/>
      </w:pPr>
      <w:r w:rsidRPr="00605AD4">
        <w:t>Paediatric data</w:t>
      </w:r>
    </w:p>
    <w:p w14:paraId="4BF765AE" w14:textId="06E076ED" w:rsidR="00023DE8" w:rsidRPr="00DE181D" w:rsidRDefault="00023DE8" w:rsidP="00E37C05">
      <w:pPr>
        <w:rPr>
          <w:lang w:eastAsia="ja-JP"/>
        </w:rPr>
      </w:pPr>
      <w:r>
        <w:rPr>
          <w:lang w:eastAsia="ja-JP"/>
        </w:rPr>
        <w:t>There were 229 adolescent subjects (ages 12 to 17 years</w:t>
      </w:r>
      <w:r w:rsidR="0029187B">
        <w:rPr>
          <w:lang w:eastAsia="ja-JP"/>
        </w:rPr>
        <w:t>) and 1 paediatric subject (age </w:t>
      </w:r>
      <w:r w:rsidR="0029187B" w:rsidRPr="00DE181D">
        <w:rPr>
          <w:lang w:eastAsia="ja-JP"/>
        </w:rPr>
        <w:t>4 </w:t>
      </w:r>
      <w:r w:rsidRPr="00DE181D">
        <w:rPr>
          <w:lang w:eastAsia="ja-JP"/>
        </w:rPr>
        <w:t>years) received various doses of tafenoquine in 6 studies (Studies 006, 030, 036, 043, 045, and 047). The majority of these subjects (n=216) were e</w:t>
      </w:r>
      <w:r w:rsidR="0029187B" w:rsidRPr="00DE181D">
        <w:rPr>
          <w:lang w:eastAsia="ja-JP"/>
        </w:rPr>
        <w:t>nrolled in Study 006, with only 1 </w:t>
      </w:r>
      <w:r w:rsidRPr="00DE181D">
        <w:rPr>
          <w:lang w:eastAsia="ja-JP"/>
        </w:rPr>
        <w:t>or 2 subjects included in each of the remaining 5 studies. Only one subject</w:t>
      </w:r>
      <w:r w:rsidR="004415DE" w:rsidRPr="00DE181D">
        <w:rPr>
          <w:lang w:eastAsia="ja-JP"/>
        </w:rPr>
        <w:t xml:space="preserve"> </w:t>
      </w:r>
      <w:r w:rsidRPr="00DE181D">
        <w:rPr>
          <w:lang w:eastAsia="ja-JP"/>
        </w:rPr>
        <w:t>was under age 12; the remaining 223 subjects were 12</w:t>
      </w:r>
      <w:r w:rsidR="0029187B" w:rsidRPr="00DE181D">
        <w:rPr>
          <w:lang w:eastAsia="ja-JP"/>
        </w:rPr>
        <w:t xml:space="preserve"> to </w:t>
      </w:r>
      <w:r w:rsidRPr="00DE181D">
        <w:rPr>
          <w:lang w:eastAsia="ja-JP"/>
        </w:rPr>
        <w:t xml:space="preserve">17 years of age. </w:t>
      </w:r>
    </w:p>
    <w:p w14:paraId="6D04A564" w14:textId="5FB28EBB" w:rsidR="00023DE8" w:rsidRPr="00DE181D" w:rsidRDefault="00023DE8" w:rsidP="00E37C05">
      <w:pPr>
        <w:rPr>
          <w:lang w:eastAsia="ja-JP"/>
        </w:rPr>
      </w:pPr>
      <w:r w:rsidRPr="00DE181D">
        <w:rPr>
          <w:lang w:eastAsia="ja-JP"/>
        </w:rPr>
        <w:t>This application is not for use in children, only in adults</w:t>
      </w:r>
      <w:r w:rsidR="00EA4615" w:rsidRPr="00DE181D">
        <w:rPr>
          <w:lang w:eastAsia="ja-JP"/>
        </w:rPr>
        <w:t>,</w:t>
      </w:r>
      <w:r w:rsidR="002B4B0B" w:rsidRPr="00DE181D">
        <w:rPr>
          <w:lang w:eastAsia="ja-JP"/>
        </w:rPr>
        <w:t xml:space="preserve"> as the sponsor </w:t>
      </w:r>
      <w:r w:rsidR="00EA4615" w:rsidRPr="00DE181D">
        <w:rPr>
          <w:lang w:eastAsia="ja-JP"/>
        </w:rPr>
        <w:t>believes additional</w:t>
      </w:r>
      <w:r w:rsidR="002B4B0B" w:rsidRPr="00DE181D">
        <w:rPr>
          <w:lang w:eastAsia="ja-JP"/>
        </w:rPr>
        <w:t xml:space="preserve"> </w:t>
      </w:r>
      <w:r w:rsidR="00EA4615" w:rsidRPr="00DE181D">
        <w:rPr>
          <w:lang w:eastAsia="ja-JP"/>
        </w:rPr>
        <w:t>p</w:t>
      </w:r>
      <w:r w:rsidR="00A8109F" w:rsidRPr="00DE181D">
        <w:rPr>
          <w:lang w:eastAsia="ja-JP"/>
        </w:rPr>
        <w:t>a</w:t>
      </w:r>
      <w:r w:rsidR="00EA4615" w:rsidRPr="00DE181D">
        <w:rPr>
          <w:lang w:eastAsia="ja-JP"/>
        </w:rPr>
        <w:t xml:space="preserve">ediatric data are required to confirm the safety and tolerability of the approved adult dose in children. Further </w:t>
      </w:r>
      <w:r w:rsidR="002B4B0B" w:rsidRPr="00DE181D">
        <w:rPr>
          <w:lang w:eastAsia="ja-JP"/>
        </w:rPr>
        <w:t>paediatric studies are planned under an FDA approved p</w:t>
      </w:r>
      <w:r w:rsidR="00A8109F" w:rsidRPr="00DE181D">
        <w:rPr>
          <w:lang w:eastAsia="ja-JP"/>
        </w:rPr>
        <w:t>a</w:t>
      </w:r>
      <w:r w:rsidR="002B4B0B" w:rsidRPr="00DE181D">
        <w:rPr>
          <w:lang w:eastAsia="ja-JP"/>
        </w:rPr>
        <w:t>ediatric study plan</w:t>
      </w:r>
    </w:p>
    <w:p w14:paraId="6649DDB8" w14:textId="77777777" w:rsidR="00605AD4" w:rsidRDefault="00605AD4" w:rsidP="00605AD4">
      <w:pPr>
        <w:pStyle w:val="Heading4"/>
      </w:pPr>
      <w:r w:rsidRPr="00DE181D">
        <w:t>Good clinical practice</w:t>
      </w:r>
    </w:p>
    <w:p w14:paraId="3ACBC75E" w14:textId="77777777" w:rsidR="00023DE8" w:rsidRDefault="00023DE8" w:rsidP="00E37C05">
      <w:pPr>
        <w:rPr>
          <w:lang w:eastAsia="ja-JP"/>
        </w:rPr>
      </w:pPr>
      <w:r>
        <w:t>Most studies</w:t>
      </w:r>
      <w:r w:rsidRPr="00C37A1D">
        <w:t xml:space="preserve"> state </w:t>
      </w:r>
      <w:r>
        <w:t>that they have</w:t>
      </w:r>
      <w:r w:rsidRPr="00C37A1D">
        <w:t xml:space="preserve"> complied with </w:t>
      </w:r>
      <w:r w:rsidRPr="0029187B">
        <w:t>Guidance on Good Clinical Practice</w:t>
      </w:r>
      <w:r>
        <w:rPr>
          <w:i/>
        </w:rPr>
        <w:t xml:space="preserve"> </w:t>
      </w:r>
      <w:r>
        <w:t>in</w:t>
      </w:r>
      <w:r w:rsidR="0020528D" w:rsidRPr="0020528D">
        <w:t xml:space="preserve"> </w:t>
      </w:r>
      <w:r>
        <w:t>the study report</w:t>
      </w:r>
      <w:r w:rsidRPr="00C37A1D">
        <w:t xml:space="preserve">. </w:t>
      </w:r>
      <w:r>
        <w:rPr>
          <w:lang w:eastAsia="ja-JP"/>
        </w:rPr>
        <w:t xml:space="preserve">For </w:t>
      </w:r>
      <w:r w:rsidR="00E37C05">
        <w:rPr>
          <w:lang w:eastAsia="ja-JP"/>
        </w:rPr>
        <w:t>S</w:t>
      </w:r>
      <w:r>
        <w:rPr>
          <w:lang w:eastAsia="ja-JP"/>
        </w:rPr>
        <w:t>tudies 051, 052, 053, 054 there is no statement about compliance with good clinical practice. These were conducted in the 1990s (which may be the explanation). The other studies have a statement of being conducted in accordance with good clinical practice.</w:t>
      </w:r>
    </w:p>
    <w:p w14:paraId="1FAF6FE0" w14:textId="77777777" w:rsidR="008E7846" w:rsidRDefault="008E7846" w:rsidP="00605AD4">
      <w:pPr>
        <w:pStyle w:val="Heading3"/>
      </w:pPr>
      <w:bookmarkStart w:id="113" w:name="_Toc12348783"/>
      <w:r w:rsidRPr="00254787">
        <w:t>Pharmacokinetics</w:t>
      </w:r>
      <w:bookmarkEnd w:id="67"/>
      <w:bookmarkEnd w:id="75"/>
      <w:bookmarkEnd w:id="76"/>
      <w:bookmarkEnd w:id="77"/>
      <w:bookmarkEnd w:id="113"/>
    </w:p>
    <w:p w14:paraId="286396A7" w14:textId="77777777" w:rsidR="00605AD4" w:rsidRDefault="00605AD4" w:rsidP="00605AD4">
      <w:pPr>
        <w:pStyle w:val="Heading4"/>
      </w:pPr>
      <w:r>
        <w:t>Studies</w:t>
      </w:r>
      <w:r w:rsidR="00500337">
        <w:t xml:space="preserve"> providing pharmacokinetic data</w:t>
      </w:r>
    </w:p>
    <w:p w14:paraId="0F9759F1" w14:textId="361A7E7D" w:rsidR="00023DE8" w:rsidRDefault="00023DE8" w:rsidP="00E37C05">
      <w:pPr>
        <w:rPr>
          <w:lang w:eastAsia="ja-JP"/>
        </w:rPr>
      </w:pPr>
      <w:r>
        <w:rPr>
          <w:lang w:eastAsia="ja-JP"/>
        </w:rPr>
        <w:t>The safety and PK of single tafenoquine doses in healthy individuals were assessed in Studies 050, 052, 003 and 022. Studies 050 and 052 assessed the safety and tolerability of single-dose tafenoquine and the kinetics of the study drug as secondary and primary objectives respectively. Effect of food on the PK of single dose tafenoquine was assessed in Study 022. Different loading doses in healthy indivi</w:t>
      </w:r>
      <w:r w:rsidR="0029187B">
        <w:rPr>
          <w:lang w:eastAsia="ja-JP"/>
        </w:rPr>
        <w:t>duals were evaluated in Studies </w:t>
      </w:r>
      <w:r>
        <w:rPr>
          <w:lang w:eastAsia="ja-JP"/>
        </w:rPr>
        <w:t xml:space="preserve">TAF114582 and 014; different weekly regimens in healthy individuals were evaluated in Study 051. In each, the safety, tolerability and PK of the drug were assessed. Pharmacological parameters were examined in a number of studies that were performed to determine efficacy of tafenoquine. PK data from prophylactic, treatment and challenge </w:t>
      </w:r>
      <w:r>
        <w:rPr>
          <w:lang w:eastAsia="ja-JP"/>
        </w:rPr>
        <w:lastRenderedPageBreak/>
        <w:t xml:space="preserve">studies were assessed in Studies 053, 054, 006, 030, 033, 044, 049, 047, 043, and 058. Because prophylaxis is indicated for healthy individuals, all of these studies except study 058 were performed in healthy populations. Study 058 was conducted in participants with confirmed symptomatic Pv. PK-PD data </w:t>
      </w:r>
      <w:r w:rsidR="00980FDF">
        <w:rPr>
          <w:lang w:eastAsia="ja-JP"/>
        </w:rPr>
        <w:t xml:space="preserve">was reported </w:t>
      </w:r>
      <w:r>
        <w:rPr>
          <w:lang w:eastAsia="ja-JP"/>
        </w:rPr>
        <w:t xml:space="preserve">in </w:t>
      </w:r>
      <w:r w:rsidR="00E37C05">
        <w:rPr>
          <w:lang w:eastAsia="ja-JP"/>
        </w:rPr>
        <w:t>S</w:t>
      </w:r>
      <w:r>
        <w:rPr>
          <w:lang w:eastAsia="ja-JP"/>
        </w:rPr>
        <w:t>tudy TAF112582. In 3 other studies (</w:t>
      </w:r>
      <w:r w:rsidR="00FB59B4">
        <w:rPr>
          <w:lang w:eastAsia="ja-JP"/>
        </w:rPr>
        <w:t xml:space="preserve">Studies </w:t>
      </w:r>
      <w:r>
        <w:rPr>
          <w:lang w:eastAsia="ja-JP"/>
        </w:rPr>
        <w:t>001, 036, 043) PK data could not be obtained for procedural reasons, even though it was intended.</w:t>
      </w:r>
    </w:p>
    <w:p w14:paraId="3C621ACA" w14:textId="710FA8C8" w:rsidR="00023DE8" w:rsidRPr="00F32DAA" w:rsidRDefault="00023DE8" w:rsidP="00F32DAA">
      <w:pPr>
        <w:pStyle w:val="TableTitle"/>
      </w:pPr>
      <w:bookmarkStart w:id="114" w:name="_Toc504229422"/>
      <w:bookmarkStart w:id="115" w:name="_Toc501293672"/>
      <w:r>
        <w:t xml:space="preserve">Table </w:t>
      </w:r>
      <w:r w:rsidR="0081101C">
        <w:t>1</w:t>
      </w:r>
      <w:r w:rsidR="00B52F8D">
        <w:t>3</w:t>
      </w:r>
      <w:r w:rsidR="00F32DAA">
        <w:t>:</w:t>
      </w:r>
      <w:r>
        <w:t xml:space="preserve"> Submitted pharmacokinetic studies</w:t>
      </w:r>
      <w:bookmarkEnd w:id="114"/>
      <w:bookmarkEnd w:id="115"/>
    </w:p>
    <w:tbl>
      <w:tblPr>
        <w:tblStyle w:val="TableTGAblue"/>
        <w:tblW w:w="8472" w:type="dxa"/>
        <w:tblLayout w:type="fixed"/>
        <w:tblLook w:val="04A0" w:firstRow="1" w:lastRow="0" w:firstColumn="1" w:lastColumn="0" w:noHBand="0" w:noVBand="1"/>
      </w:tblPr>
      <w:tblGrid>
        <w:gridCol w:w="2093"/>
        <w:gridCol w:w="2551"/>
        <w:gridCol w:w="2694"/>
        <w:gridCol w:w="1134"/>
      </w:tblGrid>
      <w:tr w:rsidR="00F32DAA" w:rsidRPr="00C37A1D" w14:paraId="0BFD1999" w14:textId="77777777" w:rsidTr="00980FDF">
        <w:trPr>
          <w:cnfStyle w:val="100000000000" w:firstRow="1" w:lastRow="0" w:firstColumn="0" w:lastColumn="0" w:oddVBand="0" w:evenVBand="0" w:oddHBand="0" w:evenHBand="0" w:firstRowFirstColumn="0" w:firstRowLastColumn="0" w:lastRowFirstColumn="0" w:lastRowLastColumn="0"/>
        </w:trPr>
        <w:tc>
          <w:tcPr>
            <w:tcW w:w="2093" w:type="dxa"/>
          </w:tcPr>
          <w:p w14:paraId="1AAA7F9E" w14:textId="77777777" w:rsidR="00F32DAA" w:rsidRPr="00F32DAA" w:rsidRDefault="00F32DAA" w:rsidP="00F32DAA">
            <w:pPr>
              <w:rPr>
                <w:b w:val="0"/>
                <w:sz w:val="20"/>
                <w:szCs w:val="20"/>
              </w:rPr>
            </w:pPr>
            <w:r w:rsidRPr="00F32DAA">
              <w:rPr>
                <w:sz w:val="20"/>
                <w:szCs w:val="20"/>
              </w:rPr>
              <w:t>PK topic</w:t>
            </w:r>
          </w:p>
        </w:tc>
        <w:tc>
          <w:tcPr>
            <w:tcW w:w="2551" w:type="dxa"/>
          </w:tcPr>
          <w:p w14:paraId="19EE87C6" w14:textId="77777777" w:rsidR="00F32DAA" w:rsidRPr="00F32DAA" w:rsidRDefault="00F32DAA" w:rsidP="00F32DAA">
            <w:pPr>
              <w:rPr>
                <w:b w:val="0"/>
                <w:sz w:val="20"/>
                <w:szCs w:val="20"/>
              </w:rPr>
            </w:pPr>
            <w:r w:rsidRPr="00F32DAA">
              <w:rPr>
                <w:sz w:val="20"/>
                <w:szCs w:val="20"/>
              </w:rPr>
              <w:t>Subtopic</w:t>
            </w:r>
          </w:p>
        </w:tc>
        <w:tc>
          <w:tcPr>
            <w:tcW w:w="2694" w:type="dxa"/>
          </w:tcPr>
          <w:p w14:paraId="6EDB7352" w14:textId="77777777" w:rsidR="00F32DAA" w:rsidRPr="00F32DAA" w:rsidRDefault="00F32DAA" w:rsidP="00F32DAA">
            <w:pPr>
              <w:rPr>
                <w:b w:val="0"/>
                <w:sz w:val="20"/>
                <w:szCs w:val="20"/>
              </w:rPr>
            </w:pPr>
            <w:r w:rsidRPr="00F32DAA">
              <w:rPr>
                <w:sz w:val="20"/>
                <w:szCs w:val="20"/>
              </w:rPr>
              <w:t>Study ID</w:t>
            </w:r>
          </w:p>
        </w:tc>
        <w:tc>
          <w:tcPr>
            <w:tcW w:w="1134" w:type="dxa"/>
          </w:tcPr>
          <w:p w14:paraId="73E3FA0F" w14:textId="77777777" w:rsidR="00F32DAA" w:rsidRPr="00F32DAA" w:rsidRDefault="00F32DAA" w:rsidP="00F32DAA">
            <w:pPr>
              <w:rPr>
                <w:b w:val="0"/>
                <w:sz w:val="20"/>
                <w:szCs w:val="20"/>
              </w:rPr>
            </w:pPr>
            <w:r w:rsidRPr="00F32DAA">
              <w:rPr>
                <w:sz w:val="20"/>
                <w:szCs w:val="20"/>
              </w:rPr>
              <w:t>*</w:t>
            </w:r>
          </w:p>
        </w:tc>
      </w:tr>
      <w:tr w:rsidR="00F32DAA" w:rsidRPr="00C37A1D" w14:paraId="783C3A17" w14:textId="77777777" w:rsidTr="00980FDF">
        <w:tc>
          <w:tcPr>
            <w:tcW w:w="2093" w:type="dxa"/>
            <w:vMerge w:val="restart"/>
          </w:tcPr>
          <w:p w14:paraId="07CBB7B6" w14:textId="77777777" w:rsidR="00F32DAA" w:rsidRPr="00F32DAA" w:rsidRDefault="00F32DAA" w:rsidP="00F32DAA">
            <w:pPr>
              <w:rPr>
                <w:b/>
                <w:sz w:val="20"/>
                <w:szCs w:val="20"/>
              </w:rPr>
            </w:pPr>
            <w:r w:rsidRPr="00F32DAA">
              <w:rPr>
                <w:b/>
                <w:sz w:val="20"/>
                <w:szCs w:val="20"/>
              </w:rPr>
              <w:t>PK in healthy adults</w:t>
            </w:r>
          </w:p>
        </w:tc>
        <w:tc>
          <w:tcPr>
            <w:tcW w:w="2551" w:type="dxa"/>
          </w:tcPr>
          <w:p w14:paraId="2D536C47" w14:textId="7BA4330B" w:rsidR="00F32DAA" w:rsidRPr="00F32DAA" w:rsidRDefault="00F32DAA" w:rsidP="0029187B">
            <w:pPr>
              <w:rPr>
                <w:sz w:val="20"/>
                <w:szCs w:val="20"/>
              </w:rPr>
            </w:pPr>
            <w:r w:rsidRPr="00F32DAA">
              <w:rPr>
                <w:sz w:val="20"/>
                <w:szCs w:val="20"/>
              </w:rPr>
              <w:t>General PK</w:t>
            </w:r>
            <w:r w:rsidR="0029187B">
              <w:rPr>
                <w:sz w:val="20"/>
                <w:szCs w:val="20"/>
              </w:rPr>
              <w:t xml:space="preserve"> (s</w:t>
            </w:r>
            <w:r w:rsidR="0029187B" w:rsidRPr="00F32DAA">
              <w:rPr>
                <w:sz w:val="20"/>
                <w:szCs w:val="20"/>
              </w:rPr>
              <w:t xml:space="preserve">ingle </w:t>
            </w:r>
            <w:r w:rsidRPr="00F32DAA">
              <w:rPr>
                <w:sz w:val="20"/>
                <w:szCs w:val="20"/>
              </w:rPr>
              <w:t>dose</w:t>
            </w:r>
            <w:r w:rsidR="0029187B">
              <w:rPr>
                <w:sz w:val="20"/>
                <w:szCs w:val="20"/>
              </w:rPr>
              <w:t>)</w:t>
            </w:r>
          </w:p>
        </w:tc>
        <w:tc>
          <w:tcPr>
            <w:tcW w:w="2694" w:type="dxa"/>
          </w:tcPr>
          <w:p w14:paraId="746DAB3E" w14:textId="77777777" w:rsidR="00F32DAA" w:rsidRPr="00F32DAA" w:rsidRDefault="00F32DAA" w:rsidP="00F32DAA">
            <w:pPr>
              <w:rPr>
                <w:sz w:val="20"/>
                <w:szCs w:val="20"/>
              </w:rPr>
            </w:pPr>
            <w:r w:rsidRPr="00F32DAA">
              <w:rPr>
                <w:sz w:val="20"/>
                <w:szCs w:val="20"/>
              </w:rPr>
              <w:t>050</w:t>
            </w:r>
          </w:p>
          <w:p w14:paraId="2E4F665B" w14:textId="77777777" w:rsidR="00F32DAA" w:rsidRPr="00F32DAA" w:rsidRDefault="00F32DAA" w:rsidP="00F32DAA">
            <w:pPr>
              <w:rPr>
                <w:sz w:val="20"/>
                <w:szCs w:val="20"/>
              </w:rPr>
            </w:pPr>
            <w:r w:rsidRPr="00F32DAA">
              <w:rPr>
                <w:sz w:val="20"/>
                <w:szCs w:val="20"/>
              </w:rPr>
              <w:t>052</w:t>
            </w:r>
          </w:p>
          <w:p w14:paraId="37167C36" w14:textId="77777777" w:rsidR="00F32DAA" w:rsidRPr="00F32DAA" w:rsidRDefault="00F32DAA" w:rsidP="00F32DAA">
            <w:pPr>
              <w:rPr>
                <w:sz w:val="20"/>
                <w:szCs w:val="20"/>
              </w:rPr>
            </w:pPr>
            <w:r w:rsidRPr="00F32DAA">
              <w:rPr>
                <w:sz w:val="20"/>
                <w:szCs w:val="20"/>
              </w:rPr>
              <w:t>022</w:t>
            </w:r>
          </w:p>
        </w:tc>
        <w:tc>
          <w:tcPr>
            <w:tcW w:w="1134" w:type="dxa"/>
          </w:tcPr>
          <w:p w14:paraId="74A80492" w14:textId="77777777" w:rsidR="00F32DAA" w:rsidRPr="00F32DAA" w:rsidRDefault="00F32DAA" w:rsidP="00F32DAA">
            <w:pPr>
              <w:rPr>
                <w:sz w:val="20"/>
                <w:szCs w:val="20"/>
              </w:rPr>
            </w:pPr>
            <w:r w:rsidRPr="00F32DAA">
              <w:rPr>
                <w:sz w:val="20"/>
                <w:szCs w:val="20"/>
              </w:rPr>
              <w:t>*</w:t>
            </w:r>
          </w:p>
          <w:p w14:paraId="6CC456E3" w14:textId="77777777" w:rsidR="00F32DAA" w:rsidRPr="00F32DAA" w:rsidRDefault="00F32DAA" w:rsidP="00F32DAA">
            <w:pPr>
              <w:rPr>
                <w:sz w:val="20"/>
                <w:szCs w:val="20"/>
              </w:rPr>
            </w:pPr>
            <w:r w:rsidRPr="00F32DAA">
              <w:rPr>
                <w:sz w:val="20"/>
                <w:szCs w:val="20"/>
              </w:rPr>
              <w:t>*</w:t>
            </w:r>
          </w:p>
          <w:p w14:paraId="43463A6D" w14:textId="77777777" w:rsidR="00F32DAA" w:rsidRPr="00F32DAA" w:rsidRDefault="00F32DAA" w:rsidP="00F32DAA">
            <w:pPr>
              <w:rPr>
                <w:sz w:val="20"/>
                <w:szCs w:val="20"/>
              </w:rPr>
            </w:pPr>
            <w:r w:rsidRPr="00F32DAA">
              <w:rPr>
                <w:sz w:val="20"/>
                <w:szCs w:val="20"/>
              </w:rPr>
              <w:t>*</w:t>
            </w:r>
          </w:p>
        </w:tc>
      </w:tr>
      <w:tr w:rsidR="00F32DAA" w:rsidRPr="00C37A1D" w14:paraId="400A674E" w14:textId="77777777" w:rsidTr="00980FDF">
        <w:tc>
          <w:tcPr>
            <w:tcW w:w="2093" w:type="dxa"/>
            <w:vMerge/>
          </w:tcPr>
          <w:p w14:paraId="398D8409" w14:textId="77777777" w:rsidR="00F32DAA" w:rsidRPr="00F32DAA" w:rsidRDefault="00F32DAA" w:rsidP="00F32DAA">
            <w:pPr>
              <w:rPr>
                <w:b/>
                <w:sz w:val="20"/>
                <w:szCs w:val="20"/>
              </w:rPr>
            </w:pPr>
          </w:p>
        </w:tc>
        <w:tc>
          <w:tcPr>
            <w:tcW w:w="2551" w:type="dxa"/>
          </w:tcPr>
          <w:p w14:paraId="050F1488" w14:textId="763933B9" w:rsidR="00F32DAA" w:rsidRPr="00F32DAA" w:rsidRDefault="0029187B" w:rsidP="0029187B">
            <w:pPr>
              <w:rPr>
                <w:sz w:val="20"/>
                <w:szCs w:val="20"/>
              </w:rPr>
            </w:pPr>
            <w:r w:rsidRPr="00F32DAA">
              <w:rPr>
                <w:sz w:val="20"/>
                <w:szCs w:val="20"/>
              </w:rPr>
              <w:t>General PK</w:t>
            </w:r>
            <w:r>
              <w:rPr>
                <w:sz w:val="20"/>
                <w:szCs w:val="20"/>
              </w:rPr>
              <w:t xml:space="preserve"> (m</w:t>
            </w:r>
            <w:r w:rsidRPr="00F32DAA">
              <w:rPr>
                <w:sz w:val="20"/>
                <w:szCs w:val="20"/>
              </w:rPr>
              <w:t>ulti</w:t>
            </w:r>
            <w:r w:rsidR="00F32DAA" w:rsidRPr="00F32DAA">
              <w:rPr>
                <w:sz w:val="20"/>
                <w:szCs w:val="20"/>
              </w:rPr>
              <w:t>-dose</w:t>
            </w:r>
            <w:r>
              <w:rPr>
                <w:sz w:val="20"/>
                <w:szCs w:val="20"/>
              </w:rPr>
              <w:t>)</w:t>
            </w:r>
          </w:p>
        </w:tc>
        <w:tc>
          <w:tcPr>
            <w:tcW w:w="2694" w:type="dxa"/>
          </w:tcPr>
          <w:p w14:paraId="2E934EEB" w14:textId="77777777" w:rsidR="00F32DAA" w:rsidRPr="00F32DAA" w:rsidRDefault="00F32DAA" w:rsidP="00F32DAA">
            <w:pPr>
              <w:rPr>
                <w:sz w:val="20"/>
                <w:szCs w:val="20"/>
              </w:rPr>
            </w:pPr>
            <w:r w:rsidRPr="00F32DAA">
              <w:rPr>
                <w:sz w:val="20"/>
                <w:szCs w:val="20"/>
              </w:rPr>
              <w:t>051</w:t>
            </w:r>
          </w:p>
          <w:p w14:paraId="644758F9" w14:textId="77777777" w:rsidR="00F32DAA" w:rsidRPr="00F32DAA" w:rsidRDefault="00F32DAA" w:rsidP="00F32DAA">
            <w:pPr>
              <w:rPr>
                <w:sz w:val="20"/>
                <w:szCs w:val="20"/>
              </w:rPr>
            </w:pPr>
            <w:r w:rsidRPr="00F32DAA">
              <w:rPr>
                <w:sz w:val="20"/>
                <w:szCs w:val="20"/>
              </w:rPr>
              <w:t>TAF114582</w:t>
            </w:r>
          </w:p>
          <w:p w14:paraId="202D2CDD" w14:textId="77777777" w:rsidR="00F32DAA" w:rsidRPr="00F32DAA" w:rsidRDefault="00F32DAA" w:rsidP="00F32DAA">
            <w:pPr>
              <w:rPr>
                <w:sz w:val="20"/>
                <w:szCs w:val="20"/>
              </w:rPr>
            </w:pPr>
            <w:r w:rsidRPr="00F32DAA">
              <w:rPr>
                <w:sz w:val="20"/>
                <w:szCs w:val="20"/>
              </w:rPr>
              <w:t>014</w:t>
            </w:r>
          </w:p>
          <w:p w14:paraId="001EDD0D" w14:textId="77777777" w:rsidR="00F32DAA" w:rsidRPr="00F32DAA" w:rsidRDefault="00F32DAA" w:rsidP="00F32DAA">
            <w:pPr>
              <w:rPr>
                <w:sz w:val="20"/>
                <w:szCs w:val="20"/>
              </w:rPr>
            </w:pPr>
            <w:r w:rsidRPr="00F32DAA">
              <w:rPr>
                <w:sz w:val="20"/>
                <w:szCs w:val="20"/>
              </w:rPr>
              <w:t>033</w:t>
            </w:r>
          </w:p>
          <w:p w14:paraId="3B12E921" w14:textId="77777777" w:rsidR="00F32DAA" w:rsidRPr="00F32DAA" w:rsidRDefault="00F32DAA" w:rsidP="00F32DAA">
            <w:pPr>
              <w:rPr>
                <w:sz w:val="20"/>
                <w:szCs w:val="20"/>
              </w:rPr>
            </w:pPr>
            <w:r w:rsidRPr="00F32DAA">
              <w:rPr>
                <w:sz w:val="20"/>
                <w:szCs w:val="20"/>
              </w:rPr>
              <w:t>TAF112582</w:t>
            </w:r>
            <w:r w:rsidR="00980FDF">
              <w:rPr>
                <w:sz w:val="20"/>
                <w:szCs w:val="20"/>
              </w:rPr>
              <w:t xml:space="preserve"> </w:t>
            </w:r>
            <w:r w:rsidRPr="00F32DAA">
              <w:rPr>
                <w:sz w:val="20"/>
                <w:szCs w:val="20"/>
              </w:rPr>
              <w:t>(201393)</w:t>
            </w:r>
          </w:p>
          <w:p w14:paraId="5F8673AD" w14:textId="192E45F7" w:rsidR="00F32DAA" w:rsidRPr="00F32DAA" w:rsidRDefault="00035012" w:rsidP="00F32DAA">
            <w:pPr>
              <w:rPr>
                <w:sz w:val="20"/>
                <w:szCs w:val="20"/>
              </w:rPr>
            </w:pPr>
            <w:r>
              <w:rPr>
                <w:sz w:val="20"/>
                <w:szCs w:val="20"/>
              </w:rPr>
              <w:t>TQ-2016-0</w:t>
            </w:r>
            <w:r w:rsidR="00E71EF1">
              <w:rPr>
                <w:sz w:val="20"/>
                <w:szCs w:val="20"/>
              </w:rPr>
              <w:t>2</w:t>
            </w:r>
          </w:p>
          <w:p w14:paraId="44109029" w14:textId="77777777" w:rsidR="00F32DAA" w:rsidRPr="00F32DAA" w:rsidRDefault="00F32DAA" w:rsidP="00F32DAA">
            <w:pPr>
              <w:rPr>
                <w:sz w:val="20"/>
                <w:szCs w:val="20"/>
              </w:rPr>
            </w:pPr>
            <w:r w:rsidRPr="00F32DAA">
              <w:rPr>
                <w:sz w:val="20"/>
                <w:szCs w:val="20"/>
              </w:rPr>
              <w:t>044</w:t>
            </w:r>
          </w:p>
        </w:tc>
        <w:tc>
          <w:tcPr>
            <w:tcW w:w="1134" w:type="dxa"/>
          </w:tcPr>
          <w:p w14:paraId="4A774657" w14:textId="77777777" w:rsidR="00F32DAA" w:rsidRPr="00F32DAA" w:rsidRDefault="00F32DAA" w:rsidP="00F32DAA">
            <w:pPr>
              <w:rPr>
                <w:sz w:val="20"/>
                <w:szCs w:val="20"/>
              </w:rPr>
            </w:pPr>
            <w:r w:rsidRPr="00F32DAA">
              <w:rPr>
                <w:sz w:val="20"/>
                <w:szCs w:val="20"/>
              </w:rPr>
              <w:t>*</w:t>
            </w:r>
            <w:r w:rsidRPr="00F32DAA">
              <w:rPr>
                <w:sz w:val="20"/>
                <w:szCs w:val="20"/>
              </w:rPr>
              <w:br/>
              <w:t>*</w:t>
            </w:r>
            <w:r w:rsidRPr="00F32DAA">
              <w:rPr>
                <w:sz w:val="20"/>
                <w:szCs w:val="20"/>
              </w:rPr>
              <w:br/>
              <w:t>*</w:t>
            </w:r>
            <w:r w:rsidRPr="00F32DAA">
              <w:rPr>
                <w:sz w:val="20"/>
                <w:szCs w:val="20"/>
              </w:rPr>
              <w:br/>
              <w:t>*</w:t>
            </w:r>
          </w:p>
          <w:p w14:paraId="5CD26274" w14:textId="77777777" w:rsidR="00F32DAA" w:rsidRPr="00F32DAA" w:rsidRDefault="00F32DAA" w:rsidP="00F32DAA">
            <w:pPr>
              <w:rPr>
                <w:sz w:val="20"/>
                <w:szCs w:val="20"/>
              </w:rPr>
            </w:pPr>
            <w:r w:rsidRPr="00F32DAA">
              <w:rPr>
                <w:sz w:val="20"/>
                <w:szCs w:val="20"/>
              </w:rPr>
              <w:t>*</w:t>
            </w:r>
          </w:p>
          <w:p w14:paraId="0E17D6BB" w14:textId="77777777" w:rsidR="00F32DAA" w:rsidRPr="00F32DAA" w:rsidRDefault="00F32DAA" w:rsidP="00F32DAA">
            <w:pPr>
              <w:rPr>
                <w:sz w:val="20"/>
                <w:szCs w:val="20"/>
              </w:rPr>
            </w:pPr>
            <w:r w:rsidRPr="00F32DAA">
              <w:rPr>
                <w:sz w:val="20"/>
                <w:szCs w:val="20"/>
              </w:rPr>
              <w:t>*</w:t>
            </w:r>
          </w:p>
          <w:p w14:paraId="43958E90" w14:textId="77777777" w:rsidR="00F32DAA" w:rsidRPr="00F32DAA" w:rsidRDefault="00F32DAA" w:rsidP="00F32DAA">
            <w:pPr>
              <w:rPr>
                <w:sz w:val="20"/>
                <w:szCs w:val="20"/>
              </w:rPr>
            </w:pPr>
          </w:p>
          <w:p w14:paraId="5B8B00DA" w14:textId="77777777" w:rsidR="00F32DAA" w:rsidRPr="00F32DAA" w:rsidRDefault="00F32DAA" w:rsidP="00F32DAA">
            <w:pPr>
              <w:rPr>
                <w:sz w:val="20"/>
                <w:szCs w:val="20"/>
              </w:rPr>
            </w:pPr>
            <w:r w:rsidRPr="00F32DAA">
              <w:rPr>
                <w:sz w:val="20"/>
                <w:szCs w:val="20"/>
              </w:rPr>
              <w:t>*</w:t>
            </w:r>
          </w:p>
          <w:p w14:paraId="7EACA387" w14:textId="77777777" w:rsidR="00F32DAA" w:rsidRPr="00F32DAA" w:rsidRDefault="00F32DAA" w:rsidP="00F32DAA">
            <w:pPr>
              <w:rPr>
                <w:sz w:val="20"/>
                <w:szCs w:val="20"/>
              </w:rPr>
            </w:pPr>
            <w:r w:rsidRPr="00F32DAA">
              <w:rPr>
                <w:sz w:val="20"/>
                <w:szCs w:val="20"/>
              </w:rPr>
              <w:t>*</w:t>
            </w:r>
          </w:p>
        </w:tc>
      </w:tr>
      <w:tr w:rsidR="00F32DAA" w:rsidRPr="00C37A1D" w14:paraId="350EAC5C" w14:textId="77777777" w:rsidTr="00980FDF">
        <w:tc>
          <w:tcPr>
            <w:tcW w:w="2093" w:type="dxa"/>
            <w:vMerge/>
          </w:tcPr>
          <w:p w14:paraId="6A29FF83" w14:textId="77777777" w:rsidR="00F32DAA" w:rsidRPr="00F32DAA" w:rsidRDefault="00F32DAA" w:rsidP="00F32DAA">
            <w:pPr>
              <w:rPr>
                <w:b/>
                <w:sz w:val="20"/>
                <w:szCs w:val="20"/>
              </w:rPr>
            </w:pPr>
          </w:p>
        </w:tc>
        <w:tc>
          <w:tcPr>
            <w:tcW w:w="2551" w:type="dxa"/>
          </w:tcPr>
          <w:p w14:paraId="683C3F2C" w14:textId="1D7AFE80" w:rsidR="00F32DAA" w:rsidRPr="00F32DAA" w:rsidRDefault="00F32DAA" w:rsidP="0029187B">
            <w:pPr>
              <w:rPr>
                <w:sz w:val="20"/>
                <w:szCs w:val="20"/>
              </w:rPr>
            </w:pPr>
            <w:r w:rsidRPr="00F32DAA">
              <w:rPr>
                <w:sz w:val="20"/>
                <w:szCs w:val="20"/>
              </w:rPr>
              <w:t>Bioequivalence †</w:t>
            </w:r>
            <w:r w:rsidR="0029187B">
              <w:rPr>
                <w:sz w:val="20"/>
                <w:szCs w:val="20"/>
              </w:rPr>
              <w:t xml:space="preserve"> (s</w:t>
            </w:r>
            <w:r w:rsidR="0029187B" w:rsidRPr="00F32DAA">
              <w:rPr>
                <w:sz w:val="20"/>
                <w:szCs w:val="20"/>
              </w:rPr>
              <w:t xml:space="preserve">ingle </w:t>
            </w:r>
            <w:r w:rsidRPr="00F32DAA">
              <w:rPr>
                <w:sz w:val="20"/>
                <w:szCs w:val="20"/>
              </w:rPr>
              <w:t>dose</w:t>
            </w:r>
            <w:r w:rsidR="0029187B">
              <w:rPr>
                <w:sz w:val="20"/>
                <w:szCs w:val="20"/>
              </w:rPr>
              <w:t>)</w:t>
            </w:r>
          </w:p>
        </w:tc>
        <w:tc>
          <w:tcPr>
            <w:tcW w:w="2694" w:type="dxa"/>
          </w:tcPr>
          <w:p w14:paraId="6A505B1D" w14:textId="1F3EE0EF" w:rsidR="00F32DAA" w:rsidRPr="00F32DAA" w:rsidRDefault="00035012" w:rsidP="00F32DAA">
            <w:pPr>
              <w:rPr>
                <w:sz w:val="20"/>
                <w:szCs w:val="20"/>
              </w:rPr>
            </w:pPr>
            <w:r>
              <w:rPr>
                <w:sz w:val="20"/>
                <w:szCs w:val="20"/>
              </w:rPr>
              <w:t>TQ-2016-0</w:t>
            </w:r>
            <w:r w:rsidR="006D4F86">
              <w:rPr>
                <w:sz w:val="20"/>
                <w:szCs w:val="20"/>
              </w:rPr>
              <w:t>1</w:t>
            </w:r>
          </w:p>
        </w:tc>
        <w:tc>
          <w:tcPr>
            <w:tcW w:w="1134" w:type="dxa"/>
          </w:tcPr>
          <w:p w14:paraId="27C46976" w14:textId="77777777" w:rsidR="00F32DAA" w:rsidRPr="00F32DAA" w:rsidRDefault="00F32DAA" w:rsidP="00F32DAA">
            <w:pPr>
              <w:rPr>
                <w:sz w:val="20"/>
                <w:szCs w:val="20"/>
              </w:rPr>
            </w:pPr>
            <w:r w:rsidRPr="00F32DAA">
              <w:rPr>
                <w:sz w:val="20"/>
                <w:szCs w:val="20"/>
              </w:rPr>
              <w:t>*</w:t>
            </w:r>
          </w:p>
        </w:tc>
      </w:tr>
      <w:tr w:rsidR="00F32DAA" w:rsidRPr="00C37A1D" w14:paraId="3258FD42" w14:textId="77777777" w:rsidTr="00980FDF">
        <w:tc>
          <w:tcPr>
            <w:tcW w:w="2093" w:type="dxa"/>
            <w:vMerge/>
          </w:tcPr>
          <w:p w14:paraId="0EF70CC2" w14:textId="77777777" w:rsidR="00F32DAA" w:rsidRPr="00F32DAA" w:rsidRDefault="00F32DAA" w:rsidP="00F32DAA">
            <w:pPr>
              <w:rPr>
                <w:b/>
                <w:sz w:val="20"/>
                <w:szCs w:val="20"/>
              </w:rPr>
            </w:pPr>
          </w:p>
        </w:tc>
        <w:tc>
          <w:tcPr>
            <w:tcW w:w="2551" w:type="dxa"/>
          </w:tcPr>
          <w:p w14:paraId="36B11EF5" w14:textId="1282486C" w:rsidR="00F32DAA" w:rsidRPr="00F32DAA" w:rsidRDefault="0029187B" w:rsidP="00F32DAA">
            <w:pPr>
              <w:rPr>
                <w:sz w:val="20"/>
                <w:szCs w:val="20"/>
              </w:rPr>
            </w:pPr>
            <w:r w:rsidRPr="00F32DAA">
              <w:rPr>
                <w:sz w:val="20"/>
                <w:szCs w:val="20"/>
              </w:rPr>
              <w:t xml:space="preserve">Bioequivalence </w:t>
            </w:r>
            <w:r>
              <w:rPr>
                <w:sz w:val="20"/>
                <w:szCs w:val="20"/>
              </w:rPr>
              <w:t>(m</w:t>
            </w:r>
            <w:r w:rsidR="00F32DAA" w:rsidRPr="00F32DAA">
              <w:rPr>
                <w:sz w:val="20"/>
                <w:szCs w:val="20"/>
              </w:rPr>
              <w:t>ulti-dose</w:t>
            </w:r>
            <w:r>
              <w:rPr>
                <w:sz w:val="20"/>
                <w:szCs w:val="20"/>
              </w:rPr>
              <w:t>)</w:t>
            </w:r>
          </w:p>
        </w:tc>
        <w:tc>
          <w:tcPr>
            <w:tcW w:w="2694" w:type="dxa"/>
          </w:tcPr>
          <w:p w14:paraId="43FD647C" w14:textId="77777777" w:rsidR="00F32DAA" w:rsidRPr="00F32DAA" w:rsidRDefault="00F32DAA" w:rsidP="00F32DAA">
            <w:pPr>
              <w:rPr>
                <w:sz w:val="20"/>
                <w:szCs w:val="20"/>
              </w:rPr>
            </w:pPr>
            <w:r w:rsidRPr="00F32DAA">
              <w:rPr>
                <w:sz w:val="20"/>
                <w:szCs w:val="20"/>
              </w:rPr>
              <w:t>014</w:t>
            </w:r>
          </w:p>
        </w:tc>
        <w:tc>
          <w:tcPr>
            <w:tcW w:w="1134" w:type="dxa"/>
          </w:tcPr>
          <w:p w14:paraId="6B04CDD3" w14:textId="77777777" w:rsidR="00F32DAA" w:rsidRPr="00F32DAA" w:rsidRDefault="00F32DAA" w:rsidP="00F32DAA">
            <w:pPr>
              <w:rPr>
                <w:sz w:val="20"/>
                <w:szCs w:val="20"/>
              </w:rPr>
            </w:pPr>
            <w:r w:rsidRPr="00F32DAA">
              <w:rPr>
                <w:sz w:val="20"/>
                <w:szCs w:val="20"/>
              </w:rPr>
              <w:t>*</w:t>
            </w:r>
          </w:p>
        </w:tc>
      </w:tr>
      <w:tr w:rsidR="00F32DAA" w:rsidRPr="00C37A1D" w14:paraId="34E8D5CD" w14:textId="77777777" w:rsidTr="00980FDF">
        <w:tc>
          <w:tcPr>
            <w:tcW w:w="2093" w:type="dxa"/>
            <w:vMerge/>
          </w:tcPr>
          <w:p w14:paraId="1AF88C25" w14:textId="77777777" w:rsidR="00F32DAA" w:rsidRPr="00F32DAA" w:rsidRDefault="00F32DAA" w:rsidP="00F32DAA">
            <w:pPr>
              <w:rPr>
                <w:b/>
                <w:sz w:val="20"/>
                <w:szCs w:val="20"/>
              </w:rPr>
            </w:pPr>
          </w:p>
        </w:tc>
        <w:tc>
          <w:tcPr>
            <w:tcW w:w="2551" w:type="dxa"/>
          </w:tcPr>
          <w:p w14:paraId="4C251FA3" w14:textId="77777777" w:rsidR="00F32DAA" w:rsidRPr="00F32DAA" w:rsidRDefault="00F32DAA" w:rsidP="00F32DAA">
            <w:pPr>
              <w:rPr>
                <w:sz w:val="20"/>
                <w:szCs w:val="20"/>
              </w:rPr>
            </w:pPr>
            <w:r w:rsidRPr="00F32DAA">
              <w:rPr>
                <w:sz w:val="20"/>
                <w:szCs w:val="20"/>
              </w:rPr>
              <w:t>Food effect</w:t>
            </w:r>
          </w:p>
        </w:tc>
        <w:tc>
          <w:tcPr>
            <w:tcW w:w="2694" w:type="dxa"/>
          </w:tcPr>
          <w:p w14:paraId="473B92E5" w14:textId="77777777" w:rsidR="00F32DAA" w:rsidRPr="00F32DAA" w:rsidRDefault="00F32DAA" w:rsidP="00F32DAA">
            <w:pPr>
              <w:rPr>
                <w:sz w:val="20"/>
                <w:szCs w:val="20"/>
              </w:rPr>
            </w:pPr>
            <w:r w:rsidRPr="00F32DAA">
              <w:rPr>
                <w:sz w:val="20"/>
                <w:szCs w:val="20"/>
              </w:rPr>
              <w:t>022</w:t>
            </w:r>
          </w:p>
          <w:p w14:paraId="537F3D7F" w14:textId="77777777" w:rsidR="00F32DAA" w:rsidRPr="00F32DAA" w:rsidRDefault="00F32DAA" w:rsidP="00F32DAA">
            <w:pPr>
              <w:rPr>
                <w:sz w:val="20"/>
                <w:szCs w:val="20"/>
              </w:rPr>
            </w:pPr>
            <w:r w:rsidRPr="00F32DAA">
              <w:rPr>
                <w:sz w:val="20"/>
                <w:szCs w:val="20"/>
              </w:rPr>
              <w:t>003</w:t>
            </w:r>
          </w:p>
        </w:tc>
        <w:tc>
          <w:tcPr>
            <w:tcW w:w="1134" w:type="dxa"/>
          </w:tcPr>
          <w:p w14:paraId="536716F7" w14:textId="77777777" w:rsidR="00F32DAA" w:rsidRPr="00F32DAA" w:rsidRDefault="00F32DAA" w:rsidP="00F32DAA">
            <w:pPr>
              <w:rPr>
                <w:sz w:val="20"/>
                <w:szCs w:val="20"/>
              </w:rPr>
            </w:pPr>
            <w:r w:rsidRPr="00F32DAA">
              <w:rPr>
                <w:sz w:val="20"/>
                <w:szCs w:val="20"/>
              </w:rPr>
              <w:t>*</w:t>
            </w:r>
          </w:p>
        </w:tc>
      </w:tr>
      <w:tr w:rsidR="00F32DAA" w:rsidRPr="00C37A1D" w14:paraId="62A8535F" w14:textId="77777777" w:rsidTr="00980FDF">
        <w:tc>
          <w:tcPr>
            <w:tcW w:w="2093" w:type="dxa"/>
            <w:vMerge/>
          </w:tcPr>
          <w:p w14:paraId="635EEBAB" w14:textId="77777777" w:rsidR="00F32DAA" w:rsidRPr="00F32DAA" w:rsidRDefault="00F32DAA" w:rsidP="00F32DAA">
            <w:pPr>
              <w:rPr>
                <w:b/>
                <w:sz w:val="20"/>
                <w:szCs w:val="20"/>
              </w:rPr>
            </w:pPr>
          </w:p>
        </w:tc>
        <w:tc>
          <w:tcPr>
            <w:tcW w:w="2551" w:type="dxa"/>
          </w:tcPr>
          <w:p w14:paraId="4B83E2ED" w14:textId="77777777" w:rsidR="00F32DAA" w:rsidRPr="00F32DAA" w:rsidRDefault="00F32DAA" w:rsidP="00F32DAA">
            <w:pPr>
              <w:rPr>
                <w:sz w:val="20"/>
                <w:szCs w:val="20"/>
              </w:rPr>
            </w:pPr>
            <w:r w:rsidRPr="00F32DAA">
              <w:rPr>
                <w:sz w:val="20"/>
                <w:szCs w:val="20"/>
              </w:rPr>
              <w:t>Other special population</w:t>
            </w:r>
          </w:p>
        </w:tc>
        <w:tc>
          <w:tcPr>
            <w:tcW w:w="2694" w:type="dxa"/>
          </w:tcPr>
          <w:p w14:paraId="1DA575D7" w14:textId="77777777" w:rsidR="00F32DAA" w:rsidRPr="00F32DAA" w:rsidRDefault="00F32DAA" w:rsidP="00F32DAA">
            <w:pPr>
              <w:rPr>
                <w:sz w:val="20"/>
                <w:szCs w:val="20"/>
              </w:rPr>
            </w:pPr>
            <w:r w:rsidRPr="00F32DAA">
              <w:rPr>
                <w:sz w:val="20"/>
                <w:szCs w:val="20"/>
              </w:rPr>
              <w:t>TAF114582</w:t>
            </w:r>
          </w:p>
        </w:tc>
        <w:tc>
          <w:tcPr>
            <w:tcW w:w="1134" w:type="dxa"/>
          </w:tcPr>
          <w:p w14:paraId="6FA6877A" w14:textId="77777777" w:rsidR="00F32DAA" w:rsidRPr="00F32DAA" w:rsidRDefault="00F32DAA" w:rsidP="00F32DAA">
            <w:pPr>
              <w:rPr>
                <w:sz w:val="20"/>
                <w:szCs w:val="20"/>
              </w:rPr>
            </w:pPr>
            <w:r w:rsidRPr="00F32DAA">
              <w:rPr>
                <w:sz w:val="20"/>
                <w:szCs w:val="20"/>
              </w:rPr>
              <w:t>*</w:t>
            </w:r>
          </w:p>
        </w:tc>
      </w:tr>
      <w:tr w:rsidR="00F32DAA" w:rsidRPr="00C37A1D" w14:paraId="017AC7B6" w14:textId="77777777" w:rsidTr="00980FDF">
        <w:tc>
          <w:tcPr>
            <w:tcW w:w="2093" w:type="dxa"/>
          </w:tcPr>
          <w:p w14:paraId="6E934DAF" w14:textId="77777777" w:rsidR="00F32DAA" w:rsidRPr="00F32DAA" w:rsidRDefault="00F32DAA" w:rsidP="00F32DAA">
            <w:pPr>
              <w:rPr>
                <w:b/>
                <w:sz w:val="20"/>
                <w:szCs w:val="20"/>
              </w:rPr>
            </w:pPr>
            <w:r w:rsidRPr="00F32DAA">
              <w:rPr>
                <w:b/>
                <w:sz w:val="20"/>
                <w:szCs w:val="20"/>
              </w:rPr>
              <w:t>Genetic/gender related PK</w:t>
            </w:r>
          </w:p>
        </w:tc>
        <w:tc>
          <w:tcPr>
            <w:tcW w:w="2551" w:type="dxa"/>
          </w:tcPr>
          <w:p w14:paraId="24181B2D" w14:textId="77777777" w:rsidR="00F32DAA" w:rsidRPr="00F32DAA" w:rsidRDefault="00F32DAA" w:rsidP="00F32DAA">
            <w:pPr>
              <w:rPr>
                <w:sz w:val="20"/>
                <w:szCs w:val="20"/>
              </w:rPr>
            </w:pPr>
            <w:r w:rsidRPr="00F32DAA">
              <w:rPr>
                <w:sz w:val="20"/>
                <w:szCs w:val="20"/>
              </w:rPr>
              <w:t>Males versus females</w:t>
            </w:r>
          </w:p>
        </w:tc>
        <w:tc>
          <w:tcPr>
            <w:tcW w:w="2694" w:type="dxa"/>
          </w:tcPr>
          <w:p w14:paraId="4BD756B4" w14:textId="77777777" w:rsidR="00F32DAA" w:rsidRPr="00F32DAA" w:rsidRDefault="00F32DAA" w:rsidP="00F32DAA">
            <w:pPr>
              <w:rPr>
                <w:sz w:val="20"/>
                <w:szCs w:val="20"/>
              </w:rPr>
            </w:pPr>
            <w:r w:rsidRPr="00F32DAA">
              <w:rPr>
                <w:sz w:val="20"/>
                <w:szCs w:val="20"/>
              </w:rPr>
              <w:t>014</w:t>
            </w:r>
          </w:p>
          <w:p w14:paraId="1F260A90" w14:textId="77777777" w:rsidR="00F32DAA" w:rsidRPr="00F32DAA" w:rsidRDefault="00F32DAA" w:rsidP="00F32DAA">
            <w:pPr>
              <w:rPr>
                <w:sz w:val="20"/>
                <w:szCs w:val="20"/>
              </w:rPr>
            </w:pPr>
            <w:r w:rsidRPr="00F32DAA">
              <w:rPr>
                <w:sz w:val="20"/>
                <w:szCs w:val="20"/>
              </w:rPr>
              <w:t>003</w:t>
            </w:r>
          </w:p>
        </w:tc>
        <w:tc>
          <w:tcPr>
            <w:tcW w:w="1134" w:type="dxa"/>
          </w:tcPr>
          <w:p w14:paraId="1170019E" w14:textId="77777777" w:rsidR="00F32DAA" w:rsidRPr="00F32DAA" w:rsidRDefault="00F32DAA" w:rsidP="00F32DAA">
            <w:pPr>
              <w:rPr>
                <w:sz w:val="20"/>
                <w:szCs w:val="20"/>
              </w:rPr>
            </w:pPr>
            <w:r w:rsidRPr="00F32DAA">
              <w:rPr>
                <w:sz w:val="20"/>
                <w:szCs w:val="20"/>
              </w:rPr>
              <w:t>*</w:t>
            </w:r>
          </w:p>
          <w:p w14:paraId="10FAD2EF" w14:textId="77777777" w:rsidR="00F32DAA" w:rsidRPr="00F32DAA" w:rsidRDefault="00F32DAA" w:rsidP="00F32DAA">
            <w:pPr>
              <w:rPr>
                <w:sz w:val="20"/>
                <w:szCs w:val="20"/>
              </w:rPr>
            </w:pPr>
            <w:r w:rsidRPr="00F32DAA">
              <w:rPr>
                <w:sz w:val="20"/>
                <w:szCs w:val="20"/>
              </w:rPr>
              <w:t>*</w:t>
            </w:r>
          </w:p>
        </w:tc>
      </w:tr>
      <w:tr w:rsidR="00F32DAA" w:rsidRPr="00C37A1D" w14:paraId="35D1C7CC" w14:textId="77777777" w:rsidTr="00980FDF">
        <w:tc>
          <w:tcPr>
            <w:tcW w:w="2093" w:type="dxa"/>
            <w:vMerge w:val="restart"/>
          </w:tcPr>
          <w:p w14:paraId="5E4C3D06" w14:textId="77777777" w:rsidR="00F32DAA" w:rsidRPr="00F32DAA" w:rsidRDefault="00F32DAA" w:rsidP="00F32DAA">
            <w:pPr>
              <w:rPr>
                <w:b/>
                <w:sz w:val="20"/>
                <w:szCs w:val="20"/>
              </w:rPr>
            </w:pPr>
            <w:r w:rsidRPr="00F32DAA">
              <w:rPr>
                <w:b/>
                <w:sz w:val="20"/>
                <w:szCs w:val="20"/>
              </w:rPr>
              <w:t>PK interactions</w:t>
            </w:r>
          </w:p>
        </w:tc>
        <w:tc>
          <w:tcPr>
            <w:tcW w:w="2551" w:type="dxa"/>
          </w:tcPr>
          <w:p w14:paraId="2DCDF9F5" w14:textId="77777777" w:rsidR="00F32DAA" w:rsidRPr="00F32DAA" w:rsidRDefault="00F32DAA" w:rsidP="00F32DAA">
            <w:pPr>
              <w:rPr>
                <w:sz w:val="20"/>
                <w:szCs w:val="20"/>
              </w:rPr>
            </w:pPr>
            <w:r w:rsidRPr="00F32DAA">
              <w:rPr>
                <w:sz w:val="20"/>
                <w:szCs w:val="20"/>
              </w:rPr>
              <w:t>Desipramine</w:t>
            </w:r>
          </w:p>
        </w:tc>
        <w:tc>
          <w:tcPr>
            <w:tcW w:w="2694" w:type="dxa"/>
          </w:tcPr>
          <w:p w14:paraId="51FAE4B9" w14:textId="77777777" w:rsidR="00F32DAA" w:rsidRPr="00F32DAA" w:rsidRDefault="00F32DAA" w:rsidP="00F32DAA">
            <w:pPr>
              <w:rPr>
                <w:sz w:val="20"/>
                <w:szCs w:val="20"/>
              </w:rPr>
            </w:pPr>
            <w:r w:rsidRPr="00F32DAA">
              <w:rPr>
                <w:sz w:val="20"/>
                <w:szCs w:val="20"/>
              </w:rPr>
              <w:t>015</w:t>
            </w:r>
          </w:p>
        </w:tc>
        <w:tc>
          <w:tcPr>
            <w:tcW w:w="1134" w:type="dxa"/>
          </w:tcPr>
          <w:p w14:paraId="21257A4E" w14:textId="77777777" w:rsidR="00F32DAA" w:rsidRPr="00F32DAA" w:rsidRDefault="00F32DAA" w:rsidP="00F32DAA">
            <w:pPr>
              <w:rPr>
                <w:sz w:val="20"/>
                <w:szCs w:val="20"/>
              </w:rPr>
            </w:pPr>
            <w:r w:rsidRPr="00F32DAA">
              <w:rPr>
                <w:sz w:val="20"/>
                <w:szCs w:val="20"/>
              </w:rPr>
              <w:t>*</w:t>
            </w:r>
          </w:p>
        </w:tc>
      </w:tr>
      <w:tr w:rsidR="00F32DAA" w:rsidRPr="00C37A1D" w14:paraId="7544D71D" w14:textId="77777777" w:rsidTr="00980FDF">
        <w:tc>
          <w:tcPr>
            <w:tcW w:w="2093" w:type="dxa"/>
            <w:vMerge/>
          </w:tcPr>
          <w:p w14:paraId="4BEA9F32" w14:textId="77777777" w:rsidR="00F32DAA" w:rsidRPr="00F32DAA" w:rsidRDefault="00F32DAA" w:rsidP="00F32DAA">
            <w:pPr>
              <w:rPr>
                <w:b/>
                <w:sz w:val="20"/>
                <w:szCs w:val="20"/>
              </w:rPr>
            </w:pPr>
          </w:p>
        </w:tc>
        <w:tc>
          <w:tcPr>
            <w:tcW w:w="2551" w:type="dxa"/>
          </w:tcPr>
          <w:p w14:paraId="02EA22F3" w14:textId="77777777" w:rsidR="00F32DAA" w:rsidRPr="00F32DAA" w:rsidRDefault="00F32DAA" w:rsidP="00F32DAA">
            <w:pPr>
              <w:rPr>
                <w:sz w:val="20"/>
                <w:szCs w:val="20"/>
              </w:rPr>
            </w:pPr>
            <w:r w:rsidRPr="00F32DAA">
              <w:rPr>
                <w:sz w:val="20"/>
                <w:szCs w:val="20"/>
              </w:rPr>
              <w:t>Midazolam, flurbiprofen, caffeine</w:t>
            </w:r>
          </w:p>
        </w:tc>
        <w:tc>
          <w:tcPr>
            <w:tcW w:w="2694" w:type="dxa"/>
          </w:tcPr>
          <w:p w14:paraId="6B4B7953" w14:textId="77777777" w:rsidR="00F32DAA" w:rsidRPr="00F32DAA" w:rsidRDefault="00F32DAA" w:rsidP="00F32DAA">
            <w:pPr>
              <w:rPr>
                <w:sz w:val="20"/>
                <w:szCs w:val="20"/>
              </w:rPr>
            </w:pPr>
            <w:r w:rsidRPr="00F32DAA">
              <w:rPr>
                <w:sz w:val="20"/>
                <w:szCs w:val="20"/>
              </w:rPr>
              <w:t>040</w:t>
            </w:r>
          </w:p>
        </w:tc>
        <w:tc>
          <w:tcPr>
            <w:tcW w:w="1134" w:type="dxa"/>
          </w:tcPr>
          <w:p w14:paraId="497A5612" w14:textId="77777777" w:rsidR="00F32DAA" w:rsidRPr="00F32DAA" w:rsidRDefault="00F32DAA" w:rsidP="00F32DAA">
            <w:pPr>
              <w:rPr>
                <w:sz w:val="20"/>
                <w:szCs w:val="20"/>
              </w:rPr>
            </w:pPr>
            <w:r w:rsidRPr="00F32DAA">
              <w:rPr>
                <w:sz w:val="20"/>
                <w:szCs w:val="20"/>
              </w:rPr>
              <w:t>*</w:t>
            </w:r>
          </w:p>
        </w:tc>
      </w:tr>
      <w:tr w:rsidR="00F32DAA" w:rsidRPr="00C37A1D" w14:paraId="23C764CB" w14:textId="77777777" w:rsidTr="00980FDF">
        <w:tc>
          <w:tcPr>
            <w:tcW w:w="2093" w:type="dxa"/>
            <w:vMerge/>
          </w:tcPr>
          <w:p w14:paraId="6CFD66EC" w14:textId="77777777" w:rsidR="00F32DAA" w:rsidRPr="00F32DAA" w:rsidRDefault="00F32DAA" w:rsidP="00F32DAA">
            <w:pPr>
              <w:rPr>
                <w:b/>
                <w:sz w:val="20"/>
                <w:szCs w:val="20"/>
              </w:rPr>
            </w:pPr>
          </w:p>
        </w:tc>
        <w:tc>
          <w:tcPr>
            <w:tcW w:w="2551" w:type="dxa"/>
          </w:tcPr>
          <w:p w14:paraId="50626172" w14:textId="77777777" w:rsidR="00F32DAA" w:rsidRPr="00F32DAA" w:rsidRDefault="00F32DAA" w:rsidP="00F32DAA">
            <w:pPr>
              <w:rPr>
                <w:sz w:val="20"/>
                <w:szCs w:val="20"/>
              </w:rPr>
            </w:pPr>
            <w:r w:rsidRPr="00F32DAA">
              <w:rPr>
                <w:sz w:val="20"/>
                <w:szCs w:val="20"/>
              </w:rPr>
              <w:t>Chloroquine</w:t>
            </w:r>
          </w:p>
        </w:tc>
        <w:tc>
          <w:tcPr>
            <w:tcW w:w="2694" w:type="dxa"/>
          </w:tcPr>
          <w:p w14:paraId="69413A0A" w14:textId="77777777" w:rsidR="00F32DAA" w:rsidRPr="00F32DAA" w:rsidRDefault="00F32DAA" w:rsidP="00F32DAA">
            <w:pPr>
              <w:rPr>
                <w:sz w:val="20"/>
                <w:szCs w:val="20"/>
              </w:rPr>
            </w:pPr>
            <w:r w:rsidRPr="00F32DAA">
              <w:rPr>
                <w:sz w:val="20"/>
                <w:szCs w:val="20"/>
              </w:rPr>
              <w:t>TAF106491</w:t>
            </w:r>
          </w:p>
        </w:tc>
        <w:tc>
          <w:tcPr>
            <w:tcW w:w="1134" w:type="dxa"/>
          </w:tcPr>
          <w:p w14:paraId="065C737E" w14:textId="77777777" w:rsidR="00F32DAA" w:rsidRPr="00F32DAA" w:rsidRDefault="00F32DAA" w:rsidP="00F32DAA">
            <w:pPr>
              <w:rPr>
                <w:sz w:val="20"/>
                <w:szCs w:val="20"/>
              </w:rPr>
            </w:pPr>
            <w:r w:rsidRPr="00F32DAA">
              <w:rPr>
                <w:sz w:val="20"/>
                <w:szCs w:val="20"/>
              </w:rPr>
              <w:t>*</w:t>
            </w:r>
          </w:p>
        </w:tc>
      </w:tr>
      <w:tr w:rsidR="00F32DAA" w:rsidRPr="00C37A1D" w14:paraId="15B52797" w14:textId="77777777" w:rsidTr="00980FDF">
        <w:tc>
          <w:tcPr>
            <w:tcW w:w="2093" w:type="dxa"/>
          </w:tcPr>
          <w:p w14:paraId="3372862E" w14:textId="77777777" w:rsidR="00F32DAA" w:rsidRPr="00F32DAA" w:rsidRDefault="00F32DAA" w:rsidP="00F32DAA">
            <w:pPr>
              <w:rPr>
                <w:b/>
                <w:sz w:val="20"/>
                <w:szCs w:val="20"/>
              </w:rPr>
            </w:pPr>
            <w:r w:rsidRPr="00F32DAA">
              <w:rPr>
                <w:b/>
                <w:sz w:val="20"/>
                <w:szCs w:val="20"/>
              </w:rPr>
              <w:t>Population PK analyses</w:t>
            </w:r>
          </w:p>
        </w:tc>
        <w:tc>
          <w:tcPr>
            <w:tcW w:w="2551" w:type="dxa"/>
          </w:tcPr>
          <w:p w14:paraId="4B9262A9" w14:textId="77777777" w:rsidR="00F32DAA" w:rsidRPr="00F32DAA" w:rsidRDefault="00F32DAA" w:rsidP="00F32DAA">
            <w:pPr>
              <w:rPr>
                <w:sz w:val="20"/>
                <w:szCs w:val="20"/>
              </w:rPr>
            </w:pPr>
            <w:r w:rsidRPr="00F32DAA">
              <w:rPr>
                <w:sz w:val="20"/>
                <w:szCs w:val="20"/>
              </w:rPr>
              <w:t>Healthy subjects</w:t>
            </w:r>
          </w:p>
        </w:tc>
        <w:tc>
          <w:tcPr>
            <w:tcW w:w="2694" w:type="dxa"/>
          </w:tcPr>
          <w:p w14:paraId="49DFBFF7" w14:textId="77777777" w:rsidR="00F32DAA" w:rsidRPr="00F32DAA" w:rsidRDefault="00F32DAA" w:rsidP="00F32DAA">
            <w:pPr>
              <w:rPr>
                <w:sz w:val="20"/>
                <w:szCs w:val="20"/>
              </w:rPr>
            </w:pPr>
            <w:r w:rsidRPr="00F32DAA">
              <w:rPr>
                <w:sz w:val="20"/>
                <w:szCs w:val="20"/>
              </w:rPr>
              <w:t>044-033</w:t>
            </w:r>
          </w:p>
        </w:tc>
        <w:tc>
          <w:tcPr>
            <w:tcW w:w="1134" w:type="dxa"/>
          </w:tcPr>
          <w:p w14:paraId="27D44704" w14:textId="77777777" w:rsidR="00F32DAA" w:rsidRPr="00F32DAA" w:rsidRDefault="00F32DAA" w:rsidP="00F32DAA">
            <w:pPr>
              <w:rPr>
                <w:sz w:val="20"/>
                <w:szCs w:val="20"/>
              </w:rPr>
            </w:pPr>
            <w:r w:rsidRPr="00F32DAA">
              <w:rPr>
                <w:sz w:val="20"/>
                <w:szCs w:val="20"/>
              </w:rPr>
              <w:t>*</w:t>
            </w:r>
          </w:p>
        </w:tc>
      </w:tr>
    </w:tbl>
    <w:p w14:paraId="61BC9C1A" w14:textId="2114FB48" w:rsidR="00023DE8" w:rsidRPr="00C37A1D" w:rsidRDefault="00023DE8" w:rsidP="00F32DAA">
      <w:pPr>
        <w:pStyle w:val="TableDescription"/>
      </w:pPr>
      <w:r w:rsidRPr="00C37A1D">
        <w:t>* Indicates the primary PK aim of the study.</w:t>
      </w:r>
      <w:r>
        <w:t xml:space="preserve"> </w:t>
      </w:r>
      <w:r w:rsidRPr="00C37A1D">
        <w:t>† Bioequivalence of different formulations.</w:t>
      </w:r>
      <w:r>
        <w:t xml:space="preserve"> </w:t>
      </w:r>
      <w:r w:rsidRPr="00C37A1D">
        <w:t>§ Subjects who would be eligible to receive the drug if approved for the proposed indication.</w:t>
      </w:r>
      <w:r>
        <w:t xml:space="preserve"> </w:t>
      </w:r>
    </w:p>
    <w:p w14:paraId="1BBD7FE4" w14:textId="3CF8CE93" w:rsidR="00023DE8" w:rsidRDefault="00023DE8" w:rsidP="00F32DAA">
      <w:pPr>
        <w:pStyle w:val="TableTitle"/>
      </w:pPr>
      <w:bookmarkStart w:id="116" w:name="_Toc504229423"/>
      <w:bookmarkStart w:id="117" w:name="_Toc501293673"/>
      <w:r>
        <w:lastRenderedPageBreak/>
        <w:t xml:space="preserve">Table </w:t>
      </w:r>
      <w:r w:rsidR="000D2A48">
        <w:t>1</w:t>
      </w:r>
      <w:r w:rsidR="00B52F8D">
        <w:t>4</w:t>
      </w:r>
      <w:r w:rsidR="00F32DAA">
        <w:t>:</w:t>
      </w:r>
      <w:r>
        <w:t xml:space="preserve"> </w:t>
      </w:r>
      <w:r w:rsidRPr="00BC615D">
        <w:t>Pharmacokinetic results excluded from consideration</w:t>
      </w:r>
      <w:r>
        <w:t>.</w:t>
      </w:r>
      <w:bookmarkEnd w:id="116"/>
      <w:bookmarkEnd w:id="117"/>
    </w:p>
    <w:tbl>
      <w:tblPr>
        <w:tblStyle w:val="TableTGAblue"/>
        <w:tblW w:w="0" w:type="auto"/>
        <w:tblLook w:val="04A0" w:firstRow="1" w:lastRow="0" w:firstColumn="1" w:lastColumn="0" w:noHBand="0" w:noVBand="1"/>
      </w:tblPr>
      <w:tblGrid>
        <w:gridCol w:w="2141"/>
        <w:gridCol w:w="3354"/>
        <w:gridCol w:w="2977"/>
      </w:tblGrid>
      <w:tr w:rsidR="00F32DAA" w14:paraId="008A9EC6" w14:textId="77777777" w:rsidTr="00F32DAA">
        <w:trPr>
          <w:cnfStyle w:val="100000000000" w:firstRow="1" w:lastRow="0" w:firstColumn="0" w:lastColumn="0" w:oddVBand="0" w:evenVBand="0" w:oddHBand="0" w:evenHBand="0" w:firstRowFirstColumn="0" w:firstRowLastColumn="0" w:lastRowFirstColumn="0" w:lastRowLastColumn="0"/>
        </w:trPr>
        <w:tc>
          <w:tcPr>
            <w:tcW w:w="2141" w:type="dxa"/>
          </w:tcPr>
          <w:p w14:paraId="4FE01DA0" w14:textId="77777777" w:rsidR="00F32DAA" w:rsidRPr="00F32DAA" w:rsidRDefault="00F32DAA" w:rsidP="00F32DAA">
            <w:pPr>
              <w:rPr>
                <w:sz w:val="20"/>
                <w:szCs w:val="20"/>
              </w:rPr>
            </w:pPr>
            <w:r w:rsidRPr="00F32DAA">
              <w:rPr>
                <w:sz w:val="20"/>
                <w:szCs w:val="20"/>
              </w:rPr>
              <w:t>Study ID</w:t>
            </w:r>
          </w:p>
        </w:tc>
        <w:tc>
          <w:tcPr>
            <w:tcW w:w="3354" w:type="dxa"/>
          </w:tcPr>
          <w:p w14:paraId="63DD6E1F" w14:textId="77777777" w:rsidR="00F32DAA" w:rsidRPr="00F32DAA" w:rsidRDefault="00F32DAA" w:rsidP="00F32DAA">
            <w:pPr>
              <w:rPr>
                <w:sz w:val="20"/>
                <w:szCs w:val="20"/>
              </w:rPr>
            </w:pPr>
            <w:r w:rsidRPr="00F32DAA">
              <w:rPr>
                <w:sz w:val="20"/>
                <w:szCs w:val="20"/>
              </w:rPr>
              <w:t>Subtopics</w:t>
            </w:r>
          </w:p>
        </w:tc>
        <w:tc>
          <w:tcPr>
            <w:tcW w:w="2977" w:type="dxa"/>
          </w:tcPr>
          <w:p w14:paraId="40D683C9" w14:textId="77777777" w:rsidR="00F32DAA" w:rsidRPr="00F32DAA" w:rsidRDefault="00F32DAA" w:rsidP="00F32DAA">
            <w:pPr>
              <w:rPr>
                <w:sz w:val="20"/>
                <w:szCs w:val="20"/>
              </w:rPr>
            </w:pPr>
            <w:r w:rsidRPr="00F32DAA">
              <w:rPr>
                <w:sz w:val="20"/>
                <w:szCs w:val="20"/>
              </w:rPr>
              <w:t>PK results excluded</w:t>
            </w:r>
          </w:p>
        </w:tc>
      </w:tr>
      <w:tr w:rsidR="00F32DAA" w14:paraId="03947BF4" w14:textId="77777777" w:rsidTr="00F32DAA">
        <w:tc>
          <w:tcPr>
            <w:tcW w:w="2141" w:type="dxa"/>
          </w:tcPr>
          <w:p w14:paraId="60F9C2DB" w14:textId="77777777" w:rsidR="00F32DAA" w:rsidRPr="00F32DAA" w:rsidRDefault="00F32DAA" w:rsidP="00F32DAA">
            <w:pPr>
              <w:rPr>
                <w:sz w:val="20"/>
                <w:szCs w:val="20"/>
              </w:rPr>
            </w:pPr>
            <w:r w:rsidRPr="00F32DAA">
              <w:rPr>
                <w:sz w:val="20"/>
                <w:szCs w:val="20"/>
              </w:rPr>
              <w:t>Study 003</w:t>
            </w:r>
          </w:p>
        </w:tc>
        <w:tc>
          <w:tcPr>
            <w:tcW w:w="3354" w:type="dxa"/>
          </w:tcPr>
          <w:p w14:paraId="68B53CD9" w14:textId="77777777" w:rsidR="00F32DAA" w:rsidRPr="00F32DAA" w:rsidRDefault="00F32DAA" w:rsidP="00F32DAA">
            <w:pPr>
              <w:rPr>
                <w:sz w:val="20"/>
                <w:szCs w:val="20"/>
              </w:rPr>
            </w:pPr>
            <w:r w:rsidRPr="00F32DAA">
              <w:rPr>
                <w:sz w:val="20"/>
                <w:szCs w:val="20"/>
              </w:rPr>
              <w:t>Effect of food and gender</w:t>
            </w:r>
          </w:p>
        </w:tc>
        <w:tc>
          <w:tcPr>
            <w:tcW w:w="2977" w:type="dxa"/>
          </w:tcPr>
          <w:p w14:paraId="0BEC4EB7" w14:textId="77777777" w:rsidR="00F32DAA" w:rsidRPr="00F32DAA" w:rsidRDefault="00F32DAA" w:rsidP="00F32DAA">
            <w:pPr>
              <w:rPr>
                <w:sz w:val="20"/>
                <w:szCs w:val="20"/>
              </w:rPr>
            </w:pPr>
            <w:r w:rsidRPr="00F32DAA">
              <w:rPr>
                <w:sz w:val="20"/>
                <w:szCs w:val="20"/>
              </w:rPr>
              <w:t>No results</w:t>
            </w:r>
          </w:p>
        </w:tc>
      </w:tr>
    </w:tbl>
    <w:p w14:paraId="7263FF54" w14:textId="77777777" w:rsidR="00605AD4" w:rsidRDefault="00605AD4" w:rsidP="00F32DAA">
      <w:pPr>
        <w:pStyle w:val="Heading4"/>
      </w:pPr>
      <w:r>
        <w:t>Evaluator’s conclusions on pharmacokinetics</w:t>
      </w:r>
    </w:p>
    <w:p w14:paraId="0147227F" w14:textId="77777777" w:rsidR="00023DE8" w:rsidRDefault="00023DE8" w:rsidP="00DE181D">
      <w:pPr>
        <w:rPr>
          <w:lang w:eastAsia="ja-JP"/>
        </w:rPr>
      </w:pPr>
      <w:r>
        <w:rPr>
          <w:lang w:eastAsia="ja-JP"/>
        </w:rPr>
        <w:t>The PK data for tafenoquine was adequate, although specific excretion studies were not performed in humans.</w:t>
      </w:r>
    </w:p>
    <w:p w14:paraId="210301AF" w14:textId="77777777" w:rsidR="008E7846" w:rsidRPr="00F32DAA" w:rsidRDefault="008E7846" w:rsidP="00F32DAA">
      <w:pPr>
        <w:pStyle w:val="Heading3"/>
      </w:pPr>
      <w:bookmarkStart w:id="118" w:name="_Toc196046481"/>
      <w:bookmarkStart w:id="119" w:name="_Toc247691520"/>
      <w:bookmarkStart w:id="120" w:name="_Toc314842503"/>
      <w:bookmarkStart w:id="121" w:name="_Toc12348784"/>
      <w:r w:rsidRPr="00254787">
        <w:t>Pharmacodynamics</w:t>
      </w:r>
      <w:bookmarkEnd w:id="68"/>
      <w:bookmarkEnd w:id="118"/>
      <w:bookmarkEnd w:id="119"/>
      <w:bookmarkEnd w:id="120"/>
      <w:bookmarkEnd w:id="121"/>
    </w:p>
    <w:p w14:paraId="0B645C1D" w14:textId="77777777" w:rsidR="00605AD4" w:rsidRDefault="00605AD4" w:rsidP="00605AD4">
      <w:pPr>
        <w:pStyle w:val="Heading4"/>
      </w:pPr>
      <w:r>
        <w:t>Studies providing pharmacodynamic data</w:t>
      </w:r>
    </w:p>
    <w:p w14:paraId="242E72BB" w14:textId="77777777" w:rsidR="00023DE8" w:rsidRDefault="00023DE8" w:rsidP="00F32DAA">
      <w:pPr>
        <w:rPr>
          <w:lang w:eastAsia="ja-JP"/>
        </w:rPr>
      </w:pPr>
      <w:r>
        <w:rPr>
          <w:lang w:eastAsia="ja-JP"/>
        </w:rPr>
        <w:t>As mentioned above, many of the dose ranging, PK studies were also clinical efficacy studies.</w:t>
      </w:r>
    </w:p>
    <w:p w14:paraId="24F435E2" w14:textId="3D2C3EBC" w:rsidR="00023DE8" w:rsidRDefault="00023DE8" w:rsidP="00F32DAA">
      <w:pPr>
        <w:pStyle w:val="TableTitle"/>
      </w:pPr>
      <w:bookmarkStart w:id="122" w:name="_Toc504229424"/>
      <w:bookmarkStart w:id="123" w:name="_Toc501293674"/>
      <w:r>
        <w:t xml:space="preserve">Table </w:t>
      </w:r>
      <w:r w:rsidR="000D2A48">
        <w:t>1</w:t>
      </w:r>
      <w:r w:rsidR="00B52F8D">
        <w:t>5</w:t>
      </w:r>
      <w:r w:rsidR="00F32DAA">
        <w:t>:</w:t>
      </w:r>
      <w:r>
        <w:t xml:space="preserve"> </w:t>
      </w:r>
      <w:r w:rsidRPr="008C40FD">
        <w:t>Submitted pharmacodynamic studies</w:t>
      </w:r>
      <w:bookmarkEnd w:id="122"/>
      <w:bookmarkEnd w:id="123"/>
    </w:p>
    <w:tbl>
      <w:tblPr>
        <w:tblStyle w:val="TableTGAblue"/>
        <w:tblW w:w="8755" w:type="dxa"/>
        <w:tblLayout w:type="fixed"/>
        <w:tblLook w:val="04A0" w:firstRow="1" w:lastRow="0" w:firstColumn="1" w:lastColumn="0" w:noHBand="0" w:noVBand="1"/>
      </w:tblPr>
      <w:tblGrid>
        <w:gridCol w:w="1833"/>
        <w:gridCol w:w="2528"/>
        <w:gridCol w:w="2835"/>
        <w:gridCol w:w="1559"/>
      </w:tblGrid>
      <w:tr w:rsidR="00F32DAA" w:rsidRPr="00C37A1D" w14:paraId="171410B5" w14:textId="77777777" w:rsidTr="00D00D21">
        <w:trPr>
          <w:cnfStyle w:val="100000000000" w:firstRow="1" w:lastRow="0" w:firstColumn="0" w:lastColumn="0" w:oddVBand="0" w:evenVBand="0" w:oddHBand="0" w:evenHBand="0" w:firstRowFirstColumn="0" w:firstRowLastColumn="0" w:lastRowFirstColumn="0" w:lastRowLastColumn="0"/>
        </w:trPr>
        <w:tc>
          <w:tcPr>
            <w:tcW w:w="1833" w:type="dxa"/>
          </w:tcPr>
          <w:p w14:paraId="47C3D4F0" w14:textId="77777777" w:rsidR="00F32DAA" w:rsidRPr="00C37A1D" w:rsidRDefault="00F32DAA" w:rsidP="00023DE8">
            <w:pPr>
              <w:pStyle w:val="Tabletext"/>
              <w:rPr>
                <w:b w:val="0"/>
              </w:rPr>
            </w:pPr>
            <w:r w:rsidRPr="00C37A1D">
              <w:t>PD Topic</w:t>
            </w:r>
          </w:p>
        </w:tc>
        <w:tc>
          <w:tcPr>
            <w:tcW w:w="2528" w:type="dxa"/>
          </w:tcPr>
          <w:p w14:paraId="3ECCD55D" w14:textId="77777777" w:rsidR="00F32DAA" w:rsidRPr="00C37A1D" w:rsidRDefault="00F32DAA" w:rsidP="00023DE8">
            <w:pPr>
              <w:pStyle w:val="Tabletext"/>
              <w:rPr>
                <w:b w:val="0"/>
              </w:rPr>
            </w:pPr>
            <w:r w:rsidRPr="00C37A1D">
              <w:t>Subtopic</w:t>
            </w:r>
          </w:p>
        </w:tc>
        <w:tc>
          <w:tcPr>
            <w:tcW w:w="2835" w:type="dxa"/>
          </w:tcPr>
          <w:p w14:paraId="53222E98" w14:textId="77777777" w:rsidR="00F32DAA" w:rsidRPr="00C37A1D" w:rsidRDefault="00F32DAA" w:rsidP="00023DE8">
            <w:pPr>
              <w:pStyle w:val="Tabletext"/>
              <w:rPr>
                <w:b w:val="0"/>
              </w:rPr>
            </w:pPr>
            <w:r w:rsidRPr="00C37A1D">
              <w:t>Study ID</w:t>
            </w:r>
          </w:p>
        </w:tc>
        <w:tc>
          <w:tcPr>
            <w:tcW w:w="1559" w:type="dxa"/>
          </w:tcPr>
          <w:p w14:paraId="616266F1" w14:textId="77777777" w:rsidR="00F32DAA" w:rsidRPr="00C37A1D" w:rsidRDefault="00F32DAA" w:rsidP="00023DE8">
            <w:pPr>
              <w:pStyle w:val="Tabletext"/>
              <w:rPr>
                <w:b w:val="0"/>
              </w:rPr>
            </w:pPr>
            <w:r w:rsidRPr="00C37A1D">
              <w:t>*</w:t>
            </w:r>
          </w:p>
        </w:tc>
      </w:tr>
      <w:tr w:rsidR="00F32DAA" w:rsidRPr="00C37A1D" w14:paraId="269DDB3B" w14:textId="77777777" w:rsidTr="00D00D21">
        <w:tc>
          <w:tcPr>
            <w:tcW w:w="1833" w:type="dxa"/>
            <w:vMerge w:val="restart"/>
          </w:tcPr>
          <w:p w14:paraId="77D1AB78" w14:textId="77777777" w:rsidR="00F32DAA" w:rsidRPr="00C37A1D" w:rsidRDefault="00F32DAA" w:rsidP="00023DE8">
            <w:pPr>
              <w:pStyle w:val="Tabletext"/>
              <w:keepNext/>
              <w:rPr>
                <w:b/>
              </w:rPr>
            </w:pPr>
            <w:r w:rsidRPr="00C37A1D">
              <w:rPr>
                <w:b/>
              </w:rPr>
              <w:t>Primary Pharmacology</w:t>
            </w:r>
          </w:p>
        </w:tc>
        <w:tc>
          <w:tcPr>
            <w:tcW w:w="2528" w:type="dxa"/>
          </w:tcPr>
          <w:p w14:paraId="41AC11E1" w14:textId="77777777" w:rsidR="00F32DAA" w:rsidRPr="00C37A1D" w:rsidRDefault="00F32DAA" w:rsidP="00023DE8">
            <w:pPr>
              <w:pStyle w:val="Tabletext"/>
              <w:keepNext/>
            </w:pPr>
            <w:r w:rsidRPr="00C37A1D">
              <w:t xml:space="preserve">Effect on </w:t>
            </w:r>
            <w:r>
              <w:t>Prophylaxis against Pf</w:t>
            </w:r>
          </w:p>
        </w:tc>
        <w:tc>
          <w:tcPr>
            <w:tcW w:w="2835" w:type="dxa"/>
          </w:tcPr>
          <w:p w14:paraId="0136C52D" w14:textId="77777777" w:rsidR="00F32DAA" w:rsidRDefault="00F32DAA" w:rsidP="00D00D21">
            <w:pPr>
              <w:pStyle w:val="Tabletext"/>
              <w:keepNext/>
            </w:pPr>
            <w:r>
              <w:t>053</w:t>
            </w:r>
          </w:p>
          <w:p w14:paraId="2D36FA0F" w14:textId="77777777" w:rsidR="00F32DAA" w:rsidRDefault="00F32DAA" w:rsidP="00D00D21">
            <w:pPr>
              <w:pStyle w:val="Tabletext"/>
              <w:keepNext/>
            </w:pPr>
            <w:r>
              <w:t>054</w:t>
            </w:r>
          </w:p>
          <w:p w14:paraId="3123D975" w14:textId="77777777" w:rsidR="00F32DAA" w:rsidRDefault="00F32DAA" w:rsidP="00D00D21">
            <w:pPr>
              <w:pStyle w:val="Tabletext"/>
              <w:keepNext/>
            </w:pPr>
            <w:r>
              <w:t>030</w:t>
            </w:r>
          </w:p>
          <w:p w14:paraId="475A31D6" w14:textId="77777777" w:rsidR="00F32DAA" w:rsidRDefault="00F32DAA" w:rsidP="00D00D21">
            <w:pPr>
              <w:pStyle w:val="Tabletext"/>
              <w:keepNext/>
            </w:pPr>
            <w:r>
              <w:t>006</w:t>
            </w:r>
          </w:p>
          <w:p w14:paraId="6A36B625" w14:textId="77777777" w:rsidR="00F32DAA" w:rsidRPr="00C37A1D" w:rsidRDefault="00F32DAA" w:rsidP="00D00D21">
            <w:pPr>
              <w:pStyle w:val="Tabletext"/>
              <w:keepNext/>
            </w:pPr>
            <w:r>
              <w:t>043</w:t>
            </w:r>
          </w:p>
        </w:tc>
        <w:tc>
          <w:tcPr>
            <w:tcW w:w="1559" w:type="dxa"/>
          </w:tcPr>
          <w:p w14:paraId="4FF6920A" w14:textId="77777777" w:rsidR="00F32DAA" w:rsidRDefault="00F32DAA" w:rsidP="00D00D21">
            <w:pPr>
              <w:pStyle w:val="Tabletext"/>
              <w:keepNext/>
            </w:pPr>
            <w:r>
              <w:t>*</w:t>
            </w:r>
            <w:r w:rsidRPr="00C37A1D">
              <w:t>§</w:t>
            </w:r>
          </w:p>
          <w:p w14:paraId="414D795A" w14:textId="77777777" w:rsidR="00F32DAA" w:rsidRDefault="00F32DAA" w:rsidP="00D00D21">
            <w:pPr>
              <w:pStyle w:val="Tabletext"/>
              <w:keepNext/>
            </w:pPr>
            <w:r>
              <w:t>*</w:t>
            </w:r>
            <w:r w:rsidRPr="00C37A1D">
              <w:t>§</w:t>
            </w:r>
          </w:p>
          <w:p w14:paraId="543544DD" w14:textId="77777777" w:rsidR="00F32DAA" w:rsidRDefault="00F32DAA" w:rsidP="00D00D21">
            <w:pPr>
              <w:pStyle w:val="Tabletext"/>
              <w:keepNext/>
            </w:pPr>
            <w:r>
              <w:t>*</w:t>
            </w:r>
            <w:r w:rsidRPr="00C37A1D">
              <w:t>§</w:t>
            </w:r>
          </w:p>
          <w:p w14:paraId="1A9FC3F4" w14:textId="77777777" w:rsidR="00F32DAA" w:rsidRDefault="00F32DAA" w:rsidP="00D00D21">
            <w:pPr>
              <w:pStyle w:val="Tabletext"/>
              <w:keepNext/>
            </w:pPr>
            <w:r>
              <w:t>*</w:t>
            </w:r>
            <w:r w:rsidRPr="00C37A1D">
              <w:t>§‡</w:t>
            </w:r>
          </w:p>
          <w:p w14:paraId="7E2D302B" w14:textId="77777777" w:rsidR="00F32DAA" w:rsidRPr="00C37A1D" w:rsidRDefault="00F32DAA" w:rsidP="00D00D21">
            <w:pPr>
              <w:pStyle w:val="Tabletext"/>
              <w:keepNext/>
            </w:pPr>
            <w:r w:rsidRPr="006F78AB">
              <w:t>*§</w:t>
            </w:r>
          </w:p>
        </w:tc>
      </w:tr>
      <w:tr w:rsidR="00F32DAA" w:rsidRPr="00C37A1D" w14:paraId="4340D0F2" w14:textId="77777777" w:rsidTr="00D00D21">
        <w:tc>
          <w:tcPr>
            <w:tcW w:w="1833" w:type="dxa"/>
            <w:vMerge/>
          </w:tcPr>
          <w:p w14:paraId="10F038C8" w14:textId="77777777" w:rsidR="00F32DAA" w:rsidRPr="00C37A1D" w:rsidRDefault="00F32DAA" w:rsidP="00023DE8">
            <w:pPr>
              <w:pStyle w:val="Tabletext"/>
              <w:keepNext/>
              <w:rPr>
                <w:b/>
              </w:rPr>
            </w:pPr>
          </w:p>
        </w:tc>
        <w:tc>
          <w:tcPr>
            <w:tcW w:w="2528" w:type="dxa"/>
          </w:tcPr>
          <w:p w14:paraId="6ABF1C08" w14:textId="77777777" w:rsidR="00F32DAA" w:rsidRPr="00C37A1D" w:rsidRDefault="00F32DAA" w:rsidP="00023DE8">
            <w:pPr>
              <w:pStyle w:val="Tabletext"/>
              <w:keepNext/>
            </w:pPr>
            <w:r>
              <w:t>Parasite challenge</w:t>
            </w:r>
          </w:p>
        </w:tc>
        <w:tc>
          <w:tcPr>
            <w:tcW w:w="2835" w:type="dxa"/>
          </w:tcPr>
          <w:p w14:paraId="40A354C5" w14:textId="473E5F68" w:rsidR="00F32DAA" w:rsidRPr="00C37A1D" w:rsidRDefault="00035012" w:rsidP="00E71EF1">
            <w:pPr>
              <w:pStyle w:val="Tabletext"/>
              <w:keepNext/>
            </w:pPr>
            <w:r>
              <w:t>TQ-2016-0</w:t>
            </w:r>
            <w:r w:rsidR="00F32DAA">
              <w:t>2</w:t>
            </w:r>
          </w:p>
        </w:tc>
        <w:tc>
          <w:tcPr>
            <w:tcW w:w="1559" w:type="dxa"/>
          </w:tcPr>
          <w:p w14:paraId="54F7D8B1" w14:textId="77777777" w:rsidR="00F32DAA" w:rsidRPr="00C37A1D" w:rsidRDefault="00F32DAA" w:rsidP="00E71EF1">
            <w:pPr>
              <w:pStyle w:val="Tabletext"/>
              <w:keepNext/>
            </w:pPr>
            <w:r>
              <w:t>*</w:t>
            </w:r>
            <w:r w:rsidRPr="00C37A1D">
              <w:t>§</w:t>
            </w:r>
          </w:p>
        </w:tc>
      </w:tr>
      <w:tr w:rsidR="00F32DAA" w:rsidRPr="00C37A1D" w14:paraId="253D6751" w14:textId="77777777" w:rsidTr="00D00D21">
        <w:tc>
          <w:tcPr>
            <w:tcW w:w="1833" w:type="dxa"/>
            <w:vMerge/>
          </w:tcPr>
          <w:p w14:paraId="289CBB2B" w14:textId="77777777" w:rsidR="00F32DAA" w:rsidRPr="00C37A1D" w:rsidRDefault="00F32DAA" w:rsidP="00023DE8">
            <w:pPr>
              <w:pStyle w:val="Tabletext"/>
              <w:keepNext/>
              <w:rPr>
                <w:b/>
              </w:rPr>
            </w:pPr>
          </w:p>
        </w:tc>
        <w:tc>
          <w:tcPr>
            <w:tcW w:w="2528" w:type="dxa"/>
          </w:tcPr>
          <w:p w14:paraId="1FC51FA3" w14:textId="77777777" w:rsidR="00F32DAA" w:rsidRPr="00C37A1D" w:rsidRDefault="00F32DAA" w:rsidP="00023DE8">
            <w:pPr>
              <w:pStyle w:val="Tabletext"/>
              <w:keepNext/>
            </w:pPr>
            <w:r w:rsidRPr="00C37A1D">
              <w:t xml:space="preserve">Effect on </w:t>
            </w:r>
            <w:r>
              <w:t>ECG (QTc prolongation)</w:t>
            </w:r>
          </w:p>
        </w:tc>
        <w:tc>
          <w:tcPr>
            <w:tcW w:w="2835" w:type="dxa"/>
          </w:tcPr>
          <w:p w14:paraId="685B80D6" w14:textId="77777777" w:rsidR="00F32DAA" w:rsidRPr="00C37A1D" w:rsidRDefault="00F32DAA" w:rsidP="00023DE8">
            <w:pPr>
              <w:pStyle w:val="Tabletext"/>
              <w:keepNext/>
            </w:pPr>
            <w:r>
              <w:t>Study TAF114582</w:t>
            </w:r>
          </w:p>
        </w:tc>
        <w:tc>
          <w:tcPr>
            <w:tcW w:w="1559" w:type="dxa"/>
          </w:tcPr>
          <w:p w14:paraId="196A7CAB" w14:textId="77777777" w:rsidR="00F32DAA" w:rsidRPr="00C37A1D" w:rsidRDefault="00F32DAA" w:rsidP="00E71EF1">
            <w:pPr>
              <w:pStyle w:val="Tabletext"/>
              <w:keepNext/>
            </w:pPr>
            <w:r>
              <w:t>*</w:t>
            </w:r>
            <w:r w:rsidRPr="00C37A1D">
              <w:t>§</w:t>
            </w:r>
          </w:p>
        </w:tc>
      </w:tr>
      <w:tr w:rsidR="00F32DAA" w:rsidRPr="00C37A1D" w14:paraId="5D84BD03" w14:textId="77777777" w:rsidTr="00D00D21">
        <w:tc>
          <w:tcPr>
            <w:tcW w:w="1833" w:type="dxa"/>
          </w:tcPr>
          <w:p w14:paraId="3FB154EF" w14:textId="77777777" w:rsidR="00F32DAA" w:rsidRPr="00C37A1D" w:rsidRDefault="00F32DAA" w:rsidP="00023DE8">
            <w:pPr>
              <w:pStyle w:val="Tabletext"/>
              <w:keepNext/>
            </w:pPr>
          </w:p>
        </w:tc>
        <w:tc>
          <w:tcPr>
            <w:tcW w:w="2528" w:type="dxa"/>
          </w:tcPr>
          <w:p w14:paraId="11142BBF" w14:textId="77777777" w:rsidR="00F32DAA" w:rsidRPr="00C37A1D" w:rsidRDefault="00D00D21" w:rsidP="00023DE8">
            <w:pPr>
              <w:pStyle w:val="Tabletext"/>
              <w:keepNext/>
            </w:pPr>
            <w:r>
              <w:t>M</w:t>
            </w:r>
            <w:r w:rsidR="00F32DAA">
              <w:t xml:space="preserve">alaria treatment </w:t>
            </w:r>
          </w:p>
        </w:tc>
        <w:tc>
          <w:tcPr>
            <w:tcW w:w="2835" w:type="dxa"/>
          </w:tcPr>
          <w:p w14:paraId="4DDEE679" w14:textId="77777777" w:rsidR="00F32DAA" w:rsidRDefault="00F32DAA" w:rsidP="00023DE8">
            <w:pPr>
              <w:pStyle w:val="Tabletext"/>
              <w:keepNext/>
            </w:pPr>
            <w:r>
              <w:t>Study 047</w:t>
            </w:r>
          </w:p>
        </w:tc>
        <w:tc>
          <w:tcPr>
            <w:tcW w:w="1559" w:type="dxa"/>
          </w:tcPr>
          <w:p w14:paraId="7B3C909C" w14:textId="77777777" w:rsidR="00F32DAA" w:rsidRDefault="00F32DAA" w:rsidP="00E71EF1">
            <w:pPr>
              <w:pStyle w:val="Tabletext"/>
              <w:keepNext/>
            </w:pPr>
            <w:r>
              <w:t>*</w:t>
            </w:r>
          </w:p>
        </w:tc>
      </w:tr>
    </w:tbl>
    <w:p w14:paraId="4853FE2C" w14:textId="77777777" w:rsidR="00023DE8" w:rsidRPr="00D00D21" w:rsidRDefault="00023DE8" w:rsidP="00D00D21">
      <w:pPr>
        <w:pStyle w:val="TableDescription"/>
      </w:pPr>
      <w:r w:rsidRPr="00D00D21">
        <w:t>* Indicates the primary PD aim of the study. § Subjects who would be eligible to receive the drug if approved for the proposed indication. ‡ And adolescents if applicable.</w:t>
      </w:r>
      <w:r w:rsidR="00D00D21" w:rsidRPr="00D00D21">
        <w:t xml:space="preserve"> </w:t>
      </w:r>
      <w:r w:rsidRPr="00D00D21">
        <w:t># Study 058 contributed a small amount of PK data to the population PK modelling. This is data is not documented in the study report.</w:t>
      </w:r>
    </w:p>
    <w:p w14:paraId="594AAEE8" w14:textId="77777777" w:rsidR="00605AD4" w:rsidRDefault="00605AD4" w:rsidP="00605AD4">
      <w:pPr>
        <w:pStyle w:val="Heading4"/>
      </w:pPr>
      <w:r>
        <w:t>Evaluator’s conclusions on pharmacodynamics</w:t>
      </w:r>
    </w:p>
    <w:p w14:paraId="2124DAB7" w14:textId="77777777" w:rsidR="00023DE8" w:rsidRDefault="00023DE8" w:rsidP="00D00D21">
      <w:pPr>
        <w:rPr>
          <w:lang w:eastAsia="ja-JP"/>
        </w:rPr>
      </w:pPr>
      <w:r>
        <w:rPr>
          <w:lang w:eastAsia="ja-JP"/>
        </w:rPr>
        <w:t xml:space="preserve">It appears to be on the basis of Study 054, that the target trough plasma concentration of tafenoquine </w:t>
      </w:r>
      <w:proofErr w:type="gramStart"/>
      <w:r>
        <w:rPr>
          <w:lang w:eastAsia="ja-JP"/>
        </w:rPr>
        <w:t>of 80</w:t>
      </w:r>
      <w:r w:rsidR="004415DE">
        <w:rPr>
          <w:lang w:eastAsia="ja-JP"/>
        </w:rPr>
        <w:t xml:space="preserve"> ng/</w:t>
      </w:r>
      <w:r>
        <w:rPr>
          <w:lang w:eastAsia="ja-JP"/>
        </w:rPr>
        <w:t>mL</w:t>
      </w:r>
      <w:proofErr w:type="gramEnd"/>
      <w:r>
        <w:rPr>
          <w:lang w:eastAsia="ja-JP"/>
        </w:rPr>
        <w:t xml:space="preserve"> was chosen.</w:t>
      </w:r>
    </w:p>
    <w:p w14:paraId="1DE76F8E" w14:textId="44D9F3DC" w:rsidR="00023DE8" w:rsidRDefault="00E40186" w:rsidP="00D00D21">
      <w:pPr>
        <w:rPr>
          <w:lang w:eastAsia="ja-JP"/>
        </w:rPr>
      </w:pPr>
      <w:r>
        <w:rPr>
          <w:lang w:eastAsia="ja-JP"/>
        </w:rPr>
        <w:t xml:space="preserve">It was difficult to assess which groups of patients developed parasitemia in </w:t>
      </w:r>
      <w:r w:rsidR="00023DE8">
        <w:rPr>
          <w:lang w:eastAsia="ja-JP"/>
        </w:rPr>
        <w:t>Study 054</w:t>
      </w:r>
      <w:r w:rsidR="004C098C">
        <w:rPr>
          <w:lang w:eastAsia="ja-JP"/>
        </w:rPr>
        <w:t xml:space="preserve">. </w:t>
      </w:r>
      <w:r w:rsidR="00023DE8">
        <w:rPr>
          <w:lang w:eastAsia="ja-JP"/>
        </w:rPr>
        <w:t>This is however, a</w:t>
      </w:r>
      <w:r>
        <w:rPr>
          <w:lang w:eastAsia="ja-JP"/>
        </w:rPr>
        <w:t>n</w:t>
      </w:r>
      <w:r w:rsidR="00023DE8">
        <w:rPr>
          <w:lang w:eastAsia="ja-JP"/>
        </w:rPr>
        <w:t xml:space="preserve"> old study (on 12</w:t>
      </w:r>
      <w:r w:rsidR="0029187B">
        <w:rPr>
          <w:lang w:eastAsia="ja-JP"/>
        </w:rPr>
        <w:t> </w:t>
      </w:r>
      <w:r w:rsidR="00023DE8">
        <w:rPr>
          <w:lang w:eastAsia="ja-JP"/>
        </w:rPr>
        <w:t>individuals) and many larger studies have been done subsequently.</w:t>
      </w:r>
    </w:p>
    <w:p w14:paraId="52AF6297" w14:textId="77777777" w:rsidR="00023DE8" w:rsidRDefault="00023DE8" w:rsidP="00D00D21">
      <w:pPr>
        <w:rPr>
          <w:lang w:eastAsia="ja-JP"/>
        </w:rPr>
      </w:pPr>
      <w:r>
        <w:rPr>
          <w:lang w:eastAsia="ja-JP"/>
        </w:rPr>
        <w:t xml:space="preserve">Data on PD and efficacy from </w:t>
      </w:r>
      <w:r w:rsidR="00D00D21">
        <w:rPr>
          <w:lang w:eastAsia="ja-JP"/>
        </w:rPr>
        <w:t>S</w:t>
      </w:r>
      <w:r>
        <w:rPr>
          <w:lang w:eastAsia="ja-JP"/>
        </w:rPr>
        <w:t>tudy 030 is unreliable because of problems with reliability of smears read locally in Kenya where the study was conducted. When these slides were re-read at a reference centre, there was a positive concordance value of only 12.4%.</w:t>
      </w:r>
    </w:p>
    <w:p w14:paraId="2D662A0D" w14:textId="0998B4BD" w:rsidR="00023DE8" w:rsidRDefault="00023DE8" w:rsidP="00D00D21">
      <w:pPr>
        <w:rPr>
          <w:lang w:eastAsia="ja-JP"/>
        </w:rPr>
      </w:pPr>
      <w:r>
        <w:rPr>
          <w:lang w:eastAsia="ja-JP"/>
        </w:rPr>
        <w:t xml:space="preserve">Study </w:t>
      </w:r>
      <w:r w:rsidR="00035012">
        <w:rPr>
          <w:lang w:eastAsia="ja-JP"/>
        </w:rPr>
        <w:t>TQ-2016-0</w:t>
      </w:r>
      <w:r w:rsidR="00E71EF1">
        <w:rPr>
          <w:lang w:eastAsia="ja-JP"/>
        </w:rPr>
        <w:t>2</w:t>
      </w:r>
      <w:r>
        <w:rPr>
          <w:lang w:eastAsia="ja-JP"/>
        </w:rPr>
        <w:t>, is a very small but well conducted study of a malaria challenge in which tafenoquine was 100% effective in prevented Pf. The mean plasma concentration in this study however was well above the proposed threshold.</w:t>
      </w:r>
      <w:r w:rsidR="004C098C">
        <w:rPr>
          <w:lang w:eastAsia="ja-JP"/>
        </w:rPr>
        <w:t xml:space="preserve"> </w:t>
      </w:r>
      <w:r>
        <w:rPr>
          <w:lang w:eastAsia="ja-JP"/>
        </w:rPr>
        <w:t xml:space="preserve">It would be useful to have a </w:t>
      </w:r>
      <w:r>
        <w:rPr>
          <w:lang w:eastAsia="ja-JP"/>
        </w:rPr>
        <w:lastRenderedPageBreak/>
        <w:t xml:space="preserve">study of this nature for </w:t>
      </w:r>
      <w:proofErr w:type="gramStart"/>
      <w:r>
        <w:rPr>
          <w:lang w:eastAsia="ja-JP"/>
        </w:rPr>
        <w:t>Pv</w:t>
      </w:r>
      <w:proofErr w:type="gramEnd"/>
      <w:r>
        <w:rPr>
          <w:lang w:eastAsia="ja-JP"/>
        </w:rPr>
        <w:t>, to examine efficacy against relapse from the exo-erythrocytic phases.</w:t>
      </w:r>
    </w:p>
    <w:p w14:paraId="4367FD7A" w14:textId="3CD73319" w:rsidR="00023DE8" w:rsidRDefault="00023DE8" w:rsidP="00023DE8">
      <w:pPr>
        <w:rPr>
          <w:lang w:eastAsia="ja-JP"/>
        </w:rPr>
      </w:pPr>
      <w:r>
        <w:rPr>
          <w:lang w:eastAsia="ja-JP"/>
        </w:rPr>
        <w:t>Study 043 was the first major well-designed field study which showed ‘proof of concept’ of the current recommended dosing regimen, with good evidence of prophylactic efficacy. P</w:t>
      </w:r>
      <w:r w:rsidR="00D00BCB">
        <w:rPr>
          <w:lang w:eastAsia="ja-JP"/>
        </w:rPr>
        <w:t>K</w:t>
      </w:r>
      <w:r>
        <w:rPr>
          <w:lang w:eastAsia="ja-JP"/>
        </w:rPr>
        <w:t xml:space="preserve"> data was also planned from this study, but the samples taken for this were unable to be processed, so there is no P</w:t>
      </w:r>
      <w:r w:rsidR="00D00BCB">
        <w:rPr>
          <w:lang w:eastAsia="ja-JP"/>
        </w:rPr>
        <w:t>K</w:t>
      </w:r>
      <w:r>
        <w:rPr>
          <w:lang w:eastAsia="ja-JP"/>
        </w:rPr>
        <w:t xml:space="preserve"> data. A threshold dose of 20</w:t>
      </w:r>
      <w:r w:rsidR="00A84DBA">
        <w:rPr>
          <w:lang w:eastAsia="ja-JP"/>
        </w:rPr>
        <w:t>0 mg</w:t>
      </w:r>
      <w:r>
        <w:rPr>
          <w:lang w:eastAsia="ja-JP"/>
        </w:rPr>
        <w:t xml:space="preserve"> daily x3 days followed by 20</w:t>
      </w:r>
      <w:r w:rsidR="00A84DBA">
        <w:rPr>
          <w:lang w:eastAsia="ja-JP"/>
        </w:rPr>
        <w:t>0 mg</w:t>
      </w:r>
      <w:r>
        <w:rPr>
          <w:lang w:eastAsia="ja-JP"/>
        </w:rPr>
        <w:t xml:space="preserve"> weekly was shown in Study 043 to provide a dosage regimen at which adequate malaria prophylaxis was seen.</w:t>
      </w:r>
    </w:p>
    <w:p w14:paraId="07741979" w14:textId="77777777" w:rsidR="008E7846" w:rsidRDefault="00605AD4" w:rsidP="00605AD4">
      <w:pPr>
        <w:pStyle w:val="Heading3"/>
      </w:pPr>
      <w:bookmarkStart w:id="124" w:name="_Toc12348785"/>
      <w:r>
        <w:t>Dosage selection for the pivotal studies</w:t>
      </w:r>
      <w:bookmarkEnd w:id="124"/>
    </w:p>
    <w:p w14:paraId="0C01FCDE" w14:textId="77777777" w:rsidR="00023DE8" w:rsidRDefault="00023DE8" w:rsidP="00D00D21">
      <w:pPr>
        <w:pStyle w:val="Heading4"/>
      </w:pPr>
      <w:bookmarkStart w:id="125" w:name="_Toc416353695"/>
      <w:bookmarkStart w:id="126" w:name="_Toc421005262"/>
      <w:bookmarkStart w:id="127" w:name="_Toc432079144"/>
      <w:bookmarkStart w:id="128" w:name="_Toc432080717"/>
      <w:bookmarkStart w:id="129" w:name="_Toc504229370"/>
      <w:bookmarkStart w:id="130" w:name="_Toc501809144"/>
      <w:r w:rsidRPr="005C1900">
        <w:t>Pharmacokinetics</w:t>
      </w:r>
      <w:r>
        <w:t xml:space="preserve"> and pharmacodynamics dos</w:t>
      </w:r>
      <w:r w:rsidRPr="00545B14">
        <w:t xml:space="preserve">e </w:t>
      </w:r>
      <w:r>
        <w:t>finding</w:t>
      </w:r>
      <w:r w:rsidRPr="00545B14">
        <w:t xml:space="preserve"> </w:t>
      </w:r>
      <w:r>
        <w:t>s</w:t>
      </w:r>
      <w:r w:rsidRPr="00545B14">
        <w:t>tudies</w:t>
      </w:r>
      <w:bookmarkEnd w:id="125"/>
      <w:bookmarkEnd w:id="126"/>
      <w:bookmarkEnd w:id="127"/>
      <w:bookmarkEnd w:id="128"/>
      <w:bookmarkEnd w:id="129"/>
      <w:bookmarkEnd w:id="130"/>
    </w:p>
    <w:p w14:paraId="434E962F" w14:textId="425A7932" w:rsidR="00023DE8" w:rsidRPr="00D00D21" w:rsidRDefault="00023DE8" w:rsidP="00D00D21">
      <w:r w:rsidRPr="00D00D21">
        <w:t xml:space="preserve">Phase </w:t>
      </w:r>
      <w:r w:rsidR="00D00D21" w:rsidRPr="00D00D21">
        <w:t>I</w:t>
      </w:r>
      <w:r w:rsidRPr="00D00D21">
        <w:t xml:space="preserve"> studies that determined if tafenoquine had prophylactic activity against Pf malaria and examined the utility of tafenoquine against challenge with Pf asexual blood stage parasites in non-</w:t>
      </w:r>
      <w:r w:rsidR="00D00D21">
        <w:t>immune participants; characteris</w:t>
      </w:r>
      <w:r w:rsidRPr="00D00D21">
        <w:t xml:space="preserve">e the exposure-response relationship for tafenoquine were </w:t>
      </w:r>
      <w:r w:rsidR="00D00D21">
        <w:t xml:space="preserve">Studies </w:t>
      </w:r>
      <w:r w:rsidRPr="00D00D21">
        <w:t xml:space="preserve">053, 054 and </w:t>
      </w:r>
      <w:r w:rsidR="00035012">
        <w:t>TQ-2016-0</w:t>
      </w:r>
      <w:r w:rsidR="00E71EF1">
        <w:t>2</w:t>
      </w:r>
      <w:r w:rsidRPr="00D00D21">
        <w:t>.</w:t>
      </w:r>
    </w:p>
    <w:p w14:paraId="38E45221" w14:textId="53380B2A" w:rsidR="00023DE8" w:rsidRPr="00D00D21" w:rsidRDefault="00023DE8" w:rsidP="00D00D21">
      <w:r w:rsidRPr="00D00D21">
        <w:t xml:space="preserve">For the indication </w:t>
      </w:r>
      <w:r w:rsidR="0039759D" w:rsidRPr="00D00D21">
        <w:t>‘</w:t>
      </w:r>
      <w:r w:rsidRPr="00D00D21">
        <w:t>prophylaxis of malaria</w:t>
      </w:r>
      <w:r w:rsidR="0039759D" w:rsidRPr="00D00D21">
        <w:t>’</w:t>
      </w:r>
      <w:r w:rsidRPr="00D00D21">
        <w:t xml:space="preserve"> while in the endemic region, subjects were randomly assigned to one or more tafenoquine groups, and to a placebo control and/or mefloquine positive control group. In some early studies (</w:t>
      </w:r>
      <w:r w:rsidR="007D3257">
        <w:t xml:space="preserve">Studies </w:t>
      </w:r>
      <w:r w:rsidRPr="00D00D21">
        <w:t>006, 043, 058) only a 3</w:t>
      </w:r>
      <w:r w:rsidR="007D3257">
        <w:t> </w:t>
      </w:r>
      <w:r w:rsidRPr="00D00D21">
        <w:t>day loading dose was administered. In most studies, the loading dose was followed by weekly (or monthly</w:t>
      </w:r>
      <w:r w:rsidR="00D00D21">
        <w:t>;</w:t>
      </w:r>
      <w:r w:rsidRPr="00D00D21">
        <w:t xml:space="preserve"> </w:t>
      </w:r>
      <w:r w:rsidR="00D00D21">
        <w:t>S</w:t>
      </w:r>
      <w:r w:rsidRPr="00D00D21">
        <w:t>tudy 044) drug administration. The individual dose used on each day of treatment varied between 25 mg to 400 mg. Studies 030, 033, 043 and 045 evaluated the 200 mg-based anticipated clinical regimen: a loading dose of 200 mg per day x 3 days followed by administration of 200 mg weekly.</w:t>
      </w:r>
    </w:p>
    <w:p w14:paraId="2A2F99A6" w14:textId="28111A6F" w:rsidR="00023DE8" w:rsidRPr="00D00D21" w:rsidRDefault="00023DE8" w:rsidP="00D00D21">
      <w:r w:rsidRPr="00D00D21">
        <w:t>Studies in non-immune persons, the main population for which prophylaxis is intended, showed that symptomatic breakthrough of malaria occurred when tafenoquine plasma concentrations were &lt; 50</w:t>
      </w:r>
      <w:r w:rsidR="004415DE">
        <w:t xml:space="preserve"> ng/</w:t>
      </w:r>
      <w:r w:rsidRPr="00D00D21">
        <w:t xml:space="preserve">mL (Study 053). This was also confirmed by logistic regression in Study TAF112582. Consequently, a plasma concentration </w:t>
      </w:r>
      <w:proofErr w:type="gramStart"/>
      <w:r w:rsidRPr="00D00D21">
        <w:t>of 80</w:t>
      </w:r>
      <w:r w:rsidR="004415DE">
        <w:t xml:space="preserve"> ng/</w:t>
      </w:r>
      <w:r w:rsidRPr="00D00D21">
        <w:t>mL</w:t>
      </w:r>
      <w:proofErr w:type="gramEnd"/>
      <w:r w:rsidRPr="00D00D21">
        <w:t xml:space="preserve"> was selected as the minimum target trough value for prevention of symptomatic malaria development in non-immune individuals. Population PK analysis predicted that the recommended prevention regimen will achieve trough levels &gt;80</w:t>
      </w:r>
      <w:r w:rsidR="004415DE">
        <w:t xml:space="preserve"> ng/</w:t>
      </w:r>
      <w:r w:rsidRPr="00D00D21">
        <w:t>mL in &gt;95% of subjects</w:t>
      </w:r>
      <w:r w:rsidR="00773FF2">
        <w:t>.</w:t>
      </w:r>
    </w:p>
    <w:p w14:paraId="7F265117" w14:textId="77777777" w:rsidR="00023DE8" w:rsidRDefault="00023DE8" w:rsidP="00D00D21">
      <w:pPr>
        <w:pStyle w:val="Heading4"/>
      </w:pPr>
      <w:bookmarkStart w:id="131" w:name="_Toc416353696"/>
      <w:bookmarkStart w:id="132" w:name="_Toc421005263"/>
      <w:bookmarkStart w:id="133" w:name="_Toc432079145"/>
      <w:bookmarkStart w:id="134" w:name="_Toc432080718"/>
      <w:bookmarkStart w:id="135" w:name="_Toc504229371"/>
      <w:bookmarkStart w:id="136" w:name="_Toc501809145"/>
      <w:r w:rsidRPr="005C1900">
        <w:t>Phase</w:t>
      </w:r>
      <w:r w:rsidRPr="00545B14">
        <w:t xml:space="preserve"> II </w:t>
      </w:r>
      <w:r>
        <w:t>d</w:t>
      </w:r>
      <w:r w:rsidRPr="00545B14">
        <w:t xml:space="preserve">ose </w:t>
      </w:r>
      <w:r>
        <w:t>finding</w:t>
      </w:r>
      <w:r w:rsidRPr="00545B14">
        <w:t xml:space="preserve"> </w:t>
      </w:r>
      <w:r>
        <w:t>s</w:t>
      </w:r>
      <w:r w:rsidRPr="00545B14">
        <w:t>tudies</w:t>
      </w:r>
      <w:bookmarkEnd w:id="131"/>
      <w:bookmarkEnd w:id="132"/>
      <w:bookmarkEnd w:id="133"/>
      <w:bookmarkEnd w:id="134"/>
      <w:bookmarkEnd w:id="135"/>
      <w:bookmarkEnd w:id="136"/>
    </w:p>
    <w:p w14:paraId="7C01CCBF" w14:textId="77777777" w:rsidR="00023DE8" w:rsidRDefault="00023DE8" w:rsidP="00023DE8">
      <w:pPr>
        <w:rPr>
          <w:lang w:eastAsia="ja-JP"/>
        </w:rPr>
      </w:pPr>
      <w:r>
        <w:rPr>
          <w:lang w:eastAsia="ja-JP"/>
        </w:rPr>
        <w:t xml:space="preserve">This </w:t>
      </w:r>
      <w:r w:rsidR="00D00D21">
        <w:rPr>
          <w:lang w:eastAsia="ja-JP"/>
        </w:rPr>
        <w:t>included the following:</w:t>
      </w:r>
      <w:r>
        <w:rPr>
          <w:lang w:eastAsia="ja-JP"/>
        </w:rPr>
        <w:t xml:space="preserve"> </w:t>
      </w:r>
      <w:r w:rsidR="00D00D21">
        <w:rPr>
          <w:lang w:eastAsia="ja-JP"/>
        </w:rPr>
        <w:t xml:space="preserve">Studies </w:t>
      </w:r>
      <w:r>
        <w:rPr>
          <w:lang w:eastAsia="ja-JP"/>
        </w:rPr>
        <w:t>044, 006, 049, 047 and TAF112582.</w:t>
      </w:r>
    </w:p>
    <w:p w14:paraId="6C18C314" w14:textId="77777777" w:rsidR="00023DE8" w:rsidRPr="00670FF0" w:rsidRDefault="00023DE8" w:rsidP="00D00D21">
      <w:pPr>
        <w:pStyle w:val="Heading4"/>
      </w:pPr>
      <w:bookmarkStart w:id="137" w:name="_Toc416353712"/>
      <w:bookmarkStart w:id="138" w:name="_Toc421005265"/>
      <w:bookmarkStart w:id="139" w:name="_Toc432079147"/>
      <w:bookmarkStart w:id="140" w:name="_Toc432080720"/>
      <w:bookmarkStart w:id="141" w:name="_Toc504229372"/>
      <w:bookmarkStart w:id="142" w:name="_Toc501809146"/>
      <w:r w:rsidRPr="00670FF0">
        <w:t>Phase III pivotal studies investigating more than one dose regimen</w:t>
      </w:r>
      <w:bookmarkEnd w:id="137"/>
      <w:bookmarkEnd w:id="138"/>
      <w:bookmarkEnd w:id="139"/>
      <w:bookmarkEnd w:id="140"/>
      <w:bookmarkEnd w:id="141"/>
      <w:bookmarkEnd w:id="142"/>
    </w:p>
    <w:p w14:paraId="0D00D4AC" w14:textId="332FD570" w:rsidR="00023DE8" w:rsidRDefault="00023DE8" w:rsidP="00023DE8">
      <w:pPr>
        <w:rPr>
          <w:lang w:eastAsia="ja-JP"/>
        </w:rPr>
      </w:pPr>
      <w:r>
        <w:rPr>
          <w:lang w:eastAsia="ja-JP"/>
        </w:rPr>
        <w:t>Study 045 (Phase II/III), evaluated weekly doses of 25</w:t>
      </w:r>
      <w:r w:rsidR="003D2B33">
        <w:rPr>
          <w:lang w:eastAsia="ja-JP"/>
        </w:rPr>
        <w:t xml:space="preserve"> </w:t>
      </w:r>
      <w:r>
        <w:rPr>
          <w:lang w:eastAsia="ja-JP"/>
        </w:rPr>
        <w:t>mg, 5</w:t>
      </w:r>
      <w:r w:rsidR="00A84DBA">
        <w:rPr>
          <w:lang w:eastAsia="ja-JP"/>
        </w:rPr>
        <w:t>0 mg</w:t>
      </w:r>
      <w:r>
        <w:rPr>
          <w:lang w:eastAsia="ja-JP"/>
        </w:rPr>
        <w:t>, 100, 20</w:t>
      </w:r>
      <w:r w:rsidR="00A84DBA">
        <w:rPr>
          <w:lang w:eastAsia="ja-JP"/>
        </w:rPr>
        <w:t>0 mg</w:t>
      </w:r>
      <w:r>
        <w:rPr>
          <w:lang w:eastAsia="ja-JP"/>
        </w:rPr>
        <w:t xml:space="preserve"> and 25</w:t>
      </w:r>
      <w:r w:rsidR="00A84DBA">
        <w:rPr>
          <w:lang w:eastAsia="ja-JP"/>
        </w:rPr>
        <w:t>0</w:t>
      </w:r>
      <w:r w:rsidR="00773FF2">
        <w:rPr>
          <w:lang w:eastAsia="ja-JP"/>
        </w:rPr>
        <w:t> </w:t>
      </w:r>
      <w:r w:rsidR="00A84DBA">
        <w:rPr>
          <w:lang w:eastAsia="ja-JP"/>
        </w:rPr>
        <w:t>mg</w:t>
      </w:r>
      <w:r w:rsidR="0022128C">
        <w:rPr>
          <w:lang w:eastAsia="ja-JP"/>
        </w:rPr>
        <w:t>.</w:t>
      </w:r>
    </w:p>
    <w:p w14:paraId="73EB8E71" w14:textId="77777777" w:rsidR="00023DE8" w:rsidRDefault="00023DE8" w:rsidP="0022128C">
      <w:pPr>
        <w:pStyle w:val="Heading4"/>
      </w:pPr>
      <w:bookmarkStart w:id="143" w:name="_Toc416353713"/>
      <w:bookmarkStart w:id="144" w:name="_Toc421005266"/>
      <w:bookmarkStart w:id="145" w:name="_Toc432079148"/>
      <w:bookmarkStart w:id="146" w:name="_Toc432080721"/>
      <w:bookmarkStart w:id="147" w:name="_Toc504229373"/>
      <w:bookmarkStart w:id="148" w:name="_Toc501809147"/>
      <w:r>
        <w:t>Evaluator’s conclusions on dos</w:t>
      </w:r>
      <w:r w:rsidRPr="00670FF0">
        <w:t>e finding for the pivotal studies</w:t>
      </w:r>
      <w:bookmarkEnd w:id="143"/>
      <w:bookmarkEnd w:id="144"/>
      <w:bookmarkEnd w:id="145"/>
      <w:bookmarkEnd w:id="146"/>
      <w:bookmarkEnd w:id="147"/>
      <w:bookmarkEnd w:id="148"/>
    </w:p>
    <w:p w14:paraId="2EC47B97" w14:textId="4D1BFD9B" w:rsidR="00023DE8" w:rsidRPr="00023DE8" w:rsidRDefault="00023DE8" w:rsidP="00023DE8">
      <w:r>
        <w:rPr>
          <w:lang w:eastAsia="ja-JP"/>
        </w:rPr>
        <w:t xml:space="preserve">Data from </w:t>
      </w:r>
      <w:r w:rsidR="0022128C">
        <w:rPr>
          <w:lang w:eastAsia="ja-JP"/>
        </w:rPr>
        <w:t>S</w:t>
      </w:r>
      <w:r>
        <w:rPr>
          <w:lang w:eastAsia="ja-JP"/>
        </w:rPr>
        <w:t>tudy 045 indicated that administration of 25 mg (for each loading and weekly dose) did not provide sufficient protection. In contrast, protection with 50 mg, 100 mg, and 200 mg was similar to each other and to the mefloquine comparator, for the semi</w:t>
      </w:r>
      <w:r w:rsidR="00773FF2">
        <w:rPr>
          <w:lang w:eastAsia="ja-JP"/>
        </w:rPr>
        <w:noBreakHyphen/>
      </w:r>
      <w:r>
        <w:rPr>
          <w:lang w:eastAsia="ja-JP"/>
        </w:rPr>
        <w:t xml:space="preserve">immunes in this study. </w:t>
      </w:r>
      <w:r w:rsidR="003D2B33">
        <w:rPr>
          <w:lang w:eastAsia="ja-JP"/>
        </w:rPr>
        <w:t>Protective efficacy (</w:t>
      </w:r>
      <w:r>
        <w:rPr>
          <w:lang w:eastAsia="ja-JP"/>
        </w:rPr>
        <w:t>PE</w:t>
      </w:r>
      <w:r w:rsidR="003D2B33">
        <w:rPr>
          <w:lang w:eastAsia="ja-JP"/>
        </w:rPr>
        <w:t>)</w:t>
      </w:r>
      <w:r>
        <w:rPr>
          <w:lang w:eastAsia="ja-JP"/>
        </w:rPr>
        <w:t xml:space="preserve"> for the 200 mg based regimen was 86%, the same as the </w:t>
      </w:r>
      <w:r w:rsidR="003D2B33">
        <w:rPr>
          <w:lang w:eastAsia="ja-JP"/>
        </w:rPr>
        <w:t>PE</w:t>
      </w:r>
      <w:r>
        <w:rPr>
          <w:lang w:eastAsia="ja-JP"/>
        </w:rPr>
        <w:t xml:space="preserve"> for mefloquine, the standard of care</w:t>
      </w:r>
      <w:r w:rsidRPr="000D0245">
        <w:rPr>
          <w:lang w:eastAsia="ja-JP"/>
        </w:rPr>
        <w:t>.</w:t>
      </w:r>
    </w:p>
    <w:p w14:paraId="42C6111E" w14:textId="77777777" w:rsidR="008E7846" w:rsidRPr="00254787" w:rsidRDefault="008E7846" w:rsidP="008E7846">
      <w:pPr>
        <w:pStyle w:val="Heading3"/>
      </w:pPr>
      <w:bookmarkStart w:id="149" w:name="_Toc163441372"/>
      <w:bookmarkStart w:id="150" w:name="_Toc196046485"/>
      <w:bookmarkStart w:id="151" w:name="_Toc247691521"/>
      <w:bookmarkStart w:id="152" w:name="_Toc314842504"/>
      <w:bookmarkStart w:id="153" w:name="_Toc12348786"/>
      <w:r w:rsidRPr="00254787">
        <w:lastRenderedPageBreak/>
        <w:t>Efficacy</w:t>
      </w:r>
      <w:bookmarkEnd w:id="149"/>
      <w:bookmarkEnd w:id="150"/>
      <w:bookmarkEnd w:id="151"/>
      <w:bookmarkEnd w:id="152"/>
      <w:bookmarkEnd w:id="153"/>
    </w:p>
    <w:p w14:paraId="438B8DC1" w14:textId="77777777" w:rsidR="00605AD4" w:rsidRPr="0022128C" w:rsidRDefault="00605AD4" w:rsidP="0022128C">
      <w:pPr>
        <w:pStyle w:val="Heading4"/>
      </w:pPr>
      <w:bookmarkStart w:id="154" w:name="_Toc184439992"/>
      <w:bookmarkStart w:id="155" w:name="_Toc184440279"/>
      <w:bookmarkStart w:id="156" w:name="_Toc184444657"/>
      <w:bookmarkStart w:id="157" w:name="_Toc196046487"/>
      <w:r>
        <w:t>Studies providing efficacy data</w:t>
      </w:r>
    </w:p>
    <w:p w14:paraId="5BCA077E" w14:textId="45DD0DEE" w:rsidR="00023DE8" w:rsidRPr="009240FD" w:rsidRDefault="00023DE8" w:rsidP="0022128C">
      <w:pPr>
        <w:rPr>
          <w:lang w:eastAsia="ja-JP"/>
        </w:rPr>
      </w:pPr>
      <w:r w:rsidRPr="009240FD">
        <w:rPr>
          <w:lang w:eastAsia="ja-JP"/>
        </w:rPr>
        <w:t>For prophylactic studies, the subjects do not have disease, prior to accrual into the study. For malaria prophylactic studies, subjects are either healthy volunteers (when studies are performed on persons who do not live in the endemic region) or individuals who are healthy other than having asymptomatic parasit</w:t>
      </w:r>
      <w:r w:rsidR="00773FF2">
        <w:rPr>
          <w:lang w:eastAsia="ja-JP"/>
        </w:rPr>
        <w:t>a</w:t>
      </w:r>
      <w:r w:rsidRPr="009240FD">
        <w:rPr>
          <w:lang w:eastAsia="ja-JP"/>
        </w:rPr>
        <w:t>emia which is cured with standard malaria treatment agent</w:t>
      </w:r>
      <w:r w:rsidR="003D2B33">
        <w:rPr>
          <w:lang w:eastAsia="ja-JP"/>
        </w:rPr>
        <w:t>s before the subject is randomis</w:t>
      </w:r>
      <w:r w:rsidRPr="009240FD">
        <w:rPr>
          <w:lang w:eastAsia="ja-JP"/>
        </w:rPr>
        <w:t>ed to a study treatment group (when studies are performed in the endemic regions on local populations</w:t>
      </w:r>
      <w:r>
        <w:rPr>
          <w:lang w:eastAsia="ja-JP"/>
        </w:rPr>
        <w:t xml:space="preserve">. </w:t>
      </w:r>
      <w:r w:rsidRPr="009240FD">
        <w:rPr>
          <w:lang w:eastAsia="ja-JP"/>
        </w:rPr>
        <w:t xml:space="preserve">The baseline health characteristics in these field studies are representative of the general population who will </w:t>
      </w:r>
      <w:r w:rsidR="00773FF2" w:rsidRPr="009240FD">
        <w:rPr>
          <w:lang w:eastAsia="ja-JP"/>
        </w:rPr>
        <w:t>utili</w:t>
      </w:r>
      <w:r w:rsidR="00773FF2">
        <w:rPr>
          <w:lang w:eastAsia="ja-JP"/>
        </w:rPr>
        <w:t>s</w:t>
      </w:r>
      <w:r w:rsidR="00773FF2" w:rsidRPr="009240FD">
        <w:rPr>
          <w:lang w:eastAsia="ja-JP"/>
        </w:rPr>
        <w:t xml:space="preserve">e </w:t>
      </w:r>
      <w:r w:rsidRPr="009240FD">
        <w:rPr>
          <w:lang w:eastAsia="ja-JP"/>
        </w:rPr>
        <w:t>anti-malarial prophylaxis with tafenoquine.</w:t>
      </w:r>
    </w:p>
    <w:p w14:paraId="708E5991" w14:textId="72330537" w:rsidR="00023DE8" w:rsidRPr="009240FD" w:rsidRDefault="00023DE8" w:rsidP="0022128C">
      <w:pPr>
        <w:rPr>
          <w:lang w:eastAsia="ja-JP"/>
        </w:rPr>
      </w:pPr>
      <w:r w:rsidRPr="009240FD">
        <w:rPr>
          <w:lang w:eastAsia="ja-JP"/>
        </w:rPr>
        <w:t xml:space="preserve">For the indication </w:t>
      </w:r>
      <w:r w:rsidR="0039759D">
        <w:rPr>
          <w:lang w:eastAsia="ja-JP"/>
        </w:rPr>
        <w:t>‘</w:t>
      </w:r>
      <w:r w:rsidRPr="009240FD">
        <w:rPr>
          <w:lang w:eastAsia="ja-JP"/>
        </w:rPr>
        <w:t>prophylaxis of malaria</w:t>
      </w:r>
      <w:r w:rsidR="0039759D">
        <w:rPr>
          <w:lang w:eastAsia="ja-JP"/>
        </w:rPr>
        <w:t>’</w:t>
      </w:r>
      <w:r w:rsidRPr="009240FD">
        <w:rPr>
          <w:lang w:eastAsia="ja-JP"/>
        </w:rPr>
        <w:t xml:space="preserve"> post exposure, subjects received malaria prophylaxis or treatment with a standard agent in the endemic area, and then upon exiting the endemic region were </w:t>
      </w:r>
      <w:r w:rsidR="00773FF2" w:rsidRPr="009240FD">
        <w:rPr>
          <w:lang w:eastAsia="ja-JP"/>
        </w:rPr>
        <w:t>randomi</w:t>
      </w:r>
      <w:r w:rsidR="00773FF2">
        <w:rPr>
          <w:lang w:eastAsia="ja-JP"/>
        </w:rPr>
        <w:t>s</w:t>
      </w:r>
      <w:r w:rsidR="00773FF2" w:rsidRPr="009240FD">
        <w:rPr>
          <w:lang w:eastAsia="ja-JP"/>
        </w:rPr>
        <w:t xml:space="preserve">ed </w:t>
      </w:r>
      <w:r w:rsidRPr="009240FD">
        <w:rPr>
          <w:lang w:eastAsia="ja-JP"/>
        </w:rPr>
        <w:t xml:space="preserve">to post-exposure anti-hypnozoite prophylaxis with either standard </w:t>
      </w:r>
      <w:r w:rsidR="00994561">
        <w:rPr>
          <w:lang w:eastAsia="ja-JP"/>
        </w:rPr>
        <w:t>primaquine</w:t>
      </w:r>
      <w:r w:rsidRPr="009240FD">
        <w:rPr>
          <w:lang w:eastAsia="ja-JP"/>
        </w:rPr>
        <w:t xml:space="preserve"> or tafenoquine</w:t>
      </w:r>
      <w:r>
        <w:rPr>
          <w:lang w:eastAsia="ja-JP"/>
        </w:rPr>
        <w:t xml:space="preserve"> (Study 049)</w:t>
      </w:r>
      <w:r w:rsidRPr="009240FD">
        <w:rPr>
          <w:lang w:eastAsia="ja-JP"/>
        </w:rPr>
        <w:t>.</w:t>
      </w:r>
    </w:p>
    <w:p w14:paraId="200F05FD" w14:textId="260C7A54" w:rsidR="00023DE8" w:rsidRDefault="00023DE8" w:rsidP="0022128C">
      <w:r w:rsidRPr="009240FD">
        <w:t>The primary efficacy endpoint and primary efficacy analytic endpoints are based the cumulative incidence of parasit</w:t>
      </w:r>
      <w:r w:rsidR="00773FF2">
        <w:t>a</w:t>
      </w:r>
      <w:r w:rsidRPr="009240FD">
        <w:t>emia, with incidence density (parasitology per unit time) being used for secondary analyses, in conformity with the FDA Guidance document.</w:t>
      </w:r>
      <w:r w:rsidR="0022128C" w:rsidRPr="0022128C">
        <w:rPr>
          <w:vertAlign w:val="superscript"/>
        </w:rPr>
        <w:fldChar w:fldCharType="begin"/>
      </w:r>
      <w:r w:rsidR="0022128C" w:rsidRPr="0022128C">
        <w:rPr>
          <w:vertAlign w:val="superscript"/>
        </w:rPr>
        <w:instrText xml:space="preserve"> NOTEREF _Ref524006662 \h </w:instrText>
      </w:r>
      <w:r w:rsidR="0022128C">
        <w:rPr>
          <w:vertAlign w:val="superscript"/>
        </w:rPr>
        <w:instrText xml:space="preserve"> \* MERGEFORMAT </w:instrText>
      </w:r>
      <w:r w:rsidR="0022128C" w:rsidRPr="0022128C">
        <w:rPr>
          <w:vertAlign w:val="superscript"/>
        </w:rPr>
      </w:r>
      <w:r w:rsidR="0022128C" w:rsidRPr="0022128C">
        <w:rPr>
          <w:vertAlign w:val="superscript"/>
        </w:rPr>
        <w:fldChar w:fldCharType="separate"/>
      </w:r>
      <w:r w:rsidR="00CE218E">
        <w:rPr>
          <w:vertAlign w:val="superscript"/>
        </w:rPr>
        <w:t>3</w:t>
      </w:r>
      <w:r w:rsidR="0022128C" w:rsidRPr="0022128C">
        <w:rPr>
          <w:vertAlign w:val="superscript"/>
        </w:rPr>
        <w:fldChar w:fldCharType="end"/>
      </w:r>
    </w:p>
    <w:p w14:paraId="7B658D8E" w14:textId="77777777" w:rsidR="00023DE8" w:rsidRDefault="00023DE8" w:rsidP="004B24CD">
      <w:pPr>
        <w:pStyle w:val="Heading4"/>
      </w:pPr>
      <w:bookmarkStart w:id="158" w:name="_Toc504229375"/>
      <w:bookmarkStart w:id="159" w:name="_Toc501809149"/>
      <w:r w:rsidRPr="00545B14">
        <w:t xml:space="preserve">Studies providing evaluable </w:t>
      </w:r>
      <w:r>
        <w:t>efficacy</w:t>
      </w:r>
      <w:r w:rsidRPr="00545B14">
        <w:t xml:space="preserve"> data</w:t>
      </w:r>
      <w:bookmarkEnd w:id="158"/>
      <w:bookmarkEnd w:id="159"/>
    </w:p>
    <w:p w14:paraId="01F467D7" w14:textId="77777777" w:rsidR="00023DE8" w:rsidRDefault="00023DE8" w:rsidP="00023DE8">
      <w:pPr>
        <w:rPr>
          <w:lang w:eastAsia="ja-JP"/>
        </w:rPr>
      </w:pPr>
      <w:r>
        <w:rPr>
          <w:lang w:eastAsia="ja-JP"/>
        </w:rPr>
        <w:t xml:space="preserve">The pivotal efficacy trial in this submission is Study 033, a Phase </w:t>
      </w:r>
      <w:r w:rsidR="004B24CD">
        <w:rPr>
          <w:lang w:eastAsia="ja-JP"/>
        </w:rPr>
        <w:t>III, randomis</w:t>
      </w:r>
      <w:r>
        <w:rPr>
          <w:lang w:eastAsia="ja-JP"/>
        </w:rPr>
        <w:t>ed, double-blind, comparator</w:t>
      </w:r>
      <w:r w:rsidR="004B24CD">
        <w:rPr>
          <w:lang w:eastAsia="ja-JP"/>
        </w:rPr>
        <w:t xml:space="preserve"> </w:t>
      </w:r>
      <w:r>
        <w:rPr>
          <w:lang w:eastAsia="ja-JP"/>
        </w:rPr>
        <w:t>controlled prophylactic trial in non-immunes to evaluate the anticipated clinical regimen of tafenoquine in comparison with mefloquine for the prophylaxis of Pf and Pv malaria in non-immune Australian soldiers deployed to East Timor (now Timor-Leste). Study 045 was added as a second ‘pivotal’ study to show efficacy in ‘semi-immunes’ living in a malaria endemic area of Ghana.</w:t>
      </w:r>
    </w:p>
    <w:p w14:paraId="18406246" w14:textId="77777777" w:rsidR="00023DE8" w:rsidRDefault="00023DE8" w:rsidP="00023DE8">
      <w:pPr>
        <w:rPr>
          <w:lang w:eastAsia="ja-JP"/>
        </w:rPr>
      </w:pPr>
      <w:r>
        <w:rPr>
          <w:lang w:eastAsia="ja-JP"/>
        </w:rPr>
        <w:t xml:space="preserve">For </w:t>
      </w:r>
      <w:r w:rsidR="0039759D">
        <w:rPr>
          <w:lang w:eastAsia="ja-JP"/>
        </w:rPr>
        <w:t>‘</w:t>
      </w:r>
      <w:r>
        <w:rPr>
          <w:lang w:eastAsia="ja-JP"/>
        </w:rPr>
        <w:t>Prevention of Malaria while in the endemic region</w:t>
      </w:r>
      <w:r w:rsidR="0039759D">
        <w:rPr>
          <w:lang w:eastAsia="ja-JP"/>
        </w:rPr>
        <w:t>’</w:t>
      </w:r>
      <w:r>
        <w:rPr>
          <w:lang w:eastAsia="ja-JP"/>
        </w:rPr>
        <w:t xml:space="preserve">, the </w:t>
      </w:r>
      <w:r w:rsidR="004B24CD">
        <w:rPr>
          <w:lang w:eastAsia="ja-JP"/>
        </w:rPr>
        <w:t>sponsor’s</w:t>
      </w:r>
      <w:r>
        <w:rPr>
          <w:lang w:eastAsia="ja-JP"/>
        </w:rPr>
        <w:t xml:space="preserve"> designated key trials consist of at least one study with each of the above FDA</w:t>
      </w:r>
      <w:r w:rsidR="004B24CD">
        <w:rPr>
          <w:lang w:eastAsia="ja-JP"/>
        </w:rPr>
        <w:t xml:space="preserve"> </w:t>
      </w:r>
      <w:r>
        <w:rPr>
          <w:lang w:eastAsia="ja-JP"/>
        </w:rPr>
        <w:t>recommended designs.</w:t>
      </w:r>
    </w:p>
    <w:p w14:paraId="7906CFA0" w14:textId="77777777" w:rsidR="00023DE8" w:rsidRDefault="00023DE8" w:rsidP="004B24CD">
      <w:pPr>
        <w:pStyle w:val="ListBullet"/>
      </w:pPr>
      <w:r>
        <w:t>Study 033: Active comparator-controlled prophylactic trial in non-immunes returning from an endemic area.</w:t>
      </w:r>
    </w:p>
    <w:p w14:paraId="155826D0" w14:textId="2815B761" w:rsidR="00023DE8" w:rsidRDefault="00023DE8" w:rsidP="004B24CD">
      <w:pPr>
        <w:pStyle w:val="ListBullet"/>
      </w:pPr>
      <w:r>
        <w:t xml:space="preserve">Study 045: A </w:t>
      </w:r>
      <w:r w:rsidR="004B24CD">
        <w:t>P</w:t>
      </w:r>
      <w:r>
        <w:t xml:space="preserve">hase </w:t>
      </w:r>
      <w:r w:rsidR="004B24CD">
        <w:t>II</w:t>
      </w:r>
      <w:r>
        <w:t>/</w:t>
      </w:r>
      <w:r w:rsidR="004B24CD">
        <w:t>III</w:t>
      </w:r>
      <w:r>
        <w:t xml:space="preserve"> placebo controlled prophylactic trial in semi-immunes. This was a </w:t>
      </w:r>
      <w:r w:rsidR="002E3DAA">
        <w:t>randomised</w:t>
      </w:r>
      <w:r>
        <w:t>, double-blind, placebo controlled evaluation of tafenoquine compared to mefloquine for chemoprophylaxis in northern Ghana. One of the regimens was the anticipated clinical regimen.</w:t>
      </w:r>
    </w:p>
    <w:p w14:paraId="71D5AC70" w14:textId="77777777" w:rsidR="00023DE8" w:rsidRDefault="00023DE8" w:rsidP="004B24CD">
      <w:pPr>
        <w:pStyle w:val="ListBullet"/>
      </w:pPr>
      <w:r>
        <w:t>Study 043: Placebo-controlled prophylactic trial in semi-immunes in Africa. One of the regimens was the anticipated clinical regimen.</w:t>
      </w:r>
    </w:p>
    <w:p w14:paraId="2D452B57" w14:textId="23E85865" w:rsidR="00023DE8" w:rsidRDefault="00023DE8" w:rsidP="004B24CD">
      <w:pPr>
        <w:pStyle w:val="ListBullet"/>
      </w:pPr>
      <w:r>
        <w:t xml:space="preserve">Study </w:t>
      </w:r>
      <w:r w:rsidR="00035012">
        <w:t>TQ-2016-0</w:t>
      </w:r>
      <w:r w:rsidR="00E71EF1">
        <w:t>2</w:t>
      </w:r>
      <w:r>
        <w:t xml:space="preserve">: A </w:t>
      </w:r>
      <w:r w:rsidR="004B24CD">
        <w:t>P</w:t>
      </w:r>
      <w:r>
        <w:t xml:space="preserve">hase </w:t>
      </w:r>
      <w:r w:rsidR="004B24CD">
        <w:t>II</w:t>
      </w:r>
      <w:r>
        <w:t>/</w:t>
      </w:r>
      <w:r w:rsidR="004B24CD">
        <w:t>III</w:t>
      </w:r>
      <w:r>
        <w:t xml:space="preserve"> placebo-controlled prophylactic study v</w:t>
      </w:r>
      <w:r w:rsidR="004B24CD">
        <w:t>ersu</w:t>
      </w:r>
      <w:r>
        <w:t>s Pf in non-immunes in a human challenge model.</w:t>
      </w:r>
    </w:p>
    <w:p w14:paraId="519C7CC0" w14:textId="6428C43A" w:rsidR="00023DE8" w:rsidRDefault="00023DE8" w:rsidP="004B24CD">
      <w:pPr>
        <w:pStyle w:val="ListBullet"/>
      </w:pPr>
      <w:r>
        <w:t xml:space="preserve">Study 058: A </w:t>
      </w:r>
      <w:r w:rsidR="004B24CD">
        <w:t>P</w:t>
      </w:r>
      <w:r>
        <w:t xml:space="preserve">hase </w:t>
      </w:r>
      <w:r w:rsidR="004B24CD">
        <w:t>II</w:t>
      </w:r>
      <w:r>
        <w:t>/</w:t>
      </w:r>
      <w:r w:rsidR="004B24CD">
        <w:t>III</w:t>
      </w:r>
      <w:r>
        <w:t xml:space="preserve"> treatment study of </w:t>
      </w:r>
      <w:proofErr w:type="gramStart"/>
      <w:r>
        <w:t>Pv</w:t>
      </w:r>
      <w:proofErr w:type="gramEnd"/>
      <w:r>
        <w:t xml:space="preserve"> in semi-immune Thai</w:t>
      </w:r>
      <w:r w:rsidR="002E3DAA">
        <w:t xml:space="preserve"> people</w:t>
      </w:r>
      <w:r>
        <w:t>, which also produced prophylaxis data.</w:t>
      </w:r>
    </w:p>
    <w:p w14:paraId="7B6AAAE9" w14:textId="77777777" w:rsidR="00023DE8" w:rsidRDefault="00023DE8" w:rsidP="00023DE8">
      <w:pPr>
        <w:rPr>
          <w:lang w:eastAsia="ja-JP"/>
        </w:rPr>
      </w:pPr>
      <w:r>
        <w:rPr>
          <w:lang w:eastAsia="ja-JP"/>
        </w:rPr>
        <w:t>Other studies that preceded and are submitted to support the key trials listed above consist of the following:</w:t>
      </w:r>
    </w:p>
    <w:p w14:paraId="462BB2B1" w14:textId="77777777" w:rsidR="00023DE8" w:rsidRDefault="00023DE8" w:rsidP="00C6196D">
      <w:pPr>
        <w:pStyle w:val="ListBullet"/>
      </w:pPr>
      <w:r>
        <w:t>Studies 053 and 054: Prophylactic efficacy of single-dose (Study 053) and early multiple-dose (Study 054) tafenoquine regimens in the human Pf challenge model.</w:t>
      </w:r>
    </w:p>
    <w:p w14:paraId="1573087F" w14:textId="77777777" w:rsidR="00023DE8" w:rsidRDefault="00023DE8" w:rsidP="00C6196D">
      <w:pPr>
        <w:pStyle w:val="ListBullet"/>
      </w:pPr>
      <w:r>
        <w:t>Study 006: Different loading doses for semi-immunes in Africa.</w:t>
      </w:r>
    </w:p>
    <w:p w14:paraId="79199B98" w14:textId="77777777" w:rsidR="00023DE8" w:rsidRDefault="00023DE8" w:rsidP="00C6196D">
      <w:pPr>
        <w:pStyle w:val="ListBullet"/>
      </w:pPr>
      <w:r>
        <w:t xml:space="preserve">Study 044: </w:t>
      </w:r>
      <w:r w:rsidR="0039759D">
        <w:t>‘</w:t>
      </w:r>
      <w:r>
        <w:t>Full prophylactic regimen</w:t>
      </w:r>
      <w:r w:rsidR="0039759D">
        <w:t>’</w:t>
      </w:r>
      <w:r>
        <w:t xml:space="preserve"> with a higher dose than the final clinical dose for non-immunes in Southeast Asia.</w:t>
      </w:r>
    </w:p>
    <w:p w14:paraId="6672FD8B" w14:textId="77777777" w:rsidR="00023DE8" w:rsidRDefault="00023DE8" w:rsidP="00C6196D">
      <w:pPr>
        <w:pStyle w:val="ListBullet"/>
      </w:pPr>
      <w:r>
        <w:lastRenderedPageBreak/>
        <w:t xml:space="preserve">Study TAF-112582, a treatment/prophylaxis study in patients with </w:t>
      </w:r>
      <w:proofErr w:type="gramStart"/>
      <w:r>
        <w:t>Pv</w:t>
      </w:r>
      <w:proofErr w:type="gramEnd"/>
      <w:r>
        <w:t xml:space="preserve"> malaria in endemic areas.</w:t>
      </w:r>
    </w:p>
    <w:p w14:paraId="6475A9EA" w14:textId="0AFCC38F" w:rsidR="00023DE8" w:rsidRDefault="00023DE8" w:rsidP="00C6196D">
      <w:pPr>
        <w:pStyle w:val="ListBullet"/>
      </w:pPr>
      <w:r>
        <w:t>Study 030: The anticipated clinical regimen (200 mg per day x 3 days followed by 200</w:t>
      </w:r>
      <w:r w:rsidR="002E3DAA">
        <w:t> </w:t>
      </w:r>
      <w:r>
        <w:t>mg weekly) compared to placebo and positive control (mefloquine).</w:t>
      </w:r>
    </w:p>
    <w:p w14:paraId="11046FD8" w14:textId="19AE02EA" w:rsidR="00023DE8" w:rsidRDefault="00023DE8" w:rsidP="00023DE8">
      <w:pPr>
        <w:rPr>
          <w:lang w:eastAsia="ja-JP"/>
        </w:rPr>
      </w:pPr>
      <w:r>
        <w:rPr>
          <w:lang w:eastAsia="ja-JP"/>
        </w:rPr>
        <w:t xml:space="preserve">For the part of the indication </w:t>
      </w:r>
      <w:r w:rsidR="0039759D">
        <w:rPr>
          <w:lang w:eastAsia="ja-JP"/>
        </w:rPr>
        <w:t>‘</w:t>
      </w:r>
      <w:r w:rsidRPr="00C6196D">
        <w:rPr>
          <w:i/>
          <w:lang w:eastAsia="ja-JP"/>
        </w:rPr>
        <w:t>Prophylaxis of malaria after leaving the endemic region</w:t>
      </w:r>
      <w:r w:rsidR="0039759D" w:rsidRPr="00C6196D">
        <w:rPr>
          <w:i/>
          <w:lang w:eastAsia="ja-JP"/>
        </w:rPr>
        <w:t>’</w:t>
      </w:r>
      <w:r>
        <w:rPr>
          <w:lang w:eastAsia="ja-JP"/>
        </w:rPr>
        <w:t xml:space="preserve">, 5 relevant studies have been submitted. Pivotal </w:t>
      </w:r>
      <w:r w:rsidR="00C6196D">
        <w:rPr>
          <w:lang w:eastAsia="ja-JP"/>
        </w:rPr>
        <w:t>S</w:t>
      </w:r>
      <w:r>
        <w:rPr>
          <w:lang w:eastAsia="ja-JP"/>
        </w:rPr>
        <w:t>tudy 033 fulfils regulatory criterion</w:t>
      </w:r>
      <w:r w:rsidR="006F2C7A" w:rsidRPr="006F2C7A">
        <w:rPr>
          <w:lang w:eastAsia="ja-JP"/>
        </w:rPr>
        <w:t>-</w:t>
      </w:r>
      <w:r>
        <w:rPr>
          <w:lang w:eastAsia="ja-JP"/>
        </w:rPr>
        <w:t>a comparison of tafenoquine to an active comparator (</w:t>
      </w:r>
      <w:r w:rsidR="00994561">
        <w:rPr>
          <w:lang w:eastAsia="ja-JP"/>
        </w:rPr>
        <w:t>primaquine</w:t>
      </w:r>
      <w:r>
        <w:rPr>
          <w:lang w:eastAsia="ja-JP"/>
        </w:rPr>
        <w:t xml:space="preserve">) in non-immunes. Supporting Study 049 also compares tafenoquine to </w:t>
      </w:r>
      <w:r w:rsidR="00994561">
        <w:rPr>
          <w:lang w:eastAsia="ja-JP"/>
        </w:rPr>
        <w:t>primaquine</w:t>
      </w:r>
      <w:r>
        <w:rPr>
          <w:lang w:eastAsia="ja-JP"/>
        </w:rPr>
        <w:t xml:space="preserve"> in non-immunes. Supporting Studies 047 and 058 compare tafenoquine to </w:t>
      </w:r>
      <w:r w:rsidR="00994561">
        <w:rPr>
          <w:lang w:eastAsia="ja-JP"/>
        </w:rPr>
        <w:t>primaquine</w:t>
      </w:r>
      <w:r>
        <w:rPr>
          <w:lang w:eastAsia="ja-JP"/>
        </w:rPr>
        <w:t xml:space="preserve"> in </w:t>
      </w:r>
      <w:r w:rsidR="002E3DAA">
        <w:rPr>
          <w:lang w:eastAsia="ja-JP"/>
        </w:rPr>
        <w:t xml:space="preserve">Thai people </w:t>
      </w:r>
      <w:r>
        <w:rPr>
          <w:lang w:eastAsia="ja-JP"/>
        </w:rPr>
        <w:t>who are of mixed immunity. Study</w:t>
      </w:r>
      <w:r w:rsidR="002E3DAA">
        <w:rPr>
          <w:lang w:eastAsia="ja-JP"/>
        </w:rPr>
        <w:t> </w:t>
      </w:r>
      <w:r>
        <w:rPr>
          <w:lang w:eastAsia="ja-JP"/>
        </w:rPr>
        <w:t>046 was an open label study that failed to enrol.</w:t>
      </w:r>
    </w:p>
    <w:p w14:paraId="72437247" w14:textId="32E19EC1" w:rsidR="00023DE8" w:rsidRDefault="00023DE8" w:rsidP="00C6196D">
      <w:pPr>
        <w:pStyle w:val="ListBullet"/>
      </w:pPr>
      <w:r>
        <w:t xml:space="preserve">Study 033: Upon exit of non-immunes from the endemic region, mefloquine subjects received </w:t>
      </w:r>
      <w:r w:rsidR="00994561">
        <w:t>primaquine</w:t>
      </w:r>
      <w:r>
        <w:t xml:space="preserve"> while tafenoquine subjects were not further treated, thus permitting a comparison between </w:t>
      </w:r>
      <w:r w:rsidR="00994561">
        <w:t>primaquine</w:t>
      </w:r>
      <w:r>
        <w:t xml:space="preserve"> and tafenoquine for post-exposure prophylaxis.</w:t>
      </w:r>
    </w:p>
    <w:p w14:paraId="20841291" w14:textId="0FE069ED" w:rsidR="00023DE8" w:rsidRDefault="00023DE8" w:rsidP="00C6196D">
      <w:pPr>
        <w:pStyle w:val="ListBullet"/>
      </w:pPr>
      <w:r>
        <w:t>Study 058: In addition to evaluating the treatment effect of tafenoquine against Pv already present in the blood of semi-immune Thais, follow-up was extended to 120</w:t>
      </w:r>
      <w:r w:rsidR="002E3DAA">
        <w:t> </w:t>
      </w:r>
      <w:r>
        <w:t xml:space="preserve">days and thus assesses relapse of the tafenoquine regimen used compared to </w:t>
      </w:r>
      <w:r w:rsidR="00994561">
        <w:t>primaquine</w:t>
      </w:r>
      <w:r>
        <w:t xml:space="preserve"> up to that time.</w:t>
      </w:r>
    </w:p>
    <w:p w14:paraId="05C9196C" w14:textId="1DEA57B3" w:rsidR="00023DE8" w:rsidRDefault="00023DE8" w:rsidP="00C6196D">
      <w:pPr>
        <w:pStyle w:val="ListBullet"/>
      </w:pPr>
      <w:r>
        <w:t xml:space="preserve">Study 047: Wide range of short tafenoquine regimens compared to </w:t>
      </w:r>
      <w:r w:rsidR="00994561">
        <w:t>primaquine</w:t>
      </w:r>
      <w:r>
        <w:t xml:space="preserve"> for </w:t>
      </w:r>
      <w:r w:rsidR="002E3DAA">
        <w:t xml:space="preserve">Thai people </w:t>
      </w:r>
      <w:r>
        <w:t>in Southeast Asia</w:t>
      </w:r>
      <w:r w:rsidR="00C6196D">
        <w:t>.</w:t>
      </w:r>
    </w:p>
    <w:p w14:paraId="0EE1086C" w14:textId="42333309" w:rsidR="00023DE8" w:rsidRDefault="00023DE8" w:rsidP="00C6196D">
      <w:pPr>
        <w:pStyle w:val="ListBullet"/>
      </w:pPr>
      <w:r>
        <w:t xml:space="preserve">Study 049: Several short tafenoquine regimens compared to </w:t>
      </w:r>
      <w:r w:rsidR="00994561">
        <w:t>primaquine</w:t>
      </w:r>
      <w:r>
        <w:t xml:space="preserve"> for Australian non-immunes</w:t>
      </w:r>
      <w:r w:rsidR="00C6196D">
        <w:t>.</w:t>
      </w:r>
    </w:p>
    <w:p w14:paraId="6A0CD5F2" w14:textId="77777777" w:rsidR="00023DE8" w:rsidRDefault="00C6196D" w:rsidP="00C6196D">
      <w:pPr>
        <w:rPr>
          <w:lang w:eastAsia="ja-JP"/>
        </w:rPr>
      </w:pPr>
      <w:r>
        <w:t>In the</w:t>
      </w:r>
      <w:r w:rsidR="00023DE8" w:rsidRPr="007E7B0B">
        <w:t xml:space="preserve"> tafenoquine efficacy studies, males (3,232 subjects) predominated overall; however, 771 females </w:t>
      </w:r>
      <w:r w:rsidR="00023DE8" w:rsidRPr="009240FD">
        <w:rPr>
          <w:lang w:eastAsia="ja-JP"/>
        </w:rPr>
        <w:t xml:space="preserve">also participated. The mean age </w:t>
      </w:r>
      <w:r>
        <w:rPr>
          <w:lang w:eastAsia="ja-JP"/>
        </w:rPr>
        <w:t>was</w:t>
      </w:r>
      <w:r w:rsidR="00023DE8" w:rsidRPr="009240FD">
        <w:rPr>
          <w:lang w:eastAsia="ja-JP"/>
        </w:rPr>
        <w:t xml:space="preserve"> 29 years, mean weight </w:t>
      </w:r>
      <w:r>
        <w:rPr>
          <w:lang w:eastAsia="ja-JP"/>
        </w:rPr>
        <w:t>was</w:t>
      </w:r>
      <w:r w:rsidR="00023DE8" w:rsidRPr="009240FD">
        <w:rPr>
          <w:lang w:eastAsia="ja-JP"/>
        </w:rPr>
        <w:t xml:space="preserve"> 69 kg</w:t>
      </w:r>
      <w:r>
        <w:rPr>
          <w:lang w:eastAsia="ja-JP"/>
        </w:rPr>
        <w:t>;</w:t>
      </w:r>
      <w:r w:rsidR="00023DE8" w:rsidRPr="009240FD">
        <w:rPr>
          <w:lang w:eastAsia="ja-JP"/>
        </w:rPr>
        <w:t xml:space="preserve"> </w:t>
      </w:r>
      <w:r>
        <w:rPr>
          <w:lang w:eastAsia="ja-JP"/>
        </w:rPr>
        <w:t>the</w:t>
      </w:r>
      <w:r w:rsidR="00023DE8" w:rsidRPr="009240FD">
        <w:rPr>
          <w:lang w:eastAsia="ja-JP"/>
        </w:rPr>
        <w:t xml:space="preserve"> mean body mass index (BMI) of 23 signified a healthy young adult population. Subjects ranged in age from 12 years to 70 years. Drop-outs were few (approximately 2.5%).</w:t>
      </w:r>
    </w:p>
    <w:p w14:paraId="659E108B" w14:textId="032DEC3D" w:rsidR="002E3DAA" w:rsidRDefault="00023DE8" w:rsidP="002E3DAA">
      <w:r w:rsidRPr="009240FD">
        <w:rPr>
          <w:lang w:eastAsia="ja-JP"/>
        </w:rPr>
        <w:t xml:space="preserve">The </w:t>
      </w:r>
      <w:r w:rsidRPr="009240FD">
        <w:t xml:space="preserve">primary efficacy </w:t>
      </w:r>
      <w:r w:rsidRPr="00C6196D">
        <w:t>endpoint</w:t>
      </w:r>
      <w:r w:rsidRPr="009240FD">
        <w:t xml:space="preserve"> in all clinical trials was confirmed parasit</w:t>
      </w:r>
      <w:r w:rsidR="0087154A">
        <w:t>a</w:t>
      </w:r>
      <w:r w:rsidRPr="009240FD">
        <w:t>emia. Confirmed parasit</w:t>
      </w:r>
      <w:r w:rsidR="0087154A">
        <w:t>a</w:t>
      </w:r>
      <w:r w:rsidRPr="009240FD">
        <w:t xml:space="preserve">emia signifies that the presence of parasites in the blood smears had to be confirmed by two independent microscopists. The primary efficacy </w:t>
      </w:r>
      <w:r w:rsidRPr="00C6196D">
        <w:t>analytic parameter (the primary efficacy variable that was calculated from the parasitemia data) in studies</w:t>
      </w:r>
      <w:r w:rsidRPr="009240FD">
        <w:t xml:space="preserve"> that contained a placebo group (Studies 006, 043, 044, 045, 030) was </w:t>
      </w:r>
      <w:r w:rsidR="0039759D">
        <w:t>‘</w:t>
      </w:r>
      <w:r w:rsidRPr="009240FD">
        <w:t>Protective Efficacy</w:t>
      </w:r>
      <w:r w:rsidR="0039759D">
        <w:t>’</w:t>
      </w:r>
      <w:r w:rsidR="003D2B33">
        <w:t xml:space="preserve"> (PE).</w:t>
      </w:r>
      <w:r w:rsidRPr="009240FD">
        <w:t xml:space="preserve"> P</w:t>
      </w:r>
      <w:r w:rsidR="003D2B33">
        <w:t>E</w:t>
      </w:r>
      <w:r w:rsidR="004C7147">
        <w:t xml:space="preserve"> versus </w:t>
      </w:r>
      <w:r w:rsidRPr="009240FD">
        <w:t>placebo was defined as follows:</w:t>
      </w:r>
      <w:r w:rsidR="00222998">
        <w:t xml:space="preserve"> </w:t>
      </w:r>
      <w:r w:rsidRPr="007E7B0B">
        <w:t>PE = (attack rate of placebo – attack rate of tafenoquine) / (attack rate of placebo) = (1</w:t>
      </w:r>
      <w:r w:rsidR="002E3DAA">
        <w:t xml:space="preserve"> - </w:t>
      </w:r>
      <w:r w:rsidRPr="007E7B0B">
        <w:t>relative risk of developing parasit</w:t>
      </w:r>
      <w:r w:rsidR="0087154A">
        <w:t>a</w:t>
      </w:r>
      <w:r w:rsidRPr="007E7B0B">
        <w:t>emia tafenoquine: placebo) x 100%</w:t>
      </w:r>
      <w:r>
        <w:t xml:space="preserve">. </w:t>
      </w:r>
      <w:r w:rsidRPr="007E7B0B">
        <w:t>Where attack rate = number of subjects who developed parasit</w:t>
      </w:r>
      <w:r w:rsidR="0087154A">
        <w:t>a</w:t>
      </w:r>
      <w:r w:rsidRPr="007E7B0B">
        <w:t>emia / number of subjects.</w:t>
      </w:r>
    </w:p>
    <w:p w14:paraId="0978A665" w14:textId="56326C5C" w:rsidR="00023DE8" w:rsidRPr="007E7B0B" w:rsidRDefault="00023DE8" w:rsidP="00C6196D">
      <w:r w:rsidRPr="007E7B0B">
        <w:t xml:space="preserve">The primary efficacy analytic parameter in studies that did not contain a placebo group (Studies 033, 047, 049, and 058) was </w:t>
      </w:r>
      <w:r w:rsidR="0039759D">
        <w:t>‘</w:t>
      </w:r>
      <w:r w:rsidRPr="007E7B0B">
        <w:t>parasit</w:t>
      </w:r>
      <w:r w:rsidR="0087154A">
        <w:t>a</w:t>
      </w:r>
      <w:r w:rsidRPr="007E7B0B">
        <w:t>emia</w:t>
      </w:r>
      <w:r w:rsidR="0039759D">
        <w:t>’</w:t>
      </w:r>
      <w:r w:rsidRPr="007E7B0B">
        <w:t xml:space="preserve"> or </w:t>
      </w:r>
      <w:r w:rsidR="0039759D">
        <w:t>‘</w:t>
      </w:r>
      <w:r w:rsidRPr="007E7B0B">
        <w:t>no</w:t>
      </w:r>
      <w:r w:rsidR="002E3DAA">
        <w:t xml:space="preserve"> </w:t>
      </w:r>
      <w:r w:rsidRPr="007E7B0B">
        <w:t>parasit</w:t>
      </w:r>
      <w:r w:rsidR="0087154A">
        <w:t>a</w:t>
      </w:r>
      <w:r w:rsidRPr="007E7B0B">
        <w:t>emia,</w:t>
      </w:r>
      <w:r w:rsidR="0039759D">
        <w:t>’</w:t>
      </w:r>
      <w:r w:rsidRPr="007E7B0B">
        <w:t xml:space="preserve"> or the synonymous terms </w:t>
      </w:r>
      <w:r w:rsidR="0039759D">
        <w:t>‘</w:t>
      </w:r>
      <w:r w:rsidRPr="007E7B0B">
        <w:t>prophylactic failure</w:t>
      </w:r>
      <w:r w:rsidR="0039759D">
        <w:t>’</w:t>
      </w:r>
      <w:r w:rsidRPr="007E7B0B">
        <w:t xml:space="preserve"> or </w:t>
      </w:r>
      <w:r w:rsidR="0039759D">
        <w:t>‘</w:t>
      </w:r>
      <w:r w:rsidRPr="007E7B0B">
        <w:t xml:space="preserve">prophylactic </w:t>
      </w:r>
      <w:proofErr w:type="gramStart"/>
      <w:r w:rsidRPr="007E7B0B">
        <w:t>success</w:t>
      </w:r>
      <w:r w:rsidR="0039759D">
        <w:t>’</w:t>
      </w:r>
      <w:proofErr w:type="gramEnd"/>
      <w:r w:rsidRPr="007E7B0B">
        <w:t>.</w:t>
      </w:r>
    </w:p>
    <w:p w14:paraId="74941F5E" w14:textId="77777777" w:rsidR="008E7846" w:rsidRDefault="00605AD4" w:rsidP="00605AD4">
      <w:pPr>
        <w:pStyle w:val="Heading4"/>
      </w:pPr>
      <w:r>
        <w:t>Evaluator’s conclusions on efficacy</w:t>
      </w:r>
    </w:p>
    <w:p w14:paraId="71845F91" w14:textId="6E2E2FE8" w:rsidR="00023DE8" w:rsidRDefault="00023DE8" w:rsidP="00023DE8">
      <w:pPr>
        <w:rPr>
          <w:lang w:eastAsia="ja-JP"/>
        </w:rPr>
      </w:pPr>
      <w:r>
        <w:rPr>
          <w:lang w:eastAsia="ja-JP"/>
        </w:rPr>
        <w:t xml:space="preserve">There are a variety of clinical efficacy studies although only Study 033 was originally submitted as the pivotal study for the indication requested. Study 045 was subsequently added to provide additional data in semi-immunes. The other studies are supportive and include both immune and non-immune individuals. The data from the other studies is discussed above and although there is good evidence of efficacy of tafenoquine similar to standard of care for prophylaxis (except </w:t>
      </w:r>
      <w:r w:rsidR="00E130CD">
        <w:rPr>
          <w:lang w:eastAsia="ja-JP"/>
        </w:rPr>
        <w:t xml:space="preserve">Study </w:t>
      </w:r>
      <w:r>
        <w:rPr>
          <w:lang w:eastAsia="ja-JP"/>
        </w:rPr>
        <w:t>030), the supportive studies all used different dosage regimens</w:t>
      </w:r>
      <w:r w:rsidR="0008597D">
        <w:rPr>
          <w:lang w:eastAsia="ja-JP"/>
        </w:rPr>
        <w:t>, are not directly comparable</w:t>
      </w:r>
      <w:r>
        <w:rPr>
          <w:lang w:eastAsia="ja-JP"/>
        </w:rPr>
        <w:t xml:space="preserve"> and so can</w:t>
      </w:r>
      <w:r w:rsidR="0008597D">
        <w:rPr>
          <w:lang w:eastAsia="ja-JP"/>
        </w:rPr>
        <w:t>no</w:t>
      </w:r>
      <w:r>
        <w:rPr>
          <w:lang w:eastAsia="ja-JP"/>
        </w:rPr>
        <w:t xml:space="preserve">t be used to exactly support the proposed regimen. Even the most recent challenge study, although it shows very good efficacy, it is not a similar environment to the indication being requested. Study </w:t>
      </w:r>
      <w:r>
        <w:rPr>
          <w:lang w:eastAsia="ja-JP"/>
        </w:rPr>
        <w:lastRenderedPageBreak/>
        <w:t xml:space="preserve">033 </w:t>
      </w:r>
      <w:r w:rsidR="0087154A">
        <w:rPr>
          <w:lang w:eastAsia="ja-JP"/>
        </w:rPr>
        <w:t xml:space="preserve">is </w:t>
      </w:r>
      <w:r>
        <w:rPr>
          <w:lang w:eastAsia="ja-JP"/>
        </w:rPr>
        <w:t xml:space="preserve">the only one that specifically reflects the main situation for use of this drug in Australia (non-immunes going to endemic countries). </w:t>
      </w:r>
      <w:r w:rsidRPr="00082780">
        <w:rPr>
          <w:lang w:eastAsia="ja-JP"/>
        </w:rPr>
        <w:t xml:space="preserve">Only Study 033 reflects the relevant population and usage being requested and the size of this study is quite small and homogenous, not necessarily reflective of </w:t>
      </w:r>
      <w:r>
        <w:rPr>
          <w:lang w:eastAsia="ja-JP"/>
        </w:rPr>
        <w:t xml:space="preserve">Australian </w:t>
      </w:r>
      <w:r w:rsidRPr="00082780">
        <w:rPr>
          <w:lang w:eastAsia="ja-JP"/>
        </w:rPr>
        <w:t>non-immunes travelling to endemic areas.</w:t>
      </w:r>
      <w:r>
        <w:rPr>
          <w:lang w:eastAsia="ja-JP"/>
        </w:rPr>
        <w:t xml:space="preserve"> Study 049 also shows efficacy post-exposure prophylaxis (after return from an endemic area).</w:t>
      </w:r>
    </w:p>
    <w:p w14:paraId="7E5338C8" w14:textId="7CF0D72E" w:rsidR="00023DE8" w:rsidRDefault="00023DE8" w:rsidP="00023DE8">
      <w:pPr>
        <w:rPr>
          <w:lang w:eastAsia="ja-JP"/>
        </w:rPr>
      </w:pPr>
      <w:r>
        <w:rPr>
          <w:lang w:eastAsia="ja-JP"/>
        </w:rPr>
        <w:t xml:space="preserve">Study 045 shows efficacy in a semi-immune group (in whom it is used after malaria eradication therapy). Study 043 also shows efficacy in semi-immunes when used for prophylaxis, although this is a dose ranging study and the numbers of participants treated with the same dose as currently being recommended is small. </w:t>
      </w:r>
      <w:r w:rsidR="002E3DAA">
        <w:rPr>
          <w:lang w:eastAsia="ja-JP"/>
        </w:rPr>
        <w:t xml:space="preserve">Study </w:t>
      </w:r>
      <w:r>
        <w:rPr>
          <w:lang w:eastAsia="ja-JP"/>
        </w:rPr>
        <w:t>T</w:t>
      </w:r>
      <w:r w:rsidR="009349D2">
        <w:rPr>
          <w:lang w:eastAsia="ja-JP"/>
        </w:rPr>
        <w:t>Q</w:t>
      </w:r>
      <w:r>
        <w:rPr>
          <w:lang w:eastAsia="ja-JP"/>
        </w:rPr>
        <w:t>-2016-02 is a powerful little study in terms of showing the prophylactic efficacy of tafenoquine against Pf, but in a very controlled exposure setting. Study 058 was unable to show it primary efficacy outcome</w:t>
      </w:r>
      <w:r w:rsidR="006F2C7A" w:rsidRPr="006F2C7A">
        <w:rPr>
          <w:lang w:eastAsia="ja-JP"/>
        </w:rPr>
        <w:t>-</w:t>
      </w:r>
      <w:r>
        <w:rPr>
          <w:lang w:eastAsia="ja-JP"/>
        </w:rPr>
        <w:t xml:space="preserve">tafenoquine was inferior in primary treatment of </w:t>
      </w:r>
      <w:proofErr w:type="gramStart"/>
      <w:r>
        <w:rPr>
          <w:lang w:eastAsia="ja-JP"/>
        </w:rPr>
        <w:t>Pv</w:t>
      </w:r>
      <w:proofErr w:type="gramEnd"/>
      <w:r>
        <w:rPr>
          <w:lang w:eastAsia="ja-JP"/>
        </w:rPr>
        <w:t>, but did show good prophylactic efficacy (a secondary outcome).</w:t>
      </w:r>
    </w:p>
    <w:p w14:paraId="59B63B47" w14:textId="77777777" w:rsidR="00023DE8" w:rsidRDefault="00023DE8" w:rsidP="00023DE8">
      <w:pPr>
        <w:rPr>
          <w:lang w:eastAsia="ja-JP"/>
        </w:rPr>
      </w:pPr>
      <w:r>
        <w:rPr>
          <w:lang w:eastAsia="ja-JP"/>
        </w:rPr>
        <w:t xml:space="preserve">Although Pf and </w:t>
      </w:r>
      <w:proofErr w:type="gramStart"/>
      <w:r>
        <w:rPr>
          <w:lang w:eastAsia="ja-JP"/>
        </w:rPr>
        <w:t>Pv</w:t>
      </w:r>
      <w:proofErr w:type="gramEnd"/>
      <w:r>
        <w:rPr>
          <w:lang w:eastAsia="ja-JP"/>
        </w:rPr>
        <w:t xml:space="preserve"> are the most commonly acquired forms of malaria from South East Asia, in the field studies, it is impossible to comment as to the efficacy of tafenoquine against the different forms seen globally.</w:t>
      </w:r>
    </w:p>
    <w:p w14:paraId="3F0CFEEA" w14:textId="77777777" w:rsidR="00500337" w:rsidRPr="00500337" w:rsidRDefault="00023DE8" w:rsidP="00023DE8">
      <w:r>
        <w:rPr>
          <w:lang w:eastAsia="ja-JP"/>
        </w:rPr>
        <w:t>Other issues include the unreliability of the efficacy data from Study 030 because of overcalling of positive smears and only a low correlation with expert review of blood smears for malaria diagnosis with a specificity of less than 70%.</w:t>
      </w:r>
    </w:p>
    <w:p w14:paraId="709C34F7" w14:textId="77777777" w:rsidR="008E7846" w:rsidRPr="002E238E" w:rsidRDefault="008E7846" w:rsidP="008E7846">
      <w:pPr>
        <w:pStyle w:val="Heading3"/>
      </w:pPr>
      <w:bookmarkStart w:id="160" w:name="_Toc163441378"/>
      <w:bookmarkStart w:id="161" w:name="_Toc196046495"/>
      <w:bookmarkStart w:id="162" w:name="_Toc247691522"/>
      <w:bookmarkStart w:id="163" w:name="_Toc314842505"/>
      <w:bookmarkStart w:id="164" w:name="_Toc12348787"/>
      <w:bookmarkEnd w:id="154"/>
      <w:bookmarkEnd w:id="155"/>
      <w:bookmarkEnd w:id="156"/>
      <w:bookmarkEnd w:id="157"/>
      <w:r w:rsidRPr="002E238E">
        <w:t>Safety</w:t>
      </w:r>
      <w:bookmarkEnd w:id="160"/>
      <w:bookmarkEnd w:id="161"/>
      <w:bookmarkEnd w:id="162"/>
      <w:bookmarkEnd w:id="163"/>
      <w:bookmarkEnd w:id="164"/>
    </w:p>
    <w:p w14:paraId="33A8DF64" w14:textId="77777777" w:rsidR="00605AD4" w:rsidRDefault="00605AD4" w:rsidP="00605AD4">
      <w:pPr>
        <w:pStyle w:val="Heading4"/>
      </w:pPr>
      <w:bookmarkStart w:id="165" w:name="_Toc247691524"/>
      <w:bookmarkStart w:id="166" w:name="_Toc314842508"/>
      <w:bookmarkStart w:id="167" w:name="_Toc196046504"/>
      <w:bookmarkStart w:id="168" w:name="_Toc163441390"/>
      <w:r w:rsidRPr="00605AD4">
        <w:t>Studies providing safety data</w:t>
      </w:r>
    </w:p>
    <w:p w14:paraId="708EDC50" w14:textId="42979935" w:rsidR="00023DE8" w:rsidRDefault="00023DE8" w:rsidP="00023DE8">
      <w:pPr>
        <w:rPr>
          <w:lang w:eastAsia="ja-JP"/>
        </w:rPr>
      </w:pPr>
      <w:r w:rsidRPr="002A1986">
        <w:rPr>
          <w:lang w:eastAsia="ja-JP"/>
        </w:rPr>
        <w:t>Tafenoquine has undergone clinical evaluation under a variety of development programs,</w:t>
      </w:r>
      <w:r>
        <w:rPr>
          <w:lang w:eastAsia="ja-JP"/>
        </w:rPr>
        <w:t xml:space="preserve"> including malaria chemoprophylaxis, post-exposure prophylaxis, malaria treatment and malaria relapse prevention. All of the efficacy studies and a number of the PK studies (</w:t>
      </w:r>
      <w:r w:rsidR="002E3DAA">
        <w:rPr>
          <w:lang w:eastAsia="ja-JP"/>
        </w:rPr>
        <w:t xml:space="preserve">Studies </w:t>
      </w:r>
      <w:r>
        <w:rPr>
          <w:lang w:eastAsia="ja-JP"/>
        </w:rPr>
        <w:t xml:space="preserve">050, 051) also collected tolerability and </w:t>
      </w:r>
      <w:r w:rsidRPr="00FB59B4">
        <w:rPr>
          <w:lang w:eastAsia="ja-JP"/>
        </w:rPr>
        <w:t xml:space="preserve">safety data as detailed in Table </w:t>
      </w:r>
      <w:r w:rsidR="000D2A48">
        <w:rPr>
          <w:lang w:eastAsia="ja-JP"/>
        </w:rPr>
        <w:t>1</w:t>
      </w:r>
      <w:r w:rsidR="00B52F8D">
        <w:rPr>
          <w:lang w:eastAsia="ja-JP"/>
        </w:rPr>
        <w:t>6</w:t>
      </w:r>
      <w:r w:rsidRPr="00FB59B4">
        <w:rPr>
          <w:lang w:eastAsia="ja-JP"/>
        </w:rPr>
        <w:t>.</w:t>
      </w:r>
      <w:r w:rsidRPr="00D13CCD">
        <w:rPr>
          <w:lang w:eastAsia="ja-JP"/>
        </w:rPr>
        <w:t xml:space="preserve"> </w:t>
      </w:r>
      <w:r>
        <w:rPr>
          <w:lang w:eastAsia="ja-JP"/>
        </w:rPr>
        <w:t xml:space="preserve">The safety </w:t>
      </w:r>
      <w:r w:rsidR="00E22980">
        <w:rPr>
          <w:lang w:eastAsia="ja-JP"/>
        </w:rPr>
        <w:t>S</w:t>
      </w:r>
      <w:r>
        <w:rPr>
          <w:lang w:eastAsia="ja-JP"/>
        </w:rPr>
        <w:t>tudies</w:t>
      </w:r>
      <w:r w:rsidR="002E3DAA">
        <w:rPr>
          <w:lang w:eastAsia="ja-JP"/>
        </w:rPr>
        <w:t> </w:t>
      </w:r>
      <w:r>
        <w:rPr>
          <w:lang w:eastAsia="ja-JP"/>
        </w:rPr>
        <w:t>001 and 057 are outlined below.</w:t>
      </w:r>
    </w:p>
    <w:p w14:paraId="33A6D2DD" w14:textId="3E791E6A" w:rsidR="00730E34" w:rsidRPr="004B4CC5" w:rsidRDefault="00730E34" w:rsidP="001F6931">
      <w:pPr>
        <w:pStyle w:val="TableTitle"/>
        <w:rPr>
          <w:lang w:val="en-US" w:eastAsia="ja-JP"/>
        </w:rPr>
      </w:pPr>
      <w:bookmarkStart w:id="169" w:name="_Toc452381791"/>
      <w:bookmarkStart w:id="170" w:name="_Toc472947949"/>
      <w:bookmarkStart w:id="171" w:name="_Toc476549699"/>
      <w:bookmarkStart w:id="172" w:name="_Toc504229426"/>
      <w:bookmarkStart w:id="173" w:name="_Toc501293676"/>
      <w:r>
        <w:t>Table</w:t>
      </w:r>
      <w:r w:rsidR="001F6931">
        <w:t xml:space="preserve"> </w:t>
      </w:r>
      <w:r w:rsidR="000D2A48">
        <w:t>1</w:t>
      </w:r>
      <w:r w:rsidR="00B52F8D">
        <w:t>6</w:t>
      </w:r>
      <w:r w:rsidR="001F6931">
        <w:t>:</w:t>
      </w:r>
      <w:r>
        <w:t xml:space="preserve"> </w:t>
      </w:r>
      <w:r w:rsidRPr="004B4CC5">
        <w:rPr>
          <w:lang w:val="en-US" w:eastAsia="ja-JP"/>
        </w:rPr>
        <w:t xml:space="preserve">Phase </w:t>
      </w:r>
      <w:r w:rsidR="001F6931">
        <w:rPr>
          <w:lang w:val="en-US" w:eastAsia="ja-JP"/>
        </w:rPr>
        <w:t>I</w:t>
      </w:r>
      <w:r w:rsidRPr="004B4CC5">
        <w:rPr>
          <w:lang w:val="en-US" w:eastAsia="ja-JP"/>
        </w:rPr>
        <w:t xml:space="preserve"> </w:t>
      </w:r>
      <w:r w:rsidR="002E3DAA">
        <w:rPr>
          <w:lang w:val="en-US" w:eastAsia="ja-JP"/>
        </w:rPr>
        <w:t>s</w:t>
      </w:r>
      <w:r w:rsidR="002E3DAA" w:rsidRPr="004B4CC5">
        <w:rPr>
          <w:lang w:val="en-US" w:eastAsia="ja-JP"/>
        </w:rPr>
        <w:t xml:space="preserve">tudies </w:t>
      </w:r>
      <w:r w:rsidRPr="004B4CC5">
        <w:rPr>
          <w:lang w:val="en-US" w:eastAsia="ja-JP"/>
        </w:rPr>
        <w:t xml:space="preserve">in </w:t>
      </w:r>
      <w:r w:rsidR="002E3DAA">
        <w:rPr>
          <w:lang w:val="en-US" w:eastAsia="ja-JP"/>
        </w:rPr>
        <w:t>h</w:t>
      </w:r>
      <w:r w:rsidR="002E3DAA" w:rsidRPr="004B4CC5">
        <w:rPr>
          <w:lang w:val="en-US" w:eastAsia="ja-JP"/>
        </w:rPr>
        <w:t xml:space="preserve">ealthy </w:t>
      </w:r>
      <w:bookmarkEnd w:id="169"/>
      <w:bookmarkEnd w:id="170"/>
      <w:bookmarkEnd w:id="171"/>
      <w:bookmarkEnd w:id="172"/>
      <w:bookmarkEnd w:id="173"/>
      <w:r w:rsidR="002E3DAA">
        <w:rPr>
          <w:lang w:val="en-US" w:eastAsia="ja-JP"/>
        </w:rPr>
        <w:t>v</w:t>
      </w:r>
      <w:r w:rsidR="002E3DAA" w:rsidRPr="004B4CC5">
        <w:rPr>
          <w:lang w:val="en-US" w:eastAsia="ja-JP"/>
        </w:rPr>
        <w:t>olunteers</w:t>
      </w:r>
    </w:p>
    <w:tbl>
      <w:tblPr>
        <w:tblStyle w:val="TableTGAblue"/>
        <w:tblW w:w="5000" w:type="pct"/>
        <w:tblLook w:val="00A0" w:firstRow="1" w:lastRow="0" w:firstColumn="1" w:lastColumn="0" w:noHBand="0" w:noVBand="0"/>
      </w:tblPr>
      <w:tblGrid>
        <w:gridCol w:w="1637"/>
        <w:gridCol w:w="24"/>
        <w:gridCol w:w="1333"/>
        <w:gridCol w:w="2273"/>
        <w:gridCol w:w="1697"/>
        <w:gridCol w:w="149"/>
        <w:gridCol w:w="1607"/>
      </w:tblGrid>
      <w:tr w:rsidR="00730E34" w:rsidRPr="001F6931" w14:paraId="73BEA1B3" w14:textId="77777777" w:rsidTr="001F6931">
        <w:trPr>
          <w:cnfStyle w:val="100000000000" w:firstRow="1" w:lastRow="0" w:firstColumn="0" w:lastColumn="0" w:oddVBand="0" w:evenVBand="0" w:oddHBand="0" w:evenHBand="0" w:firstRowFirstColumn="0" w:firstRowLastColumn="0" w:lastRowFirstColumn="0" w:lastRowLastColumn="0"/>
          <w:cantSplit/>
        </w:trPr>
        <w:tc>
          <w:tcPr>
            <w:tcW w:w="980" w:type="pct"/>
          </w:tcPr>
          <w:p w14:paraId="21F42E0C" w14:textId="77777777" w:rsidR="00730E34" w:rsidRPr="001F6931" w:rsidRDefault="00730E34" w:rsidP="001F6931">
            <w:pPr>
              <w:rPr>
                <w:b w:val="0"/>
                <w:sz w:val="18"/>
                <w:szCs w:val="18"/>
                <w:lang w:val="en-US" w:eastAsia="ja-JP"/>
              </w:rPr>
            </w:pPr>
            <w:r w:rsidRPr="001F6931">
              <w:rPr>
                <w:sz w:val="18"/>
                <w:szCs w:val="18"/>
                <w:lang w:val="en-US" w:eastAsia="ja-JP"/>
              </w:rPr>
              <w:t>Study No</w:t>
            </w:r>
          </w:p>
        </w:tc>
        <w:tc>
          <w:tcPr>
            <w:tcW w:w="729" w:type="pct"/>
            <w:gridSpan w:val="2"/>
          </w:tcPr>
          <w:p w14:paraId="2F9739F5" w14:textId="77777777" w:rsidR="00730E34" w:rsidRPr="001F6931" w:rsidRDefault="00730E34" w:rsidP="001F6931">
            <w:pPr>
              <w:rPr>
                <w:b w:val="0"/>
                <w:sz w:val="18"/>
                <w:szCs w:val="18"/>
                <w:lang w:val="en-US" w:eastAsia="ja-JP"/>
              </w:rPr>
            </w:pPr>
            <w:r w:rsidRPr="001F6931">
              <w:rPr>
                <w:sz w:val="18"/>
                <w:szCs w:val="18"/>
                <w:lang w:val="en-US" w:eastAsia="ja-JP"/>
              </w:rPr>
              <w:t>Study Design</w:t>
            </w:r>
            <w:bookmarkStart w:id="174" w:name="_TNCF0EB61497D79422694054A15F4673A94"/>
            <w:r w:rsidRPr="001F6931">
              <w:rPr>
                <w:sz w:val="18"/>
                <w:szCs w:val="18"/>
                <w:vertAlign w:val="superscript"/>
                <w:lang w:val="en-US" w:eastAsia="ja-JP"/>
              </w:rPr>
              <w:fldChar w:fldCharType="begin"/>
            </w:r>
            <w:r w:rsidRPr="001F6931">
              <w:rPr>
                <w:sz w:val="18"/>
                <w:szCs w:val="18"/>
                <w:vertAlign w:val="superscript"/>
                <w:lang w:val="en-US" w:eastAsia="ja-JP"/>
              </w:rPr>
              <w:instrText xml:space="preserve"> LISTNUM TableNoteAlpha \* MERGEFORMAT \s1</w:instrText>
            </w:r>
            <w:r w:rsidRPr="001F6931">
              <w:rPr>
                <w:sz w:val="18"/>
                <w:szCs w:val="18"/>
                <w:lang w:eastAsia="ja-JP"/>
              </w:rPr>
              <w:fldChar w:fldCharType="end">
                <w:numberingChange w:id="175" w:author="HART, Anna" w:date="2019-02-21T10:44:00Z" w:original="(a)"/>
              </w:fldChar>
            </w:r>
            <w:bookmarkEnd w:id="174"/>
          </w:p>
        </w:tc>
        <w:tc>
          <w:tcPr>
            <w:tcW w:w="1344" w:type="pct"/>
          </w:tcPr>
          <w:p w14:paraId="57973D4D" w14:textId="77777777" w:rsidR="00730E34" w:rsidRPr="001F6931" w:rsidRDefault="00730E34" w:rsidP="001F6931">
            <w:pPr>
              <w:rPr>
                <w:b w:val="0"/>
                <w:sz w:val="18"/>
                <w:szCs w:val="18"/>
                <w:lang w:val="en-US" w:eastAsia="ja-JP"/>
              </w:rPr>
            </w:pPr>
            <w:r w:rsidRPr="001F6931">
              <w:rPr>
                <w:sz w:val="18"/>
                <w:szCs w:val="18"/>
                <w:lang w:val="en-US" w:eastAsia="ja-JP"/>
              </w:rPr>
              <w:t>Study Objectives</w:t>
            </w:r>
          </w:p>
        </w:tc>
        <w:tc>
          <w:tcPr>
            <w:tcW w:w="1014" w:type="pct"/>
          </w:tcPr>
          <w:p w14:paraId="60178FE2" w14:textId="77777777" w:rsidR="00730E34" w:rsidRPr="001F6931" w:rsidRDefault="00730E34" w:rsidP="001F6931">
            <w:pPr>
              <w:rPr>
                <w:b w:val="0"/>
                <w:sz w:val="18"/>
                <w:szCs w:val="18"/>
                <w:lang w:val="en-US" w:eastAsia="ja-JP"/>
              </w:rPr>
            </w:pPr>
            <w:r w:rsidRPr="001F6931">
              <w:rPr>
                <w:sz w:val="18"/>
                <w:szCs w:val="18"/>
                <w:lang w:val="en-US" w:eastAsia="ja-JP"/>
              </w:rPr>
              <w:t>Tafenoquine Doses Administered</w:t>
            </w:r>
          </w:p>
        </w:tc>
        <w:tc>
          <w:tcPr>
            <w:tcW w:w="933" w:type="pct"/>
            <w:gridSpan w:val="2"/>
          </w:tcPr>
          <w:p w14:paraId="02F7B3F0" w14:textId="77777777" w:rsidR="00730E34" w:rsidRPr="001F6931" w:rsidRDefault="00730E34" w:rsidP="001F6931">
            <w:pPr>
              <w:rPr>
                <w:b w:val="0"/>
                <w:sz w:val="18"/>
                <w:szCs w:val="18"/>
                <w:lang w:val="en-US" w:eastAsia="ja-JP"/>
              </w:rPr>
            </w:pPr>
            <w:r w:rsidRPr="001F6931">
              <w:rPr>
                <w:sz w:val="18"/>
                <w:szCs w:val="18"/>
                <w:lang w:val="en-US" w:eastAsia="ja-JP"/>
              </w:rPr>
              <w:t>Population</w:t>
            </w:r>
          </w:p>
        </w:tc>
      </w:tr>
      <w:tr w:rsidR="00730E34" w:rsidRPr="001F6931" w14:paraId="1EF889A5" w14:textId="77777777" w:rsidTr="00730E34">
        <w:tc>
          <w:tcPr>
            <w:tcW w:w="5000" w:type="pct"/>
            <w:gridSpan w:val="7"/>
          </w:tcPr>
          <w:p w14:paraId="734E53FA" w14:textId="05AFA5D2" w:rsidR="00730E34" w:rsidRPr="003D2B33" w:rsidRDefault="00730E34" w:rsidP="002E3DAA">
            <w:pPr>
              <w:rPr>
                <w:b/>
                <w:sz w:val="18"/>
                <w:szCs w:val="18"/>
                <w:lang w:val="en-US" w:eastAsia="ja-JP"/>
              </w:rPr>
            </w:pPr>
            <w:r w:rsidRPr="003D2B33">
              <w:rPr>
                <w:b/>
                <w:sz w:val="18"/>
                <w:szCs w:val="18"/>
                <w:lang w:val="en-US" w:eastAsia="ja-JP"/>
              </w:rPr>
              <w:t>Single</w:t>
            </w:r>
            <w:r w:rsidR="002E3DAA">
              <w:rPr>
                <w:b/>
                <w:sz w:val="18"/>
                <w:szCs w:val="18"/>
                <w:lang w:val="en-US" w:eastAsia="ja-JP"/>
              </w:rPr>
              <w:t xml:space="preserve"> d</w:t>
            </w:r>
            <w:r w:rsidRPr="003D2B33">
              <w:rPr>
                <w:b/>
                <w:sz w:val="18"/>
                <w:szCs w:val="18"/>
                <w:lang w:val="en-US" w:eastAsia="ja-JP"/>
              </w:rPr>
              <w:t xml:space="preserve">ose </w:t>
            </w:r>
            <w:r w:rsidR="002E3DAA">
              <w:rPr>
                <w:b/>
                <w:sz w:val="18"/>
                <w:szCs w:val="18"/>
                <w:lang w:val="en-US" w:eastAsia="ja-JP"/>
              </w:rPr>
              <w:t>s</w:t>
            </w:r>
            <w:r w:rsidR="002E3DAA" w:rsidRPr="003D2B33">
              <w:rPr>
                <w:b/>
                <w:sz w:val="18"/>
                <w:szCs w:val="18"/>
                <w:lang w:val="en-US" w:eastAsia="ja-JP"/>
              </w:rPr>
              <w:t>tudies</w:t>
            </w:r>
          </w:p>
        </w:tc>
      </w:tr>
      <w:tr w:rsidR="00730E34" w:rsidRPr="001F6931" w14:paraId="15F76FBA" w14:textId="77777777" w:rsidTr="00730E34">
        <w:tc>
          <w:tcPr>
            <w:tcW w:w="980" w:type="pct"/>
          </w:tcPr>
          <w:p w14:paraId="3FC5411A" w14:textId="77777777" w:rsidR="00730E34" w:rsidRPr="001F6931" w:rsidRDefault="00730E34" w:rsidP="001F6931">
            <w:pPr>
              <w:rPr>
                <w:sz w:val="18"/>
                <w:szCs w:val="18"/>
                <w:lang w:val="en-US" w:eastAsia="ja-JP"/>
              </w:rPr>
            </w:pPr>
            <w:r w:rsidRPr="001F6931">
              <w:rPr>
                <w:sz w:val="18"/>
                <w:szCs w:val="18"/>
                <w:lang w:val="en-US" w:eastAsia="ja-JP"/>
              </w:rPr>
              <w:t>050</w:t>
            </w:r>
          </w:p>
        </w:tc>
        <w:tc>
          <w:tcPr>
            <w:tcW w:w="729" w:type="pct"/>
            <w:gridSpan w:val="2"/>
          </w:tcPr>
          <w:p w14:paraId="0D5F6B33" w14:textId="77777777" w:rsidR="00730E34" w:rsidRPr="001F6931" w:rsidRDefault="00730E34" w:rsidP="001F6931">
            <w:pPr>
              <w:rPr>
                <w:sz w:val="18"/>
                <w:szCs w:val="18"/>
                <w:lang w:val="en-US" w:eastAsia="ja-JP"/>
              </w:rPr>
            </w:pPr>
            <w:r w:rsidRPr="001F6931">
              <w:rPr>
                <w:sz w:val="18"/>
                <w:szCs w:val="18"/>
                <w:lang w:val="en-US" w:eastAsia="ja-JP"/>
              </w:rPr>
              <w:t>R, DB, PC</w:t>
            </w:r>
          </w:p>
        </w:tc>
        <w:tc>
          <w:tcPr>
            <w:tcW w:w="1344" w:type="pct"/>
          </w:tcPr>
          <w:p w14:paraId="20A03475" w14:textId="77777777" w:rsidR="00730E34" w:rsidRPr="001F6931" w:rsidRDefault="00730E34" w:rsidP="001F6931">
            <w:pPr>
              <w:rPr>
                <w:sz w:val="18"/>
                <w:szCs w:val="18"/>
                <w:lang w:val="en-US" w:eastAsia="ja-JP"/>
              </w:rPr>
            </w:pPr>
            <w:r w:rsidRPr="001F6931">
              <w:rPr>
                <w:sz w:val="18"/>
                <w:szCs w:val="18"/>
                <w:lang w:val="en-US" w:eastAsia="ja-JP"/>
              </w:rPr>
              <w:t>PK and Safety in fasted state</w:t>
            </w:r>
          </w:p>
        </w:tc>
        <w:tc>
          <w:tcPr>
            <w:tcW w:w="1014" w:type="pct"/>
          </w:tcPr>
          <w:p w14:paraId="3D09376F" w14:textId="6CFEFC5C" w:rsidR="00730E34" w:rsidRPr="001F6931" w:rsidRDefault="00730E34" w:rsidP="008C4598">
            <w:pPr>
              <w:rPr>
                <w:sz w:val="18"/>
                <w:szCs w:val="18"/>
                <w:lang w:val="en-US" w:eastAsia="ja-JP"/>
              </w:rPr>
            </w:pPr>
            <w:r w:rsidRPr="001F6931">
              <w:rPr>
                <w:sz w:val="18"/>
                <w:szCs w:val="18"/>
                <w:lang w:val="en-US" w:eastAsia="ja-JP"/>
              </w:rPr>
              <w:t>4</w:t>
            </w:r>
            <w:r w:rsidR="00035012">
              <w:rPr>
                <w:sz w:val="18"/>
                <w:szCs w:val="18"/>
                <w:lang w:val="en-US" w:eastAsia="ja-JP"/>
              </w:rPr>
              <w:t>00</w:t>
            </w:r>
            <w:r w:rsidRPr="001F6931">
              <w:rPr>
                <w:sz w:val="18"/>
                <w:szCs w:val="18"/>
                <w:lang w:val="en-US" w:eastAsia="ja-JP"/>
              </w:rPr>
              <w:t>-600</w:t>
            </w:r>
            <w:r w:rsidR="00035012">
              <w:rPr>
                <w:sz w:val="18"/>
                <w:szCs w:val="18"/>
                <w:lang w:val="en-US" w:eastAsia="ja-JP"/>
              </w:rPr>
              <w:t xml:space="preserve"> </w:t>
            </w:r>
            <w:r w:rsidRPr="001F6931">
              <w:rPr>
                <w:sz w:val="18"/>
                <w:szCs w:val="18"/>
                <w:lang w:val="en-US" w:eastAsia="ja-JP"/>
              </w:rPr>
              <w:t>mg</w:t>
            </w:r>
          </w:p>
        </w:tc>
        <w:tc>
          <w:tcPr>
            <w:tcW w:w="933" w:type="pct"/>
            <w:gridSpan w:val="2"/>
          </w:tcPr>
          <w:p w14:paraId="25A06961" w14:textId="77777777" w:rsidR="00730E34" w:rsidRPr="001F6931" w:rsidRDefault="00730E34" w:rsidP="001F6931">
            <w:pPr>
              <w:rPr>
                <w:sz w:val="18"/>
                <w:szCs w:val="18"/>
                <w:lang w:val="en-US" w:eastAsia="ja-JP"/>
              </w:rPr>
            </w:pPr>
            <w:r w:rsidRPr="001F6931">
              <w:rPr>
                <w:sz w:val="18"/>
                <w:szCs w:val="18"/>
                <w:lang w:val="en-US" w:eastAsia="ja-JP"/>
              </w:rPr>
              <w:t>N=75; 75M/0F</w:t>
            </w:r>
          </w:p>
        </w:tc>
      </w:tr>
      <w:tr w:rsidR="00730E34" w:rsidRPr="001F6931" w14:paraId="509BA000" w14:textId="77777777" w:rsidTr="00730E34">
        <w:tc>
          <w:tcPr>
            <w:tcW w:w="980" w:type="pct"/>
          </w:tcPr>
          <w:p w14:paraId="508602F8" w14:textId="77777777" w:rsidR="00730E34" w:rsidRPr="001F6931" w:rsidRDefault="00730E34" w:rsidP="001F6931">
            <w:pPr>
              <w:rPr>
                <w:sz w:val="18"/>
                <w:szCs w:val="18"/>
                <w:lang w:val="en-US" w:eastAsia="ja-JP"/>
              </w:rPr>
            </w:pPr>
            <w:r w:rsidRPr="001F6931">
              <w:rPr>
                <w:sz w:val="18"/>
                <w:szCs w:val="18"/>
                <w:lang w:val="en-US" w:eastAsia="ja-JP"/>
              </w:rPr>
              <w:t>052</w:t>
            </w:r>
          </w:p>
        </w:tc>
        <w:tc>
          <w:tcPr>
            <w:tcW w:w="729" w:type="pct"/>
            <w:gridSpan w:val="2"/>
          </w:tcPr>
          <w:p w14:paraId="402CBA1D" w14:textId="77777777" w:rsidR="00730E34" w:rsidRPr="001F6931" w:rsidRDefault="00730E34" w:rsidP="001F6931">
            <w:pPr>
              <w:rPr>
                <w:sz w:val="18"/>
                <w:szCs w:val="18"/>
                <w:lang w:val="en-US" w:eastAsia="ja-JP"/>
              </w:rPr>
            </w:pPr>
            <w:r w:rsidRPr="001F6931">
              <w:rPr>
                <w:sz w:val="18"/>
                <w:szCs w:val="18"/>
                <w:lang w:val="en-US" w:eastAsia="ja-JP"/>
              </w:rPr>
              <w:t>R, PG</w:t>
            </w:r>
          </w:p>
        </w:tc>
        <w:tc>
          <w:tcPr>
            <w:tcW w:w="1344" w:type="pct"/>
          </w:tcPr>
          <w:p w14:paraId="0EECB218" w14:textId="77777777" w:rsidR="00730E34" w:rsidRPr="001F6931" w:rsidRDefault="00730E34" w:rsidP="001F6931">
            <w:pPr>
              <w:rPr>
                <w:sz w:val="18"/>
                <w:szCs w:val="18"/>
                <w:lang w:val="en-US" w:eastAsia="ja-JP"/>
              </w:rPr>
            </w:pPr>
            <w:r w:rsidRPr="001F6931">
              <w:rPr>
                <w:sz w:val="18"/>
                <w:szCs w:val="18"/>
                <w:lang w:val="en-US" w:eastAsia="ja-JP"/>
              </w:rPr>
              <w:t>PK and Safety in fasted state</w:t>
            </w:r>
          </w:p>
        </w:tc>
        <w:tc>
          <w:tcPr>
            <w:tcW w:w="1014" w:type="pct"/>
          </w:tcPr>
          <w:p w14:paraId="2979081B" w14:textId="77777777" w:rsidR="00730E34" w:rsidRPr="001F6931" w:rsidRDefault="00730E34" w:rsidP="001F6931">
            <w:pPr>
              <w:rPr>
                <w:sz w:val="18"/>
                <w:szCs w:val="18"/>
                <w:lang w:val="en-US" w:eastAsia="ja-JP"/>
              </w:rPr>
            </w:pPr>
            <w:r w:rsidRPr="001F6931">
              <w:rPr>
                <w:sz w:val="18"/>
                <w:szCs w:val="18"/>
                <w:lang w:val="en-US" w:eastAsia="ja-JP"/>
              </w:rPr>
              <w:t>100, 200, or 400 mg</w:t>
            </w:r>
          </w:p>
        </w:tc>
        <w:tc>
          <w:tcPr>
            <w:tcW w:w="933" w:type="pct"/>
            <w:gridSpan w:val="2"/>
          </w:tcPr>
          <w:p w14:paraId="2338AEEE" w14:textId="77777777" w:rsidR="00730E34" w:rsidRPr="001F6931" w:rsidRDefault="00730E34" w:rsidP="001F6931">
            <w:pPr>
              <w:rPr>
                <w:sz w:val="18"/>
                <w:szCs w:val="18"/>
                <w:lang w:val="en-US" w:eastAsia="ja-JP"/>
              </w:rPr>
            </w:pPr>
            <w:r w:rsidRPr="001F6931">
              <w:rPr>
                <w:sz w:val="18"/>
                <w:szCs w:val="18"/>
                <w:lang w:val="en-US" w:eastAsia="ja-JP"/>
              </w:rPr>
              <w:t>N=18; 18M/0F</w:t>
            </w:r>
          </w:p>
        </w:tc>
      </w:tr>
      <w:tr w:rsidR="00730E34" w:rsidRPr="001F6931" w14:paraId="7D8CF3F4" w14:textId="77777777" w:rsidTr="00730E34">
        <w:tc>
          <w:tcPr>
            <w:tcW w:w="980" w:type="pct"/>
          </w:tcPr>
          <w:p w14:paraId="7D55FB09" w14:textId="77777777" w:rsidR="00730E34" w:rsidRPr="001F6931" w:rsidRDefault="00730E34" w:rsidP="001F6931">
            <w:pPr>
              <w:rPr>
                <w:sz w:val="18"/>
                <w:szCs w:val="18"/>
                <w:lang w:val="en-US" w:eastAsia="ja-JP"/>
              </w:rPr>
            </w:pPr>
            <w:r w:rsidRPr="001F6931">
              <w:rPr>
                <w:sz w:val="18"/>
                <w:szCs w:val="18"/>
                <w:lang w:val="en-US" w:eastAsia="ja-JP"/>
              </w:rPr>
              <w:t>003</w:t>
            </w:r>
          </w:p>
        </w:tc>
        <w:tc>
          <w:tcPr>
            <w:tcW w:w="729" w:type="pct"/>
            <w:gridSpan w:val="2"/>
          </w:tcPr>
          <w:p w14:paraId="668C7CB5" w14:textId="77777777" w:rsidR="00730E34" w:rsidRPr="001F6931" w:rsidRDefault="00730E34" w:rsidP="001F6931">
            <w:pPr>
              <w:rPr>
                <w:sz w:val="18"/>
                <w:szCs w:val="18"/>
                <w:lang w:val="en-US" w:eastAsia="ja-JP"/>
              </w:rPr>
            </w:pPr>
            <w:r w:rsidRPr="001F6931">
              <w:rPr>
                <w:sz w:val="18"/>
                <w:szCs w:val="18"/>
                <w:lang w:val="en-US" w:eastAsia="ja-JP"/>
              </w:rPr>
              <w:t>R, O, PG</w:t>
            </w:r>
          </w:p>
        </w:tc>
        <w:tc>
          <w:tcPr>
            <w:tcW w:w="1344" w:type="pct"/>
          </w:tcPr>
          <w:p w14:paraId="36991015" w14:textId="77777777" w:rsidR="00730E34" w:rsidRPr="001F6931" w:rsidRDefault="00730E34" w:rsidP="001F6931">
            <w:pPr>
              <w:rPr>
                <w:sz w:val="18"/>
                <w:szCs w:val="18"/>
                <w:lang w:val="en-US" w:eastAsia="ja-JP"/>
              </w:rPr>
            </w:pPr>
            <w:r w:rsidRPr="001F6931">
              <w:rPr>
                <w:sz w:val="18"/>
                <w:szCs w:val="18"/>
                <w:lang w:val="en-US" w:eastAsia="ja-JP"/>
              </w:rPr>
              <w:t>PK and Safety in fed</w:t>
            </w:r>
            <w:r w:rsidR="004C7147">
              <w:rPr>
                <w:sz w:val="18"/>
                <w:szCs w:val="18"/>
                <w:lang w:val="en-US" w:eastAsia="ja-JP"/>
              </w:rPr>
              <w:t xml:space="preserve"> versus </w:t>
            </w:r>
            <w:r w:rsidRPr="001F6931">
              <w:rPr>
                <w:sz w:val="18"/>
                <w:szCs w:val="18"/>
                <w:lang w:val="en-US" w:eastAsia="ja-JP"/>
              </w:rPr>
              <w:t>fasted state. Gender effects.</w:t>
            </w:r>
          </w:p>
        </w:tc>
        <w:tc>
          <w:tcPr>
            <w:tcW w:w="1014" w:type="pct"/>
          </w:tcPr>
          <w:p w14:paraId="290AD7C9" w14:textId="77777777" w:rsidR="00730E34" w:rsidRPr="001F6931" w:rsidRDefault="00730E34" w:rsidP="001F6931">
            <w:pPr>
              <w:rPr>
                <w:sz w:val="18"/>
                <w:szCs w:val="18"/>
                <w:lang w:val="en-US" w:eastAsia="ja-JP"/>
              </w:rPr>
            </w:pPr>
            <w:r w:rsidRPr="001F6931">
              <w:rPr>
                <w:sz w:val="18"/>
                <w:szCs w:val="18"/>
                <w:lang w:val="en-US" w:eastAsia="ja-JP"/>
              </w:rPr>
              <w:t>400 mg</w:t>
            </w:r>
          </w:p>
        </w:tc>
        <w:tc>
          <w:tcPr>
            <w:tcW w:w="933" w:type="pct"/>
            <w:gridSpan w:val="2"/>
          </w:tcPr>
          <w:p w14:paraId="200511EA" w14:textId="77777777" w:rsidR="00730E34" w:rsidRPr="001F6931" w:rsidRDefault="00730E34" w:rsidP="001F6931">
            <w:pPr>
              <w:rPr>
                <w:sz w:val="18"/>
                <w:szCs w:val="18"/>
                <w:lang w:val="en-US" w:eastAsia="ja-JP"/>
              </w:rPr>
            </w:pPr>
            <w:r w:rsidRPr="001F6931">
              <w:rPr>
                <w:sz w:val="18"/>
                <w:szCs w:val="18"/>
                <w:lang w:val="en-US" w:eastAsia="ja-JP"/>
              </w:rPr>
              <w:t>N=32;16M/16F</w:t>
            </w:r>
          </w:p>
        </w:tc>
      </w:tr>
      <w:tr w:rsidR="00730E34" w:rsidRPr="001F6931" w14:paraId="1C84F9D3" w14:textId="77777777" w:rsidTr="00730E34">
        <w:tc>
          <w:tcPr>
            <w:tcW w:w="980" w:type="pct"/>
          </w:tcPr>
          <w:p w14:paraId="2377CF74" w14:textId="77777777" w:rsidR="00730E34" w:rsidRPr="001F6931" w:rsidRDefault="00730E34" w:rsidP="001F6931">
            <w:pPr>
              <w:rPr>
                <w:sz w:val="18"/>
                <w:szCs w:val="18"/>
                <w:lang w:val="en-US" w:eastAsia="ja-JP"/>
              </w:rPr>
            </w:pPr>
            <w:r w:rsidRPr="001F6931">
              <w:rPr>
                <w:sz w:val="18"/>
                <w:szCs w:val="18"/>
                <w:lang w:val="en-US" w:eastAsia="ja-JP"/>
              </w:rPr>
              <w:t>022</w:t>
            </w:r>
          </w:p>
        </w:tc>
        <w:tc>
          <w:tcPr>
            <w:tcW w:w="729" w:type="pct"/>
            <w:gridSpan w:val="2"/>
          </w:tcPr>
          <w:p w14:paraId="465E59B3" w14:textId="77777777" w:rsidR="00730E34" w:rsidRPr="001F6931" w:rsidRDefault="00730E34" w:rsidP="001F6931">
            <w:pPr>
              <w:rPr>
                <w:sz w:val="18"/>
                <w:szCs w:val="18"/>
                <w:lang w:val="en-US" w:eastAsia="ja-JP"/>
              </w:rPr>
            </w:pPr>
            <w:r w:rsidRPr="001F6931">
              <w:rPr>
                <w:sz w:val="18"/>
                <w:szCs w:val="18"/>
                <w:lang w:val="en-US" w:eastAsia="ja-JP"/>
              </w:rPr>
              <w:t>R, PG</w:t>
            </w:r>
          </w:p>
        </w:tc>
        <w:tc>
          <w:tcPr>
            <w:tcW w:w="1344" w:type="pct"/>
          </w:tcPr>
          <w:p w14:paraId="2CA40996" w14:textId="77777777" w:rsidR="00730E34" w:rsidRPr="001F6931" w:rsidRDefault="00730E34" w:rsidP="001F6931">
            <w:pPr>
              <w:rPr>
                <w:sz w:val="18"/>
                <w:szCs w:val="18"/>
                <w:lang w:val="en-US" w:eastAsia="ja-JP"/>
              </w:rPr>
            </w:pPr>
            <w:r w:rsidRPr="001F6931">
              <w:rPr>
                <w:sz w:val="18"/>
                <w:szCs w:val="18"/>
                <w:lang w:val="en-US" w:eastAsia="ja-JP"/>
              </w:rPr>
              <w:t>PK and Safety in fed</w:t>
            </w:r>
            <w:r w:rsidR="004C7147">
              <w:rPr>
                <w:sz w:val="18"/>
                <w:szCs w:val="18"/>
                <w:lang w:val="en-US" w:eastAsia="ja-JP"/>
              </w:rPr>
              <w:t xml:space="preserve"> versus </w:t>
            </w:r>
            <w:r w:rsidRPr="001F6931">
              <w:rPr>
                <w:sz w:val="18"/>
                <w:szCs w:val="18"/>
                <w:lang w:val="en-US" w:eastAsia="ja-JP"/>
              </w:rPr>
              <w:t>fasted state. Gender effects.</w:t>
            </w:r>
          </w:p>
        </w:tc>
        <w:tc>
          <w:tcPr>
            <w:tcW w:w="1014" w:type="pct"/>
          </w:tcPr>
          <w:p w14:paraId="2C108600" w14:textId="77777777" w:rsidR="00730E34" w:rsidRPr="001F6931" w:rsidRDefault="00730E34" w:rsidP="001F6931">
            <w:pPr>
              <w:rPr>
                <w:sz w:val="18"/>
                <w:szCs w:val="18"/>
                <w:lang w:val="en-US" w:eastAsia="ja-JP"/>
              </w:rPr>
            </w:pPr>
            <w:r w:rsidRPr="001F6931">
              <w:rPr>
                <w:sz w:val="18"/>
                <w:szCs w:val="18"/>
                <w:lang w:val="en-US" w:eastAsia="ja-JP"/>
              </w:rPr>
              <w:t>200 mg</w:t>
            </w:r>
          </w:p>
        </w:tc>
        <w:tc>
          <w:tcPr>
            <w:tcW w:w="933" w:type="pct"/>
            <w:gridSpan w:val="2"/>
          </w:tcPr>
          <w:p w14:paraId="10F184EC" w14:textId="77777777" w:rsidR="00730E34" w:rsidRPr="001F6931" w:rsidRDefault="00730E34" w:rsidP="001F6931">
            <w:pPr>
              <w:rPr>
                <w:sz w:val="18"/>
                <w:szCs w:val="18"/>
                <w:lang w:val="en-US" w:eastAsia="ja-JP"/>
              </w:rPr>
            </w:pPr>
            <w:r w:rsidRPr="001F6931">
              <w:rPr>
                <w:sz w:val="18"/>
                <w:szCs w:val="18"/>
                <w:lang w:val="en-US" w:eastAsia="ja-JP"/>
              </w:rPr>
              <w:t>N=40; 20M/20F</w:t>
            </w:r>
          </w:p>
        </w:tc>
      </w:tr>
      <w:tr w:rsidR="00730E34" w:rsidRPr="001F6931" w14:paraId="31C8530B" w14:textId="77777777" w:rsidTr="00730E34">
        <w:tc>
          <w:tcPr>
            <w:tcW w:w="980" w:type="pct"/>
          </w:tcPr>
          <w:p w14:paraId="3470CDF3" w14:textId="77777777" w:rsidR="00730E34" w:rsidRPr="001F6931" w:rsidRDefault="00730E34" w:rsidP="001F6931">
            <w:pPr>
              <w:rPr>
                <w:sz w:val="18"/>
                <w:szCs w:val="18"/>
                <w:lang w:val="en-US" w:eastAsia="ja-JP"/>
              </w:rPr>
            </w:pPr>
            <w:r w:rsidRPr="001F6931">
              <w:rPr>
                <w:sz w:val="18"/>
                <w:szCs w:val="18"/>
                <w:lang w:val="en-US" w:eastAsia="ja-JP"/>
              </w:rPr>
              <w:lastRenderedPageBreak/>
              <w:t>TQ-2016-01</w:t>
            </w:r>
          </w:p>
        </w:tc>
        <w:tc>
          <w:tcPr>
            <w:tcW w:w="729" w:type="pct"/>
            <w:gridSpan w:val="2"/>
          </w:tcPr>
          <w:p w14:paraId="6699A2E4" w14:textId="77777777" w:rsidR="00730E34" w:rsidRPr="001F6931" w:rsidRDefault="00730E34" w:rsidP="001F6931">
            <w:pPr>
              <w:rPr>
                <w:sz w:val="18"/>
                <w:szCs w:val="18"/>
                <w:lang w:val="en-US" w:eastAsia="ja-JP"/>
              </w:rPr>
            </w:pPr>
            <w:r w:rsidRPr="001F6931">
              <w:rPr>
                <w:sz w:val="18"/>
                <w:szCs w:val="18"/>
                <w:lang w:val="en-US" w:eastAsia="ja-JP"/>
              </w:rPr>
              <w:t>O</w:t>
            </w:r>
          </w:p>
        </w:tc>
        <w:tc>
          <w:tcPr>
            <w:tcW w:w="1344" w:type="pct"/>
          </w:tcPr>
          <w:p w14:paraId="2F0AE6D6" w14:textId="77777777" w:rsidR="00730E34" w:rsidRPr="001F6931" w:rsidRDefault="00730E34" w:rsidP="001F6931">
            <w:pPr>
              <w:rPr>
                <w:sz w:val="18"/>
                <w:szCs w:val="18"/>
                <w:lang w:val="en-US" w:eastAsia="ja-JP"/>
              </w:rPr>
            </w:pPr>
            <w:r w:rsidRPr="001F6931">
              <w:rPr>
                <w:sz w:val="18"/>
                <w:szCs w:val="18"/>
                <w:lang w:val="en-US" w:eastAsia="ja-JP"/>
              </w:rPr>
              <w:t>Compare PK parameters of the new tafenoquine clinical formulation (100 mg tablets) to PK of the 200 mg capsule used in previous tafenoquine trials (specifically Study 022). Also, compare AEs, vital signs and hematology parameters.</w:t>
            </w:r>
          </w:p>
        </w:tc>
        <w:tc>
          <w:tcPr>
            <w:tcW w:w="1014" w:type="pct"/>
          </w:tcPr>
          <w:p w14:paraId="504669B2" w14:textId="77777777" w:rsidR="00730E34" w:rsidRPr="001F6931" w:rsidRDefault="00730E34" w:rsidP="001F6931">
            <w:pPr>
              <w:rPr>
                <w:sz w:val="18"/>
                <w:szCs w:val="18"/>
                <w:lang w:val="en-US" w:eastAsia="ja-JP"/>
              </w:rPr>
            </w:pPr>
            <w:r w:rsidRPr="001F6931">
              <w:rPr>
                <w:sz w:val="18"/>
                <w:szCs w:val="18"/>
                <w:lang w:val="en-US" w:eastAsia="ja-JP"/>
              </w:rPr>
              <w:t>200mg (dosed as two 100 mg tablets)</w:t>
            </w:r>
          </w:p>
        </w:tc>
        <w:tc>
          <w:tcPr>
            <w:tcW w:w="933" w:type="pct"/>
            <w:gridSpan w:val="2"/>
          </w:tcPr>
          <w:p w14:paraId="3851B638" w14:textId="77777777" w:rsidR="00730E34" w:rsidRPr="001F6931" w:rsidRDefault="00730E34" w:rsidP="001F6931">
            <w:pPr>
              <w:rPr>
                <w:sz w:val="18"/>
                <w:szCs w:val="18"/>
                <w:lang w:val="en-US" w:eastAsia="ja-JP"/>
              </w:rPr>
            </w:pPr>
            <w:r w:rsidRPr="001F6931">
              <w:rPr>
                <w:sz w:val="18"/>
                <w:szCs w:val="18"/>
                <w:lang w:val="en-US" w:eastAsia="ja-JP"/>
              </w:rPr>
              <w:t xml:space="preserve">N=70 </w:t>
            </w:r>
          </w:p>
        </w:tc>
      </w:tr>
      <w:tr w:rsidR="00730E34" w:rsidRPr="001F6931" w14:paraId="7CB62A1D" w14:textId="77777777" w:rsidTr="00730E34">
        <w:tc>
          <w:tcPr>
            <w:tcW w:w="5000" w:type="pct"/>
            <w:gridSpan w:val="7"/>
          </w:tcPr>
          <w:p w14:paraId="6D269885" w14:textId="5B1ECFE3" w:rsidR="00730E34" w:rsidRPr="003D2B33" w:rsidRDefault="00730E34" w:rsidP="002E3DAA">
            <w:pPr>
              <w:keepNext/>
              <w:rPr>
                <w:b/>
                <w:sz w:val="18"/>
                <w:szCs w:val="18"/>
                <w:lang w:val="en-US" w:eastAsia="ja-JP"/>
              </w:rPr>
            </w:pPr>
            <w:r w:rsidRPr="003D2B33">
              <w:rPr>
                <w:b/>
                <w:sz w:val="18"/>
                <w:szCs w:val="18"/>
                <w:lang w:val="en-US" w:eastAsia="ja-JP"/>
              </w:rPr>
              <w:t>Multiple</w:t>
            </w:r>
            <w:r w:rsidR="002E3DAA">
              <w:rPr>
                <w:b/>
                <w:sz w:val="18"/>
                <w:szCs w:val="18"/>
                <w:lang w:val="en-US" w:eastAsia="ja-JP"/>
              </w:rPr>
              <w:t xml:space="preserve"> d</w:t>
            </w:r>
            <w:r w:rsidRPr="003D2B33">
              <w:rPr>
                <w:b/>
                <w:sz w:val="18"/>
                <w:szCs w:val="18"/>
                <w:lang w:val="en-US" w:eastAsia="ja-JP"/>
              </w:rPr>
              <w:t xml:space="preserve">ose </w:t>
            </w:r>
            <w:r w:rsidR="002E3DAA">
              <w:rPr>
                <w:b/>
                <w:sz w:val="18"/>
                <w:szCs w:val="18"/>
                <w:lang w:val="en-US" w:eastAsia="ja-JP"/>
              </w:rPr>
              <w:t>s</w:t>
            </w:r>
            <w:r w:rsidRPr="003D2B33">
              <w:rPr>
                <w:b/>
                <w:sz w:val="18"/>
                <w:szCs w:val="18"/>
                <w:lang w:val="en-US" w:eastAsia="ja-JP"/>
              </w:rPr>
              <w:t>tudies</w:t>
            </w:r>
          </w:p>
        </w:tc>
      </w:tr>
      <w:tr w:rsidR="00730E34" w:rsidRPr="001F6931" w14:paraId="3E394D34" w14:textId="77777777" w:rsidTr="00730E34">
        <w:tc>
          <w:tcPr>
            <w:tcW w:w="999" w:type="pct"/>
            <w:gridSpan w:val="2"/>
          </w:tcPr>
          <w:p w14:paraId="737A87DA" w14:textId="77777777" w:rsidR="00730E34" w:rsidRPr="001F6931" w:rsidRDefault="00730E34" w:rsidP="001F6931">
            <w:pPr>
              <w:rPr>
                <w:sz w:val="18"/>
                <w:szCs w:val="18"/>
                <w:lang w:val="en-US" w:eastAsia="ja-JP"/>
              </w:rPr>
            </w:pPr>
            <w:r w:rsidRPr="001F6931">
              <w:rPr>
                <w:sz w:val="18"/>
                <w:szCs w:val="18"/>
                <w:lang w:val="en-US" w:eastAsia="ja-JP"/>
              </w:rPr>
              <w:t>051</w:t>
            </w:r>
          </w:p>
        </w:tc>
        <w:tc>
          <w:tcPr>
            <w:tcW w:w="842" w:type="pct"/>
          </w:tcPr>
          <w:p w14:paraId="3EBAB6FF" w14:textId="77777777" w:rsidR="00730E34" w:rsidRPr="001F6931" w:rsidRDefault="00730E34" w:rsidP="003D2B33">
            <w:pPr>
              <w:keepNext/>
              <w:rPr>
                <w:sz w:val="18"/>
                <w:szCs w:val="18"/>
                <w:lang w:val="en-US" w:eastAsia="ja-JP"/>
              </w:rPr>
            </w:pPr>
            <w:r w:rsidRPr="001F6931">
              <w:rPr>
                <w:sz w:val="18"/>
                <w:szCs w:val="18"/>
                <w:lang w:val="en-US" w:eastAsia="ja-JP"/>
              </w:rPr>
              <w:t>R, DB, PC</w:t>
            </w:r>
          </w:p>
        </w:tc>
        <w:tc>
          <w:tcPr>
            <w:tcW w:w="1158" w:type="pct"/>
          </w:tcPr>
          <w:p w14:paraId="1C0B37C5" w14:textId="77777777" w:rsidR="00730E34" w:rsidRPr="001F6931" w:rsidRDefault="00730E34" w:rsidP="001F6931">
            <w:pPr>
              <w:rPr>
                <w:sz w:val="18"/>
                <w:szCs w:val="18"/>
                <w:lang w:val="en-US" w:eastAsia="ja-JP"/>
              </w:rPr>
            </w:pPr>
            <w:r w:rsidRPr="001F6931">
              <w:rPr>
                <w:sz w:val="18"/>
                <w:szCs w:val="18"/>
                <w:lang w:val="en-US" w:eastAsia="ja-JP"/>
              </w:rPr>
              <w:t>PK and Safety in fasted state</w:t>
            </w:r>
          </w:p>
        </w:tc>
        <w:tc>
          <w:tcPr>
            <w:tcW w:w="1098" w:type="pct"/>
            <w:gridSpan w:val="2"/>
          </w:tcPr>
          <w:p w14:paraId="75673FF4" w14:textId="481A28D5" w:rsidR="00730E34" w:rsidRPr="001F6931" w:rsidRDefault="00730E34" w:rsidP="001F6931">
            <w:pPr>
              <w:rPr>
                <w:sz w:val="18"/>
                <w:szCs w:val="18"/>
                <w:lang w:val="en-US" w:eastAsia="ja-JP"/>
              </w:rPr>
            </w:pPr>
            <w:r w:rsidRPr="001F6931">
              <w:rPr>
                <w:sz w:val="18"/>
                <w:szCs w:val="18"/>
                <w:lang w:val="en-US" w:eastAsia="ja-JP"/>
              </w:rPr>
              <w:t>200, 400, or 600 mg weekly x 10</w:t>
            </w:r>
            <w:r w:rsidR="002E3DAA">
              <w:rPr>
                <w:sz w:val="18"/>
                <w:szCs w:val="18"/>
                <w:lang w:val="en-US" w:eastAsia="ja-JP"/>
              </w:rPr>
              <w:t> </w:t>
            </w:r>
            <w:r w:rsidRPr="001F6931">
              <w:rPr>
                <w:sz w:val="18"/>
                <w:szCs w:val="18"/>
                <w:lang w:val="en-US" w:eastAsia="ja-JP"/>
              </w:rPr>
              <w:t>weeks</w:t>
            </w:r>
          </w:p>
        </w:tc>
        <w:tc>
          <w:tcPr>
            <w:tcW w:w="903" w:type="pct"/>
          </w:tcPr>
          <w:p w14:paraId="150D671C" w14:textId="77777777" w:rsidR="00730E34" w:rsidRPr="001F6931" w:rsidRDefault="00730E34" w:rsidP="001F6931">
            <w:pPr>
              <w:rPr>
                <w:sz w:val="18"/>
                <w:szCs w:val="18"/>
                <w:lang w:val="en-US" w:eastAsia="ja-JP"/>
              </w:rPr>
            </w:pPr>
            <w:r w:rsidRPr="001F6931">
              <w:rPr>
                <w:sz w:val="18"/>
                <w:szCs w:val="18"/>
                <w:lang w:val="en-US" w:eastAsia="ja-JP"/>
              </w:rPr>
              <w:t>N=36; 30M/6F</w:t>
            </w:r>
          </w:p>
        </w:tc>
      </w:tr>
      <w:tr w:rsidR="00730E34" w:rsidRPr="001F6931" w14:paraId="61792138" w14:textId="77777777" w:rsidTr="00730E34">
        <w:tc>
          <w:tcPr>
            <w:tcW w:w="999" w:type="pct"/>
            <w:gridSpan w:val="2"/>
          </w:tcPr>
          <w:p w14:paraId="375387ED" w14:textId="77777777" w:rsidR="00730E34" w:rsidRPr="001F6931" w:rsidRDefault="00730E34" w:rsidP="001F6931">
            <w:pPr>
              <w:rPr>
                <w:sz w:val="18"/>
                <w:szCs w:val="18"/>
                <w:lang w:val="en-US" w:eastAsia="ja-JP"/>
              </w:rPr>
            </w:pPr>
            <w:r w:rsidRPr="001F6931">
              <w:rPr>
                <w:sz w:val="18"/>
                <w:szCs w:val="18"/>
                <w:lang w:val="en-US" w:eastAsia="ja-JP"/>
              </w:rPr>
              <w:t>014</w:t>
            </w:r>
          </w:p>
        </w:tc>
        <w:tc>
          <w:tcPr>
            <w:tcW w:w="842" w:type="pct"/>
          </w:tcPr>
          <w:p w14:paraId="1A92663E" w14:textId="77777777" w:rsidR="00730E34" w:rsidRPr="001F6931" w:rsidRDefault="00730E34" w:rsidP="001F6931">
            <w:pPr>
              <w:rPr>
                <w:sz w:val="18"/>
                <w:szCs w:val="18"/>
                <w:lang w:val="en-US" w:eastAsia="ja-JP"/>
              </w:rPr>
            </w:pPr>
            <w:r w:rsidRPr="001F6931">
              <w:rPr>
                <w:sz w:val="18"/>
                <w:szCs w:val="18"/>
                <w:lang w:val="en-US" w:eastAsia="ja-JP"/>
              </w:rPr>
              <w:t>R, O, PG</w:t>
            </w:r>
          </w:p>
        </w:tc>
        <w:tc>
          <w:tcPr>
            <w:tcW w:w="1158" w:type="pct"/>
          </w:tcPr>
          <w:p w14:paraId="7D691583" w14:textId="77777777" w:rsidR="00730E34" w:rsidRPr="001F6931" w:rsidRDefault="00730E34" w:rsidP="001F6931">
            <w:pPr>
              <w:rPr>
                <w:sz w:val="18"/>
                <w:szCs w:val="18"/>
                <w:lang w:val="en-US" w:eastAsia="ja-JP"/>
              </w:rPr>
            </w:pPr>
            <w:r w:rsidRPr="001F6931">
              <w:rPr>
                <w:sz w:val="18"/>
                <w:szCs w:val="18"/>
                <w:lang w:val="en-US" w:eastAsia="ja-JP"/>
              </w:rPr>
              <w:t>Relative bioavailability of 3 different oral formulations.</w:t>
            </w:r>
          </w:p>
        </w:tc>
        <w:tc>
          <w:tcPr>
            <w:tcW w:w="1098" w:type="pct"/>
            <w:gridSpan w:val="2"/>
          </w:tcPr>
          <w:p w14:paraId="436B3D3F" w14:textId="2E9D4667" w:rsidR="00730E34" w:rsidRPr="001F6931" w:rsidRDefault="00730E34" w:rsidP="001F6931">
            <w:pPr>
              <w:rPr>
                <w:sz w:val="18"/>
                <w:szCs w:val="18"/>
                <w:lang w:val="en-US" w:eastAsia="ja-JP"/>
              </w:rPr>
            </w:pPr>
            <w:r w:rsidRPr="001F6931">
              <w:rPr>
                <w:sz w:val="18"/>
                <w:szCs w:val="18"/>
                <w:lang w:val="en-US" w:eastAsia="ja-JP"/>
              </w:rPr>
              <w:t>400 mg daily x 3</w:t>
            </w:r>
            <w:r w:rsidR="002E3DAA">
              <w:rPr>
                <w:sz w:val="18"/>
                <w:szCs w:val="18"/>
                <w:lang w:val="en-US" w:eastAsia="ja-JP"/>
              </w:rPr>
              <w:t> </w:t>
            </w:r>
            <w:r w:rsidRPr="001F6931">
              <w:rPr>
                <w:sz w:val="18"/>
                <w:szCs w:val="18"/>
                <w:lang w:val="en-US" w:eastAsia="ja-JP"/>
              </w:rPr>
              <w:t>days</w:t>
            </w:r>
          </w:p>
        </w:tc>
        <w:tc>
          <w:tcPr>
            <w:tcW w:w="903" w:type="pct"/>
          </w:tcPr>
          <w:p w14:paraId="04198111" w14:textId="77777777" w:rsidR="00730E34" w:rsidRPr="001F6931" w:rsidRDefault="00730E34" w:rsidP="001F6931">
            <w:pPr>
              <w:rPr>
                <w:sz w:val="18"/>
                <w:szCs w:val="18"/>
                <w:lang w:val="en-US" w:eastAsia="ja-JP"/>
              </w:rPr>
            </w:pPr>
            <w:r w:rsidRPr="001F6931">
              <w:rPr>
                <w:sz w:val="18"/>
                <w:szCs w:val="18"/>
                <w:lang w:val="en-US" w:eastAsia="ja-JP"/>
              </w:rPr>
              <w:t>N=58; 43M/15F</w:t>
            </w:r>
          </w:p>
        </w:tc>
      </w:tr>
      <w:tr w:rsidR="00730E34" w:rsidRPr="001F6931" w14:paraId="693BEE61" w14:textId="77777777" w:rsidTr="00730E34">
        <w:tc>
          <w:tcPr>
            <w:tcW w:w="999" w:type="pct"/>
            <w:gridSpan w:val="2"/>
          </w:tcPr>
          <w:p w14:paraId="7EFC5C73" w14:textId="77777777" w:rsidR="00730E34" w:rsidRPr="001F6931" w:rsidRDefault="00730E34" w:rsidP="001F6931">
            <w:pPr>
              <w:rPr>
                <w:sz w:val="18"/>
                <w:szCs w:val="18"/>
                <w:lang w:val="en-US" w:eastAsia="ja-JP"/>
              </w:rPr>
            </w:pPr>
            <w:r w:rsidRPr="001F6931">
              <w:rPr>
                <w:sz w:val="18"/>
                <w:szCs w:val="18"/>
                <w:lang w:val="en-US" w:eastAsia="ja-JP"/>
              </w:rPr>
              <w:t>057</w:t>
            </w:r>
          </w:p>
        </w:tc>
        <w:tc>
          <w:tcPr>
            <w:tcW w:w="842" w:type="pct"/>
          </w:tcPr>
          <w:p w14:paraId="32739254" w14:textId="77777777" w:rsidR="00730E34" w:rsidRPr="001F6931" w:rsidRDefault="00730E34" w:rsidP="001F6931">
            <w:pPr>
              <w:rPr>
                <w:sz w:val="18"/>
                <w:szCs w:val="18"/>
                <w:lang w:val="en-US" w:eastAsia="ja-JP"/>
              </w:rPr>
            </w:pPr>
            <w:r w:rsidRPr="001F6931">
              <w:rPr>
                <w:sz w:val="18"/>
                <w:szCs w:val="18"/>
                <w:lang w:val="en-US" w:eastAsia="ja-JP"/>
              </w:rPr>
              <w:t>R, PC</w:t>
            </w:r>
          </w:p>
        </w:tc>
        <w:tc>
          <w:tcPr>
            <w:tcW w:w="1158" w:type="pct"/>
          </w:tcPr>
          <w:p w14:paraId="16C15F62" w14:textId="77777777" w:rsidR="00730E34" w:rsidRPr="001F6931" w:rsidRDefault="00730E34" w:rsidP="001F6931">
            <w:pPr>
              <w:rPr>
                <w:sz w:val="18"/>
                <w:szCs w:val="18"/>
                <w:lang w:val="en-US" w:eastAsia="ja-JP"/>
              </w:rPr>
            </w:pPr>
            <w:r w:rsidRPr="001F6931">
              <w:rPr>
                <w:sz w:val="18"/>
                <w:szCs w:val="18"/>
                <w:lang w:val="en-US" w:eastAsia="ja-JP"/>
              </w:rPr>
              <w:t>Renal and ocular Safety.</w:t>
            </w:r>
          </w:p>
        </w:tc>
        <w:tc>
          <w:tcPr>
            <w:tcW w:w="1098" w:type="pct"/>
            <w:gridSpan w:val="2"/>
          </w:tcPr>
          <w:p w14:paraId="1374F54A" w14:textId="1318E1CC" w:rsidR="00730E34" w:rsidRPr="001F6931" w:rsidRDefault="00730E34" w:rsidP="001F6931">
            <w:pPr>
              <w:rPr>
                <w:sz w:val="18"/>
                <w:szCs w:val="18"/>
                <w:lang w:val="en-US" w:eastAsia="ja-JP"/>
              </w:rPr>
            </w:pPr>
            <w:r w:rsidRPr="001F6931">
              <w:rPr>
                <w:sz w:val="18"/>
                <w:szCs w:val="18"/>
                <w:lang w:val="en-US" w:eastAsia="ja-JP"/>
              </w:rPr>
              <w:t>200 mg daily x 3</w:t>
            </w:r>
            <w:r w:rsidR="002E3DAA">
              <w:rPr>
                <w:sz w:val="18"/>
                <w:szCs w:val="18"/>
                <w:lang w:val="en-US" w:eastAsia="ja-JP"/>
              </w:rPr>
              <w:t> </w:t>
            </w:r>
            <w:r w:rsidRPr="001F6931">
              <w:rPr>
                <w:sz w:val="18"/>
                <w:szCs w:val="18"/>
                <w:lang w:val="en-US" w:eastAsia="ja-JP"/>
              </w:rPr>
              <w:t>days, then weekly x 23</w:t>
            </w:r>
            <w:r w:rsidR="002E3DAA">
              <w:rPr>
                <w:sz w:val="18"/>
                <w:szCs w:val="18"/>
                <w:lang w:val="en-US" w:eastAsia="ja-JP"/>
              </w:rPr>
              <w:t> </w:t>
            </w:r>
            <w:r w:rsidRPr="001F6931">
              <w:rPr>
                <w:sz w:val="18"/>
                <w:szCs w:val="18"/>
                <w:lang w:val="en-US" w:eastAsia="ja-JP"/>
              </w:rPr>
              <w:t>weeks</w:t>
            </w:r>
          </w:p>
        </w:tc>
        <w:tc>
          <w:tcPr>
            <w:tcW w:w="903" w:type="pct"/>
          </w:tcPr>
          <w:p w14:paraId="08F2E4B0" w14:textId="77777777" w:rsidR="00730E34" w:rsidRPr="001F6931" w:rsidRDefault="00730E34" w:rsidP="001F6931">
            <w:pPr>
              <w:rPr>
                <w:sz w:val="18"/>
                <w:szCs w:val="18"/>
                <w:lang w:val="en-US" w:eastAsia="ja-JP"/>
              </w:rPr>
            </w:pPr>
            <w:r w:rsidRPr="001F6931">
              <w:rPr>
                <w:sz w:val="18"/>
                <w:szCs w:val="18"/>
                <w:lang w:val="en-US" w:eastAsia="ja-JP"/>
              </w:rPr>
              <w:t>N=120; 73M/47F</w:t>
            </w:r>
          </w:p>
        </w:tc>
      </w:tr>
    </w:tbl>
    <w:p w14:paraId="3B34F327" w14:textId="3C9AFB3E" w:rsidR="00730E34" w:rsidRPr="00D15D79" w:rsidRDefault="00730E34" w:rsidP="00730E34">
      <w:pPr>
        <w:rPr>
          <w:sz w:val="18"/>
          <w:szCs w:val="18"/>
          <w:lang w:val="en-US" w:eastAsia="ja-JP"/>
        </w:rPr>
      </w:pPr>
      <w:r w:rsidRPr="00D15D79">
        <w:rPr>
          <w:sz w:val="18"/>
          <w:szCs w:val="18"/>
          <w:lang w:val="en-US" w:eastAsia="ja-JP"/>
        </w:rPr>
        <w:fldChar w:fldCharType="begin"/>
      </w:r>
      <w:r w:rsidRPr="00D15D79">
        <w:rPr>
          <w:sz w:val="18"/>
          <w:szCs w:val="18"/>
          <w:lang w:val="en-US" w:eastAsia="ja-JP"/>
        </w:rPr>
        <w:instrText xml:space="preserve"> REF _TNCF0EB61497D79422694054A15F4673A94  \* MERGEFORMAT </w:instrText>
      </w:r>
      <w:r w:rsidRPr="00D15D79">
        <w:rPr>
          <w:sz w:val="18"/>
          <w:szCs w:val="18"/>
          <w:lang w:val="en-US" w:eastAsia="ja-JP"/>
        </w:rPr>
        <w:fldChar w:fldCharType="separate"/>
      </w:r>
      <w:bookmarkStart w:id="176" w:name="_TN2"/>
      <w:r w:rsidR="00CE218E">
        <w:rPr>
          <w:sz w:val="18"/>
          <w:szCs w:val="18"/>
          <w:vertAlign w:val="superscript"/>
          <w:lang w:val="en-US" w:eastAsia="ja-JP"/>
        </w:rPr>
        <w:t>(</w:t>
      </w:r>
      <w:proofErr w:type="gramStart"/>
      <w:r w:rsidR="00CE218E">
        <w:rPr>
          <w:sz w:val="18"/>
          <w:szCs w:val="18"/>
          <w:vertAlign w:val="superscript"/>
          <w:lang w:val="en-US" w:eastAsia="ja-JP"/>
        </w:rPr>
        <w:t>a</w:t>
      </w:r>
      <w:proofErr w:type="gramEnd"/>
      <w:r w:rsidR="00CE218E">
        <w:rPr>
          <w:sz w:val="18"/>
          <w:szCs w:val="18"/>
          <w:vertAlign w:val="superscript"/>
          <w:lang w:val="en-US" w:eastAsia="ja-JP"/>
        </w:rPr>
        <w:t>)</w:t>
      </w:r>
      <w:bookmarkEnd w:id="176"/>
      <w:r w:rsidRPr="00D15D79">
        <w:rPr>
          <w:sz w:val="18"/>
          <w:szCs w:val="18"/>
          <w:lang w:eastAsia="ja-JP"/>
        </w:rPr>
        <w:fldChar w:fldCharType="end"/>
      </w:r>
      <w:r w:rsidRPr="00D15D79">
        <w:rPr>
          <w:sz w:val="18"/>
          <w:szCs w:val="18"/>
          <w:lang w:val="en-US" w:eastAsia="ja-JP"/>
        </w:rPr>
        <w:t>R=</w:t>
      </w:r>
      <w:proofErr w:type="spellStart"/>
      <w:r w:rsidR="002E3DAA" w:rsidRPr="00D15D79">
        <w:rPr>
          <w:sz w:val="18"/>
          <w:szCs w:val="18"/>
          <w:lang w:val="en-US" w:eastAsia="ja-JP"/>
        </w:rPr>
        <w:t>Randomi</w:t>
      </w:r>
      <w:r w:rsidR="002E3DAA">
        <w:rPr>
          <w:sz w:val="18"/>
          <w:szCs w:val="18"/>
          <w:lang w:val="en-US" w:eastAsia="ja-JP"/>
        </w:rPr>
        <w:t>s</w:t>
      </w:r>
      <w:r w:rsidR="002E3DAA" w:rsidRPr="00D15D79">
        <w:rPr>
          <w:sz w:val="18"/>
          <w:szCs w:val="18"/>
          <w:lang w:val="en-US" w:eastAsia="ja-JP"/>
        </w:rPr>
        <w:t>ed</w:t>
      </w:r>
      <w:proofErr w:type="spellEnd"/>
      <w:r w:rsidRPr="00D15D79">
        <w:rPr>
          <w:sz w:val="18"/>
          <w:szCs w:val="18"/>
          <w:lang w:val="en-US" w:eastAsia="ja-JP"/>
        </w:rPr>
        <w:t xml:space="preserve">; DB=Double-blind; P=Placebo-controlled trial; PG=Parallel-group; O=Open-label. </w:t>
      </w:r>
    </w:p>
    <w:p w14:paraId="7960F8EE" w14:textId="77777777" w:rsidR="00605AD4" w:rsidRDefault="00605AD4" w:rsidP="00605AD4">
      <w:pPr>
        <w:pStyle w:val="Heading4"/>
      </w:pPr>
      <w:r w:rsidRPr="00605AD4">
        <w:t>Patient exposure</w:t>
      </w:r>
    </w:p>
    <w:p w14:paraId="183AB388" w14:textId="7AA09F09" w:rsidR="00023DE8" w:rsidRPr="002A1986" w:rsidRDefault="00023DE8" w:rsidP="00023DE8">
      <w:pPr>
        <w:rPr>
          <w:lang w:eastAsia="ja-JP"/>
        </w:rPr>
      </w:pPr>
      <w:r>
        <w:rPr>
          <w:lang w:eastAsia="ja-JP"/>
        </w:rPr>
        <w:t>The safety database included in this dossier for tafenoquine includes data from 3184</w:t>
      </w:r>
      <w:r w:rsidR="002E3DAA">
        <w:rPr>
          <w:lang w:eastAsia="ja-JP"/>
        </w:rPr>
        <w:t> </w:t>
      </w:r>
      <w:r>
        <w:rPr>
          <w:lang w:eastAsia="ja-JP"/>
        </w:rPr>
        <w:t xml:space="preserve">subjects who were exposed to tafenoquine, of whom 825 (most of which were healthy volunteers) were administered the ACR of 200 mg daily for 3 consecutive days, followed by 200 mg once weekly for up to 6 months. Supportive information regarding the safety of tafenoquine is primarily drawn from healthy volunteers (not only in Phase </w:t>
      </w:r>
      <w:r w:rsidR="008A79A4">
        <w:rPr>
          <w:lang w:eastAsia="ja-JP"/>
        </w:rPr>
        <w:t>I</w:t>
      </w:r>
      <w:r>
        <w:rPr>
          <w:lang w:eastAsia="ja-JP"/>
        </w:rPr>
        <w:t xml:space="preserve"> studies but also in Phase </w:t>
      </w:r>
      <w:r w:rsidR="008A79A4">
        <w:rPr>
          <w:lang w:eastAsia="ja-JP"/>
        </w:rPr>
        <w:t>II</w:t>
      </w:r>
      <w:r w:rsidR="002E3DAA">
        <w:rPr>
          <w:lang w:eastAsia="ja-JP"/>
        </w:rPr>
        <w:t xml:space="preserve"> and </w:t>
      </w:r>
      <w:r w:rsidR="008A79A4">
        <w:rPr>
          <w:lang w:eastAsia="ja-JP"/>
        </w:rPr>
        <w:t>III</w:t>
      </w:r>
      <w:r>
        <w:rPr>
          <w:lang w:eastAsia="ja-JP"/>
        </w:rPr>
        <w:t xml:space="preserve"> prophylaxis studies), with prophylaxis populations including subjects with varying levels of inherent malaria immunity (non-immune Australian military personnel to semi-immune African residents). In these studies, safety was assessed through vital sign measurements, monitoring of clinical signs/symptoms, physical examinations, clinical laboratory testing, and monitoring of AEs. Selected studies have also included targeted assessments for effects on renal, ocular, pulmonary or cardiac function as well as for met</w:t>
      </w:r>
      <w:r w:rsidR="00F900F9">
        <w:rPr>
          <w:lang w:eastAsia="ja-JP"/>
        </w:rPr>
        <w:t>haemoglobin</w:t>
      </w:r>
      <w:r>
        <w:rPr>
          <w:lang w:eastAsia="ja-JP"/>
        </w:rPr>
        <w:t xml:space="preserve"> level.</w:t>
      </w:r>
    </w:p>
    <w:p w14:paraId="1F061FA1" w14:textId="20A552D7" w:rsidR="00023DE8" w:rsidRDefault="00023DE8" w:rsidP="001F6931">
      <w:pPr>
        <w:pStyle w:val="TableTitle"/>
      </w:pPr>
      <w:bookmarkStart w:id="177" w:name="_Toc504229425"/>
      <w:bookmarkStart w:id="178" w:name="_Toc501293675"/>
      <w:r>
        <w:t xml:space="preserve">Table </w:t>
      </w:r>
      <w:r w:rsidR="001F6931">
        <w:t>1</w:t>
      </w:r>
      <w:r w:rsidR="00B52F8D">
        <w:t>7</w:t>
      </w:r>
      <w:r w:rsidR="001F6931">
        <w:t>:</w:t>
      </w:r>
      <w:r>
        <w:t xml:space="preserve"> </w:t>
      </w:r>
      <w:r w:rsidRPr="008A132D">
        <w:t xml:space="preserve">Exposure to </w:t>
      </w:r>
      <w:r>
        <w:t xml:space="preserve">tafenoquine </w:t>
      </w:r>
      <w:r w:rsidRPr="008A132D">
        <w:t xml:space="preserve">and </w:t>
      </w:r>
      <w:r>
        <w:t>comparators in clinical studies</w:t>
      </w:r>
      <w:bookmarkEnd w:id="177"/>
      <w:bookmarkEnd w:id="178"/>
    </w:p>
    <w:tbl>
      <w:tblPr>
        <w:tblStyle w:val="TableGrid"/>
        <w:tblW w:w="9464" w:type="dxa"/>
        <w:tblLayout w:type="fixed"/>
        <w:tblLook w:val="04A0" w:firstRow="1" w:lastRow="0" w:firstColumn="1" w:lastColumn="0" w:noHBand="0" w:noVBand="1"/>
      </w:tblPr>
      <w:tblGrid>
        <w:gridCol w:w="1668"/>
        <w:gridCol w:w="170"/>
        <w:gridCol w:w="1247"/>
        <w:gridCol w:w="1021"/>
        <w:gridCol w:w="1418"/>
        <w:gridCol w:w="1134"/>
        <w:gridCol w:w="1530"/>
        <w:gridCol w:w="1276"/>
      </w:tblGrid>
      <w:tr w:rsidR="008A79A4" w:rsidRPr="008A79A4" w14:paraId="08FA0566" w14:textId="77777777" w:rsidTr="003D2B33">
        <w:trPr>
          <w:trHeight w:val="593"/>
          <w:tblHeader/>
        </w:trPr>
        <w:tc>
          <w:tcPr>
            <w:tcW w:w="1668" w:type="dxa"/>
            <w:vMerge w:val="restart"/>
            <w:shd w:val="clear" w:color="auto" w:fill="006DA7" w:themeFill="accent3"/>
          </w:tcPr>
          <w:p w14:paraId="48F8384F" w14:textId="19DB77AB" w:rsidR="00023DE8" w:rsidRPr="008A79A4" w:rsidRDefault="00023DE8" w:rsidP="003C1292">
            <w:pPr>
              <w:rPr>
                <w:b/>
                <w:color w:val="FFFFFF" w:themeColor="background1"/>
                <w:sz w:val="18"/>
                <w:szCs w:val="18"/>
              </w:rPr>
            </w:pPr>
            <w:r w:rsidRPr="008A79A4">
              <w:rPr>
                <w:b/>
                <w:color w:val="FFFFFF" w:themeColor="background1"/>
                <w:sz w:val="18"/>
                <w:szCs w:val="18"/>
              </w:rPr>
              <w:t>Study type/</w:t>
            </w:r>
            <w:r w:rsidR="003C1292">
              <w:rPr>
                <w:b/>
                <w:color w:val="FFFFFF" w:themeColor="background1"/>
                <w:sz w:val="18"/>
                <w:szCs w:val="18"/>
              </w:rPr>
              <w:t xml:space="preserve"> </w:t>
            </w:r>
            <w:r w:rsidRPr="008A79A4">
              <w:rPr>
                <w:b/>
                <w:color w:val="FFFFFF" w:themeColor="background1"/>
                <w:sz w:val="18"/>
                <w:szCs w:val="18"/>
              </w:rPr>
              <w:t>Indication</w:t>
            </w:r>
          </w:p>
        </w:tc>
        <w:tc>
          <w:tcPr>
            <w:tcW w:w="4990" w:type="dxa"/>
            <w:gridSpan w:val="5"/>
            <w:shd w:val="clear" w:color="auto" w:fill="006DA7" w:themeFill="accent3"/>
          </w:tcPr>
          <w:p w14:paraId="7594F9D9" w14:textId="77777777" w:rsidR="00023DE8" w:rsidRPr="008A79A4" w:rsidRDefault="00023DE8" w:rsidP="008A79A4">
            <w:pPr>
              <w:rPr>
                <w:b/>
                <w:color w:val="FFFFFF" w:themeColor="background1"/>
                <w:sz w:val="18"/>
                <w:szCs w:val="18"/>
              </w:rPr>
            </w:pPr>
            <w:r w:rsidRPr="008A79A4">
              <w:rPr>
                <w:b/>
                <w:color w:val="FFFFFF" w:themeColor="background1"/>
                <w:sz w:val="18"/>
                <w:szCs w:val="18"/>
              </w:rPr>
              <w:t>Controlled studies</w:t>
            </w:r>
          </w:p>
        </w:tc>
        <w:tc>
          <w:tcPr>
            <w:tcW w:w="1530" w:type="dxa"/>
            <w:shd w:val="clear" w:color="auto" w:fill="006DA7" w:themeFill="accent3"/>
          </w:tcPr>
          <w:p w14:paraId="523310CE" w14:textId="4CC5D5E8" w:rsidR="00023DE8" w:rsidRPr="008A79A4" w:rsidRDefault="00023DE8" w:rsidP="008A79A4">
            <w:pPr>
              <w:rPr>
                <w:b/>
                <w:color w:val="FFFFFF" w:themeColor="background1"/>
                <w:sz w:val="18"/>
                <w:szCs w:val="18"/>
              </w:rPr>
            </w:pPr>
            <w:r w:rsidRPr="008A79A4">
              <w:rPr>
                <w:b/>
                <w:color w:val="FFFFFF" w:themeColor="background1"/>
                <w:sz w:val="18"/>
                <w:szCs w:val="18"/>
              </w:rPr>
              <w:t>Uncontrolled</w:t>
            </w:r>
            <w:r w:rsidR="002E3DAA">
              <w:rPr>
                <w:b/>
                <w:color w:val="FFFFFF" w:themeColor="background1"/>
                <w:sz w:val="18"/>
                <w:szCs w:val="18"/>
              </w:rPr>
              <w:t xml:space="preserve"> </w:t>
            </w:r>
            <w:r w:rsidRPr="008A79A4">
              <w:rPr>
                <w:b/>
                <w:color w:val="FFFFFF" w:themeColor="background1"/>
                <w:sz w:val="18"/>
                <w:szCs w:val="18"/>
              </w:rPr>
              <w:t>studies</w:t>
            </w:r>
          </w:p>
        </w:tc>
        <w:tc>
          <w:tcPr>
            <w:tcW w:w="1276" w:type="dxa"/>
            <w:vMerge w:val="restart"/>
            <w:shd w:val="clear" w:color="auto" w:fill="006DA7" w:themeFill="accent3"/>
          </w:tcPr>
          <w:p w14:paraId="251A9CB1" w14:textId="5CABF96D" w:rsidR="00023DE8" w:rsidRPr="008A79A4" w:rsidRDefault="00023DE8" w:rsidP="008A79A4">
            <w:pPr>
              <w:rPr>
                <w:b/>
                <w:color w:val="FFFFFF" w:themeColor="background1"/>
                <w:sz w:val="18"/>
                <w:szCs w:val="18"/>
              </w:rPr>
            </w:pPr>
            <w:r w:rsidRPr="008A79A4">
              <w:rPr>
                <w:b/>
                <w:color w:val="FFFFFF" w:themeColor="background1"/>
                <w:sz w:val="18"/>
                <w:szCs w:val="18"/>
              </w:rPr>
              <w:t>Total</w:t>
            </w:r>
            <w:r w:rsidR="002E3DAA">
              <w:rPr>
                <w:b/>
                <w:color w:val="FFFFFF" w:themeColor="background1"/>
                <w:sz w:val="18"/>
                <w:szCs w:val="18"/>
              </w:rPr>
              <w:t xml:space="preserve"> </w:t>
            </w:r>
            <w:r w:rsidRPr="008A79A4">
              <w:rPr>
                <w:b/>
                <w:color w:val="FFFFFF" w:themeColor="background1"/>
                <w:sz w:val="18"/>
                <w:szCs w:val="18"/>
              </w:rPr>
              <w:t xml:space="preserve">Medicine </w:t>
            </w:r>
          </w:p>
        </w:tc>
      </w:tr>
      <w:tr w:rsidR="00023DE8" w:rsidRPr="008A79A4" w14:paraId="606D1789" w14:textId="77777777" w:rsidTr="003D2B33">
        <w:trPr>
          <w:tblHeader/>
        </w:trPr>
        <w:tc>
          <w:tcPr>
            <w:tcW w:w="1668" w:type="dxa"/>
            <w:vMerge/>
            <w:shd w:val="clear" w:color="auto" w:fill="006DA7" w:themeFill="accent3"/>
          </w:tcPr>
          <w:p w14:paraId="7AADDE63" w14:textId="77777777" w:rsidR="00023DE8" w:rsidRPr="008A79A4" w:rsidRDefault="00023DE8" w:rsidP="008A79A4">
            <w:pPr>
              <w:rPr>
                <w:sz w:val="18"/>
                <w:szCs w:val="18"/>
              </w:rPr>
            </w:pPr>
          </w:p>
        </w:tc>
        <w:tc>
          <w:tcPr>
            <w:tcW w:w="1417" w:type="dxa"/>
            <w:gridSpan w:val="2"/>
            <w:shd w:val="clear" w:color="auto" w:fill="00517D" w:themeFill="accent3" w:themeFillShade="BF"/>
          </w:tcPr>
          <w:p w14:paraId="7B396EFA" w14:textId="77777777" w:rsidR="00023DE8" w:rsidRPr="003D2B33" w:rsidRDefault="00023DE8" w:rsidP="008A79A4">
            <w:pPr>
              <w:rPr>
                <w:b/>
                <w:color w:val="FFFFFF" w:themeColor="background1"/>
                <w:sz w:val="18"/>
                <w:szCs w:val="18"/>
              </w:rPr>
            </w:pPr>
            <w:r w:rsidRPr="003D2B33">
              <w:rPr>
                <w:b/>
                <w:color w:val="FFFFFF" w:themeColor="background1"/>
                <w:sz w:val="18"/>
                <w:szCs w:val="18"/>
              </w:rPr>
              <w:t>Tafenoquine</w:t>
            </w:r>
          </w:p>
        </w:tc>
        <w:tc>
          <w:tcPr>
            <w:tcW w:w="1021" w:type="dxa"/>
            <w:shd w:val="clear" w:color="auto" w:fill="00517D" w:themeFill="accent3" w:themeFillShade="BF"/>
          </w:tcPr>
          <w:p w14:paraId="65636621" w14:textId="77777777" w:rsidR="00023DE8" w:rsidRPr="003D2B33" w:rsidRDefault="00023DE8" w:rsidP="008A79A4">
            <w:pPr>
              <w:rPr>
                <w:b/>
                <w:color w:val="FFFFFF" w:themeColor="background1"/>
                <w:sz w:val="18"/>
                <w:szCs w:val="18"/>
              </w:rPr>
            </w:pPr>
            <w:r w:rsidRPr="003D2B33">
              <w:rPr>
                <w:b/>
                <w:color w:val="FFFFFF" w:themeColor="background1"/>
                <w:sz w:val="18"/>
                <w:szCs w:val="18"/>
              </w:rPr>
              <w:t>Placebo</w:t>
            </w:r>
          </w:p>
        </w:tc>
        <w:tc>
          <w:tcPr>
            <w:tcW w:w="1418" w:type="dxa"/>
            <w:shd w:val="clear" w:color="auto" w:fill="00517D" w:themeFill="accent3" w:themeFillShade="BF"/>
          </w:tcPr>
          <w:p w14:paraId="3151DCD3" w14:textId="77777777" w:rsidR="00023DE8" w:rsidRPr="003D2B33" w:rsidRDefault="00023DE8" w:rsidP="008A79A4">
            <w:pPr>
              <w:rPr>
                <w:b/>
                <w:color w:val="FFFFFF" w:themeColor="background1"/>
                <w:sz w:val="18"/>
                <w:szCs w:val="18"/>
              </w:rPr>
            </w:pPr>
            <w:r w:rsidRPr="003D2B33">
              <w:rPr>
                <w:b/>
                <w:color w:val="FFFFFF" w:themeColor="background1"/>
                <w:sz w:val="18"/>
                <w:szCs w:val="18"/>
              </w:rPr>
              <w:t>Mefloquine</w:t>
            </w:r>
          </w:p>
        </w:tc>
        <w:tc>
          <w:tcPr>
            <w:tcW w:w="1134" w:type="dxa"/>
            <w:shd w:val="clear" w:color="auto" w:fill="00517D" w:themeFill="accent3" w:themeFillShade="BF"/>
          </w:tcPr>
          <w:p w14:paraId="2C916684" w14:textId="4C8CA3C3" w:rsidR="00023DE8" w:rsidRPr="003D2B33" w:rsidRDefault="00994561" w:rsidP="008A79A4">
            <w:pPr>
              <w:rPr>
                <w:b/>
                <w:color w:val="FFFFFF" w:themeColor="background1"/>
                <w:sz w:val="18"/>
                <w:szCs w:val="18"/>
              </w:rPr>
            </w:pPr>
            <w:r>
              <w:rPr>
                <w:b/>
                <w:color w:val="FFFFFF" w:themeColor="background1"/>
                <w:sz w:val="18"/>
                <w:szCs w:val="18"/>
              </w:rPr>
              <w:t>primaquine</w:t>
            </w:r>
          </w:p>
        </w:tc>
        <w:tc>
          <w:tcPr>
            <w:tcW w:w="1530" w:type="dxa"/>
            <w:shd w:val="clear" w:color="auto" w:fill="00517D" w:themeFill="accent3" w:themeFillShade="BF"/>
          </w:tcPr>
          <w:p w14:paraId="6116A3F4" w14:textId="77777777" w:rsidR="00023DE8" w:rsidRPr="003D2B33" w:rsidRDefault="00023DE8" w:rsidP="008A79A4">
            <w:pPr>
              <w:rPr>
                <w:b/>
                <w:color w:val="FFFFFF" w:themeColor="background1"/>
                <w:sz w:val="18"/>
                <w:szCs w:val="18"/>
              </w:rPr>
            </w:pPr>
            <w:r w:rsidRPr="003D2B33">
              <w:rPr>
                <w:b/>
                <w:color w:val="FFFFFF" w:themeColor="background1"/>
                <w:sz w:val="18"/>
                <w:szCs w:val="18"/>
              </w:rPr>
              <w:t>Tafenoquine</w:t>
            </w:r>
          </w:p>
        </w:tc>
        <w:tc>
          <w:tcPr>
            <w:tcW w:w="1276" w:type="dxa"/>
            <w:vMerge/>
            <w:shd w:val="clear" w:color="auto" w:fill="006DA7" w:themeFill="accent3"/>
          </w:tcPr>
          <w:p w14:paraId="3C9CA4DA" w14:textId="77777777" w:rsidR="00023DE8" w:rsidRPr="008A79A4" w:rsidRDefault="00023DE8" w:rsidP="008A79A4">
            <w:pPr>
              <w:rPr>
                <w:sz w:val="18"/>
                <w:szCs w:val="18"/>
              </w:rPr>
            </w:pPr>
          </w:p>
        </w:tc>
      </w:tr>
      <w:tr w:rsidR="00023DE8" w:rsidRPr="008A79A4" w14:paraId="3AC0BA2F" w14:textId="77777777" w:rsidTr="003D2B33">
        <w:tc>
          <w:tcPr>
            <w:tcW w:w="1668" w:type="dxa"/>
          </w:tcPr>
          <w:p w14:paraId="542CC287" w14:textId="77777777" w:rsidR="00023DE8" w:rsidRPr="008A79A4" w:rsidRDefault="00023DE8" w:rsidP="008A79A4">
            <w:pPr>
              <w:rPr>
                <w:sz w:val="18"/>
                <w:szCs w:val="18"/>
              </w:rPr>
            </w:pPr>
            <w:r w:rsidRPr="008A79A4">
              <w:rPr>
                <w:sz w:val="18"/>
                <w:szCs w:val="18"/>
              </w:rPr>
              <w:t>Clinical pharmacology</w:t>
            </w:r>
          </w:p>
          <w:p w14:paraId="542F9420" w14:textId="77777777" w:rsidR="00023DE8" w:rsidRPr="008A79A4" w:rsidRDefault="00023DE8" w:rsidP="008A79A4">
            <w:pPr>
              <w:rPr>
                <w:sz w:val="18"/>
                <w:szCs w:val="18"/>
              </w:rPr>
            </w:pPr>
            <w:r w:rsidRPr="008A79A4">
              <w:rPr>
                <w:sz w:val="18"/>
                <w:szCs w:val="18"/>
              </w:rPr>
              <w:t>050</w:t>
            </w:r>
          </w:p>
          <w:p w14:paraId="40527CB9" w14:textId="77777777" w:rsidR="00023DE8" w:rsidRPr="008A79A4" w:rsidRDefault="00023DE8" w:rsidP="008A79A4">
            <w:pPr>
              <w:rPr>
                <w:sz w:val="18"/>
                <w:szCs w:val="18"/>
              </w:rPr>
            </w:pPr>
            <w:r w:rsidRPr="008A79A4">
              <w:rPr>
                <w:sz w:val="18"/>
                <w:szCs w:val="18"/>
              </w:rPr>
              <w:t>003</w:t>
            </w:r>
          </w:p>
          <w:p w14:paraId="37878AAB" w14:textId="77777777" w:rsidR="00023DE8" w:rsidRPr="008A79A4" w:rsidRDefault="00023DE8" w:rsidP="008A79A4">
            <w:pPr>
              <w:rPr>
                <w:sz w:val="18"/>
                <w:szCs w:val="18"/>
              </w:rPr>
            </w:pPr>
            <w:r w:rsidRPr="008A79A4">
              <w:rPr>
                <w:sz w:val="18"/>
                <w:szCs w:val="18"/>
              </w:rPr>
              <w:t xml:space="preserve">022 </w:t>
            </w:r>
          </w:p>
          <w:p w14:paraId="65DF8435" w14:textId="4A734F86" w:rsidR="00023DE8" w:rsidRPr="008A79A4" w:rsidRDefault="003D4617" w:rsidP="008A79A4">
            <w:pPr>
              <w:rPr>
                <w:sz w:val="18"/>
                <w:szCs w:val="18"/>
              </w:rPr>
            </w:pPr>
            <w:r>
              <w:rPr>
                <w:sz w:val="18"/>
                <w:szCs w:val="18"/>
              </w:rPr>
              <w:t>TQq</w:t>
            </w:r>
            <w:r w:rsidR="006D4F86">
              <w:rPr>
                <w:sz w:val="18"/>
                <w:szCs w:val="18"/>
              </w:rPr>
              <w:t>-2016-01</w:t>
            </w:r>
          </w:p>
          <w:p w14:paraId="4ADFC709" w14:textId="77777777" w:rsidR="00023DE8" w:rsidRPr="008A79A4" w:rsidRDefault="00023DE8" w:rsidP="008A79A4">
            <w:pPr>
              <w:rPr>
                <w:sz w:val="18"/>
                <w:szCs w:val="18"/>
              </w:rPr>
            </w:pPr>
            <w:r w:rsidRPr="008A79A4">
              <w:rPr>
                <w:sz w:val="18"/>
                <w:szCs w:val="18"/>
              </w:rPr>
              <w:t>014</w:t>
            </w:r>
          </w:p>
          <w:p w14:paraId="05E37FB0" w14:textId="77777777" w:rsidR="00023DE8" w:rsidRPr="008A79A4" w:rsidRDefault="00023DE8" w:rsidP="008A79A4">
            <w:pPr>
              <w:rPr>
                <w:sz w:val="18"/>
                <w:szCs w:val="18"/>
              </w:rPr>
            </w:pPr>
            <w:r w:rsidRPr="008A79A4">
              <w:rPr>
                <w:sz w:val="18"/>
                <w:szCs w:val="18"/>
              </w:rPr>
              <w:t>057</w:t>
            </w:r>
          </w:p>
          <w:p w14:paraId="03A62722" w14:textId="77777777" w:rsidR="00023DE8" w:rsidRPr="008A79A4" w:rsidRDefault="00023DE8" w:rsidP="008A79A4">
            <w:pPr>
              <w:rPr>
                <w:sz w:val="18"/>
                <w:szCs w:val="18"/>
              </w:rPr>
            </w:pPr>
            <w:r w:rsidRPr="008A79A4">
              <w:rPr>
                <w:sz w:val="18"/>
                <w:szCs w:val="18"/>
              </w:rPr>
              <w:t>015</w:t>
            </w:r>
          </w:p>
          <w:p w14:paraId="1837EC91" w14:textId="77777777" w:rsidR="00023DE8" w:rsidRPr="008A79A4" w:rsidRDefault="00023DE8" w:rsidP="008A79A4">
            <w:pPr>
              <w:rPr>
                <w:sz w:val="18"/>
                <w:szCs w:val="18"/>
              </w:rPr>
            </w:pPr>
            <w:r w:rsidRPr="008A79A4">
              <w:rPr>
                <w:sz w:val="18"/>
                <w:szCs w:val="18"/>
              </w:rPr>
              <w:t>040</w:t>
            </w:r>
          </w:p>
          <w:p w14:paraId="347B2668" w14:textId="77777777" w:rsidR="00023DE8" w:rsidRPr="008A79A4" w:rsidRDefault="00023DE8" w:rsidP="008A79A4">
            <w:pPr>
              <w:rPr>
                <w:sz w:val="18"/>
                <w:szCs w:val="18"/>
              </w:rPr>
            </w:pPr>
            <w:r w:rsidRPr="008A79A4">
              <w:rPr>
                <w:sz w:val="18"/>
                <w:szCs w:val="18"/>
              </w:rPr>
              <w:t>Study TAF106491</w:t>
            </w:r>
          </w:p>
        </w:tc>
        <w:tc>
          <w:tcPr>
            <w:tcW w:w="1417" w:type="dxa"/>
            <w:gridSpan w:val="2"/>
          </w:tcPr>
          <w:p w14:paraId="737D324E" w14:textId="77777777" w:rsidR="00023DE8" w:rsidRPr="008A79A4" w:rsidRDefault="00023DE8" w:rsidP="008A79A4">
            <w:pPr>
              <w:rPr>
                <w:sz w:val="18"/>
                <w:szCs w:val="18"/>
              </w:rPr>
            </w:pPr>
          </w:p>
          <w:p w14:paraId="24FFC1F7" w14:textId="77777777" w:rsidR="00023DE8" w:rsidRPr="008A79A4" w:rsidRDefault="00023DE8" w:rsidP="008A79A4">
            <w:pPr>
              <w:rPr>
                <w:sz w:val="18"/>
                <w:szCs w:val="18"/>
              </w:rPr>
            </w:pPr>
          </w:p>
          <w:p w14:paraId="02C0DC4D" w14:textId="77777777" w:rsidR="00023DE8" w:rsidRPr="008A79A4" w:rsidRDefault="00023DE8" w:rsidP="008A79A4">
            <w:pPr>
              <w:rPr>
                <w:sz w:val="18"/>
                <w:szCs w:val="18"/>
              </w:rPr>
            </w:pPr>
            <w:r w:rsidRPr="008A79A4">
              <w:rPr>
                <w:sz w:val="18"/>
                <w:szCs w:val="18"/>
              </w:rPr>
              <w:t>45</w:t>
            </w:r>
          </w:p>
          <w:p w14:paraId="3BD038F6" w14:textId="77777777" w:rsidR="00023DE8" w:rsidRPr="008A79A4" w:rsidRDefault="00023DE8" w:rsidP="008A79A4">
            <w:pPr>
              <w:rPr>
                <w:sz w:val="18"/>
                <w:szCs w:val="18"/>
              </w:rPr>
            </w:pPr>
          </w:p>
          <w:p w14:paraId="3E25F7AE" w14:textId="77777777" w:rsidR="00023DE8" w:rsidRPr="008A79A4" w:rsidRDefault="00023DE8" w:rsidP="008A79A4">
            <w:pPr>
              <w:rPr>
                <w:sz w:val="18"/>
                <w:szCs w:val="18"/>
              </w:rPr>
            </w:pPr>
          </w:p>
          <w:p w14:paraId="519BB589" w14:textId="77777777" w:rsidR="00023DE8" w:rsidRPr="008A79A4" w:rsidRDefault="00023DE8" w:rsidP="008A79A4">
            <w:pPr>
              <w:rPr>
                <w:sz w:val="18"/>
                <w:szCs w:val="18"/>
              </w:rPr>
            </w:pPr>
            <w:r w:rsidRPr="008A79A4">
              <w:rPr>
                <w:sz w:val="18"/>
                <w:szCs w:val="18"/>
              </w:rPr>
              <w:t>70</w:t>
            </w:r>
          </w:p>
          <w:p w14:paraId="5D90351D" w14:textId="77777777" w:rsidR="00023DE8" w:rsidRPr="008A79A4" w:rsidRDefault="00023DE8" w:rsidP="008A79A4">
            <w:pPr>
              <w:rPr>
                <w:sz w:val="18"/>
                <w:szCs w:val="18"/>
              </w:rPr>
            </w:pPr>
            <w:r w:rsidRPr="008A79A4">
              <w:rPr>
                <w:sz w:val="18"/>
                <w:szCs w:val="18"/>
              </w:rPr>
              <w:t xml:space="preserve"> </w:t>
            </w:r>
          </w:p>
          <w:p w14:paraId="00528C68" w14:textId="77777777" w:rsidR="00023DE8" w:rsidRPr="008A79A4" w:rsidRDefault="00023DE8" w:rsidP="008A79A4">
            <w:pPr>
              <w:rPr>
                <w:sz w:val="18"/>
                <w:szCs w:val="18"/>
              </w:rPr>
            </w:pPr>
            <w:r w:rsidRPr="008A79A4">
              <w:rPr>
                <w:sz w:val="18"/>
                <w:szCs w:val="18"/>
              </w:rPr>
              <w:t>81</w:t>
            </w:r>
          </w:p>
          <w:p w14:paraId="79E11059" w14:textId="77777777" w:rsidR="00023DE8" w:rsidRPr="008A79A4" w:rsidRDefault="00023DE8" w:rsidP="008A79A4">
            <w:pPr>
              <w:rPr>
                <w:sz w:val="18"/>
                <w:szCs w:val="18"/>
              </w:rPr>
            </w:pPr>
          </w:p>
          <w:p w14:paraId="4A3D2ABB" w14:textId="77777777" w:rsidR="00023DE8" w:rsidRPr="008A79A4" w:rsidRDefault="00023DE8" w:rsidP="008A79A4">
            <w:pPr>
              <w:rPr>
                <w:sz w:val="18"/>
                <w:szCs w:val="18"/>
              </w:rPr>
            </w:pPr>
          </w:p>
        </w:tc>
        <w:tc>
          <w:tcPr>
            <w:tcW w:w="1021" w:type="dxa"/>
          </w:tcPr>
          <w:p w14:paraId="279D2EA9" w14:textId="77777777" w:rsidR="00023DE8" w:rsidRPr="008A79A4" w:rsidRDefault="00023DE8" w:rsidP="008A79A4">
            <w:pPr>
              <w:rPr>
                <w:sz w:val="18"/>
                <w:szCs w:val="18"/>
              </w:rPr>
            </w:pPr>
          </w:p>
          <w:p w14:paraId="5413E45B" w14:textId="77777777" w:rsidR="00023DE8" w:rsidRPr="008A79A4" w:rsidRDefault="00023DE8" w:rsidP="008A79A4">
            <w:pPr>
              <w:rPr>
                <w:sz w:val="18"/>
                <w:szCs w:val="18"/>
              </w:rPr>
            </w:pPr>
          </w:p>
          <w:p w14:paraId="1A2C6488" w14:textId="77777777" w:rsidR="00023DE8" w:rsidRPr="008A79A4" w:rsidRDefault="00023DE8" w:rsidP="008A79A4">
            <w:pPr>
              <w:rPr>
                <w:sz w:val="18"/>
                <w:szCs w:val="18"/>
              </w:rPr>
            </w:pPr>
            <w:r w:rsidRPr="008A79A4">
              <w:rPr>
                <w:sz w:val="18"/>
                <w:szCs w:val="18"/>
              </w:rPr>
              <w:t>30</w:t>
            </w:r>
          </w:p>
          <w:p w14:paraId="34197758" w14:textId="77777777" w:rsidR="00023DE8" w:rsidRPr="008A79A4" w:rsidRDefault="00023DE8" w:rsidP="008A79A4">
            <w:pPr>
              <w:rPr>
                <w:sz w:val="18"/>
                <w:szCs w:val="18"/>
              </w:rPr>
            </w:pPr>
          </w:p>
          <w:p w14:paraId="50043ED0" w14:textId="77777777" w:rsidR="00023DE8" w:rsidRPr="008A79A4" w:rsidRDefault="00023DE8" w:rsidP="008A79A4">
            <w:pPr>
              <w:rPr>
                <w:sz w:val="18"/>
                <w:szCs w:val="18"/>
              </w:rPr>
            </w:pPr>
          </w:p>
          <w:p w14:paraId="4DEA9537" w14:textId="77777777" w:rsidR="00023DE8" w:rsidRPr="008A79A4" w:rsidRDefault="00023DE8" w:rsidP="008A79A4">
            <w:pPr>
              <w:rPr>
                <w:sz w:val="18"/>
                <w:szCs w:val="18"/>
              </w:rPr>
            </w:pPr>
          </w:p>
          <w:p w14:paraId="3B6B4F26" w14:textId="77777777" w:rsidR="00023DE8" w:rsidRPr="008A79A4" w:rsidRDefault="00023DE8" w:rsidP="008A79A4">
            <w:pPr>
              <w:rPr>
                <w:sz w:val="18"/>
                <w:szCs w:val="18"/>
              </w:rPr>
            </w:pPr>
          </w:p>
          <w:p w14:paraId="1EC83B6D" w14:textId="77777777" w:rsidR="00023DE8" w:rsidRPr="008A79A4" w:rsidRDefault="00023DE8" w:rsidP="008A79A4">
            <w:pPr>
              <w:rPr>
                <w:sz w:val="18"/>
                <w:szCs w:val="18"/>
              </w:rPr>
            </w:pPr>
            <w:r w:rsidRPr="008A79A4">
              <w:rPr>
                <w:sz w:val="18"/>
                <w:szCs w:val="18"/>
              </w:rPr>
              <w:t>59</w:t>
            </w:r>
          </w:p>
        </w:tc>
        <w:tc>
          <w:tcPr>
            <w:tcW w:w="1418" w:type="dxa"/>
          </w:tcPr>
          <w:p w14:paraId="029C772E" w14:textId="77777777" w:rsidR="00023DE8" w:rsidRPr="008A79A4" w:rsidRDefault="00023DE8" w:rsidP="008A79A4">
            <w:pPr>
              <w:rPr>
                <w:sz w:val="18"/>
                <w:szCs w:val="18"/>
              </w:rPr>
            </w:pPr>
          </w:p>
        </w:tc>
        <w:tc>
          <w:tcPr>
            <w:tcW w:w="1134" w:type="dxa"/>
          </w:tcPr>
          <w:p w14:paraId="4794C420" w14:textId="77777777" w:rsidR="00023DE8" w:rsidRPr="008A79A4" w:rsidRDefault="00023DE8" w:rsidP="008A79A4">
            <w:pPr>
              <w:rPr>
                <w:sz w:val="18"/>
                <w:szCs w:val="18"/>
              </w:rPr>
            </w:pPr>
          </w:p>
        </w:tc>
        <w:tc>
          <w:tcPr>
            <w:tcW w:w="1530" w:type="dxa"/>
          </w:tcPr>
          <w:p w14:paraId="3134E41B" w14:textId="77777777" w:rsidR="00023DE8" w:rsidRPr="008A79A4" w:rsidRDefault="00023DE8" w:rsidP="008A79A4">
            <w:pPr>
              <w:rPr>
                <w:sz w:val="18"/>
                <w:szCs w:val="18"/>
              </w:rPr>
            </w:pPr>
          </w:p>
          <w:p w14:paraId="551FC08A" w14:textId="77777777" w:rsidR="00023DE8" w:rsidRPr="008A79A4" w:rsidRDefault="00023DE8" w:rsidP="008A79A4">
            <w:pPr>
              <w:rPr>
                <w:sz w:val="18"/>
                <w:szCs w:val="18"/>
              </w:rPr>
            </w:pPr>
          </w:p>
          <w:p w14:paraId="3E2A5B14" w14:textId="77777777" w:rsidR="00023DE8" w:rsidRPr="008A79A4" w:rsidRDefault="00023DE8" w:rsidP="008A79A4">
            <w:pPr>
              <w:rPr>
                <w:sz w:val="18"/>
                <w:szCs w:val="18"/>
              </w:rPr>
            </w:pPr>
          </w:p>
          <w:p w14:paraId="79F4EC26" w14:textId="77777777" w:rsidR="00023DE8" w:rsidRPr="008A79A4" w:rsidRDefault="00023DE8" w:rsidP="008A79A4">
            <w:pPr>
              <w:rPr>
                <w:sz w:val="18"/>
                <w:szCs w:val="18"/>
              </w:rPr>
            </w:pPr>
            <w:r w:rsidRPr="008A79A4">
              <w:rPr>
                <w:sz w:val="18"/>
                <w:szCs w:val="18"/>
              </w:rPr>
              <w:t>32</w:t>
            </w:r>
          </w:p>
          <w:p w14:paraId="44145E7F" w14:textId="77777777" w:rsidR="00023DE8" w:rsidRPr="008A79A4" w:rsidRDefault="00023DE8" w:rsidP="008A79A4">
            <w:pPr>
              <w:rPr>
                <w:sz w:val="18"/>
                <w:szCs w:val="18"/>
              </w:rPr>
            </w:pPr>
            <w:r w:rsidRPr="008A79A4">
              <w:rPr>
                <w:sz w:val="18"/>
                <w:szCs w:val="18"/>
              </w:rPr>
              <w:t>20</w:t>
            </w:r>
          </w:p>
          <w:p w14:paraId="5C7A0F2B" w14:textId="77777777" w:rsidR="00023DE8" w:rsidRPr="008A79A4" w:rsidRDefault="00023DE8" w:rsidP="008A79A4">
            <w:pPr>
              <w:rPr>
                <w:sz w:val="18"/>
                <w:szCs w:val="18"/>
              </w:rPr>
            </w:pPr>
          </w:p>
          <w:p w14:paraId="51A4C713" w14:textId="77777777" w:rsidR="00023DE8" w:rsidRPr="008A79A4" w:rsidRDefault="00023DE8" w:rsidP="008A79A4">
            <w:pPr>
              <w:rPr>
                <w:sz w:val="18"/>
                <w:szCs w:val="18"/>
              </w:rPr>
            </w:pPr>
            <w:r w:rsidRPr="008A79A4">
              <w:rPr>
                <w:sz w:val="18"/>
                <w:szCs w:val="18"/>
              </w:rPr>
              <w:t>48</w:t>
            </w:r>
          </w:p>
          <w:p w14:paraId="397617AB" w14:textId="77777777" w:rsidR="00023DE8" w:rsidRPr="008A79A4" w:rsidRDefault="00023DE8" w:rsidP="008A79A4">
            <w:pPr>
              <w:rPr>
                <w:sz w:val="18"/>
                <w:szCs w:val="18"/>
              </w:rPr>
            </w:pPr>
          </w:p>
          <w:p w14:paraId="0276C6F4" w14:textId="77777777" w:rsidR="00023DE8" w:rsidRPr="008A79A4" w:rsidRDefault="00023DE8" w:rsidP="008A79A4">
            <w:pPr>
              <w:rPr>
                <w:sz w:val="18"/>
                <w:szCs w:val="18"/>
              </w:rPr>
            </w:pPr>
            <w:r w:rsidRPr="008A79A4">
              <w:rPr>
                <w:sz w:val="18"/>
                <w:szCs w:val="18"/>
              </w:rPr>
              <w:t>34</w:t>
            </w:r>
          </w:p>
          <w:p w14:paraId="21BB2B3A" w14:textId="77777777" w:rsidR="00023DE8" w:rsidRPr="008A79A4" w:rsidRDefault="00023DE8" w:rsidP="008A79A4">
            <w:pPr>
              <w:rPr>
                <w:sz w:val="18"/>
                <w:szCs w:val="18"/>
              </w:rPr>
            </w:pPr>
            <w:r w:rsidRPr="008A79A4">
              <w:rPr>
                <w:sz w:val="18"/>
                <w:szCs w:val="18"/>
              </w:rPr>
              <w:t>28</w:t>
            </w:r>
          </w:p>
          <w:p w14:paraId="24760679" w14:textId="77777777" w:rsidR="00023DE8" w:rsidRPr="008A79A4" w:rsidRDefault="00023DE8" w:rsidP="008A79A4">
            <w:pPr>
              <w:rPr>
                <w:sz w:val="18"/>
                <w:szCs w:val="18"/>
              </w:rPr>
            </w:pPr>
            <w:r w:rsidRPr="008A79A4">
              <w:rPr>
                <w:sz w:val="18"/>
                <w:szCs w:val="18"/>
              </w:rPr>
              <w:t>70</w:t>
            </w:r>
          </w:p>
        </w:tc>
        <w:tc>
          <w:tcPr>
            <w:tcW w:w="1276" w:type="dxa"/>
          </w:tcPr>
          <w:p w14:paraId="5EE3157D" w14:textId="77777777" w:rsidR="00023DE8" w:rsidRPr="008A79A4" w:rsidRDefault="00023DE8" w:rsidP="008A79A4">
            <w:pPr>
              <w:rPr>
                <w:sz w:val="18"/>
                <w:szCs w:val="18"/>
              </w:rPr>
            </w:pPr>
          </w:p>
          <w:p w14:paraId="48BC4BD4" w14:textId="77777777" w:rsidR="00023DE8" w:rsidRPr="008A79A4" w:rsidRDefault="00023DE8" w:rsidP="008A79A4">
            <w:pPr>
              <w:rPr>
                <w:sz w:val="18"/>
                <w:szCs w:val="18"/>
              </w:rPr>
            </w:pPr>
          </w:p>
          <w:p w14:paraId="7AB5E1AC" w14:textId="77777777" w:rsidR="00023DE8" w:rsidRPr="008A79A4" w:rsidRDefault="00023DE8" w:rsidP="008A79A4">
            <w:pPr>
              <w:rPr>
                <w:sz w:val="18"/>
                <w:szCs w:val="18"/>
              </w:rPr>
            </w:pPr>
            <w:r w:rsidRPr="008A79A4">
              <w:rPr>
                <w:sz w:val="18"/>
                <w:szCs w:val="18"/>
              </w:rPr>
              <w:t>75</w:t>
            </w:r>
          </w:p>
          <w:p w14:paraId="2E9F85A3" w14:textId="77777777" w:rsidR="00023DE8" w:rsidRPr="008A79A4" w:rsidRDefault="00023DE8" w:rsidP="008A79A4">
            <w:pPr>
              <w:rPr>
                <w:sz w:val="18"/>
                <w:szCs w:val="18"/>
              </w:rPr>
            </w:pPr>
            <w:r w:rsidRPr="008A79A4">
              <w:rPr>
                <w:sz w:val="18"/>
                <w:szCs w:val="18"/>
              </w:rPr>
              <w:t>32</w:t>
            </w:r>
          </w:p>
          <w:p w14:paraId="38D68553" w14:textId="77777777" w:rsidR="00023DE8" w:rsidRPr="008A79A4" w:rsidRDefault="00023DE8" w:rsidP="008A79A4">
            <w:pPr>
              <w:rPr>
                <w:sz w:val="18"/>
                <w:szCs w:val="18"/>
              </w:rPr>
            </w:pPr>
            <w:r w:rsidRPr="008A79A4">
              <w:rPr>
                <w:sz w:val="18"/>
                <w:szCs w:val="18"/>
              </w:rPr>
              <w:t>20</w:t>
            </w:r>
          </w:p>
          <w:p w14:paraId="18C58318" w14:textId="77777777" w:rsidR="00023DE8" w:rsidRPr="008A79A4" w:rsidRDefault="00023DE8" w:rsidP="008A79A4">
            <w:pPr>
              <w:rPr>
                <w:sz w:val="18"/>
                <w:szCs w:val="18"/>
              </w:rPr>
            </w:pPr>
            <w:r w:rsidRPr="008A79A4">
              <w:rPr>
                <w:sz w:val="18"/>
                <w:szCs w:val="18"/>
              </w:rPr>
              <w:t>70</w:t>
            </w:r>
          </w:p>
          <w:p w14:paraId="6C42DD33" w14:textId="77777777" w:rsidR="00023DE8" w:rsidRPr="008A79A4" w:rsidRDefault="00023DE8" w:rsidP="008A79A4">
            <w:pPr>
              <w:rPr>
                <w:sz w:val="18"/>
                <w:szCs w:val="18"/>
              </w:rPr>
            </w:pPr>
            <w:r w:rsidRPr="008A79A4">
              <w:rPr>
                <w:sz w:val="18"/>
                <w:szCs w:val="18"/>
              </w:rPr>
              <w:t>48</w:t>
            </w:r>
          </w:p>
          <w:p w14:paraId="5C2CD12E" w14:textId="77777777" w:rsidR="00023DE8" w:rsidRPr="008A79A4" w:rsidRDefault="00023DE8" w:rsidP="008A79A4">
            <w:pPr>
              <w:rPr>
                <w:sz w:val="18"/>
                <w:szCs w:val="18"/>
              </w:rPr>
            </w:pPr>
            <w:r w:rsidRPr="008A79A4">
              <w:rPr>
                <w:sz w:val="18"/>
                <w:szCs w:val="18"/>
              </w:rPr>
              <w:t>140</w:t>
            </w:r>
          </w:p>
          <w:p w14:paraId="3E61C207" w14:textId="77777777" w:rsidR="00023DE8" w:rsidRPr="008A79A4" w:rsidRDefault="00023DE8" w:rsidP="008A79A4">
            <w:pPr>
              <w:rPr>
                <w:sz w:val="18"/>
                <w:szCs w:val="18"/>
              </w:rPr>
            </w:pPr>
            <w:r w:rsidRPr="008A79A4">
              <w:rPr>
                <w:sz w:val="18"/>
                <w:szCs w:val="18"/>
              </w:rPr>
              <w:t>34</w:t>
            </w:r>
          </w:p>
          <w:p w14:paraId="475D6B19" w14:textId="77777777" w:rsidR="00023DE8" w:rsidRPr="008A79A4" w:rsidRDefault="00023DE8" w:rsidP="008A79A4">
            <w:pPr>
              <w:rPr>
                <w:sz w:val="18"/>
                <w:szCs w:val="18"/>
              </w:rPr>
            </w:pPr>
            <w:r w:rsidRPr="008A79A4">
              <w:rPr>
                <w:sz w:val="18"/>
                <w:szCs w:val="18"/>
              </w:rPr>
              <w:t>28</w:t>
            </w:r>
          </w:p>
          <w:p w14:paraId="65E26EC7" w14:textId="77777777" w:rsidR="00023DE8" w:rsidRPr="008A79A4" w:rsidRDefault="00023DE8" w:rsidP="008A79A4">
            <w:pPr>
              <w:rPr>
                <w:sz w:val="18"/>
                <w:szCs w:val="18"/>
              </w:rPr>
            </w:pPr>
            <w:r w:rsidRPr="008A79A4">
              <w:rPr>
                <w:sz w:val="18"/>
                <w:szCs w:val="18"/>
              </w:rPr>
              <w:t>70</w:t>
            </w:r>
          </w:p>
        </w:tc>
      </w:tr>
      <w:tr w:rsidR="00023DE8" w:rsidRPr="008A79A4" w14:paraId="6E391132" w14:textId="77777777" w:rsidTr="003D2B33">
        <w:tc>
          <w:tcPr>
            <w:tcW w:w="1668" w:type="dxa"/>
          </w:tcPr>
          <w:p w14:paraId="0EB37A83" w14:textId="77777777" w:rsidR="00023DE8" w:rsidRPr="008A79A4" w:rsidRDefault="00023DE8" w:rsidP="008A79A4">
            <w:pPr>
              <w:rPr>
                <w:sz w:val="18"/>
                <w:szCs w:val="18"/>
              </w:rPr>
            </w:pPr>
            <w:r w:rsidRPr="008A79A4">
              <w:rPr>
                <w:sz w:val="18"/>
                <w:szCs w:val="18"/>
              </w:rPr>
              <w:t>Dose finding</w:t>
            </w:r>
          </w:p>
          <w:p w14:paraId="166FBA7A" w14:textId="77777777" w:rsidR="00023DE8" w:rsidRPr="008A79A4" w:rsidRDefault="00023DE8" w:rsidP="008A79A4">
            <w:pPr>
              <w:rPr>
                <w:sz w:val="18"/>
                <w:szCs w:val="18"/>
              </w:rPr>
            </w:pPr>
            <w:r w:rsidRPr="008A79A4">
              <w:rPr>
                <w:sz w:val="18"/>
                <w:szCs w:val="18"/>
              </w:rPr>
              <w:t>052</w:t>
            </w:r>
          </w:p>
          <w:p w14:paraId="5751875A" w14:textId="77777777" w:rsidR="00023DE8" w:rsidRPr="008A79A4" w:rsidRDefault="00023DE8" w:rsidP="008A79A4">
            <w:pPr>
              <w:rPr>
                <w:sz w:val="18"/>
                <w:szCs w:val="18"/>
              </w:rPr>
            </w:pPr>
            <w:r w:rsidRPr="008A79A4">
              <w:rPr>
                <w:sz w:val="18"/>
                <w:szCs w:val="18"/>
              </w:rPr>
              <w:t>051</w:t>
            </w:r>
          </w:p>
        </w:tc>
        <w:tc>
          <w:tcPr>
            <w:tcW w:w="1417" w:type="dxa"/>
            <w:gridSpan w:val="2"/>
          </w:tcPr>
          <w:p w14:paraId="6DC267E7" w14:textId="77777777" w:rsidR="00023DE8" w:rsidRPr="008A79A4" w:rsidRDefault="00023DE8" w:rsidP="008A79A4">
            <w:pPr>
              <w:rPr>
                <w:sz w:val="18"/>
                <w:szCs w:val="18"/>
              </w:rPr>
            </w:pPr>
          </w:p>
          <w:p w14:paraId="5618EB73" w14:textId="77777777" w:rsidR="00023DE8" w:rsidRPr="008A79A4" w:rsidRDefault="00023DE8" w:rsidP="008A79A4">
            <w:pPr>
              <w:rPr>
                <w:sz w:val="18"/>
                <w:szCs w:val="18"/>
              </w:rPr>
            </w:pPr>
            <w:r w:rsidRPr="008A79A4">
              <w:rPr>
                <w:sz w:val="18"/>
                <w:szCs w:val="18"/>
              </w:rPr>
              <w:t>18</w:t>
            </w:r>
          </w:p>
          <w:p w14:paraId="150D6F39" w14:textId="77777777" w:rsidR="00023DE8" w:rsidRPr="008A79A4" w:rsidRDefault="00023DE8" w:rsidP="008A79A4">
            <w:pPr>
              <w:rPr>
                <w:sz w:val="18"/>
                <w:szCs w:val="18"/>
              </w:rPr>
            </w:pPr>
            <w:r w:rsidRPr="008A79A4">
              <w:rPr>
                <w:sz w:val="18"/>
                <w:szCs w:val="18"/>
              </w:rPr>
              <w:t>36</w:t>
            </w:r>
          </w:p>
        </w:tc>
        <w:tc>
          <w:tcPr>
            <w:tcW w:w="1021" w:type="dxa"/>
          </w:tcPr>
          <w:p w14:paraId="3F70AC62" w14:textId="77777777" w:rsidR="00023DE8" w:rsidRPr="008A79A4" w:rsidRDefault="00023DE8" w:rsidP="008A79A4">
            <w:pPr>
              <w:rPr>
                <w:sz w:val="18"/>
                <w:szCs w:val="18"/>
              </w:rPr>
            </w:pPr>
          </w:p>
        </w:tc>
        <w:tc>
          <w:tcPr>
            <w:tcW w:w="1418" w:type="dxa"/>
          </w:tcPr>
          <w:p w14:paraId="6091FACD" w14:textId="77777777" w:rsidR="00023DE8" w:rsidRPr="008A79A4" w:rsidRDefault="00023DE8" w:rsidP="008A79A4">
            <w:pPr>
              <w:rPr>
                <w:sz w:val="18"/>
                <w:szCs w:val="18"/>
              </w:rPr>
            </w:pPr>
          </w:p>
        </w:tc>
        <w:tc>
          <w:tcPr>
            <w:tcW w:w="1134" w:type="dxa"/>
          </w:tcPr>
          <w:p w14:paraId="5B4F6416" w14:textId="77777777" w:rsidR="00023DE8" w:rsidRPr="008A79A4" w:rsidRDefault="00023DE8" w:rsidP="008A79A4">
            <w:pPr>
              <w:rPr>
                <w:sz w:val="18"/>
                <w:szCs w:val="18"/>
              </w:rPr>
            </w:pPr>
          </w:p>
          <w:p w14:paraId="0FBF8320" w14:textId="77777777" w:rsidR="00023DE8" w:rsidRPr="008A79A4" w:rsidRDefault="00023DE8" w:rsidP="008A79A4">
            <w:pPr>
              <w:rPr>
                <w:sz w:val="18"/>
                <w:szCs w:val="18"/>
              </w:rPr>
            </w:pPr>
          </w:p>
          <w:p w14:paraId="41162204" w14:textId="77777777" w:rsidR="00023DE8" w:rsidRPr="008A79A4" w:rsidRDefault="00023DE8" w:rsidP="008A79A4">
            <w:pPr>
              <w:rPr>
                <w:sz w:val="18"/>
                <w:szCs w:val="18"/>
              </w:rPr>
            </w:pPr>
            <w:r w:rsidRPr="008A79A4">
              <w:rPr>
                <w:sz w:val="18"/>
                <w:szCs w:val="18"/>
              </w:rPr>
              <w:t>12</w:t>
            </w:r>
          </w:p>
        </w:tc>
        <w:tc>
          <w:tcPr>
            <w:tcW w:w="1530" w:type="dxa"/>
          </w:tcPr>
          <w:p w14:paraId="0923C08F" w14:textId="77777777" w:rsidR="00023DE8" w:rsidRPr="008A79A4" w:rsidRDefault="00023DE8" w:rsidP="008A79A4">
            <w:pPr>
              <w:rPr>
                <w:sz w:val="18"/>
                <w:szCs w:val="18"/>
              </w:rPr>
            </w:pPr>
          </w:p>
        </w:tc>
        <w:tc>
          <w:tcPr>
            <w:tcW w:w="1276" w:type="dxa"/>
          </w:tcPr>
          <w:p w14:paraId="3B9EDDE7" w14:textId="77777777" w:rsidR="00023DE8" w:rsidRPr="008A79A4" w:rsidRDefault="00023DE8" w:rsidP="008A79A4">
            <w:pPr>
              <w:rPr>
                <w:sz w:val="18"/>
                <w:szCs w:val="18"/>
              </w:rPr>
            </w:pPr>
          </w:p>
          <w:p w14:paraId="58B3CA59" w14:textId="77777777" w:rsidR="00023DE8" w:rsidRPr="008A79A4" w:rsidRDefault="00023DE8" w:rsidP="008A79A4">
            <w:pPr>
              <w:rPr>
                <w:sz w:val="18"/>
                <w:szCs w:val="18"/>
              </w:rPr>
            </w:pPr>
            <w:r w:rsidRPr="008A79A4">
              <w:rPr>
                <w:sz w:val="18"/>
                <w:szCs w:val="18"/>
              </w:rPr>
              <w:t>18</w:t>
            </w:r>
          </w:p>
          <w:p w14:paraId="04669399" w14:textId="77777777" w:rsidR="00023DE8" w:rsidRPr="008A79A4" w:rsidRDefault="00023DE8" w:rsidP="008A79A4">
            <w:pPr>
              <w:rPr>
                <w:sz w:val="18"/>
                <w:szCs w:val="18"/>
              </w:rPr>
            </w:pPr>
            <w:r w:rsidRPr="008A79A4">
              <w:rPr>
                <w:sz w:val="18"/>
                <w:szCs w:val="18"/>
              </w:rPr>
              <w:t>48</w:t>
            </w:r>
          </w:p>
        </w:tc>
      </w:tr>
      <w:tr w:rsidR="00023DE8" w:rsidRPr="008A79A4" w14:paraId="1C7E5166" w14:textId="77777777" w:rsidTr="003D2B33">
        <w:tc>
          <w:tcPr>
            <w:tcW w:w="1668" w:type="dxa"/>
          </w:tcPr>
          <w:p w14:paraId="1E55A958" w14:textId="77777777" w:rsidR="00023DE8" w:rsidRPr="008A79A4" w:rsidRDefault="00023DE8" w:rsidP="008A79A4">
            <w:pPr>
              <w:rPr>
                <w:sz w:val="18"/>
                <w:szCs w:val="18"/>
              </w:rPr>
            </w:pPr>
            <w:r w:rsidRPr="008A79A4">
              <w:rPr>
                <w:sz w:val="18"/>
                <w:szCs w:val="18"/>
              </w:rPr>
              <w:t xml:space="preserve">Phase </w:t>
            </w:r>
            <w:r w:rsidR="008A79A4">
              <w:rPr>
                <w:sz w:val="18"/>
                <w:szCs w:val="18"/>
              </w:rPr>
              <w:t>I</w:t>
            </w:r>
            <w:r w:rsidRPr="008A79A4">
              <w:rPr>
                <w:sz w:val="18"/>
                <w:szCs w:val="18"/>
              </w:rPr>
              <w:t xml:space="preserve"> malaria challenge</w:t>
            </w:r>
          </w:p>
        </w:tc>
        <w:tc>
          <w:tcPr>
            <w:tcW w:w="1417" w:type="dxa"/>
            <w:gridSpan w:val="2"/>
          </w:tcPr>
          <w:p w14:paraId="574E6A50" w14:textId="77777777" w:rsidR="00023DE8" w:rsidRPr="008A79A4" w:rsidRDefault="00023DE8" w:rsidP="008A79A4">
            <w:pPr>
              <w:rPr>
                <w:sz w:val="18"/>
                <w:szCs w:val="18"/>
              </w:rPr>
            </w:pPr>
          </w:p>
        </w:tc>
        <w:tc>
          <w:tcPr>
            <w:tcW w:w="1021" w:type="dxa"/>
          </w:tcPr>
          <w:p w14:paraId="765154A1" w14:textId="77777777" w:rsidR="00023DE8" w:rsidRPr="008A79A4" w:rsidRDefault="00023DE8" w:rsidP="008A79A4">
            <w:pPr>
              <w:rPr>
                <w:sz w:val="18"/>
                <w:szCs w:val="18"/>
              </w:rPr>
            </w:pPr>
          </w:p>
        </w:tc>
        <w:tc>
          <w:tcPr>
            <w:tcW w:w="1418" w:type="dxa"/>
          </w:tcPr>
          <w:p w14:paraId="29288EF7" w14:textId="77777777" w:rsidR="00023DE8" w:rsidRPr="008A79A4" w:rsidRDefault="00023DE8" w:rsidP="008A79A4">
            <w:pPr>
              <w:rPr>
                <w:sz w:val="18"/>
                <w:szCs w:val="18"/>
              </w:rPr>
            </w:pPr>
          </w:p>
        </w:tc>
        <w:tc>
          <w:tcPr>
            <w:tcW w:w="1134" w:type="dxa"/>
          </w:tcPr>
          <w:p w14:paraId="1401518E" w14:textId="77777777" w:rsidR="00023DE8" w:rsidRPr="008A79A4" w:rsidRDefault="00023DE8" w:rsidP="008A79A4">
            <w:pPr>
              <w:rPr>
                <w:sz w:val="18"/>
                <w:szCs w:val="18"/>
              </w:rPr>
            </w:pPr>
          </w:p>
        </w:tc>
        <w:tc>
          <w:tcPr>
            <w:tcW w:w="1530" w:type="dxa"/>
          </w:tcPr>
          <w:p w14:paraId="11A2746E" w14:textId="77777777" w:rsidR="00023DE8" w:rsidRPr="008A79A4" w:rsidRDefault="00023DE8" w:rsidP="008A79A4">
            <w:pPr>
              <w:rPr>
                <w:sz w:val="18"/>
                <w:szCs w:val="18"/>
              </w:rPr>
            </w:pPr>
          </w:p>
        </w:tc>
        <w:tc>
          <w:tcPr>
            <w:tcW w:w="1276" w:type="dxa"/>
          </w:tcPr>
          <w:p w14:paraId="20594A26" w14:textId="77777777" w:rsidR="00023DE8" w:rsidRPr="008A79A4" w:rsidRDefault="00023DE8" w:rsidP="008A79A4">
            <w:pPr>
              <w:rPr>
                <w:sz w:val="18"/>
                <w:szCs w:val="18"/>
              </w:rPr>
            </w:pPr>
          </w:p>
        </w:tc>
      </w:tr>
      <w:tr w:rsidR="00023DE8" w:rsidRPr="008A79A4" w14:paraId="0C670738" w14:textId="77777777" w:rsidTr="003D2B33">
        <w:tc>
          <w:tcPr>
            <w:tcW w:w="1668" w:type="dxa"/>
          </w:tcPr>
          <w:p w14:paraId="3505755F" w14:textId="77777777" w:rsidR="00023DE8" w:rsidRPr="008A79A4" w:rsidRDefault="00023DE8" w:rsidP="008A79A4">
            <w:pPr>
              <w:rPr>
                <w:sz w:val="18"/>
                <w:szCs w:val="18"/>
              </w:rPr>
            </w:pPr>
            <w:r w:rsidRPr="008A79A4">
              <w:rPr>
                <w:sz w:val="18"/>
                <w:szCs w:val="18"/>
              </w:rPr>
              <w:t>Single dose</w:t>
            </w:r>
          </w:p>
          <w:p w14:paraId="2D7483A5" w14:textId="77777777" w:rsidR="00023DE8" w:rsidRPr="008A79A4" w:rsidRDefault="00023DE8" w:rsidP="008A79A4">
            <w:pPr>
              <w:rPr>
                <w:sz w:val="18"/>
                <w:szCs w:val="18"/>
              </w:rPr>
            </w:pPr>
            <w:r w:rsidRPr="008A79A4">
              <w:rPr>
                <w:sz w:val="18"/>
                <w:szCs w:val="18"/>
              </w:rPr>
              <w:t>053</w:t>
            </w:r>
          </w:p>
        </w:tc>
        <w:tc>
          <w:tcPr>
            <w:tcW w:w="1417" w:type="dxa"/>
            <w:gridSpan w:val="2"/>
          </w:tcPr>
          <w:p w14:paraId="69EB2B61" w14:textId="77777777" w:rsidR="00023DE8" w:rsidRPr="008A79A4" w:rsidRDefault="00023DE8" w:rsidP="008A79A4">
            <w:pPr>
              <w:rPr>
                <w:sz w:val="18"/>
                <w:szCs w:val="18"/>
              </w:rPr>
            </w:pPr>
            <w:r w:rsidRPr="008A79A4">
              <w:rPr>
                <w:sz w:val="18"/>
                <w:szCs w:val="18"/>
              </w:rPr>
              <w:t>6</w:t>
            </w:r>
          </w:p>
        </w:tc>
        <w:tc>
          <w:tcPr>
            <w:tcW w:w="1021" w:type="dxa"/>
          </w:tcPr>
          <w:p w14:paraId="7DEC0B4A" w14:textId="77777777" w:rsidR="00023DE8" w:rsidRPr="008A79A4" w:rsidRDefault="00023DE8" w:rsidP="008A79A4">
            <w:pPr>
              <w:rPr>
                <w:sz w:val="18"/>
                <w:szCs w:val="18"/>
              </w:rPr>
            </w:pPr>
            <w:r w:rsidRPr="008A79A4">
              <w:rPr>
                <w:sz w:val="18"/>
                <w:szCs w:val="18"/>
              </w:rPr>
              <w:t>6</w:t>
            </w:r>
          </w:p>
        </w:tc>
        <w:tc>
          <w:tcPr>
            <w:tcW w:w="1418" w:type="dxa"/>
          </w:tcPr>
          <w:p w14:paraId="637A1B07" w14:textId="77777777" w:rsidR="00023DE8" w:rsidRPr="008A79A4" w:rsidRDefault="00023DE8" w:rsidP="008A79A4">
            <w:pPr>
              <w:rPr>
                <w:sz w:val="18"/>
                <w:szCs w:val="18"/>
              </w:rPr>
            </w:pPr>
          </w:p>
        </w:tc>
        <w:tc>
          <w:tcPr>
            <w:tcW w:w="1134" w:type="dxa"/>
          </w:tcPr>
          <w:p w14:paraId="5E6BD334" w14:textId="77777777" w:rsidR="00023DE8" w:rsidRPr="008A79A4" w:rsidRDefault="00023DE8" w:rsidP="008A79A4">
            <w:pPr>
              <w:rPr>
                <w:sz w:val="18"/>
                <w:szCs w:val="18"/>
              </w:rPr>
            </w:pPr>
          </w:p>
        </w:tc>
        <w:tc>
          <w:tcPr>
            <w:tcW w:w="1530" w:type="dxa"/>
          </w:tcPr>
          <w:p w14:paraId="69924ECD" w14:textId="77777777" w:rsidR="00023DE8" w:rsidRPr="008A79A4" w:rsidRDefault="00023DE8" w:rsidP="008A79A4">
            <w:pPr>
              <w:rPr>
                <w:sz w:val="18"/>
                <w:szCs w:val="18"/>
              </w:rPr>
            </w:pPr>
          </w:p>
        </w:tc>
        <w:tc>
          <w:tcPr>
            <w:tcW w:w="1276" w:type="dxa"/>
          </w:tcPr>
          <w:p w14:paraId="2CE5F14E" w14:textId="77777777" w:rsidR="00023DE8" w:rsidRPr="008A79A4" w:rsidRDefault="00023DE8" w:rsidP="008A79A4">
            <w:pPr>
              <w:rPr>
                <w:sz w:val="18"/>
                <w:szCs w:val="18"/>
              </w:rPr>
            </w:pPr>
            <w:r w:rsidRPr="008A79A4">
              <w:rPr>
                <w:sz w:val="18"/>
                <w:szCs w:val="18"/>
              </w:rPr>
              <w:t>12</w:t>
            </w:r>
          </w:p>
        </w:tc>
      </w:tr>
      <w:tr w:rsidR="00023DE8" w:rsidRPr="008A79A4" w14:paraId="45D55508" w14:textId="77777777" w:rsidTr="003D2B33">
        <w:tc>
          <w:tcPr>
            <w:tcW w:w="1668" w:type="dxa"/>
          </w:tcPr>
          <w:p w14:paraId="678CA690" w14:textId="77777777" w:rsidR="00023DE8" w:rsidRPr="008A79A4" w:rsidRDefault="00023DE8" w:rsidP="008A79A4">
            <w:pPr>
              <w:rPr>
                <w:sz w:val="18"/>
                <w:szCs w:val="18"/>
              </w:rPr>
            </w:pPr>
            <w:r w:rsidRPr="008A79A4">
              <w:rPr>
                <w:sz w:val="18"/>
                <w:szCs w:val="18"/>
              </w:rPr>
              <w:t>Multiple dose</w:t>
            </w:r>
          </w:p>
          <w:p w14:paraId="19DEDD7F" w14:textId="77777777" w:rsidR="00023DE8" w:rsidRPr="008A79A4" w:rsidRDefault="00023DE8" w:rsidP="008A79A4">
            <w:pPr>
              <w:rPr>
                <w:sz w:val="18"/>
                <w:szCs w:val="18"/>
              </w:rPr>
            </w:pPr>
            <w:r w:rsidRPr="008A79A4">
              <w:rPr>
                <w:sz w:val="18"/>
                <w:szCs w:val="18"/>
              </w:rPr>
              <w:t>054</w:t>
            </w:r>
          </w:p>
          <w:p w14:paraId="15E41C4B" w14:textId="44BE9FCC" w:rsidR="00023DE8" w:rsidRPr="008A79A4" w:rsidRDefault="009349D2" w:rsidP="008A79A4">
            <w:pPr>
              <w:rPr>
                <w:sz w:val="18"/>
                <w:szCs w:val="18"/>
              </w:rPr>
            </w:pPr>
            <w:r>
              <w:rPr>
                <w:sz w:val="18"/>
                <w:szCs w:val="18"/>
              </w:rPr>
              <w:t>TQ</w:t>
            </w:r>
            <w:r w:rsidR="00E71EF1">
              <w:rPr>
                <w:sz w:val="18"/>
                <w:szCs w:val="18"/>
              </w:rPr>
              <w:t>-2016-02</w:t>
            </w:r>
          </w:p>
        </w:tc>
        <w:tc>
          <w:tcPr>
            <w:tcW w:w="1417" w:type="dxa"/>
            <w:gridSpan w:val="2"/>
          </w:tcPr>
          <w:p w14:paraId="6B1E23D6" w14:textId="77777777" w:rsidR="00023DE8" w:rsidRPr="008A79A4" w:rsidRDefault="00023DE8" w:rsidP="008A79A4">
            <w:pPr>
              <w:rPr>
                <w:sz w:val="18"/>
                <w:szCs w:val="18"/>
              </w:rPr>
            </w:pPr>
            <w:r w:rsidRPr="008A79A4">
              <w:rPr>
                <w:sz w:val="18"/>
                <w:szCs w:val="18"/>
              </w:rPr>
              <w:t>10</w:t>
            </w:r>
          </w:p>
          <w:p w14:paraId="7E51CA97" w14:textId="77777777" w:rsidR="00023DE8" w:rsidRPr="008A79A4" w:rsidRDefault="00023DE8" w:rsidP="008A79A4">
            <w:pPr>
              <w:rPr>
                <w:sz w:val="18"/>
                <w:szCs w:val="18"/>
              </w:rPr>
            </w:pPr>
            <w:r w:rsidRPr="008A79A4">
              <w:rPr>
                <w:sz w:val="18"/>
                <w:szCs w:val="18"/>
              </w:rPr>
              <w:t>16</w:t>
            </w:r>
          </w:p>
        </w:tc>
        <w:tc>
          <w:tcPr>
            <w:tcW w:w="1021" w:type="dxa"/>
          </w:tcPr>
          <w:p w14:paraId="22D5FAD1" w14:textId="77777777" w:rsidR="00023DE8" w:rsidRPr="008A79A4" w:rsidRDefault="00023DE8" w:rsidP="008A79A4">
            <w:pPr>
              <w:rPr>
                <w:sz w:val="18"/>
                <w:szCs w:val="18"/>
              </w:rPr>
            </w:pPr>
            <w:r w:rsidRPr="008A79A4">
              <w:rPr>
                <w:sz w:val="18"/>
                <w:szCs w:val="18"/>
              </w:rPr>
              <w:t>10</w:t>
            </w:r>
          </w:p>
          <w:p w14:paraId="0603F66D" w14:textId="77777777" w:rsidR="00023DE8" w:rsidRPr="008A79A4" w:rsidRDefault="00023DE8" w:rsidP="008A79A4">
            <w:pPr>
              <w:rPr>
                <w:sz w:val="18"/>
                <w:szCs w:val="18"/>
              </w:rPr>
            </w:pPr>
            <w:r w:rsidRPr="008A79A4">
              <w:rPr>
                <w:sz w:val="18"/>
                <w:szCs w:val="18"/>
              </w:rPr>
              <w:t>16</w:t>
            </w:r>
          </w:p>
        </w:tc>
        <w:tc>
          <w:tcPr>
            <w:tcW w:w="1418" w:type="dxa"/>
          </w:tcPr>
          <w:p w14:paraId="6111668C" w14:textId="77777777" w:rsidR="00023DE8" w:rsidRPr="008A79A4" w:rsidRDefault="00023DE8" w:rsidP="008A79A4">
            <w:pPr>
              <w:rPr>
                <w:sz w:val="18"/>
                <w:szCs w:val="18"/>
              </w:rPr>
            </w:pPr>
          </w:p>
        </w:tc>
        <w:tc>
          <w:tcPr>
            <w:tcW w:w="1134" w:type="dxa"/>
          </w:tcPr>
          <w:p w14:paraId="7397F67A" w14:textId="77777777" w:rsidR="00023DE8" w:rsidRPr="008A79A4" w:rsidRDefault="00023DE8" w:rsidP="008A79A4">
            <w:pPr>
              <w:rPr>
                <w:sz w:val="18"/>
                <w:szCs w:val="18"/>
              </w:rPr>
            </w:pPr>
          </w:p>
        </w:tc>
        <w:tc>
          <w:tcPr>
            <w:tcW w:w="1530" w:type="dxa"/>
          </w:tcPr>
          <w:p w14:paraId="27D79C8F" w14:textId="77777777" w:rsidR="00023DE8" w:rsidRPr="008A79A4" w:rsidRDefault="00023DE8" w:rsidP="008A79A4">
            <w:pPr>
              <w:rPr>
                <w:sz w:val="18"/>
                <w:szCs w:val="18"/>
              </w:rPr>
            </w:pPr>
          </w:p>
        </w:tc>
        <w:tc>
          <w:tcPr>
            <w:tcW w:w="1276" w:type="dxa"/>
          </w:tcPr>
          <w:p w14:paraId="159DE5B4" w14:textId="77777777" w:rsidR="00023DE8" w:rsidRPr="008A79A4" w:rsidRDefault="00023DE8" w:rsidP="008A79A4">
            <w:pPr>
              <w:rPr>
                <w:sz w:val="18"/>
                <w:szCs w:val="18"/>
              </w:rPr>
            </w:pPr>
            <w:r w:rsidRPr="008A79A4">
              <w:rPr>
                <w:sz w:val="18"/>
                <w:szCs w:val="18"/>
              </w:rPr>
              <w:t>20</w:t>
            </w:r>
          </w:p>
          <w:p w14:paraId="6581F65E" w14:textId="77777777" w:rsidR="00023DE8" w:rsidRPr="008A79A4" w:rsidRDefault="00023DE8" w:rsidP="008A79A4">
            <w:pPr>
              <w:rPr>
                <w:sz w:val="18"/>
                <w:szCs w:val="18"/>
              </w:rPr>
            </w:pPr>
            <w:r w:rsidRPr="008A79A4">
              <w:rPr>
                <w:sz w:val="18"/>
                <w:szCs w:val="18"/>
              </w:rPr>
              <w:t>32</w:t>
            </w:r>
          </w:p>
        </w:tc>
      </w:tr>
      <w:tr w:rsidR="00023DE8" w:rsidRPr="008A79A4" w14:paraId="05128968" w14:textId="77777777" w:rsidTr="003D2B33">
        <w:tc>
          <w:tcPr>
            <w:tcW w:w="1668" w:type="dxa"/>
          </w:tcPr>
          <w:p w14:paraId="242BE86D" w14:textId="77777777" w:rsidR="00023DE8" w:rsidRPr="008A79A4" w:rsidRDefault="00023DE8" w:rsidP="008A79A4">
            <w:pPr>
              <w:rPr>
                <w:sz w:val="18"/>
                <w:szCs w:val="18"/>
              </w:rPr>
            </w:pPr>
            <w:r w:rsidRPr="008A79A4">
              <w:rPr>
                <w:sz w:val="18"/>
                <w:szCs w:val="18"/>
              </w:rPr>
              <w:t xml:space="preserve">Total </w:t>
            </w:r>
          </w:p>
        </w:tc>
        <w:tc>
          <w:tcPr>
            <w:tcW w:w="1417" w:type="dxa"/>
            <w:gridSpan w:val="2"/>
          </w:tcPr>
          <w:p w14:paraId="4380733E" w14:textId="77777777" w:rsidR="00023DE8" w:rsidRPr="008A79A4" w:rsidRDefault="00023DE8" w:rsidP="008A79A4">
            <w:pPr>
              <w:rPr>
                <w:sz w:val="18"/>
                <w:szCs w:val="18"/>
              </w:rPr>
            </w:pPr>
            <w:r w:rsidRPr="008A79A4">
              <w:rPr>
                <w:sz w:val="18"/>
                <w:szCs w:val="18"/>
              </w:rPr>
              <w:t>282</w:t>
            </w:r>
          </w:p>
        </w:tc>
        <w:tc>
          <w:tcPr>
            <w:tcW w:w="1021" w:type="dxa"/>
          </w:tcPr>
          <w:p w14:paraId="31D1DC9A" w14:textId="77777777" w:rsidR="00023DE8" w:rsidRPr="008A79A4" w:rsidRDefault="00023DE8" w:rsidP="008A79A4">
            <w:pPr>
              <w:rPr>
                <w:sz w:val="18"/>
                <w:szCs w:val="18"/>
              </w:rPr>
            </w:pPr>
            <w:r w:rsidRPr="008A79A4">
              <w:rPr>
                <w:sz w:val="18"/>
                <w:szCs w:val="18"/>
              </w:rPr>
              <w:t>121</w:t>
            </w:r>
          </w:p>
        </w:tc>
        <w:tc>
          <w:tcPr>
            <w:tcW w:w="1418" w:type="dxa"/>
          </w:tcPr>
          <w:p w14:paraId="5B08D9EF" w14:textId="77777777" w:rsidR="00023DE8" w:rsidRPr="008A79A4" w:rsidRDefault="00023DE8" w:rsidP="008A79A4">
            <w:pPr>
              <w:rPr>
                <w:sz w:val="18"/>
                <w:szCs w:val="18"/>
              </w:rPr>
            </w:pPr>
          </w:p>
        </w:tc>
        <w:tc>
          <w:tcPr>
            <w:tcW w:w="1134" w:type="dxa"/>
          </w:tcPr>
          <w:p w14:paraId="7D9D856E" w14:textId="77777777" w:rsidR="00023DE8" w:rsidRPr="008A79A4" w:rsidRDefault="00023DE8" w:rsidP="008A79A4">
            <w:pPr>
              <w:rPr>
                <w:sz w:val="18"/>
                <w:szCs w:val="18"/>
              </w:rPr>
            </w:pPr>
            <w:r w:rsidRPr="008A79A4">
              <w:rPr>
                <w:sz w:val="18"/>
                <w:szCs w:val="18"/>
              </w:rPr>
              <w:t>12</w:t>
            </w:r>
          </w:p>
        </w:tc>
        <w:tc>
          <w:tcPr>
            <w:tcW w:w="1530" w:type="dxa"/>
          </w:tcPr>
          <w:p w14:paraId="1F14C479" w14:textId="77777777" w:rsidR="00023DE8" w:rsidRPr="008A79A4" w:rsidRDefault="00023DE8" w:rsidP="008A79A4">
            <w:pPr>
              <w:rPr>
                <w:sz w:val="18"/>
                <w:szCs w:val="18"/>
              </w:rPr>
            </w:pPr>
            <w:r w:rsidRPr="008A79A4">
              <w:rPr>
                <w:sz w:val="18"/>
                <w:szCs w:val="18"/>
              </w:rPr>
              <w:t>232</w:t>
            </w:r>
          </w:p>
        </w:tc>
        <w:tc>
          <w:tcPr>
            <w:tcW w:w="1276" w:type="dxa"/>
          </w:tcPr>
          <w:p w14:paraId="7AC22501" w14:textId="77777777" w:rsidR="00023DE8" w:rsidRPr="008A79A4" w:rsidRDefault="00023DE8" w:rsidP="008A79A4">
            <w:pPr>
              <w:rPr>
                <w:sz w:val="18"/>
                <w:szCs w:val="18"/>
              </w:rPr>
            </w:pPr>
          </w:p>
        </w:tc>
      </w:tr>
      <w:tr w:rsidR="00023DE8" w:rsidRPr="008A79A4" w14:paraId="42994E07" w14:textId="77777777" w:rsidTr="00023DE8">
        <w:tc>
          <w:tcPr>
            <w:tcW w:w="4106" w:type="dxa"/>
            <w:gridSpan w:val="4"/>
          </w:tcPr>
          <w:p w14:paraId="332E1FF1" w14:textId="77777777" w:rsidR="00023DE8" w:rsidRPr="008A79A4" w:rsidRDefault="00023DE8" w:rsidP="008A79A4">
            <w:pPr>
              <w:rPr>
                <w:sz w:val="18"/>
                <w:szCs w:val="18"/>
              </w:rPr>
            </w:pPr>
            <w:r w:rsidRPr="008A79A4">
              <w:rPr>
                <w:sz w:val="18"/>
                <w:szCs w:val="18"/>
              </w:rPr>
              <w:t xml:space="preserve">Phase </w:t>
            </w:r>
            <w:r w:rsidR="008A79A4">
              <w:rPr>
                <w:sz w:val="18"/>
                <w:szCs w:val="18"/>
              </w:rPr>
              <w:t>II</w:t>
            </w:r>
            <w:r w:rsidRPr="008A79A4">
              <w:rPr>
                <w:sz w:val="18"/>
                <w:szCs w:val="18"/>
              </w:rPr>
              <w:t xml:space="preserve"> and </w:t>
            </w:r>
            <w:r w:rsidR="008A79A4">
              <w:rPr>
                <w:sz w:val="18"/>
                <w:szCs w:val="18"/>
              </w:rPr>
              <w:t>III</w:t>
            </w:r>
            <w:r w:rsidRPr="008A79A4">
              <w:rPr>
                <w:sz w:val="18"/>
                <w:szCs w:val="18"/>
              </w:rPr>
              <w:t xml:space="preserve"> Indication </w:t>
            </w:r>
          </w:p>
        </w:tc>
        <w:tc>
          <w:tcPr>
            <w:tcW w:w="1418" w:type="dxa"/>
          </w:tcPr>
          <w:p w14:paraId="0B8C2D22" w14:textId="77777777" w:rsidR="00023DE8" w:rsidRPr="008A79A4" w:rsidRDefault="00023DE8" w:rsidP="008A79A4">
            <w:pPr>
              <w:rPr>
                <w:sz w:val="18"/>
                <w:szCs w:val="18"/>
              </w:rPr>
            </w:pPr>
          </w:p>
        </w:tc>
        <w:tc>
          <w:tcPr>
            <w:tcW w:w="1134" w:type="dxa"/>
          </w:tcPr>
          <w:p w14:paraId="1BAC16E5" w14:textId="77777777" w:rsidR="00023DE8" w:rsidRPr="008A79A4" w:rsidRDefault="00023DE8" w:rsidP="008A79A4">
            <w:pPr>
              <w:rPr>
                <w:sz w:val="18"/>
                <w:szCs w:val="18"/>
              </w:rPr>
            </w:pPr>
          </w:p>
        </w:tc>
        <w:tc>
          <w:tcPr>
            <w:tcW w:w="1530" w:type="dxa"/>
          </w:tcPr>
          <w:p w14:paraId="33F702BE" w14:textId="77777777" w:rsidR="00023DE8" w:rsidRPr="008A79A4" w:rsidRDefault="00023DE8" w:rsidP="008A79A4">
            <w:pPr>
              <w:rPr>
                <w:sz w:val="18"/>
                <w:szCs w:val="18"/>
              </w:rPr>
            </w:pPr>
          </w:p>
        </w:tc>
        <w:tc>
          <w:tcPr>
            <w:tcW w:w="1276" w:type="dxa"/>
          </w:tcPr>
          <w:p w14:paraId="26310BAA" w14:textId="77777777" w:rsidR="00023DE8" w:rsidRPr="008A79A4" w:rsidRDefault="00023DE8" w:rsidP="008A79A4">
            <w:pPr>
              <w:rPr>
                <w:sz w:val="18"/>
                <w:szCs w:val="18"/>
              </w:rPr>
            </w:pPr>
          </w:p>
        </w:tc>
      </w:tr>
      <w:tr w:rsidR="00023DE8" w:rsidRPr="008A79A4" w14:paraId="00CFE887" w14:textId="77777777" w:rsidTr="00023DE8">
        <w:tc>
          <w:tcPr>
            <w:tcW w:w="1838" w:type="dxa"/>
            <w:gridSpan w:val="2"/>
          </w:tcPr>
          <w:p w14:paraId="0E533125" w14:textId="77777777" w:rsidR="00023DE8" w:rsidRPr="008A79A4" w:rsidRDefault="00023DE8" w:rsidP="008A79A4">
            <w:pPr>
              <w:rPr>
                <w:sz w:val="18"/>
                <w:szCs w:val="18"/>
              </w:rPr>
            </w:pPr>
            <w:r w:rsidRPr="008A79A4">
              <w:rPr>
                <w:sz w:val="18"/>
                <w:szCs w:val="18"/>
              </w:rPr>
              <w:t>Malaria prophylaxis</w:t>
            </w:r>
          </w:p>
          <w:p w14:paraId="289120AD" w14:textId="77777777" w:rsidR="00023DE8" w:rsidRPr="008A79A4" w:rsidRDefault="00023DE8" w:rsidP="008A79A4">
            <w:pPr>
              <w:rPr>
                <w:sz w:val="18"/>
                <w:szCs w:val="18"/>
              </w:rPr>
            </w:pPr>
            <w:r w:rsidRPr="008A79A4">
              <w:rPr>
                <w:sz w:val="18"/>
                <w:szCs w:val="18"/>
              </w:rPr>
              <w:t xml:space="preserve">006 </w:t>
            </w:r>
          </w:p>
          <w:p w14:paraId="629F4438" w14:textId="77777777" w:rsidR="00023DE8" w:rsidRPr="008A79A4" w:rsidRDefault="00023DE8" w:rsidP="008A79A4">
            <w:pPr>
              <w:rPr>
                <w:sz w:val="18"/>
                <w:szCs w:val="18"/>
              </w:rPr>
            </w:pPr>
            <w:r w:rsidRPr="008A79A4">
              <w:rPr>
                <w:sz w:val="18"/>
                <w:szCs w:val="18"/>
              </w:rPr>
              <w:t xml:space="preserve">030 </w:t>
            </w:r>
          </w:p>
          <w:p w14:paraId="1308FB1A" w14:textId="77777777" w:rsidR="00023DE8" w:rsidRPr="008A79A4" w:rsidRDefault="00023DE8" w:rsidP="008A79A4">
            <w:pPr>
              <w:rPr>
                <w:sz w:val="18"/>
                <w:szCs w:val="18"/>
              </w:rPr>
            </w:pPr>
            <w:r w:rsidRPr="008A79A4">
              <w:rPr>
                <w:sz w:val="18"/>
                <w:szCs w:val="18"/>
              </w:rPr>
              <w:t xml:space="preserve">033 </w:t>
            </w:r>
          </w:p>
          <w:p w14:paraId="5A95D75B" w14:textId="77777777" w:rsidR="00023DE8" w:rsidRPr="008A79A4" w:rsidRDefault="00023DE8" w:rsidP="008A79A4">
            <w:pPr>
              <w:rPr>
                <w:sz w:val="18"/>
                <w:szCs w:val="18"/>
              </w:rPr>
            </w:pPr>
            <w:r w:rsidRPr="008A79A4">
              <w:rPr>
                <w:sz w:val="18"/>
                <w:szCs w:val="18"/>
              </w:rPr>
              <w:t xml:space="preserve">043 </w:t>
            </w:r>
          </w:p>
          <w:p w14:paraId="41739FC4" w14:textId="77777777" w:rsidR="00023DE8" w:rsidRPr="008A79A4" w:rsidRDefault="00023DE8" w:rsidP="008A79A4">
            <w:pPr>
              <w:rPr>
                <w:sz w:val="18"/>
                <w:szCs w:val="18"/>
              </w:rPr>
            </w:pPr>
            <w:r w:rsidRPr="008A79A4">
              <w:rPr>
                <w:sz w:val="18"/>
                <w:szCs w:val="18"/>
              </w:rPr>
              <w:t xml:space="preserve">044 </w:t>
            </w:r>
          </w:p>
          <w:p w14:paraId="0BC4F6A7" w14:textId="77777777" w:rsidR="00023DE8" w:rsidRPr="008A79A4" w:rsidRDefault="00023DE8" w:rsidP="008A79A4">
            <w:pPr>
              <w:rPr>
                <w:sz w:val="18"/>
                <w:szCs w:val="18"/>
              </w:rPr>
            </w:pPr>
            <w:r w:rsidRPr="008A79A4">
              <w:rPr>
                <w:sz w:val="18"/>
                <w:szCs w:val="18"/>
              </w:rPr>
              <w:t xml:space="preserve">045 </w:t>
            </w:r>
          </w:p>
        </w:tc>
        <w:tc>
          <w:tcPr>
            <w:tcW w:w="1247" w:type="dxa"/>
          </w:tcPr>
          <w:p w14:paraId="1E370CFB" w14:textId="77777777" w:rsidR="00023DE8" w:rsidRPr="008A79A4" w:rsidRDefault="00023DE8" w:rsidP="008A79A4">
            <w:pPr>
              <w:rPr>
                <w:sz w:val="18"/>
                <w:szCs w:val="18"/>
              </w:rPr>
            </w:pPr>
          </w:p>
          <w:p w14:paraId="40F9C862" w14:textId="77777777" w:rsidR="00023DE8" w:rsidRPr="008A79A4" w:rsidRDefault="00023DE8" w:rsidP="008A79A4">
            <w:pPr>
              <w:rPr>
                <w:sz w:val="18"/>
                <w:szCs w:val="18"/>
              </w:rPr>
            </w:pPr>
            <w:r w:rsidRPr="008A79A4">
              <w:rPr>
                <w:sz w:val="18"/>
                <w:szCs w:val="18"/>
              </w:rPr>
              <w:t>205</w:t>
            </w:r>
          </w:p>
          <w:p w14:paraId="49893137" w14:textId="77777777" w:rsidR="00023DE8" w:rsidRPr="008A79A4" w:rsidRDefault="00023DE8" w:rsidP="008A79A4">
            <w:pPr>
              <w:rPr>
                <w:sz w:val="18"/>
                <w:szCs w:val="18"/>
              </w:rPr>
            </w:pPr>
            <w:r w:rsidRPr="008A79A4">
              <w:rPr>
                <w:sz w:val="18"/>
                <w:szCs w:val="18"/>
              </w:rPr>
              <w:t>100</w:t>
            </w:r>
          </w:p>
          <w:p w14:paraId="2F31EE1D" w14:textId="77777777" w:rsidR="00023DE8" w:rsidRPr="008A79A4" w:rsidRDefault="00023DE8" w:rsidP="008A79A4">
            <w:pPr>
              <w:rPr>
                <w:sz w:val="18"/>
                <w:szCs w:val="18"/>
              </w:rPr>
            </w:pPr>
            <w:r w:rsidRPr="008A79A4">
              <w:rPr>
                <w:sz w:val="18"/>
                <w:szCs w:val="18"/>
              </w:rPr>
              <w:t>492</w:t>
            </w:r>
          </w:p>
          <w:p w14:paraId="29888DED" w14:textId="77777777" w:rsidR="00023DE8" w:rsidRPr="008A79A4" w:rsidRDefault="00023DE8" w:rsidP="008A79A4">
            <w:pPr>
              <w:rPr>
                <w:sz w:val="18"/>
                <w:szCs w:val="18"/>
              </w:rPr>
            </w:pPr>
            <w:r w:rsidRPr="008A79A4">
              <w:rPr>
                <w:sz w:val="18"/>
                <w:szCs w:val="18"/>
              </w:rPr>
              <w:t>109</w:t>
            </w:r>
          </w:p>
          <w:p w14:paraId="76B98A32" w14:textId="77777777" w:rsidR="00023DE8" w:rsidRPr="008A79A4" w:rsidRDefault="00023DE8" w:rsidP="008A79A4">
            <w:pPr>
              <w:rPr>
                <w:sz w:val="18"/>
                <w:szCs w:val="18"/>
              </w:rPr>
            </w:pPr>
            <w:r w:rsidRPr="008A79A4">
              <w:rPr>
                <w:sz w:val="18"/>
                <w:szCs w:val="18"/>
              </w:rPr>
              <w:t>104</w:t>
            </w:r>
          </w:p>
          <w:p w14:paraId="46F79CD8" w14:textId="77777777" w:rsidR="00023DE8" w:rsidRPr="008A79A4" w:rsidRDefault="00023DE8" w:rsidP="008A79A4">
            <w:pPr>
              <w:rPr>
                <w:sz w:val="18"/>
                <w:szCs w:val="18"/>
              </w:rPr>
            </w:pPr>
            <w:r w:rsidRPr="008A79A4">
              <w:rPr>
                <w:sz w:val="18"/>
                <w:szCs w:val="18"/>
              </w:rPr>
              <w:t>369</w:t>
            </w:r>
          </w:p>
        </w:tc>
        <w:tc>
          <w:tcPr>
            <w:tcW w:w="1021" w:type="dxa"/>
          </w:tcPr>
          <w:p w14:paraId="2448EDE7" w14:textId="77777777" w:rsidR="00023DE8" w:rsidRPr="008A79A4" w:rsidRDefault="00023DE8" w:rsidP="008A79A4">
            <w:pPr>
              <w:rPr>
                <w:sz w:val="18"/>
                <w:szCs w:val="18"/>
              </w:rPr>
            </w:pPr>
          </w:p>
          <w:p w14:paraId="1CDB6BD2" w14:textId="77777777" w:rsidR="00023DE8" w:rsidRPr="008A79A4" w:rsidRDefault="00023DE8" w:rsidP="008A79A4">
            <w:pPr>
              <w:rPr>
                <w:sz w:val="18"/>
                <w:szCs w:val="18"/>
              </w:rPr>
            </w:pPr>
            <w:r w:rsidRPr="008A79A4">
              <w:rPr>
                <w:sz w:val="18"/>
                <w:szCs w:val="18"/>
              </w:rPr>
              <w:t>205</w:t>
            </w:r>
          </w:p>
          <w:p w14:paraId="28C413E8" w14:textId="77777777" w:rsidR="00023DE8" w:rsidRPr="008A79A4" w:rsidRDefault="00023DE8" w:rsidP="008A79A4">
            <w:pPr>
              <w:rPr>
                <w:sz w:val="18"/>
                <w:szCs w:val="18"/>
              </w:rPr>
            </w:pPr>
            <w:r w:rsidRPr="008A79A4">
              <w:rPr>
                <w:sz w:val="18"/>
                <w:szCs w:val="18"/>
              </w:rPr>
              <w:t>100</w:t>
            </w:r>
          </w:p>
          <w:p w14:paraId="053C831A" w14:textId="77777777" w:rsidR="00023DE8" w:rsidRPr="008A79A4" w:rsidRDefault="00023DE8" w:rsidP="008A79A4">
            <w:pPr>
              <w:rPr>
                <w:sz w:val="18"/>
                <w:szCs w:val="18"/>
              </w:rPr>
            </w:pPr>
          </w:p>
          <w:p w14:paraId="7D7E2B6C" w14:textId="77777777" w:rsidR="00023DE8" w:rsidRPr="008A79A4" w:rsidRDefault="00023DE8" w:rsidP="008A79A4">
            <w:pPr>
              <w:rPr>
                <w:sz w:val="18"/>
                <w:szCs w:val="18"/>
              </w:rPr>
            </w:pPr>
            <w:r w:rsidRPr="008A79A4">
              <w:rPr>
                <w:sz w:val="18"/>
                <w:szCs w:val="18"/>
              </w:rPr>
              <w:t>101</w:t>
            </w:r>
          </w:p>
          <w:p w14:paraId="6C54CA2A" w14:textId="77777777" w:rsidR="00023DE8" w:rsidRPr="008A79A4" w:rsidRDefault="00023DE8" w:rsidP="008A79A4">
            <w:pPr>
              <w:rPr>
                <w:sz w:val="18"/>
                <w:szCs w:val="18"/>
              </w:rPr>
            </w:pPr>
            <w:r w:rsidRPr="008A79A4">
              <w:rPr>
                <w:sz w:val="18"/>
                <w:szCs w:val="18"/>
              </w:rPr>
              <w:t>104</w:t>
            </w:r>
          </w:p>
        </w:tc>
        <w:tc>
          <w:tcPr>
            <w:tcW w:w="1418" w:type="dxa"/>
          </w:tcPr>
          <w:p w14:paraId="0BDC97E2" w14:textId="77777777" w:rsidR="00023DE8" w:rsidRPr="008A79A4" w:rsidRDefault="00023DE8" w:rsidP="008A79A4">
            <w:pPr>
              <w:rPr>
                <w:sz w:val="18"/>
                <w:szCs w:val="18"/>
              </w:rPr>
            </w:pPr>
          </w:p>
          <w:p w14:paraId="28BB7EDD" w14:textId="77777777" w:rsidR="00023DE8" w:rsidRPr="008A79A4" w:rsidRDefault="00023DE8" w:rsidP="008A79A4">
            <w:pPr>
              <w:rPr>
                <w:sz w:val="18"/>
                <w:szCs w:val="18"/>
              </w:rPr>
            </w:pPr>
          </w:p>
          <w:p w14:paraId="3BFE9BE2" w14:textId="77777777" w:rsidR="00023DE8" w:rsidRPr="008A79A4" w:rsidRDefault="00023DE8" w:rsidP="008A79A4">
            <w:pPr>
              <w:rPr>
                <w:sz w:val="18"/>
                <w:szCs w:val="18"/>
              </w:rPr>
            </w:pPr>
            <w:r w:rsidRPr="008A79A4">
              <w:rPr>
                <w:sz w:val="18"/>
                <w:szCs w:val="18"/>
              </w:rPr>
              <w:t>100</w:t>
            </w:r>
          </w:p>
          <w:p w14:paraId="31AEFE66" w14:textId="77777777" w:rsidR="00023DE8" w:rsidRPr="008A79A4" w:rsidRDefault="00023DE8" w:rsidP="008A79A4">
            <w:pPr>
              <w:rPr>
                <w:sz w:val="18"/>
                <w:szCs w:val="18"/>
              </w:rPr>
            </w:pPr>
            <w:r w:rsidRPr="008A79A4">
              <w:rPr>
                <w:sz w:val="18"/>
                <w:szCs w:val="18"/>
              </w:rPr>
              <w:t>162</w:t>
            </w:r>
          </w:p>
          <w:p w14:paraId="21626BF8" w14:textId="77777777" w:rsidR="00023DE8" w:rsidRPr="008A79A4" w:rsidRDefault="00023DE8" w:rsidP="008A79A4">
            <w:pPr>
              <w:rPr>
                <w:sz w:val="18"/>
                <w:szCs w:val="18"/>
              </w:rPr>
            </w:pPr>
          </w:p>
          <w:p w14:paraId="57D4C58F" w14:textId="77777777" w:rsidR="00023DE8" w:rsidRPr="008A79A4" w:rsidRDefault="00023DE8" w:rsidP="008A79A4">
            <w:pPr>
              <w:rPr>
                <w:sz w:val="18"/>
                <w:szCs w:val="18"/>
              </w:rPr>
            </w:pPr>
          </w:p>
          <w:p w14:paraId="18ABEF32" w14:textId="77777777" w:rsidR="00023DE8" w:rsidRPr="008A79A4" w:rsidRDefault="00023DE8" w:rsidP="008A79A4">
            <w:pPr>
              <w:rPr>
                <w:sz w:val="18"/>
                <w:szCs w:val="18"/>
              </w:rPr>
            </w:pPr>
            <w:r w:rsidRPr="008A79A4">
              <w:rPr>
                <w:sz w:val="18"/>
                <w:szCs w:val="18"/>
              </w:rPr>
              <w:t>140</w:t>
            </w:r>
          </w:p>
        </w:tc>
        <w:tc>
          <w:tcPr>
            <w:tcW w:w="1134" w:type="dxa"/>
          </w:tcPr>
          <w:p w14:paraId="17040864" w14:textId="77777777" w:rsidR="00023DE8" w:rsidRPr="008A79A4" w:rsidRDefault="00023DE8" w:rsidP="008A79A4">
            <w:pPr>
              <w:rPr>
                <w:sz w:val="18"/>
                <w:szCs w:val="18"/>
              </w:rPr>
            </w:pPr>
          </w:p>
        </w:tc>
        <w:tc>
          <w:tcPr>
            <w:tcW w:w="1530" w:type="dxa"/>
          </w:tcPr>
          <w:p w14:paraId="10C292C9" w14:textId="77777777" w:rsidR="00023DE8" w:rsidRPr="008A79A4" w:rsidRDefault="00023DE8" w:rsidP="008A79A4">
            <w:pPr>
              <w:rPr>
                <w:sz w:val="18"/>
                <w:szCs w:val="18"/>
              </w:rPr>
            </w:pPr>
          </w:p>
        </w:tc>
        <w:tc>
          <w:tcPr>
            <w:tcW w:w="1276" w:type="dxa"/>
          </w:tcPr>
          <w:p w14:paraId="1385F42D" w14:textId="77777777" w:rsidR="00023DE8" w:rsidRPr="008A79A4" w:rsidRDefault="00023DE8" w:rsidP="008A79A4">
            <w:pPr>
              <w:rPr>
                <w:sz w:val="18"/>
                <w:szCs w:val="18"/>
              </w:rPr>
            </w:pPr>
          </w:p>
          <w:p w14:paraId="14F51CF2" w14:textId="77777777" w:rsidR="00023DE8" w:rsidRPr="008A79A4" w:rsidRDefault="00023DE8" w:rsidP="008A79A4">
            <w:pPr>
              <w:rPr>
                <w:sz w:val="18"/>
                <w:szCs w:val="18"/>
              </w:rPr>
            </w:pPr>
            <w:r w:rsidRPr="008A79A4">
              <w:rPr>
                <w:sz w:val="18"/>
                <w:szCs w:val="18"/>
              </w:rPr>
              <w:t>410</w:t>
            </w:r>
          </w:p>
          <w:p w14:paraId="1A64250A" w14:textId="77777777" w:rsidR="00023DE8" w:rsidRPr="008A79A4" w:rsidRDefault="00023DE8" w:rsidP="008A79A4">
            <w:pPr>
              <w:rPr>
                <w:sz w:val="18"/>
                <w:szCs w:val="18"/>
              </w:rPr>
            </w:pPr>
            <w:r w:rsidRPr="008A79A4">
              <w:rPr>
                <w:sz w:val="18"/>
                <w:szCs w:val="18"/>
              </w:rPr>
              <w:t>300</w:t>
            </w:r>
          </w:p>
          <w:p w14:paraId="0EEDC228" w14:textId="77777777" w:rsidR="00023DE8" w:rsidRPr="008A79A4" w:rsidRDefault="00023DE8" w:rsidP="008A79A4">
            <w:pPr>
              <w:rPr>
                <w:sz w:val="18"/>
                <w:szCs w:val="18"/>
              </w:rPr>
            </w:pPr>
            <w:r w:rsidRPr="008A79A4">
              <w:rPr>
                <w:sz w:val="18"/>
                <w:szCs w:val="18"/>
              </w:rPr>
              <w:t>654</w:t>
            </w:r>
          </w:p>
          <w:p w14:paraId="523E43FC" w14:textId="77777777" w:rsidR="00023DE8" w:rsidRPr="008A79A4" w:rsidRDefault="00023DE8" w:rsidP="008A79A4">
            <w:pPr>
              <w:rPr>
                <w:sz w:val="18"/>
                <w:szCs w:val="18"/>
              </w:rPr>
            </w:pPr>
            <w:r w:rsidRPr="008A79A4">
              <w:rPr>
                <w:sz w:val="18"/>
                <w:szCs w:val="18"/>
              </w:rPr>
              <w:t>210</w:t>
            </w:r>
          </w:p>
          <w:p w14:paraId="39C2F104" w14:textId="77777777" w:rsidR="00023DE8" w:rsidRPr="008A79A4" w:rsidRDefault="00023DE8" w:rsidP="008A79A4">
            <w:pPr>
              <w:rPr>
                <w:sz w:val="18"/>
                <w:szCs w:val="18"/>
              </w:rPr>
            </w:pPr>
            <w:r w:rsidRPr="008A79A4">
              <w:rPr>
                <w:sz w:val="18"/>
                <w:szCs w:val="18"/>
              </w:rPr>
              <w:t>208</w:t>
            </w:r>
          </w:p>
          <w:p w14:paraId="06A4F176" w14:textId="77777777" w:rsidR="00023DE8" w:rsidRPr="008A79A4" w:rsidRDefault="00023DE8" w:rsidP="008A79A4">
            <w:pPr>
              <w:rPr>
                <w:sz w:val="18"/>
                <w:szCs w:val="18"/>
              </w:rPr>
            </w:pPr>
            <w:r w:rsidRPr="008A79A4">
              <w:rPr>
                <w:sz w:val="18"/>
                <w:szCs w:val="18"/>
              </w:rPr>
              <w:t>509</w:t>
            </w:r>
          </w:p>
        </w:tc>
      </w:tr>
      <w:tr w:rsidR="00023DE8" w:rsidRPr="008A79A4" w14:paraId="09CD5085" w14:textId="77777777" w:rsidTr="00023DE8">
        <w:tc>
          <w:tcPr>
            <w:tcW w:w="1838" w:type="dxa"/>
            <w:gridSpan w:val="2"/>
          </w:tcPr>
          <w:p w14:paraId="43184069" w14:textId="77777777" w:rsidR="00023DE8" w:rsidRPr="008A79A4" w:rsidRDefault="00023DE8" w:rsidP="00977CA4">
            <w:pPr>
              <w:rPr>
                <w:sz w:val="18"/>
                <w:szCs w:val="18"/>
              </w:rPr>
            </w:pPr>
            <w:r w:rsidRPr="008A79A4">
              <w:rPr>
                <w:sz w:val="18"/>
                <w:szCs w:val="18"/>
              </w:rPr>
              <w:t>Post-exposure prophylaxis</w:t>
            </w:r>
            <w:r w:rsidR="00977CA4">
              <w:rPr>
                <w:sz w:val="18"/>
                <w:szCs w:val="18"/>
              </w:rPr>
              <w:t xml:space="preserve"> </w:t>
            </w:r>
            <w:r w:rsidRPr="008A79A4">
              <w:rPr>
                <w:sz w:val="18"/>
                <w:szCs w:val="18"/>
              </w:rPr>
              <w:t>049</w:t>
            </w:r>
          </w:p>
        </w:tc>
        <w:tc>
          <w:tcPr>
            <w:tcW w:w="1247" w:type="dxa"/>
          </w:tcPr>
          <w:p w14:paraId="146BCCEC" w14:textId="77777777" w:rsidR="00023DE8" w:rsidRPr="008A79A4" w:rsidRDefault="00023DE8" w:rsidP="008A79A4">
            <w:pPr>
              <w:rPr>
                <w:sz w:val="18"/>
                <w:szCs w:val="18"/>
              </w:rPr>
            </w:pPr>
          </w:p>
          <w:p w14:paraId="06A13156" w14:textId="77777777" w:rsidR="00023DE8" w:rsidRPr="008A79A4" w:rsidRDefault="00023DE8" w:rsidP="008A79A4">
            <w:pPr>
              <w:rPr>
                <w:sz w:val="18"/>
                <w:szCs w:val="18"/>
              </w:rPr>
            </w:pPr>
            <w:r w:rsidRPr="008A79A4">
              <w:rPr>
                <w:sz w:val="18"/>
                <w:szCs w:val="18"/>
              </w:rPr>
              <w:t>1013</w:t>
            </w:r>
          </w:p>
        </w:tc>
        <w:tc>
          <w:tcPr>
            <w:tcW w:w="1021" w:type="dxa"/>
          </w:tcPr>
          <w:p w14:paraId="70EE5B2C" w14:textId="77777777" w:rsidR="00023DE8" w:rsidRPr="008A79A4" w:rsidRDefault="00023DE8" w:rsidP="008A79A4">
            <w:pPr>
              <w:rPr>
                <w:sz w:val="18"/>
                <w:szCs w:val="18"/>
              </w:rPr>
            </w:pPr>
          </w:p>
        </w:tc>
        <w:tc>
          <w:tcPr>
            <w:tcW w:w="1418" w:type="dxa"/>
          </w:tcPr>
          <w:p w14:paraId="032CAA43" w14:textId="77777777" w:rsidR="00023DE8" w:rsidRPr="008A79A4" w:rsidRDefault="00023DE8" w:rsidP="008A79A4">
            <w:pPr>
              <w:rPr>
                <w:sz w:val="18"/>
                <w:szCs w:val="18"/>
              </w:rPr>
            </w:pPr>
          </w:p>
        </w:tc>
        <w:tc>
          <w:tcPr>
            <w:tcW w:w="1134" w:type="dxa"/>
          </w:tcPr>
          <w:p w14:paraId="638C88CE" w14:textId="77777777" w:rsidR="00023DE8" w:rsidRPr="008A79A4" w:rsidRDefault="00023DE8" w:rsidP="008A79A4">
            <w:pPr>
              <w:rPr>
                <w:sz w:val="18"/>
                <w:szCs w:val="18"/>
              </w:rPr>
            </w:pPr>
          </w:p>
          <w:p w14:paraId="21693715" w14:textId="77777777" w:rsidR="00023DE8" w:rsidRPr="008A79A4" w:rsidRDefault="00023DE8" w:rsidP="008A79A4">
            <w:pPr>
              <w:rPr>
                <w:sz w:val="18"/>
                <w:szCs w:val="18"/>
              </w:rPr>
            </w:pPr>
            <w:r w:rsidRPr="008A79A4">
              <w:rPr>
                <w:sz w:val="18"/>
                <w:szCs w:val="18"/>
              </w:rPr>
              <w:t>499</w:t>
            </w:r>
          </w:p>
        </w:tc>
        <w:tc>
          <w:tcPr>
            <w:tcW w:w="1530" w:type="dxa"/>
          </w:tcPr>
          <w:p w14:paraId="5C72EEDA" w14:textId="77777777" w:rsidR="00023DE8" w:rsidRPr="008A79A4" w:rsidRDefault="00023DE8" w:rsidP="008A79A4">
            <w:pPr>
              <w:rPr>
                <w:sz w:val="18"/>
                <w:szCs w:val="18"/>
              </w:rPr>
            </w:pPr>
          </w:p>
        </w:tc>
        <w:tc>
          <w:tcPr>
            <w:tcW w:w="1276" w:type="dxa"/>
          </w:tcPr>
          <w:p w14:paraId="40421350" w14:textId="77777777" w:rsidR="00023DE8" w:rsidRPr="008A79A4" w:rsidRDefault="00023DE8" w:rsidP="008A79A4">
            <w:pPr>
              <w:rPr>
                <w:sz w:val="18"/>
                <w:szCs w:val="18"/>
              </w:rPr>
            </w:pPr>
          </w:p>
          <w:p w14:paraId="41EBB00A" w14:textId="77777777" w:rsidR="00023DE8" w:rsidRPr="008A79A4" w:rsidRDefault="00023DE8" w:rsidP="008A79A4">
            <w:pPr>
              <w:rPr>
                <w:sz w:val="18"/>
                <w:szCs w:val="18"/>
              </w:rPr>
            </w:pPr>
            <w:r w:rsidRPr="008A79A4">
              <w:rPr>
                <w:sz w:val="18"/>
                <w:szCs w:val="18"/>
              </w:rPr>
              <w:t>1512</w:t>
            </w:r>
          </w:p>
        </w:tc>
      </w:tr>
      <w:tr w:rsidR="00023DE8" w:rsidRPr="008A79A4" w14:paraId="2903CE6D" w14:textId="77777777" w:rsidTr="00023DE8">
        <w:tc>
          <w:tcPr>
            <w:tcW w:w="1838" w:type="dxa"/>
            <w:gridSpan w:val="2"/>
          </w:tcPr>
          <w:p w14:paraId="2496AC79" w14:textId="77777777" w:rsidR="00023DE8" w:rsidRPr="008A79A4" w:rsidRDefault="00023DE8" w:rsidP="008A79A4">
            <w:pPr>
              <w:rPr>
                <w:sz w:val="18"/>
                <w:szCs w:val="18"/>
              </w:rPr>
            </w:pPr>
            <w:r w:rsidRPr="008A79A4">
              <w:rPr>
                <w:sz w:val="18"/>
                <w:szCs w:val="18"/>
              </w:rPr>
              <w:t>P vivax treatment</w:t>
            </w:r>
          </w:p>
          <w:p w14:paraId="4363739A" w14:textId="77777777" w:rsidR="00023DE8" w:rsidRPr="008A79A4" w:rsidRDefault="00023DE8" w:rsidP="008A79A4">
            <w:pPr>
              <w:rPr>
                <w:sz w:val="18"/>
                <w:szCs w:val="18"/>
              </w:rPr>
            </w:pPr>
            <w:r w:rsidRPr="008A79A4">
              <w:rPr>
                <w:sz w:val="18"/>
                <w:szCs w:val="18"/>
              </w:rPr>
              <w:lastRenderedPageBreak/>
              <w:t>047</w:t>
            </w:r>
          </w:p>
          <w:p w14:paraId="5956A606" w14:textId="77777777" w:rsidR="00023DE8" w:rsidRPr="008A79A4" w:rsidRDefault="00023DE8" w:rsidP="008A79A4">
            <w:pPr>
              <w:rPr>
                <w:sz w:val="18"/>
                <w:szCs w:val="18"/>
              </w:rPr>
            </w:pPr>
            <w:r w:rsidRPr="008A79A4">
              <w:rPr>
                <w:sz w:val="18"/>
                <w:szCs w:val="18"/>
              </w:rPr>
              <w:t>058</w:t>
            </w:r>
          </w:p>
        </w:tc>
        <w:tc>
          <w:tcPr>
            <w:tcW w:w="1247" w:type="dxa"/>
          </w:tcPr>
          <w:p w14:paraId="6C2C0E2B" w14:textId="77777777" w:rsidR="00023DE8" w:rsidRPr="008A79A4" w:rsidRDefault="00023DE8" w:rsidP="008A79A4">
            <w:pPr>
              <w:rPr>
                <w:sz w:val="18"/>
                <w:szCs w:val="18"/>
              </w:rPr>
            </w:pPr>
            <w:r w:rsidRPr="008A79A4">
              <w:rPr>
                <w:sz w:val="18"/>
                <w:szCs w:val="18"/>
              </w:rPr>
              <w:lastRenderedPageBreak/>
              <w:t>81</w:t>
            </w:r>
          </w:p>
          <w:p w14:paraId="7128673A" w14:textId="77777777" w:rsidR="00023DE8" w:rsidRPr="008A79A4" w:rsidRDefault="00023DE8" w:rsidP="008A79A4">
            <w:pPr>
              <w:rPr>
                <w:sz w:val="18"/>
                <w:szCs w:val="18"/>
              </w:rPr>
            </w:pPr>
            <w:r w:rsidRPr="008A79A4">
              <w:rPr>
                <w:sz w:val="18"/>
                <w:szCs w:val="18"/>
              </w:rPr>
              <w:lastRenderedPageBreak/>
              <w:t>46</w:t>
            </w:r>
          </w:p>
        </w:tc>
        <w:tc>
          <w:tcPr>
            <w:tcW w:w="1021" w:type="dxa"/>
          </w:tcPr>
          <w:p w14:paraId="360D1395" w14:textId="77777777" w:rsidR="00023DE8" w:rsidRPr="008A79A4" w:rsidRDefault="00023DE8" w:rsidP="008A79A4">
            <w:pPr>
              <w:rPr>
                <w:sz w:val="18"/>
                <w:szCs w:val="18"/>
              </w:rPr>
            </w:pPr>
          </w:p>
        </w:tc>
        <w:tc>
          <w:tcPr>
            <w:tcW w:w="1418" w:type="dxa"/>
          </w:tcPr>
          <w:p w14:paraId="2EB50A2E" w14:textId="77777777" w:rsidR="00023DE8" w:rsidRPr="008A79A4" w:rsidRDefault="00023DE8" w:rsidP="008A79A4">
            <w:pPr>
              <w:rPr>
                <w:sz w:val="18"/>
                <w:szCs w:val="18"/>
              </w:rPr>
            </w:pPr>
          </w:p>
        </w:tc>
        <w:tc>
          <w:tcPr>
            <w:tcW w:w="1134" w:type="dxa"/>
          </w:tcPr>
          <w:p w14:paraId="72545263" w14:textId="77777777" w:rsidR="00023DE8" w:rsidRPr="008A79A4" w:rsidRDefault="00023DE8" w:rsidP="008A79A4">
            <w:pPr>
              <w:rPr>
                <w:sz w:val="18"/>
                <w:szCs w:val="18"/>
              </w:rPr>
            </w:pPr>
            <w:r w:rsidRPr="008A79A4">
              <w:rPr>
                <w:sz w:val="18"/>
                <w:szCs w:val="18"/>
              </w:rPr>
              <w:t>34</w:t>
            </w:r>
          </w:p>
          <w:p w14:paraId="27E98B57" w14:textId="77777777" w:rsidR="00023DE8" w:rsidRPr="008A79A4" w:rsidRDefault="00023DE8" w:rsidP="008A79A4">
            <w:pPr>
              <w:rPr>
                <w:sz w:val="18"/>
                <w:szCs w:val="18"/>
              </w:rPr>
            </w:pPr>
            <w:r w:rsidRPr="008A79A4">
              <w:rPr>
                <w:sz w:val="18"/>
                <w:szCs w:val="18"/>
              </w:rPr>
              <w:lastRenderedPageBreak/>
              <w:t>24</w:t>
            </w:r>
          </w:p>
        </w:tc>
        <w:tc>
          <w:tcPr>
            <w:tcW w:w="1530" w:type="dxa"/>
          </w:tcPr>
          <w:p w14:paraId="45934752" w14:textId="77777777" w:rsidR="00023DE8" w:rsidRPr="008A79A4" w:rsidRDefault="00023DE8" w:rsidP="008A79A4">
            <w:pPr>
              <w:rPr>
                <w:sz w:val="18"/>
                <w:szCs w:val="18"/>
              </w:rPr>
            </w:pPr>
          </w:p>
        </w:tc>
        <w:tc>
          <w:tcPr>
            <w:tcW w:w="1276" w:type="dxa"/>
          </w:tcPr>
          <w:p w14:paraId="3E23EFE7" w14:textId="77777777" w:rsidR="00023DE8" w:rsidRPr="008A79A4" w:rsidRDefault="00023DE8" w:rsidP="008A79A4">
            <w:pPr>
              <w:rPr>
                <w:sz w:val="18"/>
                <w:szCs w:val="18"/>
              </w:rPr>
            </w:pPr>
            <w:r w:rsidRPr="008A79A4">
              <w:rPr>
                <w:sz w:val="18"/>
                <w:szCs w:val="18"/>
              </w:rPr>
              <w:t>115</w:t>
            </w:r>
          </w:p>
          <w:p w14:paraId="03B745F7" w14:textId="77777777" w:rsidR="00023DE8" w:rsidRPr="008A79A4" w:rsidRDefault="00023DE8" w:rsidP="008A79A4">
            <w:pPr>
              <w:rPr>
                <w:sz w:val="18"/>
                <w:szCs w:val="18"/>
              </w:rPr>
            </w:pPr>
            <w:r w:rsidRPr="008A79A4">
              <w:rPr>
                <w:sz w:val="18"/>
                <w:szCs w:val="18"/>
              </w:rPr>
              <w:lastRenderedPageBreak/>
              <w:t>70</w:t>
            </w:r>
          </w:p>
        </w:tc>
      </w:tr>
      <w:tr w:rsidR="00023DE8" w:rsidRPr="008A79A4" w14:paraId="5C84BE58" w14:textId="77777777" w:rsidTr="00023DE8">
        <w:tc>
          <w:tcPr>
            <w:tcW w:w="1838" w:type="dxa"/>
            <w:gridSpan w:val="2"/>
          </w:tcPr>
          <w:p w14:paraId="12130032" w14:textId="60051FF6" w:rsidR="00023DE8" w:rsidRPr="008A79A4" w:rsidRDefault="002E3DAA" w:rsidP="002E3DAA">
            <w:pPr>
              <w:rPr>
                <w:sz w:val="18"/>
                <w:szCs w:val="18"/>
              </w:rPr>
            </w:pPr>
            <w:r w:rsidRPr="008A79A4">
              <w:rPr>
                <w:sz w:val="18"/>
                <w:szCs w:val="18"/>
              </w:rPr>
              <w:lastRenderedPageBreak/>
              <w:t>T</w:t>
            </w:r>
            <w:r>
              <w:rPr>
                <w:sz w:val="18"/>
                <w:szCs w:val="18"/>
              </w:rPr>
              <w:t>otal</w:t>
            </w:r>
          </w:p>
        </w:tc>
        <w:tc>
          <w:tcPr>
            <w:tcW w:w="1247" w:type="dxa"/>
          </w:tcPr>
          <w:p w14:paraId="7DFB3469" w14:textId="77777777" w:rsidR="00023DE8" w:rsidRPr="008A79A4" w:rsidRDefault="00023DE8" w:rsidP="008A79A4">
            <w:pPr>
              <w:rPr>
                <w:sz w:val="18"/>
                <w:szCs w:val="18"/>
              </w:rPr>
            </w:pPr>
            <w:r w:rsidRPr="008A79A4">
              <w:rPr>
                <w:sz w:val="18"/>
                <w:szCs w:val="18"/>
              </w:rPr>
              <w:t>2519</w:t>
            </w:r>
          </w:p>
        </w:tc>
        <w:tc>
          <w:tcPr>
            <w:tcW w:w="1021" w:type="dxa"/>
          </w:tcPr>
          <w:p w14:paraId="29168D77" w14:textId="77777777" w:rsidR="00023DE8" w:rsidRPr="008A79A4" w:rsidRDefault="00023DE8" w:rsidP="008A79A4">
            <w:pPr>
              <w:rPr>
                <w:sz w:val="18"/>
                <w:szCs w:val="18"/>
              </w:rPr>
            </w:pPr>
            <w:r w:rsidRPr="008A79A4">
              <w:rPr>
                <w:sz w:val="18"/>
                <w:szCs w:val="18"/>
              </w:rPr>
              <w:t>530</w:t>
            </w:r>
          </w:p>
        </w:tc>
        <w:tc>
          <w:tcPr>
            <w:tcW w:w="1418" w:type="dxa"/>
          </w:tcPr>
          <w:p w14:paraId="613DE8AB" w14:textId="77777777" w:rsidR="00023DE8" w:rsidRPr="008A79A4" w:rsidRDefault="00023DE8" w:rsidP="008A79A4">
            <w:pPr>
              <w:rPr>
                <w:sz w:val="18"/>
                <w:szCs w:val="18"/>
              </w:rPr>
            </w:pPr>
            <w:r w:rsidRPr="008A79A4">
              <w:rPr>
                <w:sz w:val="18"/>
                <w:szCs w:val="18"/>
              </w:rPr>
              <w:t>402</w:t>
            </w:r>
          </w:p>
        </w:tc>
        <w:tc>
          <w:tcPr>
            <w:tcW w:w="1134" w:type="dxa"/>
          </w:tcPr>
          <w:p w14:paraId="1F13CB2E" w14:textId="77777777" w:rsidR="00023DE8" w:rsidRPr="008A79A4" w:rsidRDefault="00023DE8" w:rsidP="008A79A4">
            <w:pPr>
              <w:rPr>
                <w:sz w:val="18"/>
                <w:szCs w:val="18"/>
              </w:rPr>
            </w:pPr>
            <w:r w:rsidRPr="008A79A4">
              <w:rPr>
                <w:sz w:val="18"/>
                <w:szCs w:val="18"/>
              </w:rPr>
              <w:t>557</w:t>
            </w:r>
          </w:p>
        </w:tc>
        <w:tc>
          <w:tcPr>
            <w:tcW w:w="1530" w:type="dxa"/>
          </w:tcPr>
          <w:p w14:paraId="55665C22" w14:textId="77777777" w:rsidR="00023DE8" w:rsidRPr="008A79A4" w:rsidRDefault="00023DE8" w:rsidP="008A79A4">
            <w:pPr>
              <w:rPr>
                <w:sz w:val="18"/>
                <w:szCs w:val="18"/>
              </w:rPr>
            </w:pPr>
          </w:p>
        </w:tc>
        <w:tc>
          <w:tcPr>
            <w:tcW w:w="1276" w:type="dxa"/>
          </w:tcPr>
          <w:p w14:paraId="52E95593" w14:textId="77777777" w:rsidR="00023DE8" w:rsidRPr="008A79A4" w:rsidRDefault="00023DE8" w:rsidP="008A79A4">
            <w:pPr>
              <w:rPr>
                <w:sz w:val="18"/>
                <w:szCs w:val="18"/>
              </w:rPr>
            </w:pPr>
          </w:p>
        </w:tc>
      </w:tr>
    </w:tbl>
    <w:p w14:paraId="6B871CEB" w14:textId="77777777" w:rsidR="00023DE8" w:rsidRPr="008A79A4" w:rsidRDefault="00023DE8" w:rsidP="008A79A4">
      <w:pPr>
        <w:pStyle w:val="TableDescription"/>
      </w:pPr>
      <w:r w:rsidRPr="00C37A1D">
        <w:t>* Control = Comparator</w:t>
      </w:r>
    </w:p>
    <w:p w14:paraId="396D533D" w14:textId="1CE89AAF" w:rsidR="00023DE8" w:rsidRDefault="00023DE8" w:rsidP="008A79A4">
      <w:pPr>
        <w:pStyle w:val="Heading5"/>
      </w:pPr>
      <w:r>
        <w:t xml:space="preserve">Short-term </w:t>
      </w:r>
      <w:r w:rsidR="002E3DAA">
        <w:t xml:space="preserve">exposure dataset safety </w:t>
      </w:r>
      <w:r>
        <w:t xml:space="preserve">of the 200 mg </w:t>
      </w:r>
      <w:r w:rsidR="002E3DAA">
        <w:t>loading dose</w:t>
      </w:r>
    </w:p>
    <w:p w14:paraId="321F2C58" w14:textId="38F20D0A" w:rsidR="00023DE8" w:rsidRDefault="00023DE8" w:rsidP="00023DE8">
      <w:r>
        <w:t xml:space="preserve">The </w:t>
      </w:r>
      <w:r w:rsidR="002E3DAA">
        <w:t>short</w:t>
      </w:r>
      <w:r>
        <w:t>-</w:t>
      </w:r>
      <w:r w:rsidR="002E3DAA">
        <w:t>t</w:t>
      </w:r>
      <w:r w:rsidR="002E3DAA" w:rsidRPr="00836864">
        <w:t xml:space="preserve">erm </w:t>
      </w:r>
      <w:r w:rsidR="002E3DAA">
        <w:t>e</w:t>
      </w:r>
      <w:r w:rsidR="002E3DAA" w:rsidRPr="00836864">
        <w:t xml:space="preserve">xposure </w:t>
      </w:r>
      <w:r w:rsidR="002E3DAA">
        <w:t>s</w:t>
      </w:r>
      <w:r w:rsidR="002E3DAA" w:rsidRPr="00836864">
        <w:t xml:space="preserve">tudies </w:t>
      </w:r>
      <w:r w:rsidRPr="00836864">
        <w:t>(</w:t>
      </w:r>
      <w:r w:rsidR="000D2A48">
        <w:t>Table 1</w:t>
      </w:r>
      <w:r w:rsidR="00B52F8D">
        <w:t>8</w:t>
      </w:r>
      <w:r w:rsidRPr="00836864">
        <w:t>) included a total of 12 studies (Studies 003, 006, 014, 022, 040, 043, 047, 049, 050, 052, 053, and 058) that had dosage groups in which tafenoquine was administered to subjects for periods ranging from 1</w:t>
      </w:r>
      <w:r w:rsidR="002E3DAA">
        <w:t xml:space="preserve"> to </w:t>
      </w:r>
      <w:r w:rsidRPr="00836864">
        <w:t>7 days. Of these 12 studies, there were 6 studies in which a specific dose of tafenoquine was administered as a single dose only (Studies 003, 022, 047, 050, 052, 053), 7 studies where tafenoquine dosing was administered for 3 days (Studies 006, 014, 040, 043, 047, 049, 058) and one study where dosing duration was 7 days (Study 047). Exposure for 4 studies (Studie</w:t>
      </w:r>
      <w:r w:rsidR="00730E34" w:rsidRPr="00836864">
        <w:t>s 006, 043, 049, and 058) utilis</w:t>
      </w:r>
      <w:r w:rsidRPr="00836864">
        <w:t xml:space="preserve">ing these doses is presented in </w:t>
      </w:r>
      <w:r w:rsidR="000D2A48">
        <w:t xml:space="preserve">Table </w:t>
      </w:r>
      <w:r w:rsidR="002E3DAA">
        <w:t>19</w:t>
      </w:r>
      <w:r w:rsidR="002E3DAA" w:rsidRPr="00836864">
        <w:t xml:space="preserve"> </w:t>
      </w:r>
      <w:r w:rsidRPr="00836864">
        <w:t xml:space="preserve">and </w:t>
      </w:r>
      <w:r w:rsidR="000D2A48">
        <w:t xml:space="preserve">Table </w:t>
      </w:r>
      <w:r w:rsidR="002E3DAA">
        <w:t>20</w:t>
      </w:r>
      <w:r w:rsidRPr="00836864">
        <w:t>. In these pooled studies, a total of 491 subjects were exposed to the 200 mg loading dose, while 713 were exposed to the 400 mg loading dose. An additional 161 subjects received 400 mg daily as a split dose of 200 mg twice</w:t>
      </w:r>
      <w:r w:rsidR="00730E34" w:rsidRPr="00836864">
        <w:t xml:space="preserve"> </w:t>
      </w:r>
      <w:r w:rsidRPr="00836864">
        <w:t xml:space="preserve">daily (BID). The most common adverse events reported in this group are summarised in </w:t>
      </w:r>
      <w:r w:rsidR="000D2A48">
        <w:t xml:space="preserve">Table </w:t>
      </w:r>
      <w:r w:rsidR="002E3DAA">
        <w:t>21</w:t>
      </w:r>
      <w:r w:rsidR="002E3DAA" w:rsidRPr="00836864">
        <w:t xml:space="preserve"> </w:t>
      </w:r>
      <w:r w:rsidRPr="00836864">
        <w:t xml:space="preserve">and were similar to the ACR set. The clinical studies that used the ACR and drug exposure are summarised in </w:t>
      </w:r>
      <w:r w:rsidR="000D2A48">
        <w:t xml:space="preserve">Table </w:t>
      </w:r>
      <w:r w:rsidR="002E3DAA">
        <w:t>22</w:t>
      </w:r>
      <w:r w:rsidRPr="00836864">
        <w:t>.</w:t>
      </w:r>
    </w:p>
    <w:p w14:paraId="33A00D70" w14:textId="2B8710C5" w:rsidR="0031042F" w:rsidRDefault="00730E34" w:rsidP="004E4DA2">
      <w:pPr>
        <w:pStyle w:val="TableTitle"/>
      </w:pPr>
      <w:bookmarkStart w:id="179" w:name="_Ref501291055"/>
      <w:bookmarkStart w:id="180" w:name="_Toc504229467"/>
      <w:bookmarkStart w:id="181" w:name="_Toc501293718"/>
      <w:r>
        <w:t xml:space="preserve">Table </w:t>
      </w:r>
      <w:r w:rsidR="001F6931">
        <w:t>1</w:t>
      </w:r>
      <w:r w:rsidR="00B52F8D">
        <w:t>8</w:t>
      </w:r>
      <w:r w:rsidR="001F6931">
        <w:t>:</w:t>
      </w:r>
      <w:bookmarkEnd w:id="179"/>
      <w:r>
        <w:t xml:space="preserve"> </w:t>
      </w:r>
      <w:r w:rsidRPr="003F3599">
        <w:t xml:space="preserve">Pooled </w:t>
      </w:r>
      <w:r w:rsidR="004E4DA2">
        <w:t>a</w:t>
      </w:r>
      <w:r w:rsidRPr="003F3599">
        <w:t xml:space="preserve">nalysis </w:t>
      </w:r>
      <w:r w:rsidR="004E4DA2">
        <w:t>g</w:t>
      </w:r>
      <w:r w:rsidRPr="003F3599">
        <w:t xml:space="preserve">roups of </w:t>
      </w:r>
      <w:r w:rsidR="004E4DA2">
        <w:t>c</w:t>
      </w:r>
      <w:r w:rsidRPr="003F3599">
        <w:t xml:space="preserve">linical </w:t>
      </w:r>
      <w:r w:rsidR="004E4DA2">
        <w:t>t</w:t>
      </w:r>
      <w:r w:rsidRPr="003F3599">
        <w:t>rials</w:t>
      </w:r>
      <w:r w:rsidR="000F546D">
        <w:t>;</w:t>
      </w:r>
      <w:r w:rsidRPr="003F3599">
        <w:t xml:space="preserve"> </w:t>
      </w:r>
      <w:r w:rsidR="000F546D">
        <w:t>s</w:t>
      </w:r>
      <w:r w:rsidRPr="003F3599">
        <w:t xml:space="preserve">afety </w:t>
      </w:r>
      <w:r w:rsidR="004E4DA2">
        <w:t>a</w:t>
      </w:r>
      <w:r w:rsidRPr="003F3599">
        <w:t xml:space="preserve">nalysis of </w:t>
      </w:r>
      <w:r w:rsidR="004E4DA2">
        <w:t>t</w:t>
      </w:r>
      <w:r w:rsidRPr="003F3599">
        <w:t>afenoquine</w:t>
      </w:r>
      <w:bookmarkEnd w:id="180"/>
      <w:bookmarkEnd w:id="181"/>
    </w:p>
    <w:tbl>
      <w:tblPr>
        <w:tblStyle w:val="TableTGAblue"/>
        <w:tblW w:w="0" w:type="auto"/>
        <w:tblLayout w:type="fixed"/>
        <w:tblLook w:val="04A0" w:firstRow="1" w:lastRow="0" w:firstColumn="1" w:lastColumn="0" w:noHBand="0" w:noVBand="1"/>
      </w:tblPr>
      <w:tblGrid>
        <w:gridCol w:w="3080"/>
        <w:gridCol w:w="3081"/>
        <w:gridCol w:w="3081"/>
      </w:tblGrid>
      <w:tr w:rsidR="0031042F" w14:paraId="3114EAFD" w14:textId="77777777" w:rsidTr="000C0377">
        <w:trPr>
          <w:cnfStyle w:val="100000000000" w:firstRow="1" w:lastRow="0" w:firstColumn="0" w:lastColumn="0" w:oddVBand="0" w:evenVBand="0" w:oddHBand="0" w:evenHBand="0" w:firstRowFirstColumn="0" w:firstRowLastColumn="0" w:lastRowFirstColumn="0" w:lastRowLastColumn="0"/>
          <w:trHeight w:val="349"/>
        </w:trPr>
        <w:tc>
          <w:tcPr>
            <w:tcW w:w="3080" w:type="dxa"/>
          </w:tcPr>
          <w:p w14:paraId="3F98E2B3" w14:textId="77777777" w:rsidR="0031042F" w:rsidRPr="002464CB" w:rsidRDefault="0031042F" w:rsidP="000C0377">
            <w:pPr>
              <w:rPr>
                <w:b w:val="0"/>
                <w:sz w:val="20"/>
                <w:szCs w:val="20"/>
              </w:rPr>
            </w:pPr>
            <w:r w:rsidRPr="002464CB">
              <w:rPr>
                <w:sz w:val="20"/>
                <w:szCs w:val="20"/>
              </w:rPr>
              <w:t>Pooled Analysis Group</w:t>
            </w:r>
          </w:p>
        </w:tc>
        <w:tc>
          <w:tcPr>
            <w:tcW w:w="3081" w:type="dxa"/>
          </w:tcPr>
          <w:p w14:paraId="673DBEC6" w14:textId="77777777" w:rsidR="0031042F" w:rsidRPr="002464CB" w:rsidRDefault="0031042F" w:rsidP="000C0377">
            <w:pPr>
              <w:rPr>
                <w:b w:val="0"/>
                <w:sz w:val="20"/>
                <w:szCs w:val="20"/>
              </w:rPr>
            </w:pPr>
            <w:r w:rsidRPr="002464CB">
              <w:rPr>
                <w:sz w:val="20"/>
                <w:szCs w:val="20"/>
              </w:rPr>
              <w:t>Population of Analysis Group</w:t>
            </w:r>
          </w:p>
        </w:tc>
        <w:tc>
          <w:tcPr>
            <w:tcW w:w="3081" w:type="dxa"/>
          </w:tcPr>
          <w:p w14:paraId="46CC924A" w14:textId="77777777" w:rsidR="0031042F" w:rsidRPr="002464CB" w:rsidRDefault="0031042F" w:rsidP="000C0377">
            <w:pPr>
              <w:rPr>
                <w:b w:val="0"/>
                <w:sz w:val="20"/>
                <w:szCs w:val="20"/>
              </w:rPr>
            </w:pPr>
            <w:r w:rsidRPr="002464CB">
              <w:rPr>
                <w:sz w:val="20"/>
                <w:szCs w:val="20"/>
              </w:rPr>
              <w:t>Studies Contributing</w:t>
            </w:r>
          </w:p>
        </w:tc>
      </w:tr>
      <w:tr w:rsidR="0031042F" w14:paraId="3F04C33F" w14:textId="77777777" w:rsidTr="000C0377">
        <w:trPr>
          <w:trHeight w:val="1269"/>
        </w:trPr>
        <w:tc>
          <w:tcPr>
            <w:tcW w:w="3080" w:type="dxa"/>
          </w:tcPr>
          <w:p w14:paraId="0A87B80A" w14:textId="77777777" w:rsidR="0031042F" w:rsidRPr="002464CB" w:rsidRDefault="0031042F" w:rsidP="000C0377">
            <w:pPr>
              <w:rPr>
                <w:sz w:val="20"/>
                <w:szCs w:val="20"/>
              </w:rPr>
            </w:pPr>
            <w:r w:rsidRPr="002464CB">
              <w:rPr>
                <w:sz w:val="20"/>
                <w:szCs w:val="20"/>
              </w:rPr>
              <w:t>Short Term Exposure Data Set</w:t>
            </w:r>
          </w:p>
        </w:tc>
        <w:tc>
          <w:tcPr>
            <w:tcW w:w="3081" w:type="dxa"/>
          </w:tcPr>
          <w:p w14:paraId="13AC2017" w14:textId="77777777" w:rsidR="0031042F" w:rsidRPr="002464CB" w:rsidRDefault="0031042F" w:rsidP="000C0377">
            <w:pPr>
              <w:rPr>
                <w:sz w:val="20"/>
                <w:szCs w:val="20"/>
              </w:rPr>
            </w:pPr>
            <w:r w:rsidRPr="002464CB">
              <w:rPr>
                <w:sz w:val="20"/>
                <w:szCs w:val="20"/>
              </w:rPr>
              <w:t>Subjects receiving daily tafenoquine for a period of only 1-3 days. Group includes the majority of Phase I studies and 4 Phase II studies. Study doses ranged from 2 mg (single dose) to 500 mg daily x 3 days.</w:t>
            </w:r>
          </w:p>
        </w:tc>
        <w:tc>
          <w:tcPr>
            <w:tcW w:w="3081" w:type="dxa"/>
          </w:tcPr>
          <w:p w14:paraId="4D57DEA2" w14:textId="77777777" w:rsidR="0031042F" w:rsidRPr="002464CB" w:rsidRDefault="0031042F" w:rsidP="000C0377">
            <w:pPr>
              <w:rPr>
                <w:sz w:val="20"/>
                <w:szCs w:val="20"/>
              </w:rPr>
            </w:pPr>
            <w:r w:rsidRPr="002464CB">
              <w:rPr>
                <w:sz w:val="20"/>
                <w:szCs w:val="20"/>
              </w:rPr>
              <w:t>003, 006, 014, 022, 040, 043, 047, 049, 050, 052, 053, 058</w:t>
            </w:r>
          </w:p>
        </w:tc>
      </w:tr>
      <w:tr w:rsidR="0031042F" w14:paraId="14E5093B" w14:textId="77777777" w:rsidTr="000C0377">
        <w:trPr>
          <w:trHeight w:val="1568"/>
        </w:trPr>
        <w:tc>
          <w:tcPr>
            <w:tcW w:w="3080" w:type="dxa"/>
          </w:tcPr>
          <w:p w14:paraId="34C30BEC" w14:textId="77777777" w:rsidR="0031042F" w:rsidRPr="002464CB" w:rsidRDefault="0031042F" w:rsidP="000C0377">
            <w:pPr>
              <w:rPr>
                <w:sz w:val="20"/>
                <w:szCs w:val="20"/>
              </w:rPr>
            </w:pPr>
            <w:r w:rsidRPr="002464CB">
              <w:rPr>
                <w:w w:val="99"/>
                <w:sz w:val="20"/>
                <w:szCs w:val="20"/>
                <w:vertAlign w:val="superscript"/>
              </w:rPr>
              <w:t>a</w:t>
            </w:r>
            <w:r w:rsidRPr="002464CB">
              <w:rPr>
                <w:sz w:val="20"/>
                <w:szCs w:val="20"/>
              </w:rPr>
              <w:t>Clinical Use Studies</w:t>
            </w:r>
          </w:p>
        </w:tc>
        <w:tc>
          <w:tcPr>
            <w:tcW w:w="3081" w:type="dxa"/>
          </w:tcPr>
          <w:p w14:paraId="39AD33E0" w14:textId="7949AA86" w:rsidR="0031042F" w:rsidRPr="002464CB" w:rsidRDefault="0031042F" w:rsidP="000C0377">
            <w:pPr>
              <w:rPr>
                <w:sz w:val="20"/>
                <w:szCs w:val="20"/>
              </w:rPr>
            </w:pPr>
            <w:r w:rsidRPr="002464CB">
              <w:rPr>
                <w:sz w:val="20"/>
                <w:szCs w:val="20"/>
              </w:rPr>
              <w:t xml:space="preserve">Phase II-III prophylaxis and treatment studies (006, 030, 033, 043, 044, 045, </w:t>
            </w:r>
            <w:r w:rsidR="00222998" w:rsidRPr="002464CB">
              <w:rPr>
                <w:sz w:val="20"/>
                <w:szCs w:val="20"/>
              </w:rPr>
              <w:t>and 049</w:t>
            </w:r>
            <w:r w:rsidRPr="002464CB">
              <w:rPr>
                <w:sz w:val="20"/>
                <w:szCs w:val="20"/>
              </w:rPr>
              <w:t>) plus Phase I Study 057 (the Renal-ocular Safety Study) which utilised</w:t>
            </w:r>
            <w:r>
              <w:rPr>
                <w:sz w:val="20"/>
                <w:szCs w:val="20"/>
              </w:rPr>
              <w:t xml:space="preserve"> </w:t>
            </w:r>
            <w:r w:rsidRPr="002464CB">
              <w:rPr>
                <w:sz w:val="20"/>
                <w:szCs w:val="20"/>
              </w:rPr>
              <w:t>the ACR of Tafenoquine.</w:t>
            </w:r>
          </w:p>
        </w:tc>
        <w:tc>
          <w:tcPr>
            <w:tcW w:w="3081" w:type="dxa"/>
          </w:tcPr>
          <w:p w14:paraId="44ABFBBB" w14:textId="77777777" w:rsidR="0031042F" w:rsidRPr="002464CB" w:rsidRDefault="0031042F" w:rsidP="000C0377">
            <w:pPr>
              <w:rPr>
                <w:sz w:val="20"/>
                <w:szCs w:val="20"/>
              </w:rPr>
            </w:pPr>
            <w:r w:rsidRPr="002464CB">
              <w:rPr>
                <w:sz w:val="20"/>
                <w:szCs w:val="20"/>
              </w:rPr>
              <w:t>006, 030, 033, 043, 044, 045, 049, 057 and 058</w:t>
            </w:r>
          </w:p>
        </w:tc>
      </w:tr>
      <w:tr w:rsidR="0031042F" w14:paraId="3988C70B" w14:textId="77777777" w:rsidTr="000C0377">
        <w:trPr>
          <w:trHeight w:val="3810"/>
        </w:trPr>
        <w:tc>
          <w:tcPr>
            <w:tcW w:w="3080" w:type="dxa"/>
          </w:tcPr>
          <w:p w14:paraId="319FDD2C" w14:textId="77777777" w:rsidR="0031042F" w:rsidRPr="002464CB" w:rsidRDefault="0031042F" w:rsidP="000C0377">
            <w:pPr>
              <w:rPr>
                <w:sz w:val="20"/>
                <w:szCs w:val="20"/>
              </w:rPr>
            </w:pPr>
            <w:r w:rsidRPr="002464CB">
              <w:rPr>
                <w:w w:val="99"/>
                <w:sz w:val="20"/>
                <w:szCs w:val="20"/>
                <w:vertAlign w:val="superscript"/>
              </w:rPr>
              <w:lastRenderedPageBreak/>
              <w:t xml:space="preserve">b </w:t>
            </w:r>
            <w:r w:rsidRPr="002464CB">
              <w:rPr>
                <w:sz w:val="20"/>
                <w:szCs w:val="20"/>
              </w:rPr>
              <w:t>Extended Dosing Safety Set</w:t>
            </w:r>
          </w:p>
        </w:tc>
        <w:tc>
          <w:tcPr>
            <w:tcW w:w="3081" w:type="dxa"/>
          </w:tcPr>
          <w:p w14:paraId="5CF4B86D" w14:textId="77777777" w:rsidR="0031042F" w:rsidRPr="002464CB" w:rsidRDefault="0031042F" w:rsidP="000C0377">
            <w:pPr>
              <w:rPr>
                <w:sz w:val="20"/>
                <w:szCs w:val="20"/>
              </w:rPr>
            </w:pPr>
            <w:r w:rsidRPr="002464CB">
              <w:rPr>
                <w:sz w:val="20"/>
                <w:szCs w:val="20"/>
              </w:rPr>
              <w:t>Subjects receiving a 3 day loading dose of tafenoquine followed by weekly or monthly exposure in controlled trials. All studies that utilised extended (weekly or monthly) dosing regimens of tafenoquine were included in this group, including the anticipated clinical regimen (ACR). Group consists of the majority of Malaria Prophylaxis Studies (Studies 030, 033, 043, 044, and 045) and the Phase I Renal-ocular Safety Study (Study 057).</w:t>
            </w:r>
          </w:p>
        </w:tc>
        <w:tc>
          <w:tcPr>
            <w:tcW w:w="3081" w:type="dxa"/>
          </w:tcPr>
          <w:p w14:paraId="33540677" w14:textId="77777777" w:rsidR="0031042F" w:rsidRPr="002464CB" w:rsidRDefault="0031042F" w:rsidP="000C0377">
            <w:pPr>
              <w:rPr>
                <w:sz w:val="20"/>
                <w:szCs w:val="20"/>
              </w:rPr>
            </w:pPr>
            <w:r w:rsidRPr="002464CB">
              <w:rPr>
                <w:sz w:val="20"/>
                <w:szCs w:val="20"/>
              </w:rPr>
              <w:t>030, 033, 043, 044, 045, 057</w:t>
            </w:r>
          </w:p>
        </w:tc>
      </w:tr>
    </w:tbl>
    <w:p w14:paraId="70F4F5FF" w14:textId="16A80F35" w:rsidR="00730E34" w:rsidRDefault="0031042F" w:rsidP="0031042F">
      <w:pPr>
        <w:pStyle w:val="TableDescription"/>
      </w:pPr>
      <w:r w:rsidRPr="00035012">
        <w:t>a</w:t>
      </w:r>
      <w:r w:rsidR="000F546D">
        <w:t>)</w:t>
      </w:r>
      <w:r>
        <w:rPr>
          <w:position w:val="8"/>
          <w:sz w:val="14"/>
        </w:rPr>
        <w:t xml:space="preserve"> </w:t>
      </w:r>
      <w:r>
        <w:t>Included studies relevant to tafenoquine dose response</w:t>
      </w:r>
      <w:r w:rsidR="000F546D">
        <w:t>;</w:t>
      </w:r>
      <w:r>
        <w:t xml:space="preserve"> </w:t>
      </w:r>
      <w:r w:rsidR="000F546D">
        <w:t>b)</w:t>
      </w:r>
      <w:r w:rsidRPr="00035012">
        <w:t xml:space="preserve"> </w:t>
      </w:r>
      <w:r w:rsidR="000F546D">
        <w:t>i</w:t>
      </w:r>
      <w:r>
        <w:t xml:space="preserve">ncluded all comparator controlled studies that </w:t>
      </w:r>
      <w:r w:rsidR="000F546D">
        <w:t xml:space="preserve">utilised </w:t>
      </w:r>
      <w:r>
        <w:t>the tafenoquine anticipated clinical regimen (ACR) of 200 mg daily for 3</w:t>
      </w:r>
      <w:r w:rsidR="000F546D">
        <w:t> </w:t>
      </w:r>
      <w:r>
        <w:t>days followed by once weekly dosing of 100 mg for up to 26 weeks.</w:t>
      </w:r>
    </w:p>
    <w:p w14:paraId="67E7A88B" w14:textId="0ED3A072" w:rsidR="00730E34" w:rsidRPr="003F3599" w:rsidRDefault="00730E34" w:rsidP="004E4DA2">
      <w:pPr>
        <w:pStyle w:val="TableTitle"/>
      </w:pPr>
      <w:bookmarkStart w:id="182" w:name="_Ref501291157"/>
      <w:bookmarkStart w:id="183" w:name="_Toc504229468"/>
      <w:bookmarkStart w:id="184" w:name="_Toc501293719"/>
      <w:r>
        <w:t xml:space="preserve">Table </w:t>
      </w:r>
      <w:r w:rsidR="004E4DA2">
        <w:t>1</w:t>
      </w:r>
      <w:r w:rsidR="00B52F8D">
        <w:t>9</w:t>
      </w:r>
      <w:r w:rsidR="004E4DA2">
        <w:t>:</w:t>
      </w:r>
      <w:bookmarkEnd w:id="182"/>
      <w:r>
        <w:t xml:space="preserve"> </w:t>
      </w:r>
      <w:r w:rsidRPr="003F3599">
        <w:t xml:space="preserve">Numbers of </w:t>
      </w:r>
      <w:r w:rsidR="004E4DA2">
        <w:t>subjects exposed to t</w:t>
      </w:r>
      <w:r w:rsidRPr="003F3599">
        <w:t xml:space="preserve">afenoquine </w:t>
      </w:r>
      <w:r w:rsidR="004E4DA2">
        <w:t>short-t</w:t>
      </w:r>
      <w:r w:rsidRPr="003F3599">
        <w:t xml:space="preserve">erm </w:t>
      </w:r>
      <w:r w:rsidR="004E4DA2">
        <w:t>e</w:t>
      </w:r>
      <w:r w:rsidRPr="003F3599">
        <w:t xml:space="preserve">xposure </w:t>
      </w:r>
      <w:r w:rsidR="004E4DA2">
        <w:t>d</w:t>
      </w:r>
      <w:r w:rsidRPr="003F3599">
        <w:t>ataset</w:t>
      </w:r>
      <w:bookmarkEnd w:id="183"/>
      <w:bookmarkEnd w:id="184"/>
    </w:p>
    <w:p w14:paraId="3D39D5BB" w14:textId="77777777" w:rsidR="00730E34" w:rsidRDefault="004E4DA2" w:rsidP="00730E34">
      <w:r>
        <w:rPr>
          <w:noProof/>
          <w:lang w:eastAsia="en-AU"/>
        </w:rPr>
        <w:drawing>
          <wp:inline distT="0" distB="0" distL="0" distR="0" wp14:anchorId="7E784367" wp14:editId="466F5B01">
            <wp:extent cx="4385102" cy="3718112"/>
            <wp:effectExtent l="0" t="0" r="0" b="0"/>
            <wp:docPr id="33" name="Picture 33" descr="Numbers of Subjects Exposed to Tafenoquine Short-term Exposur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89901" cy="3722181"/>
                    </a:xfrm>
                    <a:prstGeom prst="rect">
                      <a:avLst/>
                    </a:prstGeom>
                  </pic:spPr>
                </pic:pic>
              </a:graphicData>
            </a:graphic>
          </wp:inline>
        </w:drawing>
      </w:r>
    </w:p>
    <w:p w14:paraId="6EC94830" w14:textId="24BF448F" w:rsidR="00730E34" w:rsidRDefault="00730E34" w:rsidP="004E4DA2">
      <w:pPr>
        <w:pStyle w:val="TableTitle"/>
      </w:pPr>
      <w:r>
        <w:lastRenderedPageBreak/>
        <w:t xml:space="preserve">Table </w:t>
      </w:r>
      <w:r w:rsidR="000F546D">
        <w:t>20</w:t>
      </w:r>
      <w:r w:rsidR="004E4DA2">
        <w:t>:</w:t>
      </w:r>
      <w:r>
        <w:t xml:space="preserve"> </w:t>
      </w:r>
      <w:r w:rsidRPr="003F3599">
        <w:t xml:space="preserve">Short-term </w:t>
      </w:r>
      <w:r w:rsidR="004E4DA2">
        <w:t>s</w:t>
      </w:r>
      <w:r w:rsidRPr="003F3599">
        <w:t xml:space="preserve">tudies </w:t>
      </w:r>
      <w:r w:rsidR="004E4DA2">
        <w:t>t</w:t>
      </w:r>
      <w:r w:rsidRPr="003F3599">
        <w:t xml:space="preserve">afenoquine </w:t>
      </w:r>
      <w:r w:rsidR="004E4DA2">
        <w:t>d</w:t>
      </w:r>
      <w:r w:rsidRPr="003F3599">
        <w:t xml:space="preserve">rug </w:t>
      </w:r>
      <w:r w:rsidR="004E4DA2">
        <w:t>e</w:t>
      </w:r>
      <w:r w:rsidRPr="003F3599">
        <w:t>xposure</w:t>
      </w:r>
    </w:p>
    <w:p w14:paraId="00649692" w14:textId="77777777" w:rsidR="00E602A7" w:rsidRDefault="00730E34" w:rsidP="00E602A7">
      <w:r w:rsidRPr="00E04FA0">
        <w:rPr>
          <w:noProof/>
          <w:lang w:eastAsia="en-AU"/>
        </w:rPr>
        <w:drawing>
          <wp:inline distT="0" distB="0" distL="0" distR="0" wp14:anchorId="3C613B57" wp14:editId="4C90339B">
            <wp:extent cx="5002306" cy="2586692"/>
            <wp:effectExtent l="0" t="0" r="8255" b="4445"/>
            <wp:docPr id="69" name="Picture 69" descr="Short-term Studies Tafenoquine Drug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010557" cy="2590958"/>
                    </a:xfrm>
                    <a:prstGeom prst="rect">
                      <a:avLst/>
                    </a:prstGeom>
                    <a:noFill/>
                    <a:ln>
                      <a:noFill/>
                    </a:ln>
                  </pic:spPr>
                </pic:pic>
              </a:graphicData>
            </a:graphic>
          </wp:inline>
        </w:drawing>
      </w:r>
      <w:bookmarkStart w:id="185" w:name="_Ref501291566"/>
      <w:bookmarkStart w:id="186" w:name="_Toc504229470"/>
      <w:bookmarkStart w:id="187" w:name="_Toc501293721"/>
    </w:p>
    <w:p w14:paraId="06AC9166" w14:textId="77777777" w:rsidR="003C1292" w:rsidRDefault="00730E34" w:rsidP="00E602A7">
      <w:pPr>
        <w:pStyle w:val="TableTitle"/>
        <w:keepNext w:val="0"/>
      </w:pPr>
      <w:r>
        <w:t xml:space="preserve">Table </w:t>
      </w:r>
      <w:r w:rsidR="000D2A48">
        <w:t>2</w:t>
      </w:r>
      <w:r w:rsidR="00B52F8D">
        <w:t>1</w:t>
      </w:r>
      <w:r w:rsidR="004E4DA2">
        <w:t>:</w:t>
      </w:r>
      <w:bookmarkEnd w:id="185"/>
      <w:r>
        <w:t xml:space="preserve"> </w:t>
      </w:r>
      <w:r w:rsidR="000F546D">
        <w:t>Adverse events (</w:t>
      </w:r>
      <w:r w:rsidRPr="003F3599">
        <w:t>AE</w:t>
      </w:r>
      <w:r w:rsidR="000F546D">
        <w:t>)</w:t>
      </w:r>
      <w:r w:rsidRPr="003F3599">
        <w:t xml:space="preserve"> reported in the short term used studies</w:t>
      </w:r>
    </w:p>
    <w:p w14:paraId="3D9F8996" w14:textId="2552996C" w:rsidR="00522E90" w:rsidRDefault="00730E34" w:rsidP="003C1292">
      <w:r w:rsidRPr="00E04FA0">
        <w:rPr>
          <w:noProof/>
          <w:lang w:eastAsia="en-AU"/>
        </w:rPr>
        <w:drawing>
          <wp:inline distT="0" distB="0" distL="0" distR="0" wp14:anchorId="02964026" wp14:editId="6752613A">
            <wp:extent cx="3634858" cy="3381936"/>
            <wp:effectExtent l="0" t="0" r="3810" b="9525"/>
            <wp:docPr id="67" name="Picture 67" descr="AEs reported in the short term us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646829" cy="3393074"/>
                    </a:xfrm>
                    <a:prstGeom prst="rect">
                      <a:avLst/>
                    </a:prstGeom>
                    <a:noFill/>
                    <a:ln>
                      <a:noFill/>
                    </a:ln>
                  </pic:spPr>
                </pic:pic>
              </a:graphicData>
            </a:graphic>
          </wp:inline>
        </w:drawing>
      </w:r>
      <w:bookmarkEnd w:id="186"/>
      <w:bookmarkEnd w:id="187"/>
    </w:p>
    <w:p w14:paraId="5B719726" w14:textId="77777777" w:rsidR="003C1292" w:rsidRDefault="00522E90" w:rsidP="003C1292">
      <w:pPr>
        <w:pStyle w:val="TableTitle"/>
      </w:pPr>
      <w:r>
        <w:lastRenderedPageBreak/>
        <w:t xml:space="preserve">Table </w:t>
      </w:r>
      <w:r w:rsidR="000D2A48">
        <w:t>2</w:t>
      </w:r>
      <w:r w:rsidR="00B52F8D">
        <w:t>1</w:t>
      </w:r>
      <w:r>
        <w:t xml:space="preserve"> </w:t>
      </w:r>
      <w:r w:rsidR="000F546D">
        <w:t>(</w:t>
      </w:r>
      <w:r>
        <w:t>continued</w:t>
      </w:r>
      <w:r w:rsidR="000F546D">
        <w:t>)</w:t>
      </w:r>
      <w:r>
        <w:t xml:space="preserve">: </w:t>
      </w:r>
      <w:r w:rsidR="000F546D">
        <w:t>Adverse events</w:t>
      </w:r>
      <w:r w:rsidRPr="003F3599">
        <w:t xml:space="preserve"> reported in the short term used studies</w:t>
      </w:r>
    </w:p>
    <w:p w14:paraId="2C6E136A" w14:textId="2FC07DF3" w:rsidR="00730E34" w:rsidRDefault="00730E34" w:rsidP="003C1292">
      <w:r w:rsidRPr="00E04FA0">
        <w:rPr>
          <w:noProof/>
          <w:lang w:eastAsia="en-AU"/>
        </w:rPr>
        <w:drawing>
          <wp:inline distT="0" distB="0" distL="0" distR="0" wp14:anchorId="6083D243" wp14:editId="4814A7AE">
            <wp:extent cx="4064000" cy="5098323"/>
            <wp:effectExtent l="0" t="0" r="0" b="7620"/>
            <wp:docPr id="68" name="Picture 68" descr="Table 21 (continued): Adverse events reported in the short term us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064000" cy="5098323"/>
                    </a:xfrm>
                    <a:prstGeom prst="rect">
                      <a:avLst/>
                    </a:prstGeom>
                    <a:noFill/>
                    <a:ln>
                      <a:noFill/>
                    </a:ln>
                  </pic:spPr>
                </pic:pic>
              </a:graphicData>
            </a:graphic>
          </wp:inline>
        </w:drawing>
      </w:r>
    </w:p>
    <w:p w14:paraId="15EB8DC5" w14:textId="44C7BDC5" w:rsidR="00730E34" w:rsidRPr="003F3599" w:rsidRDefault="00730E34" w:rsidP="00522E90">
      <w:pPr>
        <w:pStyle w:val="TableTitle"/>
      </w:pPr>
      <w:bookmarkStart w:id="188" w:name="_Ref501291877"/>
      <w:bookmarkStart w:id="189" w:name="_Toc504229471"/>
      <w:bookmarkStart w:id="190" w:name="_Toc501293722"/>
      <w:r>
        <w:t xml:space="preserve">Table </w:t>
      </w:r>
      <w:bookmarkEnd w:id="188"/>
      <w:r w:rsidR="000D2A48">
        <w:t>2</w:t>
      </w:r>
      <w:r w:rsidR="00B52F8D">
        <w:t>2</w:t>
      </w:r>
      <w:r w:rsidR="00522E90">
        <w:t>:</w:t>
      </w:r>
      <w:r>
        <w:t xml:space="preserve"> </w:t>
      </w:r>
      <w:r w:rsidRPr="003F3599">
        <w:t xml:space="preserve">Drug </w:t>
      </w:r>
      <w:r w:rsidR="00522E90">
        <w:t>e</w:t>
      </w:r>
      <w:r w:rsidRPr="003F3599">
        <w:t xml:space="preserve">xposure in </w:t>
      </w:r>
      <w:r w:rsidR="00522E90">
        <w:t>s</w:t>
      </w:r>
      <w:r w:rsidRPr="003F3599">
        <w:t xml:space="preserve">tudies that </w:t>
      </w:r>
      <w:r w:rsidR="00522E90">
        <w:t>utilis</w:t>
      </w:r>
      <w:r w:rsidRPr="003F3599">
        <w:t xml:space="preserve">ed the </w:t>
      </w:r>
      <w:r w:rsidR="00522E90">
        <w:t>t</w:t>
      </w:r>
      <w:r w:rsidRPr="003F3599">
        <w:t>afenoquine ACR</w:t>
      </w:r>
      <w:r w:rsidR="000F546D">
        <w:t>;</w:t>
      </w:r>
      <w:r w:rsidR="000F546D" w:rsidRPr="003F3599">
        <w:t xml:space="preserve"> </w:t>
      </w:r>
      <w:r w:rsidR="00522E90">
        <w:t>t</w:t>
      </w:r>
      <w:r w:rsidRPr="003F3599">
        <w:t xml:space="preserve">afenoquine ACR, </w:t>
      </w:r>
      <w:r w:rsidR="00522E90">
        <w:t>p</w:t>
      </w:r>
      <w:r w:rsidRPr="003F3599">
        <w:t xml:space="preserve">lacebo, and </w:t>
      </w:r>
      <w:r w:rsidR="00522E90">
        <w:t>m</w:t>
      </w:r>
      <w:r w:rsidRPr="003F3599">
        <w:t xml:space="preserve">efloquine </w:t>
      </w:r>
      <w:r w:rsidR="00522E90">
        <w:t>g</w:t>
      </w:r>
      <w:r w:rsidRPr="003F3599">
        <w:t>roups</w:t>
      </w:r>
      <w:bookmarkEnd w:id="189"/>
      <w:bookmarkEnd w:id="190"/>
    </w:p>
    <w:p w14:paraId="08AA8441" w14:textId="77777777" w:rsidR="00730E34" w:rsidRDefault="00730E34" w:rsidP="00730E34">
      <w:r w:rsidRPr="00E04FA0">
        <w:rPr>
          <w:noProof/>
          <w:lang w:eastAsia="en-AU"/>
        </w:rPr>
        <w:drawing>
          <wp:inline distT="0" distB="0" distL="0" distR="0" wp14:anchorId="205905CA" wp14:editId="123FDD6B">
            <wp:extent cx="4400121" cy="2317560"/>
            <wp:effectExtent l="0" t="0" r="635" b="6985"/>
            <wp:docPr id="70" name="Picture 70" descr="Drug exposure in studies that utilised the tafenoquine ACR: tafenoquine ACR, placebo, and mefloquin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403750" cy="2319471"/>
                    </a:xfrm>
                    <a:prstGeom prst="rect">
                      <a:avLst/>
                    </a:prstGeom>
                    <a:noFill/>
                    <a:ln>
                      <a:noFill/>
                    </a:ln>
                  </pic:spPr>
                </pic:pic>
              </a:graphicData>
            </a:graphic>
          </wp:inline>
        </w:drawing>
      </w:r>
    </w:p>
    <w:p w14:paraId="10A0623F" w14:textId="77777777" w:rsidR="00605AD4" w:rsidRDefault="00605AD4" w:rsidP="00605AD4">
      <w:pPr>
        <w:pStyle w:val="Heading4"/>
      </w:pPr>
      <w:r w:rsidRPr="00605AD4">
        <w:lastRenderedPageBreak/>
        <w:t>Safety issues with the potential for major regulatory impact</w:t>
      </w:r>
    </w:p>
    <w:p w14:paraId="73E5B9F0" w14:textId="323A222A" w:rsidR="00836864" w:rsidRDefault="00836864" w:rsidP="00836864">
      <w:pPr>
        <w:pStyle w:val="Heading5"/>
      </w:pPr>
      <w:r>
        <w:t xml:space="preserve">Geriatric </w:t>
      </w:r>
      <w:r w:rsidR="003C1292">
        <w:t>s</w:t>
      </w:r>
      <w:r>
        <w:t>ubjects</w:t>
      </w:r>
    </w:p>
    <w:p w14:paraId="4F1B2F16" w14:textId="77777777" w:rsidR="00836864" w:rsidRDefault="00836864" w:rsidP="00836864">
      <w:r>
        <w:t xml:space="preserve">Only one subject over age 65 received tafenoquine in any of the sponsor’s clinical trials. The </w:t>
      </w:r>
      <w:r w:rsidR="004C7147">
        <w:t>subject</w:t>
      </w:r>
      <w:r>
        <w:t xml:space="preserve"> successfully completed the study and experienced no adverse events.</w:t>
      </w:r>
    </w:p>
    <w:p w14:paraId="60EA456B" w14:textId="7EF18E64" w:rsidR="00836864" w:rsidRDefault="00836864" w:rsidP="004C7147">
      <w:pPr>
        <w:pStyle w:val="Heading5"/>
      </w:pPr>
      <w:r>
        <w:t>Race/</w:t>
      </w:r>
      <w:r w:rsidR="003C1292">
        <w:t>e</w:t>
      </w:r>
      <w:r>
        <w:t>thnicity</w:t>
      </w:r>
    </w:p>
    <w:p w14:paraId="1675FF54" w14:textId="25570E22" w:rsidR="00836864" w:rsidRDefault="00836864" w:rsidP="00836864">
      <w:r>
        <w:t>Tafenoquine safety data were not segregated by race/ethnicity</w:t>
      </w:r>
      <w:r w:rsidR="0008597D">
        <w:t xml:space="preserve"> as r</w:t>
      </w:r>
      <w:r w:rsidR="009349D2">
        <w:t>ace and ethnicity are not relevant for preventing malaria.</w:t>
      </w:r>
    </w:p>
    <w:p w14:paraId="47D0EABE" w14:textId="1DA071C0" w:rsidR="00836864" w:rsidRDefault="00836864" w:rsidP="004C7147">
      <w:pPr>
        <w:pStyle w:val="Heading5"/>
      </w:pPr>
      <w:r>
        <w:t>Glucose-6-</w:t>
      </w:r>
      <w:r w:rsidR="000F546D">
        <w:t xml:space="preserve">phosphate dehydrogenase </w:t>
      </w:r>
      <w:r>
        <w:t xml:space="preserve">(G6PD) </w:t>
      </w:r>
      <w:r w:rsidR="003D2B33">
        <w:t>d</w:t>
      </w:r>
      <w:r>
        <w:t>eficiency</w:t>
      </w:r>
    </w:p>
    <w:p w14:paraId="34CA61D3" w14:textId="0EAA9750" w:rsidR="00836864" w:rsidRDefault="00836864" w:rsidP="00836864">
      <w:r>
        <w:t>G6PD</w:t>
      </w:r>
      <w:r w:rsidR="003D2B33">
        <w:t xml:space="preserve"> </w:t>
      </w:r>
      <w:r>
        <w:t>deficient individuals are at risk of haemolysis when exposed to tafenoquine. Although almost all tafenoquine studies have excluded subjects with G6PD deficiency, 8</w:t>
      </w:r>
      <w:r w:rsidR="000F546D">
        <w:t> </w:t>
      </w:r>
      <w:r>
        <w:t>subjects with G6PD deficiency or other h</w:t>
      </w:r>
      <w:r w:rsidR="002522B4">
        <w:t>a</w:t>
      </w:r>
      <w:r>
        <w:t xml:space="preserve">emoglobinopathies were inadvertently recruited in 5 of the tafenoquine clinical trials and received tafenoquine regimens. Many of the subjects showed no signs or symptoms of haemolysis, and any who were symptomatic ultimately recovered, typically after receiving outpatient oral treatments. Only one subject (Study 043) required </w:t>
      </w:r>
      <w:r w:rsidR="000F546D">
        <w:t xml:space="preserve">hospitalisation </w:t>
      </w:r>
      <w:r>
        <w:t>and transfusions. This subject had recei</w:t>
      </w:r>
      <w:r w:rsidR="004C7147">
        <w:t>ved 400 mg tafenoquine in the 3 d</w:t>
      </w:r>
      <w:r>
        <w:t xml:space="preserve">ay load-only group, a dose that is twice that of the 200 mg loading dose used in the </w:t>
      </w:r>
      <w:r w:rsidR="000F546D">
        <w:t xml:space="preserve">tafenoquine </w:t>
      </w:r>
      <w:r>
        <w:t>ACR. Some of these subjects had initial negative genotypic testing for G6PD and were phenotypically negative. The only study specifically designed to investigate the use of tafenoquine in people with G6PD (</w:t>
      </w:r>
      <w:r w:rsidR="000F546D">
        <w:t xml:space="preserve">Study </w:t>
      </w:r>
      <w:r>
        <w:t>001) did not recruit and was abandoned.</w:t>
      </w:r>
    </w:p>
    <w:p w14:paraId="5317BD95" w14:textId="417BA1DE" w:rsidR="00836864" w:rsidRDefault="00836864" w:rsidP="004C7147">
      <w:pPr>
        <w:pStyle w:val="Heading5"/>
      </w:pPr>
      <w:r>
        <w:t xml:space="preserve">Psychiatric </w:t>
      </w:r>
      <w:r w:rsidR="000F546D">
        <w:t>history</w:t>
      </w:r>
    </w:p>
    <w:p w14:paraId="50D0E67A" w14:textId="21C741A5" w:rsidR="00836864" w:rsidRDefault="00836864" w:rsidP="00836864">
      <w:r>
        <w:t xml:space="preserve">Early clinical trials of tafenoquine did not exclude subjects based on previous psychiatric history. However, once it was identified that mefloquine carried a risk for psychiatric AEs any tafenoquine trial with a mefloquine comparator included a psychiatric exclusion. There were 6 subjects (Table </w:t>
      </w:r>
      <w:r w:rsidR="000D2A48">
        <w:t>2</w:t>
      </w:r>
      <w:r w:rsidR="00B52F8D">
        <w:t>1</w:t>
      </w:r>
      <w:r>
        <w:t>) with known or suspected psychiatric history at baseline among 21 clinical trials of tafenoquine prior to 2013. Four of these subjects experienced neuropsychiatric AEs, while two subjects did not. In 3 of these 4 cases the AE was considered to be either unrelated or remotely related to tafenoquine. One episod</w:t>
      </w:r>
      <w:r w:rsidR="00885682">
        <w:t>e of psychosis was considered ‘</w:t>
      </w:r>
      <w:r>
        <w:t>possibly</w:t>
      </w:r>
      <w:r w:rsidR="00885682">
        <w:t>’</w:t>
      </w:r>
      <w:r>
        <w:t xml:space="preserve"> related to tafenoquine, although the subject had an undisclosed history of two prior psychiatric admissions.</w:t>
      </w:r>
    </w:p>
    <w:p w14:paraId="7926BEFE" w14:textId="28D07453" w:rsidR="00836864" w:rsidRDefault="00836864" w:rsidP="004C7147">
      <w:pPr>
        <w:pStyle w:val="Heading5"/>
      </w:pPr>
      <w:r>
        <w:t xml:space="preserve">Effect of </w:t>
      </w:r>
      <w:r w:rsidR="000F546D">
        <w:t>military deployment</w:t>
      </w:r>
    </w:p>
    <w:p w14:paraId="5E7A0CF5" w14:textId="77777777" w:rsidR="00836864" w:rsidRPr="00836864" w:rsidRDefault="00836864" w:rsidP="00836864">
      <w:r>
        <w:t xml:space="preserve">For specific AEs, the increased incidence in deployed </w:t>
      </w:r>
      <w:r w:rsidR="003915F7">
        <w:t>Australian defence force (</w:t>
      </w:r>
      <w:r>
        <w:t>ADF</w:t>
      </w:r>
      <w:r w:rsidR="003915F7">
        <w:t>)</w:t>
      </w:r>
      <w:r>
        <w:t xml:space="preserve"> subjects v</w:t>
      </w:r>
      <w:r w:rsidR="004C7147">
        <w:t>ersu</w:t>
      </w:r>
      <w:r>
        <w:t>s non-deployed subjects was evident for: motion sickness (4.3%</w:t>
      </w:r>
      <w:r w:rsidR="004C7147">
        <w:t xml:space="preserve"> versus </w:t>
      </w:r>
      <w:r>
        <w:t>0%); gastroenteritis (37.2%</w:t>
      </w:r>
      <w:r w:rsidR="004C7147">
        <w:t xml:space="preserve"> versus </w:t>
      </w:r>
      <w:r>
        <w:t>7.8%), nasopharyngitis (19.7%</w:t>
      </w:r>
      <w:r w:rsidR="004C7147">
        <w:t xml:space="preserve"> versus </w:t>
      </w:r>
      <w:r>
        <w:t>3.3%), tinea pedis (4.9%</w:t>
      </w:r>
      <w:r w:rsidR="004C7147">
        <w:t xml:space="preserve"> versus </w:t>
      </w:r>
      <w:r>
        <w:t>0%), diarrh</w:t>
      </w:r>
      <w:r w:rsidR="002522B4">
        <w:t>o</w:t>
      </w:r>
      <w:r>
        <w:t>ea (18.1%</w:t>
      </w:r>
      <w:r w:rsidR="004C7147">
        <w:t xml:space="preserve"> versus </w:t>
      </w:r>
      <w:r>
        <w:t>4.8%), soft tissue injury (12.2%</w:t>
      </w:r>
      <w:r w:rsidR="004C7147">
        <w:t xml:space="preserve"> versus </w:t>
      </w:r>
      <w:r>
        <w:t>0.6%), joint injury (3.7%</w:t>
      </w:r>
      <w:r w:rsidR="004C7147">
        <w:t xml:space="preserve"> versus </w:t>
      </w:r>
      <w:r>
        <w:t>0.9%), laceration (5.9%</w:t>
      </w:r>
      <w:r w:rsidR="004C7147">
        <w:t xml:space="preserve"> versus </w:t>
      </w:r>
      <w:r>
        <w:t>2.4%), joint injury (3.7%</w:t>
      </w:r>
      <w:r w:rsidR="004C7147">
        <w:t xml:space="preserve"> versus </w:t>
      </w:r>
      <w:r>
        <w:t>0.9%), muscle strain (2.8%</w:t>
      </w:r>
      <w:r w:rsidR="004C7147">
        <w:t xml:space="preserve"> versus </w:t>
      </w:r>
      <w:r>
        <w:t>0.9%), arthropod bite (2.4%</w:t>
      </w:r>
      <w:r w:rsidR="004C7147">
        <w:t xml:space="preserve"> versus </w:t>
      </w:r>
      <w:r>
        <w:t>0.6%), heat illness (2.2%</w:t>
      </w:r>
      <w:r w:rsidR="004C7147">
        <w:t xml:space="preserve"> versus </w:t>
      </w:r>
      <w:r>
        <w:t>0%), thermal burn (1.8%</w:t>
      </w:r>
      <w:r w:rsidR="004C7147">
        <w:t xml:space="preserve"> versus </w:t>
      </w:r>
      <w:r>
        <w:t>0.3%), insomnia (1.6%</w:t>
      </w:r>
      <w:r w:rsidR="004C7147">
        <w:t xml:space="preserve"> versus </w:t>
      </w:r>
      <w:r>
        <w:t>0.6%), and abnormal dreams or nightmares (1.6%</w:t>
      </w:r>
      <w:r w:rsidR="004C7147">
        <w:t xml:space="preserve"> versus </w:t>
      </w:r>
      <w:r>
        <w:t xml:space="preserve">0%). Overall, the AE profile of deployed ADF subjects who received the </w:t>
      </w:r>
      <w:r w:rsidR="004C7147">
        <w:t>t</w:t>
      </w:r>
      <w:r>
        <w:t>afenoquine ACR reflected the impacts of the following extrinsic factors: the subjects’ susceptibility to travel</w:t>
      </w:r>
      <w:r w:rsidR="004C7147">
        <w:t>l</w:t>
      </w:r>
      <w:r>
        <w:t>ers’ illnesses (gastroenteritis, diarrh</w:t>
      </w:r>
      <w:r w:rsidR="002522B4">
        <w:t>o</w:t>
      </w:r>
      <w:r>
        <w:t>ea, nasopharyngitis); the jungle setting (tinea pedis, heat illness, arthropod bite); physical encounters with a hostile enemy (soft tissue injury, laceration, joint injury, muscle strain, thermal burn), and the stress of peacekeeping operations (insomnia, abnormal dreams, nightmares).These findings are consistent with evidence from other studies in military populations, that showed that the adverse effect profiles of antimalarial drugs were negatively impacted by deployment, especially combat deployment.</w:t>
      </w:r>
    </w:p>
    <w:p w14:paraId="0B50086C" w14:textId="77777777" w:rsidR="00605AD4" w:rsidRDefault="00605AD4" w:rsidP="00605AD4">
      <w:pPr>
        <w:pStyle w:val="Heading4"/>
      </w:pPr>
      <w:r w:rsidRPr="00605AD4">
        <w:lastRenderedPageBreak/>
        <w:t>Postmarketing data</w:t>
      </w:r>
    </w:p>
    <w:p w14:paraId="185FBC8D" w14:textId="77777777" w:rsidR="00743697" w:rsidRDefault="00743697" w:rsidP="00743697">
      <w:pPr>
        <w:rPr>
          <w:lang w:eastAsia="ja-JP"/>
        </w:rPr>
      </w:pPr>
      <w:r>
        <w:rPr>
          <w:lang w:eastAsia="ja-JP"/>
        </w:rPr>
        <w:t>None reported.</w:t>
      </w:r>
    </w:p>
    <w:p w14:paraId="2BD1323C" w14:textId="77777777" w:rsidR="00605AD4" w:rsidRPr="00605AD4" w:rsidRDefault="00605AD4" w:rsidP="00605AD4">
      <w:pPr>
        <w:pStyle w:val="Heading4"/>
      </w:pPr>
      <w:r w:rsidRPr="00605AD4">
        <w:t>Evaluator’s conclusions on safety</w:t>
      </w:r>
    </w:p>
    <w:p w14:paraId="1380E671" w14:textId="1C144661" w:rsidR="00743697" w:rsidRDefault="00743697" w:rsidP="00743697">
      <w:pPr>
        <w:rPr>
          <w:lang w:eastAsia="ja-JP"/>
        </w:rPr>
      </w:pPr>
      <w:r>
        <w:rPr>
          <w:lang w:eastAsia="ja-JP"/>
        </w:rPr>
        <w:t>From the safety data provided it appears that the most common side effects seen in the group treated with tafenoquine (compared to placebo) were gastrointestinal</w:t>
      </w:r>
      <w:r w:rsidR="006F2C7A" w:rsidRPr="006F2C7A">
        <w:rPr>
          <w:lang w:eastAsia="ja-JP"/>
        </w:rPr>
        <w:t>-</w:t>
      </w:r>
      <w:r w:rsidRPr="006F65BA">
        <w:rPr>
          <w:lang w:eastAsia="ja-JP"/>
        </w:rPr>
        <w:t>diarrh</w:t>
      </w:r>
      <w:r w:rsidR="004C7147">
        <w:rPr>
          <w:lang w:eastAsia="ja-JP"/>
        </w:rPr>
        <w:t>o</w:t>
      </w:r>
      <w:r w:rsidRPr="006F65BA">
        <w:rPr>
          <w:lang w:eastAsia="ja-JP"/>
        </w:rPr>
        <w:t xml:space="preserve">ea, </w:t>
      </w:r>
      <w:r w:rsidR="004C7147" w:rsidRPr="004C7147">
        <w:rPr>
          <w:lang w:eastAsia="ja-JP"/>
        </w:rPr>
        <w:t>Gastro</w:t>
      </w:r>
      <w:r w:rsidR="00885682">
        <w:rPr>
          <w:lang w:eastAsia="ja-JP"/>
        </w:rPr>
        <w:t xml:space="preserve"> </w:t>
      </w:r>
      <w:r w:rsidR="004C7147" w:rsidRPr="004C7147">
        <w:rPr>
          <w:lang w:eastAsia="ja-JP"/>
        </w:rPr>
        <w:t xml:space="preserve">oesophageal reflux disease </w:t>
      </w:r>
      <w:r w:rsidR="004C7147">
        <w:rPr>
          <w:lang w:eastAsia="ja-JP"/>
        </w:rPr>
        <w:t>(</w:t>
      </w:r>
      <w:r w:rsidRPr="006F65BA">
        <w:rPr>
          <w:lang w:eastAsia="ja-JP"/>
        </w:rPr>
        <w:t>G</w:t>
      </w:r>
      <w:r>
        <w:rPr>
          <w:lang w:eastAsia="ja-JP"/>
        </w:rPr>
        <w:t>O</w:t>
      </w:r>
      <w:r w:rsidRPr="006F65BA">
        <w:rPr>
          <w:lang w:eastAsia="ja-JP"/>
        </w:rPr>
        <w:t>RD</w:t>
      </w:r>
      <w:r w:rsidR="004C7147">
        <w:rPr>
          <w:lang w:eastAsia="ja-JP"/>
        </w:rPr>
        <w:t>)</w:t>
      </w:r>
      <w:r w:rsidRPr="006F65BA">
        <w:rPr>
          <w:lang w:eastAsia="ja-JP"/>
        </w:rPr>
        <w:t>, vomiting,</w:t>
      </w:r>
      <w:r>
        <w:rPr>
          <w:lang w:eastAsia="ja-JP"/>
        </w:rPr>
        <w:t xml:space="preserve"> which did not require drug discontinuation. Other AEs reported were unlikely to be related</w:t>
      </w:r>
      <w:r w:rsidRPr="006F65BA">
        <w:rPr>
          <w:lang w:eastAsia="ja-JP"/>
        </w:rPr>
        <w:t xml:space="preserve"> </w:t>
      </w:r>
      <w:r>
        <w:rPr>
          <w:lang w:eastAsia="ja-JP"/>
        </w:rPr>
        <w:t xml:space="preserve">to study drug and more likely to be related to the conditions/context of the studies, such as </w:t>
      </w:r>
      <w:r w:rsidRPr="006F65BA">
        <w:rPr>
          <w:lang w:eastAsia="ja-JP"/>
        </w:rPr>
        <w:t xml:space="preserve">ear pain, motion sickness, </w:t>
      </w:r>
      <w:r w:rsidR="00B52F8D">
        <w:rPr>
          <w:lang w:eastAsia="ja-JP"/>
        </w:rPr>
        <w:t xml:space="preserve">vortex </w:t>
      </w:r>
      <w:r w:rsidRPr="006F65BA">
        <w:rPr>
          <w:lang w:eastAsia="ja-JP"/>
        </w:rPr>
        <w:t>keratopathy</w:t>
      </w:r>
      <w:r w:rsidR="00B52F8D">
        <w:rPr>
          <w:lang w:eastAsia="ja-JP"/>
        </w:rPr>
        <w:t xml:space="preserve"> (corneal deposits)</w:t>
      </w:r>
      <w:r w:rsidRPr="006F65BA">
        <w:rPr>
          <w:lang w:eastAsia="ja-JP"/>
        </w:rPr>
        <w:t xml:space="preserve"> chest pain, seasonal allergy, body tinea, gastroenteritis, impetigo, nasopharyngitis</w:t>
      </w:r>
      <w:r>
        <w:rPr>
          <w:lang w:eastAsia="ja-JP"/>
        </w:rPr>
        <w:t>, back pain. Gastro-intestinal side</w:t>
      </w:r>
      <w:r w:rsidR="004C7147">
        <w:rPr>
          <w:lang w:eastAsia="ja-JP"/>
        </w:rPr>
        <w:t xml:space="preserve"> </w:t>
      </w:r>
      <w:r>
        <w:rPr>
          <w:lang w:eastAsia="ja-JP"/>
        </w:rPr>
        <w:t>effects appear to be the most common treatment related AEs and are more common with higher doses.</w:t>
      </w:r>
    </w:p>
    <w:p w14:paraId="53152AD5" w14:textId="06A7EAB5" w:rsidR="00743697" w:rsidRDefault="00743697" w:rsidP="00743697">
      <w:pPr>
        <w:rPr>
          <w:lang w:eastAsia="ja-JP"/>
        </w:rPr>
      </w:pPr>
      <w:r>
        <w:rPr>
          <w:lang w:eastAsia="ja-JP"/>
        </w:rPr>
        <w:t>Ocular changes, particularly asymptomatic</w:t>
      </w:r>
      <w:r w:rsidR="00B52F8D">
        <w:rPr>
          <w:lang w:eastAsia="ja-JP"/>
        </w:rPr>
        <w:t xml:space="preserve">, vortex </w:t>
      </w:r>
      <w:r>
        <w:rPr>
          <w:lang w:eastAsia="ja-JP"/>
        </w:rPr>
        <w:t>keratopathy</w:t>
      </w:r>
      <w:r w:rsidR="000F546D">
        <w:rPr>
          <w:lang w:eastAsia="ja-JP"/>
        </w:rPr>
        <w:t xml:space="preserve"> </w:t>
      </w:r>
      <w:r w:rsidR="00B52F8D">
        <w:rPr>
          <w:lang w:eastAsia="ja-JP"/>
        </w:rPr>
        <w:t>(corneal deposits)</w:t>
      </w:r>
      <w:r>
        <w:rPr>
          <w:lang w:eastAsia="ja-JP"/>
        </w:rPr>
        <w:t>, were also seen in Study 057, but were not serious and resolved.</w:t>
      </w:r>
    </w:p>
    <w:p w14:paraId="6E19068B" w14:textId="72E3C62B" w:rsidR="00743697" w:rsidRDefault="00743697" w:rsidP="00743697">
      <w:pPr>
        <w:rPr>
          <w:lang w:eastAsia="ja-JP"/>
        </w:rPr>
      </w:pPr>
      <w:r>
        <w:rPr>
          <w:lang w:eastAsia="ja-JP"/>
        </w:rPr>
        <w:t xml:space="preserve">The biggest potential safety issue, as with </w:t>
      </w:r>
      <w:r w:rsidR="00994561">
        <w:rPr>
          <w:lang w:eastAsia="ja-JP"/>
        </w:rPr>
        <w:t>primaquine</w:t>
      </w:r>
      <w:r>
        <w:rPr>
          <w:lang w:eastAsia="ja-JP"/>
        </w:rPr>
        <w:t>, seems to be the potential for haemolytic crisis in patients with G6P</w:t>
      </w:r>
      <w:r w:rsidR="000F546D">
        <w:rPr>
          <w:lang w:eastAsia="ja-JP"/>
        </w:rPr>
        <w:t>D</w:t>
      </w:r>
      <w:r>
        <w:rPr>
          <w:lang w:eastAsia="ja-JP"/>
        </w:rPr>
        <w:t xml:space="preserve"> deficiency. This group was largely excluded from these studies but the use of tafenoquine in people genetically more likely to have this deficiency. Neuropsychiatric adverse events were recorded in a small number of subjects (mainly in Study 033) but most were not thought to be related to study drug. There were no other red flag AEs but the safety data group is not very large. </w:t>
      </w:r>
    </w:p>
    <w:p w14:paraId="511CE22E" w14:textId="77777777" w:rsidR="00743697" w:rsidRDefault="00743697" w:rsidP="00743697">
      <w:pPr>
        <w:rPr>
          <w:lang w:eastAsia="ja-JP"/>
        </w:rPr>
      </w:pPr>
      <w:r>
        <w:rPr>
          <w:lang w:eastAsia="ja-JP"/>
        </w:rPr>
        <w:t>Post-marketing safety data will be important and there is none available yet. There is no data for more than 26 weeks of use.</w:t>
      </w:r>
    </w:p>
    <w:p w14:paraId="5C1DD6E6" w14:textId="5BF1C24E" w:rsidR="00605AD4" w:rsidRPr="00605AD4" w:rsidRDefault="00605AD4" w:rsidP="00605AD4">
      <w:pPr>
        <w:pStyle w:val="Heading3"/>
        <w:rPr>
          <w:rFonts w:eastAsia="Cambria"/>
        </w:rPr>
      </w:pPr>
      <w:bookmarkStart w:id="191" w:name="_Toc12348788"/>
      <w:r w:rsidRPr="00605AD4">
        <w:rPr>
          <w:rFonts w:eastAsia="Cambria"/>
        </w:rPr>
        <w:t xml:space="preserve">First </w:t>
      </w:r>
      <w:r w:rsidR="003C1292" w:rsidRPr="00605AD4">
        <w:rPr>
          <w:rFonts w:eastAsia="Cambria"/>
        </w:rPr>
        <w:t>round benefit-risk assessment</w:t>
      </w:r>
      <w:bookmarkEnd w:id="191"/>
    </w:p>
    <w:p w14:paraId="7FCA2DBC" w14:textId="77777777" w:rsidR="00743697" w:rsidRPr="00545B14" w:rsidRDefault="00743697" w:rsidP="00397241">
      <w:pPr>
        <w:pStyle w:val="Heading4"/>
      </w:pPr>
      <w:bookmarkStart w:id="192" w:name="_Toc236802592"/>
      <w:bookmarkStart w:id="193" w:name="_Toc241374331"/>
      <w:bookmarkStart w:id="194" w:name="_Ref272160836"/>
      <w:bookmarkStart w:id="195" w:name="_Toc272414693"/>
      <w:bookmarkStart w:id="196" w:name="_Toc290888557"/>
      <w:bookmarkStart w:id="197" w:name="_Toc416353772"/>
      <w:bookmarkStart w:id="198" w:name="_Toc421005314"/>
      <w:bookmarkStart w:id="199" w:name="_Toc432079185"/>
      <w:bookmarkStart w:id="200" w:name="_Toc432080758"/>
      <w:bookmarkStart w:id="201" w:name="_Toc504229392"/>
      <w:bookmarkStart w:id="202" w:name="_Toc501809166"/>
      <w:r w:rsidRPr="00545B14">
        <w:t xml:space="preserve">First round assessment of </w:t>
      </w:r>
      <w:r w:rsidRPr="000D5752">
        <w:t>benefits</w:t>
      </w:r>
      <w:bookmarkEnd w:id="192"/>
      <w:bookmarkEnd w:id="193"/>
      <w:bookmarkEnd w:id="194"/>
      <w:bookmarkEnd w:id="195"/>
      <w:bookmarkEnd w:id="196"/>
      <w:bookmarkEnd w:id="197"/>
      <w:bookmarkEnd w:id="198"/>
      <w:bookmarkEnd w:id="199"/>
      <w:bookmarkEnd w:id="200"/>
      <w:bookmarkEnd w:id="201"/>
      <w:bookmarkEnd w:id="202"/>
    </w:p>
    <w:p w14:paraId="0A4992FD" w14:textId="2736441A" w:rsidR="00743697" w:rsidRDefault="000D2A48" w:rsidP="00885682">
      <w:pPr>
        <w:pStyle w:val="TableTitle"/>
        <w:rPr>
          <w:lang w:eastAsia="ja-JP"/>
        </w:rPr>
      </w:pPr>
      <w:r>
        <w:rPr>
          <w:lang w:eastAsia="ja-JP"/>
        </w:rPr>
        <w:t>Table 2</w:t>
      </w:r>
      <w:r w:rsidR="00B52F8D">
        <w:rPr>
          <w:lang w:eastAsia="ja-JP"/>
        </w:rPr>
        <w:t>3</w:t>
      </w:r>
      <w:r w:rsidR="00885682">
        <w:rPr>
          <w:lang w:eastAsia="ja-JP"/>
        </w:rPr>
        <w:t>: Assessment of benefits</w:t>
      </w:r>
    </w:p>
    <w:tbl>
      <w:tblPr>
        <w:tblStyle w:val="TableGrid"/>
        <w:tblW w:w="0" w:type="auto"/>
        <w:tblInd w:w="108" w:type="dxa"/>
        <w:tblLook w:val="04A0" w:firstRow="1" w:lastRow="0" w:firstColumn="1" w:lastColumn="0" w:noHBand="0" w:noVBand="1"/>
      </w:tblPr>
      <w:tblGrid>
        <w:gridCol w:w="4408"/>
        <w:gridCol w:w="4204"/>
      </w:tblGrid>
      <w:tr w:rsidR="00743697" w:rsidRPr="00C37A1D" w14:paraId="55233290" w14:textId="77777777" w:rsidTr="00885682">
        <w:trPr>
          <w:cantSplit/>
          <w:tblHeader/>
        </w:trPr>
        <w:tc>
          <w:tcPr>
            <w:tcW w:w="8789" w:type="dxa"/>
            <w:gridSpan w:val="2"/>
            <w:shd w:val="clear" w:color="auto" w:fill="006DA7" w:themeFill="accent3"/>
          </w:tcPr>
          <w:p w14:paraId="4398B9F8" w14:textId="77777777" w:rsidR="00743697" w:rsidRPr="0013182D" w:rsidRDefault="00743697" w:rsidP="008C6323">
            <w:pPr>
              <w:rPr>
                <w:rFonts w:asciiTheme="minorHAnsi" w:hAnsiTheme="minorHAnsi"/>
                <w:b/>
                <w:color w:val="FFFFFF" w:themeColor="background1"/>
              </w:rPr>
            </w:pPr>
            <w:r w:rsidRPr="0013182D">
              <w:rPr>
                <w:rFonts w:asciiTheme="minorHAnsi" w:hAnsiTheme="minorHAnsi"/>
                <w:b/>
                <w:color w:val="FFFFFF" w:themeColor="background1"/>
              </w:rPr>
              <w:t>Indication</w:t>
            </w:r>
          </w:p>
        </w:tc>
      </w:tr>
      <w:tr w:rsidR="00743697" w:rsidRPr="00C37A1D" w14:paraId="0CFE6F09" w14:textId="77777777" w:rsidTr="00885682">
        <w:trPr>
          <w:cantSplit/>
          <w:tblHeader/>
        </w:trPr>
        <w:tc>
          <w:tcPr>
            <w:tcW w:w="4511" w:type="dxa"/>
            <w:shd w:val="clear" w:color="auto" w:fill="00517D" w:themeFill="accent3" w:themeFillShade="BF"/>
          </w:tcPr>
          <w:p w14:paraId="4257A57D" w14:textId="77777777" w:rsidR="00743697" w:rsidRPr="0013182D" w:rsidRDefault="00743697" w:rsidP="008C6323">
            <w:pPr>
              <w:rPr>
                <w:rFonts w:asciiTheme="minorHAnsi" w:hAnsiTheme="minorHAnsi"/>
                <w:b/>
                <w:color w:val="FFFFFF" w:themeColor="background1"/>
              </w:rPr>
            </w:pPr>
            <w:r w:rsidRPr="0013182D">
              <w:rPr>
                <w:rFonts w:asciiTheme="minorHAnsi" w:hAnsiTheme="minorHAnsi"/>
                <w:b/>
                <w:color w:val="FFFFFF" w:themeColor="background1"/>
              </w:rPr>
              <w:t>Benefits</w:t>
            </w:r>
          </w:p>
        </w:tc>
        <w:tc>
          <w:tcPr>
            <w:tcW w:w="4278" w:type="dxa"/>
            <w:shd w:val="clear" w:color="auto" w:fill="00517D" w:themeFill="accent3" w:themeFillShade="BF"/>
          </w:tcPr>
          <w:p w14:paraId="37748AD2" w14:textId="77777777" w:rsidR="00743697" w:rsidRPr="0013182D" w:rsidRDefault="00743697" w:rsidP="008C6323">
            <w:pPr>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743697" w:rsidRPr="00C37A1D" w14:paraId="4C8E0538" w14:textId="77777777" w:rsidTr="008C6323">
        <w:tc>
          <w:tcPr>
            <w:tcW w:w="4511" w:type="dxa"/>
          </w:tcPr>
          <w:p w14:paraId="17F67075"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 xml:space="preserve">An effective weekly drug for prophylaxis against malaria during potential exposure in endemic countries. </w:t>
            </w:r>
          </w:p>
          <w:p w14:paraId="6444F738"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Evidence of post-exposure prophylaxis.</w:t>
            </w:r>
          </w:p>
          <w:p w14:paraId="44CCFA75"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 xml:space="preserve">Efficacy against malaria generally and specifically against both </w:t>
            </w:r>
            <w:r w:rsidR="002352EB" w:rsidRPr="00C73D8C">
              <w:rPr>
                <w:rFonts w:asciiTheme="minorHAnsi" w:hAnsiTheme="minorHAnsi" w:cstheme="minorHAnsi"/>
              </w:rPr>
              <w:t>Pv</w:t>
            </w:r>
            <w:r w:rsidRPr="00C73D8C">
              <w:rPr>
                <w:rFonts w:asciiTheme="minorHAnsi" w:hAnsiTheme="minorHAnsi" w:cstheme="minorHAnsi"/>
              </w:rPr>
              <w:t xml:space="preserve"> and Pf</w:t>
            </w:r>
          </w:p>
          <w:p w14:paraId="06B12F8D"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Efficacy has been shown in different populations in different geographical locations.</w:t>
            </w:r>
          </w:p>
          <w:p w14:paraId="5679EDEB"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Does not seem to have the AEs related to the other weekly malaria prophylaxis option (mefloquine).</w:t>
            </w:r>
          </w:p>
          <w:p w14:paraId="1EA924F8"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Has good post-exposure efficacy due to long half-life.</w:t>
            </w:r>
          </w:p>
          <w:p w14:paraId="59FBF457" w14:textId="67DF633F" w:rsidR="00743697" w:rsidRPr="00C73D8C" w:rsidRDefault="00743697" w:rsidP="00885682">
            <w:pPr>
              <w:rPr>
                <w:rFonts w:asciiTheme="minorHAnsi" w:hAnsiTheme="minorHAnsi" w:cstheme="minorHAnsi"/>
              </w:rPr>
            </w:pPr>
            <w:r w:rsidRPr="00C73D8C">
              <w:rPr>
                <w:rFonts w:asciiTheme="minorHAnsi" w:hAnsiTheme="minorHAnsi" w:cstheme="minorHAnsi"/>
              </w:rPr>
              <w:t xml:space="preserve">Side effects similar to </w:t>
            </w:r>
            <w:r w:rsidR="00994561">
              <w:rPr>
                <w:rFonts w:asciiTheme="minorHAnsi" w:hAnsiTheme="minorHAnsi" w:cstheme="minorHAnsi"/>
              </w:rPr>
              <w:t>primaquine</w:t>
            </w:r>
            <w:r w:rsidR="00885682" w:rsidRPr="00C73D8C">
              <w:rPr>
                <w:rFonts w:asciiTheme="minorHAnsi" w:hAnsiTheme="minorHAnsi" w:cstheme="minorHAnsi"/>
              </w:rPr>
              <w:t>.</w:t>
            </w:r>
            <w:r w:rsidRPr="00C73D8C">
              <w:rPr>
                <w:rFonts w:asciiTheme="minorHAnsi" w:hAnsiTheme="minorHAnsi" w:cstheme="minorHAnsi"/>
              </w:rPr>
              <w:t xml:space="preserve"> </w:t>
            </w:r>
          </w:p>
        </w:tc>
        <w:tc>
          <w:tcPr>
            <w:tcW w:w="4278" w:type="dxa"/>
          </w:tcPr>
          <w:p w14:paraId="31D99AED" w14:textId="77777777" w:rsidR="00743697" w:rsidRPr="00C73D8C" w:rsidRDefault="00743697" w:rsidP="008C632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C73D8C">
              <w:rPr>
                <w:rFonts w:asciiTheme="minorHAnsi" w:hAnsiTheme="minorHAnsi" w:cstheme="minorHAnsi"/>
              </w:rPr>
              <w:t>There is good data in non-immunes who took this drug regularly weekly (in Australian army volunteers). There is also good data for efficacy in two regions (studies conducted in Thailand and Ghana). A number of the other studies also showed good efficacy but had different dosages and regimens. Also, some studies had major logistical and reliability problems (such as with the malaria smears).</w:t>
            </w:r>
          </w:p>
          <w:p w14:paraId="04195077" w14:textId="77777777" w:rsidR="00743697" w:rsidRPr="00C73D8C" w:rsidRDefault="00743697" w:rsidP="008C632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C73D8C">
              <w:rPr>
                <w:rFonts w:asciiTheme="minorHAnsi" w:hAnsiTheme="minorHAnsi" w:cstheme="minorHAnsi"/>
              </w:rPr>
              <w:t xml:space="preserve">The neuropsychiatric side effects seen with mefloquine are not seen with </w:t>
            </w:r>
            <w:r w:rsidR="00885682" w:rsidRPr="00C73D8C">
              <w:rPr>
                <w:rFonts w:asciiTheme="minorHAnsi" w:hAnsiTheme="minorHAnsi" w:cstheme="minorHAnsi"/>
              </w:rPr>
              <w:t>t</w:t>
            </w:r>
            <w:r w:rsidRPr="00C73D8C">
              <w:rPr>
                <w:rFonts w:asciiTheme="minorHAnsi" w:hAnsiTheme="minorHAnsi" w:cstheme="minorHAnsi"/>
              </w:rPr>
              <w:t>afenoquine generally, although there were some reported in Study 033 (conducted on ADF personnel during deployment).</w:t>
            </w:r>
          </w:p>
          <w:p w14:paraId="5A309AF4" w14:textId="7FEF64DD" w:rsidR="00743697" w:rsidRPr="00C73D8C" w:rsidRDefault="00743697" w:rsidP="008C632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C73D8C">
              <w:rPr>
                <w:rFonts w:asciiTheme="minorHAnsi" w:hAnsiTheme="minorHAnsi" w:cstheme="minorHAnsi"/>
              </w:rPr>
              <w:t>A number of the studies were conducted 1</w:t>
            </w:r>
            <w:r w:rsidR="003D4617">
              <w:rPr>
                <w:rFonts w:asciiTheme="minorHAnsi" w:hAnsiTheme="minorHAnsi" w:cstheme="minorHAnsi"/>
              </w:rPr>
              <w:t xml:space="preserve"> to </w:t>
            </w:r>
            <w:r w:rsidRPr="00C73D8C">
              <w:rPr>
                <w:rFonts w:asciiTheme="minorHAnsi" w:hAnsiTheme="minorHAnsi" w:cstheme="minorHAnsi"/>
              </w:rPr>
              <w:t xml:space="preserve">2 decades ago and the standards may be different to studies conducted more </w:t>
            </w:r>
            <w:r w:rsidRPr="00C73D8C">
              <w:rPr>
                <w:rFonts w:asciiTheme="minorHAnsi" w:hAnsiTheme="minorHAnsi" w:cstheme="minorHAnsi"/>
              </w:rPr>
              <w:lastRenderedPageBreak/>
              <w:t>contemporaneously.</w:t>
            </w:r>
          </w:p>
          <w:p w14:paraId="15B5658D" w14:textId="51BD16B2" w:rsidR="00743697" w:rsidRPr="00C73D8C" w:rsidRDefault="00743697" w:rsidP="008C632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C73D8C">
              <w:rPr>
                <w:rFonts w:asciiTheme="minorHAnsi" w:hAnsiTheme="minorHAnsi" w:cstheme="minorHAnsi"/>
              </w:rPr>
              <w:t xml:space="preserve">There are no studies comparing this drug against </w:t>
            </w:r>
            <w:r w:rsidR="00222998" w:rsidRPr="00C73D8C">
              <w:rPr>
                <w:rFonts w:asciiTheme="minorHAnsi" w:hAnsiTheme="minorHAnsi" w:cstheme="minorHAnsi"/>
              </w:rPr>
              <w:t>Malarone</w:t>
            </w:r>
            <w:r w:rsidRPr="00C73D8C">
              <w:rPr>
                <w:rFonts w:asciiTheme="minorHAnsi" w:hAnsiTheme="minorHAnsi" w:cstheme="minorHAnsi"/>
              </w:rPr>
              <w:t xml:space="preserve"> (now a commonly used malaria prophylaxis drug)</w:t>
            </w:r>
            <w:r w:rsidR="00C73D8C">
              <w:rPr>
                <w:rFonts w:asciiTheme="minorHAnsi" w:hAnsiTheme="minorHAnsi" w:cstheme="minorHAnsi"/>
              </w:rPr>
              <w:t xml:space="preserve"> </w:t>
            </w:r>
            <w:r w:rsidRPr="00C73D8C">
              <w:rPr>
                <w:rFonts w:asciiTheme="minorHAnsi" w:hAnsiTheme="minorHAnsi" w:cstheme="minorHAnsi"/>
              </w:rPr>
              <w:t>and rapidly replaced mefloquine as standard of care.</w:t>
            </w:r>
            <w:r w:rsidR="0008597D" w:rsidRPr="00C73D8C">
              <w:rPr>
                <w:rStyle w:val="FootnoteReference"/>
                <w:rFonts w:asciiTheme="minorHAnsi" w:hAnsiTheme="minorHAnsi" w:cstheme="minorHAnsi"/>
              </w:rPr>
              <w:footnoteReference w:id="30"/>
            </w:r>
          </w:p>
          <w:p w14:paraId="6B057CB4" w14:textId="77777777" w:rsidR="00743697" w:rsidRPr="00C73D8C" w:rsidRDefault="00743697" w:rsidP="008C632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C73D8C">
              <w:rPr>
                <w:rFonts w:asciiTheme="minorHAnsi" w:hAnsiTheme="minorHAnsi" w:cstheme="minorHAnsi"/>
              </w:rPr>
              <w:t>No data about the long-term ocular effects of long term use (past 26 weeks).</w:t>
            </w:r>
          </w:p>
        </w:tc>
      </w:tr>
    </w:tbl>
    <w:p w14:paraId="7F6B0AAF" w14:textId="77777777" w:rsidR="00743697" w:rsidRDefault="00743697" w:rsidP="00743697">
      <w:pPr>
        <w:pStyle w:val="Heading3"/>
      </w:pPr>
      <w:bookmarkStart w:id="203" w:name="_Toc236802596"/>
      <w:bookmarkStart w:id="204" w:name="_Toc241374334"/>
      <w:bookmarkStart w:id="205" w:name="_Ref272160964"/>
      <w:bookmarkStart w:id="206" w:name="_Toc272414694"/>
      <w:bookmarkStart w:id="207" w:name="_Toc290888558"/>
      <w:bookmarkStart w:id="208" w:name="_Toc416353773"/>
      <w:bookmarkStart w:id="209" w:name="_Toc421005315"/>
      <w:bookmarkStart w:id="210" w:name="_Toc432079186"/>
      <w:bookmarkStart w:id="211" w:name="_Toc432080759"/>
      <w:bookmarkStart w:id="212" w:name="_Toc504229393"/>
      <w:bookmarkStart w:id="213" w:name="_Toc501809167"/>
      <w:bookmarkStart w:id="214" w:name="_Toc12348789"/>
      <w:r w:rsidRPr="007E7B0B">
        <w:lastRenderedPageBreak/>
        <w:t>First round assessment</w:t>
      </w:r>
      <w:r w:rsidRPr="000D5752">
        <w:t xml:space="preserve"> of risks</w:t>
      </w:r>
      <w:bookmarkEnd w:id="203"/>
      <w:bookmarkEnd w:id="204"/>
      <w:bookmarkEnd w:id="205"/>
      <w:bookmarkEnd w:id="206"/>
      <w:bookmarkEnd w:id="207"/>
      <w:bookmarkEnd w:id="208"/>
      <w:bookmarkEnd w:id="209"/>
      <w:bookmarkEnd w:id="210"/>
      <w:bookmarkEnd w:id="211"/>
      <w:bookmarkEnd w:id="212"/>
      <w:bookmarkEnd w:id="213"/>
      <w:bookmarkEnd w:id="214"/>
    </w:p>
    <w:p w14:paraId="4885D781" w14:textId="3052A334" w:rsidR="00885682" w:rsidRPr="00885682" w:rsidRDefault="00885682" w:rsidP="00885682">
      <w:pPr>
        <w:pStyle w:val="TableTitle"/>
      </w:pPr>
      <w:r>
        <w:t xml:space="preserve">Table </w:t>
      </w:r>
      <w:r w:rsidR="000D2A48">
        <w:t>2</w:t>
      </w:r>
      <w:r w:rsidR="00B52F8D">
        <w:t>4</w:t>
      </w:r>
      <w:r>
        <w:t>: Assessment of risks</w:t>
      </w:r>
    </w:p>
    <w:tbl>
      <w:tblPr>
        <w:tblStyle w:val="TableGrid"/>
        <w:tblW w:w="0" w:type="auto"/>
        <w:tblInd w:w="108" w:type="dxa"/>
        <w:tblLook w:val="04A0" w:firstRow="1" w:lastRow="0" w:firstColumn="1" w:lastColumn="0" w:noHBand="0" w:noVBand="1"/>
      </w:tblPr>
      <w:tblGrid>
        <w:gridCol w:w="4308"/>
        <w:gridCol w:w="4304"/>
      </w:tblGrid>
      <w:tr w:rsidR="00743697" w:rsidRPr="00C37A1D" w14:paraId="6E11F6B5" w14:textId="77777777" w:rsidTr="008C6323">
        <w:trPr>
          <w:tblHeader/>
        </w:trPr>
        <w:tc>
          <w:tcPr>
            <w:tcW w:w="4395" w:type="dxa"/>
            <w:shd w:val="clear" w:color="auto" w:fill="006DA7" w:themeFill="accent3"/>
          </w:tcPr>
          <w:p w14:paraId="51A95A7C" w14:textId="77777777" w:rsidR="00743697" w:rsidRPr="0013182D" w:rsidRDefault="00743697" w:rsidP="008C6323">
            <w:pPr>
              <w:keepNext/>
              <w:rPr>
                <w:rFonts w:asciiTheme="minorHAnsi" w:hAnsiTheme="minorHAnsi"/>
                <w:b/>
                <w:color w:val="FFFFFF" w:themeColor="background1"/>
              </w:rPr>
            </w:pPr>
            <w:r w:rsidRPr="0013182D">
              <w:rPr>
                <w:rFonts w:asciiTheme="minorHAnsi" w:hAnsiTheme="minorHAnsi"/>
                <w:b/>
                <w:color w:val="FFFFFF" w:themeColor="background1"/>
              </w:rPr>
              <w:t>Risks</w:t>
            </w:r>
          </w:p>
        </w:tc>
        <w:tc>
          <w:tcPr>
            <w:tcW w:w="4394" w:type="dxa"/>
            <w:shd w:val="clear" w:color="auto" w:fill="006DA7" w:themeFill="accent3"/>
          </w:tcPr>
          <w:p w14:paraId="69013317" w14:textId="77777777" w:rsidR="00743697" w:rsidRPr="0013182D" w:rsidRDefault="00743697" w:rsidP="008C6323">
            <w:pPr>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743697" w:rsidRPr="00C37A1D" w14:paraId="65319E34" w14:textId="77777777" w:rsidTr="008C6323">
        <w:tc>
          <w:tcPr>
            <w:tcW w:w="4395" w:type="dxa"/>
          </w:tcPr>
          <w:p w14:paraId="42327989"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Studies have been on small numbers and a number of them conducted decades ago.</w:t>
            </w:r>
          </w:p>
          <w:p w14:paraId="256D594F"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Compliance in army studies has been very high this may not be so in reality.</w:t>
            </w:r>
          </w:p>
          <w:p w14:paraId="6F07EBAF" w14:textId="77777777" w:rsidR="00743697" w:rsidRPr="00C73D8C" w:rsidRDefault="00885682" w:rsidP="008C6323">
            <w:pPr>
              <w:rPr>
                <w:rFonts w:asciiTheme="minorHAnsi" w:hAnsiTheme="minorHAnsi" w:cstheme="minorHAnsi"/>
              </w:rPr>
            </w:pPr>
            <w:r w:rsidRPr="00C73D8C">
              <w:rPr>
                <w:rFonts w:asciiTheme="minorHAnsi" w:hAnsiTheme="minorHAnsi" w:cstheme="minorHAnsi"/>
              </w:rPr>
              <w:t>There are</w:t>
            </w:r>
            <w:r w:rsidR="00743697" w:rsidRPr="00C73D8C">
              <w:rPr>
                <w:rFonts w:asciiTheme="minorHAnsi" w:hAnsiTheme="minorHAnsi" w:cstheme="minorHAnsi"/>
              </w:rPr>
              <w:t xml:space="preserve"> no post-marketing data.</w:t>
            </w:r>
          </w:p>
          <w:p w14:paraId="1DE99D6D" w14:textId="77777777" w:rsidR="00743697" w:rsidRPr="00C73D8C" w:rsidRDefault="00885682" w:rsidP="008C6323">
            <w:pPr>
              <w:rPr>
                <w:rFonts w:asciiTheme="minorHAnsi" w:hAnsiTheme="minorHAnsi" w:cstheme="minorHAnsi"/>
              </w:rPr>
            </w:pPr>
            <w:r w:rsidRPr="00C73D8C">
              <w:rPr>
                <w:rFonts w:asciiTheme="minorHAnsi" w:hAnsiTheme="minorHAnsi" w:cstheme="minorHAnsi"/>
              </w:rPr>
              <w:t>L</w:t>
            </w:r>
            <w:r w:rsidR="00743697" w:rsidRPr="00C73D8C">
              <w:rPr>
                <w:rFonts w:asciiTheme="minorHAnsi" w:hAnsiTheme="minorHAnsi" w:cstheme="minorHAnsi"/>
              </w:rPr>
              <w:t>ocal background malaria incidence data to really assess what kind of impact tafenoquine would have</w:t>
            </w:r>
            <w:r w:rsidRPr="00C73D8C">
              <w:rPr>
                <w:rFonts w:asciiTheme="minorHAnsi" w:hAnsiTheme="minorHAnsi" w:cstheme="minorHAnsi"/>
              </w:rPr>
              <w:t xml:space="preserve"> is lacking</w:t>
            </w:r>
            <w:r w:rsidR="00743697" w:rsidRPr="00C73D8C">
              <w:rPr>
                <w:rFonts w:asciiTheme="minorHAnsi" w:hAnsiTheme="minorHAnsi" w:cstheme="minorHAnsi"/>
              </w:rPr>
              <w:t>.</w:t>
            </w:r>
          </w:p>
          <w:p w14:paraId="26491406"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 xml:space="preserve">Because of the long half-life, the loading dose is </w:t>
            </w:r>
            <w:r w:rsidR="002522B4" w:rsidRPr="00C73D8C">
              <w:rPr>
                <w:rFonts w:asciiTheme="minorHAnsi" w:hAnsiTheme="minorHAnsi" w:cstheme="minorHAnsi"/>
              </w:rPr>
              <w:t>important otherwise</w:t>
            </w:r>
            <w:r w:rsidRPr="00C73D8C">
              <w:rPr>
                <w:rFonts w:asciiTheme="minorHAnsi" w:hAnsiTheme="minorHAnsi" w:cstheme="minorHAnsi"/>
              </w:rPr>
              <w:t xml:space="preserve"> blood levels may not be sufficient by the time of exposure (one week after starting).</w:t>
            </w:r>
          </w:p>
          <w:p w14:paraId="5C91F136"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It is also important for post-exposure prophylaxis, that one dose is taken after leaving the endemic area.</w:t>
            </w:r>
          </w:p>
          <w:p w14:paraId="65DF85F2" w14:textId="09616007" w:rsidR="00743697" w:rsidRPr="00C73D8C" w:rsidRDefault="00743697" w:rsidP="008C6323">
            <w:pPr>
              <w:rPr>
                <w:rFonts w:asciiTheme="minorHAnsi" w:hAnsiTheme="minorHAnsi" w:cstheme="minorHAnsi"/>
              </w:rPr>
            </w:pPr>
            <w:r w:rsidRPr="00C73D8C">
              <w:rPr>
                <w:rFonts w:asciiTheme="minorHAnsi" w:hAnsiTheme="minorHAnsi" w:cstheme="minorHAnsi"/>
              </w:rPr>
              <w:t>Gastro-intestinal side effects are quite common, particularly diarrhoea (13% of subjects), GO</w:t>
            </w:r>
            <w:r w:rsidR="00885682" w:rsidRPr="00C73D8C">
              <w:rPr>
                <w:rFonts w:asciiTheme="minorHAnsi" w:hAnsiTheme="minorHAnsi" w:cstheme="minorHAnsi"/>
              </w:rPr>
              <w:t xml:space="preserve">RD (2%) </w:t>
            </w:r>
            <w:r w:rsidRPr="00C73D8C">
              <w:rPr>
                <w:rFonts w:asciiTheme="minorHAnsi" w:hAnsiTheme="minorHAnsi" w:cstheme="minorHAnsi"/>
              </w:rPr>
              <w:t>and vomiting (4%)</w:t>
            </w:r>
            <w:r w:rsidR="00222998">
              <w:rPr>
                <w:rFonts w:asciiTheme="minorHAnsi" w:hAnsiTheme="minorHAnsi" w:cstheme="minorHAnsi"/>
              </w:rPr>
              <w:t>.</w:t>
            </w:r>
          </w:p>
          <w:p w14:paraId="4B22933E" w14:textId="77777777" w:rsidR="00743697" w:rsidRPr="00C73D8C" w:rsidRDefault="00743697" w:rsidP="008C6323">
            <w:pPr>
              <w:rPr>
                <w:rFonts w:asciiTheme="minorHAnsi" w:hAnsiTheme="minorHAnsi"/>
              </w:rPr>
            </w:pPr>
            <w:r w:rsidRPr="00C73D8C">
              <w:rPr>
                <w:rFonts w:asciiTheme="minorHAnsi" w:hAnsiTheme="minorHAnsi" w:cstheme="minorHAnsi"/>
              </w:rPr>
              <w:t>This drug is contra-indicated in people with G6PD but may also have adverse haematological effects in other people as well.</w:t>
            </w:r>
            <w:r w:rsidRPr="00C73D8C">
              <w:rPr>
                <w:rFonts w:asciiTheme="minorHAnsi" w:hAnsiTheme="minorHAnsi"/>
              </w:rPr>
              <w:t xml:space="preserve"> Haemoglobin frequently decreases by 0.66 g/dL. Met</w:t>
            </w:r>
            <w:r w:rsidR="00F900F9" w:rsidRPr="00C73D8C">
              <w:rPr>
                <w:rFonts w:asciiTheme="minorHAnsi" w:hAnsiTheme="minorHAnsi"/>
              </w:rPr>
              <w:t>haemoglobin</w:t>
            </w:r>
            <w:r w:rsidRPr="00C73D8C">
              <w:rPr>
                <w:rFonts w:asciiTheme="minorHAnsi" w:hAnsiTheme="minorHAnsi"/>
              </w:rPr>
              <w:t xml:space="preserve"> characteristically increases to &gt;1% but does not increase to as much as 10%, a level associated with hypoxia.</w:t>
            </w:r>
          </w:p>
          <w:p w14:paraId="087794CF" w14:textId="57E056CB" w:rsidR="00743697" w:rsidRPr="00C73D8C" w:rsidRDefault="00743697" w:rsidP="00885682">
            <w:pPr>
              <w:rPr>
                <w:rFonts w:asciiTheme="minorHAnsi" w:hAnsiTheme="minorHAnsi" w:cstheme="minorHAnsi"/>
              </w:rPr>
            </w:pPr>
            <w:r w:rsidRPr="00C73D8C">
              <w:rPr>
                <w:rFonts w:asciiTheme="minorHAnsi" w:hAnsiTheme="minorHAnsi" w:cstheme="minorHAnsi"/>
              </w:rPr>
              <w:t xml:space="preserve">In </w:t>
            </w:r>
            <w:r w:rsidR="00885682" w:rsidRPr="00C73D8C">
              <w:rPr>
                <w:rFonts w:asciiTheme="minorHAnsi" w:hAnsiTheme="minorHAnsi" w:cstheme="minorHAnsi"/>
              </w:rPr>
              <w:t>S</w:t>
            </w:r>
            <w:r w:rsidRPr="00C73D8C">
              <w:rPr>
                <w:rFonts w:asciiTheme="minorHAnsi" w:hAnsiTheme="minorHAnsi" w:cstheme="minorHAnsi"/>
              </w:rPr>
              <w:t>tudy 033, vortex keratopathy</w:t>
            </w:r>
            <w:r w:rsidR="00B52F8D" w:rsidRPr="00C73D8C">
              <w:rPr>
                <w:rFonts w:asciiTheme="minorHAnsi" w:hAnsiTheme="minorHAnsi" w:cstheme="minorHAnsi"/>
              </w:rPr>
              <w:t xml:space="preserve"> (corneal deposits)</w:t>
            </w:r>
            <w:r w:rsidRPr="00C73D8C">
              <w:rPr>
                <w:rFonts w:asciiTheme="minorHAnsi" w:hAnsiTheme="minorHAnsi" w:cstheme="minorHAnsi"/>
              </w:rPr>
              <w:t xml:space="preserve"> occurred in </w:t>
            </w:r>
            <w:r w:rsidR="00B52F8D" w:rsidRPr="00C73D8C">
              <w:rPr>
                <w:rFonts w:asciiTheme="minorHAnsi" w:hAnsiTheme="minorHAnsi" w:cstheme="minorHAnsi"/>
                <w:u w:val="single"/>
              </w:rPr>
              <w:t>&gt;</w:t>
            </w:r>
            <w:r w:rsidRPr="00C73D8C">
              <w:rPr>
                <w:rFonts w:asciiTheme="minorHAnsi" w:hAnsiTheme="minorHAnsi" w:cstheme="minorHAnsi"/>
              </w:rPr>
              <w:t>8% of tafenoquine subjects.</w:t>
            </w:r>
          </w:p>
        </w:tc>
        <w:tc>
          <w:tcPr>
            <w:tcW w:w="4394" w:type="dxa"/>
          </w:tcPr>
          <w:p w14:paraId="6E947029" w14:textId="77777777" w:rsidR="00885682" w:rsidRPr="00C73D8C" w:rsidRDefault="00743697" w:rsidP="008C6323">
            <w:pPr>
              <w:rPr>
                <w:rFonts w:asciiTheme="minorHAnsi" w:hAnsiTheme="minorHAnsi" w:cstheme="minorHAnsi"/>
              </w:rPr>
            </w:pPr>
            <w:r w:rsidRPr="00C73D8C">
              <w:rPr>
                <w:rFonts w:asciiTheme="minorHAnsi" w:hAnsiTheme="minorHAnsi" w:cstheme="minorHAnsi"/>
              </w:rPr>
              <w:t>Post-marketing data needs to be submitted to further assess the incidence of potentially serious side effects, particul</w:t>
            </w:r>
            <w:r w:rsidR="00885682" w:rsidRPr="00C73D8C">
              <w:rPr>
                <w:rFonts w:asciiTheme="minorHAnsi" w:hAnsiTheme="minorHAnsi" w:cstheme="minorHAnsi"/>
              </w:rPr>
              <w:t>arly haematological and ocular.</w:t>
            </w:r>
          </w:p>
          <w:p w14:paraId="4F9FC01E" w14:textId="77777777" w:rsidR="00743697" w:rsidRPr="00C73D8C" w:rsidRDefault="00743697" w:rsidP="008C6323">
            <w:pPr>
              <w:rPr>
                <w:rFonts w:asciiTheme="minorHAnsi" w:hAnsiTheme="minorHAnsi" w:cstheme="minorHAnsi"/>
              </w:rPr>
            </w:pPr>
            <w:r w:rsidRPr="00C73D8C">
              <w:rPr>
                <w:rFonts w:asciiTheme="minorHAnsi" w:hAnsiTheme="minorHAnsi" w:cstheme="minorHAnsi"/>
              </w:rPr>
              <w:t>Gastrointestinal AEs can be ameliorated to some extent by taking tafenoquine with food.</w:t>
            </w:r>
          </w:p>
          <w:p w14:paraId="3E9A160A" w14:textId="0DCFE596" w:rsidR="00743697" w:rsidRPr="00C73D8C" w:rsidRDefault="00743697" w:rsidP="008C6323">
            <w:pPr>
              <w:rPr>
                <w:rFonts w:asciiTheme="minorHAnsi" w:hAnsiTheme="minorHAnsi" w:cstheme="minorHAnsi"/>
              </w:rPr>
            </w:pPr>
            <w:r w:rsidRPr="00C73D8C">
              <w:rPr>
                <w:rFonts w:asciiTheme="minorHAnsi" w:hAnsiTheme="minorHAnsi" w:cstheme="minorHAnsi"/>
              </w:rPr>
              <w:t>There were no changes in tests of visual fields, visual acuity, or colour vision in these subjects, and all subjects experienced complete resolution of their</w:t>
            </w:r>
            <w:r w:rsidR="00B52F8D" w:rsidRPr="00C73D8C">
              <w:rPr>
                <w:rFonts w:asciiTheme="minorHAnsi" w:hAnsiTheme="minorHAnsi" w:cstheme="minorHAnsi"/>
              </w:rPr>
              <w:t xml:space="preserve"> vortex</w:t>
            </w:r>
            <w:r w:rsidRPr="00C73D8C">
              <w:rPr>
                <w:rFonts w:asciiTheme="minorHAnsi" w:hAnsiTheme="minorHAnsi" w:cstheme="minorHAnsi"/>
              </w:rPr>
              <w:t xml:space="preserve"> keratopathy</w:t>
            </w:r>
            <w:r w:rsidR="00B52F8D" w:rsidRPr="00C73D8C">
              <w:rPr>
                <w:rFonts w:asciiTheme="minorHAnsi" w:hAnsiTheme="minorHAnsi" w:cstheme="minorHAnsi"/>
              </w:rPr>
              <w:t xml:space="preserve"> (corneal deposits)</w:t>
            </w:r>
            <w:r w:rsidRPr="00C73D8C">
              <w:rPr>
                <w:rFonts w:asciiTheme="minorHAnsi" w:hAnsiTheme="minorHAnsi" w:cstheme="minorHAnsi"/>
              </w:rPr>
              <w:t xml:space="preserve"> within 1 year after the end of tafenoquine dosing.</w:t>
            </w:r>
          </w:p>
          <w:p w14:paraId="384C60FD" w14:textId="6D4BC77F" w:rsidR="00743697" w:rsidRPr="00C73D8C" w:rsidRDefault="00B52F8D" w:rsidP="006E1914">
            <w:pPr>
              <w:rPr>
                <w:rFonts w:cstheme="minorHAnsi"/>
                <w:u w:val="single"/>
              </w:rPr>
            </w:pPr>
            <w:r w:rsidRPr="00C73D8C">
              <w:rPr>
                <w:rFonts w:asciiTheme="minorHAnsi" w:hAnsiTheme="minorHAnsi" w:cstheme="minorHAnsi"/>
              </w:rPr>
              <w:t>Vortex k</w:t>
            </w:r>
            <w:r w:rsidR="00743697" w:rsidRPr="00C73D8C">
              <w:rPr>
                <w:rFonts w:asciiTheme="minorHAnsi" w:hAnsiTheme="minorHAnsi" w:cstheme="minorHAnsi"/>
              </w:rPr>
              <w:t>eratopathy</w:t>
            </w:r>
            <w:r w:rsidRPr="00C73D8C">
              <w:rPr>
                <w:rFonts w:asciiTheme="minorHAnsi" w:hAnsiTheme="minorHAnsi" w:cstheme="minorHAnsi"/>
              </w:rPr>
              <w:t xml:space="preserve"> (corneal deposits)</w:t>
            </w:r>
            <w:r w:rsidR="00743697" w:rsidRPr="00C73D8C">
              <w:rPr>
                <w:rFonts w:asciiTheme="minorHAnsi" w:hAnsiTheme="minorHAnsi" w:cstheme="minorHAnsi"/>
              </w:rPr>
              <w:t xml:space="preserve"> resolved by the Week 48 follow-up visit in all </w:t>
            </w:r>
            <w:r w:rsidR="006E1914" w:rsidRPr="00C73D8C">
              <w:rPr>
                <w:rFonts w:asciiTheme="minorHAnsi" w:hAnsiTheme="minorHAnsi" w:cstheme="minorHAnsi"/>
              </w:rPr>
              <w:t>t</w:t>
            </w:r>
            <w:r w:rsidR="00743697" w:rsidRPr="00C73D8C">
              <w:rPr>
                <w:rFonts w:asciiTheme="minorHAnsi" w:hAnsiTheme="minorHAnsi" w:cstheme="minorHAnsi"/>
              </w:rPr>
              <w:t>afenoquine ACR subjects.</w:t>
            </w:r>
          </w:p>
        </w:tc>
      </w:tr>
    </w:tbl>
    <w:p w14:paraId="3B8F17FE" w14:textId="77777777" w:rsidR="00743697" w:rsidRPr="00545B14" w:rsidRDefault="00743697" w:rsidP="00743697">
      <w:pPr>
        <w:pStyle w:val="Heading3"/>
      </w:pPr>
      <w:bookmarkStart w:id="215" w:name="_Toc236802597"/>
      <w:bookmarkStart w:id="216" w:name="_Toc241374335"/>
      <w:bookmarkStart w:id="217" w:name="_Toc272414695"/>
      <w:bookmarkStart w:id="218" w:name="_Toc290888559"/>
      <w:bookmarkStart w:id="219" w:name="_Toc416353775"/>
      <w:bookmarkStart w:id="220" w:name="_Toc421005316"/>
      <w:bookmarkStart w:id="221" w:name="_Toc432079187"/>
      <w:bookmarkStart w:id="222" w:name="_Toc432080760"/>
      <w:bookmarkStart w:id="223" w:name="_Toc504229394"/>
      <w:bookmarkStart w:id="224" w:name="_Toc501809168"/>
      <w:bookmarkStart w:id="225" w:name="_Toc12348790"/>
      <w:r w:rsidRPr="00545B14">
        <w:lastRenderedPageBreak/>
        <w:t>First round assessment of benefit-risk</w:t>
      </w:r>
      <w:bookmarkEnd w:id="215"/>
      <w:bookmarkEnd w:id="216"/>
      <w:bookmarkEnd w:id="217"/>
      <w:bookmarkEnd w:id="218"/>
      <w:bookmarkEnd w:id="219"/>
      <w:bookmarkEnd w:id="220"/>
      <w:r>
        <w:t xml:space="preserve"> balance</w:t>
      </w:r>
      <w:bookmarkEnd w:id="221"/>
      <w:bookmarkEnd w:id="222"/>
      <w:bookmarkEnd w:id="223"/>
      <w:bookmarkEnd w:id="224"/>
      <w:bookmarkEnd w:id="225"/>
    </w:p>
    <w:p w14:paraId="7B9842B6" w14:textId="3A332463" w:rsidR="00743697" w:rsidRPr="007E7B0B" w:rsidRDefault="00743697" w:rsidP="00743697">
      <w:r>
        <w:t>This assessment is very difficult to make. Statistically</w:t>
      </w:r>
      <w:r w:rsidR="000F546D">
        <w:t>,</w:t>
      </w:r>
      <w:r>
        <w:t xml:space="preserve"> Study 033 achieved its primary outcome</w:t>
      </w:r>
      <w:r w:rsidR="006E1914">
        <w:t>;</w:t>
      </w:r>
      <w:r>
        <w:t xml:space="preserve"> that tafenoquine was non-inferior to mefloquine. This prophylactic efficacy was also shown in Study 045 (in semi immunes in Africa). The well conducted challenge </w:t>
      </w:r>
      <w:r w:rsidR="000F546D">
        <w:t>Study</w:t>
      </w:r>
      <w:r>
        <w:t xml:space="preserve"> </w:t>
      </w:r>
      <w:r w:rsidR="009349D2">
        <w:t>TQ</w:t>
      </w:r>
      <w:r w:rsidR="00E71EF1">
        <w:t>-2016-02</w:t>
      </w:r>
      <w:r>
        <w:t>, reinforces the efficacy of tafenoquine against the asexual stages of malaria (but obviously is not a comparable environment or duration).</w:t>
      </w:r>
      <w:r w:rsidRPr="00A2274E">
        <w:t xml:space="preserve"> Overall, the benefit-risk balance of tafenoquine for the proposed usage is favourable.</w:t>
      </w:r>
    </w:p>
    <w:p w14:paraId="1B443F59" w14:textId="5AAFD3AF" w:rsidR="00743697" w:rsidRDefault="00743697" w:rsidP="00743697">
      <w:pPr>
        <w:rPr>
          <w:lang w:eastAsia="ja-JP"/>
        </w:rPr>
      </w:pPr>
      <w:r>
        <w:rPr>
          <w:lang w:eastAsia="ja-JP"/>
        </w:rPr>
        <w:t>Tafenoquine is a drug that fills a gap in relation to malaria prophylaxis need. It may prove to be very useful, as a once weekly option. It doesn’t have the neuropsychiatric side effects that mefloquine does but it does have potential for serious haematological side effects and the ocular side effects also need to be studied further in the R</w:t>
      </w:r>
      <w:r w:rsidR="006E1914">
        <w:rPr>
          <w:lang w:eastAsia="ja-JP"/>
        </w:rPr>
        <w:t>isk Management Plan (R</w:t>
      </w:r>
      <w:r>
        <w:rPr>
          <w:lang w:eastAsia="ja-JP"/>
        </w:rPr>
        <w:t>MP</w:t>
      </w:r>
      <w:r w:rsidR="006E1914">
        <w:rPr>
          <w:lang w:eastAsia="ja-JP"/>
        </w:rPr>
        <w:t>)</w:t>
      </w:r>
      <w:r>
        <w:rPr>
          <w:lang w:eastAsia="ja-JP"/>
        </w:rPr>
        <w:t xml:space="preserve">. There is also no post-marketing data to confirm safety or data past 26 weeks. It would also </w:t>
      </w:r>
      <w:r w:rsidR="00A3743C">
        <w:rPr>
          <w:lang w:eastAsia="ja-JP"/>
        </w:rPr>
        <w:t xml:space="preserve">have </w:t>
      </w:r>
      <w:r>
        <w:rPr>
          <w:lang w:eastAsia="ja-JP"/>
        </w:rPr>
        <w:t>be</w:t>
      </w:r>
      <w:r w:rsidR="00A3743C">
        <w:rPr>
          <w:lang w:eastAsia="ja-JP"/>
        </w:rPr>
        <w:t>en</w:t>
      </w:r>
      <w:r>
        <w:rPr>
          <w:lang w:eastAsia="ja-JP"/>
        </w:rPr>
        <w:t xml:space="preserve"> ideal to see some studies comparing tafenoquine to </w:t>
      </w:r>
      <w:r w:rsidR="00222998">
        <w:rPr>
          <w:lang w:eastAsia="ja-JP"/>
        </w:rPr>
        <w:t>Malarone</w:t>
      </w:r>
      <w:r>
        <w:rPr>
          <w:lang w:eastAsia="ja-JP"/>
        </w:rPr>
        <w:t>, which is being increasingly used but does require daily therapy.</w:t>
      </w:r>
    </w:p>
    <w:p w14:paraId="243EFD4B" w14:textId="77777777" w:rsidR="00743697" w:rsidRPr="00DB06C5" w:rsidRDefault="00743697" w:rsidP="00743697">
      <w:r>
        <w:rPr>
          <w:lang w:eastAsia="ja-JP"/>
        </w:rPr>
        <w:t xml:space="preserve">Although, on balance, </w:t>
      </w:r>
      <w:r w:rsidR="006E1914">
        <w:rPr>
          <w:lang w:eastAsia="ja-JP"/>
        </w:rPr>
        <w:t xml:space="preserve">the clinical evaluator </w:t>
      </w:r>
      <w:r>
        <w:rPr>
          <w:lang w:eastAsia="ja-JP"/>
        </w:rPr>
        <w:t>think</w:t>
      </w:r>
      <w:r w:rsidR="006E1914">
        <w:rPr>
          <w:lang w:eastAsia="ja-JP"/>
        </w:rPr>
        <w:t xml:space="preserve">s this drug fills a need, </w:t>
      </w:r>
      <w:r>
        <w:rPr>
          <w:lang w:eastAsia="ja-JP"/>
        </w:rPr>
        <w:t>more safety data</w:t>
      </w:r>
      <w:r w:rsidR="006E1914">
        <w:rPr>
          <w:lang w:eastAsia="ja-JP"/>
        </w:rPr>
        <w:t xml:space="preserve"> is needed</w:t>
      </w:r>
      <w:r>
        <w:rPr>
          <w:lang w:eastAsia="ja-JP"/>
        </w:rPr>
        <w:t>, particularly in relation to use in heterozygotes for G6PD and the ocular side effects. There should be an undertaking to collect this.</w:t>
      </w:r>
    </w:p>
    <w:p w14:paraId="1F87F66C" w14:textId="12A7EACA" w:rsidR="00743697" w:rsidRPr="00C73D8C" w:rsidRDefault="00743697" w:rsidP="00743697">
      <w:pPr>
        <w:pStyle w:val="Heading4"/>
      </w:pPr>
      <w:bookmarkStart w:id="226" w:name="_Toc504229395"/>
      <w:bookmarkStart w:id="227" w:name="_Toc501809169"/>
      <w:r w:rsidRPr="00C73D8C">
        <w:t>First round recommendation regarding authorisation</w:t>
      </w:r>
      <w:bookmarkEnd w:id="226"/>
      <w:bookmarkEnd w:id="227"/>
    </w:p>
    <w:p w14:paraId="40AAD0D3" w14:textId="39A5D01F" w:rsidR="00AC3CDF" w:rsidRPr="00C73D8C" w:rsidRDefault="00743697" w:rsidP="00743697">
      <w:pPr>
        <w:contextualSpacing/>
      </w:pPr>
      <w:r w:rsidRPr="00C73D8C">
        <w:t xml:space="preserve">Whilst it would be nice to see the licensing of a new drug that obviously has efficacy against malaria and allows weekly rather than daily dosing, </w:t>
      </w:r>
      <w:r w:rsidR="006E1914" w:rsidRPr="00C73D8C">
        <w:t>the clinical evaluator believes</w:t>
      </w:r>
      <w:r w:rsidRPr="00C73D8C">
        <w:t xml:space="preserve"> that more data is needed. Given that </w:t>
      </w:r>
      <w:r w:rsidR="00222998" w:rsidRPr="00C73D8C">
        <w:t>Malarone</w:t>
      </w:r>
      <w:r w:rsidRPr="00C73D8C">
        <w:t xml:space="preserve"> is now the preferred option for malaria prophylaxis in Australia, it would be good to see a comparative trial against this medication.</w:t>
      </w:r>
    </w:p>
    <w:p w14:paraId="466A3C73" w14:textId="6784A46D" w:rsidR="00C73D8C" w:rsidRDefault="00AC3CDF" w:rsidP="00C73D8C">
      <w:r w:rsidRPr="00C73D8C">
        <w:t xml:space="preserve">Whilst it would be nice to see the licensing of a new drug that obviously has efficacy against malaria and allows weekly rather than daily dosing, the clinical evaluator believes that more data is needed. Given that </w:t>
      </w:r>
      <w:r w:rsidR="00222998" w:rsidRPr="00C73D8C">
        <w:t>Malarone</w:t>
      </w:r>
      <w:r w:rsidRPr="00C73D8C">
        <w:t xml:space="preserve"> is now the preferred option for malaria prophylaxis in Australia, it would be good to see a comparative trial against this medication.</w:t>
      </w:r>
    </w:p>
    <w:p w14:paraId="6C9B8040" w14:textId="76F6FF8C" w:rsidR="00605AD4" w:rsidRPr="003915F7" w:rsidRDefault="00605AD4" w:rsidP="00605AD4">
      <w:pPr>
        <w:pStyle w:val="Heading3"/>
        <w:rPr>
          <w:rFonts w:eastAsia="Cambria"/>
        </w:rPr>
      </w:pPr>
      <w:bookmarkStart w:id="228" w:name="_Toc12348791"/>
      <w:r w:rsidRPr="003915F7">
        <w:rPr>
          <w:rFonts w:eastAsia="Cambria"/>
        </w:rPr>
        <w:t xml:space="preserve">Second </w:t>
      </w:r>
      <w:r w:rsidR="003C1292" w:rsidRPr="003915F7">
        <w:rPr>
          <w:rFonts w:eastAsia="Cambria"/>
        </w:rPr>
        <w:t>round evaluation</w:t>
      </w:r>
      <w:bookmarkEnd w:id="228"/>
    </w:p>
    <w:p w14:paraId="249401E0" w14:textId="4B065C65" w:rsidR="006136D7" w:rsidRDefault="003915F7" w:rsidP="006136D7">
      <w:r w:rsidRPr="003915F7">
        <w:t>T</w:t>
      </w:r>
      <w:r w:rsidR="00500337" w:rsidRPr="003915F7">
        <w:t xml:space="preserve">he second round evaluation including the issues raised by the evaluator (Clinical questions), the sponsor’s responses and the evaluation of these responses please see </w:t>
      </w:r>
      <w:r w:rsidR="00E72C81">
        <w:t>Attachment 2</w:t>
      </w:r>
      <w:r w:rsidR="00500337" w:rsidRPr="003915F7">
        <w:t>.</w:t>
      </w:r>
    </w:p>
    <w:p w14:paraId="4634ADE3" w14:textId="44586982" w:rsidR="00605AD4" w:rsidRPr="00605AD4" w:rsidRDefault="00605AD4" w:rsidP="00546154">
      <w:pPr>
        <w:pStyle w:val="Heading3"/>
        <w:rPr>
          <w:rFonts w:eastAsia="Cambria"/>
        </w:rPr>
      </w:pPr>
      <w:bookmarkStart w:id="229" w:name="_Toc12348792"/>
      <w:r w:rsidRPr="00605AD4">
        <w:rPr>
          <w:rFonts w:eastAsia="Cambria"/>
        </w:rPr>
        <w:t xml:space="preserve">Second </w:t>
      </w:r>
      <w:r w:rsidR="003C1292" w:rsidRPr="00605AD4">
        <w:rPr>
          <w:rFonts w:eastAsia="Cambria"/>
        </w:rPr>
        <w:t>round benefit-risk assessment</w:t>
      </w:r>
      <w:bookmarkEnd w:id="229"/>
    </w:p>
    <w:p w14:paraId="6DFFC7DC" w14:textId="77777777" w:rsidR="00743697" w:rsidRDefault="00743697" w:rsidP="006E1914">
      <w:pPr>
        <w:pStyle w:val="Heading4"/>
      </w:pPr>
      <w:bookmarkStart w:id="230" w:name="_Toc272414709"/>
      <w:bookmarkStart w:id="231" w:name="_Toc290888575"/>
      <w:bookmarkStart w:id="232" w:name="_Toc416353792"/>
      <w:bookmarkStart w:id="233" w:name="_Toc421005334"/>
      <w:bookmarkStart w:id="234" w:name="_Toc432079207"/>
      <w:bookmarkStart w:id="235" w:name="_Toc432080780"/>
      <w:bookmarkStart w:id="236" w:name="_Toc504229409"/>
      <w:bookmarkStart w:id="237" w:name="_Toc501809183"/>
      <w:r w:rsidRPr="00500C5C">
        <w:t>Second round assessment of benefits</w:t>
      </w:r>
      <w:bookmarkEnd w:id="230"/>
      <w:bookmarkEnd w:id="231"/>
      <w:bookmarkEnd w:id="232"/>
      <w:bookmarkEnd w:id="233"/>
      <w:bookmarkEnd w:id="234"/>
      <w:bookmarkEnd w:id="235"/>
      <w:bookmarkEnd w:id="236"/>
      <w:bookmarkEnd w:id="237"/>
    </w:p>
    <w:p w14:paraId="08A3406E" w14:textId="7A820412" w:rsidR="00743697" w:rsidRPr="00587CE8" w:rsidRDefault="00743697" w:rsidP="00743697">
      <w:pPr>
        <w:rPr>
          <w:lang w:eastAsia="ja-JP"/>
        </w:rPr>
      </w:pPr>
      <w:r>
        <w:rPr>
          <w:lang w:eastAsia="ja-JP"/>
        </w:rPr>
        <w:t>There is only one additional benefit that can be documented from the additional information. Up to 5% of ADF personnel returning to Australia after deployment to South</w:t>
      </w:r>
      <w:r w:rsidR="000F546D">
        <w:rPr>
          <w:lang w:eastAsia="ja-JP"/>
        </w:rPr>
        <w:t> </w:t>
      </w:r>
      <w:r>
        <w:rPr>
          <w:lang w:eastAsia="ja-JP"/>
        </w:rPr>
        <w:t>East Asia develop malaria, probably due to compliance problems with compliance with current post-exposure prophylaxis regimens (mefloquine and doxycycline). Tafenoquine has potential to prevent this with one post-exposure dose according to the data presented.</w:t>
      </w:r>
    </w:p>
    <w:p w14:paraId="79EB7906" w14:textId="77777777" w:rsidR="00743697" w:rsidRDefault="00743697" w:rsidP="006E1914">
      <w:pPr>
        <w:pStyle w:val="Heading4"/>
      </w:pPr>
      <w:bookmarkStart w:id="238" w:name="_Toc272414710"/>
      <w:bookmarkStart w:id="239" w:name="_Toc290888576"/>
      <w:bookmarkStart w:id="240" w:name="_Toc416353793"/>
      <w:bookmarkStart w:id="241" w:name="_Toc421005335"/>
      <w:bookmarkStart w:id="242" w:name="_Toc432079208"/>
      <w:bookmarkStart w:id="243" w:name="_Toc432080781"/>
      <w:bookmarkStart w:id="244" w:name="_Toc504229410"/>
      <w:bookmarkStart w:id="245" w:name="_Toc501809184"/>
      <w:r w:rsidRPr="00500C5C">
        <w:lastRenderedPageBreak/>
        <w:t>Second round assessment of risks</w:t>
      </w:r>
      <w:bookmarkEnd w:id="238"/>
      <w:bookmarkEnd w:id="239"/>
      <w:bookmarkEnd w:id="240"/>
      <w:bookmarkEnd w:id="241"/>
      <w:bookmarkEnd w:id="242"/>
      <w:bookmarkEnd w:id="243"/>
      <w:bookmarkEnd w:id="244"/>
      <w:bookmarkEnd w:id="245"/>
    </w:p>
    <w:p w14:paraId="598EDCCE" w14:textId="77777777" w:rsidR="00743697" w:rsidRPr="00375659" w:rsidRDefault="00743697" w:rsidP="00743697">
      <w:pPr>
        <w:rPr>
          <w:lang w:eastAsia="ja-JP"/>
        </w:rPr>
      </w:pPr>
      <w:r w:rsidRPr="00687870">
        <w:rPr>
          <w:lang w:eastAsia="ja-JP"/>
        </w:rPr>
        <w:t>No new clinical information was submitted in response to questions. Accordingly, the risks of</w:t>
      </w:r>
      <w:r>
        <w:rPr>
          <w:lang w:eastAsia="ja-JP"/>
        </w:rPr>
        <w:t xml:space="preserve"> tafenoquine</w:t>
      </w:r>
      <w:r w:rsidRPr="00687870">
        <w:rPr>
          <w:lang w:eastAsia="ja-JP"/>
        </w:rPr>
        <w:t xml:space="preserve"> are unchanged from those identified in </w:t>
      </w:r>
      <w:r w:rsidR="006E1914">
        <w:rPr>
          <w:lang w:eastAsia="ja-JP"/>
        </w:rPr>
        <w:t>the first round evaluation (see above)</w:t>
      </w:r>
      <w:r>
        <w:rPr>
          <w:lang w:eastAsia="ja-JP"/>
        </w:rPr>
        <w:t>.</w:t>
      </w:r>
    </w:p>
    <w:p w14:paraId="58B9ADF7" w14:textId="4D3BC601" w:rsidR="00743697" w:rsidRDefault="00743697" w:rsidP="006E1914">
      <w:pPr>
        <w:pStyle w:val="Heading4"/>
      </w:pPr>
      <w:bookmarkStart w:id="246" w:name="_Toc272414711"/>
      <w:bookmarkStart w:id="247" w:name="_Toc290888577"/>
      <w:bookmarkStart w:id="248" w:name="_Toc416353794"/>
      <w:bookmarkStart w:id="249" w:name="_Toc421005336"/>
      <w:bookmarkStart w:id="250" w:name="_Toc432079209"/>
      <w:bookmarkStart w:id="251" w:name="_Toc432080782"/>
      <w:bookmarkStart w:id="252" w:name="_Toc504229411"/>
      <w:bookmarkStart w:id="253" w:name="_Toc501809185"/>
      <w:r w:rsidRPr="00545B14">
        <w:t xml:space="preserve">Second round assessment of benefit-risk </w:t>
      </w:r>
      <w:bookmarkEnd w:id="246"/>
      <w:bookmarkEnd w:id="247"/>
      <w:bookmarkEnd w:id="248"/>
      <w:bookmarkEnd w:id="249"/>
      <w:r>
        <w:t>balance</w:t>
      </w:r>
      <w:bookmarkEnd w:id="250"/>
      <w:bookmarkEnd w:id="251"/>
      <w:bookmarkEnd w:id="252"/>
      <w:bookmarkEnd w:id="253"/>
    </w:p>
    <w:p w14:paraId="6653C27B" w14:textId="6C4C8476" w:rsidR="00743697" w:rsidRPr="00E80B20" w:rsidRDefault="00743697" w:rsidP="00743697">
      <w:pPr>
        <w:rPr>
          <w:lang w:eastAsia="ja-JP"/>
        </w:rPr>
      </w:pPr>
      <w:r w:rsidRPr="00C73D8C">
        <w:rPr>
          <w:lang w:eastAsia="ja-JP"/>
        </w:rPr>
        <w:t xml:space="preserve">The changes recommended </w:t>
      </w:r>
      <w:r w:rsidR="00735C4D" w:rsidRPr="00C73D8C">
        <w:rPr>
          <w:lang w:eastAsia="ja-JP"/>
        </w:rPr>
        <w:t xml:space="preserve">should be </w:t>
      </w:r>
      <w:r w:rsidRPr="00C73D8C">
        <w:rPr>
          <w:lang w:eastAsia="ja-JP"/>
        </w:rPr>
        <w:t>adopted</w:t>
      </w:r>
      <w:r w:rsidR="003915F7" w:rsidRPr="00C73D8C">
        <w:rPr>
          <w:lang w:eastAsia="ja-JP"/>
        </w:rPr>
        <w:t xml:space="preserve"> (see recommendations regarding authorisation below)</w:t>
      </w:r>
      <w:r w:rsidRPr="00C73D8C">
        <w:rPr>
          <w:lang w:eastAsia="ja-JP"/>
        </w:rPr>
        <w:t>.</w:t>
      </w:r>
    </w:p>
    <w:p w14:paraId="3658DC26" w14:textId="337C307E" w:rsidR="00743697" w:rsidRDefault="00743697" w:rsidP="00743697">
      <w:pPr>
        <w:pStyle w:val="Heading2"/>
      </w:pPr>
      <w:bookmarkStart w:id="254" w:name="_Toc504229412"/>
      <w:bookmarkStart w:id="255" w:name="_Toc501809186"/>
      <w:bookmarkStart w:id="256" w:name="_Toc12348793"/>
      <w:r>
        <w:t>Second round recommendation regarding authorisation</w:t>
      </w:r>
      <w:bookmarkEnd w:id="254"/>
      <w:bookmarkEnd w:id="255"/>
      <w:bookmarkEnd w:id="256"/>
    </w:p>
    <w:p w14:paraId="4E36FCB4" w14:textId="77777777" w:rsidR="00DC6C86" w:rsidRDefault="00743697" w:rsidP="00743697">
      <w:pPr>
        <w:rPr>
          <w:lang w:eastAsia="ja-JP"/>
        </w:rPr>
      </w:pPr>
      <w:r>
        <w:rPr>
          <w:lang w:eastAsia="ja-JP"/>
        </w:rPr>
        <w:t>The ADF data about the risk of malaria in returned ADF personnel is the strongest argument so far for the licensing of this drug in Australia.</w:t>
      </w:r>
    </w:p>
    <w:p w14:paraId="4246DD90" w14:textId="5B6BA007" w:rsidR="00743697" w:rsidRDefault="00743697" w:rsidP="00743697">
      <w:pPr>
        <w:rPr>
          <w:lang w:eastAsia="ja-JP"/>
        </w:rPr>
      </w:pPr>
      <w:r>
        <w:rPr>
          <w:lang w:eastAsia="ja-JP"/>
        </w:rPr>
        <w:t xml:space="preserve">Unfortunately, there is still no comparative data with </w:t>
      </w:r>
      <w:r w:rsidR="00222998">
        <w:rPr>
          <w:lang w:eastAsia="ja-JP"/>
        </w:rPr>
        <w:t>Malarone</w:t>
      </w:r>
      <w:r w:rsidR="002F30A6">
        <w:rPr>
          <w:lang w:eastAsia="ja-JP"/>
        </w:rPr>
        <w:t>.</w:t>
      </w:r>
      <w:r>
        <w:rPr>
          <w:lang w:eastAsia="ja-JP"/>
        </w:rPr>
        <w:t xml:space="preserve"> </w:t>
      </w:r>
      <w:r w:rsidR="003915F7">
        <w:rPr>
          <w:lang w:eastAsia="ja-JP"/>
        </w:rPr>
        <w:t xml:space="preserve">The clinical evaluator </w:t>
      </w:r>
      <w:r>
        <w:rPr>
          <w:lang w:eastAsia="ja-JP"/>
        </w:rPr>
        <w:t>would however support licensing of tafenoquine for use in military personnel (or other personnel at high risk of malaria) in whom other, licensed prophylaxis drugs are contra-indicated or not tolerated (this would require a change in the wording of the indication).</w:t>
      </w:r>
    </w:p>
    <w:p w14:paraId="33AEC04B" w14:textId="77777777" w:rsidR="008E7846" w:rsidRPr="00E41208" w:rsidRDefault="008E7846" w:rsidP="00546154">
      <w:pPr>
        <w:pStyle w:val="Heading2"/>
      </w:pPr>
      <w:bookmarkStart w:id="257" w:name="_Toc12348794"/>
      <w:r w:rsidRPr="00E41208">
        <w:t>V</w:t>
      </w:r>
      <w:r w:rsidR="00500337">
        <w:t>I</w:t>
      </w:r>
      <w:r w:rsidRPr="00E41208">
        <w:t xml:space="preserve">. Pharmacovigilance </w:t>
      </w:r>
      <w:r>
        <w:t>f</w:t>
      </w:r>
      <w:r w:rsidRPr="00E41208">
        <w:t>indings</w:t>
      </w:r>
      <w:bookmarkEnd w:id="165"/>
      <w:bookmarkEnd w:id="166"/>
      <w:bookmarkEnd w:id="257"/>
    </w:p>
    <w:p w14:paraId="5213D510" w14:textId="77777777" w:rsidR="008E7846" w:rsidRDefault="00386150" w:rsidP="008E7846">
      <w:pPr>
        <w:pStyle w:val="Heading3"/>
        <w:rPr>
          <w:lang w:eastAsia="en-AU"/>
        </w:rPr>
      </w:pPr>
      <w:bookmarkStart w:id="258" w:name="_Toc247691526"/>
      <w:bookmarkStart w:id="259" w:name="_Toc314842509"/>
      <w:bookmarkStart w:id="260" w:name="_Toc12348795"/>
      <w:r>
        <w:rPr>
          <w:lang w:eastAsia="en-AU"/>
        </w:rPr>
        <w:t>Risk m</w:t>
      </w:r>
      <w:r w:rsidR="008E7846">
        <w:rPr>
          <w:lang w:eastAsia="en-AU"/>
        </w:rPr>
        <w:t xml:space="preserve">anagement </w:t>
      </w:r>
      <w:r>
        <w:rPr>
          <w:lang w:eastAsia="en-AU"/>
        </w:rPr>
        <w:t>p</w:t>
      </w:r>
      <w:r w:rsidR="008E7846">
        <w:rPr>
          <w:lang w:eastAsia="en-AU"/>
        </w:rPr>
        <w:t>lan</w:t>
      </w:r>
      <w:bookmarkEnd w:id="258"/>
      <w:bookmarkEnd w:id="259"/>
      <w:bookmarkEnd w:id="260"/>
    </w:p>
    <w:p w14:paraId="5DE19C28" w14:textId="20027F7C" w:rsidR="001B103A" w:rsidRPr="00CD79BD" w:rsidRDefault="00CD0452" w:rsidP="00CD0452">
      <w:r>
        <w:t>The sponsor</w:t>
      </w:r>
      <w:r w:rsidR="001B103A" w:rsidRPr="00CD79BD">
        <w:t xml:space="preserve"> has submitted EU-RMP version 1.0 (dated 28 August 2017; D</w:t>
      </w:r>
      <w:r w:rsidR="00FA5692">
        <w:t>ata Lock Point (D</w:t>
      </w:r>
      <w:r w:rsidR="001B103A" w:rsidRPr="00CD79BD">
        <w:t>LP</w:t>
      </w:r>
      <w:r w:rsidR="00FA5692">
        <w:t>)</w:t>
      </w:r>
      <w:r w:rsidR="001B103A" w:rsidRPr="00CD79BD">
        <w:t xml:space="preserve"> 28 August 2017) and A</w:t>
      </w:r>
      <w:r w:rsidR="00FA5692">
        <w:t>ustralian Specific Annex (A</w:t>
      </w:r>
      <w:r w:rsidR="001B103A" w:rsidRPr="00CD79BD">
        <w:t>SA</w:t>
      </w:r>
      <w:r w:rsidR="00FA5692">
        <w:t>)</w:t>
      </w:r>
      <w:r w:rsidR="001B103A" w:rsidRPr="00CD79BD">
        <w:t xml:space="preserve"> version1.0 (dated 3 July 2017) in support of this application. In </w:t>
      </w:r>
      <w:r w:rsidR="00FA5692">
        <w:t>the sponsor’s</w:t>
      </w:r>
      <w:r w:rsidR="001B103A" w:rsidRPr="00CD79BD">
        <w:t xml:space="preserve"> response</w:t>
      </w:r>
      <w:r w:rsidR="00FA5692">
        <w:t xml:space="preserve"> to TGA’s request for further information</w:t>
      </w:r>
      <w:r w:rsidR="001B103A" w:rsidRPr="00CD79BD">
        <w:t xml:space="preserve">, the </w:t>
      </w:r>
      <w:r w:rsidR="00FA5692">
        <w:t>s</w:t>
      </w:r>
      <w:r w:rsidR="001B103A" w:rsidRPr="00CD79BD">
        <w:t>ponsor has submitted EU-RMP version 2.0 (dated 30 January 2018; DLP 21 August 2017) and ASA version</w:t>
      </w:r>
      <w:r w:rsidR="001A1577">
        <w:t xml:space="preserve"> </w:t>
      </w:r>
      <w:r w:rsidR="001B103A" w:rsidRPr="00CD79BD">
        <w:t>2.0 (dated 30 January 2018).</w:t>
      </w:r>
    </w:p>
    <w:p w14:paraId="3330801A" w14:textId="2BF484FE" w:rsidR="001B103A" w:rsidRDefault="001B103A" w:rsidP="00CD0452">
      <w:r w:rsidRPr="0003216B">
        <w:t>The proposed Summary of Safety Concerns and their associated risk monitoring and mitigation strategies are summarised below</w:t>
      </w:r>
      <w:r w:rsidR="00CD0452">
        <w:t xml:space="preserve"> (Table 2</w:t>
      </w:r>
      <w:r w:rsidR="001D5C78">
        <w:t>5</w:t>
      </w:r>
      <w:r w:rsidR="00CD0452">
        <w:t>).</w:t>
      </w:r>
    </w:p>
    <w:p w14:paraId="66AF298E" w14:textId="0B916031" w:rsidR="00CD0452" w:rsidRPr="0003216B" w:rsidRDefault="00CD0452" w:rsidP="00CD0452">
      <w:pPr>
        <w:pStyle w:val="TableTitle"/>
      </w:pPr>
      <w:r>
        <w:t>Table 2</w:t>
      </w:r>
      <w:r w:rsidR="006D2C04">
        <w:t>5</w:t>
      </w:r>
      <w:r>
        <w:t>: Summary of ongoing safety concerns</w:t>
      </w:r>
    </w:p>
    <w:tbl>
      <w:tblPr>
        <w:tblStyle w:val="TableTGAblue"/>
        <w:tblW w:w="9469" w:type="dxa"/>
        <w:tblLayout w:type="fixed"/>
        <w:tblLook w:val="04A0" w:firstRow="1" w:lastRow="0" w:firstColumn="1" w:lastColumn="0" w:noHBand="0" w:noVBand="1"/>
      </w:tblPr>
      <w:tblGrid>
        <w:gridCol w:w="1668"/>
        <w:gridCol w:w="2551"/>
        <w:gridCol w:w="1701"/>
        <w:gridCol w:w="1678"/>
        <w:gridCol w:w="1015"/>
        <w:gridCol w:w="856"/>
      </w:tblGrid>
      <w:tr w:rsidR="001B103A" w:rsidRPr="004F1C07" w14:paraId="5B495F49" w14:textId="77777777" w:rsidTr="00CD0452">
        <w:trPr>
          <w:cnfStyle w:val="100000000000" w:firstRow="1" w:lastRow="0" w:firstColumn="0" w:lastColumn="0" w:oddVBand="0" w:evenVBand="0" w:oddHBand="0" w:evenHBand="0" w:firstRowFirstColumn="0" w:firstRowLastColumn="0" w:lastRowFirstColumn="0" w:lastRowLastColumn="0"/>
          <w:trHeight w:val="131"/>
        </w:trPr>
        <w:tc>
          <w:tcPr>
            <w:tcW w:w="4219" w:type="dxa"/>
            <w:gridSpan w:val="2"/>
            <w:vMerge w:val="restart"/>
          </w:tcPr>
          <w:p w14:paraId="68DA0AB2" w14:textId="77777777" w:rsidR="001B103A" w:rsidRPr="008D44CF" w:rsidRDefault="001B103A" w:rsidP="001B103A">
            <w:pPr>
              <w:pStyle w:val="Tabletext"/>
            </w:pPr>
            <w:r w:rsidRPr="008D44CF">
              <w:t>Summary of safety concerns*</w:t>
            </w:r>
          </w:p>
        </w:tc>
        <w:tc>
          <w:tcPr>
            <w:tcW w:w="3379" w:type="dxa"/>
            <w:gridSpan w:val="2"/>
          </w:tcPr>
          <w:p w14:paraId="0FD92DE7" w14:textId="77777777" w:rsidR="001B103A" w:rsidRPr="008D44CF" w:rsidRDefault="001B103A" w:rsidP="001B103A">
            <w:pPr>
              <w:pStyle w:val="Tabletext"/>
              <w:rPr>
                <w:sz w:val="18"/>
              </w:rPr>
            </w:pPr>
            <w:r w:rsidRPr="008D44CF">
              <w:rPr>
                <w:sz w:val="18"/>
              </w:rPr>
              <w:t>Pharmacovigilance</w:t>
            </w:r>
          </w:p>
        </w:tc>
        <w:tc>
          <w:tcPr>
            <w:tcW w:w="1871" w:type="dxa"/>
            <w:gridSpan w:val="2"/>
          </w:tcPr>
          <w:p w14:paraId="19C2A53A" w14:textId="77777777" w:rsidR="001B103A" w:rsidRPr="008D44CF" w:rsidRDefault="001B103A" w:rsidP="001B103A">
            <w:pPr>
              <w:pStyle w:val="Tabletext"/>
              <w:rPr>
                <w:sz w:val="18"/>
              </w:rPr>
            </w:pPr>
            <w:r w:rsidRPr="008D44CF">
              <w:rPr>
                <w:sz w:val="18"/>
              </w:rPr>
              <w:t>Risk Minimisation</w:t>
            </w:r>
          </w:p>
        </w:tc>
      </w:tr>
      <w:tr w:rsidR="001B103A" w:rsidRPr="004F1C07" w14:paraId="2DC3B700" w14:textId="77777777" w:rsidTr="00CD0452">
        <w:trPr>
          <w:trHeight w:val="150"/>
        </w:trPr>
        <w:tc>
          <w:tcPr>
            <w:tcW w:w="4219" w:type="dxa"/>
            <w:gridSpan w:val="2"/>
            <w:vMerge/>
          </w:tcPr>
          <w:p w14:paraId="28D95CB8" w14:textId="77777777" w:rsidR="001B103A" w:rsidRPr="004F1C07" w:rsidRDefault="001B103A" w:rsidP="001B103A">
            <w:pPr>
              <w:pStyle w:val="Tabletext"/>
              <w:rPr>
                <w:b/>
              </w:rPr>
            </w:pPr>
          </w:p>
        </w:tc>
        <w:tc>
          <w:tcPr>
            <w:tcW w:w="1701" w:type="dxa"/>
          </w:tcPr>
          <w:p w14:paraId="35C6D995" w14:textId="77777777" w:rsidR="001B103A" w:rsidRPr="0011726C" w:rsidRDefault="001B103A" w:rsidP="001B103A">
            <w:pPr>
              <w:pStyle w:val="Tabletext"/>
              <w:rPr>
                <w:sz w:val="18"/>
              </w:rPr>
            </w:pPr>
            <w:r w:rsidRPr="0011726C">
              <w:rPr>
                <w:sz w:val="18"/>
              </w:rPr>
              <w:t>Routine</w:t>
            </w:r>
            <w:r w:rsidR="00CD0452">
              <w:rPr>
                <w:sz w:val="18"/>
              </w:rPr>
              <w:t xml:space="preserve"> (R)</w:t>
            </w:r>
          </w:p>
        </w:tc>
        <w:tc>
          <w:tcPr>
            <w:tcW w:w="1678" w:type="dxa"/>
          </w:tcPr>
          <w:p w14:paraId="289601B2" w14:textId="77777777" w:rsidR="001B103A" w:rsidRPr="0011726C" w:rsidRDefault="001B103A" w:rsidP="001B103A">
            <w:pPr>
              <w:pStyle w:val="Tabletext"/>
              <w:rPr>
                <w:sz w:val="18"/>
              </w:rPr>
            </w:pPr>
            <w:r w:rsidRPr="0011726C">
              <w:rPr>
                <w:sz w:val="18"/>
              </w:rPr>
              <w:t>Additional</w:t>
            </w:r>
            <w:r w:rsidR="00CD0452">
              <w:rPr>
                <w:sz w:val="18"/>
              </w:rPr>
              <w:t xml:space="preserve"> (A)</w:t>
            </w:r>
          </w:p>
        </w:tc>
        <w:tc>
          <w:tcPr>
            <w:tcW w:w="1015" w:type="dxa"/>
          </w:tcPr>
          <w:p w14:paraId="1DCBD7F7" w14:textId="77777777" w:rsidR="001B103A" w:rsidRPr="0011726C" w:rsidRDefault="001B103A" w:rsidP="00CD0452">
            <w:pPr>
              <w:pStyle w:val="Tabletext"/>
              <w:rPr>
                <w:sz w:val="18"/>
              </w:rPr>
            </w:pPr>
            <w:r w:rsidRPr="0011726C">
              <w:rPr>
                <w:sz w:val="18"/>
              </w:rPr>
              <w:t>R</w:t>
            </w:r>
          </w:p>
        </w:tc>
        <w:tc>
          <w:tcPr>
            <w:tcW w:w="856" w:type="dxa"/>
          </w:tcPr>
          <w:p w14:paraId="3028F174" w14:textId="77777777" w:rsidR="001B103A" w:rsidRPr="0011726C" w:rsidRDefault="001B103A" w:rsidP="00CD0452">
            <w:pPr>
              <w:pStyle w:val="Tabletext"/>
              <w:rPr>
                <w:sz w:val="18"/>
              </w:rPr>
            </w:pPr>
            <w:r w:rsidRPr="0011726C">
              <w:rPr>
                <w:sz w:val="18"/>
              </w:rPr>
              <w:t>A</w:t>
            </w:r>
          </w:p>
        </w:tc>
      </w:tr>
      <w:tr w:rsidR="001B103A" w:rsidRPr="004F1C07" w14:paraId="57D30186" w14:textId="77777777" w:rsidTr="00CD0452">
        <w:trPr>
          <w:trHeight w:val="137"/>
        </w:trPr>
        <w:tc>
          <w:tcPr>
            <w:tcW w:w="1668" w:type="dxa"/>
            <w:vMerge w:val="restart"/>
          </w:tcPr>
          <w:p w14:paraId="485035E5" w14:textId="77777777" w:rsidR="001B103A" w:rsidRPr="00680101" w:rsidRDefault="001B103A" w:rsidP="001B103A">
            <w:pPr>
              <w:pStyle w:val="Tabletext"/>
              <w:rPr>
                <w:b/>
              </w:rPr>
            </w:pPr>
            <w:r w:rsidRPr="00680101">
              <w:rPr>
                <w:b/>
              </w:rPr>
              <w:t>Important identified risks</w:t>
            </w:r>
          </w:p>
        </w:tc>
        <w:tc>
          <w:tcPr>
            <w:tcW w:w="2551" w:type="dxa"/>
          </w:tcPr>
          <w:p w14:paraId="48306330" w14:textId="77777777" w:rsidR="001B103A" w:rsidRPr="003440AD" w:rsidRDefault="001B103A" w:rsidP="001B103A">
            <w:pPr>
              <w:pStyle w:val="Summaryofsafetyconcerns"/>
              <w:keepNext/>
              <w:keepLines/>
              <w:rPr>
                <w:b w:val="0"/>
              </w:rPr>
            </w:pPr>
            <w:r w:rsidRPr="003440AD">
              <w:rPr>
                <w:b w:val="0"/>
              </w:rPr>
              <w:t>H</w:t>
            </w:r>
            <w:r w:rsidR="002522B4">
              <w:rPr>
                <w:b w:val="0"/>
              </w:rPr>
              <w:t>a</w:t>
            </w:r>
            <w:r w:rsidRPr="003440AD">
              <w:rPr>
                <w:b w:val="0"/>
              </w:rPr>
              <w:t>emolytic an</w:t>
            </w:r>
            <w:r w:rsidR="002522B4">
              <w:rPr>
                <w:b w:val="0"/>
              </w:rPr>
              <w:t>a</w:t>
            </w:r>
            <w:r w:rsidRPr="003440AD">
              <w:rPr>
                <w:b w:val="0"/>
              </w:rPr>
              <w:t>emia in G6PD deficiency</w:t>
            </w:r>
          </w:p>
        </w:tc>
        <w:tc>
          <w:tcPr>
            <w:tcW w:w="1701" w:type="dxa"/>
          </w:tcPr>
          <w:p w14:paraId="035A0FD8" w14:textId="77777777" w:rsidR="001B103A" w:rsidRPr="003C6F73" w:rsidRDefault="001B103A" w:rsidP="001B103A">
            <w:pPr>
              <w:pStyle w:val="Tabletext"/>
              <w:jc w:val="center"/>
            </w:pPr>
            <w:r w:rsidRPr="003C6F73">
              <w:sym w:font="Wingdings" w:char="F0FC"/>
            </w:r>
          </w:p>
        </w:tc>
        <w:tc>
          <w:tcPr>
            <w:tcW w:w="1678" w:type="dxa"/>
          </w:tcPr>
          <w:p w14:paraId="311E780F" w14:textId="77777777" w:rsidR="001B103A" w:rsidRPr="003C6F73" w:rsidRDefault="001B103A" w:rsidP="001B103A">
            <w:pPr>
              <w:pStyle w:val="Tabletext"/>
              <w:jc w:val="center"/>
            </w:pPr>
            <w:r w:rsidRPr="003C6F73">
              <w:t>–</w:t>
            </w:r>
          </w:p>
        </w:tc>
        <w:tc>
          <w:tcPr>
            <w:tcW w:w="1015" w:type="dxa"/>
          </w:tcPr>
          <w:p w14:paraId="78F09FD4" w14:textId="77777777" w:rsidR="001B103A" w:rsidRPr="003C6F73" w:rsidRDefault="001B103A" w:rsidP="001B103A">
            <w:pPr>
              <w:pStyle w:val="Tabletext"/>
              <w:jc w:val="center"/>
            </w:pPr>
            <w:r w:rsidRPr="003C6F73">
              <w:sym w:font="Wingdings" w:char="F0FC"/>
            </w:r>
          </w:p>
        </w:tc>
        <w:tc>
          <w:tcPr>
            <w:tcW w:w="856" w:type="dxa"/>
          </w:tcPr>
          <w:p w14:paraId="423073B0" w14:textId="77777777" w:rsidR="001B103A" w:rsidRPr="003C6F73" w:rsidRDefault="001B103A" w:rsidP="001B103A">
            <w:pPr>
              <w:pStyle w:val="Tabletext"/>
              <w:jc w:val="center"/>
            </w:pPr>
            <w:r w:rsidRPr="003C6F73">
              <w:t>–</w:t>
            </w:r>
          </w:p>
        </w:tc>
      </w:tr>
      <w:tr w:rsidR="001B103A" w:rsidRPr="004F1C07" w14:paraId="4ADFD1DB" w14:textId="77777777" w:rsidTr="00CD0452">
        <w:trPr>
          <w:trHeight w:val="94"/>
        </w:trPr>
        <w:tc>
          <w:tcPr>
            <w:tcW w:w="1668" w:type="dxa"/>
            <w:vMerge/>
          </w:tcPr>
          <w:p w14:paraId="54EE62AC" w14:textId="77777777" w:rsidR="001B103A" w:rsidRPr="00680101" w:rsidRDefault="001B103A" w:rsidP="001B103A">
            <w:pPr>
              <w:pStyle w:val="Tabletext"/>
              <w:rPr>
                <w:b/>
              </w:rPr>
            </w:pPr>
          </w:p>
        </w:tc>
        <w:tc>
          <w:tcPr>
            <w:tcW w:w="2551" w:type="dxa"/>
          </w:tcPr>
          <w:p w14:paraId="584C3707" w14:textId="77777777" w:rsidR="001B103A" w:rsidRPr="003440AD" w:rsidRDefault="001B103A" w:rsidP="001B103A">
            <w:pPr>
              <w:pStyle w:val="Summaryofsafetyconcerns"/>
              <w:keepNext/>
              <w:keepLines/>
              <w:rPr>
                <w:b w:val="0"/>
              </w:rPr>
            </w:pPr>
            <w:r w:rsidRPr="003440AD">
              <w:rPr>
                <w:b w:val="0"/>
              </w:rPr>
              <w:t>Methaemoglobinaemia</w:t>
            </w:r>
          </w:p>
        </w:tc>
        <w:tc>
          <w:tcPr>
            <w:tcW w:w="1701" w:type="dxa"/>
          </w:tcPr>
          <w:p w14:paraId="7EE7D983" w14:textId="77777777" w:rsidR="001B103A" w:rsidRPr="003C6F73" w:rsidRDefault="001B103A" w:rsidP="001B103A">
            <w:pPr>
              <w:pStyle w:val="Tabletext"/>
              <w:jc w:val="center"/>
            </w:pPr>
            <w:r w:rsidRPr="003C6F73">
              <w:sym w:font="Wingdings" w:char="F0FC"/>
            </w:r>
          </w:p>
        </w:tc>
        <w:tc>
          <w:tcPr>
            <w:tcW w:w="1678" w:type="dxa"/>
          </w:tcPr>
          <w:p w14:paraId="1F906BDB" w14:textId="77777777" w:rsidR="001B103A" w:rsidRPr="003C6F73" w:rsidRDefault="001B103A" w:rsidP="001B103A">
            <w:pPr>
              <w:pStyle w:val="Tabletext"/>
              <w:jc w:val="center"/>
            </w:pPr>
            <w:r w:rsidRPr="003C6F73">
              <w:t>–</w:t>
            </w:r>
          </w:p>
        </w:tc>
        <w:tc>
          <w:tcPr>
            <w:tcW w:w="1015" w:type="dxa"/>
          </w:tcPr>
          <w:p w14:paraId="02866E61" w14:textId="77777777" w:rsidR="001B103A" w:rsidRPr="003C6F73" w:rsidRDefault="001B103A" w:rsidP="001B103A">
            <w:pPr>
              <w:pStyle w:val="Tabletext"/>
              <w:jc w:val="center"/>
            </w:pPr>
            <w:r w:rsidRPr="003C6F73">
              <w:sym w:font="Wingdings" w:char="F0FC"/>
            </w:r>
          </w:p>
        </w:tc>
        <w:tc>
          <w:tcPr>
            <w:tcW w:w="856" w:type="dxa"/>
          </w:tcPr>
          <w:p w14:paraId="7A452D17" w14:textId="77777777" w:rsidR="001B103A" w:rsidRPr="003C6F73" w:rsidRDefault="001B103A" w:rsidP="001B103A">
            <w:pPr>
              <w:pStyle w:val="Tabletext"/>
              <w:jc w:val="center"/>
            </w:pPr>
            <w:r w:rsidRPr="003C6F73">
              <w:t>–</w:t>
            </w:r>
          </w:p>
        </w:tc>
      </w:tr>
      <w:tr w:rsidR="001B103A" w:rsidRPr="004F1C07" w14:paraId="543101E0" w14:textId="77777777" w:rsidTr="00CD0452">
        <w:trPr>
          <w:trHeight w:val="187"/>
        </w:trPr>
        <w:tc>
          <w:tcPr>
            <w:tcW w:w="1668" w:type="dxa"/>
            <w:vMerge/>
          </w:tcPr>
          <w:p w14:paraId="07828AC4" w14:textId="77777777" w:rsidR="001B103A" w:rsidRPr="00680101" w:rsidRDefault="001B103A" w:rsidP="001B103A">
            <w:pPr>
              <w:pStyle w:val="Tabletext"/>
              <w:rPr>
                <w:b/>
              </w:rPr>
            </w:pPr>
          </w:p>
        </w:tc>
        <w:tc>
          <w:tcPr>
            <w:tcW w:w="2551" w:type="dxa"/>
          </w:tcPr>
          <w:p w14:paraId="36122A44" w14:textId="77777777" w:rsidR="001B103A" w:rsidRPr="00CD2EF0" w:rsidRDefault="001B103A" w:rsidP="001B103A">
            <w:pPr>
              <w:pStyle w:val="Summaryofsafetyconcerns"/>
              <w:keepNext/>
              <w:keepLines/>
              <w:rPr>
                <w:b w:val="0"/>
              </w:rPr>
            </w:pPr>
            <w:r w:rsidRPr="00CD2EF0">
              <w:rPr>
                <w:b w:val="0"/>
              </w:rPr>
              <w:t>Use in pregnancy</w:t>
            </w:r>
          </w:p>
        </w:tc>
        <w:tc>
          <w:tcPr>
            <w:tcW w:w="1701" w:type="dxa"/>
          </w:tcPr>
          <w:p w14:paraId="71EC3ADB" w14:textId="77777777" w:rsidR="001B103A" w:rsidRPr="003C6F73" w:rsidRDefault="001B103A" w:rsidP="001B103A">
            <w:pPr>
              <w:pStyle w:val="Tabletext"/>
              <w:jc w:val="center"/>
            </w:pPr>
            <w:r w:rsidRPr="003C6F73">
              <w:sym w:font="Wingdings" w:char="F0FC"/>
            </w:r>
          </w:p>
        </w:tc>
        <w:tc>
          <w:tcPr>
            <w:tcW w:w="1678" w:type="dxa"/>
          </w:tcPr>
          <w:p w14:paraId="0E9AE0B1" w14:textId="77777777" w:rsidR="001B103A" w:rsidRPr="003C6F73" w:rsidRDefault="001B103A" w:rsidP="001B103A">
            <w:pPr>
              <w:pStyle w:val="Tabletext"/>
              <w:jc w:val="center"/>
            </w:pPr>
            <w:r w:rsidRPr="003C6F73">
              <w:t>–</w:t>
            </w:r>
          </w:p>
        </w:tc>
        <w:tc>
          <w:tcPr>
            <w:tcW w:w="1015" w:type="dxa"/>
          </w:tcPr>
          <w:p w14:paraId="66AAA6F6" w14:textId="77777777" w:rsidR="001B103A" w:rsidRPr="003C6F73" w:rsidRDefault="001B103A" w:rsidP="001B103A">
            <w:pPr>
              <w:pStyle w:val="Tabletext"/>
              <w:jc w:val="center"/>
            </w:pPr>
            <w:r w:rsidRPr="003C6F73">
              <w:sym w:font="Wingdings" w:char="F0FC"/>
            </w:r>
          </w:p>
        </w:tc>
        <w:tc>
          <w:tcPr>
            <w:tcW w:w="856" w:type="dxa"/>
          </w:tcPr>
          <w:p w14:paraId="3BD42234" w14:textId="77777777" w:rsidR="001B103A" w:rsidRPr="003C6F73" w:rsidRDefault="001B103A" w:rsidP="001B103A">
            <w:pPr>
              <w:pStyle w:val="Tabletext"/>
              <w:jc w:val="center"/>
            </w:pPr>
            <w:r w:rsidRPr="003C6F73">
              <w:t>–</w:t>
            </w:r>
          </w:p>
        </w:tc>
      </w:tr>
      <w:tr w:rsidR="001B103A" w:rsidRPr="004F1C07" w14:paraId="0843FDE4" w14:textId="77777777" w:rsidTr="00CD0452">
        <w:trPr>
          <w:trHeight w:val="159"/>
        </w:trPr>
        <w:tc>
          <w:tcPr>
            <w:tcW w:w="1668" w:type="dxa"/>
            <w:vMerge w:val="restart"/>
          </w:tcPr>
          <w:p w14:paraId="7721D82C" w14:textId="77777777" w:rsidR="001B103A" w:rsidRPr="00680101" w:rsidRDefault="001B103A" w:rsidP="001B103A">
            <w:pPr>
              <w:pStyle w:val="Tabletext"/>
              <w:rPr>
                <w:b/>
              </w:rPr>
            </w:pPr>
            <w:r w:rsidRPr="00680101">
              <w:rPr>
                <w:b/>
              </w:rPr>
              <w:t>Important potential risks</w:t>
            </w:r>
          </w:p>
        </w:tc>
        <w:tc>
          <w:tcPr>
            <w:tcW w:w="2551" w:type="dxa"/>
          </w:tcPr>
          <w:p w14:paraId="686EFC1B" w14:textId="77777777" w:rsidR="001B103A" w:rsidRPr="00A13C93" w:rsidRDefault="001B103A" w:rsidP="001B103A">
            <w:pPr>
              <w:pStyle w:val="Summaryofsafetyconcerns"/>
              <w:keepNext/>
              <w:keepLines/>
              <w:rPr>
                <w:b w:val="0"/>
              </w:rPr>
            </w:pPr>
            <w:r w:rsidRPr="00A13C93">
              <w:rPr>
                <w:b w:val="0"/>
              </w:rPr>
              <w:t>Hyperplasia (renal)</w:t>
            </w:r>
          </w:p>
        </w:tc>
        <w:tc>
          <w:tcPr>
            <w:tcW w:w="1701" w:type="dxa"/>
          </w:tcPr>
          <w:p w14:paraId="04CA75D9" w14:textId="77777777" w:rsidR="001B103A" w:rsidRPr="003C6F73" w:rsidRDefault="001B103A" w:rsidP="001B103A">
            <w:pPr>
              <w:pStyle w:val="Tabletext"/>
              <w:jc w:val="center"/>
            </w:pPr>
            <w:r w:rsidRPr="003C6F73">
              <w:sym w:font="Wingdings" w:char="F0FC"/>
            </w:r>
          </w:p>
        </w:tc>
        <w:tc>
          <w:tcPr>
            <w:tcW w:w="1678" w:type="dxa"/>
          </w:tcPr>
          <w:p w14:paraId="6617B7BB" w14:textId="77777777" w:rsidR="001B103A" w:rsidRPr="003C6F73" w:rsidRDefault="001B103A" w:rsidP="001B103A">
            <w:pPr>
              <w:pStyle w:val="Tabletext"/>
              <w:jc w:val="center"/>
            </w:pPr>
            <w:r w:rsidRPr="003C6F73">
              <w:t>–</w:t>
            </w:r>
          </w:p>
        </w:tc>
        <w:tc>
          <w:tcPr>
            <w:tcW w:w="1015" w:type="dxa"/>
          </w:tcPr>
          <w:p w14:paraId="36F08016" w14:textId="77777777" w:rsidR="001B103A" w:rsidRPr="003C6F73" w:rsidRDefault="001B103A" w:rsidP="001B103A">
            <w:pPr>
              <w:pStyle w:val="Tabletext"/>
              <w:jc w:val="center"/>
            </w:pPr>
            <w:r w:rsidRPr="003C6F73">
              <w:sym w:font="Wingdings" w:char="F0FC"/>
            </w:r>
          </w:p>
        </w:tc>
        <w:tc>
          <w:tcPr>
            <w:tcW w:w="856" w:type="dxa"/>
          </w:tcPr>
          <w:p w14:paraId="436EAF33" w14:textId="77777777" w:rsidR="001B103A" w:rsidRPr="003C6F73" w:rsidRDefault="001B103A" w:rsidP="001B103A">
            <w:pPr>
              <w:pStyle w:val="Tabletext"/>
              <w:jc w:val="center"/>
            </w:pPr>
            <w:r w:rsidRPr="003C6F73">
              <w:t>–</w:t>
            </w:r>
          </w:p>
        </w:tc>
      </w:tr>
      <w:tr w:rsidR="001B103A" w:rsidRPr="004F1C07" w14:paraId="09F5FC1D" w14:textId="77777777" w:rsidTr="00CD0452">
        <w:trPr>
          <w:trHeight w:val="112"/>
        </w:trPr>
        <w:tc>
          <w:tcPr>
            <w:tcW w:w="1668" w:type="dxa"/>
            <w:vMerge/>
          </w:tcPr>
          <w:p w14:paraId="336FB672" w14:textId="77777777" w:rsidR="001B103A" w:rsidRPr="00680101" w:rsidRDefault="001B103A" w:rsidP="001B103A">
            <w:pPr>
              <w:pStyle w:val="Tabletext"/>
              <w:rPr>
                <w:b/>
              </w:rPr>
            </w:pPr>
          </w:p>
        </w:tc>
        <w:tc>
          <w:tcPr>
            <w:tcW w:w="2551" w:type="dxa"/>
          </w:tcPr>
          <w:p w14:paraId="5FB70A1B" w14:textId="77777777" w:rsidR="001B103A" w:rsidRPr="00A13C93" w:rsidRDefault="001B103A" w:rsidP="001B103A">
            <w:pPr>
              <w:pStyle w:val="Summaryofsafetyconcerns"/>
              <w:keepNext/>
              <w:keepLines/>
              <w:rPr>
                <w:b w:val="0"/>
              </w:rPr>
            </w:pPr>
            <w:r w:rsidRPr="00A13C93">
              <w:rPr>
                <w:b w:val="0"/>
              </w:rPr>
              <w:t>Hyperplasia (other)</w:t>
            </w:r>
          </w:p>
        </w:tc>
        <w:tc>
          <w:tcPr>
            <w:tcW w:w="1701" w:type="dxa"/>
          </w:tcPr>
          <w:p w14:paraId="0C0B8DB8" w14:textId="77777777" w:rsidR="001B103A" w:rsidRPr="003C6F73" w:rsidRDefault="001B103A" w:rsidP="001B103A">
            <w:pPr>
              <w:pStyle w:val="Tabletext"/>
              <w:jc w:val="center"/>
            </w:pPr>
            <w:r w:rsidRPr="003C6F73">
              <w:sym w:font="Wingdings" w:char="F0FC"/>
            </w:r>
          </w:p>
        </w:tc>
        <w:tc>
          <w:tcPr>
            <w:tcW w:w="1678" w:type="dxa"/>
          </w:tcPr>
          <w:p w14:paraId="32489281" w14:textId="77777777" w:rsidR="001B103A" w:rsidRPr="003C6F73" w:rsidRDefault="001B103A" w:rsidP="001B103A">
            <w:pPr>
              <w:pStyle w:val="Tabletext"/>
              <w:jc w:val="center"/>
            </w:pPr>
            <w:r w:rsidRPr="003C6F73">
              <w:t>–</w:t>
            </w:r>
          </w:p>
        </w:tc>
        <w:tc>
          <w:tcPr>
            <w:tcW w:w="1015" w:type="dxa"/>
          </w:tcPr>
          <w:p w14:paraId="25291D5B" w14:textId="77777777" w:rsidR="001B103A" w:rsidRPr="003C6F73" w:rsidRDefault="001B103A" w:rsidP="001B103A">
            <w:pPr>
              <w:pStyle w:val="Tabletext"/>
              <w:jc w:val="center"/>
            </w:pPr>
            <w:r w:rsidRPr="003C6F73">
              <w:sym w:font="Wingdings" w:char="F0FC"/>
            </w:r>
          </w:p>
        </w:tc>
        <w:tc>
          <w:tcPr>
            <w:tcW w:w="856" w:type="dxa"/>
          </w:tcPr>
          <w:p w14:paraId="3557F244" w14:textId="77777777" w:rsidR="001B103A" w:rsidRPr="003C6F73" w:rsidRDefault="001B103A" w:rsidP="001B103A">
            <w:pPr>
              <w:pStyle w:val="Tabletext"/>
              <w:jc w:val="center"/>
            </w:pPr>
            <w:r w:rsidRPr="003C6F73">
              <w:t>–</w:t>
            </w:r>
          </w:p>
        </w:tc>
      </w:tr>
      <w:tr w:rsidR="001B103A" w:rsidRPr="004F1C07" w14:paraId="37435B0B" w14:textId="77777777" w:rsidTr="00CD0452">
        <w:trPr>
          <w:trHeight w:val="112"/>
        </w:trPr>
        <w:tc>
          <w:tcPr>
            <w:tcW w:w="1668" w:type="dxa"/>
            <w:vMerge/>
          </w:tcPr>
          <w:p w14:paraId="3CD59D1B" w14:textId="77777777" w:rsidR="001B103A" w:rsidRPr="00680101" w:rsidRDefault="001B103A" w:rsidP="001B103A">
            <w:pPr>
              <w:pStyle w:val="Tabletext"/>
              <w:rPr>
                <w:b/>
              </w:rPr>
            </w:pPr>
          </w:p>
        </w:tc>
        <w:tc>
          <w:tcPr>
            <w:tcW w:w="2551" w:type="dxa"/>
          </w:tcPr>
          <w:p w14:paraId="69F8F3F7" w14:textId="77777777" w:rsidR="001B103A" w:rsidRPr="00A13C93" w:rsidRDefault="001B103A" w:rsidP="001B103A">
            <w:pPr>
              <w:pStyle w:val="Summaryofsafetyconcerns"/>
              <w:keepNext/>
              <w:keepLines/>
              <w:rPr>
                <w:b w:val="0"/>
              </w:rPr>
            </w:pPr>
            <w:r w:rsidRPr="00A13C93">
              <w:rPr>
                <w:b w:val="0"/>
              </w:rPr>
              <w:t>Renal function test abnormal</w:t>
            </w:r>
          </w:p>
        </w:tc>
        <w:tc>
          <w:tcPr>
            <w:tcW w:w="1701" w:type="dxa"/>
          </w:tcPr>
          <w:p w14:paraId="0EB43ECC" w14:textId="77777777" w:rsidR="001B103A" w:rsidRPr="003C6F73" w:rsidRDefault="001B103A" w:rsidP="001B103A">
            <w:pPr>
              <w:pStyle w:val="Tabletext"/>
              <w:jc w:val="center"/>
            </w:pPr>
            <w:r w:rsidRPr="003C6F73">
              <w:sym w:font="Wingdings" w:char="F0FC"/>
            </w:r>
          </w:p>
        </w:tc>
        <w:tc>
          <w:tcPr>
            <w:tcW w:w="1678" w:type="dxa"/>
          </w:tcPr>
          <w:p w14:paraId="33D9D973" w14:textId="77777777" w:rsidR="001B103A" w:rsidRPr="003C6F73" w:rsidRDefault="001B103A" w:rsidP="001B103A">
            <w:pPr>
              <w:pStyle w:val="Tabletext"/>
              <w:jc w:val="center"/>
            </w:pPr>
            <w:r w:rsidRPr="003C6F73">
              <w:t>–</w:t>
            </w:r>
          </w:p>
        </w:tc>
        <w:tc>
          <w:tcPr>
            <w:tcW w:w="1015" w:type="dxa"/>
          </w:tcPr>
          <w:p w14:paraId="4777D33D" w14:textId="77777777" w:rsidR="001B103A" w:rsidRPr="003C6F73" w:rsidRDefault="001B103A" w:rsidP="001B103A">
            <w:pPr>
              <w:pStyle w:val="Tabletext"/>
              <w:jc w:val="center"/>
            </w:pPr>
            <w:r w:rsidRPr="003C6F73">
              <w:sym w:font="Wingdings" w:char="F0FC"/>
            </w:r>
          </w:p>
        </w:tc>
        <w:tc>
          <w:tcPr>
            <w:tcW w:w="856" w:type="dxa"/>
          </w:tcPr>
          <w:p w14:paraId="5AEFA96B" w14:textId="77777777" w:rsidR="001B103A" w:rsidRPr="003C6F73" w:rsidRDefault="001B103A" w:rsidP="001B103A">
            <w:pPr>
              <w:pStyle w:val="Tabletext"/>
              <w:jc w:val="center"/>
            </w:pPr>
            <w:r w:rsidRPr="003C6F73">
              <w:t>–</w:t>
            </w:r>
          </w:p>
        </w:tc>
      </w:tr>
      <w:tr w:rsidR="001B103A" w:rsidRPr="004F1C07" w14:paraId="3AA8E963" w14:textId="77777777" w:rsidTr="00CD0452">
        <w:trPr>
          <w:trHeight w:val="112"/>
        </w:trPr>
        <w:tc>
          <w:tcPr>
            <w:tcW w:w="1668" w:type="dxa"/>
            <w:vMerge/>
          </w:tcPr>
          <w:p w14:paraId="2E08816D" w14:textId="77777777" w:rsidR="001B103A" w:rsidRPr="00680101" w:rsidRDefault="001B103A" w:rsidP="001B103A">
            <w:pPr>
              <w:pStyle w:val="Tabletext"/>
              <w:rPr>
                <w:b/>
              </w:rPr>
            </w:pPr>
          </w:p>
        </w:tc>
        <w:tc>
          <w:tcPr>
            <w:tcW w:w="2551" w:type="dxa"/>
          </w:tcPr>
          <w:p w14:paraId="1759F091" w14:textId="77777777" w:rsidR="001B103A" w:rsidRPr="00A13C93" w:rsidRDefault="001B103A" w:rsidP="001B103A">
            <w:pPr>
              <w:pStyle w:val="Summaryofsafetyconcerns"/>
              <w:keepNext/>
              <w:keepLines/>
              <w:rPr>
                <w:b w:val="0"/>
              </w:rPr>
            </w:pPr>
            <w:r w:rsidRPr="00A13C93">
              <w:rPr>
                <w:b w:val="0"/>
              </w:rPr>
              <w:t xml:space="preserve">Pulmonary function </w:t>
            </w:r>
            <w:r w:rsidRPr="00A13C93">
              <w:rPr>
                <w:b w:val="0"/>
              </w:rPr>
              <w:lastRenderedPageBreak/>
              <w:t>test decrease</w:t>
            </w:r>
          </w:p>
        </w:tc>
        <w:tc>
          <w:tcPr>
            <w:tcW w:w="1701" w:type="dxa"/>
          </w:tcPr>
          <w:p w14:paraId="706EA677" w14:textId="77777777" w:rsidR="001B103A" w:rsidRPr="003C6F73" w:rsidRDefault="001B103A" w:rsidP="001B103A">
            <w:pPr>
              <w:pStyle w:val="Tabletext"/>
              <w:jc w:val="center"/>
            </w:pPr>
            <w:r w:rsidRPr="003C6F73">
              <w:lastRenderedPageBreak/>
              <w:sym w:font="Wingdings" w:char="F0FC"/>
            </w:r>
          </w:p>
        </w:tc>
        <w:tc>
          <w:tcPr>
            <w:tcW w:w="1678" w:type="dxa"/>
          </w:tcPr>
          <w:p w14:paraId="5FF5217C" w14:textId="77777777" w:rsidR="001B103A" w:rsidRPr="003C6F73" w:rsidRDefault="001B103A" w:rsidP="001B103A">
            <w:pPr>
              <w:pStyle w:val="Tabletext"/>
              <w:jc w:val="center"/>
            </w:pPr>
          </w:p>
        </w:tc>
        <w:tc>
          <w:tcPr>
            <w:tcW w:w="1015" w:type="dxa"/>
          </w:tcPr>
          <w:p w14:paraId="5A126E6F" w14:textId="77777777" w:rsidR="001B103A" w:rsidRPr="003C6F73" w:rsidRDefault="001B103A" w:rsidP="001B103A">
            <w:pPr>
              <w:pStyle w:val="Tabletext"/>
              <w:jc w:val="center"/>
            </w:pPr>
            <w:r w:rsidRPr="003C6F73">
              <w:t>–</w:t>
            </w:r>
          </w:p>
        </w:tc>
        <w:tc>
          <w:tcPr>
            <w:tcW w:w="856" w:type="dxa"/>
          </w:tcPr>
          <w:p w14:paraId="102370BE" w14:textId="77777777" w:rsidR="001B103A" w:rsidRPr="003C6F73" w:rsidRDefault="001B103A" w:rsidP="001B103A">
            <w:pPr>
              <w:pStyle w:val="Tabletext"/>
              <w:jc w:val="center"/>
            </w:pPr>
            <w:r w:rsidRPr="003C6F73">
              <w:t>–</w:t>
            </w:r>
          </w:p>
        </w:tc>
      </w:tr>
      <w:tr w:rsidR="001B103A" w:rsidRPr="004F1C07" w14:paraId="7AFECA0C" w14:textId="77777777" w:rsidTr="00CD0452">
        <w:trPr>
          <w:trHeight w:val="112"/>
        </w:trPr>
        <w:tc>
          <w:tcPr>
            <w:tcW w:w="1668" w:type="dxa"/>
            <w:vMerge/>
          </w:tcPr>
          <w:p w14:paraId="7D0E55ED" w14:textId="77777777" w:rsidR="001B103A" w:rsidRPr="00680101" w:rsidRDefault="001B103A" w:rsidP="001B103A">
            <w:pPr>
              <w:pStyle w:val="Tabletext"/>
              <w:rPr>
                <w:b/>
              </w:rPr>
            </w:pPr>
          </w:p>
        </w:tc>
        <w:tc>
          <w:tcPr>
            <w:tcW w:w="2551" w:type="dxa"/>
          </w:tcPr>
          <w:p w14:paraId="2A035292" w14:textId="77777777" w:rsidR="001B103A" w:rsidRPr="00A13C93" w:rsidRDefault="001B103A" w:rsidP="001B103A">
            <w:pPr>
              <w:pStyle w:val="Summaryofsafetyconcerns"/>
              <w:keepNext/>
              <w:keepLines/>
              <w:rPr>
                <w:b w:val="0"/>
              </w:rPr>
            </w:pPr>
            <w:r w:rsidRPr="00A13C93">
              <w:rPr>
                <w:b w:val="0"/>
              </w:rPr>
              <w:t>Anaemia</w:t>
            </w:r>
          </w:p>
        </w:tc>
        <w:tc>
          <w:tcPr>
            <w:tcW w:w="1701" w:type="dxa"/>
          </w:tcPr>
          <w:p w14:paraId="5C836D0D" w14:textId="77777777" w:rsidR="001B103A" w:rsidRPr="003C6F73" w:rsidRDefault="001B103A" w:rsidP="001B103A">
            <w:pPr>
              <w:pStyle w:val="Tabletext"/>
              <w:jc w:val="center"/>
            </w:pPr>
            <w:r w:rsidRPr="003C6F73">
              <w:sym w:font="Wingdings" w:char="F0FC"/>
            </w:r>
          </w:p>
        </w:tc>
        <w:tc>
          <w:tcPr>
            <w:tcW w:w="1678" w:type="dxa"/>
          </w:tcPr>
          <w:p w14:paraId="38FB6689" w14:textId="77777777" w:rsidR="001B103A" w:rsidRPr="003C6F73" w:rsidRDefault="001B103A" w:rsidP="001B103A">
            <w:pPr>
              <w:pStyle w:val="Tabletext"/>
              <w:jc w:val="center"/>
            </w:pPr>
            <w:r w:rsidRPr="003C6F73">
              <w:t>–</w:t>
            </w:r>
          </w:p>
        </w:tc>
        <w:tc>
          <w:tcPr>
            <w:tcW w:w="1015" w:type="dxa"/>
          </w:tcPr>
          <w:p w14:paraId="1F99754E" w14:textId="77777777" w:rsidR="001B103A" w:rsidRPr="003C6F73" w:rsidRDefault="001B103A" w:rsidP="001B103A">
            <w:pPr>
              <w:pStyle w:val="Tabletext"/>
              <w:jc w:val="center"/>
            </w:pPr>
            <w:r w:rsidRPr="003C6F73">
              <w:sym w:font="Wingdings" w:char="F0FC"/>
            </w:r>
          </w:p>
        </w:tc>
        <w:tc>
          <w:tcPr>
            <w:tcW w:w="856" w:type="dxa"/>
          </w:tcPr>
          <w:p w14:paraId="5D35FB83" w14:textId="77777777" w:rsidR="001B103A" w:rsidRPr="003C6F73" w:rsidRDefault="001B103A" w:rsidP="001B103A">
            <w:pPr>
              <w:pStyle w:val="Tabletext"/>
              <w:jc w:val="center"/>
            </w:pPr>
            <w:r w:rsidRPr="003C6F73">
              <w:t>–</w:t>
            </w:r>
          </w:p>
        </w:tc>
      </w:tr>
      <w:tr w:rsidR="001B103A" w:rsidRPr="004F1C07" w14:paraId="56B42469" w14:textId="77777777" w:rsidTr="00CD0452">
        <w:trPr>
          <w:trHeight w:val="112"/>
        </w:trPr>
        <w:tc>
          <w:tcPr>
            <w:tcW w:w="1668" w:type="dxa"/>
            <w:vMerge/>
          </w:tcPr>
          <w:p w14:paraId="1B9A190F" w14:textId="77777777" w:rsidR="001B103A" w:rsidRPr="00680101" w:rsidRDefault="001B103A" w:rsidP="001B103A">
            <w:pPr>
              <w:pStyle w:val="Tabletext"/>
              <w:rPr>
                <w:b/>
              </w:rPr>
            </w:pPr>
          </w:p>
        </w:tc>
        <w:tc>
          <w:tcPr>
            <w:tcW w:w="2551" w:type="dxa"/>
          </w:tcPr>
          <w:p w14:paraId="01C0211B" w14:textId="77777777" w:rsidR="001B103A" w:rsidRPr="00A13C93" w:rsidRDefault="001B103A" w:rsidP="001B103A">
            <w:pPr>
              <w:pStyle w:val="Summaryofsafetyconcerns"/>
              <w:keepNext/>
              <w:keepLines/>
              <w:rPr>
                <w:b w:val="0"/>
              </w:rPr>
            </w:pPr>
            <w:r w:rsidRPr="00A13C93">
              <w:rPr>
                <w:b w:val="0"/>
              </w:rPr>
              <w:t>Use in lactation</w:t>
            </w:r>
          </w:p>
        </w:tc>
        <w:tc>
          <w:tcPr>
            <w:tcW w:w="1701" w:type="dxa"/>
          </w:tcPr>
          <w:p w14:paraId="42C2B551" w14:textId="77777777" w:rsidR="001B103A" w:rsidRPr="003C6F73" w:rsidRDefault="001B103A" w:rsidP="001B103A">
            <w:pPr>
              <w:pStyle w:val="Tabletext"/>
              <w:jc w:val="center"/>
            </w:pPr>
            <w:r w:rsidRPr="003C6F73">
              <w:sym w:font="Wingdings" w:char="F0FC"/>
            </w:r>
          </w:p>
        </w:tc>
        <w:tc>
          <w:tcPr>
            <w:tcW w:w="1678" w:type="dxa"/>
          </w:tcPr>
          <w:p w14:paraId="42B2BA39" w14:textId="77777777" w:rsidR="001B103A" w:rsidRPr="003C6F73" w:rsidRDefault="001B103A" w:rsidP="001B103A">
            <w:pPr>
              <w:pStyle w:val="Tabletext"/>
              <w:jc w:val="center"/>
            </w:pPr>
            <w:r w:rsidRPr="003C6F73">
              <w:t>–</w:t>
            </w:r>
          </w:p>
        </w:tc>
        <w:tc>
          <w:tcPr>
            <w:tcW w:w="1015" w:type="dxa"/>
          </w:tcPr>
          <w:p w14:paraId="5D9EE65C" w14:textId="77777777" w:rsidR="001B103A" w:rsidRPr="003C6F73" w:rsidRDefault="001B103A" w:rsidP="001B103A">
            <w:pPr>
              <w:pStyle w:val="Tabletext"/>
              <w:jc w:val="center"/>
            </w:pPr>
            <w:r w:rsidRPr="003C6F73">
              <w:sym w:font="Wingdings" w:char="F0FC"/>
            </w:r>
          </w:p>
        </w:tc>
        <w:tc>
          <w:tcPr>
            <w:tcW w:w="856" w:type="dxa"/>
          </w:tcPr>
          <w:p w14:paraId="33F84677" w14:textId="77777777" w:rsidR="001B103A" w:rsidRPr="003C6F73" w:rsidRDefault="001B103A" w:rsidP="001B103A">
            <w:pPr>
              <w:pStyle w:val="Tabletext"/>
              <w:jc w:val="center"/>
            </w:pPr>
            <w:r w:rsidRPr="003C6F73">
              <w:t>–</w:t>
            </w:r>
          </w:p>
        </w:tc>
      </w:tr>
      <w:tr w:rsidR="001B103A" w:rsidRPr="004F1C07" w14:paraId="32AF506C" w14:textId="77777777" w:rsidTr="00CD0452">
        <w:trPr>
          <w:trHeight w:val="112"/>
        </w:trPr>
        <w:tc>
          <w:tcPr>
            <w:tcW w:w="1668" w:type="dxa"/>
            <w:vMerge/>
          </w:tcPr>
          <w:p w14:paraId="57E5C089" w14:textId="77777777" w:rsidR="001B103A" w:rsidRPr="00680101" w:rsidRDefault="001B103A" w:rsidP="001B103A">
            <w:pPr>
              <w:pStyle w:val="Tabletext"/>
              <w:rPr>
                <w:b/>
              </w:rPr>
            </w:pPr>
          </w:p>
        </w:tc>
        <w:tc>
          <w:tcPr>
            <w:tcW w:w="2551" w:type="dxa"/>
          </w:tcPr>
          <w:p w14:paraId="2418334B" w14:textId="77777777" w:rsidR="001B103A" w:rsidRPr="00A13C93" w:rsidRDefault="001B103A" w:rsidP="001B103A">
            <w:pPr>
              <w:pStyle w:val="Summaryofsafetyconcerns"/>
              <w:keepNext/>
              <w:keepLines/>
              <w:rPr>
                <w:b w:val="0"/>
              </w:rPr>
            </w:pPr>
            <w:r w:rsidRPr="00A13C93">
              <w:rPr>
                <w:b w:val="0"/>
              </w:rPr>
              <w:t xml:space="preserve">Haemolytic anaemia due to use in combination with </w:t>
            </w:r>
            <w:r w:rsidRPr="00CD0452">
              <w:rPr>
                <w:b w:val="0"/>
              </w:rPr>
              <w:t>dapsone in G6PD normal individuals**</w:t>
            </w:r>
          </w:p>
        </w:tc>
        <w:tc>
          <w:tcPr>
            <w:tcW w:w="1701" w:type="dxa"/>
          </w:tcPr>
          <w:p w14:paraId="4F7490D2" w14:textId="77777777" w:rsidR="001B103A" w:rsidRPr="003C6F73" w:rsidRDefault="001B103A" w:rsidP="001B103A">
            <w:pPr>
              <w:pStyle w:val="Tabletext"/>
              <w:jc w:val="center"/>
            </w:pPr>
            <w:r w:rsidRPr="003C6F73">
              <w:sym w:font="Wingdings" w:char="F0FC"/>
            </w:r>
          </w:p>
        </w:tc>
        <w:tc>
          <w:tcPr>
            <w:tcW w:w="1678" w:type="dxa"/>
          </w:tcPr>
          <w:p w14:paraId="45E4BA8E" w14:textId="77777777" w:rsidR="001B103A" w:rsidRPr="003C6F73" w:rsidRDefault="001B103A" w:rsidP="001B103A">
            <w:pPr>
              <w:pStyle w:val="Tabletext"/>
              <w:jc w:val="center"/>
            </w:pPr>
            <w:r w:rsidRPr="003C6F73">
              <w:t>–</w:t>
            </w:r>
          </w:p>
        </w:tc>
        <w:tc>
          <w:tcPr>
            <w:tcW w:w="1015" w:type="dxa"/>
          </w:tcPr>
          <w:p w14:paraId="72D5B37F" w14:textId="77777777" w:rsidR="001B103A" w:rsidRPr="003C6F73" w:rsidRDefault="001B103A" w:rsidP="001B103A">
            <w:pPr>
              <w:pStyle w:val="Tabletext"/>
              <w:jc w:val="center"/>
            </w:pPr>
            <w:r w:rsidRPr="003C6F73">
              <w:sym w:font="Wingdings" w:char="F0FC"/>
            </w:r>
          </w:p>
        </w:tc>
        <w:tc>
          <w:tcPr>
            <w:tcW w:w="856" w:type="dxa"/>
          </w:tcPr>
          <w:p w14:paraId="0B540E25" w14:textId="77777777" w:rsidR="001B103A" w:rsidRPr="003C6F73" w:rsidRDefault="001B103A" w:rsidP="001B103A">
            <w:pPr>
              <w:pStyle w:val="Tabletext"/>
              <w:jc w:val="center"/>
            </w:pPr>
            <w:r w:rsidRPr="003C6F73">
              <w:t>–</w:t>
            </w:r>
          </w:p>
        </w:tc>
      </w:tr>
      <w:tr w:rsidR="001B103A" w:rsidRPr="004F1C07" w14:paraId="1E5A2260" w14:textId="77777777" w:rsidTr="00CD0452">
        <w:trPr>
          <w:trHeight w:val="112"/>
        </w:trPr>
        <w:tc>
          <w:tcPr>
            <w:tcW w:w="1668" w:type="dxa"/>
            <w:vMerge/>
          </w:tcPr>
          <w:p w14:paraId="0AAD14CE" w14:textId="77777777" w:rsidR="001B103A" w:rsidRPr="00680101" w:rsidRDefault="001B103A" w:rsidP="001B103A">
            <w:pPr>
              <w:pStyle w:val="Tabletext"/>
              <w:rPr>
                <w:b/>
              </w:rPr>
            </w:pPr>
          </w:p>
        </w:tc>
        <w:tc>
          <w:tcPr>
            <w:tcW w:w="2551" w:type="dxa"/>
          </w:tcPr>
          <w:p w14:paraId="2D03E6F2" w14:textId="77777777" w:rsidR="001B103A" w:rsidRPr="00A13C93" w:rsidRDefault="001B103A" w:rsidP="001B103A">
            <w:pPr>
              <w:pStyle w:val="Summaryofsafetyconcerns"/>
              <w:keepNext/>
              <w:keepLines/>
              <w:rPr>
                <w:b w:val="0"/>
              </w:rPr>
            </w:pPr>
            <w:r w:rsidRPr="00A13C93">
              <w:rPr>
                <w:b w:val="0"/>
              </w:rPr>
              <w:t>Ophthalmic safety (impaired vision due to long-term macular and retinal changes)</w:t>
            </w:r>
          </w:p>
        </w:tc>
        <w:tc>
          <w:tcPr>
            <w:tcW w:w="1701" w:type="dxa"/>
          </w:tcPr>
          <w:p w14:paraId="09BFB007" w14:textId="77777777" w:rsidR="001B103A" w:rsidRPr="003C6F73" w:rsidRDefault="001B103A" w:rsidP="001B103A">
            <w:pPr>
              <w:pStyle w:val="Tabletext"/>
              <w:jc w:val="center"/>
            </w:pPr>
            <w:r w:rsidRPr="003C6F73">
              <w:sym w:font="Wingdings" w:char="F0FC"/>
            </w:r>
          </w:p>
        </w:tc>
        <w:tc>
          <w:tcPr>
            <w:tcW w:w="1678" w:type="dxa"/>
          </w:tcPr>
          <w:p w14:paraId="19D0B56B" w14:textId="77777777" w:rsidR="001B103A" w:rsidRPr="003C6F73" w:rsidRDefault="001B103A" w:rsidP="001B103A">
            <w:pPr>
              <w:pStyle w:val="Tabletext"/>
              <w:jc w:val="center"/>
            </w:pPr>
            <w:r w:rsidRPr="003C6F73">
              <w:sym w:font="Wingdings" w:char="F0FC"/>
            </w:r>
          </w:p>
        </w:tc>
        <w:tc>
          <w:tcPr>
            <w:tcW w:w="1015" w:type="dxa"/>
          </w:tcPr>
          <w:p w14:paraId="76CC782C" w14:textId="77777777" w:rsidR="001B103A" w:rsidRPr="003C6F73" w:rsidRDefault="001B103A" w:rsidP="001B103A">
            <w:pPr>
              <w:pStyle w:val="Tabletext"/>
              <w:jc w:val="center"/>
            </w:pPr>
            <w:r w:rsidRPr="003C6F73">
              <w:sym w:font="Wingdings" w:char="F0FC"/>
            </w:r>
          </w:p>
        </w:tc>
        <w:tc>
          <w:tcPr>
            <w:tcW w:w="856" w:type="dxa"/>
          </w:tcPr>
          <w:p w14:paraId="1D2B39EE" w14:textId="77777777" w:rsidR="001B103A" w:rsidRPr="003C6F73" w:rsidRDefault="001B103A" w:rsidP="001B103A">
            <w:pPr>
              <w:pStyle w:val="Tabletext"/>
              <w:jc w:val="center"/>
            </w:pPr>
            <w:r w:rsidRPr="003C6F73">
              <w:t>–</w:t>
            </w:r>
          </w:p>
        </w:tc>
      </w:tr>
      <w:tr w:rsidR="001B103A" w:rsidRPr="004F1C07" w14:paraId="664D1F80" w14:textId="77777777" w:rsidTr="00CD0452">
        <w:trPr>
          <w:trHeight w:val="112"/>
        </w:trPr>
        <w:tc>
          <w:tcPr>
            <w:tcW w:w="1668" w:type="dxa"/>
            <w:vMerge/>
          </w:tcPr>
          <w:p w14:paraId="02E57839" w14:textId="77777777" w:rsidR="001B103A" w:rsidRPr="00680101" w:rsidRDefault="001B103A" w:rsidP="001B103A">
            <w:pPr>
              <w:pStyle w:val="Tabletext"/>
              <w:rPr>
                <w:b/>
              </w:rPr>
            </w:pPr>
          </w:p>
        </w:tc>
        <w:tc>
          <w:tcPr>
            <w:tcW w:w="2551" w:type="dxa"/>
          </w:tcPr>
          <w:p w14:paraId="3841D0CA" w14:textId="77777777" w:rsidR="001B103A" w:rsidRPr="00A13C93" w:rsidRDefault="001B103A" w:rsidP="001B103A">
            <w:pPr>
              <w:pStyle w:val="Summaryofsafetyconcerns"/>
              <w:keepNext/>
              <w:keepLines/>
              <w:rPr>
                <w:b w:val="0"/>
              </w:rPr>
            </w:pPr>
            <w:r w:rsidRPr="00A13C93">
              <w:rPr>
                <w:b w:val="0"/>
              </w:rPr>
              <w:t>Psychiatric adverse events</w:t>
            </w:r>
          </w:p>
        </w:tc>
        <w:tc>
          <w:tcPr>
            <w:tcW w:w="1701" w:type="dxa"/>
          </w:tcPr>
          <w:p w14:paraId="4FF3A40F" w14:textId="77777777" w:rsidR="001B103A" w:rsidRPr="003C6F73" w:rsidRDefault="001B103A" w:rsidP="001B103A">
            <w:pPr>
              <w:pStyle w:val="Tabletext"/>
              <w:jc w:val="center"/>
            </w:pPr>
            <w:r w:rsidRPr="003C6F73">
              <w:sym w:font="Wingdings" w:char="F0FC"/>
            </w:r>
          </w:p>
        </w:tc>
        <w:tc>
          <w:tcPr>
            <w:tcW w:w="1678" w:type="dxa"/>
          </w:tcPr>
          <w:p w14:paraId="50E9B9A7" w14:textId="77777777" w:rsidR="001B103A" w:rsidRPr="003C6F73" w:rsidRDefault="001B103A" w:rsidP="001B103A">
            <w:pPr>
              <w:pStyle w:val="Tabletext"/>
              <w:jc w:val="center"/>
            </w:pPr>
            <w:r w:rsidRPr="003C6F73">
              <w:sym w:font="Wingdings" w:char="F0FC"/>
            </w:r>
          </w:p>
        </w:tc>
        <w:tc>
          <w:tcPr>
            <w:tcW w:w="1015" w:type="dxa"/>
          </w:tcPr>
          <w:p w14:paraId="31840C38" w14:textId="77777777" w:rsidR="001B103A" w:rsidRPr="003C6F73" w:rsidRDefault="001B103A" w:rsidP="001B103A">
            <w:pPr>
              <w:pStyle w:val="Tabletext"/>
              <w:jc w:val="center"/>
            </w:pPr>
            <w:r w:rsidRPr="003C6F73">
              <w:sym w:font="Wingdings" w:char="F0FC"/>
            </w:r>
          </w:p>
        </w:tc>
        <w:tc>
          <w:tcPr>
            <w:tcW w:w="856" w:type="dxa"/>
          </w:tcPr>
          <w:p w14:paraId="31D57DF0" w14:textId="77777777" w:rsidR="001B103A" w:rsidRPr="003C6F73" w:rsidRDefault="001B103A" w:rsidP="001B103A">
            <w:pPr>
              <w:pStyle w:val="Tabletext"/>
              <w:jc w:val="center"/>
            </w:pPr>
            <w:r w:rsidRPr="003C6F73">
              <w:t>–</w:t>
            </w:r>
          </w:p>
        </w:tc>
      </w:tr>
      <w:tr w:rsidR="001B103A" w:rsidRPr="004F1C07" w14:paraId="6A00FA33" w14:textId="77777777" w:rsidTr="00CD0452">
        <w:trPr>
          <w:trHeight w:val="178"/>
        </w:trPr>
        <w:tc>
          <w:tcPr>
            <w:tcW w:w="1668" w:type="dxa"/>
            <w:vMerge w:val="restart"/>
          </w:tcPr>
          <w:p w14:paraId="37BE5DFF" w14:textId="77777777" w:rsidR="001B103A" w:rsidRPr="00680101" w:rsidRDefault="001B103A" w:rsidP="001B103A">
            <w:pPr>
              <w:pStyle w:val="Tabletext"/>
              <w:rPr>
                <w:b/>
              </w:rPr>
            </w:pPr>
            <w:r w:rsidRPr="00680101">
              <w:rPr>
                <w:b/>
              </w:rPr>
              <w:t>Missing information</w:t>
            </w:r>
          </w:p>
        </w:tc>
        <w:tc>
          <w:tcPr>
            <w:tcW w:w="2551" w:type="dxa"/>
          </w:tcPr>
          <w:p w14:paraId="1D28DA14" w14:textId="77777777" w:rsidR="001B103A" w:rsidRPr="00791EF9" w:rsidRDefault="001B103A" w:rsidP="001B103A">
            <w:pPr>
              <w:pStyle w:val="Summaryofsafetyconcerns"/>
              <w:keepNext/>
              <w:keepLines/>
              <w:rPr>
                <w:b w:val="0"/>
              </w:rPr>
            </w:pPr>
            <w:r w:rsidRPr="00791EF9">
              <w:rPr>
                <w:b w:val="0"/>
              </w:rPr>
              <w:t>Safety in paediatric populations</w:t>
            </w:r>
          </w:p>
        </w:tc>
        <w:tc>
          <w:tcPr>
            <w:tcW w:w="1701" w:type="dxa"/>
          </w:tcPr>
          <w:p w14:paraId="4342EDF5" w14:textId="77777777" w:rsidR="001B103A" w:rsidRPr="003C6F73" w:rsidRDefault="001B103A" w:rsidP="001B103A">
            <w:pPr>
              <w:pStyle w:val="Tabletext"/>
              <w:jc w:val="center"/>
            </w:pPr>
            <w:r w:rsidRPr="003C6F73">
              <w:sym w:font="Wingdings" w:char="F0FC"/>
            </w:r>
          </w:p>
        </w:tc>
        <w:tc>
          <w:tcPr>
            <w:tcW w:w="1678" w:type="dxa"/>
          </w:tcPr>
          <w:p w14:paraId="79AFAEC9" w14:textId="77777777" w:rsidR="001B103A" w:rsidRPr="003C6F73" w:rsidRDefault="001B103A" w:rsidP="001B103A">
            <w:pPr>
              <w:pStyle w:val="Tabletext"/>
              <w:jc w:val="center"/>
            </w:pPr>
            <w:r w:rsidRPr="003C6F73">
              <w:sym w:font="Wingdings" w:char="F0FC"/>
            </w:r>
          </w:p>
        </w:tc>
        <w:tc>
          <w:tcPr>
            <w:tcW w:w="1015" w:type="dxa"/>
          </w:tcPr>
          <w:p w14:paraId="63D14C9A" w14:textId="77777777" w:rsidR="001B103A" w:rsidRPr="003C6F73" w:rsidRDefault="001B103A" w:rsidP="001B103A">
            <w:pPr>
              <w:pStyle w:val="Tabletext"/>
              <w:jc w:val="center"/>
            </w:pPr>
            <w:r w:rsidRPr="003C6F73">
              <w:sym w:font="Wingdings" w:char="F0FC"/>
            </w:r>
          </w:p>
        </w:tc>
        <w:tc>
          <w:tcPr>
            <w:tcW w:w="856" w:type="dxa"/>
          </w:tcPr>
          <w:p w14:paraId="6F74AC40" w14:textId="77777777" w:rsidR="001B103A" w:rsidRPr="003C6F73" w:rsidRDefault="001B103A" w:rsidP="001B103A">
            <w:pPr>
              <w:pStyle w:val="Tabletext"/>
              <w:jc w:val="center"/>
            </w:pPr>
            <w:r w:rsidRPr="003C6F73">
              <w:t>–</w:t>
            </w:r>
          </w:p>
        </w:tc>
      </w:tr>
      <w:tr w:rsidR="001B103A" w:rsidRPr="004F1C07" w14:paraId="58DABF59" w14:textId="77777777" w:rsidTr="00CD0452">
        <w:trPr>
          <w:trHeight w:val="140"/>
        </w:trPr>
        <w:tc>
          <w:tcPr>
            <w:tcW w:w="1668" w:type="dxa"/>
            <w:vMerge/>
          </w:tcPr>
          <w:p w14:paraId="428B668C" w14:textId="77777777" w:rsidR="001B103A" w:rsidRPr="004F1C07" w:rsidRDefault="001B103A" w:rsidP="001B103A">
            <w:pPr>
              <w:pStyle w:val="Tabletext"/>
            </w:pPr>
          </w:p>
        </w:tc>
        <w:tc>
          <w:tcPr>
            <w:tcW w:w="2551" w:type="dxa"/>
          </w:tcPr>
          <w:p w14:paraId="78E9D189" w14:textId="77777777" w:rsidR="001B103A" w:rsidRPr="0003216B" w:rsidRDefault="001B103A" w:rsidP="001B103A">
            <w:pPr>
              <w:autoSpaceDE w:val="0"/>
              <w:autoSpaceDN w:val="0"/>
              <w:adjustRightInd w:val="0"/>
              <w:rPr>
                <w:rFonts w:cs="Arial"/>
                <w:sz w:val="20"/>
                <w:szCs w:val="20"/>
              </w:rPr>
            </w:pPr>
            <w:r w:rsidRPr="0003216B">
              <w:rPr>
                <w:rFonts w:cs="Arial"/>
                <w:sz w:val="20"/>
                <w:szCs w:val="20"/>
              </w:rPr>
              <w:t>Use in patients with severe renal impairment</w:t>
            </w:r>
          </w:p>
        </w:tc>
        <w:tc>
          <w:tcPr>
            <w:tcW w:w="1701" w:type="dxa"/>
          </w:tcPr>
          <w:p w14:paraId="3D187C51" w14:textId="77777777" w:rsidR="001B103A" w:rsidRPr="003C6F73" w:rsidRDefault="001B103A" w:rsidP="001B103A">
            <w:pPr>
              <w:pStyle w:val="Tabletext"/>
              <w:jc w:val="center"/>
            </w:pPr>
            <w:r w:rsidRPr="003C6F73">
              <w:sym w:font="Wingdings" w:char="F0FC"/>
            </w:r>
          </w:p>
        </w:tc>
        <w:tc>
          <w:tcPr>
            <w:tcW w:w="1678" w:type="dxa"/>
          </w:tcPr>
          <w:p w14:paraId="6F65F987" w14:textId="77777777" w:rsidR="001B103A" w:rsidRPr="003C6F73" w:rsidRDefault="001B103A" w:rsidP="001B103A">
            <w:pPr>
              <w:pStyle w:val="Tabletext"/>
              <w:jc w:val="center"/>
            </w:pPr>
            <w:r w:rsidRPr="003C6F73">
              <w:t>–</w:t>
            </w:r>
          </w:p>
        </w:tc>
        <w:tc>
          <w:tcPr>
            <w:tcW w:w="1015" w:type="dxa"/>
          </w:tcPr>
          <w:p w14:paraId="3622A289" w14:textId="77777777" w:rsidR="001B103A" w:rsidRPr="003C6F73" w:rsidRDefault="001B103A" w:rsidP="001B103A">
            <w:pPr>
              <w:pStyle w:val="Tabletext"/>
              <w:jc w:val="center"/>
            </w:pPr>
            <w:r w:rsidRPr="003C6F73">
              <w:sym w:font="Wingdings" w:char="F0FC"/>
            </w:r>
          </w:p>
        </w:tc>
        <w:tc>
          <w:tcPr>
            <w:tcW w:w="856" w:type="dxa"/>
          </w:tcPr>
          <w:p w14:paraId="69C22A39" w14:textId="77777777" w:rsidR="001B103A" w:rsidRPr="003C6F73" w:rsidRDefault="001B103A" w:rsidP="001B103A">
            <w:pPr>
              <w:pStyle w:val="Tabletext"/>
              <w:jc w:val="center"/>
            </w:pPr>
            <w:r w:rsidRPr="003C6F73">
              <w:t>–</w:t>
            </w:r>
          </w:p>
        </w:tc>
      </w:tr>
      <w:tr w:rsidR="001B103A" w:rsidRPr="004F1C07" w14:paraId="39195417" w14:textId="77777777" w:rsidTr="00CD0452">
        <w:trPr>
          <w:trHeight w:val="140"/>
        </w:trPr>
        <w:tc>
          <w:tcPr>
            <w:tcW w:w="1668" w:type="dxa"/>
            <w:vMerge/>
          </w:tcPr>
          <w:p w14:paraId="5AEB8FB9" w14:textId="77777777" w:rsidR="001B103A" w:rsidRPr="004F1C07" w:rsidRDefault="001B103A" w:rsidP="001B103A">
            <w:pPr>
              <w:pStyle w:val="Tabletext"/>
            </w:pPr>
          </w:p>
        </w:tc>
        <w:tc>
          <w:tcPr>
            <w:tcW w:w="2551" w:type="dxa"/>
          </w:tcPr>
          <w:p w14:paraId="19F5969C" w14:textId="77777777" w:rsidR="001B103A" w:rsidRPr="0003216B" w:rsidRDefault="001B103A" w:rsidP="001B103A">
            <w:pPr>
              <w:autoSpaceDE w:val="0"/>
              <w:autoSpaceDN w:val="0"/>
              <w:adjustRightInd w:val="0"/>
              <w:rPr>
                <w:rFonts w:cs="Arial"/>
                <w:sz w:val="20"/>
                <w:szCs w:val="20"/>
              </w:rPr>
            </w:pPr>
            <w:r w:rsidRPr="0003216B">
              <w:rPr>
                <w:rFonts w:cs="Arial"/>
                <w:sz w:val="20"/>
                <w:szCs w:val="20"/>
              </w:rPr>
              <w:t>Use in patients with hepatic impairment</w:t>
            </w:r>
          </w:p>
        </w:tc>
        <w:tc>
          <w:tcPr>
            <w:tcW w:w="1701" w:type="dxa"/>
          </w:tcPr>
          <w:p w14:paraId="7D9F8F72" w14:textId="77777777" w:rsidR="001B103A" w:rsidRPr="003C6F73" w:rsidRDefault="001B103A" w:rsidP="001B103A">
            <w:pPr>
              <w:pStyle w:val="Tabletext"/>
              <w:jc w:val="center"/>
            </w:pPr>
            <w:r w:rsidRPr="003C6F73">
              <w:sym w:font="Wingdings" w:char="F0FC"/>
            </w:r>
          </w:p>
        </w:tc>
        <w:tc>
          <w:tcPr>
            <w:tcW w:w="1678" w:type="dxa"/>
          </w:tcPr>
          <w:p w14:paraId="6D4F1221" w14:textId="77777777" w:rsidR="001B103A" w:rsidRPr="003C6F73" w:rsidRDefault="001B103A" w:rsidP="001B103A">
            <w:pPr>
              <w:pStyle w:val="Tabletext"/>
              <w:jc w:val="center"/>
            </w:pPr>
            <w:r w:rsidRPr="003C6F73">
              <w:t>–</w:t>
            </w:r>
          </w:p>
        </w:tc>
        <w:tc>
          <w:tcPr>
            <w:tcW w:w="1015" w:type="dxa"/>
          </w:tcPr>
          <w:p w14:paraId="0D7776CD" w14:textId="77777777" w:rsidR="001B103A" w:rsidRPr="003C6F73" w:rsidRDefault="001B103A" w:rsidP="001B103A">
            <w:pPr>
              <w:pStyle w:val="Tabletext"/>
              <w:jc w:val="center"/>
            </w:pPr>
            <w:r w:rsidRPr="003C6F73">
              <w:sym w:font="Wingdings" w:char="F0FC"/>
            </w:r>
          </w:p>
        </w:tc>
        <w:tc>
          <w:tcPr>
            <w:tcW w:w="856" w:type="dxa"/>
          </w:tcPr>
          <w:p w14:paraId="3B153EDC" w14:textId="77777777" w:rsidR="001B103A" w:rsidRPr="003C6F73" w:rsidRDefault="001B103A" w:rsidP="001B103A">
            <w:pPr>
              <w:pStyle w:val="Tabletext"/>
              <w:jc w:val="center"/>
            </w:pPr>
            <w:r w:rsidRPr="003C6F73">
              <w:t>–</w:t>
            </w:r>
          </w:p>
        </w:tc>
      </w:tr>
      <w:tr w:rsidR="001B103A" w:rsidRPr="004F1C07" w14:paraId="1999742C" w14:textId="77777777" w:rsidTr="00CD0452">
        <w:trPr>
          <w:trHeight w:val="140"/>
        </w:trPr>
        <w:tc>
          <w:tcPr>
            <w:tcW w:w="1668" w:type="dxa"/>
            <w:vMerge/>
          </w:tcPr>
          <w:p w14:paraId="1BBBCBDA" w14:textId="77777777" w:rsidR="001B103A" w:rsidRPr="004F1C07" w:rsidRDefault="001B103A" w:rsidP="001B103A">
            <w:pPr>
              <w:pStyle w:val="Tabletext"/>
            </w:pPr>
          </w:p>
        </w:tc>
        <w:tc>
          <w:tcPr>
            <w:tcW w:w="2551" w:type="dxa"/>
          </w:tcPr>
          <w:p w14:paraId="0E882757" w14:textId="77777777" w:rsidR="001B103A" w:rsidRPr="0003216B" w:rsidRDefault="001B103A" w:rsidP="001B103A">
            <w:pPr>
              <w:autoSpaceDE w:val="0"/>
              <w:autoSpaceDN w:val="0"/>
              <w:adjustRightInd w:val="0"/>
              <w:rPr>
                <w:rFonts w:cs="Arial"/>
                <w:sz w:val="20"/>
                <w:szCs w:val="20"/>
              </w:rPr>
            </w:pPr>
            <w:r w:rsidRPr="0003216B">
              <w:rPr>
                <w:rFonts w:cs="Arial"/>
                <w:sz w:val="20"/>
                <w:szCs w:val="20"/>
              </w:rPr>
              <w:t>Use in pa</w:t>
            </w:r>
            <w:r>
              <w:rPr>
                <w:rFonts w:cs="Arial"/>
                <w:sz w:val="20"/>
                <w:szCs w:val="20"/>
              </w:rPr>
              <w:t>tients 65 years of age or older</w:t>
            </w:r>
          </w:p>
        </w:tc>
        <w:tc>
          <w:tcPr>
            <w:tcW w:w="1701" w:type="dxa"/>
          </w:tcPr>
          <w:p w14:paraId="1859F07A" w14:textId="77777777" w:rsidR="001B103A" w:rsidRPr="003C6F73" w:rsidRDefault="001B103A" w:rsidP="001B103A">
            <w:pPr>
              <w:pStyle w:val="Tabletext"/>
              <w:jc w:val="center"/>
            </w:pPr>
            <w:r w:rsidRPr="003C6F73">
              <w:sym w:font="Wingdings" w:char="F0FC"/>
            </w:r>
          </w:p>
        </w:tc>
        <w:tc>
          <w:tcPr>
            <w:tcW w:w="1678" w:type="dxa"/>
          </w:tcPr>
          <w:p w14:paraId="4D6B30D1" w14:textId="77777777" w:rsidR="001B103A" w:rsidRPr="003C6F73" w:rsidRDefault="001B103A" w:rsidP="001B103A">
            <w:pPr>
              <w:pStyle w:val="Tabletext"/>
              <w:jc w:val="center"/>
            </w:pPr>
            <w:r w:rsidRPr="003C6F73">
              <w:t>–</w:t>
            </w:r>
          </w:p>
        </w:tc>
        <w:tc>
          <w:tcPr>
            <w:tcW w:w="1015" w:type="dxa"/>
          </w:tcPr>
          <w:p w14:paraId="243C9A1E" w14:textId="77777777" w:rsidR="001B103A" w:rsidRPr="003C6F73" w:rsidRDefault="001B103A" w:rsidP="001B103A">
            <w:pPr>
              <w:pStyle w:val="Tabletext"/>
              <w:jc w:val="center"/>
            </w:pPr>
            <w:r w:rsidRPr="003C6F73">
              <w:sym w:font="Wingdings" w:char="F0FC"/>
            </w:r>
          </w:p>
        </w:tc>
        <w:tc>
          <w:tcPr>
            <w:tcW w:w="856" w:type="dxa"/>
          </w:tcPr>
          <w:p w14:paraId="43F142B8" w14:textId="77777777" w:rsidR="001B103A" w:rsidRPr="003C6F73" w:rsidRDefault="001B103A" w:rsidP="001B103A">
            <w:pPr>
              <w:pStyle w:val="Tabletext"/>
              <w:jc w:val="center"/>
            </w:pPr>
            <w:r w:rsidRPr="003C6F73">
              <w:t>–</w:t>
            </w:r>
          </w:p>
        </w:tc>
      </w:tr>
      <w:tr w:rsidR="001B103A" w:rsidRPr="004F1C07" w14:paraId="6FC0F0A9" w14:textId="77777777" w:rsidTr="00CD0452">
        <w:trPr>
          <w:trHeight w:val="140"/>
        </w:trPr>
        <w:tc>
          <w:tcPr>
            <w:tcW w:w="1668" w:type="dxa"/>
            <w:vMerge/>
          </w:tcPr>
          <w:p w14:paraId="2F0A81F8" w14:textId="77777777" w:rsidR="001B103A" w:rsidRPr="004F1C07" w:rsidRDefault="001B103A" w:rsidP="001B103A">
            <w:pPr>
              <w:pStyle w:val="Tabletext"/>
            </w:pPr>
          </w:p>
        </w:tc>
        <w:tc>
          <w:tcPr>
            <w:tcW w:w="2551" w:type="dxa"/>
          </w:tcPr>
          <w:p w14:paraId="4128D399" w14:textId="77777777" w:rsidR="001B103A" w:rsidRPr="0003216B" w:rsidRDefault="001B103A" w:rsidP="001B103A">
            <w:pPr>
              <w:autoSpaceDE w:val="0"/>
              <w:autoSpaceDN w:val="0"/>
              <w:adjustRightInd w:val="0"/>
              <w:rPr>
                <w:rFonts w:cs="Arial"/>
                <w:sz w:val="20"/>
                <w:szCs w:val="20"/>
              </w:rPr>
            </w:pPr>
            <w:r w:rsidRPr="0003216B">
              <w:rPr>
                <w:rFonts w:cs="Arial"/>
                <w:sz w:val="20"/>
                <w:szCs w:val="20"/>
              </w:rPr>
              <w:t>Long term safety</w:t>
            </w:r>
            <w:r>
              <w:rPr>
                <w:rFonts w:cs="Arial"/>
                <w:sz w:val="20"/>
                <w:szCs w:val="20"/>
              </w:rPr>
              <w:t xml:space="preserve"> &gt; 6 months continuous use</w:t>
            </w:r>
          </w:p>
        </w:tc>
        <w:tc>
          <w:tcPr>
            <w:tcW w:w="1701" w:type="dxa"/>
          </w:tcPr>
          <w:p w14:paraId="564A5984" w14:textId="77777777" w:rsidR="001B103A" w:rsidRPr="003C6F73" w:rsidRDefault="001B103A" w:rsidP="001B103A">
            <w:pPr>
              <w:pStyle w:val="Tabletext"/>
              <w:jc w:val="center"/>
            </w:pPr>
            <w:r w:rsidRPr="003C6F73">
              <w:sym w:font="Wingdings" w:char="F0FC"/>
            </w:r>
          </w:p>
        </w:tc>
        <w:tc>
          <w:tcPr>
            <w:tcW w:w="1678" w:type="dxa"/>
          </w:tcPr>
          <w:p w14:paraId="7D58FAFC" w14:textId="77777777" w:rsidR="001B103A" w:rsidRPr="003C6F73" w:rsidRDefault="001B103A" w:rsidP="001B103A">
            <w:pPr>
              <w:pStyle w:val="Tabletext"/>
              <w:jc w:val="center"/>
            </w:pPr>
            <w:r w:rsidRPr="003C6F73">
              <w:sym w:font="Wingdings" w:char="F0FC"/>
            </w:r>
          </w:p>
        </w:tc>
        <w:tc>
          <w:tcPr>
            <w:tcW w:w="1015" w:type="dxa"/>
          </w:tcPr>
          <w:p w14:paraId="59A1942D" w14:textId="77777777" w:rsidR="001B103A" w:rsidRPr="003C6F73" w:rsidRDefault="001B103A" w:rsidP="001B103A">
            <w:pPr>
              <w:pStyle w:val="Tabletext"/>
              <w:jc w:val="center"/>
            </w:pPr>
            <w:r w:rsidRPr="003C6F73">
              <w:sym w:font="Wingdings" w:char="F0FC"/>
            </w:r>
          </w:p>
        </w:tc>
        <w:tc>
          <w:tcPr>
            <w:tcW w:w="856" w:type="dxa"/>
          </w:tcPr>
          <w:p w14:paraId="26BE5B4A" w14:textId="77777777" w:rsidR="001B103A" w:rsidRPr="003C6F73" w:rsidRDefault="001B103A" w:rsidP="001B103A">
            <w:pPr>
              <w:pStyle w:val="Tabletext"/>
              <w:jc w:val="center"/>
            </w:pPr>
            <w:r w:rsidRPr="003C6F73">
              <w:t>–</w:t>
            </w:r>
          </w:p>
        </w:tc>
      </w:tr>
    </w:tbl>
    <w:p w14:paraId="57DD67DF" w14:textId="3A6D317A" w:rsidR="001B103A" w:rsidRPr="00EA07B8" w:rsidRDefault="001B103A" w:rsidP="00CD0452">
      <w:pPr>
        <w:pStyle w:val="TableDescription"/>
      </w:pPr>
      <w:r w:rsidRPr="00AD4DC5">
        <w:t>*Information regarding routine and additional pharmacovigilance and risk minimisation activities has been obtained from Table 3 of the ASA not Table 4</w:t>
      </w:r>
      <w:r>
        <w:t xml:space="preserve"> of the Summary of the RMP</w:t>
      </w:r>
      <w:r w:rsidRPr="00AD4DC5">
        <w:t>.</w:t>
      </w:r>
      <w:r w:rsidR="00CD0452">
        <w:t xml:space="preserve"> </w:t>
      </w:r>
      <w:r>
        <w:t xml:space="preserve">** Recommended by the RMP </w:t>
      </w:r>
      <w:r w:rsidR="006D2C04">
        <w:t xml:space="preserve">evaluator </w:t>
      </w:r>
      <w:r>
        <w:t xml:space="preserve">in the </w:t>
      </w:r>
      <w:r w:rsidR="006D2C04">
        <w:t>second round</w:t>
      </w:r>
      <w:r>
        <w:t xml:space="preserve"> </w:t>
      </w:r>
      <w:r w:rsidR="006D2C04">
        <w:t>e</w:t>
      </w:r>
      <w:r>
        <w:t xml:space="preserve">valuation and agreed to by the </w:t>
      </w:r>
      <w:r w:rsidR="00CD0452">
        <w:t>sponsor</w:t>
      </w:r>
    </w:p>
    <w:p w14:paraId="63E6C62D" w14:textId="77777777" w:rsidR="001B103A" w:rsidRDefault="001B103A" w:rsidP="00743697">
      <w:r>
        <w:t>Additional pharmacovigilance activities include:</w:t>
      </w:r>
    </w:p>
    <w:p w14:paraId="274DA954" w14:textId="77777777" w:rsidR="001B103A" w:rsidRPr="008E4560" w:rsidRDefault="001B103A" w:rsidP="00743697">
      <w:pPr>
        <w:pStyle w:val="ListBullet"/>
      </w:pPr>
      <w:r>
        <w:t>Study 60</w:t>
      </w:r>
      <w:r w:rsidRPr="00995619">
        <w:t>PH04,</w:t>
      </w:r>
      <w:r>
        <w:t xml:space="preserve"> currently ongoing,</w:t>
      </w:r>
      <w:r w:rsidRPr="00995619">
        <w:t xml:space="preserve"> </w:t>
      </w:r>
      <w:r>
        <w:t xml:space="preserve">to </w:t>
      </w:r>
      <w:r w:rsidRPr="00995619">
        <w:t>assess long-term macular and retinal changes</w:t>
      </w:r>
      <w:r>
        <w:t xml:space="preserve"> as </w:t>
      </w:r>
      <w:r w:rsidRPr="005A767E">
        <w:t>well as long term safety (see table above for applicable safety concerns).</w:t>
      </w:r>
    </w:p>
    <w:p w14:paraId="6965D474" w14:textId="2A9C0676" w:rsidR="001B103A" w:rsidRPr="005A767E" w:rsidRDefault="001B103A" w:rsidP="00743697">
      <w:pPr>
        <w:pStyle w:val="ListBullet"/>
      </w:pPr>
      <w:r w:rsidRPr="005A767E">
        <w:t xml:space="preserve">A planned paediatric study (Study </w:t>
      </w:r>
      <w:r w:rsidR="003D364B">
        <w:t>TQ-</w:t>
      </w:r>
      <w:r w:rsidRPr="005A767E">
        <w:t>20XX 04</w:t>
      </w:r>
      <w:r w:rsidR="001A1577">
        <w:t>: A d</w:t>
      </w:r>
      <w:r w:rsidRPr="005A767E">
        <w:t xml:space="preserve">ose </w:t>
      </w:r>
      <w:r w:rsidR="001A1577">
        <w:t>r</w:t>
      </w:r>
      <w:r w:rsidR="001A1577" w:rsidRPr="005A767E">
        <w:t xml:space="preserve">ange </w:t>
      </w:r>
      <w:r w:rsidR="001A1577">
        <w:t>p</w:t>
      </w:r>
      <w:r w:rsidR="001A1577" w:rsidRPr="005A767E">
        <w:t>lacebo</w:t>
      </w:r>
      <w:r w:rsidRPr="005A767E">
        <w:t>-</w:t>
      </w:r>
      <w:r w:rsidR="001A1577">
        <w:t>c</w:t>
      </w:r>
      <w:r w:rsidR="001A1577" w:rsidRPr="005A767E">
        <w:t>ontrolled</w:t>
      </w:r>
      <w:r w:rsidRPr="005A767E">
        <w:t xml:space="preserve">, </w:t>
      </w:r>
      <w:r w:rsidR="001A1577">
        <w:t>d</w:t>
      </w:r>
      <w:r w:rsidR="001A1577" w:rsidRPr="005A767E">
        <w:t>ouble</w:t>
      </w:r>
      <w:r w:rsidRPr="005A767E">
        <w:t>-</w:t>
      </w:r>
      <w:r w:rsidR="001A1577" w:rsidRPr="005A767E">
        <w:t>blind study of oral tafenoquine for prophylactic efficacy, safety and tolerability in subjects resident in a malarious area of</w:t>
      </w:r>
      <w:r w:rsidRPr="005A767E">
        <w:t xml:space="preserve"> Africa) is not scheduled to start until 2022 after a paediatric formulation is developed and is found to be bioequivalent to the adult tablet formulation, and after the results of Study 60PH04 are known. </w:t>
      </w:r>
    </w:p>
    <w:p w14:paraId="02945749" w14:textId="77777777" w:rsidR="001B103A" w:rsidRPr="00995619" w:rsidRDefault="001B103A" w:rsidP="00743697">
      <w:r w:rsidRPr="005A767E">
        <w:t>No additional risk minimisation</w:t>
      </w:r>
      <w:r w:rsidRPr="00995619">
        <w:t xml:space="preserve"> activities </w:t>
      </w:r>
      <w:r>
        <w:t xml:space="preserve">are </w:t>
      </w:r>
      <w:r w:rsidRPr="00995619">
        <w:t xml:space="preserve">proposed </w:t>
      </w:r>
      <w:r>
        <w:t xml:space="preserve">but the </w:t>
      </w:r>
      <w:r w:rsidR="00CD0452">
        <w:t>s</w:t>
      </w:r>
      <w:r>
        <w:t>ponsor has committed to the distribution of a Dear Doctor Letter regarding the risk of haemolytic anaemia in G6PD deficiency, the effectiveness of which will be assessed by a survey. Whilst a</w:t>
      </w:r>
      <w:r w:rsidRPr="00622E83">
        <w:t xml:space="preserve"> </w:t>
      </w:r>
      <w:r w:rsidR="00CD0452">
        <w:t>Dear Healthcare Provider Letter (</w:t>
      </w:r>
      <w:r w:rsidRPr="00622E83">
        <w:t>DHCPL</w:t>
      </w:r>
      <w:r w:rsidR="00CD0452">
        <w:t>)</w:t>
      </w:r>
      <w:r w:rsidRPr="00622E83">
        <w:t xml:space="preserve"> is a useful reminder</w:t>
      </w:r>
      <w:r>
        <w:t xml:space="preserve"> to HCPs about avoiding AEs,</w:t>
      </w:r>
      <w:r w:rsidRPr="00622E83">
        <w:t xml:space="preserve"> information about the dis</w:t>
      </w:r>
      <w:r>
        <w:t>t</w:t>
      </w:r>
      <w:r w:rsidRPr="00622E83">
        <w:t>ribution of this letter (</w:t>
      </w:r>
      <w:r w:rsidR="006F2C7A" w:rsidRPr="006F2C7A">
        <w:t>that is,</w:t>
      </w:r>
      <w:r>
        <w:t xml:space="preserve"> </w:t>
      </w:r>
      <w:r w:rsidRPr="00622E83">
        <w:t>how recipients we</w:t>
      </w:r>
      <w:r>
        <w:t>re identified, a summary of who it was distributed to and how</w:t>
      </w:r>
      <w:r w:rsidRPr="00622E83">
        <w:t>) would suffice for evaluation and a survey is not considered necessary from a regulatory perspective.</w:t>
      </w:r>
    </w:p>
    <w:p w14:paraId="0FE549A3" w14:textId="77777777" w:rsidR="001B103A" w:rsidRPr="002352EB" w:rsidRDefault="001B103A" w:rsidP="002352EB">
      <w:pPr>
        <w:pStyle w:val="Heading4"/>
      </w:pPr>
      <w:bookmarkStart w:id="261" w:name="_Toc514317345"/>
      <w:r w:rsidRPr="00CD79BD">
        <w:lastRenderedPageBreak/>
        <w:t>New and outstanding recommendations</w:t>
      </w:r>
      <w:bookmarkEnd w:id="261"/>
    </w:p>
    <w:p w14:paraId="6A46BBF2" w14:textId="6C7BC462" w:rsidR="001B103A" w:rsidRPr="00CA682B" w:rsidRDefault="001B103A" w:rsidP="002352EB">
      <w:r>
        <w:t xml:space="preserve">The revised </w:t>
      </w:r>
      <w:r w:rsidR="001A1577">
        <w:t>‘</w:t>
      </w:r>
      <w:r w:rsidRPr="00C73D8C">
        <w:t xml:space="preserve">Dear Dr </w:t>
      </w:r>
      <w:proofErr w:type="gramStart"/>
      <w:r w:rsidRPr="00C73D8C">
        <w:t>letter</w:t>
      </w:r>
      <w:proofErr w:type="gramEnd"/>
      <w:r w:rsidR="001A1577">
        <w:t>’</w:t>
      </w:r>
      <w:r w:rsidRPr="00377772">
        <w:t xml:space="preserve"> should be reviewed by the TGA when available prior to circulation.</w:t>
      </w:r>
    </w:p>
    <w:p w14:paraId="36A51991" w14:textId="77777777" w:rsidR="001B103A" w:rsidRDefault="001B103A" w:rsidP="002352EB">
      <w:pPr>
        <w:pStyle w:val="Heading5"/>
      </w:pPr>
      <w:r>
        <w:t>Issues</w:t>
      </w:r>
      <w:r w:rsidRPr="006D6B5A">
        <w:t xml:space="preserve"> to </w:t>
      </w:r>
      <w:r>
        <w:t xml:space="preserve">be </w:t>
      </w:r>
      <w:r w:rsidRPr="002352EB">
        <w:t>addressed</w:t>
      </w:r>
      <w:r w:rsidRPr="006D6B5A">
        <w:t xml:space="preserve"> in the ASA</w:t>
      </w:r>
      <w:r w:rsidR="00397241">
        <w:t xml:space="preserve"> when revised</w:t>
      </w:r>
    </w:p>
    <w:p w14:paraId="76D2A3AB" w14:textId="77777777" w:rsidR="001B103A" w:rsidRPr="00377772" w:rsidRDefault="001B103A" w:rsidP="008D44CF">
      <w:pPr>
        <w:pStyle w:val="ListBullet"/>
      </w:pPr>
      <w:r>
        <w:t xml:space="preserve">The Important Potential Risk should state </w:t>
      </w:r>
      <w:r w:rsidR="0039759D">
        <w:t>‘</w:t>
      </w:r>
      <w:r w:rsidRPr="003524A0">
        <w:t xml:space="preserve">Haemolytic anaemia due to use in combination with dapsone </w:t>
      </w:r>
      <w:r w:rsidRPr="003524A0">
        <w:rPr>
          <w:i/>
        </w:rPr>
        <w:t>in G6PD normal individuals</w:t>
      </w:r>
      <w:r w:rsidR="0039759D">
        <w:t>’</w:t>
      </w:r>
      <w:r>
        <w:t xml:space="preserve"> to be consistent with the PI.</w:t>
      </w:r>
    </w:p>
    <w:p w14:paraId="09DDC8B7" w14:textId="3EB0AEEA" w:rsidR="008D44CF" w:rsidRDefault="008D44CF" w:rsidP="008D44CF">
      <w:pPr>
        <w:pStyle w:val="Heading6"/>
      </w:pPr>
      <w:r>
        <w:t>Issues regarding tables in ASA</w:t>
      </w:r>
    </w:p>
    <w:p w14:paraId="1C69D60C" w14:textId="5FE4CD17" w:rsidR="001B103A" w:rsidRDefault="00AC3CDF" w:rsidP="008D44CF">
      <w:pPr>
        <w:pStyle w:val="ListBullet"/>
      </w:pPr>
      <w:r>
        <w:t>I</w:t>
      </w:r>
      <w:r w:rsidR="001B103A" w:rsidRPr="0055454D">
        <w:t xml:space="preserve">t is unclear if Study 60PH04 (additional pharmacovigilance) is collecting information on all identified important risks including pregnancy (which is probably not the </w:t>
      </w:r>
      <w:r w:rsidR="001B103A">
        <w:t xml:space="preserve">case). The </w:t>
      </w:r>
      <w:r w:rsidR="00CD0452">
        <w:t>s</w:t>
      </w:r>
      <w:r w:rsidR="001B103A">
        <w:t>ponsor should use the pharmacovigilance column to indicate which safety concern has routine pharmacovigilance as well as which will have additional pharmacovigilance assigned and what the study number is</w:t>
      </w:r>
      <w:r w:rsidR="00CD0452">
        <w:t>;</w:t>
      </w:r>
      <w:r w:rsidR="008D44CF">
        <w:t xml:space="preserve"> </w:t>
      </w:r>
      <w:r w:rsidR="006F2C7A" w:rsidRPr="006F2C7A">
        <w:t>that is,</w:t>
      </w:r>
      <w:r w:rsidR="001B103A">
        <w:t xml:space="preserve"> what safety concerns are the ongoing study and the proposed study collecting information for. The risk minimisation column should include whether each safety concern and missing information has routine risk minimisation as there are no additional risk minimisation activities. The Dear Doctor letter is considered a routine activity. (Probably all the safety concerns and Missing Information will have routine risk minimisation except </w:t>
      </w:r>
      <w:r w:rsidR="0039759D">
        <w:t>‘</w:t>
      </w:r>
      <w:r w:rsidR="001B103A">
        <w:t>decrease in pulmonary function</w:t>
      </w:r>
      <w:r w:rsidR="0039759D">
        <w:t>’</w:t>
      </w:r>
      <w:r w:rsidR="001B103A">
        <w:t xml:space="preserve"> (if it remains as an Important Potential Risk) as this is not mentioned in the PI).</w:t>
      </w:r>
    </w:p>
    <w:p w14:paraId="23453B5D" w14:textId="07EBBE6F" w:rsidR="001B103A" w:rsidRDefault="001B103A" w:rsidP="008D44CF">
      <w:pPr>
        <w:pStyle w:val="ListBullet"/>
      </w:pPr>
      <w:r>
        <w:t>The bioequivalence study is not considered to be an additional pharmacovigilance study and should be removed from Table 2.</w:t>
      </w:r>
    </w:p>
    <w:p w14:paraId="320330AF" w14:textId="07B4F75A" w:rsidR="001B103A" w:rsidRPr="00217A8F" w:rsidRDefault="001B103A" w:rsidP="00DA67CA">
      <w:pPr>
        <w:pStyle w:val="Heading4"/>
      </w:pPr>
      <w:bookmarkStart w:id="262" w:name="_Toc514317346"/>
      <w:r w:rsidRPr="00D6370B">
        <w:t xml:space="preserve">Other advice to the </w:t>
      </w:r>
      <w:r w:rsidR="003C1292">
        <w:t>d</w:t>
      </w:r>
      <w:r w:rsidRPr="00D6370B">
        <w:t>elegate</w:t>
      </w:r>
      <w:bookmarkEnd w:id="262"/>
    </w:p>
    <w:p w14:paraId="3F6F7181" w14:textId="77777777" w:rsidR="001B103A" w:rsidRDefault="001B3525" w:rsidP="00DA67CA">
      <w:r w:rsidRPr="001B3525">
        <w:t xml:space="preserve">The evaluator recommended amendments to the PI and </w:t>
      </w:r>
      <w:r w:rsidR="00DA67CA">
        <w:t>Consumer Medicine Information (</w:t>
      </w:r>
      <w:r w:rsidRPr="001B3525">
        <w:t>CMI</w:t>
      </w:r>
      <w:r w:rsidR="00DA67CA">
        <w:t>)</w:t>
      </w:r>
      <w:r w:rsidRPr="001B3525">
        <w:t xml:space="preserve"> documents but the details of these are beyond the scope of this AusPAR.</w:t>
      </w:r>
    </w:p>
    <w:p w14:paraId="31624A17" w14:textId="77777777" w:rsidR="001B103A" w:rsidRPr="00CA682B" w:rsidRDefault="001B103A" w:rsidP="00743697">
      <w:pPr>
        <w:pStyle w:val="Heading4"/>
      </w:pPr>
      <w:bookmarkStart w:id="263" w:name="_Toc514317347"/>
      <w:r w:rsidRPr="00CA682B">
        <w:t>Wording for conditions of registration</w:t>
      </w:r>
      <w:bookmarkEnd w:id="263"/>
    </w:p>
    <w:p w14:paraId="22C1213C" w14:textId="679CD84D" w:rsidR="001B103A" w:rsidRDefault="001B103A" w:rsidP="008D44CF">
      <w:pPr>
        <w:rPr>
          <w:color w:val="7030A0"/>
        </w:rPr>
      </w:pPr>
      <w:r w:rsidRPr="00CA682B">
        <w:t>Any changes to which the sponsor has agreed should be included in a revised RMP and ASA. However, irrespective of whether or not they are included in the currently available version of the RMP document, the agreed changes become part of the risk management system</w:t>
      </w:r>
      <w:r w:rsidRPr="009C6447">
        <w:rPr>
          <w:color w:val="7030A0"/>
        </w:rPr>
        <w:t xml:space="preserve">. </w:t>
      </w:r>
    </w:p>
    <w:p w14:paraId="6624BC35" w14:textId="77777777" w:rsidR="008D44CF" w:rsidRDefault="008D44CF" w:rsidP="008D44CF">
      <w:r>
        <w:t>The suggested wording is:</w:t>
      </w:r>
    </w:p>
    <w:p w14:paraId="2A552D0C" w14:textId="77777777" w:rsidR="001B103A" w:rsidRPr="008D44CF" w:rsidRDefault="001B103A" w:rsidP="00C73D8C">
      <w:pPr>
        <w:ind w:left="720"/>
        <w:rPr>
          <w:i/>
        </w:rPr>
      </w:pPr>
      <w:r w:rsidRPr="008D44CF">
        <w:rPr>
          <w:i/>
        </w:rPr>
        <w:t xml:space="preserve">The </w:t>
      </w:r>
      <w:r w:rsidR="00A84DBA" w:rsidRPr="008D44CF">
        <w:rPr>
          <w:i/>
        </w:rPr>
        <w:t>Kodatef</w:t>
      </w:r>
      <w:r w:rsidRPr="008D44CF">
        <w:rPr>
          <w:i/>
          <w:smallCaps/>
        </w:rPr>
        <w:t xml:space="preserve"> </w:t>
      </w:r>
      <w:r w:rsidRPr="008D44CF">
        <w:rPr>
          <w:i/>
        </w:rPr>
        <w:t>EU-Risk Management Plan (RMP) (version 2.0, dated 30 January 2018, data lock point 21 August 2017), with Australian Specific Annex (version 2.0, dated 30 January 2018), included with submission PM-2017-02418-1-2, and any subsequent revisions, as agreed with the TGA will be implemented in Australia.</w:t>
      </w:r>
    </w:p>
    <w:p w14:paraId="20ADFF80" w14:textId="77777777" w:rsidR="001B103A" w:rsidRPr="00D6370B" w:rsidRDefault="001B103A" w:rsidP="008D44CF">
      <w:r w:rsidRPr="00D6370B">
        <w:t>The following wording is recommended for the PSUR requirement:</w:t>
      </w:r>
    </w:p>
    <w:p w14:paraId="4E2F98AE" w14:textId="0722DFDD" w:rsidR="001B103A" w:rsidRPr="008D44CF" w:rsidRDefault="001B103A" w:rsidP="008D44CF">
      <w:pPr>
        <w:ind w:left="720"/>
        <w:rPr>
          <w:i/>
        </w:rPr>
      </w:pPr>
      <w:r w:rsidRPr="008D44CF">
        <w:rPr>
          <w:i/>
        </w:rPr>
        <w:t>An obligatory component of risk management plans is routine pharmacovigilance. Routine pharmacovigilance includes the submission of Periodic Safety Update Reports (PSURs).</w:t>
      </w:r>
    </w:p>
    <w:p w14:paraId="13013A7C" w14:textId="77777777" w:rsidR="001B103A" w:rsidRPr="008D44CF" w:rsidRDefault="001B103A" w:rsidP="008D44CF">
      <w:pPr>
        <w:ind w:left="720"/>
        <w:rPr>
          <w:i/>
        </w:rPr>
      </w:pPr>
      <w:r w:rsidRPr="008D44CF">
        <w:rPr>
          <w:i/>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w:t>
      </w:r>
      <w:r w:rsidRPr="008D44CF">
        <w:rPr>
          <w:i/>
        </w:rPr>
        <w:lastRenderedPageBreak/>
        <w:t>covering six months. If the sponsor wishes, the six monthly reports may be submitted separately as they become available.</w:t>
      </w:r>
    </w:p>
    <w:p w14:paraId="312D5069" w14:textId="77777777" w:rsidR="001B103A" w:rsidRPr="008D44CF" w:rsidRDefault="001B103A" w:rsidP="008D44CF">
      <w:pPr>
        <w:ind w:left="720"/>
        <w:rPr>
          <w:i/>
        </w:rPr>
      </w:pPr>
      <w:r w:rsidRPr="008D44CF">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27289D0" w14:textId="77777777" w:rsidR="001B103A" w:rsidRPr="00D6370B" w:rsidRDefault="001B103A" w:rsidP="008D44CF">
      <w:r w:rsidRPr="00D6370B">
        <w:t xml:space="preserve">As </w:t>
      </w:r>
      <w:r w:rsidR="00A84DBA" w:rsidRPr="00CD0452">
        <w:t>Kodatef</w:t>
      </w:r>
      <w:r w:rsidRPr="00D6370B">
        <w:t xml:space="preserve"> is a new chemical entity it should be included in the Black Triangle Scheme as a condition of registration. The following wording is recommended for the condition of registration: </w:t>
      </w:r>
    </w:p>
    <w:p w14:paraId="6F1DB6D8" w14:textId="77777777" w:rsidR="001B103A" w:rsidRPr="008D44CF" w:rsidRDefault="00A84DBA" w:rsidP="008D44CF">
      <w:pPr>
        <w:ind w:left="720"/>
        <w:rPr>
          <w:i/>
        </w:rPr>
      </w:pPr>
      <w:r w:rsidRPr="008D44CF">
        <w:rPr>
          <w:i/>
        </w:rPr>
        <w:t>Kodatef</w:t>
      </w:r>
      <w:r w:rsidR="001B103A" w:rsidRPr="008D44CF">
        <w:rPr>
          <w:i/>
        </w:rPr>
        <w:t xml:space="preserve"> (tafenoquine) is to be included in the Black Triangle Scheme. The PI and CMI for </w:t>
      </w:r>
      <w:r w:rsidRPr="008D44CF">
        <w:rPr>
          <w:i/>
        </w:rPr>
        <w:t>Kodatef</w:t>
      </w:r>
      <w:r w:rsidR="001B103A" w:rsidRPr="008D44CF">
        <w:rPr>
          <w:i/>
          <w:smallCaps/>
        </w:rPr>
        <w:t xml:space="preserve"> </w:t>
      </w:r>
      <w:r w:rsidR="001B103A" w:rsidRPr="008D44CF">
        <w:rPr>
          <w:i/>
        </w:rPr>
        <w:t>must include the black triangle symbol and mandatory accompanying text for five years, which starts from the date that the sponsor notifies the TGA of supply of the product.</w:t>
      </w:r>
    </w:p>
    <w:p w14:paraId="61FC64D8" w14:textId="77777777" w:rsidR="008E7846" w:rsidRPr="00792A32" w:rsidRDefault="008E7846" w:rsidP="008E7846">
      <w:pPr>
        <w:pStyle w:val="Heading2"/>
      </w:pPr>
      <w:bookmarkStart w:id="264" w:name="_Toc247691527"/>
      <w:bookmarkStart w:id="265" w:name="_Toc314842510"/>
      <w:bookmarkStart w:id="266" w:name="_Toc1234879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67"/>
      <w:bookmarkEnd w:id="264"/>
      <w:bookmarkEnd w:id="265"/>
      <w:bookmarkEnd w:id="266"/>
    </w:p>
    <w:p w14:paraId="2AB58D5C" w14:textId="77777777" w:rsidR="008E7846" w:rsidRDefault="008E7846" w:rsidP="008E7846">
      <w:bookmarkStart w:id="267" w:name="_Toc247691528"/>
      <w:r>
        <w:t xml:space="preserve">The submission was summarised in the following </w:t>
      </w:r>
      <w:r w:rsidRPr="00EF5C48">
        <w:t xml:space="preserve">Delegate’s </w:t>
      </w:r>
      <w:r>
        <w:t>overview</w:t>
      </w:r>
      <w:r w:rsidRPr="00EF5C48">
        <w:t xml:space="preserve"> and recommendation</w:t>
      </w:r>
      <w:r>
        <w:t>s:</w:t>
      </w:r>
    </w:p>
    <w:p w14:paraId="11FCC290" w14:textId="77777777" w:rsidR="008E7846" w:rsidRDefault="008E7846" w:rsidP="008E7846">
      <w:pPr>
        <w:pStyle w:val="Heading3"/>
      </w:pPr>
      <w:bookmarkStart w:id="268" w:name="_Toc314842511"/>
      <w:bookmarkStart w:id="269" w:name="_Toc12348797"/>
      <w:r>
        <w:t>Quality</w:t>
      </w:r>
      <w:bookmarkEnd w:id="267"/>
      <w:bookmarkEnd w:id="268"/>
      <w:bookmarkEnd w:id="269"/>
    </w:p>
    <w:p w14:paraId="28C0D45F" w14:textId="3773FB73" w:rsidR="0082067D" w:rsidRPr="00895B7D" w:rsidRDefault="0082067D" w:rsidP="00C312D1">
      <w:r w:rsidRPr="008C6457">
        <w:rPr>
          <w:szCs w:val="24"/>
        </w:rPr>
        <w:t xml:space="preserve">All </w:t>
      </w:r>
      <w:r w:rsidR="00C312D1">
        <w:rPr>
          <w:szCs w:val="24"/>
        </w:rPr>
        <w:t>quality</w:t>
      </w:r>
      <w:r>
        <w:rPr>
          <w:szCs w:val="24"/>
        </w:rPr>
        <w:t xml:space="preserve"> issues</w:t>
      </w:r>
      <w:r w:rsidRPr="008C6457">
        <w:rPr>
          <w:szCs w:val="24"/>
        </w:rPr>
        <w:t xml:space="preserve"> h</w:t>
      </w:r>
      <w:r>
        <w:rPr>
          <w:szCs w:val="24"/>
        </w:rPr>
        <w:t>ave been satisfactorily resolved</w:t>
      </w:r>
      <w:r>
        <w:t xml:space="preserve">. </w:t>
      </w:r>
      <w:r>
        <w:rPr>
          <w:rFonts w:eastAsiaTheme="minorHAnsi"/>
          <w:szCs w:val="24"/>
        </w:rPr>
        <w:t xml:space="preserve">Overall, </w:t>
      </w:r>
      <w:r w:rsidR="00C312D1">
        <w:rPr>
          <w:rFonts w:eastAsiaTheme="minorHAnsi"/>
          <w:szCs w:val="24"/>
        </w:rPr>
        <w:t>c</w:t>
      </w:r>
      <w:r>
        <w:t xml:space="preserve">hemistry, </w:t>
      </w:r>
      <w:r w:rsidR="00C312D1">
        <w:t>q</w:t>
      </w:r>
      <w:r w:rsidRPr="00895B7D">
        <w:t>uality control</w:t>
      </w:r>
      <w:r>
        <w:t xml:space="preserve">, </w:t>
      </w:r>
      <w:r w:rsidR="00C312D1">
        <w:t>m</w:t>
      </w:r>
      <w:r>
        <w:t>anufacture</w:t>
      </w:r>
      <w:r w:rsidR="00C312D1">
        <w:t xml:space="preserve"> and</w:t>
      </w:r>
      <w:r>
        <w:t xml:space="preserve"> </w:t>
      </w:r>
      <w:r w:rsidR="001A1577">
        <w:t>Good Manufacturing Practice (</w:t>
      </w:r>
      <w:r>
        <w:t>GMP</w:t>
      </w:r>
      <w:r w:rsidR="001A1577">
        <w:t>)</w:t>
      </w:r>
      <w:r w:rsidRPr="00895B7D">
        <w:t xml:space="preserve"> aspects are acceptable</w:t>
      </w:r>
      <w:r>
        <w:t xml:space="preserve"> from </w:t>
      </w:r>
      <w:r w:rsidR="00C312D1">
        <w:t>a quality perspective</w:t>
      </w:r>
      <w:r>
        <w:t xml:space="preserve"> and approval is supported.</w:t>
      </w:r>
    </w:p>
    <w:p w14:paraId="08A013FC" w14:textId="77777777" w:rsidR="008E7846" w:rsidRDefault="008E7846" w:rsidP="008E7846">
      <w:pPr>
        <w:pStyle w:val="Heading3"/>
      </w:pPr>
      <w:bookmarkStart w:id="270" w:name="_Toc314842512"/>
      <w:bookmarkStart w:id="271" w:name="_Toc12348798"/>
      <w:r>
        <w:t>Nonclinical</w:t>
      </w:r>
      <w:bookmarkEnd w:id="270"/>
      <w:bookmarkEnd w:id="271"/>
    </w:p>
    <w:p w14:paraId="002B6B5D" w14:textId="77777777" w:rsidR="0082067D" w:rsidRPr="00F613BF" w:rsidRDefault="00C312D1" w:rsidP="00C312D1">
      <w:r>
        <w:t>The</w:t>
      </w:r>
      <w:r w:rsidR="0082067D" w:rsidRPr="00895B7D">
        <w:t xml:space="preserve"> </w:t>
      </w:r>
      <w:r>
        <w:t>n</w:t>
      </w:r>
      <w:r w:rsidR="0082067D">
        <w:t>onclinical studies were compliant with the applicable guidelines and GLP requirements and the dataset was overall considered adequate for evaluation.</w:t>
      </w:r>
    </w:p>
    <w:p w14:paraId="1CC286D6" w14:textId="77777777" w:rsidR="0082067D" w:rsidRDefault="0082067D" w:rsidP="00C312D1">
      <w:r>
        <w:t>Based on the p</w:t>
      </w:r>
      <w:r w:rsidRPr="008C37AD">
        <w:t xml:space="preserve">ivotal repeat dose studies </w:t>
      </w:r>
      <w:r>
        <w:t>in mice, rats and dogs (</w:t>
      </w:r>
      <w:r w:rsidRPr="008C37AD">
        <w:t>low exposures</w:t>
      </w:r>
      <w:r>
        <w:t xml:space="preserve"> compared to the intended clinical dosing) the m</w:t>
      </w:r>
      <w:r w:rsidRPr="008919E1">
        <w:t>aj</w:t>
      </w:r>
      <w:r>
        <w:t xml:space="preserve">or target organs for </w:t>
      </w:r>
      <w:r w:rsidR="00C312D1">
        <w:t>tafenoquine</w:t>
      </w:r>
      <w:r w:rsidRPr="008919E1">
        <w:t xml:space="preserve"> were the lung (phospholipidosis), liver (centrilobular inflammation, apoptosis, fatty change and increased plasma transaminases) and kidney (tubular nephrosis, necrosis and dilation at 13 weeks in th</w:t>
      </w:r>
      <w:r>
        <w:t>e rat; not present in the dog).</w:t>
      </w:r>
    </w:p>
    <w:p w14:paraId="6DBB6E1F" w14:textId="77777777" w:rsidR="0082067D" w:rsidRDefault="0082067D" w:rsidP="00C312D1">
      <w:r>
        <w:t xml:space="preserve">The relevant studies did not indicate significant potential for mutagenicity or teratogenicity. The sponsor has proposed Pregnancy Category D. The </w:t>
      </w:r>
      <w:r w:rsidR="00C312D1">
        <w:t>nonclinical</w:t>
      </w:r>
      <w:r>
        <w:t xml:space="preserve"> evaluators consider the data consistent with Pregnancy Category C.</w:t>
      </w:r>
    </w:p>
    <w:p w14:paraId="4A7C9432" w14:textId="77777777" w:rsidR="0082067D" w:rsidRDefault="0082067D" w:rsidP="00C312D1">
      <w:r w:rsidRPr="008558EF">
        <w:rPr>
          <w:kern w:val="2"/>
        </w:rPr>
        <w:t>The carci</w:t>
      </w:r>
      <w:r>
        <w:rPr>
          <w:kern w:val="2"/>
        </w:rPr>
        <w:t xml:space="preserve">nogenic potential of </w:t>
      </w:r>
      <w:r w:rsidR="00C312D1">
        <w:rPr>
          <w:kern w:val="2"/>
        </w:rPr>
        <w:t>tafenoquine</w:t>
      </w:r>
      <w:r w:rsidRPr="008558EF">
        <w:rPr>
          <w:kern w:val="2"/>
        </w:rPr>
        <w:t xml:space="preserve"> by the oral route was assessed in mice and rat</w:t>
      </w:r>
      <w:r>
        <w:rPr>
          <w:kern w:val="2"/>
        </w:rPr>
        <w:t>s in conventional 2 year</w:t>
      </w:r>
      <w:r w:rsidRPr="008558EF">
        <w:rPr>
          <w:kern w:val="2"/>
        </w:rPr>
        <w:t xml:space="preserve"> carcinogenicity stud</w:t>
      </w:r>
      <w:r>
        <w:rPr>
          <w:kern w:val="2"/>
        </w:rPr>
        <w:t xml:space="preserve">ies as per </w:t>
      </w:r>
      <w:r w:rsidRPr="00C51969">
        <w:rPr>
          <w:kern w:val="2"/>
        </w:rPr>
        <w:t>relevant ICH guidelines</w:t>
      </w:r>
      <w:r>
        <w:rPr>
          <w:kern w:val="2"/>
        </w:rPr>
        <w:t>.</w:t>
      </w:r>
    </w:p>
    <w:p w14:paraId="284E2299" w14:textId="79F558E0" w:rsidR="0082067D" w:rsidRDefault="0082067D" w:rsidP="00C312D1">
      <w:r>
        <w:rPr>
          <w:kern w:val="2"/>
        </w:rPr>
        <w:t>In the mice carcinogenicity study, group sizes</w:t>
      </w:r>
      <w:r w:rsidRPr="00F73BEC">
        <w:rPr>
          <w:kern w:val="2"/>
        </w:rPr>
        <w:t xml:space="preserve"> (</w:t>
      </w:r>
      <w:r>
        <w:rPr>
          <w:kern w:val="2"/>
        </w:rPr>
        <w:t>60</w:t>
      </w:r>
      <w:r w:rsidRPr="00F73BEC">
        <w:rPr>
          <w:kern w:val="2"/>
        </w:rPr>
        <w:t>/sex)</w:t>
      </w:r>
      <w:r>
        <w:rPr>
          <w:kern w:val="2"/>
        </w:rPr>
        <w:t xml:space="preserve"> and</w:t>
      </w:r>
      <w:r w:rsidRPr="00F73BEC">
        <w:rPr>
          <w:kern w:val="2"/>
        </w:rPr>
        <w:t xml:space="preserve"> duration of dosing (</w:t>
      </w:r>
      <w:r>
        <w:rPr>
          <w:kern w:val="2"/>
        </w:rPr>
        <w:t>2 years</w:t>
      </w:r>
      <w:r w:rsidRPr="00F73BEC">
        <w:rPr>
          <w:kern w:val="2"/>
        </w:rPr>
        <w:t>)</w:t>
      </w:r>
      <w:r>
        <w:rPr>
          <w:kern w:val="2"/>
        </w:rPr>
        <w:t xml:space="preserve"> </w:t>
      </w:r>
      <w:r w:rsidRPr="00F73BEC">
        <w:rPr>
          <w:kern w:val="2"/>
        </w:rPr>
        <w:t>were appropriate</w:t>
      </w:r>
      <w:r>
        <w:rPr>
          <w:kern w:val="2"/>
        </w:rPr>
        <w:t xml:space="preserve">. The selection of </w:t>
      </w:r>
      <w:r w:rsidR="00C312D1">
        <w:rPr>
          <w:kern w:val="2"/>
        </w:rPr>
        <w:t>tafenoquine</w:t>
      </w:r>
      <w:r>
        <w:rPr>
          <w:kern w:val="2"/>
        </w:rPr>
        <w:t xml:space="preserve"> doses in the 2 year study was based on the maximum tolerated dose (1 mg/kg) in a previous 13 week dose ranging mice study. </w:t>
      </w:r>
      <w:r w:rsidR="00C312D1">
        <w:rPr>
          <w:kern w:val="2"/>
        </w:rPr>
        <w:t>T</w:t>
      </w:r>
      <w:r w:rsidR="00C312D1">
        <w:t>afenoquine</w:t>
      </w:r>
      <w:r>
        <w:t xml:space="preserve"> was not carcinogenic at up to 1 mg/kg/day dose (</w:t>
      </w:r>
      <w:r w:rsidR="006F2C7A" w:rsidRPr="006F2C7A">
        <w:rPr>
          <w:kern w:val="2"/>
        </w:rPr>
        <w:t>approximately</w:t>
      </w:r>
      <w:r w:rsidR="00732880">
        <w:rPr>
          <w:kern w:val="2"/>
        </w:rPr>
        <w:t xml:space="preserve"> </w:t>
      </w:r>
      <w:r>
        <w:rPr>
          <w:kern w:val="2"/>
        </w:rPr>
        <w:t>0.3x the clinical AUC</w:t>
      </w:r>
      <w:r>
        <w:t>) in mice. The NOAEL in this study was</w:t>
      </w:r>
      <w:r w:rsidRPr="00E411DB">
        <w:t xml:space="preserve"> 1 mg/kg.</w:t>
      </w:r>
    </w:p>
    <w:p w14:paraId="589218A7" w14:textId="77777777" w:rsidR="0082067D" w:rsidRDefault="0082067D" w:rsidP="00C312D1">
      <w:r w:rsidRPr="00BE362F">
        <w:rPr>
          <w:kern w:val="2"/>
        </w:rPr>
        <w:t>In the rat ca</w:t>
      </w:r>
      <w:r>
        <w:rPr>
          <w:kern w:val="2"/>
        </w:rPr>
        <w:t xml:space="preserve">rcinogenicity study, </w:t>
      </w:r>
      <w:r w:rsidR="00C312D1">
        <w:rPr>
          <w:kern w:val="2"/>
        </w:rPr>
        <w:t>tafenoquine</w:t>
      </w:r>
      <w:r>
        <w:rPr>
          <w:kern w:val="2"/>
        </w:rPr>
        <w:t xml:space="preserve"> was given daily</w:t>
      </w:r>
      <w:r w:rsidRPr="00BE362F">
        <w:rPr>
          <w:kern w:val="2"/>
        </w:rPr>
        <w:t xml:space="preserve"> by oral gavage,</w:t>
      </w:r>
      <w:r>
        <w:rPr>
          <w:kern w:val="2"/>
        </w:rPr>
        <w:t xml:space="preserve"> </w:t>
      </w:r>
      <w:r w:rsidRPr="00BE362F">
        <w:rPr>
          <w:kern w:val="2"/>
        </w:rPr>
        <w:t xml:space="preserve">at doses of 0, 0.1, 0.5, 1 or 2 mg/kg/day </w:t>
      </w:r>
      <w:r>
        <w:rPr>
          <w:kern w:val="2"/>
        </w:rPr>
        <w:t xml:space="preserve">(equivalent to </w:t>
      </w:r>
      <w:r w:rsidR="006F2C7A" w:rsidRPr="006F2C7A">
        <w:rPr>
          <w:kern w:val="2"/>
        </w:rPr>
        <w:t>approximately</w:t>
      </w:r>
      <w:r>
        <w:rPr>
          <w:kern w:val="2"/>
        </w:rPr>
        <w:t xml:space="preserve"> 0, 0.03. 0.26, 0.71 and 1.6 times the clinical AUC respectively) </w:t>
      </w:r>
      <w:r w:rsidRPr="00BE362F">
        <w:rPr>
          <w:kern w:val="2"/>
        </w:rPr>
        <w:t>for 2 years</w:t>
      </w:r>
      <w:r>
        <w:rPr>
          <w:kern w:val="2"/>
        </w:rPr>
        <w:t>.</w:t>
      </w:r>
      <w:r w:rsidRPr="00BE362F">
        <w:t xml:space="preserve"> </w:t>
      </w:r>
      <w:r>
        <w:t>I</w:t>
      </w:r>
      <w:r w:rsidRPr="00BE362F">
        <w:rPr>
          <w:kern w:val="2"/>
        </w:rPr>
        <w:t>ncidence</w:t>
      </w:r>
      <w:r>
        <w:rPr>
          <w:kern w:val="2"/>
        </w:rPr>
        <w:t xml:space="preserve"> </w:t>
      </w:r>
      <w:r w:rsidRPr="00BE362F">
        <w:rPr>
          <w:kern w:val="2"/>
        </w:rPr>
        <w:t xml:space="preserve">of renal tumours </w:t>
      </w:r>
      <w:r>
        <w:rPr>
          <w:kern w:val="2"/>
        </w:rPr>
        <w:t xml:space="preserve">(renal cell adenoma </w:t>
      </w:r>
      <w:r>
        <w:rPr>
          <w:kern w:val="2"/>
        </w:rPr>
        <w:lastRenderedPageBreak/>
        <w:t xml:space="preserve">at 1 and 2 mg/kg/day with only one incidence of carcinoma at 2 mg/kg/day) </w:t>
      </w:r>
      <w:r w:rsidRPr="00BE362F">
        <w:rPr>
          <w:kern w:val="2"/>
        </w:rPr>
        <w:t xml:space="preserve">and </w:t>
      </w:r>
      <w:r>
        <w:rPr>
          <w:kern w:val="2"/>
        </w:rPr>
        <w:t xml:space="preserve">cortical </w:t>
      </w:r>
      <w:r w:rsidRPr="00BE362F">
        <w:rPr>
          <w:kern w:val="2"/>
        </w:rPr>
        <w:t xml:space="preserve">hyperplasia in male rats </w:t>
      </w:r>
      <w:r>
        <w:rPr>
          <w:kern w:val="2"/>
        </w:rPr>
        <w:t xml:space="preserve">at </w:t>
      </w:r>
      <w:r w:rsidRPr="00BE362F">
        <w:rPr>
          <w:kern w:val="2"/>
        </w:rPr>
        <w:t>2 mg/kg/day</w:t>
      </w:r>
      <w:r>
        <w:rPr>
          <w:kern w:val="2"/>
        </w:rPr>
        <w:t xml:space="preserve"> were observed</w:t>
      </w:r>
      <w:r>
        <w:t xml:space="preserve">. </w:t>
      </w:r>
      <w:r>
        <w:rPr>
          <w:kern w:val="2"/>
        </w:rPr>
        <w:t xml:space="preserve">CPN was also increased in male rats at these doses. </w:t>
      </w:r>
      <w:r w:rsidRPr="00E411DB">
        <w:t xml:space="preserve">The </w:t>
      </w:r>
      <w:r>
        <w:t xml:space="preserve">selection of </w:t>
      </w:r>
      <w:r w:rsidR="00C312D1">
        <w:t>tafenoquine</w:t>
      </w:r>
      <w:r>
        <w:t xml:space="preserve"> doses for</w:t>
      </w:r>
      <w:r w:rsidRPr="00E411DB">
        <w:t xml:space="preserve"> the 2 yea</w:t>
      </w:r>
      <w:r>
        <w:t>r study was based</w:t>
      </w:r>
      <w:r w:rsidRPr="00E411DB">
        <w:t xml:space="preserve"> a </w:t>
      </w:r>
      <w:r>
        <w:t>previous 6 month toxicity study in which</w:t>
      </w:r>
      <w:r w:rsidRPr="00E411DB">
        <w:t xml:space="preserve"> </w:t>
      </w:r>
      <w:r>
        <w:t xml:space="preserve">0.5, 2.0 and 9 mg/kg </w:t>
      </w:r>
      <w:r w:rsidR="00C312D1">
        <w:t>tafenoquine</w:t>
      </w:r>
      <w:r>
        <w:t xml:space="preserve"> doses were administered to CD rats and 2 and 9 mg/kg doses </w:t>
      </w:r>
      <w:r w:rsidRPr="00E411DB">
        <w:t>showed decreased body weight, alterations in haematology and pathology changes.</w:t>
      </w:r>
      <w:r>
        <w:t xml:space="preserve"> </w:t>
      </w:r>
      <w:r w:rsidRPr="00E411DB">
        <w:t>A NOAEL w</w:t>
      </w:r>
      <w:r>
        <w:t>as not established</w:t>
      </w:r>
      <w:r w:rsidRPr="00E411DB">
        <w:t xml:space="preserve"> </w:t>
      </w:r>
      <w:r>
        <w:t xml:space="preserve">in the rat carcinogenicity study </w:t>
      </w:r>
      <w:r w:rsidRPr="00E411DB">
        <w:t>as there was an increase in the incidence of cholesterol clefts and chronic interstitial pneumonia in rats at the low dose of 0.1 mg/kg/day.</w:t>
      </w:r>
    </w:p>
    <w:p w14:paraId="77C8AD09" w14:textId="77777777" w:rsidR="0082067D" w:rsidRPr="00817A30" w:rsidRDefault="0082067D" w:rsidP="00C312D1">
      <w:r>
        <w:rPr>
          <w:kern w:val="2"/>
        </w:rPr>
        <w:t>I</w:t>
      </w:r>
      <w:r w:rsidRPr="00817A30">
        <w:rPr>
          <w:kern w:val="2"/>
        </w:rPr>
        <w:t>n another 13</w:t>
      </w:r>
      <w:r w:rsidR="000C24B0">
        <w:rPr>
          <w:kern w:val="2"/>
        </w:rPr>
        <w:t xml:space="preserve"> week</w:t>
      </w:r>
      <w:r w:rsidRPr="00817A30">
        <w:rPr>
          <w:kern w:val="2"/>
        </w:rPr>
        <w:t xml:space="preserve"> rat study, immunostaining of kidney sections showed increased Ki67 and proliferating cell nuclear antigen, both of which are markers of cell proliferation, in both sexes at 18 mg/kg/day and in males at 2 mg/kg/day. In the same 13</w:t>
      </w:r>
      <w:r w:rsidR="000C24B0">
        <w:rPr>
          <w:kern w:val="2"/>
        </w:rPr>
        <w:t xml:space="preserve"> week</w:t>
      </w:r>
      <w:r w:rsidRPr="00817A30">
        <w:rPr>
          <w:kern w:val="2"/>
        </w:rPr>
        <w:t xml:space="preserve"> study there were also karyomegaly in the outer strip of renal medulla at 2 or 18 mg/kg/day and diffuse medullary epithelial vacuolation and single cell necrosis </w:t>
      </w:r>
      <w:r>
        <w:rPr>
          <w:kern w:val="2"/>
        </w:rPr>
        <w:t>in both sexes at 18 mg/kg/day.</w:t>
      </w:r>
    </w:p>
    <w:p w14:paraId="68A32176" w14:textId="77777777" w:rsidR="0082067D" w:rsidRPr="00817A30" w:rsidRDefault="0082067D" w:rsidP="00C312D1">
      <w:r>
        <w:t xml:space="preserve">The </w:t>
      </w:r>
      <w:r w:rsidR="00C312D1">
        <w:t>nonclinical</w:t>
      </w:r>
      <w:r>
        <w:t xml:space="preserve"> evaluator note</w:t>
      </w:r>
      <w:r w:rsidRPr="00817A30">
        <w:t xml:space="preserve"> as follows:</w:t>
      </w:r>
    </w:p>
    <w:p w14:paraId="55479AFC" w14:textId="77777777" w:rsidR="0082067D" w:rsidRPr="00C312D1" w:rsidRDefault="0082067D" w:rsidP="00C312D1">
      <w:pPr>
        <w:ind w:left="720"/>
        <w:rPr>
          <w:i/>
        </w:rPr>
      </w:pPr>
      <w:r w:rsidRPr="00C312D1">
        <w:rPr>
          <w:i/>
        </w:rPr>
        <w:t>The above findings, together with the absence of genotoxicity, point to a non-genotoxic mechanism of renal carcinogenicity. The renal tumours in rats probably resulted from chronic cellular damage leading to cell regeneration, proliferation, hyperplasia and finally renal tumours. The exact mechanism is unclear but CPN might be a contributing factor since renal tumours were observed only in male rats. The renal tumours in rats are considered clinically relevant. However, the risk of renal tumours in humans is low given (i) proposed treatment duration of 6 months cf. the life time exposure in the rat carcinogenicity study, (ii) the absence of tumours in the 6-month rat study and in the mouse carcinogenicity, study and (iii) the absence of hyperplasia of renal tubule cells in the one year dog study.</w:t>
      </w:r>
    </w:p>
    <w:p w14:paraId="37119DB3" w14:textId="2D09D691" w:rsidR="0082067D" w:rsidRDefault="0082067D" w:rsidP="00C312D1">
      <w:r>
        <w:t xml:space="preserve">The </w:t>
      </w:r>
      <w:r w:rsidR="00C312D1">
        <w:t>s</w:t>
      </w:r>
      <w:r w:rsidRPr="00817A30">
        <w:t>ponsor has also commented on the observed changes in its proposed text for the PI as follows:</w:t>
      </w:r>
    </w:p>
    <w:p w14:paraId="1A466D10" w14:textId="1F5687F6" w:rsidR="00E72C81" w:rsidRPr="00817A30" w:rsidRDefault="00E72C81" w:rsidP="00C312D1">
      <w:r>
        <w:t>[</w:t>
      </w:r>
      <w:r w:rsidR="00222998">
        <w:t>Information</w:t>
      </w:r>
      <w:r>
        <w:t xml:space="preserve"> redacted]</w:t>
      </w:r>
    </w:p>
    <w:p w14:paraId="39E039B9" w14:textId="702D7E75" w:rsidR="0082067D" w:rsidRDefault="0082067D" w:rsidP="00C312D1">
      <w:r>
        <w:t xml:space="preserve">The </w:t>
      </w:r>
      <w:r w:rsidR="00C312D1">
        <w:t>nonclinical</w:t>
      </w:r>
      <w:r>
        <w:t xml:space="preserve"> evaluators however also note as follows:</w:t>
      </w:r>
    </w:p>
    <w:p w14:paraId="6A133743" w14:textId="38320390" w:rsidR="0082067D" w:rsidRPr="00C312D1" w:rsidRDefault="0082067D" w:rsidP="00C312D1">
      <w:pPr>
        <w:ind w:left="720"/>
        <w:rPr>
          <w:i/>
        </w:rPr>
      </w:pPr>
      <w:r w:rsidRPr="00C312D1">
        <w:rPr>
          <w:i/>
        </w:rPr>
        <w:t>The renal tumours in rats probably resulted from chronic cellular damage leading to cell regeneration, proliferation, hyperplasia and finally renal tumours. The exact mechanism is unclear but chronic progressive nephropathy (CPN) was increased in male rats at these doses, suggesting CPN might be a contributing factor since renal tumours were observed only in male rats. CPN is a common renal lesion in male rats with no counter-part in humans, and is not considered relevant to human risk assessment. Considering other findings described above in both sexes in the 13</w:t>
      </w:r>
      <w:r w:rsidR="000C24B0" w:rsidRPr="00C312D1">
        <w:rPr>
          <w:i/>
        </w:rPr>
        <w:t xml:space="preserve"> week</w:t>
      </w:r>
      <w:r w:rsidRPr="00C312D1">
        <w:rPr>
          <w:i/>
        </w:rPr>
        <w:t xml:space="preserve"> study and that the exact mechanism is unclear, renal tumours in male rats treated with </w:t>
      </w:r>
      <w:r w:rsidR="00C312D1" w:rsidRPr="00C312D1">
        <w:rPr>
          <w:i/>
        </w:rPr>
        <w:t>tafenoquine</w:t>
      </w:r>
      <w:r w:rsidRPr="00C312D1">
        <w:rPr>
          <w:i/>
        </w:rPr>
        <w:t xml:space="preserve"> are clinically relevant.</w:t>
      </w:r>
    </w:p>
    <w:p w14:paraId="7E3BE2FF" w14:textId="77777777" w:rsidR="0082067D" w:rsidRDefault="0082067D" w:rsidP="0082067D">
      <w:pPr>
        <w:spacing w:line="240" w:lineRule="auto"/>
        <w:jc w:val="both"/>
      </w:pPr>
      <w:r>
        <w:t xml:space="preserve">The recommendation from the </w:t>
      </w:r>
      <w:r w:rsidR="00C312D1">
        <w:t>nonclinical</w:t>
      </w:r>
      <w:r>
        <w:t xml:space="preserve"> evaluator is as follows:</w:t>
      </w:r>
    </w:p>
    <w:p w14:paraId="5A8052C9" w14:textId="70F3E421" w:rsidR="008E7846" w:rsidRPr="00C312D1" w:rsidRDefault="0082067D" w:rsidP="00C312D1">
      <w:pPr>
        <w:ind w:left="720"/>
        <w:rPr>
          <w:i/>
        </w:rPr>
      </w:pPr>
      <w:r w:rsidRPr="00C312D1">
        <w:rPr>
          <w:i/>
        </w:rPr>
        <w:t xml:space="preserve">Provided the above effects are adequately monitored or managed during clinical use and that the benefit/risk profile seems acceptable from a clinical perspective, there are no objections on nonclinical grounds to the proposed registration of </w:t>
      </w:r>
      <w:r w:rsidR="00C312D1" w:rsidRPr="00C312D1">
        <w:rPr>
          <w:i/>
        </w:rPr>
        <w:t>tafenoquine</w:t>
      </w:r>
      <w:r w:rsidRPr="00C312D1">
        <w:rPr>
          <w:i/>
        </w:rPr>
        <w:t xml:space="preserve"> succinate (</w:t>
      </w:r>
      <w:r w:rsidR="00A84DBA" w:rsidRPr="00C312D1">
        <w:rPr>
          <w:i/>
        </w:rPr>
        <w:t>Kodatef</w:t>
      </w:r>
      <w:r w:rsidRPr="00C312D1">
        <w:rPr>
          <w:i/>
        </w:rPr>
        <w:t>).</w:t>
      </w:r>
    </w:p>
    <w:p w14:paraId="07F4D67E" w14:textId="77777777" w:rsidR="008E7846" w:rsidRDefault="008E7846" w:rsidP="008E7846">
      <w:pPr>
        <w:pStyle w:val="Heading3"/>
      </w:pPr>
      <w:bookmarkStart w:id="272" w:name="_Toc247691530"/>
      <w:bookmarkStart w:id="273" w:name="_Toc314842513"/>
      <w:bookmarkStart w:id="274" w:name="_Toc12348799"/>
      <w:r>
        <w:t>Clinical</w:t>
      </w:r>
      <w:bookmarkEnd w:id="272"/>
      <w:bookmarkEnd w:id="273"/>
      <w:bookmarkEnd w:id="274"/>
    </w:p>
    <w:p w14:paraId="56D561B6" w14:textId="5783C4B1" w:rsidR="0082067D" w:rsidRDefault="0082067D" w:rsidP="006D4F86">
      <w:bookmarkStart w:id="275" w:name="_Toc314842514"/>
      <w:r w:rsidRPr="004C4C87">
        <w:t>The clinical dossier</w:t>
      </w:r>
      <w:r>
        <w:t xml:space="preserve"> </w:t>
      </w:r>
      <w:r w:rsidRPr="004C4C87">
        <w:t xml:space="preserve">supporting this </w:t>
      </w:r>
      <w:r>
        <w:t xml:space="preserve">submission comprised of full clinical development program for </w:t>
      </w:r>
      <w:r w:rsidR="00C312D1">
        <w:t>tafenoquine</w:t>
      </w:r>
      <w:r>
        <w:t xml:space="preserve">, including a number of Phase </w:t>
      </w:r>
      <w:r w:rsidR="006D4F86">
        <w:t>I</w:t>
      </w:r>
      <w:r>
        <w:t xml:space="preserve"> PK/PD studies, 3 Phase </w:t>
      </w:r>
      <w:r w:rsidR="006D4F86">
        <w:t>II</w:t>
      </w:r>
      <w:r>
        <w:t xml:space="preserve"> studies (</w:t>
      </w:r>
      <w:r w:rsidR="006D4F86">
        <w:t xml:space="preserve">Study </w:t>
      </w:r>
      <w:r>
        <w:t xml:space="preserve">006 dose ranging study; </w:t>
      </w:r>
      <w:r w:rsidR="006D4F86">
        <w:t xml:space="preserve">Study </w:t>
      </w:r>
      <w:r>
        <w:t xml:space="preserve">043 proof of concept study; </w:t>
      </w:r>
      <w:r w:rsidR="006D4F86">
        <w:t xml:space="preserve">Study </w:t>
      </w:r>
      <w:r>
        <w:t>044 40</w:t>
      </w:r>
      <w:r w:rsidR="00A84DBA">
        <w:t>0 mg</w:t>
      </w:r>
      <w:r>
        <w:t xml:space="preserve"> dosing study in semi-immune population)</w:t>
      </w:r>
      <w:r w:rsidRPr="004C4C87">
        <w:t>, 3 malaria challenge studies</w:t>
      </w:r>
      <w:r>
        <w:t xml:space="preserve"> (</w:t>
      </w:r>
      <w:r w:rsidR="006D4F86">
        <w:t xml:space="preserve">Studies </w:t>
      </w:r>
      <w:r>
        <w:t xml:space="preserve">053, 054 </w:t>
      </w:r>
      <w:r>
        <w:lastRenderedPageBreak/>
        <w:t xml:space="preserve">and </w:t>
      </w:r>
      <w:r w:rsidR="001A1577">
        <w:t>Study TQ-2016</w:t>
      </w:r>
      <w:r>
        <w:t>-02</w:t>
      </w:r>
      <w:r w:rsidR="003D2B33">
        <w:t>;</w:t>
      </w:r>
      <w:r>
        <w:t xml:space="preserve"> all in non-immune subjects),</w:t>
      </w:r>
      <w:r w:rsidRPr="004C4C87">
        <w:t xml:space="preserve"> 2 </w:t>
      </w:r>
      <w:r>
        <w:t xml:space="preserve">Phase </w:t>
      </w:r>
      <w:r w:rsidR="006D4F86">
        <w:t>III</w:t>
      </w:r>
      <w:r>
        <w:t xml:space="preserve"> studies in malaria prophylaxis (</w:t>
      </w:r>
      <w:r w:rsidR="006D4F86">
        <w:t xml:space="preserve">Study </w:t>
      </w:r>
      <w:r>
        <w:t xml:space="preserve">033 pivotal active-controlled study in non-immune population; </w:t>
      </w:r>
      <w:r w:rsidR="006D4F86">
        <w:t xml:space="preserve">Study </w:t>
      </w:r>
      <w:r>
        <w:t>045 placebo</w:t>
      </w:r>
      <w:r w:rsidR="00242787">
        <w:t xml:space="preserve"> </w:t>
      </w:r>
      <w:r>
        <w:t>controlled study in semi-immune population), 2 malaria treatment studies (</w:t>
      </w:r>
      <w:r w:rsidR="006D4F86">
        <w:t xml:space="preserve">Studies </w:t>
      </w:r>
      <w:r>
        <w:t xml:space="preserve">048 and 057) and clinical safety only studies including the </w:t>
      </w:r>
      <w:r w:rsidR="006D4F86">
        <w:t>S</w:t>
      </w:r>
      <w:r>
        <w:t>tudy 057.</w:t>
      </w:r>
    </w:p>
    <w:p w14:paraId="531256F6" w14:textId="751D9A22" w:rsidR="0082067D" w:rsidRDefault="0082067D" w:rsidP="006D4F86">
      <w:r>
        <w:t xml:space="preserve">The sponsor’s response to the </w:t>
      </w:r>
      <w:r w:rsidR="006D4F86">
        <w:t>second r</w:t>
      </w:r>
      <w:r>
        <w:t xml:space="preserve">ound </w:t>
      </w:r>
      <w:r w:rsidR="006D4F86">
        <w:t>clinical evaluation</w:t>
      </w:r>
      <w:r>
        <w:t xml:space="preserve"> has also been reviewed in preparation of this overview.</w:t>
      </w:r>
    </w:p>
    <w:p w14:paraId="019EFF07" w14:textId="30048B1F" w:rsidR="0082067D" w:rsidRPr="006D4F86" w:rsidRDefault="0082067D" w:rsidP="006D4F86">
      <w:pPr>
        <w:pStyle w:val="Heading4"/>
      </w:pPr>
      <w:r w:rsidRPr="006D4F86">
        <w:t>Pharmacokinetics</w:t>
      </w:r>
    </w:p>
    <w:p w14:paraId="4BAA52FC" w14:textId="7C263C49" w:rsidR="0082067D" w:rsidRPr="00895B7D" w:rsidRDefault="0082067D" w:rsidP="0082067D">
      <w:pPr>
        <w:spacing w:line="240" w:lineRule="auto"/>
        <w:jc w:val="both"/>
      </w:pPr>
      <w:r>
        <w:t>The proposed</w:t>
      </w:r>
      <w:r w:rsidRPr="00895B7D">
        <w:t xml:space="preserve"> formulation</w:t>
      </w:r>
      <w:r>
        <w:t xml:space="preserve"> for marketing is </w:t>
      </w:r>
      <w:r w:rsidR="00C312D1">
        <w:t>tafenoquine</w:t>
      </w:r>
      <w:r w:rsidRPr="00895B7D">
        <w:t xml:space="preserve"> immediate release tablets for oral administration co</w:t>
      </w:r>
      <w:r>
        <w:t xml:space="preserve">ntaining active ingredient </w:t>
      </w:r>
      <w:r w:rsidRPr="00895B7D">
        <w:t>125</w:t>
      </w:r>
      <w:r>
        <w:t>.5</w:t>
      </w:r>
      <w:r w:rsidRPr="00895B7D">
        <w:t xml:space="preserve">mg </w:t>
      </w:r>
      <w:r w:rsidR="00C312D1">
        <w:t>tafenoquine</w:t>
      </w:r>
      <w:r w:rsidRPr="00895B7D">
        <w:t xml:space="preserve"> succin</w:t>
      </w:r>
      <w:r>
        <w:t>ate equivalent to 10</w:t>
      </w:r>
      <w:r w:rsidR="00A84DBA">
        <w:t>0 mg</w:t>
      </w:r>
      <w:r>
        <w:t xml:space="preserve"> </w:t>
      </w:r>
      <w:r w:rsidR="00C312D1">
        <w:t>tafenoquine</w:t>
      </w:r>
      <w:r>
        <w:t xml:space="preserve"> base.</w:t>
      </w:r>
    </w:p>
    <w:p w14:paraId="603E642A" w14:textId="51498864" w:rsidR="0082067D" w:rsidRDefault="0082067D" w:rsidP="006D4F86">
      <w:r>
        <w:t xml:space="preserve">The </w:t>
      </w:r>
      <w:r w:rsidR="00316B46">
        <w:t>S</w:t>
      </w:r>
      <w:r w:rsidRPr="004C4C87">
        <w:t xml:space="preserve">tudy </w:t>
      </w:r>
      <w:r w:rsidR="00316B46">
        <w:t>TQ</w:t>
      </w:r>
      <w:r w:rsidR="006D4F86">
        <w:t>-2016-01</w:t>
      </w:r>
      <w:r w:rsidRPr="004C4C87">
        <w:t xml:space="preserve"> showed that following administration of 20</w:t>
      </w:r>
      <w:r w:rsidR="00A84DBA">
        <w:t>0 mg</w:t>
      </w:r>
      <w:r w:rsidRPr="004C4C87">
        <w:t xml:space="preserve"> (2</w:t>
      </w:r>
      <w:r w:rsidR="00316B46">
        <w:t> </w:t>
      </w:r>
      <w:r>
        <w:t>x</w:t>
      </w:r>
      <w:r w:rsidR="00316B46">
        <w:t> </w:t>
      </w:r>
      <w:r>
        <w:t>10</w:t>
      </w:r>
      <w:r w:rsidR="00A84DBA">
        <w:t>0 mg</w:t>
      </w:r>
      <w:r>
        <w:t xml:space="preserve">) of </w:t>
      </w:r>
      <w:r w:rsidRPr="004C4C87">
        <w:t>the marketing formulation</w:t>
      </w:r>
      <w:r>
        <w:t xml:space="preserve">, </w:t>
      </w:r>
      <w:r w:rsidRPr="004C4C87">
        <w:t xml:space="preserve">the PK </w:t>
      </w:r>
      <w:r>
        <w:t xml:space="preserve">parameters </w:t>
      </w:r>
      <w:r w:rsidRPr="004C4C87">
        <w:t>(AUC, C</w:t>
      </w:r>
      <w:r w:rsidRPr="004C4C87">
        <w:rPr>
          <w:vertAlign w:val="subscript"/>
        </w:rPr>
        <w:t>max</w:t>
      </w:r>
      <w:r w:rsidR="00242787">
        <w:t xml:space="preserve"> and</w:t>
      </w:r>
      <w:r w:rsidRPr="004C4C87">
        <w:t xml:space="preserve"> t</w:t>
      </w:r>
      <w:r w:rsidRPr="004C4C87">
        <w:rPr>
          <w:vertAlign w:val="subscript"/>
        </w:rPr>
        <w:t>½</w:t>
      </w:r>
      <w:r>
        <w:t>) were</w:t>
      </w:r>
      <w:r w:rsidRPr="004C4C87">
        <w:t xml:space="preserve"> equivalent to </w:t>
      </w:r>
      <w:r>
        <w:t xml:space="preserve">the </w:t>
      </w:r>
      <w:r w:rsidRPr="004C4C87">
        <w:t>historic valu</w:t>
      </w:r>
      <w:r>
        <w:t xml:space="preserve">es with </w:t>
      </w:r>
      <w:r w:rsidRPr="00895B7D">
        <w:t>20</w:t>
      </w:r>
      <w:r w:rsidR="00A84DBA">
        <w:t>0 mg</w:t>
      </w:r>
      <w:r>
        <w:t xml:space="preserve"> </w:t>
      </w:r>
      <w:r w:rsidRPr="00895B7D">
        <w:t>capsule formulati</w:t>
      </w:r>
      <w:r>
        <w:t>on used in prior clinical work.</w:t>
      </w:r>
    </w:p>
    <w:p w14:paraId="549583A9" w14:textId="76F572D8" w:rsidR="006D4F86" w:rsidRDefault="0082067D" w:rsidP="0082067D">
      <w:pPr>
        <w:spacing w:line="240" w:lineRule="auto"/>
        <w:jc w:val="both"/>
      </w:pPr>
      <w:r>
        <w:t xml:space="preserve">Dose </w:t>
      </w:r>
      <w:r w:rsidRPr="00895B7D">
        <w:t xml:space="preserve">proportionality was demonstrated </w:t>
      </w:r>
      <w:r>
        <w:t xml:space="preserve">in </w:t>
      </w:r>
      <w:r w:rsidR="006D4F86">
        <w:t>S</w:t>
      </w:r>
      <w:r>
        <w:t xml:space="preserve">tudy 050 </w:t>
      </w:r>
      <w:r w:rsidRPr="00895B7D">
        <w:t>as follows</w:t>
      </w:r>
      <w:r w:rsidR="006D4F86">
        <w:t xml:space="preserve"> </w:t>
      </w:r>
      <w:r w:rsidR="00316B46">
        <w:t xml:space="preserve">in </w:t>
      </w:r>
      <w:r w:rsidR="006D4F86">
        <w:t xml:space="preserve">Figure </w:t>
      </w:r>
      <w:r w:rsidR="00316B46">
        <w:t>2.</w:t>
      </w:r>
    </w:p>
    <w:p w14:paraId="06E8D386" w14:textId="4670BCAA" w:rsidR="006D4F86" w:rsidRDefault="006D4F86" w:rsidP="006D4F86">
      <w:pPr>
        <w:pStyle w:val="FigureTitle"/>
      </w:pPr>
      <w:r>
        <w:t>Figure 2: Dose C</w:t>
      </w:r>
      <w:r w:rsidRPr="006D4F86">
        <w:rPr>
          <w:vertAlign w:val="subscript"/>
        </w:rPr>
        <w:t>max</w:t>
      </w:r>
      <w:r>
        <w:t xml:space="preserve"> proportionality of tafenoquine (Study 050)</w:t>
      </w:r>
    </w:p>
    <w:p w14:paraId="2D076916" w14:textId="578CDC45" w:rsidR="006D4F86" w:rsidRDefault="006D4F86" w:rsidP="003C1292">
      <w:r>
        <w:rPr>
          <w:noProof/>
          <w:lang w:eastAsia="en-AU"/>
        </w:rPr>
        <w:drawing>
          <wp:inline distT="0" distB="0" distL="0" distR="0" wp14:anchorId="3971ED89" wp14:editId="59B4ECD8">
            <wp:extent cx="3252994" cy="3907520"/>
            <wp:effectExtent l="0" t="0" r="5080" b="0"/>
            <wp:docPr id="34" name="Picture 34" descr="Dose Cmax proportionality of tafenoquine (Study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t="4225" r="10428" b="2347"/>
                    <a:stretch/>
                  </pic:blipFill>
                  <pic:spPr bwMode="auto">
                    <a:xfrm>
                      <a:off x="0" y="0"/>
                      <a:ext cx="3255293" cy="3910282"/>
                    </a:xfrm>
                    <a:prstGeom prst="rect">
                      <a:avLst/>
                    </a:prstGeom>
                    <a:ln>
                      <a:noFill/>
                    </a:ln>
                    <a:extLst>
                      <a:ext uri="{53640926-AAD7-44D8-BBD7-CCE9431645EC}">
                        <a14:shadowObscured xmlns:a14="http://schemas.microsoft.com/office/drawing/2010/main"/>
                      </a:ext>
                    </a:extLst>
                  </pic:spPr>
                </pic:pic>
              </a:graphicData>
            </a:graphic>
          </wp:inline>
        </w:drawing>
      </w:r>
    </w:p>
    <w:p w14:paraId="10574DAF" w14:textId="0431FEC4" w:rsidR="0082067D" w:rsidRDefault="0082067D" w:rsidP="006D4F86">
      <w:r w:rsidRPr="00895B7D">
        <w:t xml:space="preserve">In </w:t>
      </w:r>
      <w:r w:rsidR="006D4F86">
        <w:t>S</w:t>
      </w:r>
      <w:r w:rsidRPr="00895B7D">
        <w:t xml:space="preserve">tudy 051, healthy volunteers received 10 weekly </w:t>
      </w:r>
      <w:r>
        <w:t xml:space="preserve">administrations of </w:t>
      </w:r>
      <w:r w:rsidRPr="00895B7D">
        <w:t xml:space="preserve">200 or 400 mg </w:t>
      </w:r>
      <w:r w:rsidR="00C312D1">
        <w:t>tafenoquine</w:t>
      </w:r>
      <w:r w:rsidRPr="00895B7D">
        <w:t>. The accumulation ratio for the 20</w:t>
      </w:r>
      <w:r w:rsidR="00A84DBA">
        <w:t>0 mg</w:t>
      </w:r>
      <w:r w:rsidRPr="00895B7D">
        <w:t xml:space="preserve"> dose was approximately 4. The PK features were as follows</w:t>
      </w:r>
      <w:r w:rsidR="00314050">
        <w:t xml:space="preserve"> (Table </w:t>
      </w:r>
      <w:r w:rsidR="006D2C04">
        <w:t>26</w:t>
      </w:r>
      <w:r w:rsidR="00314050">
        <w:t>)</w:t>
      </w:r>
      <w:r w:rsidR="006D2C04">
        <w:t>.</w:t>
      </w:r>
    </w:p>
    <w:p w14:paraId="004BDA24" w14:textId="6E1B5A4B" w:rsidR="00314050" w:rsidRPr="00895B7D" w:rsidRDefault="00314050" w:rsidP="00314050">
      <w:pPr>
        <w:pStyle w:val="TableTitle"/>
      </w:pPr>
      <w:r>
        <w:lastRenderedPageBreak/>
        <w:t xml:space="preserve">Table </w:t>
      </w:r>
      <w:r w:rsidR="006D2C04">
        <w:t>26</w:t>
      </w:r>
      <w:r>
        <w:t>: PK profile of tafenoquine</w:t>
      </w:r>
    </w:p>
    <w:p w14:paraId="78FC46F4" w14:textId="551A2A7B" w:rsidR="0082067D" w:rsidRPr="00895B7D" w:rsidRDefault="0082067D" w:rsidP="0082067D">
      <w:pPr>
        <w:spacing w:line="240" w:lineRule="auto"/>
        <w:jc w:val="both"/>
      </w:pPr>
      <w:r w:rsidRPr="00895B7D">
        <w:rPr>
          <w:noProof/>
          <w:lang w:eastAsia="en-AU"/>
        </w:rPr>
        <w:drawing>
          <wp:inline distT="0" distB="0" distL="0" distR="0" wp14:anchorId="7039B0D4" wp14:editId="737AAAEB">
            <wp:extent cx="5223915" cy="1198563"/>
            <wp:effectExtent l="0" t="0" r="0" b="1905"/>
            <wp:docPr id="10" name="Picture 10" descr="PK profile of tafeno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CA20.tmp"/>
                    <pic:cNvPicPr/>
                  </pic:nvPicPr>
                  <pic:blipFill>
                    <a:blip r:embed="rId29">
                      <a:extLst>
                        <a:ext uri="{28A0092B-C50C-407E-A947-70E740481C1C}">
                          <a14:useLocalDpi xmlns:a14="http://schemas.microsoft.com/office/drawing/2010/main" val="0"/>
                        </a:ext>
                      </a:extLst>
                    </a:blip>
                    <a:stretch>
                      <a:fillRect/>
                    </a:stretch>
                  </pic:blipFill>
                  <pic:spPr>
                    <a:xfrm>
                      <a:off x="0" y="0"/>
                      <a:ext cx="5227652" cy="1199420"/>
                    </a:xfrm>
                    <a:prstGeom prst="rect">
                      <a:avLst/>
                    </a:prstGeom>
                  </pic:spPr>
                </pic:pic>
              </a:graphicData>
            </a:graphic>
          </wp:inline>
        </w:drawing>
      </w:r>
    </w:p>
    <w:p w14:paraId="013B0179" w14:textId="5242C0CA" w:rsidR="0082067D" w:rsidRPr="002E5BF8" w:rsidRDefault="00314050" w:rsidP="00314050">
      <w:r>
        <w:t>T</w:t>
      </w:r>
      <w:r w:rsidR="00C312D1">
        <w:t>afenoquine</w:t>
      </w:r>
      <w:r w:rsidR="0082067D">
        <w:t xml:space="preserve"> is &gt;99.5% </w:t>
      </w:r>
      <w:r w:rsidR="0082067D" w:rsidRPr="00895B7D">
        <w:t>plasma protein</w:t>
      </w:r>
      <w:r w:rsidR="0082067D">
        <w:t xml:space="preserve"> bound and concentrations in blood and RBC</w:t>
      </w:r>
      <w:r w:rsidR="0082067D" w:rsidRPr="00895B7D">
        <w:t xml:space="preserve"> were 2.0 and 3.4 times higher</w:t>
      </w:r>
      <w:r w:rsidR="0082067D">
        <w:t xml:space="preserve"> than in</w:t>
      </w:r>
      <w:r w:rsidR="0082067D" w:rsidRPr="00895B7D">
        <w:t xml:space="preserve"> plasma</w:t>
      </w:r>
      <w:r w:rsidR="0082067D">
        <w:t xml:space="preserve"> (</w:t>
      </w:r>
      <w:r>
        <w:t>S</w:t>
      </w:r>
      <w:r w:rsidR="0082067D">
        <w:t>tudy 052).</w:t>
      </w:r>
    </w:p>
    <w:p w14:paraId="4FB42000" w14:textId="55FA2B21" w:rsidR="0082067D" w:rsidRDefault="0082067D" w:rsidP="00314050">
      <w:r w:rsidRPr="00895B7D">
        <w:t xml:space="preserve">The consolidated PK data from </w:t>
      </w:r>
      <w:r>
        <w:t xml:space="preserve">various </w:t>
      </w:r>
      <w:r w:rsidRPr="00895B7D">
        <w:t>s</w:t>
      </w:r>
      <w:r>
        <w:t xml:space="preserve">tudies </w:t>
      </w:r>
      <w:r w:rsidRPr="00895B7D">
        <w:t xml:space="preserve">were used to determine population PK parameters </w:t>
      </w:r>
      <w:r>
        <w:t>(</w:t>
      </w:r>
      <w:r w:rsidR="00316B46">
        <w:t xml:space="preserve">clearance </w:t>
      </w:r>
      <w:r w:rsidR="00242787">
        <w:t>and</w:t>
      </w:r>
      <w:r>
        <w:t xml:space="preserve"> </w:t>
      </w:r>
      <w:r w:rsidR="00316B46">
        <w:t xml:space="preserve">volume </w:t>
      </w:r>
      <w:r>
        <w:t xml:space="preserve">of </w:t>
      </w:r>
      <w:r w:rsidR="00242787">
        <w:t>d</w:t>
      </w:r>
      <w:r>
        <w:t xml:space="preserve">istribution) </w:t>
      </w:r>
      <w:r w:rsidRPr="00895B7D">
        <w:t>as follows:</w:t>
      </w:r>
    </w:p>
    <w:p w14:paraId="4C3C7DD0" w14:textId="13CD3D89" w:rsidR="004260AC" w:rsidRDefault="004260AC" w:rsidP="004260AC">
      <w:pPr>
        <w:pStyle w:val="ListBullet"/>
      </w:pPr>
      <w:r>
        <w:t>CL/F: 4.17 L/h</w:t>
      </w:r>
    </w:p>
    <w:p w14:paraId="47B36363" w14:textId="43BE6D3D" w:rsidR="004260AC" w:rsidRDefault="004260AC" w:rsidP="004260AC">
      <w:pPr>
        <w:pStyle w:val="ListBullet"/>
      </w:pPr>
      <w:r>
        <w:t>Vd/F: 2470 L</w:t>
      </w:r>
    </w:p>
    <w:p w14:paraId="47F8AA1A" w14:textId="06B2053B" w:rsidR="0082067D" w:rsidRDefault="0082067D" w:rsidP="00314050">
      <w:r w:rsidRPr="00895B7D">
        <w:t xml:space="preserve">After administration </w:t>
      </w:r>
      <w:r>
        <w:t xml:space="preserve">of a single dose of </w:t>
      </w:r>
      <w:r w:rsidR="00C312D1">
        <w:t>tafenoquine</w:t>
      </w:r>
      <w:r>
        <w:t xml:space="preserve"> in fed and</w:t>
      </w:r>
      <w:r w:rsidRPr="00895B7D">
        <w:t xml:space="preserve"> fasted states (</w:t>
      </w:r>
      <w:r w:rsidR="00314050">
        <w:t>S</w:t>
      </w:r>
      <w:r w:rsidRPr="00895B7D">
        <w:t>tudy 022), a food effect of 41% higher AUC and 31% higher C</w:t>
      </w:r>
      <w:r w:rsidRPr="00895B7D">
        <w:rPr>
          <w:vertAlign w:val="subscript"/>
        </w:rPr>
        <w:t>max</w:t>
      </w:r>
      <w:r>
        <w:t xml:space="preserve"> was demonstrated.</w:t>
      </w:r>
    </w:p>
    <w:p w14:paraId="29A278D2" w14:textId="79556A00" w:rsidR="0082067D" w:rsidRDefault="0082067D" w:rsidP="00314050">
      <w:r>
        <w:t xml:space="preserve">In </w:t>
      </w:r>
      <w:r w:rsidR="00314050">
        <w:t>S</w:t>
      </w:r>
      <w:r>
        <w:t xml:space="preserve">tudy 014, </w:t>
      </w:r>
      <w:r w:rsidRPr="00895B7D">
        <w:t>following o</w:t>
      </w:r>
      <w:r>
        <w:t xml:space="preserve">ral </w:t>
      </w:r>
      <w:r w:rsidR="00C312D1">
        <w:t>tafenoquine</w:t>
      </w:r>
      <w:r>
        <w:t xml:space="preserve"> 40</w:t>
      </w:r>
      <w:r w:rsidR="00A84DBA">
        <w:t>0 mg</w:t>
      </w:r>
      <w:r>
        <w:t xml:space="preserve"> daily for 3 days, s</w:t>
      </w:r>
      <w:r w:rsidRPr="00895B7D">
        <w:t xml:space="preserve">mall amounts of </w:t>
      </w:r>
      <w:r>
        <w:t>&gt;</w:t>
      </w:r>
      <w:r w:rsidR="000C6FD7">
        <w:t> </w:t>
      </w:r>
      <w:r>
        <w:t>18</w:t>
      </w:r>
      <w:r w:rsidR="000C6FD7">
        <w:t> </w:t>
      </w:r>
      <w:r>
        <w:t>drug-</w:t>
      </w:r>
      <w:r w:rsidRPr="00895B7D">
        <w:t xml:space="preserve">related components </w:t>
      </w:r>
      <w:r>
        <w:t>were detected in</w:t>
      </w:r>
      <w:r w:rsidRPr="00895B7D">
        <w:t xml:space="preserve"> urine</w:t>
      </w:r>
      <w:r>
        <w:t>. These were</w:t>
      </w:r>
      <w:r w:rsidRPr="00895B7D">
        <w:t xml:space="preserve"> thought to </w:t>
      </w:r>
      <w:r>
        <w:t xml:space="preserve">be the </w:t>
      </w:r>
      <w:r w:rsidRPr="00895B7D">
        <w:t xml:space="preserve">result </w:t>
      </w:r>
      <w:r>
        <w:t>of metabolism or degradation</w:t>
      </w:r>
      <w:r w:rsidRPr="00895B7D">
        <w:t xml:space="preserve"> via O-demethylation, O-dearylation, N-dealkylation, deamination, oxidation, </w:t>
      </w:r>
      <w:proofErr w:type="gramStart"/>
      <w:r w:rsidRPr="00895B7D">
        <w:t>N</w:t>
      </w:r>
      <w:proofErr w:type="gramEnd"/>
      <w:r w:rsidRPr="00895B7D">
        <w:t>-carbamylation, N-acetylation and glucuronide conjugation</w:t>
      </w:r>
      <w:r>
        <w:t xml:space="preserve"> pathways</w:t>
      </w:r>
      <w:r w:rsidRPr="00895B7D">
        <w:t xml:space="preserve">. None of these </w:t>
      </w:r>
      <w:r>
        <w:t xml:space="preserve">drug-related compounds </w:t>
      </w:r>
      <w:r w:rsidRPr="00895B7D">
        <w:t>were identified in plasma</w:t>
      </w:r>
      <w:r>
        <w:t xml:space="preserve"> </w:t>
      </w:r>
      <w:r w:rsidR="006F2C7A" w:rsidRPr="006F2C7A">
        <w:t>that is,</w:t>
      </w:r>
      <w:r>
        <w:t xml:space="preserve"> only parent drug was extractable from plasma.</w:t>
      </w:r>
    </w:p>
    <w:p w14:paraId="5901CDCE" w14:textId="3D6E34D6" w:rsidR="0082067D" w:rsidRPr="000B0DC0" w:rsidRDefault="0082067D" w:rsidP="00314050">
      <w:r w:rsidRPr="00895B7D">
        <w:t xml:space="preserve">Human radiolabelled mass balance studies have not been conducted </w:t>
      </w:r>
      <w:r>
        <w:t xml:space="preserve">due to long half-life of the drug. </w:t>
      </w:r>
      <w:r w:rsidRPr="00895B7D">
        <w:rPr>
          <w:rFonts w:eastAsiaTheme="minorHAnsi" w:cs="TimesNewRomanPSMT"/>
        </w:rPr>
        <w:t>Animal data suggested extensive reabsorption of biliary excreted radioactivity and enterohepatic circulation of drug and/or metabolites.</w:t>
      </w:r>
    </w:p>
    <w:p w14:paraId="3541368C" w14:textId="1B06BAB6" w:rsidR="0082067D" w:rsidRDefault="0082067D" w:rsidP="00314050">
      <w:r w:rsidRPr="00895B7D">
        <w:t>There are no studies in patients wi</w:t>
      </w:r>
      <w:r>
        <w:t>th hepatic or renal impairment.</w:t>
      </w:r>
    </w:p>
    <w:p w14:paraId="21D6631E" w14:textId="24A4BAD5" w:rsidR="0082067D" w:rsidRDefault="00314050" w:rsidP="00314050">
      <w:r>
        <w:t>T</w:t>
      </w:r>
      <w:r w:rsidR="00C312D1">
        <w:t>afenoquine</w:t>
      </w:r>
      <w:r w:rsidR="0082067D" w:rsidRPr="00895B7D">
        <w:t xml:space="preserve"> does not significantly inhibit or induce CYP2D6, CYP3A4, CYP2C9 or CYP1A2</w:t>
      </w:r>
      <w:r w:rsidR="0082067D">
        <w:t xml:space="preserve"> </w:t>
      </w:r>
      <w:r w:rsidR="0020528D" w:rsidRPr="0020528D">
        <w:t>in vivo</w:t>
      </w:r>
      <w:r w:rsidR="0082067D">
        <w:t xml:space="preserve">. </w:t>
      </w:r>
      <w:r>
        <w:t>T</w:t>
      </w:r>
      <w:r w:rsidR="00C312D1">
        <w:t>afenoquine</w:t>
      </w:r>
      <w:r w:rsidR="0082067D">
        <w:t xml:space="preserve"> was shown to be an inhibitor of renal m</w:t>
      </w:r>
      <w:r w:rsidR="0082067D" w:rsidRPr="00895B7D">
        <w:t>ultidrug and toxin extrusion transporters (MATE</w:t>
      </w:r>
      <w:r w:rsidR="0082067D">
        <w:t xml:space="preserve"> 1 </w:t>
      </w:r>
      <w:r>
        <w:t>and</w:t>
      </w:r>
      <w:r w:rsidR="0082067D">
        <w:t xml:space="preserve"> 2</w:t>
      </w:r>
      <w:r w:rsidR="0082067D" w:rsidRPr="00895B7D">
        <w:t>) and organ</w:t>
      </w:r>
      <w:r w:rsidR="0082067D">
        <w:t xml:space="preserve">ic cation transporter (OCT2) in </w:t>
      </w:r>
      <w:r w:rsidR="0020528D" w:rsidRPr="0020528D">
        <w:t>in vitro</w:t>
      </w:r>
      <w:r w:rsidR="0082067D">
        <w:t xml:space="preserve"> studies. </w:t>
      </w:r>
      <w:r w:rsidR="0082067D" w:rsidRPr="008F2843">
        <w:t xml:space="preserve">The effect of </w:t>
      </w:r>
      <w:r w:rsidR="00C312D1">
        <w:t>tafenoquine</w:t>
      </w:r>
      <w:r w:rsidR="0082067D" w:rsidRPr="008F2843">
        <w:t xml:space="preserve"> on drug transporter proteins has not been studied </w:t>
      </w:r>
      <w:r w:rsidR="0020528D" w:rsidRPr="0020528D">
        <w:t>in vivo</w:t>
      </w:r>
      <w:r w:rsidR="0082067D">
        <w:t>.</w:t>
      </w:r>
    </w:p>
    <w:p w14:paraId="38A5299A" w14:textId="5EA03B91" w:rsidR="0082067D" w:rsidRPr="00314050" w:rsidRDefault="0082067D" w:rsidP="00314050">
      <w:pPr>
        <w:pStyle w:val="Heading4"/>
      </w:pPr>
      <w:r w:rsidRPr="00314050">
        <w:t>Pharmacodynamics</w:t>
      </w:r>
    </w:p>
    <w:p w14:paraId="3339B929" w14:textId="604051A9" w:rsidR="0082067D" w:rsidRDefault="0082067D" w:rsidP="00314050">
      <w:r w:rsidRPr="00895B7D">
        <w:t>The mol</w:t>
      </w:r>
      <w:r>
        <w:t xml:space="preserve">ecular target of </w:t>
      </w:r>
      <w:r w:rsidR="00C312D1">
        <w:t>tafenoquine</w:t>
      </w:r>
      <w:r>
        <w:t xml:space="preserve"> is unknown</w:t>
      </w:r>
      <w:r w:rsidRPr="00895B7D">
        <w:t xml:space="preserve">. </w:t>
      </w:r>
      <w:r w:rsidR="00314050">
        <w:t>T</w:t>
      </w:r>
      <w:r w:rsidR="00C312D1">
        <w:t>afenoquine</w:t>
      </w:r>
      <w:r>
        <w:t xml:space="preserve"> mainly </w:t>
      </w:r>
      <w:r w:rsidRPr="00895B7D">
        <w:t>kills th</w:t>
      </w:r>
      <w:r>
        <w:t>e developing asexual,</w:t>
      </w:r>
      <w:r w:rsidRPr="00895B7D">
        <w:t xml:space="preserve"> exoerythrocytic </w:t>
      </w:r>
      <w:r>
        <w:t>(liver) form</w:t>
      </w:r>
      <w:r w:rsidRPr="00895B7D">
        <w:t xml:space="preserve"> o</w:t>
      </w:r>
      <w:r>
        <w:t>f malarial parasite</w:t>
      </w:r>
      <w:r w:rsidRPr="00895B7D">
        <w:t xml:space="preserve"> (causal prophylaxis) but a level of </w:t>
      </w:r>
      <w:r>
        <w:t xml:space="preserve">erythrocytic stage activity as a </w:t>
      </w:r>
      <w:r w:rsidRPr="00895B7D">
        <w:t xml:space="preserve">blood </w:t>
      </w:r>
      <w:r>
        <w:t>schizontocide</w:t>
      </w:r>
      <w:r w:rsidRPr="00895B7D">
        <w:t xml:space="preserve"> (suppressive prophylaxis) </w:t>
      </w:r>
      <w:r>
        <w:t xml:space="preserve">also </w:t>
      </w:r>
      <w:r w:rsidRPr="00895B7D">
        <w:t xml:space="preserve">likely plays a role in </w:t>
      </w:r>
      <w:r>
        <w:t>its efficacy during continuous prophylaxis.</w:t>
      </w:r>
    </w:p>
    <w:p w14:paraId="488126EC" w14:textId="076A7E6E" w:rsidR="0082067D" w:rsidRPr="004C4C87" w:rsidRDefault="0082067D" w:rsidP="00314050">
      <w:r w:rsidRPr="00895B7D">
        <w:t>In a non</w:t>
      </w:r>
      <w:r w:rsidR="004415DE">
        <w:t>-</w:t>
      </w:r>
      <w:r w:rsidRPr="00895B7D">
        <w:t>spon</w:t>
      </w:r>
      <w:r>
        <w:t>sor clinical study (</w:t>
      </w:r>
      <w:r w:rsidR="004415DE">
        <w:t xml:space="preserve">Study </w:t>
      </w:r>
      <w:r>
        <w:t>TAF114582, N</w:t>
      </w:r>
      <w:r w:rsidRPr="00895B7D">
        <w:t>=260), there was</w:t>
      </w:r>
      <w:r>
        <w:t xml:space="preserve"> no effect on corrected QT prolongation after a single </w:t>
      </w:r>
      <w:r w:rsidR="00C312D1">
        <w:t>tafenoquine</w:t>
      </w:r>
      <w:r>
        <w:t xml:space="preserve"> dose of 30</w:t>
      </w:r>
      <w:r w:rsidR="00A84DBA">
        <w:t>0 mg</w:t>
      </w:r>
      <w:r>
        <w:t xml:space="preserve"> or 60</w:t>
      </w:r>
      <w:r w:rsidR="00A84DBA">
        <w:t>0 mg</w:t>
      </w:r>
      <w:r>
        <w:t xml:space="preserve">. A mean 6.6 </w:t>
      </w:r>
      <w:r w:rsidR="00314050">
        <w:t>ms</w:t>
      </w:r>
      <w:r w:rsidRPr="00895B7D">
        <w:t xml:space="preserve"> pr</w:t>
      </w:r>
      <w:r>
        <w:t>olongation of QTcF compared to p</w:t>
      </w:r>
      <w:r w:rsidRPr="00895B7D">
        <w:t>lacebo was seen at 72 hours post</w:t>
      </w:r>
      <w:r w:rsidR="002522B4">
        <w:t xml:space="preserve"> </w:t>
      </w:r>
      <w:r w:rsidRPr="00895B7D">
        <w:t>final</w:t>
      </w:r>
      <w:r w:rsidR="002522B4">
        <w:t xml:space="preserve"> </w:t>
      </w:r>
      <w:r w:rsidRPr="00895B7D">
        <w:t>dose in a group t</w:t>
      </w:r>
      <w:r>
        <w:t xml:space="preserve">hat received a total </w:t>
      </w:r>
      <w:r w:rsidR="00C312D1">
        <w:t>tafenoquine</w:t>
      </w:r>
      <w:r>
        <w:t xml:space="preserve"> dose of 120</w:t>
      </w:r>
      <w:r w:rsidR="00A84DBA">
        <w:t>0 mg</w:t>
      </w:r>
      <w:r>
        <w:t xml:space="preserve"> over 3 days (40</w:t>
      </w:r>
      <w:r w:rsidR="00A84DBA">
        <w:t>0 mg</w:t>
      </w:r>
      <w:r>
        <w:t xml:space="preserve"> x 3 days).</w:t>
      </w:r>
    </w:p>
    <w:p w14:paraId="1DBEFB16" w14:textId="1B80E807" w:rsidR="0082067D" w:rsidRPr="004415DE" w:rsidRDefault="0082067D" w:rsidP="004415DE">
      <w:pPr>
        <w:pStyle w:val="Heading4"/>
      </w:pPr>
      <w:r w:rsidRPr="004415DE">
        <w:t>Dose selection</w:t>
      </w:r>
    </w:p>
    <w:p w14:paraId="42B33C2E" w14:textId="69AC8456" w:rsidR="0082067D" w:rsidRPr="0029413E" w:rsidRDefault="0082067D" w:rsidP="004415DE">
      <w:r w:rsidRPr="0029413E">
        <w:t xml:space="preserve">In </w:t>
      </w:r>
      <w:r>
        <w:t xml:space="preserve">human malaria challenge </w:t>
      </w:r>
      <w:r w:rsidR="004415DE">
        <w:t>S</w:t>
      </w:r>
      <w:r w:rsidRPr="0029413E">
        <w:t>tudy 053</w:t>
      </w:r>
      <w:r>
        <w:t>, one subject became parasitaemic on s</w:t>
      </w:r>
      <w:r w:rsidRPr="0029413E">
        <w:t>tudy Day 3</w:t>
      </w:r>
      <w:r>
        <w:t xml:space="preserve">1. This subject </w:t>
      </w:r>
      <w:r w:rsidRPr="0029413E">
        <w:t xml:space="preserve">had a peak parasitemia of </w:t>
      </w:r>
      <w:r>
        <w:t>192/</w:t>
      </w:r>
      <w:r w:rsidRPr="0029413E">
        <w:t>mm</w:t>
      </w:r>
      <w:r w:rsidRPr="0029413E">
        <w:rPr>
          <w:vertAlign w:val="superscript"/>
        </w:rPr>
        <w:t>3</w:t>
      </w:r>
      <w:r w:rsidRPr="0029413E">
        <w:t xml:space="preserve"> with onset of </w:t>
      </w:r>
      <w:r>
        <w:t>clinical symptoms on s</w:t>
      </w:r>
      <w:r w:rsidRPr="0029413E">
        <w:t xml:space="preserve">tudy Day 28. The subject had a </w:t>
      </w:r>
      <w:r>
        <w:t xml:space="preserve">peak </w:t>
      </w:r>
      <w:r w:rsidR="00C312D1">
        <w:t>tafenoquine</w:t>
      </w:r>
      <w:r>
        <w:t xml:space="preserve"> concentration </w:t>
      </w:r>
      <w:proofErr w:type="gramStart"/>
      <w:r>
        <w:t>of 182</w:t>
      </w:r>
      <w:r w:rsidR="004415DE">
        <w:t xml:space="preserve"> ng/</w:t>
      </w:r>
      <w:r w:rsidRPr="0029413E">
        <w:t>mL</w:t>
      </w:r>
      <w:proofErr w:type="gramEnd"/>
      <w:r w:rsidRPr="0029413E">
        <w:t xml:space="preserve"> </w:t>
      </w:r>
      <w:r w:rsidR="002522B4">
        <w:t>and this</w:t>
      </w:r>
      <w:r w:rsidRPr="0029413E">
        <w:t xml:space="preserve"> </w:t>
      </w:r>
      <w:r>
        <w:t xml:space="preserve">had </w:t>
      </w:r>
      <w:r w:rsidRPr="0029413E">
        <w:t>decline</w:t>
      </w:r>
      <w:r>
        <w:t>d to 48 and 18</w:t>
      </w:r>
      <w:r w:rsidR="004415DE">
        <w:t xml:space="preserve"> ng/</w:t>
      </w:r>
      <w:r>
        <w:t xml:space="preserve">mL at </w:t>
      </w:r>
      <w:r w:rsidRPr="0029413E">
        <w:t>31 and 44 day</w:t>
      </w:r>
      <w:r>
        <w:t>s respectively.</w:t>
      </w:r>
    </w:p>
    <w:p w14:paraId="71188B99" w14:textId="5CD07A1C" w:rsidR="0082067D" w:rsidRDefault="0082067D" w:rsidP="004415DE">
      <w:r>
        <w:lastRenderedPageBreak/>
        <w:t xml:space="preserve">In Phase </w:t>
      </w:r>
      <w:r w:rsidR="004415DE">
        <w:t>II</w:t>
      </w:r>
      <w:r>
        <w:t xml:space="preserve"> </w:t>
      </w:r>
      <w:r w:rsidR="004415DE">
        <w:t>S</w:t>
      </w:r>
      <w:r w:rsidRPr="0029413E">
        <w:t>tudy 044</w:t>
      </w:r>
      <w:r>
        <w:t xml:space="preserve">, </w:t>
      </w:r>
      <w:r w:rsidR="00C312D1">
        <w:t>tafenoquine</w:t>
      </w:r>
      <w:r>
        <w:t xml:space="preserve"> 40</w:t>
      </w:r>
      <w:r w:rsidR="00A84DBA">
        <w:t>0 mg</w:t>
      </w:r>
      <w:r w:rsidRPr="0029413E">
        <w:t xml:space="preserve"> </w:t>
      </w:r>
      <w:r>
        <w:t>daily loading for 3 days followed by 40</w:t>
      </w:r>
      <w:r w:rsidR="00A84DBA">
        <w:t>0 mg</w:t>
      </w:r>
      <w:r>
        <w:t xml:space="preserve"> monthly resulted in 3</w:t>
      </w:r>
      <w:r w:rsidRPr="0029413E">
        <w:t xml:space="preserve"> sy</w:t>
      </w:r>
      <w:r>
        <w:t>mptomatic breakthroughs at 6</w:t>
      </w:r>
      <w:r w:rsidR="000C6FD7">
        <w:t xml:space="preserve"> to </w:t>
      </w:r>
      <w:r w:rsidRPr="0029413E">
        <w:t>12 weeks following prop</w:t>
      </w:r>
      <w:r>
        <w:t>hylaxis. Of these</w:t>
      </w:r>
      <w:r w:rsidRPr="0029413E">
        <w:t xml:space="preserve">, </w:t>
      </w:r>
      <w:r>
        <w:t xml:space="preserve">2 subjects had </w:t>
      </w:r>
      <w:proofErr w:type="gramStart"/>
      <w:r>
        <w:t>Pv</w:t>
      </w:r>
      <w:proofErr w:type="gramEnd"/>
      <w:r>
        <w:t xml:space="preserve"> r</w:t>
      </w:r>
      <w:r w:rsidRPr="0029413E">
        <w:t>elap</w:t>
      </w:r>
      <w:r>
        <w:t xml:space="preserve">se with </w:t>
      </w:r>
      <w:r w:rsidR="00C312D1">
        <w:t>tafenoquine</w:t>
      </w:r>
      <w:r w:rsidRPr="0029413E">
        <w:t xml:space="preserve"> plasma concent</w:t>
      </w:r>
      <w:r>
        <w:t xml:space="preserve">rations between 20 </w:t>
      </w:r>
      <w:r w:rsidR="004415DE">
        <w:t>and</w:t>
      </w:r>
      <w:r w:rsidRPr="0029413E">
        <w:t xml:space="preserve"> </w:t>
      </w:r>
      <w:r>
        <w:t>21</w:t>
      </w:r>
      <w:r w:rsidR="004415DE">
        <w:t xml:space="preserve"> ng/</w:t>
      </w:r>
      <w:r>
        <w:t>mL, and one participant had Pf r</w:t>
      </w:r>
      <w:r w:rsidRPr="0029413E">
        <w:t xml:space="preserve">elapse </w:t>
      </w:r>
      <w:r>
        <w:t xml:space="preserve">with </w:t>
      </w:r>
      <w:r w:rsidR="00C312D1">
        <w:t>tafenoquine</w:t>
      </w:r>
      <w:r>
        <w:t xml:space="preserve"> concentration 38</w:t>
      </w:r>
      <w:r w:rsidR="004415DE">
        <w:t xml:space="preserve"> ng/</w:t>
      </w:r>
      <w:r>
        <w:t xml:space="preserve">mL. Additionally, one subject had </w:t>
      </w:r>
      <w:proofErr w:type="gramStart"/>
      <w:r>
        <w:t>Pv</w:t>
      </w:r>
      <w:proofErr w:type="gramEnd"/>
      <w:r>
        <w:t xml:space="preserve"> re</w:t>
      </w:r>
      <w:r w:rsidRPr="0029413E">
        <w:t xml:space="preserve">lapse during the </w:t>
      </w:r>
      <w:r>
        <w:t xml:space="preserve">prophylaxis phase with </w:t>
      </w:r>
      <w:r w:rsidR="00C312D1">
        <w:t>tafenoquine</w:t>
      </w:r>
      <w:r>
        <w:t xml:space="preserve"> concentration of 40</w:t>
      </w:r>
      <w:r w:rsidR="004415DE">
        <w:t xml:space="preserve"> ng/</w:t>
      </w:r>
      <w:r w:rsidRPr="0029413E">
        <w:t>m</w:t>
      </w:r>
      <w:r>
        <w:t xml:space="preserve">L. This level was </w:t>
      </w:r>
      <w:r w:rsidR="004415DE">
        <w:t xml:space="preserve">a third </w:t>
      </w:r>
      <w:r w:rsidRPr="0029413E">
        <w:t xml:space="preserve">of the mean trough level of </w:t>
      </w:r>
      <w:r>
        <w:t>subjects</w:t>
      </w:r>
      <w:r w:rsidRPr="0029413E">
        <w:t xml:space="preserve"> who were compliant with medication and did not contract malaria dur</w:t>
      </w:r>
      <w:r>
        <w:t>ing the same period</w:t>
      </w:r>
      <w:r w:rsidRPr="0029413E">
        <w:t>. Measured trough concentrations were neve</w:t>
      </w:r>
      <w:r>
        <w:t>r &lt;54.5</w:t>
      </w:r>
      <w:r w:rsidR="004415DE">
        <w:t xml:space="preserve"> ng/</w:t>
      </w:r>
      <w:r w:rsidRPr="0029413E">
        <w:t xml:space="preserve">mL amongst a sample of the 96 individuals who completed a 6 month course of medication and who did not contract </w:t>
      </w:r>
      <w:r>
        <w:t>malaria.</w:t>
      </w:r>
    </w:p>
    <w:p w14:paraId="55B05315" w14:textId="44E9649B" w:rsidR="0082067D" w:rsidRPr="002E4BD2" w:rsidRDefault="0082067D" w:rsidP="004415DE">
      <w:r w:rsidRPr="0029413E">
        <w:t>Based on this informat</w:t>
      </w:r>
      <w:r>
        <w:t>ion</w:t>
      </w:r>
      <w:r w:rsidRPr="0029413E">
        <w:t xml:space="preserve"> a </w:t>
      </w:r>
      <w:r>
        <w:t xml:space="preserve">target </w:t>
      </w:r>
      <w:r w:rsidRPr="0029413E">
        <w:t>plasma c</w:t>
      </w:r>
      <w:r>
        <w:t xml:space="preserve">oncentration </w:t>
      </w:r>
      <w:proofErr w:type="gramStart"/>
      <w:r>
        <w:t>of 80</w:t>
      </w:r>
      <w:r w:rsidR="004415DE">
        <w:t xml:space="preserve"> ng/</w:t>
      </w:r>
      <w:r w:rsidRPr="0029413E">
        <w:t>mL</w:t>
      </w:r>
      <w:proofErr w:type="gramEnd"/>
      <w:r w:rsidRPr="0029413E">
        <w:t xml:space="preserve"> as the minimum target trough value for prevention of</w:t>
      </w:r>
      <w:r>
        <w:t xml:space="preserve"> symptomatic malaria</w:t>
      </w:r>
      <w:r w:rsidRPr="0029413E">
        <w:t xml:space="preserve"> in non</w:t>
      </w:r>
      <w:r>
        <w:t>-</w:t>
      </w:r>
      <w:r w:rsidRPr="0029413E">
        <w:t xml:space="preserve">immune individuals </w:t>
      </w:r>
      <w:r>
        <w:t xml:space="preserve">was proposed. </w:t>
      </w:r>
      <w:r w:rsidRPr="00895B7D">
        <w:rPr>
          <w:rFonts w:eastAsiaTheme="minorHAnsi"/>
        </w:rPr>
        <w:t>Population PK analysi</w:t>
      </w:r>
      <w:r>
        <w:rPr>
          <w:rFonts w:eastAsiaTheme="minorHAnsi"/>
        </w:rPr>
        <w:t>s predicted that the proposed</w:t>
      </w:r>
      <w:r w:rsidRPr="00895B7D">
        <w:rPr>
          <w:rFonts w:eastAsiaTheme="minorHAnsi"/>
        </w:rPr>
        <w:t xml:space="preserve"> prevention regimen</w:t>
      </w:r>
      <w:r>
        <w:rPr>
          <w:rFonts w:eastAsiaTheme="minorHAnsi"/>
        </w:rPr>
        <w:t xml:space="preserve"> (20</w:t>
      </w:r>
      <w:r w:rsidR="00A84DBA">
        <w:rPr>
          <w:rFonts w:eastAsiaTheme="minorHAnsi"/>
        </w:rPr>
        <w:t>0</w:t>
      </w:r>
      <w:r w:rsidR="000C6FD7">
        <w:rPr>
          <w:rFonts w:eastAsiaTheme="minorHAnsi"/>
        </w:rPr>
        <w:t> </w:t>
      </w:r>
      <w:r w:rsidR="00A84DBA">
        <w:rPr>
          <w:rFonts w:eastAsiaTheme="minorHAnsi"/>
        </w:rPr>
        <w:t>mg</w:t>
      </w:r>
      <w:r>
        <w:rPr>
          <w:rFonts w:eastAsiaTheme="minorHAnsi"/>
        </w:rPr>
        <w:t xml:space="preserve"> daily x 3 days, then 20</w:t>
      </w:r>
      <w:r w:rsidR="00A84DBA">
        <w:rPr>
          <w:rFonts w:eastAsiaTheme="minorHAnsi"/>
        </w:rPr>
        <w:t>0 mg</w:t>
      </w:r>
      <w:r>
        <w:rPr>
          <w:rFonts w:eastAsiaTheme="minorHAnsi"/>
        </w:rPr>
        <w:t xml:space="preserve"> weekly) will achieve trough levels &gt;80</w:t>
      </w:r>
      <w:r w:rsidR="004415DE">
        <w:rPr>
          <w:rFonts w:eastAsiaTheme="minorHAnsi"/>
        </w:rPr>
        <w:t xml:space="preserve"> ng/</w:t>
      </w:r>
      <w:r>
        <w:rPr>
          <w:rFonts w:eastAsiaTheme="minorHAnsi"/>
        </w:rPr>
        <w:t xml:space="preserve">mL in &gt;95% </w:t>
      </w:r>
      <w:r w:rsidRPr="00895B7D">
        <w:rPr>
          <w:rFonts w:eastAsiaTheme="minorHAnsi"/>
        </w:rPr>
        <w:t>subjects.</w:t>
      </w:r>
    </w:p>
    <w:p w14:paraId="6870390C" w14:textId="6179887A" w:rsidR="0082067D" w:rsidRPr="004415DE" w:rsidRDefault="0082067D" w:rsidP="004415DE">
      <w:pPr>
        <w:pStyle w:val="Heading4"/>
      </w:pPr>
      <w:r w:rsidRPr="004415DE">
        <w:t>Efficacy</w:t>
      </w:r>
    </w:p>
    <w:p w14:paraId="34497B32" w14:textId="3F492D8E" w:rsidR="0082067D" w:rsidRPr="00F7316E" w:rsidRDefault="0082067D" w:rsidP="004415DE">
      <w:r w:rsidRPr="00F7316E">
        <w:t>The pivotal efficacy trial in this submission is Study 033</w:t>
      </w:r>
      <w:r>
        <w:t>.</w:t>
      </w:r>
    </w:p>
    <w:p w14:paraId="0207EDFB" w14:textId="3564A498" w:rsidR="0082067D" w:rsidRPr="00895B7D" w:rsidRDefault="0082067D" w:rsidP="004415DE">
      <w:pPr>
        <w:pStyle w:val="Heading5"/>
      </w:pPr>
      <w:r w:rsidRPr="00895B7D">
        <w:t xml:space="preserve">Pivotal </w:t>
      </w:r>
      <w:r>
        <w:t xml:space="preserve">efficacy </w:t>
      </w:r>
      <w:r w:rsidR="004415DE">
        <w:t>S</w:t>
      </w:r>
      <w:r w:rsidRPr="00895B7D">
        <w:t>tudy 033</w:t>
      </w:r>
    </w:p>
    <w:p w14:paraId="05416E3C" w14:textId="42E2FB81" w:rsidR="0082067D" w:rsidRDefault="0082067D" w:rsidP="004415DE">
      <w:r>
        <w:t xml:space="preserve">The </w:t>
      </w:r>
      <w:r w:rsidR="004415DE">
        <w:t>S</w:t>
      </w:r>
      <w:r w:rsidRPr="00895B7D">
        <w:t>tudy 0</w:t>
      </w:r>
      <w:r>
        <w:t xml:space="preserve">33 was a randomised, double-blind, Phase </w:t>
      </w:r>
      <w:r w:rsidR="004415DE">
        <w:t>III</w:t>
      </w:r>
      <w:r>
        <w:t xml:space="preserve"> trial to investigate prophylactic </w:t>
      </w:r>
      <w:r w:rsidRPr="00895B7D">
        <w:t xml:space="preserve">efficacy of </w:t>
      </w:r>
      <w:r w:rsidR="00C312D1">
        <w:t>tafenoquine</w:t>
      </w:r>
      <w:r>
        <w:t xml:space="preserve"> compared with</w:t>
      </w:r>
      <w:r w:rsidRPr="00895B7D">
        <w:t xml:space="preserve"> mefloquine</w:t>
      </w:r>
      <w:r>
        <w:t xml:space="preserve"> in adult, </w:t>
      </w:r>
      <w:r w:rsidRPr="00895B7D">
        <w:t xml:space="preserve">non-immune </w:t>
      </w:r>
      <w:r>
        <w:t xml:space="preserve">population during extended overseas stay in a malaria endemic area (Australian </w:t>
      </w:r>
      <w:r w:rsidRPr="00895B7D">
        <w:t>soldiers depl</w:t>
      </w:r>
      <w:r>
        <w:t>oyed to East Timor from 2000</w:t>
      </w:r>
      <w:r w:rsidR="001D5C78">
        <w:t xml:space="preserve"> to </w:t>
      </w:r>
      <w:r>
        <w:t>2001).</w:t>
      </w:r>
    </w:p>
    <w:p w14:paraId="3A2EA22E" w14:textId="4F85792F" w:rsidR="0082067D" w:rsidRDefault="0082067D" w:rsidP="004415DE">
      <w:r>
        <w:t>T</w:t>
      </w:r>
      <w:r w:rsidRPr="003306EC">
        <w:t>he</w:t>
      </w:r>
      <w:r>
        <w:t xml:space="preserve"> study</w:t>
      </w:r>
      <w:r w:rsidRPr="003306EC">
        <w:t xml:space="preserve"> was approved by the Australian Defence Human Research Ethics Committ</w:t>
      </w:r>
      <w:r>
        <w:t xml:space="preserve">ee. </w:t>
      </w:r>
      <w:r w:rsidRPr="003306EC">
        <w:t xml:space="preserve">All </w:t>
      </w:r>
      <w:r>
        <w:t xml:space="preserve">participating </w:t>
      </w:r>
      <w:r w:rsidRPr="003306EC">
        <w:t xml:space="preserve">subjects gave </w:t>
      </w:r>
      <w:r>
        <w:t>written informed consent.</w:t>
      </w:r>
    </w:p>
    <w:p w14:paraId="2A1099E4" w14:textId="3CAD0FCB" w:rsidR="0082067D" w:rsidRDefault="0082067D" w:rsidP="004415DE">
      <w:r>
        <w:t>Subjects with documented</w:t>
      </w:r>
      <w:r w:rsidRPr="00895B7D">
        <w:t xml:space="preserve"> G6PD </w:t>
      </w:r>
      <w:r>
        <w:t xml:space="preserve">enzyme </w:t>
      </w:r>
      <w:r w:rsidRPr="00895B7D">
        <w:t>def</w:t>
      </w:r>
      <w:r>
        <w:t>iciency or</w:t>
      </w:r>
      <w:r w:rsidRPr="00895B7D">
        <w:t xml:space="preserve"> </w:t>
      </w:r>
      <w:r>
        <w:t xml:space="preserve">a </w:t>
      </w:r>
      <w:r w:rsidRPr="00895B7D">
        <w:t>history of psychiatric disorders a</w:t>
      </w:r>
      <w:r>
        <w:t>nd/or seizures</w:t>
      </w:r>
      <w:r w:rsidRPr="00895B7D">
        <w:t xml:space="preserve"> were excluded</w:t>
      </w:r>
      <w:r>
        <w:t>, among others</w:t>
      </w:r>
      <w:r w:rsidRPr="00895B7D">
        <w:t xml:space="preserve">. In addition, subjects with </w:t>
      </w:r>
      <w:r>
        <w:t>any</w:t>
      </w:r>
      <w:r w:rsidRPr="00895B7D">
        <w:t xml:space="preserve"> </w:t>
      </w:r>
      <w:r>
        <w:t>significant medical history or</w:t>
      </w:r>
      <w:r w:rsidRPr="00895B7D">
        <w:t xml:space="preserve"> concurrent conditi</w:t>
      </w:r>
      <w:r>
        <w:t>ons were</w:t>
      </w:r>
      <w:r w:rsidRPr="00895B7D">
        <w:t xml:space="preserve"> excluded.</w:t>
      </w:r>
      <w:r>
        <w:t xml:space="preserve"> All subjects were considered healthy at baseline. The study was conducted in 2 phases (prophylactic phase and post-prophylaxis relapse follow-up phase).</w:t>
      </w:r>
    </w:p>
    <w:p w14:paraId="59EC8C8E" w14:textId="16A3318D" w:rsidR="0082067D" w:rsidRDefault="0082067D" w:rsidP="004415DE">
      <w:r>
        <w:t xml:space="preserve">A total of </w:t>
      </w:r>
      <w:r w:rsidRPr="00895B7D">
        <w:t>654</w:t>
      </w:r>
      <w:r>
        <w:t xml:space="preserve"> subjects were randomised (3:1) to 2 parallel treatment groups (492 in </w:t>
      </w:r>
      <w:r w:rsidR="00C312D1">
        <w:t>tafenoquine</w:t>
      </w:r>
      <w:r>
        <w:t xml:space="preserve"> arm and 162 in </w:t>
      </w:r>
      <w:r w:rsidR="00994561">
        <w:t>mefloquine</w:t>
      </w:r>
      <w:r>
        <w:t xml:space="preserve"> arm). The subject accountability during the prophylactic phase was as follows</w:t>
      </w:r>
      <w:r w:rsidR="006D2C04">
        <w:t xml:space="preserve"> in Table 27.</w:t>
      </w:r>
    </w:p>
    <w:p w14:paraId="62D8FD6C" w14:textId="088776C2" w:rsidR="004415DE" w:rsidRDefault="004415DE" w:rsidP="004415DE">
      <w:pPr>
        <w:pStyle w:val="TableTitle"/>
      </w:pPr>
      <w:r>
        <w:t xml:space="preserve">Table </w:t>
      </w:r>
      <w:r w:rsidR="006D2C04">
        <w:t>27</w:t>
      </w:r>
      <w:r>
        <w:t>: Subject disposition</w:t>
      </w:r>
      <w:r w:rsidR="000C6FD7">
        <w:t>;</w:t>
      </w:r>
      <w:r w:rsidR="00DB15EE">
        <w:t xml:space="preserve"> </w:t>
      </w:r>
      <w:r w:rsidR="000C6FD7">
        <w:t>a</w:t>
      </w:r>
      <w:r>
        <w:t>ll screened subjects (number of subjects)</w:t>
      </w:r>
    </w:p>
    <w:p w14:paraId="397F1045" w14:textId="6192E445" w:rsidR="0082067D" w:rsidRDefault="0082067D" w:rsidP="004415DE">
      <w:r>
        <w:rPr>
          <w:noProof/>
          <w:lang w:eastAsia="en-AU"/>
        </w:rPr>
        <w:drawing>
          <wp:inline distT="0" distB="0" distL="0" distR="0" wp14:anchorId="237BBAF9" wp14:editId="1B18022D">
            <wp:extent cx="4730605" cy="1506071"/>
            <wp:effectExtent l="0" t="0" r="0" b="0"/>
            <wp:docPr id="47" name="Picture 47" descr=": Subject disposition; all screened subjects (number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3A0.tmp"/>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9734"/>
                    <a:stretch/>
                  </pic:blipFill>
                  <pic:spPr bwMode="auto">
                    <a:xfrm>
                      <a:off x="0" y="0"/>
                      <a:ext cx="4763363" cy="1516500"/>
                    </a:xfrm>
                    <a:prstGeom prst="rect">
                      <a:avLst/>
                    </a:prstGeom>
                    <a:ln>
                      <a:noFill/>
                    </a:ln>
                    <a:extLst>
                      <a:ext uri="{53640926-AAD7-44D8-BBD7-CCE9431645EC}">
                        <a14:shadowObscured xmlns:a14="http://schemas.microsoft.com/office/drawing/2010/main"/>
                      </a:ext>
                    </a:extLst>
                  </pic:spPr>
                </pic:pic>
              </a:graphicData>
            </a:graphic>
          </wp:inline>
        </w:drawing>
      </w:r>
    </w:p>
    <w:p w14:paraId="5AA00074" w14:textId="111CAAA9" w:rsidR="0082067D" w:rsidRDefault="0082067D" w:rsidP="004260AC">
      <w:r w:rsidRPr="00895B7D">
        <w:t>The stu</w:t>
      </w:r>
      <w:r>
        <w:t>dy treatments during the 2 phases of the study were as follows (all study drugs were to be taken with food):</w:t>
      </w:r>
    </w:p>
    <w:p w14:paraId="473E56BB" w14:textId="15064B9C" w:rsidR="0082067D" w:rsidRDefault="0082067D" w:rsidP="004260AC">
      <w:pPr>
        <w:pStyle w:val="ListBullet"/>
      </w:pPr>
      <w:r>
        <w:t>Prophylactic phase: 24</w:t>
      </w:r>
      <w:r w:rsidR="000C6FD7">
        <w:t xml:space="preserve"> </w:t>
      </w:r>
      <w:r>
        <w:t>±</w:t>
      </w:r>
      <w:r w:rsidR="000C6FD7">
        <w:t xml:space="preserve"> </w:t>
      </w:r>
      <w:r>
        <w:t>2 weeks</w:t>
      </w:r>
      <w:r w:rsidRPr="006F41FD">
        <w:t xml:space="preserve"> </w:t>
      </w:r>
      <w:r>
        <w:t>of treatment during deployment when subjects received the randomised study treatments in the respective groups (</w:t>
      </w:r>
      <w:r w:rsidR="00C312D1">
        <w:t>tafenoquine</w:t>
      </w:r>
      <w:r>
        <w:t xml:space="preserve"> or </w:t>
      </w:r>
      <w:r w:rsidR="00994561">
        <w:t>mefloquine</w:t>
      </w:r>
      <w:r>
        <w:t>) as follows:</w:t>
      </w:r>
    </w:p>
    <w:p w14:paraId="3D920FB0" w14:textId="2D8F66C8" w:rsidR="0082067D" w:rsidRDefault="0082067D" w:rsidP="004260AC">
      <w:pPr>
        <w:pStyle w:val="ListBullet2"/>
      </w:pPr>
      <w:r w:rsidRPr="00AE5F2C">
        <w:lastRenderedPageBreak/>
        <w:t>Loading dose:</w:t>
      </w:r>
      <w:r w:rsidR="002522B4">
        <w:t xml:space="preserve"> </w:t>
      </w:r>
      <w:r w:rsidR="00C312D1">
        <w:t>tafenoquine</w:t>
      </w:r>
      <w:r w:rsidRPr="00AE5F2C">
        <w:t xml:space="preserve"> 20</w:t>
      </w:r>
      <w:r w:rsidR="00A84DBA">
        <w:t>0 mg</w:t>
      </w:r>
      <w:r>
        <w:t xml:space="preserve"> </w:t>
      </w:r>
      <w:r w:rsidRPr="00AE5F2C">
        <w:t xml:space="preserve">or </w:t>
      </w:r>
      <w:r w:rsidR="00994561">
        <w:t>mefloquine</w:t>
      </w:r>
      <w:r w:rsidRPr="00AE5F2C">
        <w:t xml:space="preserve"> </w:t>
      </w:r>
      <w:r>
        <w:t>25</w:t>
      </w:r>
      <w:r w:rsidR="00A84DBA">
        <w:t>0 mg</w:t>
      </w:r>
      <w:r w:rsidR="004260AC">
        <w:t xml:space="preserve"> </w:t>
      </w:r>
      <w:r>
        <w:t>once daily for</w:t>
      </w:r>
      <w:r w:rsidRPr="00AE5F2C">
        <w:t xml:space="preserve"> 3days</w:t>
      </w:r>
    </w:p>
    <w:p w14:paraId="27709EEB" w14:textId="7166C897" w:rsidR="0082067D" w:rsidRPr="00AE5F2C" w:rsidRDefault="0082067D" w:rsidP="004260AC">
      <w:pPr>
        <w:pStyle w:val="ListBullet2"/>
      </w:pPr>
      <w:r w:rsidRPr="00AE5F2C">
        <w:t>Maintenance dose:</w:t>
      </w:r>
      <w:r w:rsidR="004260AC">
        <w:t xml:space="preserve"> </w:t>
      </w:r>
      <w:r w:rsidR="00C312D1">
        <w:t>tafenoquine</w:t>
      </w:r>
      <w:r>
        <w:t xml:space="preserve"> 20</w:t>
      </w:r>
      <w:r w:rsidR="00A84DBA">
        <w:t>0 mg</w:t>
      </w:r>
      <w:r w:rsidRPr="00AE5F2C">
        <w:t xml:space="preserve"> or </w:t>
      </w:r>
      <w:r w:rsidR="00994561">
        <w:t>mefloquine</w:t>
      </w:r>
      <w:r w:rsidRPr="00AE5F2C">
        <w:t xml:space="preserve"> 25</w:t>
      </w:r>
      <w:r w:rsidR="00A84DBA">
        <w:t>0 mg</w:t>
      </w:r>
      <w:r w:rsidRPr="00AE5F2C">
        <w:t xml:space="preserve"> </w:t>
      </w:r>
      <w:r>
        <w:t>once a week for 24 weeks</w:t>
      </w:r>
    </w:p>
    <w:p w14:paraId="268D57E4" w14:textId="49AFF330" w:rsidR="0082067D" w:rsidRDefault="0082067D" w:rsidP="004260AC">
      <w:pPr>
        <w:pStyle w:val="ListBullet"/>
      </w:pPr>
      <w:r>
        <w:t>Relapse follow-up phase: After exit from malaria endemic area</w:t>
      </w:r>
      <w:r w:rsidRPr="006F41FD">
        <w:t xml:space="preserve">, the subjects entered a 24 week </w:t>
      </w:r>
      <w:r>
        <w:t xml:space="preserve">relapse </w:t>
      </w:r>
      <w:r w:rsidRPr="006F41FD">
        <w:t>follow-up phase (</w:t>
      </w:r>
      <w:r>
        <w:t xml:space="preserve">later </w:t>
      </w:r>
      <w:r w:rsidRPr="006F41FD">
        <w:t>extended to 1 year</w:t>
      </w:r>
      <w:r>
        <w:t>) during which they</w:t>
      </w:r>
      <w:r w:rsidRPr="006F41FD">
        <w:t xml:space="preserve"> </w:t>
      </w:r>
      <w:r>
        <w:t>received the study drugs in the respective groups as follows:</w:t>
      </w:r>
    </w:p>
    <w:p w14:paraId="17719A5A" w14:textId="4D2AC545" w:rsidR="0082067D" w:rsidRDefault="00994561" w:rsidP="004260AC">
      <w:pPr>
        <w:pStyle w:val="ListBullet2"/>
      </w:pPr>
      <w:r>
        <w:t xml:space="preserve">Primaquine </w:t>
      </w:r>
      <w:r w:rsidR="0082067D" w:rsidRPr="006F41FD">
        <w:t>15mg twice daily</w:t>
      </w:r>
      <w:r w:rsidR="0082067D">
        <w:t xml:space="preserve"> for 14 days in </w:t>
      </w:r>
      <w:r>
        <w:t>mefloquine</w:t>
      </w:r>
      <w:r w:rsidR="0082067D" w:rsidRPr="006F41FD">
        <w:t xml:space="preserve"> </w:t>
      </w:r>
      <w:r w:rsidR="0082067D">
        <w:t>group</w:t>
      </w:r>
    </w:p>
    <w:p w14:paraId="7C3B1DF9" w14:textId="141BD337" w:rsidR="0082067D" w:rsidRPr="00774B7E" w:rsidRDefault="0082067D" w:rsidP="004260AC">
      <w:pPr>
        <w:pStyle w:val="ListBullet2"/>
      </w:pPr>
      <w:r>
        <w:t>P</w:t>
      </w:r>
      <w:r w:rsidRPr="006F41FD">
        <w:t>lacebo</w:t>
      </w:r>
      <w:r>
        <w:t xml:space="preserve"> twice daily for 14 days in </w:t>
      </w:r>
      <w:r w:rsidR="00C312D1">
        <w:t>tafenoquine</w:t>
      </w:r>
      <w:r>
        <w:t xml:space="preserve"> group</w:t>
      </w:r>
    </w:p>
    <w:p w14:paraId="02F9CAE7" w14:textId="3D059143" w:rsidR="0082067D" w:rsidRDefault="0082067D" w:rsidP="004260AC">
      <w:r>
        <w:t xml:space="preserve">At </w:t>
      </w:r>
      <w:r w:rsidR="000C6FD7">
        <w:t>Baseline</w:t>
      </w:r>
      <w:r>
        <w:t xml:space="preserve">, the 2 groups were generally comparable with respect to main demographic characteristics. Nine subjects (1.8%) in </w:t>
      </w:r>
      <w:r w:rsidR="00C312D1">
        <w:t>tafenoquine</w:t>
      </w:r>
      <w:r>
        <w:t xml:space="preserve"> compared to 1 subject (0.6%) in </w:t>
      </w:r>
      <w:r w:rsidR="00994561">
        <w:t>mefloquine</w:t>
      </w:r>
      <w:r>
        <w:t xml:space="preserve"> group had history of malaria in the past 6 months prior to the study</w:t>
      </w:r>
      <w:r w:rsidR="004260AC">
        <w:t xml:space="preserve"> (Table </w:t>
      </w:r>
      <w:r w:rsidR="006D2C04">
        <w:t>28</w:t>
      </w:r>
      <w:r w:rsidR="004260AC">
        <w:t>)</w:t>
      </w:r>
      <w:r>
        <w:t>:</w:t>
      </w:r>
      <w:r>
        <w:rPr>
          <w:rStyle w:val="FootnoteReference"/>
        </w:rPr>
        <w:footnoteReference w:id="31"/>
      </w:r>
    </w:p>
    <w:p w14:paraId="43E9B3B2" w14:textId="19A282F2" w:rsidR="004260AC" w:rsidRDefault="004260AC" w:rsidP="004260AC">
      <w:pPr>
        <w:pStyle w:val="TableTitle"/>
      </w:pPr>
      <w:r>
        <w:t xml:space="preserve">Table </w:t>
      </w:r>
      <w:r w:rsidR="006D2C04">
        <w:t>28</w:t>
      </w:r>
      <w:r>
        <w:t>: Baseline characteristics</w:t>
      </w:r>
    </w:p>
    <w:p w14:paraId="779F7AD8" w14:textId="10634533" w:rsidR="0082067D" w:rsidRDefault="0082067D" w:rsidP="004260AC">
      <w:r>
        <w:rPr>
          <w:noProof/>
          <w:lang w:eastAsia="en-AU"/>
        </w:rPr>
        <w:drawing>
          <wp:inline distT="0" distB="0" distL="0" distR="0" wp14:anchorId="6589695F" wp14:editId="549D1760">
            <wp:extent cx="3590365" cy="3626342"/>
            <wp:effectExtent l="0" t="0" r="0" b="0"/>
            <wp:docPr id="49" name="Picture 49" descr="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F62A.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96862" cy="3632904"/>
                    </a:xfrm>
                    <a:prstGeom prst="rect">
                      <a:avLst/>
                    </a:prstGeom>
                  </pic:spPr>
                </pic:pic>
              </a:graphicData>
            </a:graphic>
          </wp:inline>
        </w:drawing>
      </w:r>
    </w:p>
    <w:p w14:paraId="3C38B6BE" w14:textId="66B59BFA" w:rsidR="0082067D" w:rsidRDefault="0082067D" w:rsidP="004260AC">
      <w:r>
        <w:t xml:space="preserve">Thick </w:t>
      </w:r>
      <w:r w:rsidR="004260AC">
        <w:t>and</w:t>
      </w:r>
      <w:r w:rsidRPr="006D53F9">
        <w:t xml:space="preserve"> thin blood</w:t>
      </w:r>
      <w:r>
        <w:t xml:space="preserve"> smears were collected from all subjects at screening and at Weeks 4, 8</w:t>
      </w:r>
      <w:r w:rsidR="004260AC">
        <w:t xml:space="preserve"> and</w:t>
      </w:r>
      <w:r>
        <w:t xml:space="preserve"> 16</w:t>
      </w:r>
      <w:r w:rsidRPr="006D53F9">
        <w:t xml:space="preserve"> dur</w:t>
      </w:r>
      <w:r>
        <w:t>ing prophylactic phase, and at W</w:t>
      </w:r>
      <w:r w:rsidRPr="006D53F9">
        <w:t>e</w:t>
      </w:r>
      <w:r>
        <w:t xml:space="preserve">eks 2 and 12 during the relapse </w:t>
      </w:r>
      <w:r w:rsidRPr="006D53F9">
        <w:t xml:space="preserve">follow-up </w:t>
      </w:r>
      <w:r>
        <w:t xml:space="preserve">phase or if symptoms suggestive </w:t>
      </w:r>
      <w:r w:rsidRPr="006D53F9">
        <w:t>of malaria developed.</w:t>
      </w:r>
    </w:p>
    <w:p w14:paraId="66C75DAE" w14:textId="17D67F25" w:rsidR="0082067D" w:rsidRDefault="0082067D" w:rsidP="0082067D">
      <w:pPr>
        <w:spacing w:line="240" w:lineRule="auto"/>
        <w:jc w:val="both"/>
      </w:pPr>
      <w:r>
        <w:t>The times (days) from last dose of study drug to departure from deployment in East Timor were as follows</w:t>
      </w:r>
      <w:r w:rsidR="004260AC">
        <w:t xml:space="preserve"> </w:t>
      </w:r>
      <w:r w:rsidR="006D2C04">
        <w:t xml:space="preserve">in </w:t>
      </w:r>
      <w:r w:rsidR="004260AC">
        <w:t xml:space="preserve">Table </w:t>
      </w:r>
      <w:r w:rsidR="006D2C04">
        <w:t>29</w:t>
      </w:r>
      <w:r w:rsidR="000C6FD7">
        <w:t>.</w:t>
      </w:r>
    </w:p>
    <w:p w14:paraId="0961C111" w14:textId="2DD254C5" w:rsidR="004260AC" w:rsidRDefault="004260AC" w:rsidP="004260AC">
      <w:pPr>
        <w:pStyle w:val="TableTitle"/>
      </w:pPr>
      <w:r>
        <w:lastRenderedPageBreak/>
        <w:t xml:space="preserve">Table </w:t>
      </w:r>
      <w:r w:rsidR="006D2C04">
        <w:t>29</w:t>
      </w:r>
      <w:r>
        <w:t>: Time from last dose to departure from East Timor</w:t>
      </w:r>
      <w:r w:rsidR="000C6FD7">
        <w:t>;</w:t>
      </w:r>
      <w:r>
        <w:t xml:space="preserve"> </w:t>
      </w:r>
      <w:r w:rsidR="006D2C04">
        <w:t>Intent</w:t>
      </w:r>
      <w:r>
        <w:t xml:space="preserve">-to-treat and </w:t>
      </w:r>
      <w:proofErr w:type="gramStart"/>
      <w:r w:rsidR="006D2C04">
        <w:t>P</w:t>
      </w:r>
      <w:r w:rsidR="000C6FD7">
        <w:t>er</w:t>
      </w:r>
      <w:proofErr w:type="gramEnd"/>
      <w:r w:rsidR="000C6FD7">
        <w:t xml:space="preserve"> </w:t>
      </w:r>
      <w:r>
        <w:t>protocol populations</w:t>
      </w:r>
    </w:p>
    <w:p w14:paraId="06386F63" w14:textId="7D9B22BB" w:rsidR="0082067D" w:rsidRDefault="0082067D" w:rsidP="004260AC">
      <w:r>
        <w:rPr>
          <w:noProof/>
          <w:lang w:eastAsia="en-AU"/>
        </w:rPr>
        <w:drawing>
          <wp:inline distT="0" distB="0" distL="0" distR="0" wp14:anchorId="7D472A39" wp14:editId="6655E415">
            <wp:extent cx="3285783" cy="1921061"/>
            <wp:effectExtent l="0" t="0" r="0" b="3175"/>
            <wp:docPr id="51" name="Picture 51" descr="Time from last dose to departure from East Timor Intent-to-treat and Per protoco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2FC9.tmp"/>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8807"/>
                    <a:stretch/>
                  </pic:blipFill>
                  <pic:spPr bwMode="auto">
                    <a:xfrm>
                      <a:off x="0" y="0"/>
                      <a:ext cx="3296139" cy="1927116"/>
                    </a:xfrm>
                    <a:prstGeom prst="rect">
                      <a:avLst/>
                    </a:prstGeom>
                    <a:ln>
                      <a:noFill/>
                    </a:ln>
                    <a:extLst>
                      <a:ext uri="{53640926-AAD7-44D8-BBD7-CCE9431645EC}">
                        <a14:shadowObscured xmlns:a14="http://schemas.microsoft.com/office/drawing/2010/main"/>
                      </a:ext>
                    </a:extLst>
                  </pic:spPr>
                </pic:pic>
              </a:graphicData>
            </a:graphic>
          </wp:inline>
        </w:drawing>
      </w:r>
    </w:p>
    <w:p w14:paraId="3E15E402" w14:textId="75377ECA" w:rsidR="0082067D" w:rsidRDefault="0082067D" w:rsidP="00D00BCB">
      <w:pPr>
        <w:tabs>
          <w:tab w:val="left" w:pos="2535"/>
        </w:tabs>
        <w:spacing w:line="240" w:lineRule="auto"/>
      </w:pPr>
      <w:r>
        <w:t xml:space="preserve">The primary efficacy analysis was to be based on </w:t>
      </w:r>
      <w:proofErr w:type="gramStart"/>
      <w:r w:rsidR="00D00BCB">
        <w:t>Per</w:t>
      </w:r>
      <w:proofErr w:type="gramEnd"/>
      <w:r w:rsidR="00D00BCB">
        <w:t xml:space="preserve"> protocol (</w:t>
      </w:r>
      <w:r>
        <w:t>PP</w:t>
      </w:r>
      <w:r w:rsidR="00D00BCB">
        <w:t>)</w:t>
      </w:r>
      <w:r>
        <w:t xml:space="preserve"> population (</w:t>
      </w:r>
      <w:r w:rsidRPr="006D53F9">
        <w:t>subjects who met the inclusion cri</w:t>
      </w:r>
      <w:r>
        <w:t xml:space="preserve">teria, were protocol compliant, </w:t>
      </w:r>
      <w:r w:rsidRPr="006D53F9">
        <w:t>and completed the prophylact</w:t>
      </w:r>
      <w:r>
        <w:t>ic and relapse follow-up phases). The reasons for protocol violation leading to exclusion from the PP analysis were as follows</w:t>
      </w:r>
      <w:r w:rsidR="004260AC">
        <w:t xml:space="preserve"> (Table </w:t>
      </w:r>
      <w:r w:rsidR="006D2C04">
        <w:t>30</w:t>
      </w:r>
      <w:r w:rsidR="003D4617">
        <w:t>).</w:t>
      </w:r>
    </w:p>
    <w:p w14:paraId="68D8FFA9" w14:textId="31A3F085" w:rsidR="004260AC" w:rsidRDefault="004260AC" w:rsidP="004260AC">
      <w:pPr>
        <w:pStyle w:val="TableTitle"/>
      </w:pPr>
      <w:r>
        <w:t xml:space="preserve">Table </w:t>
      </w:r>
      <w:r w:rsidR="006D2C04">
        <w:t>30</w:t>
      </w:r>
      <w:r>
        <w:t xml:space="preserve">: Number (%) of subjects with protocol violations leading to exclusion from the </w:t>
      </w:r>
      <w:r w:rsidR="003D4617">
        <w:t>p</w:t>
      </w:r>
      <w:r>
        <w:t>er protocol population</w:t>
      </w:r>
      <w:r w:rsidR="003D4617">
        <w:t>;</w:t>
      </w:r>
      <w:r>
        <w:t xml:space="preserve"> Intent-to-treat population</w:t>
      </w:r>
    </w:p>
    <w:p w14:paraId="67D4D58D" w14:textId="49D87B52" w:rsidR="0082067D" w:rsidRDefault="0082067D" w:rsidP="004260AC">
      <w:r>
        <w:rPr>
          <w:noProof/>
          <w:lang w:eastAsia="en-AU"/>
        </w:rPr>
        <w:drawing>
          <wp:inline distT="0" distB="0" distL="0" distR="0" wp14:anchorId="61E51271" wp14:editId="2C015BA8">
            <wp:extent cx="4214490" cy="1585502"/>
            <wp:effectExtent l="0" t="0" r="0" b="0"/>
            <wp:docPr id="50" name="Picture 50" descr="Number (%) of subjects with protocol violations leading to exclusion from the Per protocol population: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42C8.tmp"/>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t="14782"/>
                    <a:stretch/>
                  </pic:blipFill>
                  <pic:spPr bwMode="auto">
                    <a:xfrm>
                      <a:off x="0" y="0"/>
                      <a:ext cx="4220919" cy="1587921"/>
                    </a:xfrm>
                    <a:prstGeom prst="rect">
                      <a:avLst/>
                    </a:prstGeom>
                    <a:ln>
                      <a:noFill/>
                    </a:ln>
                    <a:extLst>
                      <a:ext uri="{53640926-AAD7-44D8-BBD7-CCE9431645EC}">
                        <a14:shadowObscured xmlns:a14="http://schemas.microsoft.com/office/drawing/2010/main"/>
                      </a:ext>
                    </a:extLst>
                  </pic:spPr>
                </pic:pic>
              </a:graphicData>
            </a:graphic>
          </wp:inline>
        </w:drawing>
      </w:r>
    </w:p>
    <w:p w14:paraId="6B117649" w14:textId="794EF7A1" w:rsidR="0082067D" w:rsidRDefault="0082067D" w:rsidP="004260AC">
      <w:r>
        <w:t>A very high compliance was reported in the study</w:t>
      </w:r>
      <w:r w:rsidR="006F2C7A" w:rsidRPr="006F2C7A">
        <w:t>-</w:t>
      </w:r>
      <w:r>
        <w:t>100% for the loading dose, 99% for the weekly regimens and 96% during the relapse follow-up phase. The results were as follows</w:t>
      </w:r>
      <w:r w:rsidR="004260AC">
        <w:t xml:space="preserve"> (Table </w:t>
      </w:r>
      <w:r w:rsidR="006D2C04">
        <w:t>31</w:t>
      </w:r>
      <w:r w:rsidR="004260AC">
        <w:t>)</w:t>
      </w:r>
      <w:r>
        <w:t>:</w:t>
      </w:r>
    </w:p>
    <w:p w14:paraId="17F3B639" w14:textId="657EC91B" w:rsidR="004260AC" w:rsidRDefault="004260AC" w:rsidP="004260AC">
      <w:pPr>
        <w:pStyle w:val="TableTitle"/>
      </w:pPr>
      <w:r>
        <w:t xml:space="preserve">Table </w:t>
      </w:r>
      <w:r w:rsidR="006D2C04">
        <w:t>31</w:t>
      </w:r>
      <w:r>
        <w:t>: Prophylactic outcome by treatment group, prophylactic phase (Study 033)</w:t>
      </w:r>
    </w:p>
    <w:p w14:paraId="7BA26B2A" w14:textId="309A6FC4" w:rsidR="0082067D" w:rsidRDefault="0082067D" w:rsidP="004260AC">
      <w:r>
        <w:rPr>
          <w:noProof/>
          <w:lang w:eastAsia="en-AU"/>
        </w:rPr>
        <w:drawing>
          <wp:inline distT="0" distB="0" distL="0" distR="0" wp14:anchorId="4B26175E" wp14:editId="55E23AF2">
            <wp:extent cx="5348897" cy="1694429"/>
            <wp:effectExtent l="0" t="0" r="4445" b="1270"/>
            <wp:docPr id="37" name="Picture 37" descr="Prophylactic outcome by treatment group, prophylactic phase (Study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6DDA.tmp"/>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t="8874"/>
                    <a:stretch/>
                  </pic:blipFill>
                  <pic:spPr bwMode="auto">
                    <a:xfrm>
                      <a:off x="0" y="0"/>
                      <a:ext cx="5366358" cy="1699960"/>
                    </a:xfrm>
                    <a:prstGeom prst="rect">
                      <a:avLst/>
                    </a:prstGeom>
                    <a:ln>
                      <a:noFill/>
                    </a:ln>
                    <a:extLst>
                      <a:ext uri="{53640926-AAD7-44D8-BBD7-CCE9431645EC}">
                        <a14:shadowObscured xmlns:a14="http://schemas.microsoft.com/office/drawing/2010/main"/>
                      </a:ext>
                    </a:extLst>
                  </pic:spPr>
                </pic:pic>
              </a:graphicData>
            </a:graphic>
          </wp:inline>
        </w:drawing>
      </w:r>
    </w:p>
    <w:p w14:paraId="20F62EE2" w14:textId="2FBE70EB" w:rsidR="0082067D" w:rsidRDefault="0082067D" w:rsidP="004260AC">
      <w:r>
        <w:t>Thus there was no case of parasitemia/symptomatic malaria (all species) in either group during the prophylactic phase using both PP and ITT populations.</w:t>
      </w:r>
    </w:p>
    <w:p w14:paraId="1F715B10" w14:textId="5FBC703F" w:rsidR="0082067D" w:rsidRPr="00917D39" w:rsidRDefault="0082067D" w:rsidP="004260AC">
      <w:r>
        <w:t>The h</w:t>
      </w:r>
      <w:r w:rsidRPr="00895B7D">
        <w:t>istoric</w:t>
      </w:r>
      <w:r>
        <w:t xml:space="preserve">al </w:t>
      </w:r>
      <w:r w:rsidRPr="00895B7D">
        <w:t>dat</w:t>
      </w:r>
      <w:r>
        <w:t>a</w:t>
      </w:r>
      <w:r w:rsidRPr="00895B7D">
        <w:t xml:space="preserve"> indic</w:t>
      </w:r>
      <w:r>
        <w:t xml:space="preserve">ate that 7.9% </w:t>
      </w:r>
      <w:r w:rsidRPr="00895B7D">
        <w:t xml:space="preserve">subjects </w:t>
      </w:r>
      <w:r>
        <w:t>(6.9%</w:t>
      </w:r>
      <w:proofErr w:type="gramStart"/>
      <w:r w:rsidRPr="00917D39">
        <w:t>Pv</w:t>
      </w:r>
      <w:proofErr w:type="gramEnd"/>
      <w:r>
        <w:t>, 1.0%</w:t>
      </w:r>
      <w:r w:rsidRPr="00917D39">
        <w:t>Pf)</w:t>
      </w:r>
      <w:r w:rsidRPr="00895B7D">
        <w:t xml:space="preserve"> </w:t>
      </w:r>
      <w:r>
        <w:t xml:space="preserve">would have been expected to contract malaria in the absence of treatment under the conditions of deployment in East Timor at that time. On this basis, both drugs were highly efficacious in </w:t>
      </w:r>
      <w:r>
        <w:lastRenderedPageBreak/>
        <w:t>preventing malaria (100%) and had equivalent (non-inferior) prophylactic efficacy (nil case reported in either arm).</w:t>
      </w:r>
    </w:p>
    <w:p w14:paraId="5ABF28D0" w14:textId="05658DE6" w:rsidR="0082067D" w:rsidRDefault="0082067D" w:rsidP="004260AC">
      <w:r>
        <w:t xml:space="preserve">A total of 4/462 cases (0.9%) </w:t>
      </w:r>
      <w:r w:rsidRPr="00DC55E5">
        <w:t>of malar</w:t>
      </w:r>
      <w:r>
        <w:t xml:space="preserve">ia in </w:t>
      </w:r>
      <w:r w:rsidR="00C312D1">
        <w:t>tafenoquine</w:t>
      </w:r>
      <w:r>
        <w:t xml:space="preserve"> group and 1/153</w:t>
      </w:r>
      <w:r w:rsidRPr="00DC55E5">
        <w:t xml:space="preserve"> case</w:t>
      </w:r>
      <w:r>
        <w:t xml:space="preserve"> (0.7%) of malaria in </w:t>
      </w:r>
      <w:r w:rsidR="00994561">
        <w:t>mefloquine</w:t>
      </w:r>
      <w:r>
        <w:t>/</w:t>
      </w:r>
      <w:r w:rsidR="00994561">
        <w:t>primaquine</w:t>
      </w:r>
      <w:r w:rsidRPr="00DC55E5">
        <w:t xml:space="preserve"> gro</w:t>
      </w:r>
      <w:r>
        <w:t>up were reported during the 6 months relapse follow-up phase as follows</w:t>
      </w:r>
      <w:r w:rsidR="0055454D">
        <w:t xml:space="preserve"> (Table </w:t>
      </w:r>
      <w:r w:rsidR="006D2C04">
        <w:t>32</w:t>
      </w:r>
      <w:r w:rsidR="00EE4754">
        <w:t>)</w:t>
      </w:r>
      <w:r w:rsidR="003D4617">
        <w:t>.</w:t>
      </w:r>
    </w:p>
    <w:p w14:paraId="728D8FA6" w14:textId="24015A71" w:rsidR="00EE4754" w:rsidRDefault="00EE4754" w:rsidP="00EE4754">
      <w:pPr>
        <w:pStyle w:val="TableTitle"/>
      </w:pPr>
      <w:r>
        <w:t xml:space="preserve">Table </w:t>
      </w:r>
      <w:r w:rsidR="006D2C04">
        <w:t>32</w:t>
      </w:r>
      <w:r>
        <w:t>: Prophylactic status by treatment group, prophylactic and follow-up phases (Study 033)</w:t>
      </w:r>
    </w:p>
    <w:p w14:paraId="3BCCB636" w14:textId="741779A6" w:rsidR="0082067D" w:rsidRDefault="0082067D" w:rsidP="00EE4754">
      <w:pPr>
        <w:spacing w:line="240" w:lineRule="auto"/>
      </w:pPr>
      <w:r>
        <w:rPr>
          <w:noProof/>
          <w:lang w:eastAsia="en-AU"/>
        </w:rPr>
        <w:drawing>
          <wp:inline distT="0" distB="0" distL="0" distR="0" wp14:anchorId="3EC2A1C7" wp14:editId="4BC52503">
            <wp:extent cx="5140982" cy="1773798"/>
            <wp:effectExtent l="0" t="0" r="2540" b="0"/>
            <wp:docPr id="38" name="Picture 38" descr="Prophylactic status by treatment group, prophylactic and follow-up phases (Study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C3D9.tmp"/>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t="14286"/>
                    <a:stretch/>
                  </pic:blipFill>
                  <pic:spPr bwMode="auto">
                    <a:xfrm>
                      <a:off x="0" y="0"/>
                      <a:ext cx="5140719" cy="1773707"/>
                    </a:xfrm>
                    <a:prstGeom prst="rect">
                      <a:avLst/>
                    </a:prstGeom>
                    <a:ln>
                      <a:noFill/>
                    </a:ln>
                    <a:extLst>
                      <a:ext uri="{53640926-AAD7-44D8-BBD7-CCE9431645EC}">
                        <a14:shadowObscured xmlns:a14="http://schemas.microsoft.com/office/drawing/2010/main"/>
                      </a:ext>
                    </a:extLst>
                  </pic:spPr>
                </pic:pic>
              </a:graphicData>
            </a:graphic>
          </wp:inline>
        </w:drawing>
      </w:r>
    </w:p>
    <w:p w14:paraId="37770677" w14:textId="62F76921" w:rsidR="0082067D" w:rsidRDefault="0082067D" w:rsidP="00EE4754">
      <w:r>
        <w:t xml:space="preserve">All 5 cases were </w:t>
      </w:r>
      <w:proofErr w:type="gramStart"/>
      <w:r>
        <w:t>Pv</w:t>
      </w:r>
      <w:proofErr w:type="gramEnd"/>
      <w:r>
        <w:t xml:space="preserve"> malaria and </w:t>
      </w:r>
      <w:r w:rsidRPr="00DC55E5">
        <w:t>o</w:t>
      </w:r>
      <w:r>
        <w:t>ccurred between 12 and 20 weeks after the end of study treatments in the prophylactic phase. Any relationship to the timing of the last dose from departure from the malarious area was not reported</w:t>
      </w:r>
      <w:r w:rsidR="00EE4754">
        <w:t xml:space="preserve"> (Table </w:t>
      </w:r>
      <w:r w:rsidR="006D2C04">
        <w:t>33</w:t>
      </w:r>
      <w:r w:rsidR="00EE4754">
        <w:t>)</w:t>
      </w:r>
      <w:r>
        <w:t>:</w:t>
      </w:r>
    </w:p>
    <w:p w14:paraId="6C3FDCB1" w14:textId="48890D26" w:rsidR="00EE4754" w:rsidRDefault="00EE4754" w:rsidP="00EE4754">
      <w:pPr>
        <w:pStyle w:val="TableTitle"/>
      </w:pPr>
      <w:r>
        <w:t xml:space="preserve">Table </w:t>
      </w:r>
      <w:r w:rsidR="006D2C04">
        <w:t>33</w:t>
      </w:r>
      <w:r>
        <w:t>: Time to relapse for Study 033</w:t>
      </w:r>
    </w:p>
    <w:p w14:paraId="69026DDB" w14:textId="36238C6C" w:rsidR="0082067D" w:rsidRDefault="0082067D" w:rsidP="00EE4754">
      <w:r>
        <w:rPr>
          <w:noProof/>
          <w:lang w:eastAsia="en-AU"/>
        </w:rPr>
        <w:drawing>
          <wp:inline distT="0" distB="0" distL="0" distR="0" wp14:anchorId="6529B622" wp14:editId="0C3D3296">
            <wp:extent cx="4659086" cy="1925276"/>
            <wp:effectExtent l="0" t="0" r="0" b="0"/>
            <wp:docPr id="45" name="Picture 45" descr="Time to relapse for Study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55E4.tmp"/>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64306" cy="1927433"/>
                    </a:xfrm>
                    <a:prstGeom prst="rect">
                      <a:avLst/>
                    </a:prstGeom>
                  </pic:spPr>
                </pic:pic>
              </a:graphicData>
            </a:graphic>
          </wp:inline>
        </w:drawing>
      </w:r>
    </w:p>
    <w:p w14:paraId="1D3D58A1" w14:textId="1F043942" w:rsidR="0082067D" w:rsidRDefault="0082067D" w:rsidP="00EE4754">
      <w:r>
        <w:t>The relapse follow-up was extended for another 6 months (a total of 12 months post-prophylactic phase). T</w:t>
      </w:r>
      <w:r w:rsidRPr="00895B7D">
        <w:t xml:space="preserve">here were 3 </w:t>
      </w:r>
      <w:r>
        <w:t xml:space="preserve">more cases of malaria in </w:t>
      </w:r>
      <w:r w:rsidR="00C312D1">
        <w:t>tafenoquine</w:t>
      </w:r>
      <w:r w:rsidRPr="00895B7D">
        <w:t xml:space="preserve"> group and </w:t>
      </w:r>
      <w:r>
        <w:t xml:space="preserve">one case of malaria in </w:t>
      </w:r>
      <w:r w:rsidR="00994561">
        <w:t>mefloquine</w:t>
      </w:r>
      <w:r>
        <w:t>/</w:t>
      </w:r>
      <w:r w:rsidR="00994561">
        <w:t>primaquine</w:t>
      </w:r>
      <w:r w:rsidRPr="00895B7D">
        <w:t xml:space="preserve"> group</w:t>
      </w:r>
      <w:r>
        <w:t xml:space="preserve"> during this 6 months extension, bringing to a total of 7 </w:t>
      </w:r>
      <w:proofErr w:type="gramStart"/>
      <w:r>
        <w:t>Pv</w:t>
      </w:r>
      <w:proofErr w:type="gramEnd"/>
      <w:r>
        <w:t xml:space="preserve"> relapses in </w:t>
      </w:r>
      <w:r w:rsidR="00C312D1">
        <w:t>tafenoquine</w:t>
      </w:r>
      <w:r>
        <w:t xml:space="preserve"> group and 2 Pv relapses in </w:t>
      </w:r>
      <w:r w:rsidR="00994561">
        <w:t>mefloquine</w:t>
      </w:r>
      <w:r>
        <w:t>/</w:t>
      </w:r>
      <w:r w:rsidR="00994561">
        <w:t>primaquine</w:t>
      </w:r>
      <w:r>
        <w:t xml:space="preserve"> group during the 12 months relapse follow-up after the end of prophylactic phase.</w:t>
      </w:r>
    </w:p>
    <w:p w14:paraId="557DEBCF" w14:textId="617EC81F" w:rsidR="0082067D" w:rsidRPr="00643A9B" w:rsidRDefault="0082067D" w:rsidP="00EE4754">
      <w:pPr>
        <w:pStyle w:val="Heading5"/>
      </w:pPr>
      <w:r w:rsidRPr="00643A9B">
        <w:t xml:space="preserve">Other </w:t>
      </w:r>
      <w:r w:rsidR="00EE4754">
        <w:t>e</w:t>
      </w:r>
      <w:r w:rsidRPr="00643A9B">
        <w:t>fficacy studies</w:t>
      </w:r>
    </w:p>
    <w:p w14:paraId="5ACC3D70" w14:textId="149D2529" w:rsidR="0082067D" w:rsidRDefault="0082067D" w:rsidP="00EE4754">
      <w:r>
        <w:t>A number of additional efficacy studies have been included in dossier. None of these were in the intended target population (non-immune individuals from non-endemic areas with expected high risk exposure to malaria during temporary stay in endemic regions). In general, these studies in semi-immune populations included presumptive treatment of malaria to eradicate existing parasitemia before the</w:t>
      </w:r>
      <w:r w:rsidR="00EE4754">
        <w:t xml:space="preserve"> start of the prophylaxis study</w:t>
      </w:r>
      <w:r>
        <w:t>:</w:t>
      </w:r>
    </w:p>
    <w:p w14:paraId="685DD856" w14:textId="4FA68755" w:rsidR="0082067D" w:rsidRPr="00FF7F35" w:rsidRDefault="0082067D" w:rsidP="00C73D8C">
      <w:pPr>
        <w:pStyle w:val="ListBullet"/>
        <w:rPr>
          <w:b/>
        </w:rPr>
      </w:pPr>
      <w:r w:rsidRPr="00C73D8C">
        <w:t>Study 030</w:t>
      </w:r>
      <w:r w:rsidR="005F43CE">
        <w:t>, a</w:t>
      </w:r>
      <w:r>
        <w:rPr>
          <w:b/>
        </w:rPr>
        <w:t xml:space="preserve"> </w:t>
      </w:r>
      <w:r>
        <w:t>randomis</w:t>
      </w:r>
      <w:r w:rsidRPr="00895B7D">
        <w:t xml:space="preserve">ed, double-blind, </w:t>
      </w:r>
      <w:r>
        <w:t xml:space="preserve">placebo-controlled study (N=36) </w:t>
      </w:r>
      <w:r w:rsidRPr="00895B7D">
        <w:t xml:space="preserve">in </w:t>
      </w:r>
      <w:r w:rsidR="003D4617">
        <w:t>w</w:t>
      </w:r>
      <w:r w:rsidR="003D4617" w:rsidRPr="00895B7D">
        <w:t xml:space="preserve">estern </w:t>
      </w:r>
      <w:r w:rsidRPr="00895B7D">
        <w:t>Kenya</w:t>
      </w:r>
      <w:r>
        <w:t xml:space="preserve"> with 3 treatment arms (</w:t>
      </w:r>
      <w:r w:rsidR="00C312D1">
        <w:t>tafenoquine</w:t>
      </w:r>
      <w:r>
        <w:t xml:space="preserve"> 20</w:t>
      </w:r>
      <w:r w:rsidR="00A84DBA">
        <w:t>0 mg</w:t>
      </w:r>
      <w:r w:rsidRPr="00895B7D">
        <w:t xml:space="preserve"> once daily</w:t>
      </w:r>
      <w:r>
        <w:t xml:space="preserve"> for 3 days, then 20</w:t>
      </w:r>
      <w:r w:rsidR="00A84DBA">
        <w:t>0 mg</w:t>
      </w:r>
      <w:r>
        <w:t xml:space="preserve"> once weekly or </w:t>
      </w:r>
      <w:r w:rsidR="00994561">
        <w:t>mefloquine</w:t>
      </w:r>
      <w:r>
        <w:t xml:space="preserve"> 25</w:t>
      </w:r>
      <w:r w:rsidR="00A84DBA">
        <w:t>0 mg</w:t>
      </w:r>
      <w:r w:rsidRPr="00895B7D">
        <w:t xml:space="preserve"> once daily fo</w:t>
      </w:r>
      <w:r>
        <w:t xml:space="preserve">r 3 days </w:t>
      </w:r>
      <w:r w:rsidR="00EE4754">
        <w:t>followed by</w:t>
      </w:r>
      <w:r>
        <w:t xml:space="preserve"> 25</w:t>
      </w:r>
      <w:r w:rsidR="00A84DBA">
        <w:t>0 mg</w:t>
      </w:r>
      <w:r>
        <w:t xml:space="preserve"> once weekly or placebo for 24 weeks).</w:t>
      </w:r>
    </w:p>
    <w:p w14:paraId="73415599" w14:textId="42A2AFBB" w:rsidR="0082067D" w:rsidRPr="00A86106" w:rsidRDefault="0082067D" w:rsidP="00C73D8C">
      <w:pPr>
        <w:pStyle w:val="ListBullet"/>
        <w:rPr>
          <w:b/>
        </w:rPr>
      </w:pPr>
      <w:bookmarkStart w:id="276" w:name="_Ref504135122"/>
      <w:bookmarkStart w:id="277" w:name="_Ref271037188"/>
      <w:bookmarkStart w:id="278" w:name="_Ref271037210"/>
      <w:bookmarkStart w:id="279" w:name="_Toc272414655"/>
      <w:bookmarkStart w:id="280" w:name="_Toc290888503"/>
      <w:bookmarkStart w:id="281" w:name="_Toc416353719"/>
      <w:bookmarkStart w:id="282" w:name="_Toc421005270"/>
      <w:bookmarkStart w:id="283" w:name="_Toc432079152"/>
      <w:bookmarkStart w:id="284" w:name="_Toc432080725"/>
      <w:bookmarkStart w:id="285" w:name="_Toc241374311"/>
      <w:bookmarkStart w:id="286" w:name="_Ref243294291"/>
      <w:r w:rsidRPr="00C73D8C">
        <w:lastRenderedPageBreak/>
        <w:t>Study 043</w:t>
      </w:r>
      <w:bookmarkEnd w:id="276"/>
      <w:r w:rsidR="005F43CE">
        <w:t>, a</w:t>
      </w:r>
      <w:r>
        <w:rPr>
          <w:b/>
        </w:rPr>
        <w:t xml:space="preserve"> </w:t>
      </w:r>
      <w:r>
        <w:t xml:space="preserve">‘proof-of-concept’, randomised, double blind, placebo-controlled study (N=229) in </w:t>
      </w:r>
      <w:r w:rsidRPr="00895B7D">
        <w:t>Western Kenya</w:t>
      </w:r>
      <w:r>
        <w:t xml:space="preserve"> with 4 treatment arms (</w:t>
      </w:r>
      <w:r w:rsidR="00C312D1">
        <w:t>tafenoquine</w:t>
      </w:r>
      <w:r>
        <w:t xml:space="preserve"> 40</w:t>
      </w:r>
      <w:r w:rsidR="00A84DBA">
        <w:t>0 mg</w:t>
      </w:r>
      <w:r>
        <w:t xml:space="preserve"> for 3 days only or </w:t>
      </w:r>
      <w:r w:rsidR="00C312D1">
        <w:t>tafenoquine</w:t>
      </w:r>
      <w:r w:rsidRPr="00A86106">
        <w:t xml:space="preserve"> </w:t>
      </w:r>
      <w:r>
        <w:t>20</w:t>
      </w:r>
      <w:r w:rsidR="00A84DBA">
        <w:t>0 mg</w:t>
      </w:r>
      <w:r>
        <w:t xml:space="preserve"> </w:t>
      </w:r>
      <w:r w:rsidRPr="00A86106">
        <w:t>for 3 days</w:t>
      </w:r>
      <w:r>
        <w:t xml:space="preserve"> </w:t>
      </w:r>
      <w:r w:rsidR="00EE4754">
        <w:t>followed by</w:t>
      </w:r>
      <w:r>
        <w:t xml:space="preserve"> </w:t>
      </w:r>
      <w:r w:rsidRPr="00A86106">
        <w:t>20</w:t>
      </w:r>
      <w:r w:rsidR="00A84DBA">
        <w:t>0 mg</w:t>
      </w:r>
      <w:r w:rsidRPr="00A86106">
        <w:t xml:space="preserve"> weekly </w:t>
      </w:r>
      <w:r>
        <w:t xml:space="preserve">or </w:t>
      </w:r>
      <w:r w:rsidR="00C312D1">
        <w:t>tafenoquine</w:t>
      </w:r>
      <w:r>
        <w:t xml:space="preserve"> 40</w:t>
      </w:r>
      <w:r w:rsidR="00A84DBA">
        <w:t>0 mg</w:t>
      </w:r>
      <w:r>
        <w:t xml:space="preserve"> then 40</w:t>
      </w:r>
      <w:r w:rsidR="00A84DBA">
        <w:t>0 mg</w:t>
      </w:r>
      <w:r w:rsidRPr="00A86106">
        <w:t xml:space="preserve"> weekly </w:t>
      </w:r>
      <w:r>
        <w:t>or placebo for 10</w:t>
      </w:r>
      <w:r w:rsidR="005F43CE">
        <w:t xml:space="preserve"> to </w:t>
      </w:r>
      <w:r>
        <w:t>15 weeks).</w:t>
      </w:r>
    </w:p>
    <w:p w14:paraId="2C7DC02D" w14:textId="08ACE05D" w:rsidR="0082067D" w:rsidRPr="00A86106" w:rsidRDefault="0082067D" w:rsidP="00C73D8C">
      <w:pPr>
        <w:pStyle w:val="ListBullet"/>
        <w:rPr>
          <w:b/>
        </w:rPr>
      </w:pPr>
      <w:r w:rsidRPr="00C73D8C">
        <w:t>Study 0</w:t>
      </w:r>
      <w:r w:rsidR="005F43CE">
        <w:t>4</w:t>
      </w:r>
      <w:r w:rsidR="005F43CE" w:rsidRPr="00C73D8C">
        <w:t>4, a</w:t>
      </w:r>
      <w:r w:rsidR="005F43CE">
        <w:rPr>
          <w:b/>
        </w:rPr>
        <w:t xml:space="preserve"> </w:t>
      </w:r>
      <w:r w:rsidR="00EE4754" w:rsidRPr="00EE4754">
        <w:t>P</w:t>
      </w:r>
      <w:r w:rsidRPr="00EE4754">
        <w:t>h</w:t>
      </w:r>
      <w:r w:rsidRPr="00A86106">
        <w:t xml:space="preserve">ase </w:t>
      </w:r>
      <w:r w:rsidR="00EE4754">
        <w:t>II</w:t>
      </w:r>
      <w:r w:rsidRPr="00A86106">
        <w:t xml:space="preserve"> randomised</w:t>
      </w:r>
      <w:r w:rsidRPr="00895B7D">
        <w:t xml:space="preserve">, double-blind, placebo-controlled </w:t>
      </w:r>
      <w:r>
        <w:t>study (N=205) in Thai soldiers with 2 treatment arms (</w:t>
      </w:r>
      <w:r w:rsidR="00C312D1">
        <w:t>tafenoquine</w:t>
      </w:r>
      <w:r>
        <w:t xml:space="preserve"> 40</w:t>
      </w:r>
      <w:r w:rsidR="00A84DBA">
        <w:t>0 mg</w:t>
      </w:r>
      <w:r>
        <w:t xml:space="preserve"> </w:t>
      </w:r>
      <w:r w:rsidRPr="00895B7D">
        <w:t xml:space="preserve">daily for 3 days </w:t>
      </w:r>
      <w:r w:rsidR="00EE4754">
        <w:t xml:space="preserve">followed by </w:t>
      </w:r>
      <w:r>
        <w:t>40</w:t>
      </w:r>
      <w:r w:rsidR="00A84DBA">
        <w:t>0 mg</w:t>
      </w:r>
      <w:r>
        <w:t xml:space="preserve"> monthly or placebo for 5</w:t>
      </w:r>
      <w:r w:rsidRPr="00895B7D">
        <w:t xml:space="preserve"> m</w:t>
      </w:r>
      <w:r>
        <w:t>onths).</w:t>
      </w:r>
    </w:p>
    <w:p w14:paraId="6F423FE8" w14:textId="457F8159" w:rsidR="0082067D" w:rsidRDefault="0082067D" w:rsidP="00C73D8C">
      <w:pPr>
        <w:pStyle w:val="ListBullet"/>
      </w:pPr>
      <w:bookmarkStart w:id="287" w:name="_Ref243301615"/>
      <w:bookmarkStart w:id="288" w:name="_Toc416353717"/>
      <w:bookmarkStart w:id="289" w:name="_Toc290888501"/>
      <w:bookmarkStart w:id="290" w:name="_Toc272414653"/>
      <w:bookmarkStart w:id="291" w:name="_Ref271040932"/>
      <w:bookmarkStart w:id="292" w:name="_Ref271040927"/>
      <w:r w:rsidRPr="00C73D8C">
        <w:t xml:space="preserve">Study </w:t>
      </w:r>
      <w:bookmarkEnd w:id="287"/>
      <w:bookmarkEnd w:id="288"/>
      <w:bookmarkEnd w:id="289"/>
      <w:bookmarkEnd w:id="290"/>
      <w:bookmarkEnd w:id="291"/>
      <w:bookmarkEnd w:id="292"/>
      <w:r w:rsidRPr="00C73D8C">
        <w:t>045</w:t>
      </w:r>
      <w:r w:rsidR="005F43CE">
        <w:t>, a</w:t>
      </w:r>
      <w:r>
        <w:rPr>
          <w:b/>
        </w:rPr>
        <w:t xml:space="preserve"> </w:t>
      </w:r>
      <w:r>
        <w:t>randomis</w:t>
      </w:r>
      <w:r w:rsidRPr="00895B7D">
        <w:t>ed, double-blind, placebo-controlled</w:t>
      </w:r>
      <w:r>
        <w:t xml:space="preserve"> study (N=509) in </w:t>
      </w:r>
      <w:r w:rsidR="003D4617">
        <w:t>n</w:t>
      </w:r>
      <w:r>
        <w:t>orthern</w:t>
      </w:r>
      <w:r w:rsidR="003D4617">
        <w:t> </w:t>
      </w:r>
      <w:r>
        <w:t>Ghana with 4 treatment groups (</w:t>
      </w:r>
      <w:r w:rsidR="00C312D1">
        <w:t>tafenoquine</w:t>
      </w:r>
      <w:r>
        <w:t xml:space="preserve"> </w:t>
      </w:r>
      <w:r w:rsidRPr="00895B7D">
        <w:t>25</w:t>
      </w:r>
      <w:r>
        <w:t xml:space="preserve">, 50, 100 or 200 mg) or </w:t>
      </w:r>
      <w:r w:rsidR="00994561">
        <w:t>mefloquine</w:t>
      </w:r>
      <w:r>
        <w:t xml:space="preserve"> (250 mg), or placebo (daily for 3 days, then weekly for 12 weeks).</w:t>
      </w:r>
      <w:r>
        <w:rPr>
          <w:b/>
        </w:rPr>
        <w:t xml:space="preserve"> </w:t>
      </w:r>
      <w:r w:rsidRPr="00895B7D">
        <w:t xml:space="preserve">In </w:t>
      </w:r>
      <w:r w:rsidRPr="00596299">
        <w:t>the placebo group, 91.5%</w:t>
      </w:r>
      <w:r>
        <w:t xml:space="preserve"> </w:t>
      </w:r>
      <w:r w:rsidRPr="00895B7D">
        <w:t>subjects had a positive</w:t>
      </w:r>
      <w:r>
        <w:t xml:space="preserve"> smear</w:t>
      </w:r>
      <w:r w:rsidRPr="00895B7D">
        <w:t xml:space="preserve">. Although some protection was offered </w:t>
      </w:r>
      <w:r>
        <w:t xml:space="preserve">by </w:t>
      </w:r>
      <w:r w:rsidR="00C312D1">
        <w:t>tafenoquine</w:t>
      </w:r>
      <w:r>
        <w:t xml:space="preserve"> 25</w:t>
      </w:r>
      <w:r w:rsidRPr="00895B7D">
        <w:t>mg</w:t>
      </w:r>
      <w:r>
        <w:t xml:space="preserve"> dose</w:t>
      </w:r>
      <w:r w:rsidRPr="00895B7D">
        <w:t>, the greatest p</w:t>
      </w:r>
      <w:r>
        <w:t xml:space="preserve">rotection was obtained with the 3 highest doses of </w:t>
      </w:r>
      <w:r w:rsidR="00C312D1">
        <w:t>tafenoquine</w:t>
      </w:r>
      <w:r>
        <w:t xml:space="preserve"> (50, 100, 200 mg).</w:t>
      </w:r>
      <w:r>
        <w:rPr>
          <w:b/>
        </w:rPr>
        <w:t xml:space="preserve"> </w:t>
      </w:r>
      <w:r w:rsidRPr="00895B7D">
        <w:t xml:space="preserve">For </w:t>
      </w:r>
      <w:r>
        <w:t>confirmed parasitemia (2</w:t>
      </w:r>
      <w:r w:rsidRPr="00895B7D">
        <w:t xml:space="preserve"> consecutive positive smears), there were no subjects </w:t>
      </w:r>
      <w:r>
        <w:t xml:space="preserve">in the 2 highest </w:t>
      </w:r>
      <w:r w:rsidR="00C312D1">
        <w:t>tafenoquine</w:t>
      </w:r>
      <w:r w:rsidRPr="00895B7D">
        <w:t xml:space="preserve"> dose groups </w:t>
      </w:r>
      <w:r>
        <w:t>(100 or 200</w:t>
      </w:r>
      <w:r w:rsidR="005F43CE">
        <w:t> </w:t>
      </w:r>
      <w:r>
        <w:t xml:space="preserve">mg) or in </w:t>
      </w:r>
      <w:r w:rsidR="00994561">
        <w:t>mefloquine</w:t>
      </w:r>
      <w:r>
        <w:t xml:space="preserve"> group. </w:t>
      </w:r>
      <w:r w:rsidRPr="00895B7D">
        <w:t>Analysis of incidence</w:t>
      </w:r>
      <w:r>
        <w:t xml:space="preserve"> density demonstrated an </w:t>
      </w:r>
      <w:r w:rsidRPr="00895B7D">
        <w:t>a</w:t>
      </w:r>
      <w:r>
        <w:t xml:space="preserve">ttack rate of </w:t>
      </w:r>
      <w:r w:rsidR="005F43CE">
        <w:t xml:space="preserve">approximately </w:t>
      </w:r>
      <w:r>
        <w:t xml:space="preserve">9/PY in placebo arm compared with </w:t>
      </w:r>
      <w:r w:rsidR="005F43CE">
        <w:t xml:space="preserve">approximately </w:t>
      </w:r>
      <w:r>
        <w:t xml:space="preserve">4/PY in </w:t>
      </w:r>
      <w:r w:rsidR="005F43CE">
        <w:t xml:space="preserve">the </w:t>
      </w:r>
      <w:r w:rsidR="00C312D1">
        <w:t>tafenoquine</w:t>
      </w:r>
      <w:r>
        <w:t xml:space="preserve"> 25mg and &lt;1/PY in </w:t>
      </w:r>
      <w:r w:rsidR="00C312D1">
        <w:t>tafenoquine</w:t>
      </w:r>
      <w:r>
        <w:t xml:space="preserve"> 50, 100 or 200 mg or </w:t>
      </w:r>
      <w:r w:rsidR="00994561">
        <w:t>mefloquine</w:t>
      </w:r>
      <w:r>
        <w:t xml:space="preserve"> 25</w:t>
      </w:r>
      <w:r w:rsidR="00A84DBA">
        <w:t>0 mg</w:t>
      </w:r>
      <w:r>
        <w:t xml:space="preserve"> arms.</w:t>
      </w:r>
    </w:p>
    <w:p w14:paraId="5B9AA502" w14:textId="462E0927" w:rsidR="0082067D" w:rsidRDefault="0082067D">
      <w:r>
        <w:t>An overview of estimated prophylactic efficacy in the 5 efficacy studies (</w:t>
      </w:r>
      <w:r w:rsidR="00EE4754">
        <w:t xml:space="preserve">Studies </w:t>
      </w:r>
      <w:r>
        <w:t>030, 033, 043, 044 and 045) is as follows</w:t>
      </w:r>
      <w:r w:rsidR="00EE4754">
        <w:t xml:space="preserve"> </w:t>
      </w:r>
      <w:r w:rsidR="005F43CE">
        <w:t xml:space="preserve">in </w:t>
      </w:r>
      <w:r w:rsidR="00EE4754">
        <w:t>Figure 3</w:t>
      </w:r>
      <w:r w:rsidR="005F43CE">
        <w:t>.</w:t>
      </w:r>
    </w:p>
    <w:p w14:paraId="56B93623" w14:textId="6F220863" w:rsidR="00EE4754" w:rsidRDefault="00EE4754" w:rsidP="00EE4754">
      <w:pPr>
        <w:pStyle w:val="FigureTitle"/>
      </w:pPr>
      <w:r>
        <w:t xml:space="preserve">Figure 3: Estimated prophylactic efficacy in the 5 efficacy </w:t>
      </w:r>
      <w:r w:rsidR="005F43CE">
        <w:t>studies (Studies </w:t>
      </w:r>
      <w:r>
        <w:t>030, 033, 043, 044 and 045</w:t>
      </w:r>
      <w:r w:rsidR="005F43CE">
        <w:t>)</w:t>
      </w:r>
    </w:p>
    <w:p w14:paraId="1A5EB296" w14:textId="1DC0F5CC" w:rsidR="0082067D" w:rsidRDefault="001578C4" w:rsidP="001578C4">
      <w:r>
        <w:rPr>
          <w:noProof/>
          <w:lang w:eastAsia="en-AU"/>
        </w:rPr>
        <w:drawing>
          <wp:inline distT="0" distB="0" distL="0" distR="0" wp14:anchorId="22CA5E1D" wp14:editId="48894C29">
            <wp:extent cx="4603872" cy="4145738"/>
            <wp:effectExtent l="0" t="0" r="6350" b="7620"/>
            <wp:docPr id="36" name="Picture 36" descr="Estimated prophylactic efficacy (PE) in the 5 efficacy Studies 030, 033, 043, 044 and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4606446" cy="4148056"/>
                    </a:xfrm>
                    <a:prstGeom prst="rect">
                      <a:avLst/>
                    </a:prstGeom>
                  </pic:spPr>
                </pic:pic>
              </a:graphicData>
            </a:graphic>
          </wp:inline>
        </w:drawing>
      </w:r>
    </w:p>
    <w:p w14:paraId="3DF5DE1D" w14:textId="07A8BB66" w:rsidR="0082067D" w:rsidRDefault="0082067D" w:rsidP="001578C4">
      <w:r w:rsidRPr="00C73D8C">
        <w:t>Other studies</w:t>
      </w:r>
      <w:r>
        <w:rPr>
          <w:b/>
        </w:rPr>
        <w:t xml:space="preserve"> </w:t>
      </w:r>
      <w:r>
        <w:t xml:space="preserve">include shorter </w:t>
      </w:r>
      <w:r w:rsidRPr="00596299">
        <w:t xml:space="preserve">term prophylaxis </w:t>
      </w:r>
      <w:r w:rsidR="001578C4">
        <w:t>S</w:t>
      </w:r>
      <w:r w:rsidRPr="00596299">
        <w:t xml:space="preserve">tudy 006, acute treatment </w:t>
      </w:r>
      <w:r w:rsidR="001578C4">
        <w:t>S</w:t>
      </w:r>
      <w:r w:rsidRPr="00596299">
        <w:t>tudy 058</w:t>
      </w:r>
      <w:bookmarkStart w:id="293" w:name="_Toc290888505"/>
      <w:bookmarkStart w:id="294" w:name="_Toc416353721"/>
      <w:bookmarkEnd w:id="277"/>
      <w:bookmarkEnd w:id="278"/>
      <w:bookmarkEnd w:id="279"/>
      <w:bookmarkEnd w:id="280"/>
      <w:bookmarkEnd w:id="281"/>
      <w:bookmarkEnd w:id="282"/>
      <w:bookmarkEnd w:id="283"/>
      <w:bookmarkEnd w:id="284"/>
      <w:bookmarkEnd w:id="285"/>
      <w:bookmarkEnd w:id="286"/>
      <w:r w:rsidR="001578C4">
        <w:t>, radical cure S</w:t>
      </w:r>
      <w:r w:rsidRPr="00596299">
        <w:t xml:space="preserve">tudy TAF112582, dose ranging anti-relapse </w:t>
      </w:r>
      <w:r w:rsidR="001578C4">
        <w:t>S</w:t>
      </w:r>
      <w:r w:rsidRPr="00596299">
        <w:t>tudies 047 and 049</w:t>
      </w:r>
      <w:bookmarkStart w:id="295" w:name="_Ref501219828"/>
      <w:r w:rsidRPr="00596299">
        <w:t xml:space="preserve"> and </w:t>
      </w:r>
      <w:r>
        <w:t xml:space="preserve">the recent </w:t>
      </w:r>
      <w:r w:rsidRPr="00596299">
        <w:t xml:space="preserve">human malaria challenge </w:t>
      </w:r>
      <w:r w:rsidR="001578C4">
        <w:t>S</w:t>
      </w:r>
      <w:r w:rsidRPr="00596299">
        <w:t xml:space="preserve">tudy </w:t>
      </w:r>
      <w:r w:rsidR="005F43CE">
        <w:t>TQ</w:t>
      </w:r>
      <w:r w:rsidRPr="00596299">
        <w:t>-2016-02</w:t>
      </w:r>
      <w:bookmarkEnd w:id="293"/>
      <w:bookmarkEnd w:id="294"/>
      <w:bookmarkEnd w:id="295"/>
      <w:r w:rsidR="001578C4">
        <w:t>.</w:t>
      </w:r>
    </w:p>
    <w:p w14:paraId="1C56CC2A" w14:textId="63337776" w:rsidR="0082067D" w:rsidRPr="001578C4" w:rsidRDefault="0082067D" w:rsidP="001578C4">
      <w:pPr>
        <w:pStyle w:val="Heading4"/>
      </w:pPr>
      <w:bookmarkStart w:id="296" w:name="_Toc504229382"/>
      <w:bookmarkStart w:id="297" w:name="_Toc501809156"/>
      <w:r w:rsidRPr="001578C4">
        <w:lastRenderedPageBreak/>
        <w:t>Safety</w:t>
      </w:r>
      <w:bookmarkEnd w:id="296"/>
      <w:bookmarkEnd w:id="297"/>
    </w:p>
    <w:p w14:paraId="48E321A0" w14:textId="678B6C79" w:rsidR="0082067D" w:rsidRDefault="0082067D" w:rsidP="001578C4">
      <w:r>
        <w:t>Overall, the safety database in this submission includes data on</w:t>
      </w:r>
      <w:r w:rsidRPr="00895B7D">
        <w:t xml:space="preserve"> 3184 subjects</w:t>
      </w:r>
      <w:r>
        <w:t xml:space="preserve"> comprising both non-immune and semi-immune populations from various geographical regions.</w:t>
      </w:r>
    </w:p>
    <w:p w14:paraId="4C8DE412" w14:textId="1873F2F1" w:rsidR="0082067D" w:rsidRDefault="0082067D" w:rsidP="001578C4">
      <w:r>
        <w:t xml:space="preserve">Of those, a total of 825 received </w:t>
      </w:r>
      <w:r w:rsidR="00C312D1">
        <w:t>tafenoquine</w:t>
      </w:r>
      <w:r>
        <w:t xml:space="preserve"> in the anticipated clinical regimen (ACR) in 5 studies (</w:t>
      </w:r>
      <w:r w:rsidR="001578C4">
        <w:t xml:space="preserve">Studies </w:t>
      </w:r>
      <w:r>
        <w:t xml:space="preserve">030, 033, 043, 045, 057), 104 subjects received </w:t>
      </w:r>
      <w:r w:rsidR="00C312D1">
        <w:t>tafenoquine</w:t>
      </w:r>
      <w:r>
        <w:t xml:space="preserve"> 40</w:t>
      </w:r>
      <w:r w:rsidR="00A84DBA">
        <w:t>0 mg</w:t>
      </w:r>
      <w:r>
        <w:t xml:space="preserve"> weekly in one study (</w:t>
      </w:r>
      <w:r w:rsidR="001578C4">
        <w:t xml:space="preserve">Study </w:t>
      </w:r>
      <w:r>
        <w:t xml:space="preserve">044), 309 subjects received </w:t>
      </w:r>
      <w:r w:rsidR="00994561">
        <w:t>mefloquine</w:t>
      </w:r>
      <w:r>
        <w:t xml:space="preserve"> in 3 studies (</w:t>
      </w:r>
      <w:r w:rsidR="001578C4">
        <w:t xml:space="preserve">Studies </w:t>
      </w:r>
      <w:r>
        <w:t>030, 033, 045) and 396 subjects received placebo in 5 studies (</w:t>
      </w:r>
      <w:r w:rsidR="001578C4">
        <w:t xml:space="preserve">Studies </w:t>
      </w:r>
      <w:r>
        <w:t xml:space="preserve">030, 043, 044, 045, 057) </w:t>
      </w:r>
      <w:r w:rsidR="005F43CE">
        <w:t>(</w:t>
      </w:r>
      <w:r>
        <w:t>ACR dataset</w:t>
      </w:r>
      <w:r w:rsidR="005F43CE">
        <w:t>)</w:t>
      </w:r>
      <w:r>
        <w:t>.</w:t>
      </w:r>
    </w:p>
    <w:p w14:paraId="7A73646C" w14:textId="790143CE" w:rsidR="0082067D" w:rsidRPr="00F613BF" w:rsidRDefault="0082067D" w:rsidP="001578C4">
      <w:r>
        <w:t xml:space="preserve">In addition, a total of 491 subjects have been exposed to </w:t>
      </w:r>
      <w:r w:rsidR="00C312D1">
        <w:t>tafenoquine</w:t>
      </w:r>
      <w:r>
        <w:t xml:space="preserve"> 20</w:t>
      </w:r>
      <w:r w:rsidR="00A84DBA">
        <w:t>0 mg</w:t>
      </w:r>
      <w:r>
        <w:t xml:space="preserve"> daily x 3 days loading dose only (</w:t>
      </w:r>
      <w:r w:rsidR="001578C4">
        <w:t>S</w:t>
      </w:r>
      <w:r>
        <w:t xml:space="preserve">tudies 006, 049) and 713 have been exposed to </w:t>
      </w:r>
      <w:r w:rsidR="00C312D1">
        <w:t>tafenoquine</w:t>
      </w:r>
      <w:r>
        <w:t xml:space="preserve"> 40</w:t>
      </w:r>
      <w:r w:rsidR="00A84DBA">
        <w:t>0 mg</w:t>
      </w:r>
      <w:r>
        <w:t xml:space="preserve"> daily x 3 day loading dose only (</w:t>
      </w:r>
      <w:r w:rsidR="001578C4">
        <w:t>S</w:t>
      </w:r>
      <w:r>
        <w:t>tudies 043, 049 and 058).</w:t>
      </w:r>
    </w:p>
    <w:p w14:paraId="37E073ED" w14:textId="15ADEB47" w:rsidR="0082067D" w:rsidRDefault="0082067D" w:rsidP="001578C4">
      <w:r>
        <w:t>The demographic characteristics of the pooled safety set (ACR dataset) were as follows</w:t>
      </w:r>
      <w:r w:rsidR="001578C4">
        <w:t xml:space="preserve"> (Table </w:t>
      </w:r>
      <w:r w:rsidR="006D2C04">
        <w:t>34</w:t>
      </w:r>
      <w:r w:rsidR="001578C4">
        <w:t>)</w:t>
      </w:r>
      <w:r w:rsidR="005F43CE">
        <w:t>.</w:t>
      </w:r>
    </w:p>
    <w:p w14:paraId="38CC2C21" w14:textId="4C27C4BB" w:rsidR="001578C4" w:rsidRDefault="001578C4" w:rsidP="001578C4">
      <w:pPr>
        <w:pStyle w:val="TableTitle"/>
      </w:pPr>
      <w:r>
        <w:t xml:space="preserve">Table </w:t>
      </w:r>
      <w:r w:rsidR="006D2C04">
        <w:t>34</w:t>
      </w:r>
      <w:r>
        <w:t>: Demographic characteristics</w:t>
      </w:r>
      <w:r w:rsidR="005F43CE">
        <w:t>;</w:t>
      </w:r>
      <w:r>
        <w:t xml:space="preserve"> Pooled safety data set</w:t>
      </w:r>
    </w:p>
    <w:p w14:paraId="0BC5D073" w14:textId="1F61D158" w:rsidR="0082067D" w:rsidRDefault="0082067D" w:rsidP="001578C4">
      <w:r>
        <w:rPr>
          <w:noProof/>
          <w:lang w:eastAsia="en-AU"/>
        </w:rPr>
        <w:drawing>
          <wp:inline distT="0" distB="0" distL="0" distR="0" wp14:anchorId="563BA1A0" wp14:editId="48B46412">
            <wp:extent cx="4465293" cy="3129643"/>
            <wp:effectExtent l="0" t="0" r="0" b="0"/>
            <wp:docPr id="31" name="Picture 31" descr="Demographic characteristics Pooled safety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F33.tmp"/>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73016" cy="3135056"/>
                    </a:xfrm>
                    <a:prstGeom prst="rect">
                      <a:avLst/>
                    </a:prstGeom>
                  </pic:spPr>
                </pic:pic>
              </a:graphicData>
            </a:graphic>
          </wp:inline>
        </w:drawing>
      </w:r>
    </w:p>
    <w:p w14:paraId="3EDA72D1" w14:textId="29783E53" w:rsidR="0082067D" w:rsidRDefault="0082067D" w:rsidP="00A53E84">
      <w:r>
        <w:t xml:space="preserve">An overview of adverse effects profile of the </w:t>
      </w:r>
      <w:r w:rsidR="00C312D1">
        <w:t>tafenoquine</w:t>
      </w:r>
      <w:r>
        <w:t xml:space="preserve"> ACR population compared to the active comparator </w:t>
      </w:r>
      <w:r w:rsidR="00994561">
        <w:t>mefloquine</w:t>
      </w:r>
      <w:r>
        <w:t xml:space="preserve"> and placebo is as follows</w:t>
      </w:r>
      <w:r w:rsidR="001578C4">
        <w:t xml:space="preserve"> (Table </w:t>
      </w:r>
      <w:r w:rsidR="006D2C04">
        <w:t>35</w:t>
      </w:r>
      <w:r w:rsidR="001578C4">
        <w:t>)</w:t>
      </w:r>
      <w:r w:rsidR="005F43CE">
        <w:t>.</w:t>
      </w:r>
      <w:r>
        <w:rPr>
          <w:rStyle w:val="FootnoteReference"/>
        </w:rPr>
        <w:footnoteReference w:id="32"/>
      </w:r>
    </w:p>
    <w:p w14:paraId="5D7387C0" w14:textId="240F1A6E" w:rsidR="00A53E84" w:rsidRDefault="00A53E84" w:rsidP="00A53E84">
      <w:pPr>
        <w:pStyle w:val="TableTitle"/>
      </w:pPr>
      <w:r>
        <w:lastRenderedPageBreak/>
        <w:t xml:space="preserve">Table </w:t>
      </w:r>
      <w:r w:rsidR="006D2C04">
        <w:t>35</w:t>
      </w:r>
      <w:r>
        <w:t xml:space="preserve">: Adverse effects profile of the tafenoquine ACR population compared to the active comparator </w:t>
      </w:r>
      <w:r w:rsidR="00994561">
        <w:t>mefloquine</w:t>
      </w:r>
      <w:r>
        <w:t xml:space="preserve"> and placebo</w:t>
      </w:r>
    </w:p>
    <w:p w14:paraId="342BCA0F" w14:textId="64CC83EC" w:rsidR="0082067D" w:rsidRDefault="0082067D" w:rsidP="00242787">
      <w:r>
        <w:rPr>
          <w:noProof/>
          <w:lang w:eastAsia="en-AU"/>
        </w:rPr>
        <w:drawing>
          <wp:inline distT="0" distB="0" distL="0" distR="0" wp14:anchorId="4B6FE46D" wp14:editId="1E9AF3EE">
            <wp:extent cx="5436331" cy="2805076"/>
            <wp:effectExtent l="0" t="0" r="0" b="0"/>
            <wp:docPr id="35" name="Picture 35" descr="Adverse effects profile of the tafenoquine ACR population compared to the active comparator MQ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2A7F.tmp"/>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4225" cy="2814309"/>
                    </a:xfrm>
                    <a:prstGeom prst="rect">
                      <a:avLst/>
                    </a:prstGeom>
                  </pic:spPr>
                </pic:pic>
              </a:graphicData>
            </a:graphic>
          </wp:inline>
        </w:drawing>
      </w:r>
    </w:p>
    <w:p w14:paraId="0EF37E37" w14:textId="5FB3667A" w:rsidR="0082067D" w:rsidRDefault="0082067D" w:rsidP="0082067D">
      <w:pPr>
        <w:pStyle w:val="C-BodyText"/>
        <w:spacing w:line="240" w:lineRule="auto"/>
        <w:jc w:val="both"/>
        <w:rPr>
          <w:rFonts w:ascii="Cambria" w:hAnsi="Cambria"/>
        </w:rPr>
      </w:pPr>
      <w:r>
        <w:rPr>
          <w:rFonts w:ascii="Cambria" w:hAnsi="Cambria"/>
        </w:rPr>
        <w:t>Incidence of selected AEs in the ACR data set was a follows</w:t>
      </w:r>
      <w:r w:rsidR="00A53E84">
        <w:rPr>
          <w:rFonts w:ascii="Cambria" w:hAnsi="Cambria"/>
        </w:rPr>
        <w:t xml:space="preserve"> (Table </w:t>
      </w:r>
      <w:r w:rsidR="006D2C04">
        <w:rPr>
          <w:rFonts w:ascii="Cambria" w:hAnsi="Cambria"/>
        </w:rPr>
        <w:t>36</w:t>
      </w:r>
      <w:r w:rsidR="00A53E84">
        <w:rPr>
          <w:rFonts w:ascii="Cambria" w:hAnsi="Cambria"/>
        </w:rPr>
        <w:t>)</w:t>
      </w:r>
      <w:r w:rsidR="005F43CE">
        <w:rPr>
          <w:rFonts w:ascii="Cambria" w:hAnsi="Cambria"/>
        </w:rPr>
        <w:t>.</w:t>
      </w:r>
    </w:p>
    <w:p w14:paraId="2E3DB283" w14:textId="45637D62" w:rsidR="00A53E84" w:rsidRDefault="00A53E84" w:rsidP="006D2C04">
      <w:pPr>
        <w:pStyle w:val="TableTitle"/>
      </w:pPr>
      <w:r>
        <w:t xml:space="preserve">Table </w:t>
      </w:r>
      <w:r w:rsidR="006D2C04">
        <w:t>36</w:t>
      </w:r>
      <w:r>
        <w:t>: Incidence of selected AEs in the ACR data</w:t>
      </w:r>
    </w:p>
    <w:tbl>
      <w:tblPr>
        <w:tblStyle w:val="TableTGAblue"/>
        <w:tblW w:w="0" w:type="auto"/>
        <w:tblLook w:val="04A0" w:firstRow="1" w:lastRow="0" w:firstColumn="1" w:lastColumn="0" w:noHBand="0" w:noVBand="1"/>
      </w:tblPr>
      <w:tblGrid>
        <w:gridCol w:w="2376"/>
        <w:gridCol w:w="2552"/>
        <w:gridCol w:w="2082"/>
        <w:gridCol w:w="1710"/>
      </w:tblGrid>
      <w:tr w:rsidR="00A53E84" w:rsidRPr="00A53E84" w14:paraId="3B67383D" w14:textId="48F1485E" w:rsidTr="00A53E84">
        <w:trPr>
          <w:cnfStyle w:val="100000000000" w:firstRow="1" w:lastRow="0" w:firstColumn="0" w:lastColumn="0" w:oddVBand="0" w:evenVBand="0" w:oddHBand="0" w:evenHBand="0" w:firstRowFirstColumn="0" w:firstRowLastColumn="0" w:lastRowFirstColumn="0" w:lastRowLastColumn="0"/>
        </w:trPr>
        <w:tc>
          <w:tcPr>
            <w:tcW w:w="2376" w:type="dxa"/>
          </w:tcPr>
          <w:p w14:paraId="0FF61DB7" w14:textId="5454AED7" w:rsidR="00A53E84" w:rsidRPr="00A53E84" w:rsidRDefault="00A53E84" w:rsidP="00C73D8C">
            <w:pPr>
              <w:pStyle w:val="C-BodyText"/>
              <w:spacing w:line="240" w:lineRule="auto"/>
              <w:jc w:val="both"/>
              <w:rPr>
                <w:rFonts w:asciiTheme="minorHAnsi" w:hAnsiTheme="minorHAnsi"/>
                <w:b w:val="0"/>
                <w:color w:val="auto"/>
                <w:sz w:val="20"/>
                <w:szCs w:val="20"/>
              </w:rPr>
            </w:pPr>
            <w:r w:rsidRPr="00A53E84">
              <w:rPr>
                <w:rFonts w:asciiTheme="minorHAnsi" w:hAnsiTheme="minorHAnsi"/>
                <w:sz w:val="20"/>
                <w:szCs w:val="20"/>
              </w:rPr>
              <w:t>AE</w:t>
            </w:r>
          </w:p>
        </w:tc>
        <w:tc>
          <w:tcPr>
            <w:tcW w:w="2552" w:type="dxa"/>
          </w:tcPr>
          <w:p w14:paraId="6FDEABF3" w14:textId="4FC44073" w:rsidR="00A53E84" w:rsidRPr="00A53E84" w:rsidRDefault="00A53E84" w:rsidP="00C73D8C">
            <w:pPr>
              <w:pStyle w:val="C-BodyText"/>
              <w:spacing w:line="240" w:lineRule="auto"/>
              <w:jc w:val="both"/>
              <w:rPr>
                <w:rFonts w:asciiTheme="minorHAnsi" w:hAnsiTheme="minorHAnsi"/>
                <w:b w:val="0"/>
                <w:color w:val="auto"/>
                <w:sz w:val="20"/>
                <w:szCs w:val="20"/>
              </w:rPr>
            </w:pPr>
            <w:r w:rsidRPr="00A53E84">
              <w:rPr>
                <w:rFonts w:asciiTheme="minorHAnsi" w:hAnsiTheme="minorHAnsi"/>
                <w:sz w:val="20"/>
                <w:szCs w:val="20"/>
              </w:rPr>
              <w:t>tafenoquine (n=825)</w:t>
            </w:r>
          </w:p>
        </w:tc>
        <w:tc>
          <w:tcPr>
            <w:tcW w:w="2082" w:type="dxa"/>
          </w:tcPr>
          <w:p w14:paraId="4C778B81" w14:textId="36E96D85" w:rsidR="00A53E84" w:rsidRPr="00A53E84" w:rsidRDefault="00A53E84" w:rsidP="00C73D8C">
            <w:pPr>
              <w:pStyle w:val="C-BodyText"/>
              <w:spacing w:line="240" w:lineRule="auto"/>
              <w:jc w:val="both"/>
              <w:rPr>
                <w:rFonts w:asciiTheme="minorHAnsi" w:hAnsiTheme="minorHAnsi"/>
                <w:b w:val="0"/>
                <w:color w:val="auto"/>
                <w:sz w:val="20"/>
                <w:szCs w:val="20"/>
              </w:rPr>
            </w:pPr>
            <w:r w:rsidRPr="00A53E84">
              <w:rPr>
                <w:rFonts w:asciiTheme="minorHAnsi" w:hAnsiTheme="minorHAnsi"/>
                <w:sz w:val="20"/>
                <w:szCs w:val="20"/>
              </w:rPr>
              <w:t>Placebo (n=396)</w:t>
            </w:r>
          </w:p>
        </w:tc>
        <w:tc>
          <w:tcPr>
            <w:tcW w:w="1710" w:type="dxa"/>
          </w:tcPr>
          <w:p w14:paraId="212FA204" w14:textId="14CE004E" w:rsidR="00A53E84" w:rsidRPr="00A53E84" w:rsidRDefault="00994561" w:rsidP="00C73D8C">
            <w:pPr>
              <w:pStyle w:val="C-BodyText"/>
              <w:spacing w:line="240" w:lineRule="auto"/>
              <w:jc w:val="both"/>
              <w:rPr>
                <w:rFonts w:asciiTheme="minorHAnsi" w:hAnsiTheme="minorHAnsi"/>
                <w:b w:val="0"/>
                <w:color w:val="auto"/>
                <w:sz w:val="20"/>
                <w:szCs w:val="20"/>
              </w:rPr>
            </w:pPr>
            <w:r>
              <w:rPr>
                <w:rFonts w:asciiTheme="minorHAnsi" w:hAnsiTheme="minorHAnsi"/>
                <w:sz w:val="20"/>
                <w:szCs w:val="20"/>
              </w:rPr>
              <w:t>mefloquine</w:t>
            </w:r>
            <w:r w:rsidR="00A53E84" w:rsidRPr="00A53E84">
              <w:rPr>
                <w:rFonts w:asciiTheme="minorHAnsi" w:hAnsiTheme="minorHAnsi"/>
                <w:sz w:val="20"/>
                <w:szCs w:val="20"/>
              </w:rPr>
              <w:t xml:space="preserve"> (n=309)</w:t>
            </w:r>
          </w:p>
        </w:tc>
      </w:tr>
      <w:tr w:rsidR="00A53E84" w:rsidRPr="00A53E84" w14:paraId="57EE9F06" w14:textId="06FDB031" w:rsidTr="00A53E84">
        <w:tc>
          <w:tcPr>
            <w:tcW w:w="2376" w:type="dxa"/>
          </w:tcPr>
          <w:p w14:paraId="01E54C43" w14:textId="6B722566" w:rsidR="00A53E84" w:rsidRPr="00A53E84" w:rsidRDefault="00A53E84" w:rsidP="00C73D8C">
            <w:pPr>
              <w:pStyle w:val="C-BodyText"/>
              <w:keepNext/>
              <w:spacing w:line="240" w:lineRule="auto"/>
              <w:rPr>
                <w:rFonts w:asciiTheme="minorHAnsi" w:hAnsiTheme="minorHAnsi"/>
                <w:color w:val="auto"/>
                <w:sz w:val="20"/>
                <w:szCs w:val="20"/>
              </w:rPr>
            </w:pPr>
            <w:r w:rsidRPr="00A53E84">
              <w:rPr>
                <w:rFonts w:asciiTheme="minorHAnsi" w:hAnsiTheme="minorHAnsi"/>
                <w:sz w:val="20"/>
                <w:szCs w:val="20"/>
              </w:rPr>
              <w:t>Keratopathy</w:t>
            </w:r>
          </w:p>
        </w:tc>
        <w:tc>
          <w:tcPr>
            <w:tcW w:w="2552" w:type="dxa"/>
          </w:tcPr>
          <w:p w14:paraId="54AB607C" w14:textId="15119F70" w:rsidR="00A53E84" w:rsidRPr="00A53E84" w:rsidRDefault="00A53E84" w:rsidP="00C73D8C">
            <w:pPr>
              <w:pStyle w:val="C-BodyText"/>
              <w:keepNext/>
              <w:spacing w:line="240" w:lineRule="auto"/>
              <w:rPr>
                <w:rFonts w:asciiTheme="minorHAnsi" w:hAnsiTheme="minorHAnsi"/>
                <w:color w:val="auto"/>
                <w:sz w:val="20"/>
                <w:szCs w:val="20"/>
              </w:rPr>
            </w:pPr>
            <w:r w:rsidRPr="00A53E84">
              <w:rPr>
                <w:rFonts w:asciiTheme="minorHAnsi" w:hAnsiTheme="minorHAnsi"/>
                <w:sz w:val="20"/>
                <w:szCs w:val="20"/>
              </w:rPr>
              <w:t>8.2%</w:t>
            </w:r>
          </w:p>
        </w:tc>
        <w:tc>
          <w:tcPr>
            <w:tcW w:w="2082" w:type="dxa"/>
          </w:tcPr>
          <w:p w14:paraId="4DA14D17" w14:textId="601E3605" w:rsidR="00A53E84" w:rsidRPr="00A53E84" w:rsidRDefault="00A53E84" w:rsidP="00C73D8C">
            <w:pPr>
              <w:pStyle w:val="C-BodyText"/>
              <w:keepNext/>
              <w:spacing w:line="240" w:lineRule="auto"/>
              <w:rPr>
                <w:rFonts w:asciiTheme="minorHAnsi" w:hAnsiTheme="minorHAnsi"/>
                <w:color w:val="auto"/>
                <w:sz w:val="20"/>
                <w:szCs w:val="20"/>
              </w:rPr>
            </w:pPr>
            <w:r w:rsidRPr="00A53E84">
              <w:rPr>
                <w:rFonts w:asciiTheme="minorHAnsi" w:hAnsiTheme="minorHAnsi"/>
                <w:sz w:val="20"/>
                <w:szCs w:val="20"/>
              </w:rPr>
              <w:t>0%</w:t>
            </w:r>
          </w:p>
        </w:tc>
        <w:tc>
          <w:tcPr>
            <w:tcW w:w="1710" w:type="dxa"/>
          </w:tcPr>
          <w:p w14:paraId="4017463E" w14:textId="020B4FB6" w:rsidR="00A53E84" w:rsidRPr="00A53E84" w:rsidRDefault="00A53E84" w:rsidP="00C73D8C">
            <w:pPr>
              <w:pStyle w:val="C-BodyText"/>
              <w:keepNext/>
              <w:spacing w:line="240" w:lineRule="auto"/>
              <w:rPr>
                <w:rFonts w:asciiTheme="minorHAnsi" w:hAnsiTheme="minorHAnsi"/>
                <w:color w:val="auto"/>
                <w:sz w:val="20"/>
                <w:szCs w:val="20"/>
              </w:rPr>
            </w:pPr>
            <w:r w:rsidRPr="00A53E84">
              <w:rPr>
                <w:rFonts w:asciiTheme="minorHAnsi" w:hAnsiTheme="minorHAnsi"/>
                <w:sz w:val="20"/>
                <w:szCs w:val="20"/>
              </w:rPr>
              <w:t>0%</w:t>
            </w:r>
          </w:p>
        </w:tc>
      </w:tr>
      <w:tr w:rsidR="00A53E84" w:rsidRPr="00A53E84" w14:paraId="38FAC013" w14:textId="163125C0" w:rsidTr="00A53E84">
        <w:tc>
          <w:tcPr>
            <w:tcW w:w="2376" w:type="dxa"/>
          </w:tcPr>
          <w:p w14:paraId="78579599" w14:textId="4D5D0EA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Diarrhoea</w:t>
            </w:r>
          </w:p>
        </w:tc>
        <w:tc>
          <w:tcPr>
            <w:tcW w:w="2552" w:type="dxa"/>
          </w:tcPr>
          <w:p w14:paraId="5313086A" w14:textId="060939F8"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12.7%</w:t>
            </w:r>
          </w:p>
        </w:tc>
        <w:tc>
          <w:tcPr>
            <w:tcW w:w="2082" w:type="dxa"/>
          </w:tcPr>
          <w:p w14:paraId="1C36B1D6" w14:textId="2B018097"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5.8%</w:t>
            </w:r>
          </w:p>
        </w:tc>
        <w:tc>
          <w:tcPr>
            <w:tcW w:w="1710" w:type="dxa"/>
          </w:tcPr>
          <w:p w14:paraId="795124B9" w14:textId="73AEDBB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10.7%</w:t>
            </w:r>
          </w:p>
        </w:tc>
      </w:tr>
      <w:tr w:rsidR="00A53E84" w:rsidRPr="00A53E84" w14:paraId="42498D3C" w14:textId="303DDB14" w:rsidTr="00A53E84">
        <w:tc>
          <w:tcPr>
            <w:tcW w:w="2376" w:type="dxa"/>
          </w:tcPr>
          <w:p w14:paraId="06A75DEA" w14:textId="7681F7DC"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Gastroenteritis</w:t>
            </w:r>
          </w:p>
        </w:tc>
        <w:tc>
          <w:tcPr>
            <w:tcW w:w="2552" w:type="dxa"/>
          </w:tcPr>
          <w:p w14:paraId="5DCA98A5" w14:textId="730EAD3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25.3%</w:t>
            </w:r>
          </w:p>
        </w:tc>
        <w:tc>
          <w:tcPr>
            <w:tcW w:w="2082" w:type="dxa"/>
          </w:tcPr>
          <w:p w14:paraId="404EEC73" w14:textId="15178E8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4.3%</w:t>
            </w:r>
          </w:p>
        </w:tc>
        <w:tc>
          <w:tcPr>
            <w:tcW w:w="1710" w:type="dxa"/>
          </w:tcPr>
          <w:p w14:paraId="2ED1D0F2" w14:textId="43C323B6"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22.7%</w:t>
            </w:r>
          </w:p>
        </w:tc>
      </w:tr>
      <w:tr w:rsidR="00A53E84" w:rsidRPr="00A53E84" w14:paraId="33FC1F49" w14:textId="4DF641D3" w:rsidTr="00A53E84">
        <w:tc>
          <w:tcPr>
            <w:tcW w:w="2376" w:type="dxa"/>
          </w:tcPr>
          <w:p w14:paraId="1ABC0EEA" w14:textId="500A5F90"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GERD</w:t>
            </w:r>
          </w:p>
        </w:tc>
        <w:tc>
          <w:tcPr>
            <w:tcW w:w="2552" w:type="dxa"/>
          </w:tcPr>
          <w:p w14:paraId="3B94F1DD" w14:textId="3900F439"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1.7%</w:t>
            </w:r>
          </w:p>
        </w:tc>
        <w:tc>
          <w:tcPr>
            <w:tcW w:w="2082" w:type="dxa"/>
          </w:tcPr>
          <w:p w14:paraId="5C0F705E" w14:textId="74A61189"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0.3%</w:t>
            </w:r>
          </w:p>
        </w:tc>
        <w:tc>
          <w:tcPr>
            <w:tcW w:w="1710" w:type="dxa"/>
          </w:tcPr>
          <w:p w14:paraId="5756B21E" w14:textId="21FBA50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1.9%</w:t>
            </w:r>
          </w:p>
        </w:tc>
      </w:tr>
      <w:tr w:rsidR="00A53E84" w:rsidRPr="00A53E84" w14:paraId="2954DD55" w14:textId="089E135F" w:rsidTr="00A53E84">
        <w:tc>
          <w:tcPr>
            <w:tcW w:w="2376" w:type="dxa"/>
          </w:tcPr>
          <w:p w14:paraId="6A490D0E" w14:textId="7B481E68"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Vomiting</w:t>
            </w:r>
          </w:p>
        </w:tc>
        <w:tc>
          <w:tcPr>
            <w:tcW w:w="2552" w:type="dxa"/>
          </w:tcPr>
          <w:p w14:paraId="0F86D49D" w14:textId="18C3650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3.8%</w:t>
            </w:r>
          </w:p>
        </w:tc>
        <w:tc>
          <w:tcPr>
            <w:tcW w:w="2082" w:type="dxa"/>
          </w:tcPr>
          <w:p w14:paraId="42974E8C" w14:textId="1B08ABD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1.5%</w:t>
            </w:r>
          </w:p>
        </w:tc>
        <w:tc>
          <w:tcPr>
            <w:tcW w:w="1710" w:type="dxa"/>
          </w:tcPr>
          <w:p w14:paraId="41AD1D96" w14:textId="36B63F10"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3.6%</w:t>
            </w:r>
          </w:p>
        </w:tc>
      </w:tr>
      <w:tr w:rsidR="00A53E84" w:rsidRPr="00A53E84" w14:paraId="783D48B1" w14:textId="3C395CB2" w:rsidTr="00A53E84">
        <w:tc>
          <w:tcPr>
            <w:tcW w:w="2376" w:type="dxa"/>
          </w:tcPr>
          <w:p w14:paraId="37BBD78D" w14:textId="3359CCB9"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Nasopharyngitis</w:t>
            </w:r>
          </w:p>
        </w:tc>
        <w:tc>
          <w:tcPr>
            <w:tcW w:w="2552" w:type="dxa"/>
          </w:tcPr>
          <w:p w14:paraId="3C49159D" w14:textId="170FAB4D"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13.1%</w:t>
            </w:r>
          </w:p>
        </w:tc>
        <w:tc>
          <w:tcPr>
            <w:tcW w:w="2082" w:type="dxa"/>
          </w:tcPr>
          <w:p w14:paraId="5ACEF642" w14:textId="4F2B777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2.3%</w:t>
            </w:r>
          </w:p>
        </w:tc>
        <w:tc>
          <w:tcPr>
            <w:tcW w:w="1710" w:type="dxa"/>
          </w:tcPr>
          <w:p w14:paraId="50CA3417" w14:textId="51942AC3"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8.7%</w:t>
            </w:r>
          </w:p>
        </w:tc>
      </w:tr>
      <w:tr w:rsidR="00A53E84" w:rsidRPr="00A53E84" w14:paraId="0F4E11E8" w14:textId="37A11915" w:rsidTr="00A53E84">
        <w:tc>
          <w:tcPr>
            <w:tcW w:w="2376" w:type="dxa"/>
          </w:tcPr>
          <w:p w14:paraId="621AB58B" w14:textId="7FA5FB0B"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Viral infection</w:t>
            </w:r>
          </w:p>
        </w:tc>
        <w:tc>
          <w:tcPr>
            <w:tcW w:w="2552" w:type="dxa"/>
          </w:tcPr>
          <w:p w14:paraId="35B39074" w14:textId="1D9CC1CB"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5.8%</w:t>
            </w:r>
          </w:p>
        </w:tc>
        <w:tc>
          <w:tcPr>
            <w:tcW w:w="2082" w:type="dxa"/>
          </w:tcPr>
          <w:p w14:paraId="44B98EC1" w14:textId="21C358B2"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1.5%</w:t>
            </w:r>
          </w:p>
        </w:tc>
        <w:tc>
          <w:tcPr>
            <w:tcW w:w="1710" w:type="dxa"/>
          </w:tcPr>
          <w:p w14:paraId="1DA64913" w14:textId="5E2E773C"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7.4%</w:t>
            </w:r>
          </w:p>
        </w:tc>
      </w:tr>
      <w:tr w:rsidR="00A53E84" w:rsidRPr="00A53E84" w14:paraId="491F1C26" w14:textId="074E63DD" w:rsidTr="00A53E84">
        <w:tc>
          <w:tcPr>
            <w:tcW w:w="2376" w:type="dxa"/>
          </w:tcPr>
          <w:p w14:paraId="4111A701" w14:textId="3A4BFDC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Chest Pain</w:t>
            </w:r>
          </w:p>
        </w:tc>
        <w:tc>
          <w:tcPr>
            <w:tcW w:w="2552" w:type="dxa"/>
          </w:tcPr>
          <w:p w14:paraId="5D40B444" w14:textId="1053187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2.2%</w:t>
            </w:r>
          </w:p>
        </w:tc>
        <w:tc>
          <w:tcPr>
            <w:tcW w:w="2082" w:type="dxa"/>
          </w:tcPr>
          <w:p w14:paraId="16508BEB" w14:textId="5EDDE238"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1.3%</w:t>
            </w:r>
          </w:p>
        </w:tc>
        <w:tc>
          <w:tcPr>
            <w:tcW w:w="1710" w:type="dxa"/>
          </w:tcPr>
          <w:p w14:paraId="2B146979" w14:textId="013C7483"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3.6%</w:t>
            </w:r>
          </w:p>
        </w:tc>
      </w:tr>
      <w:tr w:rsidR="00A53E84" w:rsidRPr="00A53E84" w14:paraId="792CAD67" w14:textId="3E8A3A3C" w:rsidTr="00A53E84">
        <w:tc>
          <w:tcPr>
            <w:tcW w:w="2376" w:type="dxa"/>
          </w:tcPr>
          <w:p w14:paraId="4987CBCD" w14:textId="6559D772"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Soft tissue injury</w:t>
            </w:r>
          </w:p>
        </w:tc>
        <w:tc>
          <w:tcPr>
            <w:tcW w:w="2552" w:type="dxa"/>
          </w:tcPr>
          <w:p w14:paraId="79A243D2" w14:textId="3AAA73A9"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7.5%</w:t>
            </w:r>
          </w:p>
        </w:tc>
        <w:tc>
          <w:tcPr>
            <w:tcW w:w="2082" w:type="dxa"/>
          </w:tcPr>
          <w:p w14:paraId="6110D303" w14:textId="3823F56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0%</w:t>
            </w:r>
          </w:p>
        </w:tc>
        <w:tc>
          <w:tcPr>
            <w:tcW w:w="1710" w:type="dxa"/>
          </w:tcPr>
          <w:p w14:paraId="5D7C0084" w14:textId="568B7166"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6.1%</w:t>
            </w:r>
          </w:p>
        </w:tc>
      </w:tr>
      <w:tr w:rsidR="00A53E84" w:rsidRPr="00A53E84" w14:paraId="2EAFA4B7" w14:textId="783C8918" w:rsidTr="00A53E84">
        <w:tc>
          <w:tcPr>
            <w:tcW w:w="2376" w:type="dxa"/>
          </w:tcPr>
          <w:p w14:paraId="4205465F" w14:textId="57E8E40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Arthralgia</w:t>
            </w:r>
          </w:p>
        </w:tc>
        <w:tc>
          <w:tcPr>
            <w:tcW w:w="2552" w:type="dxa"/>
          </w:tcPr>
          <w:p w14:paraId="5F699163" w14:textId="1C804D97"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7.4%</w:t>
            </w:r>
          </w:p>
        </w:tc>
        <w:tc>
          <w:tcPr>
            <w:tcW w:w="2082" w:type="dxa"/>
          </w:tcPr>
          <w:p w14:paraId="6FFB6BDD" w14:textId="012D4F0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3.8%</w:t>
            </w:r>
          </w:p>
        </w:tc>
        <w:tc>
          <w:tcPr>
            <w:tcW w:w="1710" w:type="dxa"/>
          </w:tcPr>
          <w:p w14:paraId="1B65E284" w14:textId="423EA49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9.7%</w:t>
            </w:r>
          </w:p>
        </w:tc>
      </w:tr>
      <w:tr w:rsidR="00A53E84" w:rsidRPr="00A53E84" w14:paraId="37E764C1" w14:textId="698E0110" w:rsidTr="00A53E84">
        <w:tc>
          <w:tcPr>
            <w:tcW w:w="2376" w:type="dxa"/>
          </w:tcPr>
          <w:p w14:paraId="234ED441" w14:textId="45646663"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Back Pain</w:t>
            </w:r>
          </w:p>
        </w:tc>
        <w:tc>
          <w:tcPr>
            <w:tcW w:w="2552" w:type="dxa"/>
          </w:tcPr>
          <w:p w14:paraId="223177F0" w14:textId="37B8C9CB"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14.1%</w:t>
            </w:r>
          </w:p>
        </w:tc>
        <w:tc>
          <w:tcPr>
            <w:tcW w:w="2082" w:type="dxa"/>
          </w:tcPr>
          <w:p w14:paraId="5ED3001D" w14:textId="472244D1"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6.6%</w:t>
            </w:r>
          </w:p>
        </w:tc>
        <w:tc>
          <w:tcPr>
            <w:tcW w:w="1710" w:type="dxa"/>
          </w:tcPr>
          <w:p w14:paraId="5FB82EC7" w14:textId="08B6D820"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13.3%</w:t>
            </w:r>
          </w:p>
        </w:tc>
      </w:tr>
      <w:tr w:rsidR="00A53E84" w:rsidRPr="00A53E84" w14:paraId="45BA0336" w14:textId="020D92A3" w:rsidTr="00A53E84">
        <w:tc>
          <w:tcPr>
            <w:tcW w:w="2376" w:type="dxa"/>
          </w:tcPr>
          <w:p w14:paraId="43111F7F" w14:textId="07CBC0EC"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Lethargy</w:t>
            </w:r>
          </w:p>
        </w:tc>
        <w:tc>
          <w:tcPr>
            <w:tcW w:w="2552" w:type="dxa"/>
          </w:tcPr>
          <w:p w14:paraId="02F22DBF" w14:textId="2EB4C5BF"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2.9%</w:t>
            </w:r>
          </w:p>
        </w:tc>
        <w:tc>
          <w:tcPr>
            <w:tcW w:w="2082" w:type="dxa"/>
          </w:tcPr>
          <w:p w14:paraId="1FD1AD5D" w14:textId="68130A13"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0%</w:t>
            </w:r>
          </w:p>
        </w:tc>
        <w:tc>
          <w:tcPr>
            <w:tcW w:w="1710" w:type="dxa"/>
          </w:tcPr>
          <w:p w14:paraId="49F48C5F" w14:textId="3D766500"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3.6%</w:t>
            </w:r>
          </w:p>
        </w:tc>
      </w:tr>
      <w:tr w:rsidR="00A53E84" w:rsidRPr="00A53E84" w14:paraId="2D883847" w14:textId="52F98CC0" w:rsidTr="00A53E84">
        <w:tc>
          <w:tcPr>
            <w:tcW w:w="2376" w:type="dxa"/>
          </w:tcPr>
          <w:p w14:paraId="0C19FB46" w14:textId="5DBF1E53"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Insomnia</w:t>
            </w:r>
          </w:p>
        </w:tc>
        <w:tc>
          <w:tcPr>
            <w:tcW w:w="2552" w:type="dxa"/>
          </w:tcPr>
          <w:p w14:paraId="5BC958F0" w14:textId="07FB4F51"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1.2%</w:t>
            </w:r>
          </w:p>
        </w:tc>
        <w:tc>
          <w:tcPr>
            <w:tcW w:w="2082" w:type="dxa"/>
          </w:tcPr>
          <w:p w14:paraId="5665C4FB" w14:textId="4F1E95E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0.8%</w:t>
            </w:r>
          </w:p>
        </w:tc>
        <w:tc>
          <w:tcPr>
            <w:tcW w:w="1710" w:type="dxa"/>
          </w:tcPr>
          <w:p w14:paraId="1942AA33" w14:textId="63691FE5"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0.3%</w:t>
            </w:r>
          </w:p>
        </w:tc>
      </w:tr>
      <w:tr w:rsidR="00A53E84" w:rsidRPr="00A53E84" w14:paraId="26845A22" w14:textId="205199CC" w:rsidTr="00A53E84">
        <w:tc>
          <w:tcPr>
            <w:tcW w:w="2376" w:type="dxa"/>
          </w:tcPr>
          <w:p w14:paraId="5DE3B5C9" w14:textId="4A99858E"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Heat Rash</w:t>
            </w:r>
          </w:p>
        </w:tc>
        <w:tc>
          <w:tcPr>
            <w:tcW w:w="2552" w:type="dxa"/>
          </w:tcPr>
          <w:p w14:paraId="03C1D07E" w14:textId="7EA57053"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6.4%</w:t>
            </w:r>
          </w:p>
        </w:tc>
        <w:tc>
          <w:tcPr>
            <w:tcW w:w="2082" w:type="dxa"/>
          </w:tcPr>
          <w:p w14:paraId="3D68178A" w14:textId="2BD314E4"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0%</w:t>
            </w:r>
          </w:p>
        </w:tc>
        <w:tc>
          <w:tcPr>
            <w:tcW w:w="1710" w:type="dxa"/>
          </w:tcPr>
          <w:p w14:paraId="5D5BD196" w14:textId="5BD548AA"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5.8%</w:t>
            </w:r>
          </w:p>
        </w:tc>
      </w:tr>
      <w:tr w:rsidR="00A53E84" w:rsidRPr="00A53E84" w14:paraId="3EC55EBB" w14:textId="738910F1" w:rsidTr="00A53E84">
        <w:tc>
          <w:tcPr>
            <w:tcW w:w="2376" w:type="dxa"/>
          </w:tcPr>
          <w:p w14:paraId="3E82A0BF" w14:textId="7585DA22"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Rash</w:t>
            </w:r>
          </w:p>
        </w:tc>
        <w:tc>
          <w:tcPr>
            <w:tcW w:w="2552" w:type="dxa"/>
          </w:tcPr>
          <w:p w14:paraId="345D836C" w14:textId="2B0E3EF1"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3.0%</w:t>
            </w:r>
          </w:p>
        </w:tc>
        <w:tc>
          <w:tcPr>
            <w:tcW w:w="2082" w:type="dxa"/>
          </w:tcPr>
          <w:p w14:paraId="02879D61" w14:textId="5C916F4D"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0.5%</w:t>
            </w:r>
          </w:p>
        </w:tc>
        <w:tc>
          <w:tcPr>
            <w:tcW w:w="1710" w:type="dxa"/>
          </w:tcPr>
          <w:p w14:paraId="27AD4F3B" w14:textId="5267CF50" w:rsidR="00A53E84" w:rsidRPr="00A53E84" w:rsidRDefault="00A53E84" w:rsidP="00B84B23">
            <w:pPr>
              <w:pStyle w:val="C-BodyText"/>
              <w:spacing w:line="240" w:lineRule="auto"/>
              <w:rPr>
                <w:rFonts w:asciiTheme="minorHAnsi" w:hAnsiTheme="minorHAnsi"/>
                <w:sz w:val="20"/>
                <w:szCs w:val="20"/>
              </w:rPr>
            </w:pPr>
            <w:r w:rsidRPr="00A53E84">
              <w:rPr>
                <w:rFonts w:asciiTheme="minorHAnsi" w:hAnsiTheme="minorHAnsi"/>
                <w:sz w:val="20"/>
                <w:szCs w:val="20"/>
              </w:rPr>
              <w:t>2.3%</w:t>
            </w:r>
          </w:p>
        </w:tc>
      </w:tr>
    </w:tbl>
    <w:p w14:paraId="34D003AD" w14:textId="016EA696" w:rsidR="0082067D" w:rsidRDefault="0082067D" w:rsidP="00A53E84">
      <w:r>
        <w:lastRenderedPageBreak/>
        <w:t>Note that in ACR studies, k</w:t>
      </w:r>
      <w:r w:rsidRPr="00C922F6">
        <w:t xml:space="preserve">eratopathy was documented as AE in </w:t>
      </w:r>
      <w:r w:rsidR="00A53E84">
        <w:t>S</w:t>
      </w:r>
      <w:r w:rsidRPr="00C922F6">
        <w:t>tudy 033 only.</w:t>
      </w:r>
      <w:r>
        <w:t xml:space="preserve"> A</w:t>
      </w:r>
      <w:r w:rsidR="005F43CE">
        <w:t> </w:t>
      </w:r>
      <w:r>
        <w:t>summary of ophthalmic AEs in ACR dataset is as follows</w:t>
      </w:r>
      <w:r w:rsidR="006D2C04">
        <w:t xml:space="preserve"> in Table 37</w:t>
      </w:r>
      <w:r w:rsidR="005F43CE">
        <w:t>.</w:t>
      </w:r>
    </w:p>
    <w:p w14:paraId="2B29D239" w14:textId="5A7A463D" w:rsidR="00A53E84" w:rsidRDefault="00A53E84" w:rsidP="00A53E84">
      <w:pPr>
        <w:pStyle w:val="TableTitle"/>
      </w:pPr>
      <w:r>
        <w:t xml:space="preserve">Table </w:t>
      </w:r>
      <w:r w:rsidR="006D2C04">
        <w:t>37</w:t>
      </w:r>
      <w:r>
        <w:t>: Summary of ophthalmologic adverse events tafenoquine ACR group versus placebo and mefloquine</w:t>
      </w:r>
    </w:p>
    <w:p w14:paraId="7E72AE65" w14:textId="7CE433B5" w:rsidR="0082067D" w:rsidRDefault="0082067D" w:rsidP="00A53E84">
      <w:r>
        <w:rPr>
          <w:noProof/>
          <w:lang w:eastAsia="en-AU"/>
        </w:rPr>
        <w:drawing>
          <wp:inline distT="0" distB="0" distL="0" distR="0" wp14:anchorId="398CAC21" wp14:editId="64B45071">
            <wp:extent cx="4372619" cy="2791426"/>
            <wp:effectExtent l="0" t="0" r="0" b="9525"/>
            <wp:docPr id="13" name="Picture 13" descr="Summary of ophthalmologic adverse events tafenoquine ACR group versus placebo and meflo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6AA3.tmp"/>
                    <pic:cNvPicPr/>
                  </pic:nvPicPr>
                  <pic:blipFill rotWithShape="1">
                    <a:blip r:embed="rId50">
                      <a:extLst>
                        <a:ext uri="{28A0092B-C50C-407E-A947-70E740481C1C}">
                          <a14:useLocalDpi xmlns:a14="http://schemas.microsoft.com/office/drawing/2010/main" val="0"/>
                        </a:ext>
                      </a:extLst>
                    </a:blip>
                    <a:srcRect t="8626"/>
                    <a:stretch/>
                  </pic:blipFill>
                  <pic:spPr bwMode="auto">
                    <a:xfrm>
                      <a:off x="0" y="0"/>
                      <a:ext cx="4387084" cy="2800661"/>
                    </a:xfrm>
                    <a:prstGeom prst="rect">
                      <a:avLst/>
                    </a:prstGeom>
                    <a:ln>
                      <a:noFill/>
                    </a:ln>
                    <a:extLst>
                      <a:ext uri="{53640926-AAD7-44D8-BBD7-CCE9431645EC}">
                        <a14:shadowObscured xmlns:a14="http://schemas.microsoft.com/office/drawing/2010/main"/>
                      </a:ext>
                    </a:extLst>
                  </pic:spPr>
                </pic:pic>
              </a:graphicData>
            </a:graphic>
          </wp:inline>
        </w:drawing>
      </w:r>
    </w:p>
    <w:p w14:paraId="109942CB" w14:textId="42769ABA" w:rsidR="0082067D" w:rsidRDefault="0082067D" w:rsidP="00A53E84">
      <w:r>
        <w:t>The incidence of haemoglobin decrease, haemolytic anaemia and met</w:t>
      </w:r>
      <w:r w:rsidR="00F900F9">
        <w:t>haemoglobin</w:t>
      </w:r>
      <w:r>
        <w:t xml:space="preserve"> in </w:t>
      </w:r>
      <w:r w:rsidR="00C312D1">
        <w:t>tafenoquine</w:t>
      </w:r>
      <w:r>
        <w:t xml:space="preserve"> ACR population was higher than in placebo subjects indicative of a causal effect</w:t>
      </w:r>
      <w:r w:rsidR="00A53E84">
        <w:t xml:space="preserve"> (Table </w:t>
      </w:r>
      <w:r w:rsidR="006D2C04">
        <w:t>38</w:t>
      </w:r>
      <w:r w:rsidR="00A53E84">
        <w:t>)</w:t>
      </w:r>
      <w:r w:rsidR="005F43CE">
        <w:t>.</w:t>
      </w:r>
    </w:p>
    <w:p w14:paraId="62A42103" w14:textId="5B1AAC3B" w:rsidR="00A53E84" w:rsidRDefault="00A53E84" w:rsidP="00A53E84">
      <w:pPr>
        <w:pStyle w:val="TableTitle"/>
      </w:pPr>
      <w:r>
        <w:t xml:space="preserve">Table </w:t>
      </w:r>
      <w:r w:rsidR="006D2C04">
        <w:t>38</w:t>
      </w:r>
      <w:r>
        <w:t>: Incidence of specific haematological findings tafenoquine ACR group versus placebo</w:t>
      </w:r>
    </w:p>
    <w:p w14:paraId="4D9363EE" w14:textId="34F0FA27" w:rsidR="0082067D" w:rsidRDefault="0082067D" w:rsidP="00A53E84">
      <w:r>
        <w:rPr>
          <w:noProof/>
          <w:lang w:eastAsia="en-AU"/>
        </w:rPr>
        <w:drawing>
          <wp:inline distT="0" distB="0" distL="0" distR="0" wp14:anchorId="747EF2D0" wp14:editId="6793319A">
            <wp:extent cx="4141193" cy="2118111"/>
            <wp:effectExtent l="0" t="0" r="0" b="0"/>
            <wp:docPr id="15" name="Picture 15" descr="Incidence of specific haematological findings tafenoquine ACR group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2663.tmp"/>
                    <pic:cNvPicPr/>
                  </pic:nvPicPr>
                  <pic:blipFill rotWithShape="1">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t="11628"/>
                    <a:stretch/>
                  </pic:blipFill>
                  <pic:spPr bwMode="auto">
                    <a:xfrm>
                      <a:off x="0" y="0"/>
                      <a:ext cx="4156413" cy="2125896"/>
                    </a:xfrm>
                    <a:prstGeom prst="rect">
                      <a:avLst/>
                    </a:prstGeom>
                    <a:ln>
                      <a:noFill/>
                    </a:ln>
                    <a:extLst>
                      <a:ext uri="{53640926-AAD7-44D8-BBD7-CCE9431645EC}">
                        <a14:shadowObscured xmlns:a14="http://schemas.microsoft.com/office/drawing/2010/main"/>
                      </a:ext>
                    </a:extLst>
                  </pic:spPr>
                </pic:pic>
              </a:graphicData>
            </a:graphic>
          </wp:inline>
        </w:drawing>
      </w:r>
    </w:p>
    <w:p w14:paraId="2A6D7442" w14:textId="7E9ABF7A" w:rsidR="0082067D" w:rsidRDefault="0082067D" w:rsidP="00A53E84">
      <w:r w:rsidRPr="00713593">
        <w:t xml:space="preserve">Once it was identified that </w:t>
      </w:r>
      <w:r w:rsidR="00994561">
        <w:t>mefloquine</w:t>
      </w:r>
      <w:r w:rsidRPr="00713593">
        <w:t xml:space="preserve"> carried a risk for psychiatric AEs, any </w:t>
      </w:r>
      <w:r w:rsidR="00C312D1">
        <w:t>tafenoquine</w:t>
      </w:r>
      <w:r w:rsidRPr="00713593">
        <w:t xml:space="preserve"> trial with a </w:t>
      </w:r>
      <w:r w:rsidR="00994561">
        <w:t>mefloquine</w:t>
      </w:r>
      <w:r>
        <w:t xml:space="preserve"> comparator required</w:t>
      </w:r>
      <w:r w:rsidRPr="00713593">
        <w:t xml:space="preserve"> a psychiatric exclusion. There were 6 subjects with known or suspected psychiatric history at baseline among 21 clinical trials of </w:t>
      </w:r>
      <w:r w:rsidR="00C312D1">
        <w:t>tafenoquine</w:t>
      </w:r>
      <w:r w:rsidRPr="00713593">
        <w:t xml:space="preserve"> prior to 2013. Four of these subjects experienced neuropsychiatric AEs. In addition, one episode of psychosis in </w:t>
      </w:r>
      <w:r w:rsidR="00C312D1">
        <w:t>tafenoquine</w:t>
      </w:r>
      <w:r w:rsidRPr="00713593">
        <w:t xml:space="preserve"> subject was reported in a subject with an undisclosed history of prior psychiatric admissions. A summary of neuropsychiatric AEs in the ACR dataset is as follows</w:t>
      </w:r>
      <w:r w:rsidR="00C7507A">
        <w:t xml:space="preserve"> (Table </w:t>
      </w:r>
      <w:r w:rsidR="006D2C04">
        <w:t>39</w:t>
      </w:r>
      <w:r w:rsidR="00C7507A">
        <w:t>)</w:t>
      </w:r>
      <w:r w:rsidR="005F43CE">
        <w:t>.</w:t>
      </w:r>
    </w:p>
    <w:p w14:paraId="4411D6CD" w14:textId="11B0A130" w:rsidR="00C7507A" w:rsidRPr="00713593" w:rsidRDefault="00C7507A" w:rsidP="00C7507A">
      <w:pPr>
        <w:pStyle w:val="TableTitle"/>
      </w:pPr>
      <w:r>
        <w:lastRenderedPageBreak/>
        <w:t xml:space="preserve">Table </w:t>
      </w:r>
      <w:r w:rsidR="006D2C04">
        <w:t>39</w:t>
      </w:r>
      <w:r>
        <w:t>: S</w:t>
      </w:r>
      <w:r w:rsidRPr="00713593">
        <w:t>ummary of neuropsychiatric AEs in the ACR datase</w:t>
      </w:r>
      <w:r>
        <w:t>t tafenoquine versus placebo and mefloquine</w:t>
      </w:r>
    </w:p>
    <w:p w14:paraId="7B6A539B" w14:textId="46A02A31" w:rsidR="0082067D" w:rsidRDefault="00C7507A" w:rsidP="00C7507A">
      <w:pPr>
        <w:rPr>
          <w:sz w:val="16"/>
          <w:szCs w:val="16"/>
        </w:rPr>
      </w:pPr>
      <w:r>
        <w:rPr>
          <w:noProof/>
          <w:lang w:eastAsia="en-AU"/>
        </w:rPr>
        <w:drawing>
          <wp:inline distT="0" distB="0" distL="0" distR="0" wp14:anchorId="44D44A0F" wp14:editId="5ED8C0FE">
            <wp:extent cx="4276165" cy="4461442"/>
            <wp:effectExtent l="0" t="0" r="0" b="0"/>
            <wp:docPr id="39" name="Picture 39" descr="Summary of neuropsychiatric AEs in the ACR dataset tafenoquine versus placebo and meflo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Lst>
                    </a:blip>
                    <a:srcRect t="1611" b="1380"/>
                    <a:stretch/>
                  </pic:blipFill>
                  <pic:spPr bwMode="auto">
                    <a:xfrm>
                      <a:off x="0" y="0"/>
                      <a:ext cx="4285585" cy="4471270"/>
                    </a:xfrm>
                    <a:prstGeom prst="rect">
                      <a:avLst/>
                    </a:prstGeom>
                    <a:ln>
                      <a:noFill/>
                    </a:ln>
                    <a:extLst>
                      <a:ext uri="{53640926-AAD7-44D8-BBD7-CCE9431645EC}">
                        <a14:shadowObscured xmlns:a14="http://schemas.microsoft.com/office/drawing/2010/main"/>
                      </a:ext>
                    </a:extLst>
                  </pic:spPr>
                </pic:pic>
              </a:graphicData>
            </a:graphic>
          </wp:inline>
        </w:drawing>
      </w:r>
    </w:p>
    <w:p w14:paraId="3916590B" w14:textId="4D34F20B" w:rsidR="00C7507A" w:rsidRDefault="0082067D" w:rsidP="00C7507A">
      <w:r>
        <w:t>A summary of laboratory investigation in the ACR dataset is as follows</w:t>
      </w:r>
      <w:r w:rsidR="0055454D">
        <w:t xml:space="preserve"> (Table </w:t>
      </w:r>
      <w:r w:rsidR="006D2C04">
        <w:t>40</w:t>
      </w:r>
      <w:r w:rsidR="00C7507A">
        <w:t>)</w:t>
      </w:r>
      <w:r w:rsidR="005F43CE">
        <w:t>.</w:t>
      </w:r>
    </w:p>
    <w:p w14:paraId="2962DF07" w14:textId="03367321" w:rsidR="0082067D" w:rsidRDefault="00C7507A" w:rsidP="00C7507A">
      <w:pPr>
        <w:pStyle w:val="TableTitle"/>
      </w:pPr>
      <w:r>
        <w:lastRenderedPageBreak/>
        <w:t xml:space="preserve">Table </w:t>
      </w:r>
      <w:r w:rsidR="006D2C04">
        <w:t>40</w:t>
      </w:r>
      <w:r>
        <w:t>: Laboratory investigation in the ACR dataset</w:t>
      </w:r>
    </w:p>
    <w:p w14:paraId="5112D5D3" w14:textId="49517E45" w:rsidR="00C7507A" w:rsidRDefault="00C7507A" w:rsidP="003C1292">
      <w:r>
        <w:rPr>
          <w:noProof/>
          <w:lang w:eastAsia="en-AU"/>
        </w:rPr>
        <w:drawing>
          <wp:inline distT="0" distB="0" distL="0" distR="0" wp14:anchorId="290A3283" wp14:editId="23610B3F">
            <wp:extent cx="4242547" cy="4163226"/>
            <wp:effectExtent l="0" t="0" r="5715" b="8890"/>
            <wp:docPr id="40" name="Picture 40" descr="Laboratory investigation in the ACR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4244036" cy="4164687"/>
                    </a:xfrm>
                    <a:prstGeom prst="rect">
                      <a:avLst/>
                    </a:prstGeom>
                  </pic:spPr>
                </pic:pic>
              </a:graphicData>
            </a:graphic>
          </wp:inline>
        </w:drawing>
      </w:r>
    </w:p>
    <w:p w14:paraId="5AA1E807" w14:textId="5AEB7860" w:rsidR="0082067D" w:rsidRDefault="0082067D" w:rsidP="00C7507A">
      <w:r>
        <w:t>One death has been reported in the ACR dataset (</w:t>
      </w:r>
      <w:r w:rsidR="005F43CE">
        <w:t>S</w:t>
      </w:r>
      <w:r>
        <w:t>tudy 045) but was not considered study drug-related.</w:t>
      </w:r>
    </w:p>
    <w:p w14:paraId="104F2F5C" w14:textId="45456CED" w:rsidR="0082067D" w:rsidRPr="00C97D55" w:rsidRDefault="0082067D" w:rsidP="00C73D8C">
      <w:r w:rsidRPr="006D2C04">
        <w:t xml:space="preserve">The safety outcomes reported in </w:t>
      </w:r>
      <w:r w:rsidR="00C7507A" w:rsidRPr="006D2C04">
        <w:t>S</w:t>
      </w:r>
      <w:r w:rsidRPr="006D2C04">
        <w:t xml:space="preserve">tudy 033 are of most interest for direct comparison of </w:t>
      </w:r>
      <w:r w:rsidR="00C312D1" w:rsidRPr="003D364B">
        <w:t>tafenoquine</w:t>
      </w:r>
      <w:r w:rsidRPr="007D3257">
        <w:t xml:space="preserve"> with </w:t>
      </w:r>
      <w:r w:rsidR="00994561" w:rsidRPr="0029173B">
        <w:t>mefloquine</w:t>
      </w:r>
      <w:r w:rsidRPr="0029173B">
        <w:t xml:space="preserve">. The AEs reported in </w:t>
      </w:r>
      <w:r w:rsidR="00C7507A" w:rsidRPr="00C97D55">
        <w:t>S</w:t>
      </w:r>
      <w:r w:rsidRPr="00C97D55">
        <w:t>tudy 033 during prophylactic phase were as follows</w:t>
      </w:r>
      <w:r w:rsidR="005F43CE" w:rsidRPr="00C97D55">
        <w:t>.</w:t>
      </w:r>
    </w:p>
    <w:p w14:paraId="48D89598" w14:textId="13709A77" w:rsidR="00C7507A" w:rsidRDefault="00C7507A" w:rsidP="00C7507A">
      <w:pPr>
        <w:pStyle w:val="TableTitle"/>
      </w:pPr>
      <w:r>
        <w:t xml:space="preserve">Table </w:t>
      </w:r>
      <w:r w:rsidR="006D2C04">
        <w:t>41</w:t>
      </w:r>
      <w:r>
        <w:t>: Number (%) of subjects with the most frequently reported adverse events (greater than or equal to 5% of subjects in either treatment group) during prophylactic phase</w:t>
      </w:r>
      <w:r w:rsidR="006D2C04">
        <w:t>;</w:t>
      </w:r>
      <w:r>
        <w:t xml:space="preserve"> Safety population</w:t>
      </w:r>
    </w:p>
    <w:p w14:paraId="37EFB266" w14:textId="140249EE" w:rsidR="0082067D" w:rsidRDefault="0082067D" w:rsidP="00C7507A">
      <w:r>
        <w:rPr>
          <w:noProof/>
          <w:lang w:eastAsia="en-AU"/>
        </w:rPr>
        <w:drawing>
          <wp:inline distT="0" distB="0" distL="0" distR="0" wp14:anchorId="54EF2BF4" wp14:editId="76760B80">
            <wp:extent cx="3980733" cy="2515174"/>
            <wp:effectExtent l="0" t="0" r="1270" b="0"/>
            <wp:docPr id="1" name="Picture 1" descr="Number (%) of subjects with the most frequently reported adverse events (greater than or equal to 5% of subjects in either treatment group) during prophylactic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72E5.tmp"/>
                    <pic:cNvPicPr/>
                  </pic:nvPicPr>
                  <pic:blipFill rotWithShape="1">
                    <a:blip r:embed="rId57">
                      <a:extLst>
                        <a:ext uri="{28A0092B-C50C-407E-A947-70E740481C1C}">
                          <a14:useLocalDpi xmlns:a14="http://schemas.microsoft.com/office/drawing/2010/main" val="0"/>
                        </a:ext>
                      </a:extLst>
                    </a:blip>
                    <a:srcRect t="12235"/>
                    <a:stretch/>
                  </pic:blipFill>
                  <pic:spPr bwMode="auto">
                    <a:xfrm>
                      <a:off x="0" y="0"/>
                      <a:ext cx="3992395" cy="2522542"/>
                    </a:xfrm>
                    <a:prstGeom prst="rect">
                      <a:avLst/>
                    </a:prstGeom>
                    <a:ln>
                      <a:noFill/>
                    </a:ln>
                    <a:extLst>
                      <a:ext uri="{53640926-AAD7-44D8-BBD7-CCE9431645EC}">
                        <a14:shadowObscured xmlns:a14="http://schemas.microsoft.com/office/drawing/2010/main"/>
                      </a:ext>
                    </a:extLst>
                  </pic:spPr>
                </pic:pic>
              </a:graphicData>
            </a:graphic>
          </wp:inline>
        </w:drawing>
      </w:r>
    </w:p>
    <w:p w14:paraId="019BC628" w14:textId="69580D5B" w:rsidR="0082067D" w:rsidRDefault="0082067D" w:rsidP="0082067D">
      <w:pPr>
        <w:pStyle w:val="C-BodyText"/>
        <w:spacing w:line="240" w:lineRule="auto"/>
        <w:jc w:val="both"/>
        <w:rPr>
          <w:rFonts w:ascii="Cambria" w:hAnsi="Cambria"/>
        </w:rPr>
      </w:pPr>
      <w:r>
        <w:rPr>
          <w:rFonts w:ascii="Cambria" w:hAnsi="Cambria"/>
        </w:rPr>
        <w:t xml:space="preserve">The AEs reported in </w:t>
      </w:r>
      <w:r w:rsidR="0012561C">
        <w:rPr>
          <w:rFonts w:ascii="Cambria" w:hAnsi="Cambria"/>
        </w:rPr>
        <w:t>S</w:t>
      </w:r>
      <w:r>
        <w:rPr>
          <w:rFonts w:ascii="Cambria" w:hAnsi="Cambria"/>
        </w:rPr>
        <w:t>tudy 033 during relapse follow-up phase were as follows</w:t>
      </w:r>
      <w:r w:rsidR="0012561C">
        <w:rPr>
          <w:rFonts w:ascii="Cambria" w:hAnsi="Cambria"/>
        </w:rPr>
        <w:t xml:space="preserve"> (Table </w:t>
      </w:r>
      <w:r w:rsidR="0055454D">
        <w:rPr>
          <w:rFonts w:ascii="Cambria" w:hAnsi="Cambria"/>
        </w:rPr>
        <w:t>4</w:t>
      </w:r>
      <w:r w:rsidR="00DB15EE">
        <w:rPr>
          <w:rFonts w:ascii="Cambria" w:hAnsi="Cambria"/>
        </w:rPr>
        <w:t>2</w:t>
      </w:r>
      <w:r w:rsidR="0012561C">
        <w:rPr>
          <w:rFonts w:ascii="Cambria" w:hAnsi="Cambria"/>
        </w:rPr>
        <w:t>)</w:t>
      </w:r>
      <w:r w:rsidR="005F43CE">
        <w:rPr>
          <w:rFonts w:ascii="Cambria" w:hAnsi="Cambria"/>
        </w:rPr>
        <w:t>.</w:t>
      </w:r>
    </w:p>
    <w:p w14:paraId="500D8A80" w14:textId="48E07F8C" w:rsidR="0012561C" w:rsidRDefault="0012561C" w:rsidP="0012561C">
      <w:pPr>
        <w:pStyle w:val="TableTitle"/>
      </w:pPr>
      <w:r>
        <w:lastRenderedPageBreak/>
        <w:t xml:space="preserve">Table </w:t>
      </w:r>
      <w:r w:rsidR="006D2C04">
        <w:t>42</w:t>
      </w:r>
      <w:r>
        <w:t>: Number (%) of subjects with the most frequently reported adverse events (greater than or equal to 2% of subjects in either treatment group) during relapse follow-up phase</w:t>
      </w:r>
      <w:r w:rsidR="005F43CE">
        <w:t>;</w:t>
      </w:r>
      <w:r>
        <w:t xml:space="preserve"> Safety population</w:t>
      </w:r>
    </w:p>
    <w:p w14:paraId="32874384" w14:textId="3107D65E" w:rsidR="0082067D" w:rsidRDefault="0082067D" w:rsidP="0012561C">
      <w:r>
        <w:rPr>
          <w:noProof/>
          <w:lang w:eastAsia="en-AU"/>
        </w:rPr>
        <w:drawing>
          <wp:inline distT="0" distB="0" distL="0" distR="0" wp14:anchorId="29A421DE" wp14:editId="18B3F893">
            <wp:extent cx="4221366" cy="1632601"/>
            <wp:effectExtent l="0" t="0" r="8255" b="5715"/>
            <wp:docPr id="3" name="Picture 3" descr="Number (%) of subjects with the most frequently reported adverse events (greater than or equal to 2% of subjects in either treatment group) during relapse follow-up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CC3B.tmp"/>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t="19082"/>
                    <a:stretch/>
                  </pic:blipFill>
                  <pic:spPr bwMode="auto">
                    <a:xfrm>
                      <a:off x="0" y="0"/>
                      <a:ext cx="4238110" cy="1639077"/>
                    </a:xfrm>
                    <a:prstGeom prst="rect">
                      <a:avLst/>
                    </a:prstGeom>
                    <a:ln>
                      <a:noFill/>
                    </a:ln>
                    <a:extLst>
                      <a:ext uri="{53640926-AAD7-44D8-BBD7-CCE9431645EC}">
                        <a14:shadowObscured xmlns:a14="http://schemas.microsoft.com/office/drawing/2010/main"/>
                      </a:ext>
                    </a:extLst>
                  </pic:spPr>
                </pic:pic>
              </a:graphicData>
            </a:graphic>
          </wp:inline>
        </w:drawing>
      </w:r>
    </w:p>
    <w:p w14:paraId="0A35FD4B" w14:textId="31976F38" w:rsidR="0082067D" w:rsidRDefault="0082067D" w:rsidP="0082067D">
      <w:pPr>
        <w:spacing w:line="240" w:lineRule="auto"/>
        <w:jc w:val="both"/>
      </w:pPr>
      <w:bookmarkStart w:id="298" w:name="_Toc241374325"/>
      <w:bookmarkStart w:id="299" w:name="_Ref272333477"/>
      <w:bookmarkStart w:id="300" w:name="_Toc272414667"/>
      <w:bookmarkStart w:id="301" w:name="_Toc290888531"/>
      <w:bookmarkStart w:id="302" w:name="_Toc416353747"/>
      <w:bookmarkStart w:id="303" w:name="_Toc421005290"/>
      <w:bookmarkStart w:id="304" w:name="_Toc432079167"/>
      <w:bookmarkStart w:id="305" w:name="_Toc432080740"/>
      <w:r>
        <w:t xml:space="preserve">SAEs reported in </w:t>
      </w:r>
      <w:r w:rsidR="0012561C">
        <w:t>S</w:t>
      </w:r>
      <w:r>
        <w:t>tudy 033 during prophylactic phase were as follows</w:t>
      </w:r>
      <w:r w:rsidR="0055454D">
        <w:t xml:space="preserve"> (Table </w:t>
      </w:r>
      <w:r w:rsidR="006D2C04">
        <w:t>43</w:t>
      </w:r>
      <w:r w:rsidR="001C0EBF">
        <w:t>)</w:t>
      </w:r>
      <w:r w:rsidR="005F43CE">
        <w:t>.</w:t>
      </w:r>
    </w:p>
    <w:p w14:paraId="5442CDA8" w14:textId="19928C8A" w:rsidR="001C0EBF" w:rsidRDefault="001C0EBF" w:rsidP="001C0EBF">
      <w:pPr>
        <w:pStyle w:val="TableTitle"/>
      </w:pPr>
      <w:r>
        <w:t xml:space="preserve">Table </w:t>
      </w:r>
      <w:r w:rsidR="006D2C04">
        <w:t>43</w:t>
      </w:r>
      <w:r>
        <w:t>: Number (%) of subjects with serious adverse events</w:t>
      </w:r>
      <w:r w:rsidR="005F43CE">
        <w:t>;</w:t>
      </w:r>
      <w:r>
        <w:t xml:space="preserve"> Safety population</w:t>
      </w:r>
    </w:p>
    <w:p w14:paraId="21D894B4" w14:textId="6A38480B" w:rsidR="0082067D" w:rsidRDefault="0082067D" w:rsidP="001C0EBF">
      <w:r>
        <w:rPr>
          <w:noProof/>
          <w:lang w:eastAsia="en-AU"/>
        </w:rPr>
        <w:drawing>
          <wp:inline distT="0" distB="0" distL="0" distR="0" wp14:anchorId="4B53D859" wp14:editId="6A9FA9F8">
            <wp:extent cx="4173233" cy="2585070"/>
            <wp:effectExtent l="0" t="0" r="0" b="6350"/>
            <wp:docPr id="23" name="Picture 23" descr="Number (%) of subjects with serious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19B0.tmp"/>
                    <pic:cNvPicPr/>
                  </pic:nvPicPr>
                  <pic:blipFill rotWithShape="1">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t="9397"/>
                    <a:stretch/>
                  </pic:blipFill>
                  <pic:spPr bwMode="auto">
                    <a:xfrm>
                      <a:off x="0" y="0"/>
                      <a:ext cx="4174788" cy="2586033"/>
                    </a:xfrm>
                    <a:prstGeom prst="rect">
                      <a:avLst/>
                    </a:prstGeom>
                    <a:ln>
                      <a:noFill/>
                    </a:ln>
                    <a:extLst>
                      <a:ext uri="{53640926-AAD7-44D8-BBD7-CCE9431645EC}">
                        <a14:shadowObscured xmlns:a14="http://schemas.microsoft.com/office/drawing/2010/main"/>
                      </a:ext>
                    </a:extLst>
                  </pic:spPr>
                </pic:pic>
              </a:graphicData>
            </a:graphic>
          </wp:inline>
        </w:drawing>
      </w:r>
    </w:p>
    <w:p w14:paraId="0CCD7BBC" w14:textId="509D7FF0" w:rsidR="0082067D" w:rsidRDefault="0082067D" w:rsidP="0082067D">
      <w:pPr>
        <w:spacing w:line="240" w:lineRule="auto"/>
        <w:jc w:val="both"/>
      </w:pPr>
      <w:r>
        <w:t xml:space="preserve">SAEs reported in </w:t>
      </w:r>
      <w:r w:rsidR="001C0EBF">
        <w:t>S</w:t>
      </w:r>
      <w:r>
        <w:t>tudy 033 during relapse follow-up phase were as follows</w:t>
      </w:r>
      <w:r w:rsidR="001C0EBF">
        <w:t xml:space="preserve"> (Table </w:t>
      </w:r>
      <w:r w:rsidR="0055454D">
        <w:t>4</w:t>
      </w:r>
      <w:r w:rsidR="00DB15EE">
        <w:t>4</w:t>
      </w:r>
      <w:r w:rsidR="001C0EBF">
        <w:t>)</w:t>
      </w:r>
      <w:r>
        <w:t>:</w:t>
      </w:r>
    </w:p>
    <w:p w14:paraId="42109391" w14:textId="262651C4" w:rsidR="001C0EBF" w:rsidRDefault="001C0EBF" w:rsidP="001C0EBF">
      <w:pPr>
        <w:pStyle w:val="TableTitle"/>
      </w:pPr>
      <w:r>
        <w:t xml:space="preserve">Table </w:t>
      </w:r>
      <w:r w:rsidR="006D2C04">
        <w:t>44</w:t>
      </w:r>
      <w:r>
        <w:t xml:space="preserve">: </w:t>
      </w:r>
      <w:r w:rsidRPr="001C0EBF">
        <w:t>Number (%) of subjects with serious adverse events</w:t>
      </w:r>
      <w:r w:rsidR="006D2C04">
        <w:t>;</w:t>
      </w:r>
      <w:r w:rsidRPr="001C0EBF">
        <w:t xml:space="preserve"> Safety population</w:t>
      </w:r>
    </w:p>
    <w:p w14:paraId="10FA0B54" w14:textId="7FE5A70C" w:rsidR="0082067D" w:rsidRDefault="0082067D" w:rsidP="001C0EBF">
      <w:r>
        <w:rPr>
          <w:noProof/>
          <w:lang w:eastAsia="en-AU"/>
        </w:rPr>
        <w:drawing>
          <wp:inline distT="0" distB="0" distL="0" distR="0" wp14:anchorId="0A486E8E" wp14:editId="17C600CD">
            <wp:extent cx="4190006" cy="1347537"/>
            <wp:effectExtent l="0" t="0" r="1270" b="5080"/>
            <wp:docPr id="24" name="Picture 24" descr="Number (%) of subjects with serious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1E91.tmp"/>
                    <pic:cNvPicPr/>
                  </pic:nvPicPr>
                  <pic:blipFill rotWithShape="1">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t="15517"/>
                    <a:stretch/>
                  </pic:blipFill>
                  <pic:spPr bwMode="auto">
                    <a:xfrm>
                      <a:off x="0" y="0"/>
                      <a:ext cx="4196458" cy="1349612"/>
                    </a:xfrm>
                    <a:prstGeom prst="rect">
                      <a:avLst/>
                    </a:prstGeom>
                    <a:ln>
                      <a:noFill/>
                    </a:ln>
                    <a:extLst>
                      <a:ext uri="{53640926-AAD7-44D8-BBD7-CCE9431645EC}">
                        <a14:shadowObscured xmlns:a14="http://schemas.microsoft.com/office/drawing/2010/main"/>
                      </a:ext>
                    </a:extLst>
                  </pic:spPr>
                </pic:pic>
              </a:graphicData>
            </a:graphic>
          </wp:inline>
        </w:drawing>
      </w:r>
    </w:p>
    <w:bookmarkEnd w:id="298"/>
    <w:bookmarkEnd w:id="299"/>
    <w:bookmarkEnd w:id="300"/>
    <w:bookmarkEnd w:id="301"/>
    <w:bookmarkEnd w:id="302"/>
    <w:bookmarkEnd w:id="303"/>
    <w:bookmarkEnd w:id="304"/>
    <w:bookmarkEnd w:id="305"/>
    <w:p w14:paraId="63914D56" w14:textId="40D8AD51" w:rsidR="0082067D" w:rsidRDefault="0082067D" w:rsidP="001C0EBF">
      <w:r>
        <w:t xml:space="preserve">In </w:t>
      </w:r>
      <w:r w:rsidRPr="00523707">
        <w:t>a subset of subjects recruited for detailed safety ass</w:t>
      </w:r>
      <w:r>
        <w:t xml:space="preserve">essments, treatment-related vortex keratopathy </w:t>
      </w:r>
      <w:r w:rsidRPr="00523707">
        <w:t xml:space="preserve">was detected in </w:t>
      </w:r>
      <w:r>
        <w:t xml:space="preserve">69/74 (93%) </w:t>
      </w:r>
      <w:r w:rsidR="00C312D1">
        <w:t>tafenoquine</w:t>
      </w:r>
      <w:r w:rsidRPr="00523707">
        <w:t xml:space="preserve"> subjec</w:t>
      </w:r>
      <w:r>
        <w:t xml:space="preserve">ts but none of the 21 </w:t>
      </w:r>
      <w:r w:rsidR="00994561">
        <w:t>mefloquine</w:t>
      </w:r>
      <w:r w:rsidRPr="00523707">
        <w:t xml:space="preserve"> subjects.</w:t>
      </w:r>
      <w:r>
        <w:t xml:space="preserve"> T</w:t>
      </w:r>
      <w:r w:rsidRPr="00895B7D">
        <w:t>h</w:t>
      </w:r>
      <w:r>
        <w:t xml:space="preserve">ere were no reported changes to visual acuity, </w:t>
      </w:r>
      <w:r w:rsidRPr="00895B7D">
        <w:t xml:space="preserve">colour vision </w:t>
      </w:r>
      <w:r>
        <w:t xml:space="preserve">or visual fields </w:t>
      </w:r>
      <w:r w:rsidRPr="00895B7D">
        <w:t xml:space="preserve">in these </w:t>
      </w:r>
      <w:r>
        <w:t xml:space="preserve">keratopathy </w:t>
      </w:r>
      <w:r w:rsidRPr="00895B7D">
        <w:t>su</w:t>
      </w:r>
      <w:r>
        <w:t>bjects. All subjects were reported to have achieved</w:t>
      </w:r>
      <w:r w:rsidRPr="00895B7D">
        <w:t xml:space="preserve"> resolut</w:t>
      </w:r>
      <w:r>
        <w:t>ion of</w:t>
      </w:r>
      <w:r w:rsidRPr="00895B7D">
        <w:t xml:space="preserve"> keratopathy within 1 y</w:t>
      </w:r>
      <w:r>
        <w:t xml:space="preserve">ear after the end of </w:t>
      </w:r>
      <w:r w:rsidR="00C312D1">
        <w:t>tafenoquine</w:t>
      </w:r>
      <w:r>
        <w:t xml:space="preserve"> dosing</w:t>
      </w:r>
      <w:r w:rsidR="001C0EBF">
        <w:t xml:space="preserve"> (Table </w:t>
      </w:r>
      <w:r w:rsidR="006D2C04">
        <w:t>45</w:t>
      </w:r>
      <w:r w:rsidR="001C0EBF">
        <w:t>)</w:t>
      </w:r>
      <w:r w:rsidR="005F43CE">
        <w:t>.</w:t>
      </w:r>
    </w:p>
    <w:p w14:paraId="5850C271" w14:textId="1E77B608" w:rsidR="001C0EBF" w:rsidRDefault="001C0EBF" w:rsidP="001C0EBF">
      <w:pPr>
        <w:pStyle w:val="TableTitle"/>
      </w:pPr>
      <w:r>
        <w:lastRenderedPageBreak/>
        <w:t xml:space="preserve">Table </w:t>
      </w:r>
      <w:r w:rsidR="006D2C04">
        <w:t>45</w:t>
      </w:r>
      <w:r>
        <w:t xml:space="preserve">: Number of patients with </w:t>
      </w:r>
      <w:r w:rsidRPr="00895B7D">
        <w:t>keratopathy within 1 y</w:t>
      </w:r>
      <w:r>
        <w:t>ear after the end of tafenoquine dosing</w:t>
      </w:r>
    </w:p>
    <w:p w14:paraId="2D405FF7" w14:textId="1C5614BE" w:rsidR="0082067D" w:rsidRDefault="0082067D" w:rsidP="001C0EBF">
      <w:r>
        <w:rPr>
          <w:noProof/>
          <w:lang w:eastAsia="en-AU"/>
        </w:rPr>
        <w:drawing>
          <wp:inline distT="0" distB="0" distL="0" distR="0" wp14:anchorId="22196954" wp14:editId="43EA7F7A">
            <wp:extent cx="4256314" cy="878519"/>
            <wp:effectExtent l="0" t="0" r="0" b="0"/>
            <wp:docPr id="25" name="Picture 25" descr="Number of patients with keratopathy within 1 year after the end of tafenoquine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BEA8.tmp"/>
                    <pic:cNvPicPr/>
                  </pic:nvPicPr>
                  <pic:blipFill>
                    <a:blip r:embed="rId64">
                      <a:extLst>
                        <a:ext uri="{28A0092B-C50C-407E-A947-70E740481C1C}">
                          <a14:useLocalDpi xmlns:a14="http://schemas.microsoft.com/office/drawing/2010/main" val="0"/>
                        </a:ext>
                      </a:extLst>
                    </a:blip>
                    <a:stretch>
                      <a:fillRect/>
                    </a:stretch>
                  </pic:blipFill>
                  <pic:spPr>
                    <a:xfrm>
                      <a:off x="0" y="0"/>
                      <a:ext cx="4254864" cy="878220"/>
                    </a:xfrm>
                    <a:prstGeom prst="rect">
                      <a:avLst/>
                    </a:prstGeom>
                  </pic:spPr>
                </pic:pic>
              </a:graphicData>
            </a:graphic>
          </wp:inline>
        </w:drawing>
      </w:r>
    </w:p>
    <w:p w14:paraId="19AE4453" w14:textId="519BEE88" w:rsidR="0082067D" w:rsidRDefault="0082067D" w:rsidP="001C0EBF">
      <w:r>
        <w:t xml:space="preserve">An </w:t>
      </w:r>
      <w:r w:rsidRPr="00266768">
        <w:t>expert ophthalmology advis</w:t>
      </w:r>
      <w:r>
        <w:t xml:space="preserve">ory panel concluded that vision </w:t>
      </w:r>
      <w:r w:rsidRPr="00266768">
        <w:t xml:space="preserve">had not been affected in any </w:t>
      </w:r>
      <w:r>
        <w:t xml:space="preserve">persons but that the relevance </w:t>
      </w:r>
      <w:r w:rsidRPr="00266768">
        <w:t>of minor retinal findings, in the a</w:t>
      </w:r>
      <w:r>
        <w:t xml:space="preserve">bsence of baseline assessments </w:t>
      </w:r>
      <w:r w:rsidRPr="00266768">
        <w:t>could not be ascertained.</w:t>
      </w:r>
    </w:p>
    <w:p w14:paraId="4D7FE377" w14:textId="7DCF8A98" w:rsidR="0082067D" w:rsidRDefault="0082067D" w:rsidP="001C0EBF">
      <w:r>
        <w:t xml:space="preserve">To further characterise renal and eye findings in </w:t>
      </w:r>
      <w:r w:rsidR="001C0EBF">
        <w:t>S</w:t>
      </w:r>
      <w:r w:rsidRPr="00895B7D">
        <w:t xml:space="preserve">tudy 033, </w:t>
      </w:r>
      <w:r>
        <w:t xml:space="preserve">another exclusive safety </w:t>
      </w:r>
      <w:r w:rsidR="00753F23">
        <w:t>S</w:t>
      </w:r>
      <w:r w:rsidRPr="00895B7D">
        <w:t>tudy</w:t>
      </w:r>
      <w:r w:rsidR="005F43CE">
        <w:t> </w:t>
      </w:r>
      <w:r w:rsidRPr="00895B7D">
        <w:t xml:space="preserve">057 </w:t>
      </w:r>
      <w:r>
        <w:t xml:space="preserve">(randomised, double-blind study of 6 months duration, in non-immune population in UK/USA for the assessment of renal </w:t>
      </w:r>
      <w:r w:rsidR="00753F23">
        <w:t>and</w:t>
      </w:r>
      <w:r w:rsidRPr="00895B7D">
        <w:t xml:space="preserve"> op</w:t>
      </w:r>
      <w:r>
        <w:t xml:space="preserve">hthalmic effects of </w:t>
      </w:r>
      <w:r w:rsidR="00C312D1">
        <w:t>tafenoquine</w:t>
      </w:r>
      <w:r>
        <w:t xml:space="preserve"> (20</w:t>
      </w:r>
      <w:r w:rsidR="00A84DBA">
        <w:t>0 mg</w:t>
      </w:r>
      <w:r>
        <w:t xml:space="preserve"> daily for 3 days then weekly for 23 weeks n=81 versus placebo n=39) has been carried out. The outcomes have been reported as follows</w:t>
      </w:r>
      <w:r w:rsidR="005F43CE">
        <w:t>.</w:t>
      </w:r>
    </w:p>
    <w:p w14:paraId="3E4638BA" w14:textId="0347C6D6" w:rsidR="0082067D" w:rsidRDefault="0082067D" w:rsidP="001C0EBF">
      <w:r>
        <w:t xml:space="preserve">No difference was shown in mean change in GRF in </w:t>
      </w:r>
      <w:r w:rsidR="00C312D1">
        <w:t>tafenoquine</w:t>
      </w:r>
      <w:r>
        <w:t xml:space="preserve"> subjects compared to placebo subjects (Treatment difference -0.061mL/s/1.73m</w:t>
      </w:r>
      <w:r w:rsidRPr="009C14B6">
        <w:rPr>
          <w:vertAlign w:val="superscript"/>
        </w:rPr>
        <w:t>2</w:t>
      </w:r>
      <w:r>
        <w:t>) in this study</w:t>
      </w:r>
      <w:r w:rsidR="00753F23">
        <w:t xml:space="preserve"> (Table </w:t>
      </w:r>
      <w:r w:rsidR="006D2C04">
        <w:t>46</w:t>
      </w:r>
      <w:r w:rsidR="00753F23">
        <w:t>)</w:t>
      </w:r>
      <w:r>
        <w:t>.</w:t>
      </w:r>
      <w:r>
        <w:rPr>
          <w:rStyle w:val="FootnoteReference"/>
        </w:rPr>
        <w:footnoteReference w:id="33"/>
      </w:r>
    </w:p>
    <w:p w14:paraId="26FB1203" w14:textId="1853EAD1" w:rsidR="00753F23" w:rsidRDefault="00753F23" w:rsidP="00753F23">
      <w:pPr>
        <w:pStyle w:val="TableTitle"/>
      </w:pPr>
      <w:r>
        <w:t xml:space="preserve">Table </w:t>
      </w:r>
      <w:r w:rsidR="006D2C04">
        <w:t>46</w:t>
      </w:r>
      <w:r>
        <w:t xml:space="preserve">: Mean change in glomerular filtration rate from </w:t>
      </w:r>
      <w:r w:rsidR="005F43CE">
        <w:t xml:space="preserve">Baseline </w:t>
      </w:r>
      <w:r>
        <w:t>to Week</w:t>
      </w:r>
      <w:r w:rsidR="005F43CE">
        <w:t> </w:t>
      </w:r>
      <w:r>
        <w:t>24 in the renally evaluable population</w:t>
      </w:r>
    </w:p>
    <w:p w14:paraId="08EEB9C9" w14:textId="08AD5767" w:rsidR="0082067D" w:rsidRDefault="0082067D" w:rsidP="00753F23">
      <w:r>
        <w:rPr>
          <w:noProof/>
          <w:lang w:eastAsia="en-AU"/>
        </w:rPr>
        <w:drawing>
          <wp:inline distT="0" distB="0" distL="0" distR="0" wp14:anchorId="16293B7F" wp14:editId="46DC3840">
            <wp:extent cx="4119693" cy="1216908"/>
            <wp:effectExtent l="0" t="0" r="0" b="2540"/>
            <wp:docPr id="32" name="Picture 32" descr="Mean change in glomerular filtration rate from baseline to Week 24 in the renall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5C32.tmp"/>
                    <pic:cNvPicPr/>
                  </pic:nvPicPr>
                  <pic:blipFill rotWithShape="1">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t="20628"/>
                    <a:stretch/>
                  </pic:blipFill>
                  <pic:spPr bwMode="auto">
                    <a:xfrm>
                      <a:off x="0" y="0"/>
                      <a:ext cx="4128582" cy="1219534"/>
                    </a:xfrm>
                    <a:prstGeom prst="rect">
                      <a:avLst/>
                    </a:prstGeom>
                    <a:ln>
                      <a:noFill/>
                    </a:ln>
                    <a:extLst>
                      <a:ext uri="{53640926-AAD7-44D8-BBD7-CCE9431645EC}">
                        <a14:shadowObscured xmlns:a14="http://schemas.microsoft.com/office/drawing/2010/main"/>
                      </a:ext>
                    </a:extLst>
                  </pic:spPr>
                </pic:pic>
              </a:graphicData>
            </a:graphic>
          </wp:inline>
        </w:drawing>
      </w:r>
    </w:p>
    <w:p w14:paraId="495A0C71" w14:textId="02605887" w:rsidR="0082067D" w:rsidRDefault="0082067D" w:rsidP="00753F23">
      <w:r>
        <w:t>Various ophthalmic indices, in particular assessing function in terms of night vision, were reported as follow</w:t>
      </w:r>
      <w:r w:rsidR="00753F23">
        <w:t xml:space="preserve">s (Table </w:t>
      </w:r>
      <w:r w:rsidR="006D2C04">
        <w:t>47</w:t>
      </w:r>
      <w:r w:rsidR="00753F23">
        <w:t>)</w:t>
      </w:r>
      <w:r w:rsidR="005F43CE">
        <w:t>.</w:t>
      </w:r>
    </w:p>
    <w:p w14:paraId="1E9C1C47" w14:textId="0235F4E8" w:rsidR="00753F23" w:rsidRDefault="00753F23" w:rsidP="00753F23">
      <w:pPr>
        <w:pStyle w:val="TableTitle"/>
      </w:pPr>
      <w:r>
        <w:t xml:space="preserve">Table </w:t>
      </w:r>
      <w:r w:rsidR="006D2C04">
        <w:t>47</w:t>
      </w:r>
      <w:r>
        <w:t>: Forward light scatter test (FLST) results in the ophthalmically evaluable population</w:t>
      </w:r>
    </w:p>
    <w:p w14:paraId="65F57F5F" w14:textId="1D155439" w:rsidR="0082067D" w:rsidRDefault="0082067D" w:rsidP="00753F23">
      <w:r>
        <w:rPr>
          <w:noProof/>
          <w:lang w:eastAsia="en-AU"/>
        </w:rPr>
        <w:drawing>
          <wp:inline distT="0" distB="0" distL="0" distR="0" wp14:anchorId="0966C32C" wp14:editId="465A333E">
            <wp:extent cx="4193864" cy="1143651"/>
            <wp:effectExtent l="0" t="0" r="0" b="0"/>
            <wp:docPr id="8" name="Picture 8" descr="Forward light scatter test (FLST) results in the ophthalmicall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9A39.tmp"/>
                    <pic:cNvPicPr/>
                  </pic:nvPicPr>
                  <pic:blipFill rotWithShape="1">
                    <a:blip r:embed="rId67">
                      <a:extLst>
                        <a:ext uri="{28A0092B-C50C-407E-A947-70E740481C1C}">
                          <a14:useLocalDpi xmlns:a14="http://schemas.microsoft.com/office/drawing/2010/main" val="0"/>
                        </a:ext>
                      </a:extLst>
                    </a:blip>
                    <a:srcRect t="20918"/>
                    <a:stretch/>
                  </pic:blipFill>
                  <pic:spPr bwMode="auto">
                    <a:xfrm>
                      <a:off x="0" y="0"/>
                      <a:ext cx="4191000" cy="1142870"/>
                    </a:xfrm>
                    <a:prstGeom prst="rect">
                      <a:avLst/>
                    </a:prstGeom>
                    <a:ln>
                      <a:noFill/>
                    </a:ln>
                    <a:extLst>
                      <a:ext uri="{53640926-AAD7-44D8-BBD7-CCE9431645EC}">
                        <a14:shadowObscured xmlns:a14="http://schemas.microsoft.com/office/drawing/2010/main"/>
                      </a:ext>
                    </a:extLst>
                  </pic:spPr>
                </pic:pic>
              </a:graphicData>
            </a:graphic>
          </wp:inline>
        </w:drawing>
      </w:r>
    </w:p>
    <w:p w14:paraId="16244677" w14:textId="6B011217" w:rsidR="00753F23" w:rsidRDefault="00753F23" w:rsidP="00753F23">
      <w:pPr>
        <w:pStyle w:val="TableTitle"/>
      </w:pPr>
      <w:r>
        <w:lastRenderedPageBreak/>
        <w:t xml:space="preserve">Table </w:t>
      </w:r>
      <w:r w:rsidR="006D2C04">
        <w:t>48</w:t>
      </w:r>
      <w:r>
        <w:t>: Assessment of night vision by low contrast visual acuity test (LCVA), mesopic contrast threshold (MCT) tests and scotopic contrast threshold (SCT) test in the ophthalmically evaluable population</w:t>
      </w:r>
    </w:p>
    <w:p w14:paraId="08B00CBD" w14:textId="58D4832A" w:rsidR="0082067D" w:rsidRDefault="0082067D" w:rsidP="00D33C60">
      <w:r>
        <w:rPr>
          <w:noProof/>
          <w:lang w:eastAsia="en-AU"/>
        </w:rPr>
        <w:drawing>
          <wp:inline distT="0" distB="0" distL="0" distR="0" wp14:anchorId="0D6CBD93" wp14:editId="1FB16108">
            <wp:extent cx="3484243" cy="1742768"/>
            <wp:effectExtent l="0" t="0" r="2540" b="0"/>
            <wp:docPr id="28" name="Picture 28" descr="Assessment of night vision by low contrast visual acuity test (LCVA), mesopic contrast threshold (MCT) tests and scotopic contrast threshold (SCT) test in the ophthalmicall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27E.tmp"/>
                    <pic:cNvPicPr/>
                  </pic:nvPicPr>
                  <pic:blipFill rotWithShape="1">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t="18720" b="-1"/>
                    <a:stretch/>
                  </pic:blipFill>
                  <pic:spPr bwMode="auto">
                    <a:xfrm>
                      <a:off x="0" y="0"/>
                      <a:ext cx="3499298" cy="1750298"/>
                    </a:xfrm>
                    <a:prstGeom prst="rect">
                      <a:avLst/>
                    </a:prstGeom>
                    <a:ln>
                      <a:noFill/>
                    </a:ln>
                    <a:extLst>
                      <a:ext uri="{53640926-AAD7-44D8-BBD7-CCE9431645EC}">
                        <a14:shadowObscured xmlns:a14="http://schemas.microsoft.com/office/drawing/2010/main"/>
                      </a:ext>
                    </a:extLst>
                  </pic:spPr>
                </pic:pic>
              </a:graphicData>
            </a:graphic>
          </wp:inline>
        </w:drawing>
      </w:r>
    </w:p>
    <w:p w14:paraId="64E56967" w14:textId="40C5B1C3" w:rsidR="0082067D" w:rsidRDefault="0082067D" w:rsidP="00D33C60">
      <w:r>
        <w:t>At screening, c</w:t>
      </w:r>
      <w:r w:rsidRPr="003454DC">
        <w:t>orneal d</w:t>
      </w:r>
      <w:r>
        <w:t>eposits were detected</w:t>
      </w:r>
      <w:r w:rsidRPr="003454DC">
        <w:t xml:space="preserve"> in 10/70 (14.3%) and 7/32 (21.9%) in </w:t>
      </w:r>
      <w:r w:rsidR="00C312D1">
        <w:t>tafenoquine</w:t>
      </w:r>
      <w:r w:rsidRPr="003454DC">
        <w:t xml:space="preserve"> and placebo groups respectively. Treatment-emergent corneal deposits </w:t>
      </w:r>
      <w:r>
        <w:t>were reported in 15/60</w:t>
      </w:r>
      <w:r w:rsidRPr="003454DC">
        <w:t xml:space="preserve"> </w:t>
      </w:r>
      <w:r>
        <w:t xml:space="preserve">(25%) </w:t>
      </w:r>
      <w:r w:rsidR="00C312D1">
        <w:t>tafenoquine</w:t>
      </w:r>
      <w:r>
        <w:t xml:space="preserve"> subjects </w:t>
      </w:r>
      <w:r w:rsidRPr="003454DC">
        <w:t xml:space="preserve">and </w:t>
      </w:r>
      <w:r>
        <w:t>4/25</w:t>
      </w:r>
      <w:r w:rsidRPr="003454DC">
        <w:t xml:space="preserve"> </w:t>
      </w:r>
      <w:r>
        <w:t>(16%) placebo subjects</w:t>
      </w:r>
      <w:r w:rsidRPr="003454DC">
        <w:t xml:space="preserve">. </w:t>
      </w:r>
      <w:r>
        <w:t xml:space="preserve">In </w:t>
      </w:r>
      <w:r w:rsidR="00C312D1">
        <w:t>tafenoquine</w:t>
      </w:r>
      <w:r>
        <w:t xml:space="preserve"> group, 14</w:t>
      </w:r>
      <w:r w:rsidRPr="003454DC">
        <w:t xml:space="preserve"> new-onset corneal deposits </w:t>
      </w:r>
      <w:r>
        <w:t xml:space="preserve">are reported to have </w:t>
      </w:r>
      <w:r w:rsidRPr="003454DC">
        <w:t>resolved within 12 weeks of ons</w:t>
      </w:r>
      <w:r>
        <w:t>et. In the remaining one subject</w:t>
      </w:r>
      <w:r w:rsidRPr="003454DC">
        <w:t xml:space="preserve"> the corneal deposits resolved by 24 weeks post-dosing. In the </w:t>
      </w:r>
      <w:r>
        <w:t>4 placebo subjects</w:t>
      </w:r>
      <w:r w:rsidRPr="003454DC">
        <w:t>, the corneal deposits resolved within 6 weeks of onset.</w:t>
      </w:r>
    </w:p>
    <w:p w14:paraId="50097DD7" w14:textId="6FD552F4" w:rsidR="0082067D" w:rsidRDefault="0082067D" w:rsidP="00D33C60">
      <w:r>
        <w:t xml:space="preserve">Retinal abnormalities detected with digital photography were detected in subject in each group. This included a case of retinal hyperpigmentation in </w:t>
      </w:r>
      <w:r w:rsidR="00C312D1">
        <w:t>tafenoquine</w:t>
      </w:r>
      <w:r>
        <w:t xml:space="preserve"> group not associated with visual disturbance and showed no change 11 months after cessation of therapy.</w:t>
      </w:r>
    </w:p>
    <w:p w14:paraId="172D90C0" w14:textId="19744D4E" w:rsidR="0082067D" w:rsidRDefault="0082067D" w:rsidP="00D33C60">
      <w:r>
        <w:t>The AEs reported in this study were as follows</w:t>
      </w:r>
      <w:r w:rsidR="00D33C60">
        <w:t xml:space="preserve"> (Table </w:t>
      </w:r>
      <w:r w:rsidR="006D2C04">
        <w:t>49</w:t>
      </w:r>
      <w:r w:rsidR="00D33C60">
        <w:t>)</w:t>
      </w:r>
      <w:r w:rsidR="005F43CE">
        <w:t>.</w:t>
      </w:r>
    </w:p>
    <w:p w14:paraId="4A16E1F4" w14:textId="1DC66488" w:rsidR="00D33C60" w:rsidRPr="003454DC" w:rsidRDefault="00D33C60" w:rsidP="00D33C60">
      <w:pPr>
        <w:pStyle w:val="TableTitle"/>
      </w:pPr>
      <w:r>
        <w:t xml:space="preserve">Table </w:t>
      </w:r>
      <w:r w:rsidR="006D2C04">
        <w:t>49</w:t>
      </w:r>
      <w:r>
        <w:t>: Adverse events occurring in &gt;5% of persons in the Safety population</w:t>
      </w:r>
    </w:p>
    <w:p w14:paraId="6AE71D10" w14:textId="103FBB82" w:rsidR="0082067D" w:rsidRDefault="0082067D" w:rsidP="00D33C60">
      <w:r>
        <w:rPr>
          <w:noProof/>
          <w:lang w:eastAsia="en-AU"/>
        </w:rPr>
        <w:drawing>
          <wp:inline distT="0" distB="0" distL="0" distR="0" wp14:anchorId="72E44552" wp14:editId="3A445DB1">
            <wp:extent cx="3693777" cy="2378815"/>
            <wp:effectExtent l="0" t="0" r="2540" b="2540"/>
            <wp:docPr id="26" name="Picture 26" descr="Adverse events occurring in &gt;5% of persons in th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94EF.tmp"/>
                    <pic:cNvPicPr/>
                  </pic:nvPicPr>
                  <pic:blipFill rotWithShape="1">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t="6486"/>
                    <a:stretch/>
                  </pic:blipFill>
                  <pic:spPr bwMode="auto">
                    <a:xfrm>
                      <a:off x="0" y="0"/>
                      <a:ext cx="3693446" cy="2378602"/>
                    </a:xfrm>
                    <a:prstGeom prst="rect">
                      <a:avLst/>
                    </a:prstGeom>
                    <a:ln>
                      <a:noFill/>
                    </a:ln>
                    <a:extLst>
                      <a:ext uri="{53640926-AAD7-44D8-BBD7-CCE9431645EC}">
                        <a14:shadowObscured xmlns:a14="http://schemas.microsoft.com/office/drawing/2010/main"/>
                      </a:ext>
                    </a:extLst>
                  </pic:spPr>
                </pic:pic>
              </a:graphicData>
            </a:graphic>
          </wp:inline>
        </w:drawing>
      </w:r>
    </w:p>
    <w:p w14:paraId="3F52DD55" w14:textId="569D96EC" w:rsidR="0082067D" w:rsidRPr="006D2C04" w:rsidRDefault="0082067D" w:rsidP="0082067D">
      <w:pPr>
        <w:spacing w:line="240" w:lineRule="auto"/>
        <w:jc w:val="both"/>
      </w:pPr>
      <w:r>
        <w:t>The SAEs reported in this study were as follows</w:t>
      </w:r>
      <w:r w:rsidR="00D84F4E">
        <w:t xml:space="preserve"> (Ta</w:t>
      </w:r>
      <w:r w:rsidR="00D84F4E" w:rsidRPr="006D2C04">
        <w:t xml:space="preserve">ble </w:t>
      </w:r>
      <w:r w:rsidR="006D2C04">
        <w:t>50</w:t>
      </w:r>
      <w:r w:rsidR="00D84F4E" w:rsidRPr="006D2C04">
        <w:t>)</w:t>
      </w:r>
      <w:r w:rsidR="006D2C04">
        <w:t>.</w:t>
      </w:r>
    </w:p>
    <w:p w14:paraId="6901DCB8" w14:textId="76B3D08B" w:rsidR="00D84F4E" w:rsidRPr="006D2C04" w:rsidRDefault="00D84F4E" w:rsidP="00D84F4E">
      <w:pPr>
        <w:pStyle w:val="TableTitle"/>
      </w:pPr>
      <w:r w:rsidRPr="006D2C04">
        <w:lastRenderedPageBreak/>
        <w:t xml:space="preserve">Table </w:t>
      </w:r>
      <w:r w:rsidR="000D2A48" w:rsidRPr="006D2C04">
        <w:t>5</w:t>
      </w:r>
      <w:r w:rsidR="006D2C04">
        <w:t>0</w:t>
      </w:r>
      <w:r w:rsidRPr="006D2C04">
        <w:t>: Serious AEs in the Safety population</w:t>
      </w:r>
    </w:p>
    <w:p w14:paraId="077D6CB1" w14:textId="3396EB4C" w:rsidR="0082067D" w:rsidRDefault="0082067D" w:rsidP="00D84F4E">
      <w:r>
        <w:rPr>
          <w:noProof/>
          <w:lang w:eastAsia="en-AU"/>
        </w:rPr>
        <w:drawing>
          <wp:inline distT="0" distB="0" distL="0" distR="0" wp14:anchorId="6BCB0F5D" wp14:editId="6819483C">
            <wp:extent cx="3500071" cy="1808175"/>
            <wp:effectExtent l="0" t="0" r="5715" b="1905"/>
            <wp:docPr id="27" name="Picture 27" descr="Serious AEs in th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EF7E.tmp"/>
                    <pic:cNvPicPr/>
                  </pic:nvPicPr>
                  <pic:blipFill rotWithShape="1">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t="6965"/>
                    <a:stretch/>
                  </pic:blipFill>
                  <pic:spPr bwMode="auto">
                    <a:xfrm>
                      <a:off x="0" y="0"/>
                      <a:ext cx="3502405" cy="1809381"/>
                    </a:xfrm>
                    <a:prstGeom prst="rect">
                      <a:avLst/>
                    </a:prstGeom>
                    <a:ln>
                      <a:noFill/>
                    </a:ln>
                    <a:extLst>
                      <a:ext uri="{53640926-AAD7-44D8-BBD7-CCE9431645EC}">
                        <a14:shadowObscured xmlns:a14="http://schemas.microsoft.com/office/drawing/2010/main"/>
                      </a:ext>
                    </a:extLst>
                  </pic:spPr>
                </pic:pic>
              </a:graphicData>
            </a:graphic>
          </wp:inline>
        </w:drawing>
      </w:r>
    </w:p>
    <w:p w14:paraId="71BF80B7" w14:textId="20AD8CEF" w:rsidR="0082067D" w:rsidRDefault="0082067D" w:rsidP="00D84F4E">
      <w:r>
        <w:t xml:space="preserve">Another placebo-controlled, long-term ophthalmic safety study in non-immune population with larger sample size (expected enrolment of </w:t>
      </w:r>
      <w:r w:rsidR="006D2C04">
        <w:t>approximately</w:t>
      </w:r>
      <w:r>
        <w:t xml:space="preserve"> 600 subjects) and longer treatment (expected weekly treatment with </w:t>
      </w:r>
      <w:r w:rsidR="00C312D1">
        <w:t>tafenoquine</w:t>
      </w:r>
      <w:r>
        <w:t xml:space="preserve"> for 52 weeks) and follow-up (104</w:t>
      </w:r>
      <w:r w:rsidR="006D2C04">
        <w:t> </w:t>
      </w:r>
      <w:r>
        <w:t>weeks) has been notified to be undertaken in Australia.</w:t>
      </w:r>
    </w:p>
    <w:p w14:paraId="5AB9D215" w14:textId="0D8E8803" w:rsidR="0082067D" w:rsidRPr="00890C0F" w:rsidRDefault="0082067D" w:rsidP="005C306E">
      <w:r>
        <w:t xml:space="preserve">No post-marketing data are yet available for </w:t>
      </w:r>
      <w:r w:rsidR="00C312D1">
        <w:t>tafenoquine</w:t>
      </w:r>
      <w:r>
        <w:t>.</w:t>
      </w:r>
    </w:p>
    <w:p w14:paraId="25BD5529" w14:textId="77777777" w:rsidR="008E7846" w:rsidRDefault="00386150" w:rsidP="007B6132">
      <w:pPr>
        <w:pStyle w:val="Heading3"/>
        <w:rPr>
          <w:lang w:eastAsia="en-AU"/>
        </w:rPr>
      </w:pPr>
      <w:bookmarkStart w:id="306" w:name="_Toc12348800"/>
      <w:r>
        <w:rPr>
          <w:lang w:eastAsia="en-AU"/>
        </w:rPr>
        <w:t>Risk m</w:t>
      </w:r>
      <w:r w:rsidR="008E7846">
        <w:rPr>
          <w:lang w:eastAsia="en-AU"/>
        </w:rPr>
        <w:t xml:space="preserve">anagement </w:t>
      </w:r>
      <w:r>
        <w:rPr>
          <w:lang w:eastAsia="en-AU"/>
        </w:rPr>
        <w:t>p</w:t>
      </w:r>
      <w:r w:rsidR="008E7846">
        <w:rPr>
          <w:lang w:eastAsia="en-AU"/>
        </w:rPr>
        <w:t>lan</w:t>
      </w:r>
      <w:bookmarkEnd w:id="275"/>
      <w:bookmarkEnd w:id="306"/>
    </w:p>
    <w:p w14:paraId="6B78BE17" w14:textId="77777777" w:rsidR="0082067D" w:rsidRPr="005F43CE" w:rsidRDefault="0082067D" w:rsidP="005F43CE">
      <w:r w:rsidRPr="005F43CE">
        <w:t xml:space="preserve">This submission is supported by the </w:t>
      </w:r>
      <w:r w:rsidR="00A84DBA" w:rsidRPr="005F43CE">
        <w:t>Kodatef</w:t>
      </w:r>
      <w:r w:rsidRPr="00C73D8C">
        <w:t xml:space="preserve"> </w:t>
      </w:r>
      <w:r w:rsidRPr="005F43CE">
        <w:t>EU-Risk Management Plan (RMP) (version 2.0, dated 30 January 2018, data lock point 21 August 2017), with Australian Specific Annex (version 2.0, dated 30 January 2018).</w:t>
      </w:r>
    </w:p>
    <w:p w14:paraId="12215B0A" w14:textId="77777777" w:rsidR="0082067D" w:rsidRPr="0029173B" w:rsidRDefault="0082067D" w:rsidP="00C73D8C">
      <w:r w:rsidRPr="003D364B">
        <w:t>The implementation of the submitted RMP, including any modifications agreed with the TGA post-market surveillance ar</w:t>
      </w:r>
      <w:r w:rsidRPr="0029173B">
        <w:t>ea, will be a condition of registration.</w:t>
      </w:r>
    </w:p>
    <w:p w14:paraId="24AE4AA7" w14:textId="77777777" w:rsidR="0082067D" w:rsidRPr="005F43CE" w:rsidRDefault="0082067D" w:rsidP="00C73D8C">
      <w:r w:rsidRPr="0029173B">
        <w:t>Renal hyperplasia and hyperplasia (other) are identified as important potential risks. Routine pharmacovigilance and risk minimisation activit</w:t>
      </w:r>
      <w:r w:rsidRPr="00C97D55">
        <w:t>ies are proposed.</w:t>
      </w:r>
    </w:p>
    <w:p w14:paraId="4D72AF1A" w14:textId="77777777" w:rsidR="008E7846" w:rsidRDefault="00AA0ED0" w:rsidP="008E7846">
      <w:pPr>
        <w:pStyle w:val="Heading3"/>
      </w:pPr>
      <w:bookmarkStart w:id="307" w:name="_Toc247691531"/>
      <w:bookmarkStart w:id="308" w:name="_Toc314842515"/>
      <w:bookmarkStart w:id="309" w:name="_Toc12348801"/>
      <w:bookmarkStart w:id="310" w:name="_Toc196046505"/>
      <w:bookmarkStart w:id="311" w:name="_Toc196046949"/>
      <w:r>
        <w:t>Risk-benefit a</w:t>
      </w:r>
      <w:r w:rsidR="008E7846">
        <w:t>nalysis</w:t>
      </w:r>
      <w:bookmarkEnd w:id="307"/>
      <w:bookmarkEnd w:id="308"/>
      <w:bookmarkEnd w:id="309"/>
    </w:p>
    <w:p w14:paraId="43B44865" w14:textId="06F4CA97" w:rsidR="00D23139" w:rsidRDefault="00D23139" w:rsidP="00D23139">
      <w:pPr>
        <w:pStyle w:val="Heading4"/>
      </w:pPr>
      <w:r w:rsidRPr="00D23139">
        <w:t xml:space="preserve">Delegate’s considerations </w:t>
      </w:r>
    </w:p>
    <w:p w14:paraId="764A1D42" w14:textId="2F31ED10" w:rsidR="0082067D" w:rsidRPr="001F6AC2" w:rsidRDefault="0082067D" w:rsidP="0008156B">
      <w:pPr>
        <w:rPr>
          <w:rFonts w:cstheme="minorHAnsi"/>
        </w:rPr>
      </w:pPr>
      <w:r w:rsidRPr="001F6AC2">
        <w:rPr>
          <w:rFonts w:cstheme="minorHAnsi"/>
        </w:rPr>
        <w:t xml:space="preserve">This is a submission for general marketing in Australia of </w:t>
      </w:r>
      <w:r w:rsidR="00C312D1">
        <w:rPr>
          <w:rFonts w:cstheme="minorHAnsi"/>
        </w:rPr>
        <w:t>tafenoquine</w:t>
      </w:r>
      <w:r>
        <w:rPr>
          <w:rFonts w:cstheme="minorHAnsi"/>
        </w:rPr>
        <w:t xml:space="preserve"> succinate</w:t>
      </w:r>
      <w:r w:rsidRPr="001F6AC2">
        <w:rPr>
          <w:rFonts w:cstheme="minorHAnsi"/>
        </w:rPr>
        <w:t>.</w:t>
      </w:r>
      <w:r>
        <w:rPr>
          <w:rFonts w:cstheme="minorHAnsi"/>
        </w:rPr>
        <w:t xml:space="preserve"> </w:t>
      </w:r>
      <w:r w:rsidR="00C312D1">
        <w:rPr>
          <w:rFonts w:cstheme="minorHAnsi"/>
        </w:rPr>
        <w:t>Tafenoquine</w:t>
      </w:r>
      <w:r w:rsidRPr="001F6AC2">
        <w:rPr>
          <w:rFonts w:cstheme="minorHAnsi"/>
        </w:rPr>
        <w:t xml:space="preserve"> is a </w:t>
      </w:r>
      <w:r w:rsidR="00D64CAD">
        <w:rPr>
          <w:rFonts w:cstheme="minorHAnsi"/>
        </w:rPr>
        <w:t>n</w:t>
      </w:r>
      <w:r w:rsidRPr="001F6AC2">
        <w:t xml:space="preserve">ew </w:t>
      </w:r>
      <w:r w:rsidR="00D64CAD">
        <w:t>c</w:t>
      </w:r>
      <w:r w:rsidRPr="001F6AC2">
        <w:t xml:space="preserve">hemical </w:t>
      </w:r>
      <w:r w:rsidR="00D64CAD">
        <w:t>e</w:t>
      </w:r>
      <w:r w:rsidRPr="001F6AC2">
        <w:t>ntity</w:t>
      </w:r>
      <w:r>
        <w:t xml:space="preserve"> </w:t>
      </w:r>
      <w:r w:rsidRPr="001F6AC2">
        <w:t>for the purpose</w:t>
      </w:r>
      <w:r>
        <w:t>s</w:t>
      </w:r>
      <w:r w:rsidRPr="001F6AC2">
        <w:t xml:space="preserve"> of entry into the ARTG.</w:t>
      </w:r>
    </w:p>
    <w:p w14:paraId="145173A0" w14:textId="328CADE5" w:rsidR="0082067D" w:rsidRPr="001F6AC2" w:rsidRDefault="0082067D" w:rsidP="0008156B">
      <w:r w:rsidRPr="001F6AC2">
        <w:t xml:space="preserve">First reported in 1978, </w:t>
      </w:r>
      <w:r w:rsidR="00C312D1">
        <w:t>tafenoquine</w:t>
      </w:r>
      <w:r>
        <w:t xml:space="preserve"> </w:t>
      </w:r>
      <w:r w:rsidRPr="001F6AC2">
        <w:t xml:space="preserve">is a </w:t>
      </w:r>
      <w:r w:rsidR="005F43CE">
        <w:t>primaquine</w:t>
      </w:r>
      <w:r w:rsidRPr="001F6AC2">
        <w:t xml:space="preserve"> congener synthe</w:t>
      </w:r>
      <w:r>
        <w:t xml:space="preserve">sised by adding a methoxy group </w:t>
      </w:r>
      <w:r w:rsidRPr="001F6AC2">
        <w:t>at</w:t>
      </w:r>
      <w:r>
        <w:t xml:space="preserve"> the 2 position, a methyl group </w:t>
      </w:r>
      <w:r w:rsidRPr="001F6AC2">
        <w:t>at the 4 position, and a 3</w:t>
      </w:r>
      <w:r w:rsidR="005F43CE">
        <w:noBreakHyphen/>
      </w:r>
      <w:r w:rsidRPr="001F6AC2">
        <w:t>trifluoromethylphenoxy substitution at the 5 position of the quinoline ring</w:t>
      </w:r>
      <w:r>
        <w:t>.</w:t>
      </w:r>
    </w:p>
    <w:p w14:paraId="13CD8457" w14:textId="1A08A1B3" w:rsidR="0082067D" w:rsidRPr="001F6AC2" w:rsidRDefault="00D64CAD" w:rsidP="0008156B">
      <w:pPr>
        <w:rPr>
          <w:rFonts w:cstheme="minorHAnsi"/>
        </w:rPr>
      </w:pPr>
      <w:r>
        <w:rPr>
          <w:rFonts w:cstheme="minorHAnsi"/>
        </w:rPr>
        <w:t>T</w:t>
      </w:r>
      <w:r w:rsidR="00C312D1">
        <w:rPr>
          <w:rFonts w:cstheme="minorHAnsi"/>
        </w:rPr>
        <w:t>afenoquine</w:t>
      </w:r>
      <w:r w:rsidR="0082067D" w:rsidRPr="00E9721F">
        <w:rPr>
          <w:rFonts w:cstheme="minorHAnsi"/>
        </w:rPr>
        <w:t xml:space="preserve"> is currently not registered in any overseas jurisdiction. A submission for use in malaria prophylaxis, based on similar data as in this submission, is </w:t>
      </w:r>
      <w:r w:rsidR="00094813">
        <w:rPr>
          <w:rFonts w:cstheme="minorHAnsi"/>
        </w:rPr>
        <w:t xml:space="preserve">[at the time of this overview] </w:t>
      </w:r>
      <w:r w:rsidR="0082067D" w:rsidRPr="00E9721F">
        <w:rPr>
          <w:rFonts w:cstheme="minorHAnsi"/>
        </w:rPr>
        <w:t>under review b</w:t>
      </w:r>
      <w:r w:rsidR="0082067D">
        <w:rPr>
          <w:rFonts w:cstheme="minorHAnsi"/>
        </w:rPr>
        <w:t>y the FDA in the USA.</w:t>
      </w:r>
    </w:p>
    <w:p w14:paraId="0041268D" w14:textId="77777777" w:rsidR="005F43CE" w:rsidRDefault="0082067D" w:rsidP="0008156B">
      <w:pPr>
        <w:rPr>
          <w:rFonts w:cstheme="minorHAnsi"/>
        </w:rPr>
      </w:pPr>
      <w:r w:rsidRPr="001F6AC2">
        <w:rPr>
          <w:rFonts w:cstheme="minorHAnsi"/>
        </w:rPr>
        <w:t>The</w:t>
      </w:r>
      <w:r>
        <w:rPr>
          <w:rFonts w:cstheme="minorHAnsi"/>
        </w:rPr>
        <w:t xml:space="preserve"> proposed product (</w:t>
      </w:r>
      <w:r w:rsidR="00A84DBA">
        <w:rPr>
          <w:rFonts w:cstheme="minorHAnsi"/>
        </w:rPr>
        <w:t>Kodatef</w:t>
      </w:r>
      <w:r w:rsidRPr="001F6AC2">
        <w:rPr>
          <w:rFonts w:cstheme="minorHAnsi"/>
        </w:rPr>
        <w:t xml:space="preserve">) is </w:t>
      </w:r>
      <w:r>
        <w:rPr>
          <w:rFonts w:cstheme="minorHAnsi"/>
        </w:rPr>
        <w:t>a film</w:t>
      </w:r>
      <w:r w:rsidR="00D64CAD">
        <w:rPr>
          <w:rFonts w:cstheme="minorHAnsi"/>
        </w:rPr>
        <w:t xml:space="preserve"> </w:t>
      </w:r>
      <w:r>
        <w:rPr>
          <w:rFonts w:cstheme="minorHAnsi"/>
        </w:rPr>
        <w:t>coated, immediate</w:t>
      </w:r>
      <w:r w:rsidR="00D64CAD">
        <w:rPr>
          <w:rFonts w:cstheme="minorHAnsi"/>
        </w:rPr>
        <w:t xml:space="preserve"> </w:t>
      </w:r>
      <w:r>
        <w:rPr>
          <w:rFonts w:cstheme="minorHAnsi"/>
        </w:rPr>
        <w:t xml:space="preserve">release, </w:t>
      </w:r>
      <w:r w:rsidRPr="001F6AC2">
        <w:rPr>
          <w:rFonts w:cstheme="minorHAnsi"/>
        </w:rPr>
        <w:t>oral tabl</w:t>
      </w:r>
      <w:r>
        <w:rPr>
          <w:rFonts w:cstheme="minorHAnsi"/>
        </w:rPr>
        <w:t>et containing 125.5</w:t>
      </w:r>
      <w:r w:rsidR="00D64CAD">
        <w:rPr>
          <w:rFonts w:cstheme="minorHAnsi"/>
        </w:rPr>
        <w:t xml:space="preserve"> </w:t>
      </w:r>
      <w:r>
        <w:rPr>
          <w:rFonts w:cstheme="minorHAnsi"/>
        </w:rPr>
        <w:t xml:space="preserve">mg </w:t>
      </w:r>
      <w:r w:rsidR="00C312D1">
        <w:rPr>
          <w:rFonts w:cstheme="minorHAnsi"/>
        </w:rPr>
        <w:t>tafenoquine</w:t>
      </w:r>
      <w:r>
        <w:rPr>
          <w:rFonts w:cstheme="minorHAnsi"/>
        </w:rPr>
        <w:t xml:space="preserve"> </w:t>
      </w:r>
      <w:r w:rsidRPr="001F6AC2">
        <w:rPr>
          <w:rFonts w:cstheme="minorHAnsi"/>
        </w:rPr>
        <w:t>succinate salt equi</w:t>
      </w:r>
      <w:r>
        <w:rPr>
          <w:rFonts w:cstheme="minorHAnsi"/>
        </w:rPr>
        <w:t>valent to 10</w:t>
      </w:r>
      <w:r w:rsidR="00A84DBA">
        <w:rPr>
          <w:rFonts w:cstheme="minorHAnsi"/>
        </w:rPr>
        <w:t>0 mg</w:t>
      </w:r>
      <w:r>
        <w:rPr>
          <w:rFonts w:cstheme="minorHAnsi"/>
        </w:rPr>
        <w:t xml:space="preserve"> </w:t>
      </w:r>
      <w:r w:rsidR="00C312D1">
        <w:rPr>
          <w:rFonts w:cstheme="minorHAnsi"/>
        </w:rPr>
        <w:t>tafenoquine</w:t>
      </w:r>
      <w:r w:rsidRPr="001F6AC2">
        <w:rPr>
          <w:rFonts w:cstheme="minorHAnsi"/>
        </w:rPr>
        <w:t xml:space="preserve"> base.</w:t>
      </w:r>
      <w:r>
        <w:rPr>
          <w:rFonts w:cstheme="minorHAnsi"/>
        </w:rPr>
        <w:t xml:space="preserve"> </w:t>
      </w:r>
      <w:r w:rsidRPr="00E9721F">
        <w:rPr>
          <w:rFonts w:cstheme="minorHAnsi"/>
        </w:rPr>
        <w:t>The proposed therapeutic indication is</w:t>
      </w:r>
      <w:r w:rsidR="005F43CE">
        <w:rPr>
          <w:rFonts w:cstheme="minorHAnsi"/>
        </w:rPr>
        <w:t>:</w:t>
      </w:r>
    </w:p>
    <w:p w14:paraId="4E5AAE75" w14:textId="742AD5E8" w:rsidR="0082067D" w:rsidRPr="00E9721F" w:rsidRDefault="0082067D" w:rsidP="00C73D8C">
      <w:pPr>
        <w:ind w:left="720"/>
        <w:rPr>
          <w:rFonts w:cstheme="minorHAnsi"/>
        </w:rPr>
      </w:pPr>
      <w:proofErr w:type="gramStart"/>
      <w:r w:rsidRPr="00D64CAD">
        <w:rPr>
          <w:rFonts w:cstheme="minorHAnsi"/>
          <w:i/>
        </w:rPr>
        <w:t>Primary prevention of malaria in adults for up to 6 months of continuous dosing</w:t>
      </w:r>
      <w:r w:rsidR="0039759D" w:rsidRPr="00D64CAD">
        <w:rPr>
          <w:rFonts w:cstheme="minorHAnsi"/>
          <w:i/>
        </w:rPr>
        <w:t>’</w:t>
      </w:r>
      <w:r w:rsidRPr="00E9721F">
        <w:rPr>
          <w:rFonts w:cstheme="minorHAnsi"/>
        </w:rPr>
        <w:t>.</w:t>
      </w:r>
      <w:proofErr w:type="gramEnd"/>
      <w:r w:rsidRPr="00E9721F">
        <w:rPr>
          <w:rFonts w:cstheme="minorHAnsi"/>
        </w:rPr>
        <w:t xml:space="preserve"> The proposed dosing</w:t>
      </w:r>
      <w:r>
        <w:rPr>
          <w:rFonts w:cstheme="minorHAnsi"/>
        </w:rPr>
        <w:t xml:space="preserve"> is ‘</w:t>
      </w:r>
      <w:r w:rsidRPr="00D64CAD">
        <w:rPr>
          <w:rFonts w:cstheme="minorHAnsi"/>
          <w:i/>
        </w:rPr>
        <w:t>loading dose of 2x10</w:t>
      </w:r>
      <w:r w:rsidR="00A84DBA" w:rsidRPr="00D64CAD">
        <w:rPr>
          <w:rFonts w:cstheme="minorHAnsi"/>
          <w:i/>
        </w:rPr>
        <w:t>0 mg</w:t>
      </w:r>
      <w:r w:rsidRPr="00D64CAD">
        <w:rPr>
          <w:rFonts w:cstheme="minorHAnsi"/>
          <w:i/>
        </w:rPr>
        <w:t xml:space="preserve"> tablets once daily for 3 days before travel, followed by 2x10</w:t>
      </w:r>
      <w:r w:rsidR="00A84DBA" w:rsidRPr="00D64CAD">
        <w:rPr>
          <w:rFonts w:cstheme="minorHAnsi"/>
          <w:i/>
        </w:rPr>
        <w:t>0 mg</w:t>
      </w:r>
      <w:r w:rsidRPr="00D64CAD">
        <w:rPr>
          <w:rFonts w:cstheme="minorHAnsi"/>
          <w:i/>
        </w:rPr>
        <w:t xml:space="preserve"> weekly maintenance doses while in malarious area, followed by single dose of 2x10</w:t>
      </w:r>
      <w:r w:rsidR="00A84DBA" w:rsidRPr="00D64CAD">
        <w:rPr>
          <w:rFonts w:cstheme="minorHAnsi"/>
          <w:i/>
        </w:rPr>
        <w:t>0 mg</w:t>
      </w:r>
      <w:r w:rsidRPr="00D64CAD">
        <w:rPr>
          <w:rFonts w:cstheme="minorHAnsi"/>
          <w:i/>
        </w:rPr>
        <w:t xml:space="preserve"> in the week following exit from the malarious area</w:t>
      </w:r>
      <w:r w:rsidRPr="00E9721F">
        <w:rPr>
          <w:rFonts w:cstheme="minorHAnsi"/>
        </w:rPr>
        <w:t>.</w:t>
      </w:r>
    </w:p>
    <w:p w14:paraId="07E3A8D5" w14:textId="06A0F2F0" w:rsidR="0082067D" w:rsidRPr="001F6AC2" w:rsidRDefault="0082067D" w:rsidP="0008156B">
      <w:pPr>
        <w:rPr>
          <w:rFonts w:cstheme="minorHAnsi"/>
        </w:rPr>
      </w:pPr>
      <w:r w:rsidRPr="001F6AC2">
        <w:rPr>
          <w:rFonts w:cstheme="minorHAnsi"/>
        </w:rPr>
        <w:lastRenderedPageBreak/>
        <w:t xml:space="preserve">There are no outstanding </w:t>
      </w:r>
      <w:r w:rsidR="0065611C" w:rsidRPr="001F6AC2">
        <w:rPr>
          <w:rFonts w:cstheme="minorHAnsi"/>
        </w:rPr>
        <w:t>chemistry/quality/manufacture</w:t>
      </w:r>
      <w:r w:rsidRPr="001F6AC2">
        <w:rPr>
          <w:rFonts w:cstheme="minorHAnsi"/>
        </w:rPr>
        <w:t>/GMP issues preventing registration.</w:t>
      </w:r>
    </w:p>
    <w:p w14:paraId="43D09D30" w14:textId="2A5D2A6E" w:rsidR="0082067D" w:rsidRDefault="0082067D" w:rsidP="0008156B">
      <w:pPr>
        <w:rPr>
          <w:rFonts w:cstheme="minorHAnsi"/>
        </w:rPr>
      </w:pPr>
      <w:r>
        <w:rPr>
          <w:rFonts w:cstheme="minorHAnsi"/>
        </w:rPr>
        <w:t xml:space="preserve">In </w:t>
      </w:r>
      <w:r w:rsidR="0065611C">
        <w:rPr>
          <w:rFonts w:cstheme="minorHAnsi"/>
        </w:rPr>
        <w:t xml:space="preserve">the </w:t>
      </w:r>
      <w:r>
        <w:rPr>
          <w:rFonts w:cstheme="minorHAnsi"/>
        </w:rPr>
        <w:t>nonclinical</w:t>
      </w:r>
      <w:r w:rsidR="0065611C">
        <w:rPr>
          <w:rFonts w:cstheme="minorHAnsi"/>
        </w:rPr>
        <w:t xml:space="preserve"> report</w:t>
      </w:r>
      <w:r>
        <w:rPr>
          <w:rFonts w:cstheme="minorHAnsi"/>
        </w:rPr>
        <w:t xml:space="preserve">, </w:t>
      </w:r>
      <w:r w:rsidRPr="00BE362F">
        <w:rPr>
          <w:kern w:val="2"/>
        </w:rPr>
        <w:t xml:space="preserve">renal tumours </w:t>
      </w:r>
      <w:r>
        <w:rPr>
          <w:kern w:val="2"/>
        </w:rPr>
        <w:t xml:space="preserve">(renal cell adenoma at 1 </w:t>
      </w:r>
      <w:r w:rsidR="005F43CE">
        <w:rPr>
          <w:kern w:val="2"/>
        </w:rPr>
        <w:t xml:space="preserve">and </w:t>
      </w:r>
      <w:r>
        <w:rPr>
          <w:kern w:val="2"/>
        </w:rPr>
        <w:t xml:space="preserve">2 mg/kg/day with one incidence of carcinoma at 2 mg/kg/day) </w:t>
      </w:r>
      <w:r w:rsidRPr="00BE362F">
        <w:rPr>
          <w:kern w:val="2"/>
        </w:rPr>
        <w:t xml:space="preserve">and </w:t>
      </w:r>
      <w:r>
        <w:rPr>
          <w:kern w:val="2"/>
        </w:rPr>
        <w:t xml:space="preserve">cortical hyperplasia at </w:t>
      </w:r>
      <w:r w:rsidRPr="00BE362F">
        <w:rPr>
          <w:kern w:val="2"/>
        </w:rPr>
        <w:t>2 mg/kg/day</w:t>
      </w:r>
      <w:r>
        <w:rPr>
          <w:kern w:val="2"/>
        </w:rPr>
        <w:t xml:space="preserve"> were observed in male rats in association with</w:t>
      </w:r>
      <w:r>
        <w:t xml:space="preserve"> development of </w:t>
      </w:r>
      <w:r>
        <w:rPr>
          <w:kern w:val="2"/>
        </w:rPr>
        <w:t>CPN in t</w:t>
      </w:r>
      <w:r>
        <w:rPr>
          <w:rFonts w:cstheme="minorHAnsi"/>
        </w:rPr>
        <w:t>he 2 year rat carcinogenicity study. A NOAEL could not be established in this study.</w:t>
      </w:r>
    </w:p>
    <w:p w14:paraId="352B21EA" w14:textId="2F51B3E4" w:rsidR="0082067D" w:rsidRDefault="0082067D" w:rsidP="0008156B">
      <w:pPr>
        <w:rPr>
          <w:rFonts w:cstheme="minorHAnsi"/>
        </w:rPr>
      </w:pPr>
      <w:r>
        <w:rPr>
          <w:kern w:val="2"/>
        </w:rPr>
        <w:t>In a</w:t>
      </w:r>
      <w:r w:rsidRPr="00817A30">
        <w:rPr>
          <w:kern w:val="2"/>
        </w:rPr>
        <w:t xml:space="preserve"> 13</w:t>
      </w:r>
      <w:r w:rsidR="000C24B0">
        <w:rPr>
          <w:kern w:val="2"/>
        </w:rPr>
        <w:t xml:space="preserve"> week</w:t>
      </w:r>
      <w:r w:rsidRPr="00817A30">
        <w:rPr>
          <w:kern w:val="2"/>
        </w:rPr>
        <w:t xml:space="preserve"> rat study, immunostaining of kidney sections showed increased Ki67 and proliferating cel</w:t>
      </w:r>
      <w:r>
        <w:rPr>
          <w:kern w:val="2"/>
        </w:rPr>
        <w:t xml:space="preserve">l nuclear antigen </w:t>
      </w:r>
      <w:r w:rsidRPr="00817A30">
        <w:rPr>
          <w:kern w:val="2"/>
        </w:rPr>
        <w:t>in both se</w:t>
      </w:r>
      <w:r>
        <w:rPr>
          <w:kern w:val="2"/>
        </w:rPr>
        <w:t>xes at 18 mg/kg/day and in males</w:t>
      </w:r>
      <w:r w:rsidRPr="00817A30">
        <w:rPr>
          <w:kern w:val="2"/>
        </w:rPr>
        <w:t xml:space="preserve"> at 2</w:t>
      </w:r>
      <w:r w:rsidR="005F43CE">
        <w:rPr>
          <w:kern w:val="2"/>
        </w:rPr>
        <w:t> </w:t>
      </w:r>
      <w:r w:rsidRPr="00817A30">
        <w:rPr>
          <w:kern w:val="2"/>
        </w:rPr>
        <w:t>mg/kg/day.</w:t>
      </w:r>
      <w:r>
        <w:rPr>
          <w:kern w:val="2"/>
        </w:rPr>
        <w:t xml:space="preserve"> These</w:t>
      </w:r>
      <w:r w:rsidRPr="00817A30">
        <w:rPr>
          <w:kern w:val="2"/>
        </w:rPr>
        <w:t xml:space="preserve"> </w:t>
      </w:r>
      <w:r>
        <w:rPr>
          <w:kern w:val="2"/>
        </w:rPr>
        <w:t>(</w:t>
      </w:r>
      <w:r w:rsidRPr="00817A30">
        <w:rPr>
          <w:kern w:val="2"/>
        </w:rPr>
        <w:t>Ki67 and proliferating cel</w:t>
      </w:r>
      <w:r>
        <w:rPr>
          <w:kern w:val="2"/>
        </w:rPr>
        <w:t xml:space="preserve">l nuclear antigen) </w:t>
      </w:r>
      <w:r w:rsidRPr="00817A30">
        <w:rPr>
          <w:kern w:val="2"/>
        </w:rPr>
        <w:t>are</w:t>
      </w:r>
      <w:r>
        <w:rPr>
          <w:kern w:val="2"/>
        </w:rPr>
        <w:t xml:space="preserve"> markers of cell proliferation. K</w:t>
      </w:r>
      <w:r w:rsidRPr="00817A30">
        <w:rPr>
          <w:kern w:val="2"/>
        </w:rPr>
        <w:t xml:space="preserve">aryomegaly in the outer strip of renal medulla at 2 or 18 mg/kg/day and diffuse medullary epithelial vacuolation and single cell necrosis </w:t>
      </w:r>
      <w:r>
        <w:rPr>
          <w:kern w:val="2"/>
        </w:rPr>
        <w:t>in both sexes at 18</w:t>
      </w:r>
      <w:r w:rsidR="005F43CE">
        <w:rPr>
          <w:kern w:val="2"/>
        </w:rPr>
        <w:t> </w:t>
      </w:r>
      <w:r>
        <w:rPr>
          <w:kern w:val="2"/>
        </w:rPr>
        <w:t>mg/kg/day were also reported.</w:t>
      </w:r>
    </w:p>
    <w:p w14:paraId="52C0E1ED" w14:textId="63D61621" w:rsidR="0082067D" w:rsidRPr="008304CD" w:rsidRDefault="0082067D" w:rsidP="0008156B">
      <w:pPr>
        <w:rPr>
          <w:rFonts w:cstheme="minorHAnsi"/>
        </w:rPr>
      </w:pPr>
      <w:r>
        <w:rPr>
          <w:rFonts w:cstheme="minorHAnsi"/>
        </w:rPr>
        <w:t xml:space="preserve">The </w:t>
      </w:r>
      <w:r w:rsidR="0065611C">
        <w:rPr>
          <w:rFonts w:cstheme="minorHAnsi"/>
        </w:rPr>
        <w:t>nonclinical</w:t>
      </w:r>
      <w:r>
        <w:rPr>
          <w:rFonts w:cstheme="minorHAnsi"/>
        </w:rPr>
        <w:t xml:space="preserve"> evaluator</w:t>
      </w:r>
      <w:r w:rsidR="0065611C">
        <w:rPr>
          <w:rFonts w:cstheme="minorHAnsi"/>
        </w:rPr>
        <w:t>s</w:t>
      </w:r>
      <w:r>
        <w:rPr>
          <w:rFonts w:cstheme="minorHAnsi"/>
        </w:rPr>
        <w:t xml:space="preserve"> observe that</w:t>
      </w:r>
      <w:r w:rsidRPr="008304CD">
        <w:rPr>
          <w:rFonts w:cstheme="minorHAnsi"/>
        </w:rPr>
        <w:t xml:space="preserve"> </w:t>
      </w:r>
      <w:r w:rsidR="0039759D">
        <w:rPr>
          <w:rFonts w:cstheme="minorHAnsi"/>
        </w:rPr>
        <w:t>‘</w:t>
      </w:r>
      <w:r w:rsidRPr="0065611C">
        <w:rPr>
          <w:rFonts w:cstheme="minorHAnsi"/>
          <w:i/>
        </w:rPr>
        <w:t>considering other findings described above in both sexes in the 13</w:t>
      </w:r>
      <w:r w:rsidR="000C24B0" w:rsidRPr="0065611C">
        <w:rPr>
          <w:rFonts w:cstheme="minorHAnsi"/>
          <w:i/>
        </w:rPr>
        <w:t xml:space="preserve"> week</w:t>
      </w:r>
      <w:r w:rsidRPr="0065611C">
        <w:rPr>
          <w:rFonts w:cstheme="minorHAnsi"/>
          <w:i/>
        </w:rPr>
        <w:t xml:space="preserve"> study and that the exact mechanism is unclear, renal tumours in male rats treated with </w:t>
      </w:r>
      <w:r w:rsidR="00C312D1" w:rsidRPr="0065611C">
        <w:rPr>
          <w:rFonts w:cstheme="minorHAnsi"/>
          <w:i/>
        </w:rPr>
        <w:t>tafenoquine</w:t>
      </w:r>
      <w:r w:rsidRPr="0065611C">
        <w:rPr>
          <w:rFonts w:cstheme="minorHAnsi"/>
          <w:i/>
        </w:rPr>
        <w:t xml:space="preserve"> are clinically relevant</w:t>
      </w:r>
      <w:r w:rsidR="0039759D" w:rsidRPr="0065611C">
        <w:rPr>
          <w:rFonts w:cstheme="minorHAnsi"/>
          <w:i/>
        </w:rPr>
        <w:t>’</w:t>
      </w:r>
      <w:r w:rsidRPr="008304CD">
        <w:rPr>
          <w:rFonts w:cstheme="minorHAnsi"/>
        </w:rPr>
        <w:t>.</w:t>
      </w:r>
    </w:p>
    <w:p w14:paraId="4CA82BB8" w14:textId="212252E8" w:rsidR="0082067D" w:rsidRPr="0069231A" w:rsidRDefault="0082067D" w:rsidP="0008156B">
      <w:pPr>
        <w:rPr>
          <w:rFonts w:cstheme="minorHAnsi"/>
        </w:rPr>
      </w:pPr>
      <w:r>
        <w:rPr>
          <w:rFonts w:cstheme="minorHAnsi"/>
        </w:rPr>
        <w:t xml:space="preserve">Overall recommendation from the </w:t>
      </w:r>
      <w:r w:rsidR="0065611C">
        <w:rPr>
          <w:rFonts w:cstheme="minorHAnsi"/>
        </w:rPr>
        <w:t>nonclinical</w:t>
      </w:r>
      <w:r>
        <w:rPr>
          <w:rFonts w:cstheme="minorHAnsi"/>
        </w:rPr>
        <w:t xml:space="preserve"> evaluator is</w:t>
      </w:r>
      <w:r w:rsidRPr="0069231A">
        <w:rPr>
          <w:rFonts w:cstheme="minorHAnsi"/>
        </w:rPr>
        <w:t xml:space="preserve"> that </w:t>
      </w:r>
      <w:r w:rsidR="0039759D">
        <w:rPr>
          <w:rFonts w:cstheme="minorHAnsi"/>
        </w:rPr>
        <w:t>‘</w:t>
      </w:r>
      <w:r w:rsidRPr="0065611C">
        <w:rPr>
          <w:rFonts w:cstheme="minorHAnsi"/>
          <w:i/>
        </w:rPr>
        <w:t xml:space="preserve">Provided the above effects are adequately monitored or managed during clinical use and that the benefit/risk profile seems acceptable from a clinical perspective, there are no objections on nonclinical grounds to the proposed registration of </w:t>
      </w:r>
      <w:r w:rsidR="00C312D1" w:rsidRPr="0065611C">
        <w:rPr>
          <w:rFonts w:cstheme="minorHAnsi"/>
          <w:i/>
        </w:rPr>
        <w:t>tafenoquine</w:t>
      </w:r>
      <w:r w:rsidRPr="0065611C">
        <w:rPr>
          <w:rFonts w:cstheme="minorHAnsi"/>
          <w:i/>
        </w:rPr>
        <w:t xml:space="preserve"> succinate (</w:t>
      </w:r>
      <w:r w:rsidR="00A84DBA" w:rsidRPr="0065611C">
        <w:rPr>
          <w:rFonts w:cstheme="minorHAnsi"/>
          <w:i/>
        </w:rPr>
        <w:t>Kodatef</w:t>
      </w:r>
      <w:r w:rsidRPr="0065611C">
        <w:rPr>
          <w:rFonts w:cstheme="minorHAnsi"/>
          <w:i/>
        </w:rPr>
        <w:t>)</w:t>
      </w:r>
      <w:r w:rsidR="0039759D">
        <w:rPr>
          <w:rFonts w:cstheme="minorHAnsi"/>
        </w:rPr>
        <w:t>’</w:t>
      </w:r>
      <w:r w:rsidRPr="0069231A">
        <w:rPr>
          <w:rFonts w:cstheme="minorHAnsi"/>
        </w:rPr>
        <w:t>.</w:t>
      </w:r>
    </w:p>
    <w:p w14:paraId="6AA21DE3" w14:textId="67C83139" w:rsidR="0082067D" w:rsidRPr="001F6AC2" w:rsidRDefault="0082067D" w:rsidP="0008156B">
      <w:pPr>
        <w:rPr>
          <w:rFonts w:cstheme="minorHAnsi"/>
        </w:rPr>
      </w:pPr>
      <w:r w:rsidRPr="001F6AC2">
        <w:rPr>
          <w:rFonts w:cstheme="minorHAnsi"/>
        </w:rPr>
        <w:t xml:space="preserve">There are no outstanding </w:t>
      </w:r>
      <w:r>
        <w:rPr>
          <w:rFonts w:cstheme="minorHAnsi"/>
        </w:rPr>
        <w:t>RMP</w:t>
      </w:r>
      <w:r w:rsidRPr="001F6AC2">
        <w:rPr>
          <w:rFonts w:cstheme="minorHAnsi"/>
        </w:rPr>
        <w:t xml:space="preserve"> issues preventing approval. Renal hyperplasia and hyperplasia </w:t>
      </w:r>
      <w:r>
        <w:rPr>
          <w:rFonts w:cstheme="minorHAnsi"/>
        </w:rPr>
        <w:t xml:space="preserve">(other) </w:t>
      </w:r>
      <w:r w:rsidRPr="001F6AC2">
        <w:rPr>
          <w:rFonts w:cstheme="minorHAnsi"/>
        </w:rPr>
        <w:t xml:space="preserve">are noted </w:t>
      </w:r>
      <w:r>
        <w:rPr>
          <w:rFonts w:cstheme="minorHAnsi"/>
        </w:rPr>
        <w:t>as important potential risks. Routine pharmacovigilance is proposed.</w:t>
      </w:r>
    </w:p>
    <w:p w14:paraId="68618AD1" w14:textId="4A56DF05" w:rsidR="0082067D" w:rsidRDefault="0082067D" w:rsidP="0008156B">
      <w:pPr>
        <w:rPr>
          <w:rFonts w:cstheme="minorHAnsi"/>
        </w:rPr>
      </w:pPr>
      <w:r w:rsidRPr="001F6AC2">
        <w:rPr>
          <w:rFonts w:cstheme="minorHAnsi"/>
        </w:rPr>
        <w:t xml:space="preserve">The clinical evaluator considers that </w:t>
      </w:r>
      <w:r w:rsidR="0065611C">
        <w:rPr>
          <w:rFonts w:cstheme="minorHAnsi"/>
        </w:rPr>
        <w:t>S</w:t>
      </w:r>
      <w:r w:rsidRPr="001F6AC2">
        <w:rPr>
          <w:rFonts w:cstheme="minorHAnsi"/>
        </w:rPr>
        <w:t>tudy 033 (‘</w:t>
      </w:r>
      <w:r w:rsidRPr="0065611C">
        <w:rPr>
          <w:rFonts w:cstheme="minorHAnsi"/>
          <w:i/>
        </w:rPr>
        <w:t>ADF data about the risk of malaria in returned ADF personnel</w:t>
      </w:r>
      <w:r w:rsidRPr="001F6AC2">
        <w:rPr>
          <w:rFonts w:cstheme="minorHAnsi"/>
        </w:rPr>
        <w:t>’) is the stro</w:t>
      </w:r>
      <w:r>
        <w:rPr>
          <w:rFonts w:cstheme="minorHAnsi"/>
        </w:rPr>
        <w:t>ngest argument for marketing</w:t>
      </w:r>
      <w:r w:rsidRPr="001F6AC2">
        <w:rPr>
          <w:rFonts w:cstheme="minorHAnsi"/>
        </w:rPr>
        <w:t xml:space="preserve"> this drug in Australia and recommends approval of </w:t>
      </w:r>
      <w:r w:rsidR="00C312D1">
        <w:rPr>
          <w:rFonts w:cstheme="minorHAnsi"/>
        </w:rPr>
        <w:t>tafenoquine</w:t>
      </w:r>
      <w:r w:rsidRPr="001F6AC2">
        <w:rPr>
          <w:rFonts w:cstheme="minorHAnsi"/>
        </w:rPr>
        <w:t xml:space="preserve"> for use in </w:t>
      </w:r>
      <w:r>
        <w:rPr>
          <w:rFonts w:cstheme="minorHAnsi"/>
        </w:rPr>
        <w:t>‘</w:t>
      </w:r>
      <w:r w:rsidRPr="0065611C">
        <w:rPr>
          <w:rFonts w:cstheme="minorHAnsi"/>
          <w:i/>
        </w:rPr>
        <w:t>military personnel (or other personnel at high risk of malaria) in whom other, licensed prophylaxis drugs are contra-indicated or not tolerated</w:t>
      </w:r>
      <w:r>
        <w:rPr>
          <w:rFonts w:cstheme="minorHAnsi"/>
        </w:rPr>
        <w:t>’</w:t>
      </w:r>
      <w:r w:rsidRPr="001F6AC2">
        <w:rPr>
          <w:rFonts w:cstheme="minorHAnsi"/>
        </w:rPr>
        <w:t>.</w:t>
      </w:r>
    </w:p>
    <w:p w14:paraId="01176FB6" w14:textId="3B95D6BD" w:rsidR="0082067D" w:rsidRDefault="0082067D" w:rsidP="0008156B">
      <w:pPr>
        <w:rPr>
          <w:rFonts w:cstheme="minorHAnsi"/>
        </w:rPr>
      </w:pPr>
      <w:r>
        <w:rPr>
          <w:rFonts w:cstheme="minorHAnsi"/>
        </w:rPr>
        <w:t xml:space="preserve">The dose selection for </w:t>
      </w:r>
      <w:r w:rsidR="002522B4">
        <w:rPr>
          <w:rFonts w:cstheme="minorHAnsi"/>
        </w:rPr>
        <w:t xml:space="preserve">the </w:t>
      </w:r>
      <w:r>
        <w:rPr>
          <w:rFonts w:cstheme="minorHAnsi"/>
        </w:rPr>
        <w:t xml:space="preserve">pivotal </w:t>
      </w:r>
      <w:r w:rsidR="0065611C">
        <w:rPr>
          <w:rFonts w:cstheme="minorHAnsi"/>
        </w:rPr>
        <w:t>Study</w:t>
      </w:r>
      <w:r>
        <w:rPr>
          <w:rFonts w:cstheme="minorHAnsi"/>
        </w:rPr>
        <w:t xml:space="preserve"> 033 </w:t>
      </w:r>
      <w:r w:rsidR="0065611C">
        <w:rPr>
          <w:rFonts w:cstheme="minorHAnsi"/>
        </w:rPr>
        <w:t xml:space="preserve">was based on </w:t>
      </w:r>
      <w:r w:rsidR="00222998">
        <w:rPr>
          <w:rFonts w:cstheme="minorHAnsi"/>
        </w:rPr>
        <w:t>the m</w:t>
      </w:r>
      <w:r w:rsidR="005F43CE">
        <w:rPr>
          <w:rFonts w:cstheme="minorHAnsi"/>
        </w:rPr>
        <w:t xml:space="preserve">alaria challenge </w:t>
      </w:r>
      <w:r w:rsidR="00222998">
        <w:rPr>
          <w:rFonts w:cstheme="minorHAnsi"/>
        </w:rPr>
        <w:t xml:space="preserve">in </w:t>
      </w:r>
      <w:r w:rsidR="0065611C">
        <w:rPr>
          <w:rFonts w:cstheme="minorHAnsi"/>
        </w:rPr>
        <w:t>S</w:t>
      </w:r>
      <w:r>
        <w:rPr>
          <w:rFonts w:cstheme="minorHAnsi"/>
        </w:rPr>
        <w:t>tudy</w:t>
      </w:r>
      <w:r w:rsidR="005F43CE">
        <w:rPr>
          <w:rFonts w:cstheme="minorHAnsi"/>
        </w:rPr>
        <w:t> </w:t>
      </w:r>
      <w:r>
        <w:rPr>
          <w:rFonts w:cstheme="minorHAnsi"/>
        </w:rPr>
        <w:t xml:space="preserve">053 and </w:t>
      </w:r>
      <w:r w:rsidR="002522B4">
        <w:rPr>
          <w:rFonts w:cstheme="minorHAnsi"/>
        </w:rPr>
        <w:t xml:space="preserve">the </w:t>
      </w:r>
      <w:r>
        <w:rPr>
          <w:rFonts w:cstheme="minorHAnsi"/>
        </w:rPr>
        <w:t>subsequent Phase</w:t>
      </w:r>
      <w:r w:rsidR="005F43CE">
        <w:rPr>
          <w:rFonts w:cstheme="minorHAnsi"/>
        </w:rPr>
        <w:t> </w:t>
      </w:r>
      <w:r w:rsidR="0065611C">
        <w:rPr>
          <w:rFonts w:cstheme="minorHAnsi"/>
        </w:rPr>
        <w:t>II S</w:t>
      </w:r>
      <w:r>
        <w:rPr>
          <w:rFonts w:cstheme="minorHAnsi"/>
        </w:rPr>
        <w:t>tudy</w:t>
      </w:r>
      <w:r w:rsidR="005F43CE">
        <w:rPr>
          <w:rFonts w:cstheme="minorHAnsi"/>
        </w:rPr>
        <w:t> </w:t>
      </w:r>
      <w:r>
        <w:rPr>
          <w:rFonts w:cstheme="minorHAnsi"/>
        </w:rPr>
        <w:t xml:space="preserve">044. The plasma </w:t>
      </w:r>
      <w:r w:rsidR="00C312D1">
        <w:rPr>
          <w:rFonts w:cstheme="minorHAnsi"/>
        </w:rPr>
        <w:t>tafenoquine</w:t>
      </w:r>
      <w:r>
        <w:rPr>
          <w:rFonts w:cstheme="minorHAnsi"/>
        </w:rPr>
        <w:t xml:space="preserve"> threshold </w:t>
      </w:r>
      <w:proofErr w:type="gramStart"/>
      <w:r>
        <w:rPr>
          <w:rFonts w:cstheme="minorHAnsi"/>
        </w:rPr>
        <w:t>of 54.5</w:t>
      </w:r>
      <w:r w:rsidR="004415DE">
        <w:rPr>
          <w:rFonts w:cstheme="minorHAnsi"/>
        </w:rPr>
        <w:t xml:space="preserve"> ng/</w:t>
      </w:r>
      <w:r>
        <w:rPr>
          <w:rFonts w:cstheme="minorHAnsi"/>
        </w:rPr>
        <w:t>mL</w:t>
      </w:r>
      <w:proofErr w:type="gramEnd"/>
      <w:r>
        <w:rPr>
          <w:rFonts w:cstheme="minorHAnsi"/>
        </w:rPr>
        <w:t xml:space="preserve"> was found to be related to occurrence of malaria relapses. The subsequent selection of a target plasma concentration </w:t>
      </w:r>
      <w:proofErr w:type="gramStart"/>
      <w:r>
        <w:rPr>
          <w:rFonts w:cstheme="minorHAnsi"/>
        </w:rPr>
        <w:t>of 80</w:t>
      </w:r>
      <w:r w:rsidR="004415DE">
        <w:rPr>
          <w:rFonts w:cstheme="minorHAnsi"/>
        </w:rPr>
        <w:t xml:space="preserve"> ng/</w:t>
      </w:r>
      <w:r>
        <w:rPr>
          <w:rFonts w:cstheme="minorHAnsi"/>
        </w:rPr>
        <w:t>mL</w:t>
      </w:r>
      <w:proofErr w:type="gramEnd"/>
      <w:r>
        <w:rPr>
          <w:rFonts w:cstheme="minorHAnsi"/>
        </w:rPr>
        <w:t xml:space="preserve"> was arbitrary. The </w:t>
      </w:r>
      <w:r>
        <w:rPr>
          <w:rFonts w:eastAsiaTheme="minorHAnsi" w:cs="TimesNewRomanPSMT"/>
        </w:rPr>
        <w:t>p</w:t>
      </w:r>
      <w:r w:rsidRPr="00895B7D">
        <w:rPr>
          <w:rFonts w:eastAsiaTheme="minorHAnsi" w:cs="TimesNewRomanPSMT"/>
        </w:rPr>
        <w:t>opulation PK analysi</w:t>
      </w:r>
      <w:r>
        <w:rPr>
          <w:rFonts w:eastAsiaTheme="minorHAnsi" w:cs="TimesNewRomanPSMT"/>
        </w:rPr>
        <w:t>s predicted that the proposed</w:t>
      </w:r>
      <w:r w:rsidRPr="00895B7D">
        <w:rPr>
          <w:rFonts w:eastAsiaTheme="minorHAnsi" w:cs="TimesNewRomanPSMT"/>
        </w:rPr>
        <w:t xml:space="preserve"> prevention regimen</w:t>
      </w:r>
      <w:r>
        <w:rPr>
          <w:rFonts w:eastAsiaTheme="minorHAnsi" w:cs="TimesNewRomanPSMT"/>
        </w:rPr>
        <w:t xml:space="preserve"> (20</w:t>
      </w:r>
      <w:r w:rsidR="00A84DBA">
        <w:rPr>
          <w:rFonts w:eastAsiaTheme="minorHAnsi" w:cs="TimesNewRomanPSMT"/>
        </w:rPr>
        <w:t>0 mg</w:t>
      </w:r>
      <w:r>
        <w:rPr>
          <w:rFonts w:eastAsiaTheme="minorHAnsi" w:cs="TimesNewRomanPSMT"/>
        </w:rPr>
        <w:t xml:space="preserve"> daily x 3 days, then 20</w:t>
      </w:r>
      <w:r w:rsidR="00A84DBA">
        <w:rPr>
          <w:rFonts w:eastAsiaTheme="minorHAnsi" w:cs="TimesNewRomanPSMT"/>
        </w:rPr>
        <w:t>0 mg</w:t>
      </w:r>
      <w:r>
        <w:rPr>
          <w:rFonts w:eastAsiaTheme="minorHAnsi" w:cs="TimesNewRomanPSMT"/>
        </w:rPr>
        <w:t xml:space="preserve"> weekly) will achieve trough levels &gt;80</w:t>
      </w:r>
      <w:r w:rsidR="004415DE">
        <w:rPr>
          <w:rFonts w:eastAsiaTheme="minorHAnsi" w:cs="TimesNewRomanPSMT"/>
        </w:rPr>
        <w:t xml:space="preserve"> ng/</w:t>
      </w:r>
      <w:r>
        <w:rPr>
          <w:rFonts w:eastAsiaTheme="minorHAnsi" w:cs="TimesNewRomanPSMT"/>
        </w:rPr>
        <w:t xml:space="preserve">mL in &gt;95% </w:t>
      </w:r>
      <w:r w:rsidRPr="00895B7D">
        <w:rPr>
          <w:rFonts w:eastAsiaTheme="minorHAnsi" w:cs="TimesNewRomanPSMT"/>
        </w:rPr>
        <w:t>subjects.</w:t>
      </w:r>
    </w:p>
    <w:p w14:paraId="7B254F49" w14:textId="4ED1AB1A" w:rsidR="0082067D" w:rsidRPr="00C576B6" w:rsidRDefault="0082067D" w:rsidP="0008156B">
      <w:pPr>
        <w:rPr>
          <w:rFonts w:cstheme="minorHAnsi"/>
        </w:rPr>
      </w:pPr>
      <w:r>
        <w:rPr>
          <w:rFonts w:cstheme="minorHAnsi"/>
        </w:rPr>
        <w:t xml:space="preserve">The </w:t>
      </w:r>
      <w:r w:rsidR="0065611C">
        <w:rPr>
          <w:rFonts w:cstheme="minorHAnsi"/>
        </w:rPr>
        <w:t>S</w:t>
      </w:r>
      <w:r>
        <w:rPr>
          <w:rFonts w:cstheme="minorHAnsi"/>
        </w:rPr>
        <w:t>tudy 033 was the</w:t>
      </w:r>
      <w:r w:rsidRPr="00C576B6">
        <w:rPr>
          <w:rFonts w:cstheme="minorHAnsi"/>
        </w:rPr>
        <w:t xml:space="preserve"> pivotal, </w:t>
      </w:r>
      <w:r>
        <w:rPr>
          <w:rFonts w:cstheme="minorHAnsi"/>
        </w:rPr>
        <w:t>malaria prophylactic</w:t>
      </w:r>
      <w:r w:rsidRPr="00C576B6">
        <w:rPr>
          <w:rFonts w:cstheme="minorHAnsi"/>
        </w:rPr>
        <w:t xml:space="preserve"> efficacy trial of </w:t>
      </w:r>
      <w:r w:rsidR="0065611C">
        <w:rPr>
          <w:rFonts w:cstheme="minorHAnsi"/>
        </w:rPr>
        <w:t>t</w:t>
      </w:r>
      <w:r w:rsidR="00C312D1">
        <w:rPr>
          <w:rFonts w:cstheme="minorHAnsi"/>
        </w:rPr>
        <w:t>afenoquine</w:t>
      </w:r>
      <w:r>
        <w:rPr>
          <w:rFonts w:cstheme="minorHAnsi"/>
        </w:rPr>
        <w:t xml:space="preserve"> versus</w:t>
      </w:r>
      <w:r w:rsidRPr="00C576B6">
        <w:rPr>
          <w:rFonts w:cstheme="minorHAnsi"/>
        </w:rPr>
        <w:t xml:space="preserve"> </w:t>
      </w:r>
      <w:r w:rsidR="0065611C">
        <w:rPr>
          <w:rFonts w:cstheme="minorHAnsi"/>
        </w:rPr>
        <w:t>m</w:t>
      </w:r>
      <w:r>
        <w:rPr>
          <w:rFonts w:cstheme="minorHAnsi"/>
        </w:rPr>
        <w:t xml:space="preserve">efloquine </w:t>
      </w:r>
      <w:r w:rsidRPr="00C576B6">
        <w:rPr>
          <w:rFonts w:cstheme="minorHAnsi"/>
        </w:rPr>
        <w:t xml:space="preserve">conducted in Australian army personnel deployed in East Timor </w:t>
      </w:r>
      <w:r w:rsidR="005F43CE">
        <w:rPr>
          <w:rFonts w:cstheme="minorHAnsi"/>
        </w:rPr>
        <w:t xml:space="preserve">between </w:t>
      </w:r>
      <w:r w:rsidRPr="00C576B6">
        <w:rPr>
          <w:rFonts w:cstheme="minorHAnsi"/>
        </w:rPr>
        <w:t>1999</w:t>
      </w:r>
      <w:r w:rsidR="005F43CE">
        <w:rPr>
          <w:rFonts w:cstheme="minorHAnsi"/>
        </w:rPr>
        <w:t xml:space="preserve"> and</w:t>
      </w:r>
      <w:r w:rsidRPr="00C576B6">
        <w:rPr>
          <w:rFonts w:cstheme="minorHAnsi"/>
        </w:rPr>
        <w:t xml:space="preserve">2001. </w:t>
      </w:r>
      <w:r>
        <w:t>The</w:t>
      </w:r>
      <w:r w:rsidRPr="001F6AC2">
        <w:t xml:space="preserve"> tr</w:t>
      </w:r>
      <w:r>
        <w:t>ial participants were fit,</w:t>
      </w:r>
      <w:r w:rsidRPr="001F6AC2">
        <w:t xml:space="preserve"> healthy</w:t>
      </w:r>
      <w:r>
        <w:t>,</w:t>
      </w:r>
      <w:r w:rsidRPr="001F6AC2">
        <w:t xml:space="preserve"> adults (mean age 25</w:t>
      </w:r>
      <w:r w:rsidR="005F43CE">
        <w:t> </w:t>
      </w:r>
      <w:r w:rsidRPr="001F6AC2">
        <w:t>years; range 18</w:t>
      </w:r>
      <w:r w:rsidR="005F43CE">
        <w:t xml:space="preserve"> to </w:t>
      </w:r>
      <w:r w:rsidRPr="001F6AC2">
        <w:t xml:space="preserve">51 years) without </w:t>
      </w:r>
      <w:r>
        <w:t xml:space="preserve">any </w:t>
      </w:r>
      <w:r w:rsidRPr="001F6AC2">
        <w:t>history of psychiatr</w:t>
      </w:r>
      <w:r>
        <w:t>ic disorders and/or seizures or G6PD</w:t>
      </w:r>
      <w:r w:rsidRPr="001F6AC2">
        <w:t xml:space="preserve"> deficiency.</w:t>
      </w:r>
      <w:r>
        <w:t xml:space="preserve"> All were serving, deployed military personnel from ADF.</w:t>
      </w:r>
    </w:p>
    <w:p w14:paraId="615FB03C" w14:textId="565C1071" w:rsidR="0082067D" w:rsidRPr="001F6AC2" w:rsidRDefault="0082067D" w:rsidP="0008156B">
      <w:r>
        <w:t>In this study, following 6 months of treatment</w:t>
      </w:r>
      <w:r w:rsidRPr="001F6AC2">
        <w:t xml:space="preserve"> with </w:t>
      </w:r>
      <w:r w:rsidR="00C312D1">
        <w:t>tafenoquine</w:t>
      </w:r>
      <w:r w:rsidRPr="001F6AC2">
        <w:t xml:space="preserve"> (20</w:t>
      </w:r>
      <w:r w:rsidR="00A84DBA">
        <w:t>0 mg</w:t>
      </w:r>
      <w:r w:rsidRPr="001F6AC2">
        <w:t xml:space="preserve"> da</w:t>
      </w:r>
      <w:r>
        <w:t xml:space="preserve">ily for 3 days then weekly) or </w:t>
      </w:r>
      <w:r w:rsidR="00994561">
        <w:t>mefloquine</w:t>
      </w:r>
      <w:r w:rsidRPr="001F6AC2">
        <w:t xml:space="preserve"> (25</w:t>
      </w:r>
      <w:r w:rsidR="00A84DBA">
        <w:t>0 mg</w:t>
      </w:r>
      <w:r w:rsidRPr="001F6AC2">
        <w:t xml:space="preserve"> daily for 3 days then weekly), no parasitemia</w:t>
      </w:r>
      <w:r>
        <w:t>/clinical malaria</w:t>
      </w:r>
      <w:r w:rsidRPr="001F6AC2">
        <w:t xml:space="preserve"> was reported in </w:t>
      </w:r>
      <w:r w:rsidR="00C312D1">
        <w:t>tafenoquine</w:t>
      </w:r>
      <w:r w:rsidRPr="001F6AC2">
        <w:t xml:space="preserve"> group (0/492</w:t>
      </w:r>
      <w:r>
        <w:t xml:space="preserve">) or </w:t>
      </w:r>
      <w:r w:rsidR="00994561">
        <w:t>mefloquine</w:t>
      </w:r>
      <w:r>
        <w:t xml:space="preserve"> group (0/163) over the 6 months duration of continuous weekly prophylaxis with either study drug.</w:t>
      </w:r>
    </w:p>
    <w:p w14:paraId="2EF8D7D2" w14:textId="198974D1" w:rsidR="0082067D" w:rsidRPr="001F6AC2" w:rsidRDefault="0082067D" w:rsidP="0008156B">
      <w:r>
        <w:t xml:space="preserve">During </w:t>
      </w:r>
      <w:r w:rsidRPr="001F6AC2">
        <w:t xml:space="preserve">6 months </w:t>
      </w:r>
      <w:r>
        <w:t>of follow-</w:t>
      </w:r>
      <w:r w:rsidRPr="001F6AC2">
        <w:t xml:space="preserve">up after </w:t>
      </w:r>
      <w:r>
        <w:t>the completion of study treatments in the</w:t>
      </w:r>
      <w:r w:rsidRPr="001F6AC2">
        <w:t xml:space="preserve"> prophylactic phase, 4 cases of </w:t>
      </w:r>
      <w:r>
        <w:t xml:space="preserve">Pv </w:t>
      </w:r>
      <w:r w:rsidRPr="001F6AC2">
        <w:t xml:space="preserve">malaria were reported in </w:t>
      </w:r>
      <w:r w:rsidR="00C312D1">
        <w:t>tafenoquine</w:t>
      </w:r>
      <w:r w:rsidRPr="001F6AC2">
        <w:t xml:space="preserve"> group (received pla</w:t>
      </w:r>
      <w:r>
        <w:t>cebo for 14 days in this follow-</w:t>
      </w:r>
      <w:r w:rsidRPr="001F6AC2">
        <w:t>up phase</w:t>
      </w:r>
      <w:r>
        <w:t xml:space="preserve"> after exiting the prophylactic phase</w:t>
      </w:r>
      <w:r w:rsidRPr="001F6AC2">
        <w:t xml:space="preserve">) compared to 1 case of Pv malaria in </w:t>
      </w:r>
      <w:r w:rsidR="00994561">
        <w:t>mefloquine</w:t>
      </w:r>
      <w:r w:rsidRPr="001F6AC2">
        <w:t xml:space="preserve"> group (receive</w:t>
      </w:r>
      <w:r>
        <w:t xml:space="preserve">d </w:t>
      </w:r>
      <w:r w:rsidR="00994561">
        <w:t>primaquine</w:t>
      </w:r>
      <w:r>
        <w:t xml:space="preserve"> for 14 days in this follow-</w:t>
      </w:r>
      <w:r w:rsidRPr="001F6AC2">
        <w:t>up phase</w:t>
      </w:r>
      <w:r>
        <w:t xml:space="preserve"> after exiting the prophylactic phase</w:t>
      </w:r>
      <w:r w:rsidRPr="001F6AC2">
        <w:t>).</w:t>
      </w:r>
    </w:p>
    <w:p w14:paraId="1B7C6DF4" w14:textId="1A4219BC" w:rsidR="0082067D" w:rsidRPr="001F6AC2" w:rsidRDefault="0082067D" w:rsidP="0008156B">
      <w:r>
        <w:lastRenderedPageBreak/>
        <w:t xml:space="preserve">During the </w:t>
      </w:r>
      <w:r w:rsidRPr="001F6AC2">
        <w:t xml:space="preserve">observation period </w:t>
      </w:r>
      <w:r>
        <w:t>of additional 6 months (total of 12 months follow-</w:t>
      </w:r>
      <w:r w:rsidRPr="001F6AC2">
        <w:t>up post-prophylaxis phase</w:t>
      </w:r>
      <w:r>
        <w:t>)</w:t>
      </w:r>
      <w:r w:rsidRPr="001F6AC2">
        <w:t xml:space="preserve">, 3 more cases of Pv malaria were reported in </w:t>
      </w:r>
      <w:r w:rsidR="00C312D1">
        <w:t>tafenoquine</w:t>
      </w:r>
      <w:r w:rsidRPr="001F6AC2">
        <w:t xml:space="preserve"> group compared to 1 more case in </w:t>
      </w:r>
      <w:r w:rsidR="00994561">
        <w:t>mefloquine</w:t>
      </w:r>
      <w:r>
        <w:t>/</w:t>
      </w:r>
      <w:r w:rsidR="00994561">
        <w:t>primaquine</w:t>
      </w:r>
      <w:r w:rsidRPr="001F6AC2">
        <w:t xml:space="preserve"> group.</w:t>
      </w:r>
    </w:p>
    <w:p w14:paraId="0F92FB3E" w14:textId="1DC97224" w:rsidR="0082067D" w:rsidRPr="001F6AC2" w:rsidRDefault="0082067D" w:rsidP="0008156B">
      <w:pPr>
        <w:rPr>
          <w:rFonts w:cstheme="minorHAnsi"/>
        </w:rPr>
      </w:pPr>
      <w:r>
        <w:t>The objectives of the study, the study population, comparator groups, study outcomes, execution and analysis of this h</w:t>
      </w:r>
      <w:r w:rsidRPr="001F6AC2">
        <w:t>ead to head (active-controlled</w:t>
      </w:r>
      <w:r>
        <w:t xml:space="preserve"> </w:t>
      </w:r>
      <w:r w:rsidR="00C312D1">
        <w:t>tafenoquine</w:t>
      </w:r>
      <w:r w:rsidR="004C7147">
        <w:t xml:space="preserve"> versus </w:t>
      </w:r>
      <w:r w:rsidR="00994561">
        <w:t>mefloquine</w:t>
      </w:r>
      <w:r>
        <w:t xml:space="preserve">) trial were appropriate. Nearly complete compliance and follow-up was achieved in this study. Therefore the estimates of prophylactic efficacy (no case of malaria reported with either </w:t>
      </w:r>
      <w:r w:rsidR="00C312D1">
        <w:t>tafenoquine</w:t>
      </w:r>
      <w:r>
        <w:t xml:space="preserve"> or </w:t>
      </w:r>
      <w:r w:rsidR="00994561">
        <w:t>mefloquine</w:t>
      </w:r>
      <w:r>
        <w:t xml:space="preserve">) obtained during the continuous dosing phase are considered robust and reliable. The post-exposure prophylactic efficacy was numerically in favour of </w:t>
      </w:r>
      <w:r w:rsidR="00994561">
        <w:t>mefloquine</w:t>
      </w:r>
      <w:r>
        <w:t>/</w:t>
      </w:r>
      <w:r w:rsidR="00994561">
        <w:t>primaquine</w:t>
      </w:r>
      <w:r>
        <w:t xml:space="preserve"> treatment compared to </w:t>
      </w:r>
      <w:r w:rsidR="00C312D1">
        <w:t>tafenoquine</w:t>
      </w:r>
      <w:r>
        <w:t>/</w:t>
      </w:r>
      <w:r w:rsidR="00087250">
        <w:t>p</w:t>
      </w:r>
      <w:r>
        <w:t>lacebo.</w:t>
      </w:r>
    </w:p>
    <w:p w14:paraId="14BD2596" w14:textId="3F2E723A" w:rsidR="0082067D" w:rsidRPr="001F6AC2" w:rsidRDefault="0082067D" w:rsidP="0008156B">
      <w:pPr>
        <w:rPr>
          <w:rFonts w:cstheme="minorHAnsi"/>
        </w:rPr>
      </w:pPr>
      <w:r w:rsidRPr="001F6AC2">
        <w:rPr>
          <w:rFonts w:cstheme="minorHAnsi"/>
        </w:rPr>
        <w:t xml:space="preserve">Efficacy data from a number of </w:t>
      </w:r>
      <w:r>
        <w:rPr>
          <w:rFonts w:cstheme="minorHAnsi"/>
        </w:rPr>
        <w:t xml:space="preserve">other </w:t>
      </w:r>
      <w:r w:rsidRPr="001F6AC2">
        <w:rPr>
          <w:rFonts w:cstheme="minorHAnsi"/>
        </w:rPr>
        <w:t xml:space="preserve">clinical trials (Phase </w:t>
      </w:r>
      <w:r w:rsidR="00087250">
        <w:rPr>
          <w:rFonts w:cstheme="minorHAnsi"/>
        </w:rPr>
        <w:t>II</w:t>
      </w:r>
      <w:r w:rsidRPr="001F6AC2">
        <w:rPr>
          <w:rFonts w:cstheme="minorHAnsi"/>
        </w:rPr>
        <w:t xml:space="preserve"> </w:t>
      </w:r>
      <w:r w:rsidR="00087250">
        <w:rPr>
          <w:rFonts w:cstheme="minorHAnsi"/>
        </w:rPr>
        <w:t>S</w:t>
      </w:r>
      <w:r w:rsidRPr="001F6AC2">
        <w:rPr>
          <w:rFonts w:cstheme="minorHAnsi"/>
        </w:rPr>
        <w:t>tudies 006, 043</w:t>
      </w:r>
      <w:r w:rsidR="005F43CE">
        <w:rPr>
          <w:rFonts w:cstheme="minorHAnsi"/>
        </w:rPr>
        <w:t xml:space="preserve"> and</w:t>
      </w:r>
      <w:r w:rsidRPr="001F6AC2">
        <w:rPr>
          <w:rFonts w:cstheme="minorHAnsi"/>
        </w:rPr>
        <w:t xml:space="preserve"> 044; </w:t>
      </w:r>
      <w:r w:rsidR="005F43CE">
        <w:rPr>
          <w:rFonts w:cstheme="minorHAnsi"/>
        </w:rPr>
        <w:t xml:space="preserve">and </w:t>
      </w:r>
      <w:r w:rsidRPr="001F6AC2">
        <w:rPr>
          <w:rFonts w:cstheme="minorHAnsi"/>
        </w:rPr>
        <w:t>Phase</w:t>
      </w:r>
      <w:r w:rsidR="005F43CE">
        <w:rPr>
          <w:rFonts w:cstheme="minorHAnsi"/>
        </w:rPr>
        <w:t> </w:t>
      </w:r>
      <w:r w:rsidR="00087250">
        <w:rPr>
          <w:rFonts w:cstheme="minorHAnsi"/>
        </w:rPr>
        <w:t>III</w:t>
      </w:r>
      <w:r w:rsidRPr="001F6AC2">
        <w:rPr>
          <w:rFonts w:cstheme="minorHAnsi"/>
        </w:rPr>
        <w:t xml:space="preserve"> </w:t>
      </w:r>
      <w:r w:rsidR="00087250">
        <w:rPr>
          <w:rFonts w:cstheme="minorHAnsi"/>
        </w:rPr>
        <w:t>S</w:t>
      </w:r>
      <w:r w:rsidRPr="001F6AC2">
        <w:rPr>
          <w:rFonts w:cstheme="minorHAnsi"/>
        </w:rPr>
        <w:t>tudies 030</w:t>
      </w:r>
      <w:r w:rsidR="005F43CE">
        <w:rPr>
          <w:rFonts w:cstheme="minorHAnsi"/>
        </w:rPr>
        <w:t xml:space="preserve"> and</w:t>
      </w:r>
      <w:r w:rsidRPr="001F6AC2">
        <w:rPr>
          <w:rFonts w:cstheme="minorHAnsi"/>
        </w:rPr>
        <w:t xml:space="preserve"> 045) was also included </w:t>
      </w:r>
      <w:r>
        <w:rPr>
          <w:rFonts w:cstheme="minorHAnsi"/>
        </w:rPr>
        <w:t>in the dossier. These trials were carried out in different</w:t>
      </w:r>
      <w:r w:rsidRPr="001F6AC2">
        <w:rPr>
          <w:rFonts w:cstheme="minorHAnsi"/>
        </w:rPr>
        <w:t xml:space="preserve"> </w:t>
      </w:r>
      <w:r>
        <w:rPr>
          <w:rFonts w:cstheme="minorHAnsi"/>
        </w:rPr>
        <w:t>populations/regions in various</w:t>
      </w:r>
      <w:r w:rsidRPr="001F6AC2">
        <w:rPr>
          <w:rFonts w:cstheme="minorHAnsi"/>
        </w:rPr>
        <w:t xml:space="preserve"> malaria endemic geographical locations. These </w:t>
      </w:r>
      <w:r>
        <w:rPr>
          <w:rFonts w:cstheme="minorHAnsi"/>
        </w:rPr>
        <w:t xml:space="preserve">trials </w:t>
      </w:r>
      <w:r w:rsidRPr="001F6AC2">
        <w:rPr>
          <w:rFonts w:cstheme="minorHAnsi"/>
        </w:rPr>
        <w:t>h</w:t>
      </w:r>
      <w:r>
        <w:rPr>
          <w:rFonts w:cstheme="minorHAnsi"/>
        </w:rPr>
        <w:t>ave been reviewed</w:t>
      </w:r>
      <w:r w:rsidRPr="001F6AC2">
        <w:rPr>
          <w:rFonts w:cstheme="minorHAnsi"/>
        </w:rPr>
        <w:t xml:space="preserve"> but are not required for regulatory decision making a</w:t>
      </w:r>
      <w:r>
        <w:rPr>
          <w:rFonts w:cstheme="minorHAnsi"/>
        </w:rPr>
        <w:t>s they have were not conducted</w:t>
      </w:r>
      <w:r w:rsidRPr="001F6AC2">
        <w:rPr>
          <w:rFonts w:cstheme="minorHAnsi"/>
        </w:rPr>
        <w:t xml:space="preserve"> in the </w:t>
      </w:r>
      <w:r>
        <w:rPr>
          <w:rFonts w:cstheme="minorHAnsi"/>
        </w:rPr>
        <w:t xml:space="preserve">intended </w:t>
      </w:r>
      <w:r w:rsidRPr="001F6AC2">
        <w:rPr>
          <w:rFonts w:cstheme="minorHAnsi"/>
        </w:rPr>
        <w:t>target population. The clin</w:t>
      </w:r>
      <w:r>
        <w:rPr>
          <w:rFonts w:cstheme="minorHAnsi"/>
        </w:rPr>
        <w:t>ical utility of investigating</w:t>
      </w:r>
      <w:r w:rsidRPr="001F6AC2">
        <w:rPr>
          <w:rFonts w:cstheme="minorHAnsi"/>
        </w:rPr>
        <w:t xml:space="preserve"> </w:t>
      </w:r>
      <w:r>
        <w:rPr>
          <w:rFonts w:cstheme="minorHAnsi"/>
        </w:rPr>
        <w:t xml:space="preserve">continuous, long-term, </w:t>
      </w:r>
      <w:r w:rsidRPr="001F6AC2">
        <w:rPr>
          <w:rFonts w:cstheme="minorHAnsi"/>
        </w:rPr>
        <w:t xml:space="preserve">malaria chemoprophylaxis in semi immune populations </w:t>
      </w:r>
      <w:r>
        <w:rPr>
          <w:rFonts w:cstheme="minorHAnsi"/>
        </w:rPr>
        <w:t xml:space="preserve">permanently </w:t>
      </w:r>
      <w:r w:rsidRPr="001F6AC2">
        <w:rPr>
          <w:rFonts w:cstheme="minorHAnsi"/>
        </w:rPr>
        <w:t>resident i</w:t>
      </w:r>
      <w:r>
        <w:rPr>
          <w:rFonts w:cstheme="minorHAnsi"/>
        </w:rPr>
        <w:t>n endemic areas is questionable.</w:t>
      </w:r>
    </w:p>
    <w:p w14:paraId="3757977A" w14:textId="73E0EDF0" w:rsidR="0082067D" w:rsidRPr="001F6AC2" w:rsidRDefault="00087250" w:rsidP="0008156B">
      <w:pPr>
        <w:rPr>
          <w:rFonts w:cstheme="minorHAnsi"/>
        </w:rPr>
      </w:pPr>
      <w:r>
        <w:t>The Delegate</w:t>
      </w:r>
      <w:r w:rsidR="0082067D">
        <w:t>, however, note</w:t>
      </w:r>
      <w:r>
        <w:t>s</w:t>
      </w:r>
      <w:r w:rsidR="0082067D">
        <w:t xml:space="preserve"> that these </w:t>
      </w:r>
      <w:r w:rsidR="0082067D" w:rsidRPr="001F6AC2">
        <w:t>trials provide</w:t>
      </w:r>
      <w:r w:rsidR="0082067D">
        <w:t>d</w:t>
      </w:r>
      <w:r w:rsidR="0082067D" w:rsidRPr="001F6AC2">
        <w:t xml:space="preserve"> a measure of </w:t>
      </w:r>
      <w:r w:rsidR="0082067D">
        <w:t xml:space="preserve">estimate of clinical </w:t>
      </w:r>
      <w:r w:rsidR="0082067D" w:rsidRPr="001F6AC2">
        <w:t xml:space="preserve">effect of </w:t>
      </w:r>
      <w:r w:rsidR="00C312D1">
        <w:t>tafenoquine</w:t>
      </w:r>
      <w:r w:rsidR="0082067D" w:rsidRPr="001F6AC2">
        <w:t xml:space="preserve"> against Pf </w:t>
      </w:r>
      <w:r w:rsidR="0082067D">
        <w:t xml:space="preserve">malaria </w:t>
      </w:r>
      <w:r w:rsidR="0082067D" w:rsidRPr="001F6AC2">
        <w:t xml:space="preserve">which could only </w:t>
      </w:r>
      <w:r w:rsidR="0082067D">
        <w:t>have been as</w:t>
      </w:r>
      <w:r w:rsidR="0082067D" w:rsidRPr="001F6AC2">
        <w:t xml:space="preserve">sumed from </w:t>
      </w:r>
      <w:r>
        <w:t>S</w:t>
      </w:r>
      <w:r w:rsidR="0082067D" w:rsidRPr="001F6AC2">
        <w:t>tudy</w:t>
      </w:r>
      <w:r w:rsidR="005F43CE">
        <w:t> </w:t>
      </w:r>
      <w:r w:rsidR="0082067D" w:rsidRPr="001F6AC2">
        <w:t xml:space="preserve">033 and therefore provide </w:t>
      </w:r>
      <w:r w:rsidR="0082067D">
        <w:t xml:space="preserve">a </w:t>
      </w:r>
      <w:r w:rsidR="0082067D" w:rsidRPr="001F6AC2">
        <w:t xml:space="preserve">justification for the claim of broad spectrum activity/efficacy </w:t>
      </w:r>
      <w:r w:rsidR="0082067D">
        <w:rPr>
          <w:rFonts w:cstheme="minorHAnsi"/>
        </w:rPr>
        <w:t xml:space="preserve">of </w:t>
      </w:r>
      <w:r w:rsidR="00C312D1">
        <w:rPr>
          <w:rFonts w:cstheme="minorHAnsi"/>
        </w:rPr>
        <w:t>tafenoquine</w:t>
      </w:r>
      <w:r w:rsidR="0082067D">
        <w:rPr>
          <w:rFonts w:cstheme="minorHAnsi"/>
        </w:rPr>
        <w:t>.</w:t>
      </w:r>
    </w:p>
    <w:p w14:paraId="365AEEB3" w14:textId="2E75F00F" w:rsidR="0082067D" w:rsidRDefault="0082067D" w:rsidP="0008156B">
      <w:pPr>
        <w:rPr>
          <w:rFonts w:cstheme="minorHAnsi"/>
        </w:rPr>
      </w:pPr>
      <w:r w:rsidRPr="001F6AC2">
        <w:rPr>
          <w:rFonts w:cstheme="minorHAnsi"/>
        </w:rPr>
        <w:t xml:space="preserve">Efficacy of </w:t>
      </w:r>
      <w:r w:rsidR="00C312D1">
        <w:rPr>
          <w:rFonts w:cstheme="minorHAnsi"/>
        </w:rPr>
        <w:t>tafenoquine</w:t>
      </w:r>
      <w:r w:rsidRPr="001F6AC2">
        <w:rPr>
          <w:rFonts w:cstheme="minorHAnsi"/>
        </w:rPr>
        <w:t xml:space="preserve"> for trea</w:t>
      </w:r>
      <w:r>
        <w:rPr>
          <w:rFonts w:cstheme="minorHAnsi"/>
        </w:rPr>
        <w:t xml:space="preserve">tment of acute malaria could also not be satisfactorily demonstrated in the treatment clinical trials. This is also not a regulatory requirement from </w:t>
      </w:r>
      <w:r w:rsidR="00087250">
        <w:rPr>
          <w:rFonts w:cstheme="minorHAnsi"/>
        </w:rPr>
        <w:t>the TGA’s</w:t>
      </w:r>
      <w:r>
        <w:rPr>
          <w:rFonts w:cstheme="minorHAnsi"/>
        </w:rPr>
        <w:t xml:space="preserve"> point of view.</w:t>
      </w:r>
    </w:p>
    <w:p w14:paraId="59841886" w14:textId="65A9BFD6" w:rsidR="0082067D" w:rsidRPr="001F6AC2" w:rsidRDefault="0082067D" w:rsidP="0008156B">
      <w:pPr>
        <w:rPr>
          <w:rFonts w:cstheme="minorBidi"/>
        </w:rPr>
      </w:pPr>
      <w:r>
        <w:rPr>
          <w:rFonts w:cstheme="minorHAnsi"/>
        </w:rPr>
        <w:t xml:space="preserve">The clinical data from the single pivotal </w:t>
      </w:r>
      <w:r w:rsidR="00087250">
        <w:rPr>
          <w:rFonts w:cstheme="minorHAnsi"/>
        </w:rPr>
        <w:t>Study</w:t>
      </w:r>
      <w:r>
        <w:rPr>
          <w:rFonts w:cstheme="minorHAnsi"/>
        </w:rPr>
        <w:t xml:space="preserve"> 033 is considered acceptable for regulatory decision making for the purpose of determining prophylactic efficacy of the proposed use of </w:t>
      </w:r>
      <w:r w:rsidR="00C312D1">
        <w:rPr>
          <w:rFonts w:cstheme="minorHAnsi"/>
        </w:rPr>
        <w:t>tafenoquine</w:t>
      </w:r>
      <w:r>
        <w:rPr>
          <w:rFonts w:cstheme="minorHAnsi"/>
        </w:rPr>
        <w:t>.</w:t>
      </w:r>
    </w:p>
    <w:p w14:paraId="3BADC22B" w14:textId="4B13A65C" w:rsidR="0082067D" w:rsidRDefault="0082067D" w:rsidP="0008156B">
      <w:pPr>
        <w:rPr>
          <w:rFonts w:cstheme="minorHAnsi"/>
        </w:rPr>
      </w:pPr>
      <w:r w:rsidRPr="001F6AC2">
        <w:rPr>
          <w:rFonts w:cstheme="minorHAnsi"/>
        </w:rPr>
        <w:t xml:space="preserve">The dossier also included 3 challenge studies involving experimental inoculation of viable Pf </w:t>
      </w:r>
      <w:r>
        <w:rPr>
          <w:rFonts w:cstheme="minorHAnsi"/>
        </w:rPr>
        <w:t xml:space="preserve">schizonts </w:t>
      </w:r>
      <w:r w:rsidRPr="001F6AC2">
        <w:rPr>
          <w:rFonts w:cstheme="minorHAnsi"/>
        </w:rPr>
        <w:t xml:space="preserve">to human volunteers. </w:t>
      </w:r>
      <w:r>
        <w:rPr>
          <w:rFonts w:cstheme="minorHAnsi"/>
        </w:rPr>
        <w:t xml:space="preserve">All studies were in non-immune population. </w:t>
      </w:r>
      <w:r w:rsidRPr="001F6AC2">
        <w:rPr>
          <w:rFonts w:cstheme="minorHAnsi"/>
        </w:rPr>
        <w:t>The 2 initial stu</w:t>
      </w:r>
      <w:r>
        <w:rPr>
          <w:rFonts w:cstheme="minorHAnsi"/>
        </w:rPr>
        <w:t>dies (</w:t>
      </w:r>
      <w:r w:rsidR="00B84B23">
        <w:rPr>
          <w:rFonts w:cstheme="minorHAnsi"/>
        </w:rPr>
        <w:t xml:space="preserve">Study </w:t>
      </w:r>
      <w:r>
        <w:rPr>
          <w:rFonts w:cstheme="minorHAnsi"/>
        </w:rPr>
        <w:t>053 which played a part in determining PK/PD/</w:t>
      </w:r>
      <w:r w:rsidRPr="001F6AC2">
        <w:rPr>
          <w:rFonts w:cstheme="minorHAnsi"/>
        </w:rPr>
        <w:t xml:space="preserve">dose selection and </w:t>
      </w:r>
      <w:r w:rsidR="00B84B23">
        <w:rPr>
          <w:rFonts w:cstheme="minorHAnsi"/>
        </w:rPr>
        <w:t>S</w:t>
      </w:r>
      <w:r>
        <w:rPr>
          <w:rFonts w:cstheme="minorHAnsi"/>
        </w:rPr>
        <w:t xml:space="preserve">tudy </w:t>
      </w:r>
      <w:r w:rsidRPr="001F6AC2">
        <w:rPr>
          <w:rFonts w:cstheme="minorHAnsi"/>
        </w:rPr>
        <w:t>05</w:t>
      </w:r>
      <w:r>
        <w:rPr>
          <w:rFonts w:cstheme="minorHAnsi"/>
        </w:rPr>
        <w:t xml:space="preserve">4) were done in the US and the </w:t>
      </w:r>
      <w:r w:rsidR="00B84B23">
        <w:rPr>
          <w:rFonts w:cstheme="minorHAnsi"/>
        </w:rPr>
        <w:t>third</w:t>
      </w:r>
      <w:r w:rsidRPr="001F6AC2">
        <w:rPr>
          <w:rFonts w:cstheme="minorHAnsi"/>
        </w:rPr>
        <w:t xml:space="preserve"> </w:t>
      </w:r>
      <w:r w:rsidR="005F43CE">
        <w:rPr>
          <w:rFonts w:cstheme="minorHAnsi"/>
        </w:rPr>
        <w:t xml:space="preserve">recent study </w:t>
      </w:r>
      <w:r w:rsidRPr="001F6AC2">
        <w:rPr>
          <w:rFonts w:cstheme="minorHAnsi"/>
        </w:rPr>
        <w:t>(</w:t>
      </w:r>
      <w:r w:rsidR="00AE6543">
        <w:rPr>
          <w:rFonts w:cstheme="minorHAnsi"/>
        </w:rPr>
        <w:t xml:space="preserve">Study </w:t>
      </w:r>
      <w:r w:rsidR="00035012">
        <w:rPr>
          <w:rFonts w:cstheme="minorHAnsi"/>
        </w:rPr>
        <w:t>TQ-2016-0</w:t>
      </w:r>
      <w:r w:rsidRPr="001F6AC2">
        <w:rPr>
          <w:rFonts w:cstheme="minorHAnsi"/>
        </w:rPr>
        <w:t xml:space="preserve">2) </w:t>
      </w:r>
      <w:r>
        <w:rPr>
          <w:rFonts w:cstheme="minorHAnsi"/>
        </w:rPr>
        <w:t xml:space="preserve">was carried out </w:t>
      </w:r>
      <w:r w:rsidRPr="001F6AC2">
        <w:rPr>
          <w:rFonts w:cstheme="minorHAnsi"/>
        </w:rPr>
        <w:t xml:space="preserve">in Australia. Again, human challenge studies are </w:t>
      </w:r>
      <w:r>
        <w:rPr>
          <w:rFonts w:cstheme="minorHAnsi"/>
        </w:rPr>
        <w:t>a tool in basic mechanistic research but are not a required part of clinical dossier.</w:t>
      </w:r>
    </w:p>
    <w:p w14:paraId="13FEBE45" w14:textId="2CFE2C7F" w:rsidR="0082067D" w:rsidRDefault="0082067D" w:rsidP="0008156B">
      <w:pPr>
        <w:rPr>
          <w:rFonts w:cstheme="minorHAnsi"/>
        </w:rPr>
      </w:pPr>
      <w:r>
        <w:rPr>
          <w:rFonts w:cstheme="minorHAnsi"/>
        </w:rPr>
        <w:t xml:space="preserve">In </w:t>
      </w:r>
      <w:r w:rsidR="00B84B23">
        <w:rPr>
          <w:rFonts w:cstheme="minorHAnsi"/>
        </w:rPr>
        <w:t>S</w:t>
      </w:r>
      <w:r>
        <w:rPr>
          <w:rFonts w:cstheme="minorHAnsi"/>
        </w:rPr>
        <w:t>tudy 033, the a</w:t>
      </w:r>
      <w:r w:rsidRPr="00821A5E">
        <w:rPr>
          <w:rFonts w:cstheme="minorHAnsi"/>
        </w:rPr>
        <w:t>dverse effects profile</w:t>
      </w:r>
      <w:r>
        <w:rPr>
          <w:rFonts w:cstheme="minorHAnsi"/>
        </w:rPr>
        <w:t xml:space="preserve"> of </w:t>
      </w:r>
      <w:r w:rsidR="00C312D1">
        <w:rPr>
          <w:rFonts w:cstheme="minorHAnsi"/>
        </w:rPr>
        <w:t>tafenoquine</w:t>
      </w:r>
      <w:r>
        <w:rPr>
          <w:rFonts w:cstheme="minorHAnsi"/>
        </w:rPr>
        <w:t xml:space="preserve"> and </w:t>
      </w:r>
      <w:r w:rsidR="00994561">
        <w:rPr>
          <w:rFonts w:cstheme="minorHAnsi"/>
        </w:rPr>
        <w:t>mefloquine</w:t>
      </w:r>
      <w:r>
        <w:rPr>
          <w:rFonts w:cstheme="minorHAnsi"/>
        </w:rPr>
        <w:t xml:space="preserve"> was generally comparable including neuropsychiatric effects, noting that subjects with any history of neuropsychiatric symptoms were excluded from the study.</w:t>
      </w:r>
      <w:r w:rsidR="008E5361">
        <w:rPr>
          <w:rStyle w:val="FootnoteReference"/>
          <w:rFonts w:cstheme="minorHAnsi"/>
        </w:rPr>
        <w:footnoteReference w:id="34"/>
      </w:r>
    </w:p>
    <w:p w14:paraId="2ED61DF5" w14:textId="2DFDCEB1" w:rsidR="0082067D" w:rsidRPr="00471C61" w:rsidRDefault="0082067D" w:rsidP="0008156B">
      <w:pPr>
        <w:rPr>
          <w:rFonts w:cstheme="minorHAnsi"/>
        </w:rPr>
      </w:pPr>
      <w:r>
        <w:rPr>
          <w:rFonts w:cstheme="minorHAnsi"/>
        </w:rPr>
        <w:t>C</w:t>
      </w:r>
      <w:r>
        <w:t xml:space="preserve">orneal deposits (keratopathy) were almost universally observed in a subset of </w:t>
      </w:r>
      <w:r w:rsidR="00C312D1">
        <w:t>tafenoquine</w:t>
      </w:r>
      <w:r>
        <w:t xml:space="preserve"> group</w:t>
      </w:r>
      <w:r w:rsidRPr="003F74EA">
        <w:t xml:space="preserve"> </w:t>
      </w:r>
      <w:r>
        <w:t xml:space="preserve">(69/74; 93%) and nil (0/21) in </w:t>
      </w:r>
      <w:r w:rsidR="00994561">
        <w:t>mefloquine</w:t>
      </w:r>
      <w:r>
        <w:t xml:space="preserve"> group in the pivotal </w:t>
      </w:r>
      <w:r w:rsidR="002522B4">
        <w:t>Study</w:t>
      </w:r>
      <w:r>
        <w:t xml:space="preserve"> 033. There was no </w:t>
      </w:r>
      <w:r w:rsidRPr="003F74EA">
        <w:t>apparent ad</w:t>
      </w:r>
      <w:r>
        <w:t xml:space="preserve">verse effect on visual acuity or night vision or visual fields. The corneal deposits were reported to have cleared by 12 months. The significance minor retinal changes or any long-term consequences of corneal deposits (in unselected general population) in the presence of existing eye pathology are unknown. </w:t>
      </w:r>
      <w:r>
        <w:rPr>
          <w:rFonts w:cstheme="minorHAnsi"/>
        </w:rPr>
        <w:t xml:space="preserve">Note that </w:t>
      </w:r>
      <w:r w:rsidR="00B84B23">
        <w:rPr>
          <w:rFonts w:cstheme="minorHAnsi"/>
        </w:rPr>
        <w:t>S</w:t>
      </w:r>
      <w:r>
        <w:rPr>
          <w:rFonts w:cstheme="minorHAnsi"/>
        </w:rPr>
        <w:t>tudy 033</w:t>
      </w:r>
      <w:r w:rsidRPr="00895BD1">
        <w:rPr>
          <w:rFonts w:cstheme="minorHAnsi"/>
        </w:rPr>
        <w:t xml:space="preserve"> was conducted in a highly selected fit and he</w:t>
      </w:r>
      <w:r>
        <w:rPr>
          <w:rFonts w:cstheme="minorHAnsi"/>
        </w:rPr>
        <w:t>althy adult single occupational group.</w:t>
      </w:r>
    </w:p>
    <w:p w14:paraId="6747FF04" w14:textId="7CEF2BDF" w:rsidR="0082067D" w:rsidRDefault="0082067D" w:rsidP="0008156B">
      <w:pPr>
        <w:rPr>
          <w:rFonts w:cstheme="minorHAnsi"/>
        </w:rPr>
      </w:pPr>
      <w:r w:rsidRPr="001F6AC2">
        <w:rPr>
          <w:rFonts w:cstheme="minorHAnsi"/>
        </w:rPr>
        <w:lastRenderedPageBreak/>
        <w:t>In summary the risk/</w:t>
      </w:r>
      <w:r>
        <w:rPr>
          <w:rFonts w:cstheme="minorHAnsi"/>
        </w:rPr>
        <w:t xml:space="preserve">benefit </w:t>
      </w:r>
      <w:r w:rsidRPr="001F6AC2">
        <w:rPr>
          <w:rFonts w:cstheme="minorHAnsi"/>
        </w:rPr>
        <w:t xml:space="preserve">balance of the proposed use of </w:t>
      </w:r>
      <w:r w:rsidR="00C312D1">
        <w:rPr>
          <w:rFonts w:cstheme="minorHAnsi"/>
        </w:rPr>
        <w:t>tafenoquine</w:t>
      </w:r>
      <w:r w:rsidRPr="001F6AC2">
        <w:rPr>
          <w:rFonts w:cstheme="minorHAnsi"/>
        </w:rPr>
        <w:t xml:space="preserve"> is based on </w:t>
      </w:r>
      <w:r>
        <w:rPr>
          <w:rFonts w:cstheme="minorHAnsi"/>
        </w:rPr>
        <w:t xml:space="preserve">clinical </w:t>
      </w:r>
      <w:r w:rsidRPr="001F6AC2">
        <w:rPr>
          <w:rFonts w:cstheme="minorHAnsi"/>
        </w:rPr>
        <w:t xml:space="preserve">efficacy and safety demonstrated in </w:t>
      </w:r>
      <w:r w:rsidR="00B84B23">
        <w:rPr>
          <w:rFonts w:cstheme="minorHAnsi"/>
        </w:rPr>
        <w:t>S</w:t>
      </w:r>
      <w:r w:rsidRPr="001F6AC2">
        <w:rPr>
          <w:rFonts w:cstheme="minorHAnsi"/>
        </w:rPr>
        <w:t>tudy 0</w:t>
      </w:r>
      <w:r>
        <w:rPr>
          <w:rFonts w:cstheme="minorHAnsi"/>
        </w:rPr>
        <w:t>33 and the toxicology findings in the 2</w:t>
      </w:r>
      <w:r w:rsidR="00143D9B">
        <w:rPr>
          <w:rFonts w:cstheme="minorHAnsi"/>
        </w:rPr>
        <w:t> </w:t>
      </w:r>
      <w:r>
        <w:rPr>
          <w:rFonts w:cstheme="minorHAnsi"/>
        </w:rPr>
        <w:t>year carcinogenicity study in rats and the 13 week rat study.</w:t>
      </w:r>
    </w:p>
    <w:p w14:paraId="500F3370" w14:textId="37B2E440" w:rsidR="0082067D" w:rsidRDefault="00B84B23" w:rsidP="0008156B">
      <w:pPr>
        <w:rPr>
          <w:rFonts w:cstheme="minorHAnsi"/>
        </w:rPr>
      </w:pPr>
      <w:r>
        <w:rPr>
          <w:rFonts w:cstheme="minorHAnsi"/>
        </w:rPr>
        <w:t>T</w:t>
      </w:r>
      <w:r w:rsidR="00C312D1">
        <w:rPr>
          <w:rFonts w:cstheme="minorHAnsi"/>
        </w:rPr>
        <w:t>afenoquine</w:t>
      </w:r>
      <w:r w:rsidR="0082067D" w:rsidRPr="00895BD1">
        <w:rPr>
          <w:rFonts w:cstheme="minorHAnsi"/>
        </w:rPr>
        <w:t xml:space="preserve"> demonstrated equivalent efficacy (non-inferior) to </w:t>
      </w:r>
      <w:r w:rsidR="00994561">
        <w:rPr>
          <w:rFonts w:cstheme="minorHAnsi"/>
        </w:rPr>
        <w:t>mefloquine</w:t>
      </w:r>
      <w:r w:rsidR="0082067D" w:rsidRPr="00895BD1">
        <w:rPr>
          <w:rFonts w:cstheme="minorHAnsi"/>
        </w:rPr>
        <w:t xml:space="preserve"> in preventing parasitemia/clinical malaria during 6 months of treatment in non-immune subjects at high risk </w:t>
      </w:r>
      <w:r w:rsidR="0082067D">
        <w:rPr>
          <w:rFonts w:cstheme="minorHAnsi"/>
        </w:rPr>
        <w:t xml:space="preserve">of </w:t>
      </w:r>
      <w:r w:rsidR="0082067D" w:rsidRPr="00895BD1">
        <w:rPr>
          <w:rFonts w:cstheme="minorHAnsi"/>
        </w:rPr>
        <w:t xml:space="preserve">exposure </w:t>
      </w:r>
      <w:r w:rsidR="0082067D">
        <w:rPr>
          <w:rFonts w:cstheme="minorHAnsi"/>
        </w:rPr>
        <w:t xml:space="preserve">to malaria during extended stay </w:t>
      </w:r>
      <w:r w:rsidR="0082067D" w:rsidRPr="00895BD1">
        <w:rPr>
          <w:rFonts w:cstheme="minorHAnsi"/>
        </w:rPr>
        <w:t xml:space="preserve">in </w:t>
      </w:r>
      <w:r w:rsidR="0082067D">
        <w:rPr>
          <w:rFonts w:cstheme="minorHAnsi"/>
        </w:rPr>
        <w:t xml:space="preserve">an </w:t>
      </w:r>
      <w:r w:rsidR="0082067D" w:rsidRPr="00895BD1">
        <w:rPr>
          <w:rFonts w:cstheme="minorHAnsi"/>
        </w:rPr>
        <w:t>endemic area. The post-prophylactic</w:t>
      </w:r>
      <w:r w:rsidR="0082067D">
        <w:rPr>
          <w:rFonts w:cstheme="minorHAnsi"/>
        </w:rPr>
        <w:t xml:space="preserve"> (exposure) efficacy was better with</w:t>
      </w:r>
      <w:r w:rsidR="0082067D" w:rsidRPr="00895BD1">
        <w:rPr>
          <w:rFonts w:cstheme="minorHAnsi"/>
        </w:rPr>
        <w:t xml:space="preserve"> </w:t>
      </w:r>
      <w:r w:rsidR="00994561">
        <w:rPr>
          <w:rFonts w:cstheme="minorHAnsi"/>
        </w:rPr>
        <w:t>mefloquine</w:t>
      </w:r>
      <w:r w:rsidR="0082067D" w:rsidRPr="00895BD1">
        <w:rPr>
          <w:rFonts w:cstheme="minorHAnsi"/>
        </w:rPr>
        <w:t>/</w:t>
      </w:r>
      <w:r w:rsidR="00994561">
        <w:rPr>
          <w:rFonts w:cstheme="minorHAnsi"/>
        </w:rPr>
        <w:t>primaquine</w:t>
      </w:r>
      <w:r w:rsidR="0082067D" w:rsidRPr="00895BD1">
        <w:rPr>
          <w:rFonts w:cstheme="minorHAnsi"/>
        </w:rPr>
        <w:t xml:space="preserve"> </w:t>
      </w:r>
      <w:r w:rsidR="0082067D">
        <w:rPr>
          <w:rFonts w:cstheme="minorHAnsi"/>
        </w:rPr>
        <w:t xml:space="preserve">compared to </w:t>
      </w:r>
      <w:r w:rsidR="00C312D1">
        <w:rPr>
          <w:rFonts w:cstheme="minorHAnsi"/>
        </w:rPr>
        <w:t>tafenoquine</w:t>
      </w:r>
      <w:r w:rsidR="0082067D">
        <w:rPr>
          <w:rFonts w:cstheme="minorHAnsi"/>
        </w:rPr>
        <w:t xml:space="preserve"> with 2</w:t>
      </w:r>
      <w:r w:rsidR="00143D9B">
        <w:rPr>
          <w:rFonts w:cstheme="minorHAnsi"/>
        </w:rPr>
        <w:t> </w:t>
      </w:r>
      <w:r w:rsidR="0082067D">
        <w:rPr>
          <w:rFonts w:cstheme="minorHAnsi"/>
        </w:rPr>
        <w:t xml:space="preserve">reports of </w:t>
      </w:r>
      <w:proofErr w:type="gramStart"/>
      <w:r w:rsidR="0082067D">
        <w:rPr>
          <w:rFonts w:cstheme="minorHAnsi"/>
        </w:rPr>
        <w:t>Pv</w:t>
      </w:r>
      <w:proofErr w:type="gramEnd"/>
      <w:r w:rsidR="0082067D">
        <w:rPr>
          <w:rFonts w:cstheme="minorHAnsi"/>
        </w:rPr>
        <w:t xml:space="preserve"> malaria relapse versus</w:t>
      </w:r>
      <w:r w:rsidR="0082067D" w:rsidRPr="00895BD1">
        <w:rPr>
          <w:rFonts w:cstheme="minorHAnsi"/>
        </w:rPr>
        <w:t xml:space="preserve"> 7 </w:t>
      </w:r>
      <w:r w:rsidR="0082067D">
        <w:rPr>
          <w:rFonts w:cstheme="minorHAnsi"/>
        </w:rPr>
        <w:t>reports of Pv malaria relapse in</w:t>
      </w:r>
      <w:r w:rsidR="0082067D" w:rsidRPr="00895BD1">
        <w:rPr>
          <w:rFonts w:cstheme="minorHAnsi"/>
        </w:rPr>
        <w:t xml:space="preserve"> </w:t>
      </w:r>
      <w:r w:rsidR="00994561">
        <w:rPr>
          <w:rFonts w:cstheme="minorHAnsi"/>
        </w:rPr>
        <w:t>mefloquine</w:t>
      </w:r>
      <w:r w:rsidR="0082067D">
        <w:rPr>
          <w:rFonts w:cstheme="minorHAnsi"/>
        </w:rPr>
        <w:t>/</w:t>
      </w:r>
      <w:r w:rsidR="00994561">
        <w:rPr>
          <w:rFonts w:cstheme="minorHAnsi"/>
        </w:rPr>
        <w:t>primaquine</w:t>
      </w:r>
      <w:r w:rsidR="0082067D">
        <w:rPr>
          <w:rFonts w:cstheme="minorHAnsi"/>
        </w:rPr>
        <w:t xml:space="preserve"> and </w:t>
      </w:r>
      <w:r w:rsidR="00C312D1">
        <w:rPr>
          <w:rFonts w:cstheme="minorHAnsi"/>
        </w:rPr>
        <w:t>tafenoquine</w:t>
      </w:r>
      <w:r w:rsidR="0082067D">
        <w:rPr>
          <w:rFonts w:cstheme="minorHAnsi"/>
        </w:rPr>
        <w:t xml:space="preserve"> groups respectively during a 12 months follow-up period.</w:t>
      </w:r>
    </w:p>
    <w:p w14:paraId="72353A9C" w14:textId="2CB8A3B7" w:rsidR="0082067D" w:rsidRPr="001F6AC2" w:rsidRDefault="0082067D" w:rsidP="0008156B">
      <w:r w:rsidRPr="001F6AC2">
        <w:t xml:space="preserve">The </w:t>
      </w:r>
      <w:r>
        <w:t xml:space="preserve">clinical </w:t>
      </w:r>
      <w:r w:rsidRPr="001F6AC2">
        <w:t>safety</w:t>
      </w:r>
      <w:r>
        <w:t>/adverse effects</w:t>
      </w:r>
      <w:r w:rsidRPr="001F6AC2">
        <w:t xml:space="preserve"> profile </w:t>
      </w:r>
      <w:r>
        <w:t xml:space="preserve">in </w:t>
      </w:r>
      <w:r w:rsidR="00B84B23">
        <w:t>S</w:t>
      </w:r>
      <w:r>
        <w:t xml:space="preserve">tudy 033 </w:t>
      </w:r>
      <w:r w:rsidRPr="001F6AC2">
        <w:t xml:space="preserve">did not demonstrate an advantage of </w:t>
      </w:r>
      <w:r w:rsidR="00C312D1">
        <w:t>tafenoquine</w:t>
      </w:r>
      <w:r w:rsidRPr="001F6AC2">
        <w:t xml:space="preserve"> o</w:t>
      </w:r>
      <w:r>
        <w:t xml:space="preserve">ver </w:t>
      </w:r>
      <w:r w:rsidR="00994561">
        <w:t>mefloquine</w:t>
      </w:r>
      <w:r>
        <w:t xml:space="preserve"> with respect to </w:t>
      </w:r>
      <w:r w:rsidRPr="001F6AC2">
        <w:t xml:space="preserve">neuropsychiatric events noting that subjects with any history of neuropsychiatric events </w:t>
      </w:r>
      <w:r>
        <w:t xml:space="preserve">were excluded from </w:t>
      </w:r>
      <w:r w:rsidRPr="001F6AC2">
        <w:t>this trial.</w:t>
      </w:r>
      <w:r>
        <w:t xml:space="preserve"> Corneal deposits were specific to </w:t>
      </w:r>
      <w:r w:rsidR="00C312D1">
        <w:t>tafenoquine</w:t>
      </w:r>
      <w:r>
        <w:t xml:space="preserve"> and can be considered causal and were not reported in </w:t>
      </w:r>
      <w:r w:rsidR="00994561">
        <w:t>mefloquine</w:t>
      </w:r>
      <w:r>
        <w:t>.</w:t>
      </w:r>
    </w:p>
    <w:p w14:paraId="7F16543A" w14:textId="0163FED0" w:rsidR="0082067D" w:rsidRDefault="0082067D" w:rsidP="0008156B">
      <w:r>
        <w:t xml:space="preserve">The renal tumours reported in the 2 year rat study could be considered secondary to CPN as these were confined to male rats. </w:t>
      </w:r>
      <w:proofErr w:type="gramStart"/>
      <w:r w:rsidR="00C312D1">
        <w:t>tafenoquine</w:t>
      </w:r>
      <w:proofErr w:type="gramEnd"/>
      <w:r>
        <w:t xml:space="preserve"> was also shown to be non-mutagenic. However, </w:t>
      </w:r>
      <w:r w:rsidR="009016FB">
        <w:t>No observable effect level (</w:t>
      </w:r>
      <w:r>
        <w:t>NOEL</w:t>
      </w:r>
      <w:r w:rsidR="009016FB">
        <w:t>)</w:t>
      </w:r>
      <w:r>
        <w:t xml:space="preserve"> could not be established in the 2 year rat carcinogenicity study and </w:t>
      </w:r>
      <w:r>
        <w:rPr>
          <w:kern w:val="2"/>
        </w:rPr>
        <w:t>markers of cell proliferation and Karyomegaly were reported in both sexes in the 13 week rat study.</w:t>
      </w:r>
    </w:p>
    <w:p w14:paraId="16AA2218" w14:textId="6F5F7E74" w:rsidR="0082067D" w:rsidRDefault="0082067D" w:rsidP="0008156B">
      <w:r>
        <w:t xml:space="preserve">Together these findings point to the possibility of additional mechanisms for tumours reported in male rats in the carcinogenicity study separate from the secondary development as a consequence of CPN. The clinical implication of a wider use and consequences of </w:t>
      </w:r>
      <w:r w:rsidR="00C312D1">
        <w:t>tafenoquine</w:t>
      </w:r>
      <w:r>
        <w:t xml:space="preserve"> in unselected general population such as with baseline renal pathology is also a concern. At best the findings are of undetermined significance and a non-trivial, significant effect in humans cannot be ruled out based on the available toxicology data.</w:t>
      </w:r>
    </w:p>
    <w:p w14:paraId="17EAB149" w14:textId="663618DB" w:rsidR="0082067D" w:rsidRPr="00895BD1" w:rsidRDefault="0082067D" w:rsidP="0008156B">
      <w:pPr>
        <w:rPr>
          <w:rFonts w:cstheme="minorHAnsi"/>
        </w:rPr>
      </w:pPr>
      <w:r>
        <w:rPr>
          <w:rFonts w:cstheme="minorHAnsi"/>
        </w:rPr>
        <w:t xml:space="preserve">In </w:t>
      </w:r>
      <w:r w:rsidR="00B84B23">
        <w:rPr>
          <w:rFonts w:cstheme="minorHAnsi"/>
        </w:rPr>
        <w:t>the Delegate’s</w:t>
      </w:r>
      <w:r>
        <w:rPr>
          <w:rFonts w:cstheme="minorHAnsi"/>
        </w:rPr>
        <w:t xml:space="preserve"> opinion, the safety signal </w:t>
      </w:r>
      <w:r w:rsidRPr="00895BD1">
        <w:rPr>
          <w:rFonts w:cstheme="minorHAnsi"/>
        </w:rPr>
        <w:t xml:space="preserve">in toxicology </w:t>
      </w:r>
      <w:r>
        <w:rPr>
          <w:rFonts w:cstheme="minorHAnsi"/>
        </w:rPr>
        <w:t>data</w:t>
      </w:r>
      <w:r w:rsidRPr="00895BD1">
        <w:rPr>
          <w:rFonts w:cstheme="minorHAnsi"/>
        </w:rPr>
        <w:t xml:space="preserve"> do</w:t>
      </w:r>
      <w:r>
        <w:rPr>
          <w:rFonts w:cstheme="minorHAnsi"/>
        </w:rPr>
        <w:t>es</w:t>
      </w:r>
      <w:r w:rsidRPr="00895BD1">
        <w:rPr>
          <w:rFonts w:cstheme="minorHAnsi"/>
        </w:rPr>
        <w:t xml:space="preserve"> not allow </w:t>
      </w:r>
      <w:r>
        <w:rPr>
          <w:rFonts w:cstheme="minorHAnsi"/>
        </w:rPr>
        <w:t xml:space="preserve">a conclusion of </w:t>
      </w:r>
      <w:r w:rsidRPr="00895BD1">
        <w:rPr>
          <w:rFonts w:cstheme="minorHAnsi"/>
        </w:rPr>
        <w:t>a clear bene</w:t>
      </w:r>
      <w:r>
        <w:rPr>
          <w:rFonts w:cstheme="minorHAnsi"/>
        </w:rPr>
        <w:t xml:space="preserve">fit in favour of the proposed, </w:t>
      </w:r>
      <w:r w:rsidRPr="00895BD1">
        <w:rPr>
          <w:rFonts w:cstheme="minorHAnsi"/>
        </w:rPr>
        <w:t xml:space="preserve">long-term (maximum </w:t>
      </w:r>
      <w:r>
        <w:rPr>
          <w:rFonts w:cstheme="minorHAnsi"/>
        </w:rPr>
        <w:t xml:space="preserve">of </w:t>
      </w:r>
      <w:r w:rsidRPr="00895BD1">
        <w:rPr>
          <w:rFonts w:cstheme="minorHAnsi"/>
        </w:rPr>
        <w:t>6 months)</w:t>
      </w:r>
      <w:r>
        <w:rPr>
          <w:rFonts w:cstheme="minorHAnsi"/>
        </w:rPr>
        <w:t>,</w:t>
      </w:r>
      <w:r w:rsidRPr="00895BD1">
        <w:rPr>
          <w:rFonts w:cstheme="minorHAnsi"/>
        </w:rPr>
        <w:t xml:space="preserve"> continuous (weekly) use for malaria prophylaxis in unselected, non-immune, hea</w:t>
      </w:r>
      <w:r>
        <w:rPr>
          <w:rFonts w:cstheme="minorHAnsi"/>
        </w:rPr>
        <w:t xml:space="preserve">lthy individuals. It is also not an effect, given the expected latency period, which can be captured in pre-market studies or adequately managed through post-market surveillance. This is a regrettable </w:t>
      </w:r>
      <w:r>
        <w:t>situation but indicative of the limited progress that has been achieved in this important disease over last many decades.</w:t>
      </w:r>
    </w:p>
    <w:p w14:paraId="21A00AB3" w14:textId="77777777" w:rsidR="005B7261" w:rsidRDefault="005B7261" w:rsidP="005B7261">
      <w:pPr>
        <w:pStyle w:val="Heading4"/>
      </w:pPr>
      <w:r w:rsidRPr="00367463">
        <w:t>Summary of issues</w:t>
      </w:r>
    </w:p>
    <w:p w14:paraId="13C72BF4" w14:textId="77777777" w:rsidR="005B7261" w:rsidRPr="00456765" w:rsidRDefault="005B7261" w:rsidP="005B7261">
      <w:r w:rsidRPr="00367463">
        <w:t xml:space="preserve">Overall risk/benefit balance for the use of </w:t>
      </w:r>
      <w:r>
        <w:t>tafenoquine</w:t>
      </w:r>
      <w:r w:rsidRPr="00367463">
        <w:t xml:space="preserve"> in prevention of malaria in non-immune individuals during high risk exposure to contracting malaria during temporary but extended stay in malaria endemic areas.</w:t>
      </w:r>
    </w:p>
    <w:p w14:paraId="5AEDE896" w14:textId="08AA9FD7" w:rsidR="0082067D" w:rsidRPr="001F6AC2" w:rsidRDefault="0082067D" w:rsidP="0008156B">
      <w:pPr>
        <w:rPr>
          <w:rFonts w:cstheme="minorHAnsi"/>
        </w:rPr>
      </w:pPr>
      <w:r w:rsidRPr="001F6AC2">
        <w:rPr>
          <w:rFonts w:cstheme="minorHAnsi"/>
        </w:rPr>
        <w:t xml:space="preserve">Advice is sought from the </w:t>
      </w:r>
      <w:r w:rsidR="005B7261">
        <w:rPr>
          <w:rFonts w:cstheme="minorHAnsi"/>
        </w:rPr>
        <w:t>TGA’s</w:t>
      </w:r>
      <w:r w:rsidR="00E8666D">
        <w:rPr>
          <w:rFonts w:cstheme="minorHAnsi"/>
        </w:rPr>
        <w:t xml:space="preserve"> ACM</w:t>
      </w:r>
      <w:r>
        <w:rPr>
          <w:rFonts w:cstheme="minorHAnsi"/>
        </w:rPr>
        <w:t>.</w:t>
      </w:r>
    </w:p>
    <w:p w14:paraId="74009E20" w14:textId="696217C2" w:rsidR="00D23139" w:rsidRDefault="00D23139" w:rsidP="00D23139">
      <w:pPr>
        <w:pStyle w:val="Heading4"/>
      </w:pPr>
      <w:r w:rsidRPr="00D23139">
        <w:t>Request for ACM advice</w:t>
      </w:r>
    </w:p>
    <w:p w14:paraId="56BF3772" w14:textId="77777777" w:rsidR="00367463" w:rsidRDefault="00367463" w:rsidP="00367463">
      <w:r>
        <w:t xml:space="preserve">The </w:t>
      </w:r>
      <w:r w:rsidR="005B7261" w:rsidRPr="001F6AC2">
        <w:rPr>
          <w:rFonts w:cstheme="minorHAnsi"/>
        </w:rPr>
        <w:t>A</w:t>
      </w:r>
      <w:r w:rsidR="005B7261">
        <w:rPr>
          <w:rFonts w:cstheme="minorHAnsi"/>
        </w:rPr>
        <w:t>dvisory</w:t>
      </w:r>
      <w:r w:rsidR="005B7261" w:rsidRPr="001F6AC2">
        <w:rPr>
          <w:rFonts w:cstheme="minorHAnsi"/>
        </w:rPr>
        <w:t xml:space="preserve"> Committee on Medicine (ACM</w:t>
      </w:r>
      <w:r w:rsidR="005B7261">
        <w:rPr>
          <w:rFonts w:cstheme="minorHAnsi"/>
        </w:rPr>
        <w:t>)</w:t>
      </w:r>
      <w:r>
        <w:t xml:space="preserve"> is requested to provide advice on the following specific issues:</w:t>
      </w:r>
    </w:p>
    <w:p w14:paraId="00BEFA24" w14:textId="452ED29D" w:rsidR="00367463" w:rsidRDefault="005A767E" w:rsidP="005B7261">
      <w:pPr>
        <w:pStyle w:val="Numberbullet0"/>
        <w:numPr>
          <w:ilvl w:val="0"/>
          <w:numId w:val="43"/>
        </w:numPr>
      </w:pPr>
      <w:r w:rsidRPr="00E1623F">
        <w:t>[information redacted]</w:t>
      </w:r>
      <w:r w:rsidR="00367463" w:rsidRPr="00E1623F">
        <w:t xml:space="preserve"> The ACM is requested advice on the validity and significance of the carcinogenicity findings reported in the toxicology data relative to the benefit (prophylactic efficacy) demonstrated</w:t>
      </w:r>
      <w:r w:rsidR="00367463">
        <w:t xml:space="preserve"> in the pivotal clinical </w:t>
      </w:r>
      <w:r w:rsidR="005B7261">
        <w:t>S</w:t>
      </w:r>
      <w:r w:rsidR="00367463">
        <w:t>tudy 033.</w:t>
      </w:r>
    </w:p>
    <w:p w14:paraId="398EF5DE" w14:textId="77777777" w:rsidR="00367463" w:rsidRDefault="00367463" w:rsidP="005B7261">
      <w:pPr>
        <w:pStyle w:val="Numberbullet0"/>
      </w:pPr>
      <w:r>
        <w:t xml:space="preserve">An ophthalmic (and neuropsychiatry) safety trial in Australia (and USA) investigating the long-term use of </w:t>
      </w:r>
      <w:r w:rsidR="00C312D1">
        <w:t>tafenoquine</w:t>
      </w:r>
      <w:r>
        <w:t xml:space="preserve"> has been notified. This is a pre-market trial which </w:t>
      </w:r>
      <w:r>
        <w:lastRenderedPageBreak/>
        <w:t xml:space="preserve">involves weekly </w:t>
      </w:r>
      <w:r w:rsidR="00C312D1">
        <w:t>tafenoquine</w:t>
      </w:r>
      <w:r>
        <w:t xml:space="preserve"> treatment for 1 year</w:t>
      </w:r>
      <w:r w:rsidR="004C7147">
        <w:t xml:space="preserve"> versus </w:t>
      </w:r>
      <w:r>
        <w:t>placebo in non-immune residents with no risk of exposure to malaria. Does the ACM consider the trial objectives and design appropriate and expected to add usefully to the knowledge of the drug</w:t>
      </w:r>
      <w:r w:rsidR="005B7261">
        <w:t>?</w:t>
      </w:r>
      <w:r>
        <w:t xml:space="preserve"> Any comments from ACM will be provided to the TGA Experimental Products Section for liaison with the Ethics Committee concerned.</w:t>
      </w:r>
    </w:p>
    <w:p w14:paraId="3C7B27BB" w14:textId="77777777" w:rsidR="00456765" w:rsidRDefault="00367463" w:rsidP="005B7261">
      <w:pPr>
        <w:pStyle w:val="Numberbullet0"/>
      </w:pPr>
      <w:r>
        <w:t xml:space="preserve">The </w:t>
      </w:r>
      <w:r w:rsidR="005B7261">
        <w:t>c</w:t>
      </w:r>
      <w:r>
        <w:t>ommittee is (also) requested to provide advice on any other issues that it thinks may be relevant to a decision on whether or not to approve this application.</w:t>
      </w:r>
    </w:p>
    <w:p w14:paraId="5BB00D52" w14:textId="002BDE95" w:rsidR="00367463" w:rsidRDefault="00367463" w:rsidP="00367463">
      <w:pPr>
        <w:pStyle w:val="Heading4"/>
      </w:pPr>
      <w:r w:rsidRPr="00367463">
        <w:t>Pre ACM preliminary assessment</w:t>
      </w:r>
    </w:p>
    <w:p w14:paraId="0BFBDB35" w14:textId="07FBE1F6" w:rsidR="00367463" w:rsidRPr="00456765" w:rsidRDefault="005B7261" w:rsidP="00367463">
      <w:r>
        <w:t>The Delegate was</w:t>
      </w:r>
      <w:r w:rsidR="00367463" w:rsidRPr="00367463">
        <w:t xml:space="preserve"> not in a position to say, at this time, that the application for </w:t>
      </w:r>
      <w:r w:rsidR="00A84DBA">
        <w:t>Kodatef</w:t>
      </w:r>
      <w:r w:rsidR="00367463" w:rsidRPr="00367463">
        <w:t xml:space="preserve"> should be approved for registration.</w:t>
      </w:r>
    </w:p>
    <w:p w14:paraId="0EF3245B" w14:textId="453B44DC" w:rsidR="008E7846" w:rsidRDefault="008E7846" w:rsidP="008E7846">
      <w:pPr>
        <w:pStyle w:val="Heading4"/>
      </w:pPr>
      <w:r>
        <w:t>Advisory Committee Considerations</w:t>
      </w:r>
      <w:r w:rsidR="00456765">
        <w:rPr>
          <w:rStyle w:val="FootnoteReference"/>
        </w:rPr>
        <w:footnoteReference w:id="35"/>
      </w:r>
    </w:p>
    <w:p w14:paraId="20C67A6C" w14:textId="77777777" w:rsidR="00367463" w:rsidRDefault="00367463" w:rsidP="00367463">
      <w:r>
        <w:t xml:space="preserve">The </w:t>
      </w:r>
      <w:r w:rsidR="00242787" w:rsidRPr="00456765">
        <w:rPr>
          <w:bCs/>
        </w:rPr>
        <w:t>Adviso</w:t>
      </w:r>
      <w:r w:rsidR="00242787">
        <w:rPr>
          <w:bCs/>
        </w:rPr>
        <w:t>ry Committee on Medicines (ACM)</w:t>
      </w:r>
      <w:r>
        <w:t xml:space="preserve"> taking into account the submitted evidence of efficacy, safety and quality, considered </w:t>
      </w:r>
      <w:r w:rsidR="00A84DBA">
        <w:t>Kodatef</w:t>
      </w:r>
      <w:r>
        <w:t xml:space="preserve"> film-coated, immediate release tablet containing 125.5 mg (equivalent to 100 mg </w:t>
      </w:r>
      <w:r w:rsidR="00C312D1">
        <w:t>tafenoquine</w:t>
      </w:r>
      <w:r>
        <w:t xml:space="preserve"> base) of </w:t>
      </w:r>
      <w:r w:rsidR="00C312D1">
        <w:t>tafenoquine</w:t>
      </w:r>
      <w:r>
        <w:t xml:space="preserve"> succinate to have an overall positive benefit-risk profile for the proposed indication:</w:t>
      </w:r>
    </w:p>
    <w:p w14:paraId="79534005" w14:textId="77777777" w:rsidR="00367463" w:rsidRPr="00E936DB" w:rsidRDefault="00A84DBA" w:rsidP="00E936DB">
      <w:pPr>
        <w:ind w:left="720"/>
        <w:rPr>
          <w:i/>
        </w:rPr>
      </w:pPr>
      <w:r w:rsidRPr="00E936DB">
        <w:rPr>
          <w:i/>
        </w:rPr>
        <w:t>Kodatef</w:t>
      </w:r>
      <w:r w:rsidR="00367463" w:rsidRPr="00E936DB">
        <w:rPr>
          <w:i/>
        </w:rPr>
        <w:t xml:space="preserve"> (</w:t>
      </w:r>
      <w:r w:rsidR="00C312D1" w:rsidRPr="00E936DB">
        <w:rPr>
          <w:i/>
        </w:rPr>
        <w:t>tafenoquine</w:t>
      </w:r>
      <w:r w:rsidR="00367463" w:rsidRPr="00E936DB">
        <w:rPr>
          <w:i/>
        </w:rPr>
        <w:t>) tablets are indicated for the prevention of malaria in adults for up to 6 months of continuous dosing.</w:t>
      </w:r>
    </w:p>
    <w:p w14:paraId="09CC0844" w14:textId="77777777" w:rsidR="00367463" w:rsidRDefault="00367463" w:rsidP="00367463">
      <w:r>
        <w:t>In providing this advice the ACM noted the following:</w:t>
      </w:r>
    </w:p>
    <w:p w14:paraId="7365C356" w14:textId="77777777" w:rsidR="00367463" w:rsidRDefault="00367463" w:rsidP="00367463">
      <w:pPr>
        <w:pStyle w:val="ListBullet"/>
      </w:pPr>
      <w:r>
        <w:t>The importance and benefits of malaria prophylaxis in travellers and military personnel to endemic</w:t>
      </w:r>
      <w:r>
        <w:rPr>
          <w:spacing w:val="-3"/>
        </w:rPr>
        <w:t xml:space="preserve"> </w:t>
      </w:r>
      <w:r>
        <w:t>countries.</w:t>
      </w:r>
    </w:p>
    <w:p w14:paraId="2203A1A5" w14:textId="77777777" w:rsidR="00367463" w:rsidRDefault="00367463" w:rsidP="00367463">
      <w:pPr>
        <w:pStyle w:val="ListBullet"/>
      </w:pPr>
      <w:r>
        <w:t>The clinical need for new agents for malaria prophylaxis, noting issues with resistance, adherence and tolerability with currently available</w:t>
      </w:r>
      <w:r>
        <w:rPr>
          <w:spacing w:val="-9"/>
        </w:rPr>
        <w:t xml:space="preserve"> </w:t>
      </w:r>
      <w:r>
        <w:t>medicines.</w:t>
      </w:r>
    </w:p>
    <w:p w14:paraId="005D03E6" w14:textId="77777777" w:rsidR="00367463" w:rsidRDefault="00367463" w:rsidP="00367463">
      <w:pPr>
        <w:pStyle w:val="ListBullet"/>
      </w:pPr>
      <w:r>
        <w:t>The data from the pivotal study (</w:t>
      </w:r>
      <w:r w:rsidR="00E936DB">
        <w:t xml:space="preserve">Study </w:t>
      </w:r>
      <w:r>
        <w:t xml:space="preserve">033) demonstrated that </w:t>
      </w:r>
      <w:r w:rsidR="00C312D1">
        <w:t>tafenoquine</w:t>
      </w:r>
      <w:r>
        <w:t xml:space="preserve"> succinate has similar efficacy in malaria prophylaxis compared with</w:t>
      </w:r>
      <w:r>
        <w:rPr>
          <w:spacing w:val="-7"/>
        </w:rPr>
        <w:t xml:space="preserve"> </w:t>
      </w:r>
      <w:r>
        <w:t>mefloquine.</w:t>
      </w:r>
    </w:p>
    <w:p w14:paraId="0B6B3093" w14:textId="26F578B5" w:rsidR="00367463" w:rsidRDefault="00367463" w:rsidP="00367463">
      <w:pPr>
        <w:pStyle w:val="ListBullet"/>
      </w:pPr>
      <w:r>
        <w:t xml:space="preserve">In </w:t>
      </w:r>
      <w:r w:rsidR="00E936DB">
        <w:t>S</w:t>
      </w:r>
      <w:r>
        <w:t xml:space="preserve">tudy 033, the adverse effect profile of </w:t>
      </w:r>
      <w:r w:rsidR="00C312D1">
        <w:t>tafenoquine</w:t>
      </w:r>
      <w:r>
        <w:t xml:space="preserve"> succinate and mefloquine were generally comparable. In a subset of patients assessed for the possible effects/signs of phospholipidosis, corneal deposits</w:t>
      </w:r>
      <w:bookmarkStart w:id="312" w:name="_Ref528749205"/>
      <w:r w:rsidR="00143D9B">
        <w:t>;</w:t>
      </w:r>
      <w:bookmarkStart w:id="313" w:name="_Ref5627655"/>
      <w:r w:rsidR="00094813">
        <w:rPr>
          <w:rStyle w:val="FootnoteReference"/>
        </w:rPr>
        <w:footnoteReference w:id="36"/>
      </w:r>
      <w:bookmarkEnd w:id="312"/>
      <w:bookmarkEnd w:id="313"/>
      <w:r>
        <w:t xml:space="preserve"> keratopathy) were evident or suspected in 93% of </w:t>
      </w:r>
      <w:r w:rsidR="00C312D1">
        <w:t>tafenoquine</w:t>
      </w:r>
      <w:r>
        <w:t>-treated subjects and nil in mefloquine-treated subjects. The corneal deposits were reported to have resolved by twelve</w:t>
      </w:r>
      <w:r>
        <w:rPr>
          <w:spacing w:val="-5"/>
        </w:rPr>
        <w:t xml:space="preserve"> </w:t>
      </w:r>
      <w:r>
        <w:t>months.</w:t>
      </w:r>
    </w:p>
    <w:p w14:paraId="2A333CB7" w14:textId="77777777" w:rsidR="00367463" w:rsidRDefault="00367463" w:rsidP="00367463">
      <w:pPr>
        <w:pStyle w:val="ListBullet"/>
      </w:pPr>
      <w:r>
        <w:t xml:space="preserve">On 26 July 2018, the United States Food and Drug Administration’s Antimicrobial Drugs Advisory Committee voted in favour of </w:t>
      </w:r>
      <w:r w:rsidR="00C312D1">
        <w:t>tafenoquine</w:t>
      </w:r>
      <w:r>
        <w:t xml:space="preserve"> for prevention of malaria in</w:t>
      </w:r>
      <w:r>
        <w:rPr>
          <w:spacing w:val="-32"/>
        </w:rPr>
        <w:t xml:space="preserve"> </w:t>
      </w:r>
      <w:r>
        <w:t>adults.</w:t>
      </w:r>
    </w:p>
    <w:p w14:paraId="0AACFB03" w14:textId="77777777" w:rsidR="00367463" w:rsidRDefault="00367463" w:rsidP="00367463">
      <w:pPr>
        <w:pStyle w:val="Heading5"/>
      </w:pPr>
      <w:bookmarkStart w:id="314" w:name="Proposed_conditions_of_registration"/>
      <w:bookmarkEnd w:id="314"/>
      <w:r>
        <w:t>Proposed conditions of registration</w:t>
      </w:r>
    </w:p>
    <w:p w14:paraId="292651B5" w14:textId="77777777" w:rsidR="00367463" w:rsidRDefault="00367463" w:rsidP="00367463">
      <w:r>
        <w:t>The ACM advised on the inclusion of the following as proposed conditions of registration:</w:t>
      </w:r>
    </w:p>
    <w:p w14:paraId="3E196402" w14:textId="040172F9" w:rsidR="00367463" w:rsidRDefault="00367463" w:rsidP="00367463">
      <w:pPr>
        <w:pStyle w:val="ListBullet"/>
      </w:pPr>
      <w:r>
        <w:lastRenderedPageBreak/>
        <w:t xml:space="preserve">Satisfactory implementation of the Risk Management Plan most recently negotiated by the TGA, with relevant emphasis on risks of </w:t>
      </w:r>
      <w:r w:rsidR="00E53C30" w:rsidRPr="00E53C30">
        <w:rPr>
          <w:vertAlign w:val="superscript"/>
        </w:rPr>
        <w:fldChar w:fldCharType="begin"/>
      </w:r>
      <w:r w:rsidR="00E53C30" w:rsidRPr="00E53C30">
        <w:rPr>
          <w:vertAlign w:val="superscript"/>
        </w:rPr>
        <w:instrText xml:space="preserve"> NOTEREF _Ref5627655 \h </w:instrText>
      </w:r>
      <w:r w:rsidR="00E53C30">
        <w:rPr>
          <w:vertAlign w:val="superscript"/>
        </w:rPr>
        <w:instrText xml:space="preserve"> \* MERGEFORMAT </w:instrText>
      </w:r>
      <w:r w:rsidR="00E53C30" w:rsidRPr="00E53C30">
        <w:rPr>
          <w:vertAlign w:val="superscript"/>
        </w:rPr>
      </w:r>
      <w:r w:rsidR="00E53C30" w:rsidRPr="00E53C30">
        <w:rPr>
          <w:vertAlign w:val="superscript"/>
        </w:rPr>
        <w:fldChar w:fldCharType="separate"/>
      </w:r>
      <w:r w:rsidR="00CE218E">
        <w:rPr>
          <w:vertAlign w:val="superscript"/>
        </w:rPr>
        <w:t>36</w:t>
      </w:r>
      <w:r w:rsidR="00E53C30" w:rsidRPr="00E53C30">
        <w:rPr>
          <w:vertAlign w:val="superscript"/>
        </w:rPr>
        <w:fldChar w:fldCharType="end"/>
      </w:r>
      <w:r>
        <w:t>keratopathy and neuropsychiatric adverse events.</w:t>
      </w:r>
    </w:p>
    <w:p w14:paraId="6F1E7B5A" w14:textId="77777777" w:rsidR="00367463" w:rsidRDefault="00367463" w:rsidP="00367463">
      <w:pPr>
        <w:pStyle w:val="ListBullet"/>
      </w:pPr>
      <w:r>
        <w:t>Negotiation of the Product Information and Consumer Medicine Information to the satisfaction of the</w:t>
      </w:r>
      <w:r>
        <w:rPr>
          <w:spacing w:val="-1"/>
        </w:rPr>
        <w:t xml:space="preserve"> </w:t>
      </w:r>
      <w:r>
        <w:t>TGA.</w:t>
      </w:r>
    </w:p>
    <w:p w14:paraId="7F6F0CF3" w14:textId="77777777" w:rsidR="00367463" w:rsidRDefault="00367463" w:rsidP="00367463">
      <w:pPr>
        <w:pStyle w:val="Heading5"/>
      </w:pPr>
      <w:r>
        <w:t>Proposed Product Information (PI)/ Consumer Medicine Information (CMI) amendments</w:t>
      </w:r>
    </w:p>
    <w:p w14:paraId="6250BDC9" w14:textId="77777777" w:rsidR="00367463" w:rsidRDefault="00367463" w:rsidP="00367463">
      <w:r>
        <w:t>The ACM proposed amendments to the PI and CMI and specifically advised on the inclusion of the following:</w:t>
      </w:r>
    </w:p>
    <w:p w14:paraId="4E8DBD6E" w14:textId="115CFB2F" w:rsidR="00367463" w:rsidRDefault="00367463" w:rsidP="00367463">
      <w:pPr>
        <w:pStyle w:val="ListBullet"/>
      </w:pPr>
      <w:r>
        <w:t>Further information regarding keratopathy</w:t>
      </w:r>
      <w:proofErr w:type="gramStart"/>
      <w:r w:rsidR="00143D9B">
        <w:t>;</w:t>
      </w:r>
      <w:proofErr w:type="gramEnd"/>
      <w:r w:rsidR="00E53C30" w:rsidRPr="00E53C30">
        <w:rPr>
          <w:vertAlign w:val="superscript"/>
        </w:rPr>
        <w:fldChar w:fldCharType="begin"/>
      </w:r>
      <w:r w:rsidR="00E53C30" w:rsidRPr="00E53C30">
        <w:rPr>
          <w:vertAlign w:val="superscript"/>
        </w:rPr>
        <w:instrText xml:space="preserve"> NOTEREF _Ref5627655 \h </w:instrText>
      </w:r>
      <w:r w:rsidR="00E53C30">
        <w:rPr>
          <w:vertAlign w:val="superscript"/>
        </w:rPr>
        <w:instrText xml:space="preserve"> \* MERGEFORMAT </w:instrText>
      </w:r>
      <w:r w:rsidR="00E53C30" w:rsidRPr="00E53C30">
        <w:rPr>
          <w:vertAlign w:val="superscript"/>
        </w:rPr>
      </w:r>
      <w:r w:rsidR="00E53C30" w:rsidRPr="00E53C30">
        <w:rPr>
          <w:vertAlign w:val="superscript"/>
        </w:rPr>
        <w:fldChar w:fldCharType="separate"/>
      </w:r>
      <w:r w:rsidR="00CE218E">
        <w:rPr>
          <w:vertAlign w:val="superscript"/>
        </w:rPr>
        <w:t>36</w:t>
      </w:r>
      <w:r w:rsidR="00E53C30" w:rsidRPr="00E53C30">
        <w:rPr>
          <w:vertAlign w:val="superscript"/>
        </w:rPr>
        <w:fldChar w:fldCharType="end"/>
      </w:r>
      <w:r>
        <w:t xml:space="preserve"> as an adverse event in the PI and</w:t>
      </w:r>
      <w:r>
        <w:rPr>
          <w:spacing w:val="-12"/>
        </w:rPr>
        <w:t xml:space="preserve"> </w:t>
      </w:r>
      <w:r>
        <w:t>CMI</w:t>
      </w:r>
      <w:r w:rsidR="00E936DB">
        <w:t>.</w:t>
      </w:r>
    </w:p>
    <w:p w14:paraId="2EA91701" w14:textId="77777777" w:rsidR="00367463" w:rsidRDefault="00367463" w:rsidP="00367463">
      <w:pPr>
        <w:pStyle w:val="ListBullet"/>
      </w:pPr>
      <w:r>
        <w:t>Information regarding neuropsychiatric adverse events in the PI and</w:t>
      </w:r>
      <w:r>
        <w:rPr>
          <w:spacing w:val="-6"/>
        </w:rPr>
        <w:t xml:space="preserve"> </w:t>
      </w:r>
      <w:r>
        <w:t>CMI</w:t>
      </w:r>
      <w:r w:rsidR="00E936DB">
        <w:t>.</w:t>
      </w:r>
    </w:p>
    <w:p w14:paraId="27E44660" w14:textId="77777777" w:rsidR="00367463" w:rsidRDefault="00367463" w:rsidP="00367463">
      <w:pPr>
        <w:pStyle w:val="ListBullet"/>
      </w:pPr>
      <w:r>
        <w:t xml:space="preserve">Inclusion of history of neuropsychiatric disorders as a contraindication, as per the exclusion criteria in Study 033. Noting that </w:t>
      </w:r>
      <w:r w:rsidR="0039759D">
        <w:t>‘</w:t>
      </w:r>
      <w:r>
        <w:t>neuropsychiatric</w:t>
      </w:r>
      <w:r w:rsidR="0039759D">
        <w:t>’</w:t>
      </w:r>
      <w:r>
        <w:t xml:space="preserve"> was a broad term</w:t>
      </w:r>
      <w:r w:rsidR="002522B4">
        <w:t>;</w:t>
      </w:r>
      <w:r>
        <w:t xml:space="preserve"> the ACM advised to specify more closely the particular conditions that would be considered contraindications.</w:t>
      </w:r>
    </w:p>
    <w:p w14:paraId="7B6C8F83" w14:textId="3EF5B712" w:rsidR="00367463" w:rsidRDefault="00367463" w:rsidP="00367463">
      <w:pPr>
        <w:pStyle w:val="Heading5"/>
      </w:pPr>
      <w:bookmarkStart w:id="315" w:name="Specific_Advice"/>
      <w:bookmarkEnd w:id="315"/>
      <w:r>
        <w:t xml:space="preserve">Specific </w:t>
      </w:r>
      <w:r w:rsidR="00743CB3">
        <w:t>a</w:t>
      </w:r>
      <w:r>
        <w:t>dvice</w:t>
      </w:r>
    </w:p>
    <w:p w14:paraId="0ECA8F1A" w14:textId="77777777" w:rsidR="00367463" w:rsidRDefault="00367463" w:rsidP="00367463">
      <w:r>
        <w:t xml:space="preserve">The ACM advised the following in response to the </w:t>
      </w:r>
      <w:r w:rsidR="00E936DB">
        <w:t>D</w:t>
      </w:r>
      <w:r>
        <w:t>elegate’s specific questions on the submission:</w:t>
      </w:r>
    </w:p>
    <w:p w14:paraId="0BE08B53" w14:textId="6FBE93CB" w:rsidR="00367463" w:rsidRPr="00E936DB" w:rsidRDefault="005A767E" w:rsidP="00E936DB">
      <w:pPr>
        <w:pStyle w:val="Numberbullet0"/>
        <w:numPr>
          <w:ilvl w:val="0"/>
          <w:numId w:val="44"/>
        </w:numPr>
        <w:rPr>
          <w:i/>
        </w:rPr>
      </w:pPr>
      <w:r>
        <w:rPr>
          <w:i/>
        </w:rPr>
        <w:t>[</w:t>
      </w:r>
      <w:proofErr w:type="gramStart"/>
      <w:r>
        <w:rPr>
          <w:i/>
        </w:rPr>
        <w:t>information</w:t>
      </w:r>
      <w:proofErr w:type="gramEnd"/>
      <w:r>
        <w:rPr>
          <w:i/>
        </w:rPr>
        <w:t xml:space="preserve"> redacted]</w:t>
      </w:r>
      <w:r w:rsidR="00367463" w:rsidRPr="00E936DB">
        <w:rPr>
          <w:i/>
        </w:rPr>
        <w:t xml:space="preserve">. The ACM is requested advice on the validity and significance of the carcinogenicity findings reported in the toxicology data relative to the benefit (prophylactic efficacy) demonstrated in the pivotal clinical </w:t>
      </w:r>
      <w:r w:rsidR="00E936DB">
        <w:rPr>
          <w:i/>
        </w:rPr>
        <w:t>S</w:t>
      </w:r>
      <w:r w:rsidR="00367463" w:rsidRPr="00E936DB">
        <w:rPr>
          <w:i/>
        </w:rPr>
        <w:t>tudy</w:t>
      </w:r>
      <w:r w:rsidR="00367463" w:rsidRPr="00E936DB">
        <w:rPr>
          <w:i/>
          <w:spacing w:val="-4"/>
        </w:rPr>
        <w:t xml:space="preserve"> </w:t>
      </w:r>
      <w:r w:rsidR="00367463" w:rsidRPr="00E936DB">
        <w:rPr>
          <w:i/>
        </w:rPr>
        <w:t>033.</w:t>
      </w:r>
    </w:p>
    <w:p w14:paraId="404DAF71" w14:textId="77777777" w:rsidR="00367463" w:rsidRDefault="00367463" w:rsidP="00367463">
      <w:r>
        <w:t>The ACM noted that in a two</w:t>
      </w:r>
      <w:r w:rsidR="00E936DB">
        <w:t xml:space="preserve"> </w:t>
      </w:r>
      <w:r>
        <w:t xml:space="preserve">year rat carcinogenicity study, an increase in the incidence of renal tumours and hyperplasia in male rats was observed at the higher doses of </w:t>
      </w:r>
      <w:r w:rsidR="00C312D1">
        <w:t>tafenoquine</w:t>
      </w:r>
      <w:r>
        <w:t xml:space="preserve"> 1 mg and 2 mg/kg/day. This finding was only in males (not female rats) and only occurred in the context of renal cell damage and old age. There was no evidence of renal tumourigenicity or dose-related renal pathology in either the 2</w:t>
      </w:r>
      <w:r w:rsidR="00E936DB">
        <w:t xml:space="preserve"> </w:t>
      </w:r>
      <w:r>
        <w:t>year mouse study or the 1</w:t>
      </w:r>
      <w:r w:rsidR="00E936DB">
        <w:t xml:space="preserve"> </w:t>
      </w:r>
      <w:r>
        <w:t>year beagle dog study.</w:t>
      </w:r>
    </w:p>
    <w:p w14:paraId="7F50560B" w14:textId="71B2011F" w:rsidR="00367463" w:rsidRDefault="00367463" w:rsidP="00367463">
      <w:r>
        <w:t>The sponsor suggested that the tumourigenicity was associated with progressive renal nephropathy, a pathological change commonly found in ageing rats and a condition not considered t</w:t>
      </w:r>
      <w:hyperlink w:anchor="_bookmark1" w:history="1">
        <w:r>
          <w:t xml:space="preserve">o </w:t>
        </w:r>
      </w:hyperlink>
      <w:r>
        <w:t>be relevant to humans.</w:t>
      </w:r>
      <w:r w:rsidR="00397241">
        <w:rPr>
          <w:rStyle w:val="FootnoteReference"/>
        </w:rPr>
        <w:footnoteReference w:id="37"/>
      </w:r>
      <w:r>
        <w:t xml:space="preserve"> The ACM noted that this view was contentious; with Melnick et al</w:t>
      </w:r>
      <w:r w:rsidR="00143D9B">
        <w:t>.;</w:t>
      </w:r>
      <w:r w:rsidR="00397241">
        <w:rPr>
          <w:rStyle w:val="FootnoteReference"/>
        </w:rPr>
        <w:footnoteReference w:id="38"/>
      </w:r>
      <w:r w:rsidR="00397241">
        <w:t xml:space="preserve"> </w:t>
      </w:r>
      <w:r>
        <w:t xml:space="preserve">challenging that dismissing the human relevance of kidney tumours induced by chemicals </w:t>
      </w:r>
      <w:proofErr w:type="gramStart"/>
      <w:r>
        <w:t>th</w:t>
      </w:r>
      <w:proofErr w:type="gramEnd"/>
      <w:r w:rsidR="007A1903">
        <w:fldChar w:fldCharType="begin"/>
      </w:r>
      <w:r w:rsidR="007A1903">
        <w:instrText xml:space="preserve"> HYPERLINK \l "_bookmark1" </w:instrText>
      </w:r>
      <w:r w:rsidR="007A1903">
        <w:fldChar w:fldCharType="separate"/>
      </w:r>
      <w:r>
        <w:t>a</w:t>
      </w:r>
      <w:r w:rsidR="007A1903">
        <w:fldChar w:fldCharType="end"/>
      </w:r>
      <w:r>
        <w:t>t also exacerbate chronic progressive nephropathy in rats would be wrong.</w:t>
      </w:r>
    </w:p>
    <w:p w14:paraId="4801D596" w14:textId="77777777" w:rsidR="00367463" w:rsidRDefault="00367463" w:rsidP="00367463">
      <w:r>
        <w:t xml:space="preserve">A possible alternative mechanism for treatment-related renal tumours occurring only in male rats relates to accumulation of α2µ-globulin in renal tubular epithelial cells. Because humans do not synthesise α2µ-globulin it has been suggested that chemicals that cause renal toxicity associated with α2µ-globulin accumulation do not pose an increased cancer risk to humans. There was no direct evidence that </w:t>
      </w:r>
      <w:r w:rsidR="00C312D1">
        <w:t>tafenoquine</w:t>
      </w:r>
      <w:r>
        <w:t xml:space="preserve"> interacts with this relatively male</w:t>
      </w:r>
      <w:r w:rsidR="00E936DB">
        <w:t xml:space="preserve"> </w:t>
      </w:r>
      <w:r>
        <w:t>rat specific protein</w:t>
      </w:r>
      <w:r w:rsidR="00E936DB">
        <w:t xml:space="preserve"> </w:t>
      </w:r>
      <w:r>
        <w:t>and was therefore considered unlikely to have a role in the observed renal carcinogenicity. The ACM considered that the mechanism behind the renal tumourigenesis was unclear.</w:t>
      </w:r>
    </w:p>
    <w:p w14:paraId="096BC36C" w14:textId="77777777" w:rsidR="00367463" w:rsidRDefault="00367463" w:rsidP="00367463">
      <w:r>
        <w:lastRenderedPageBreak/>
        <w:t>However, noting the male</w:t>
      </w:r>
      <w:r w:rsidR="00E0665B">
        <w:t xml:space="preserve"> </w:t>
      </w:r>
      <w:r>
        <w:t xml:space="preserve">rat specific and apparently non-genotoxic tumourigenic response to </w:t>
      </w:r>
      <w:r w:rsidR="00C312D1">
        <w:t>tafenoquine</w:t>
      </w:r>
      <w:r>
        <w:t>, occurring relatively late in a long-term feeding study, the ACM considered that this finding is unlikely to be relevant to humans and that for the proposed use of up to six months, risk in humans is likely to be low. The overall benefit-risk profile was therefore considered to be positive.</w:t>
      </w:r>
    </w:p>
    <w:p w14:paraId="0634B73E" w14:textId="77777777" w:rsidR="00367463" w:rsidRPr="00E0665B" w:rsidRDefault="00367463" w:rsidP="00E0665B">
      <w:pPr>
        <w:pStyle w:val="Numberbullet0"/>
        <w:numPr>
          <w:ilvl w:val="0"/>
          <w:numId w:val="45"/>
        </w:numPr>
        <w:rPr>
          <w:i/>
        </w:rPr>
      </w:pPr>
      <w:r w:rsidRPr="00E0665B">
        <w:rPr>
          <w:i/>
        </w:rPr>
        <w:t xml:space="preserve">An ophthalmic (and neuropsychiatry) safety trial in Australia (and USA) investigating the long-term use of </w:t>
      </w:r>
      <w:r w:rsidR="00C312D1" w:rsidRPr="00E0665B">
        <w:rPr>
          <w:i/>
        </w:rPr>
        <w:t>tafenoquine</w:t>
      </w:r>
      <w:r w:rsidRPr="00E0665B">
        <w:rPr>
          <w:i/>
        </w:rPr>
        <w:t xml:space="preserve"> has been notified. This is a pre-market trial which involves weekly </w:t>
      </w:r>
      <w:r w:rsidR="00C312D1" w:rsidRPr="00E0665B">
        <w:rPr>
          <w:i/>
        </w:rPr>
        <w:t>tafenoquine</w:t>
      </w:r>
      <w:r w:rsidRPr="00E0665B">
        <w:rPr>
          <w:i/>
        </w:rPr>
        <w:t xml:space="preserve"> treatment for 1 year</w:t>
      </w:r>
      <w:r w:rsidR="004C7147" w:rsidRPr="00E0665B">
        <w:rPr>
          <w:i/>
        </w:rPr>
        <w:t xml:space="preserve"> versus </w:t>
      </w:r>
      <w:r w:rsidRPr="00E0665B">
        <w:rPr>
          <w:i/>
        </w:rPr>
        <w:t>placebo in non-immune residents with no risk of exposure to malaria. Does the ACM consider the trial objectives and design appropriate and expected to add usefully to the knowledge of the drug</w:t>
      </w:r>
      <w:r w:rsidR="00E0665B">
        <w:rPr>
          <w:i/>
        </w:rPr>
        <w:t>?</w:t>
      </w:r>
      <w:r w:rsidRPr="00E0665B">
        <w:rPr>
          <w:i/>
        </w:rPr>
        <w:t xml:space="preserve"> Any comments from ACM will be provided to the TGA Experimental Products Section for liaison with the Ethics Committee</w:t>
      </w:r>
      <w:r w:rsidRPr="00E0665B">
        <w:rPr>
          <w:i/>
          <w:spacing w:val="-4"/>
        </w:rPr>
        <w:t xml:space="preserve"> </w:t>
      </w:r>
      <w:r w:rsidRPr="00E0665B">
        <w:rPr>
          <w:i/>
        </w:rPr>
        <w:t>concerned.</w:t>
      </w:r>
    </w:p>
    <w:p w14:paraId="2F66710F" w14:textId="77777777" w:rsidR="00367463" w:rsidRDefault="00367463" w:rsidP="00367463">
      <w:r>
        <w:t xml:space="preserve">The ACM speculated that the safety trial may be used in future to support registration of a longer (more than six months) duration of prophylaxis therapy, noting however, that there would be no efficacy outcomes. The </w:t>
      </w:r>
      <w:r w:rsidR="00E0665B">
        <w:t>c</w:t>
      </w:r>
      <w:r>
        <w:t>ommittee considered it uncertain whether this trial would provide further substantial knowledge of the drug.</w:t>
      </w:r>
    </w:p>
    <w:p w14:paraId="080C1462" w14:textId="77777777" w:rsidR="00367463" w:rsidRDefault="00367463" w:rsidP="00367463">
      <w:r>
        <w:t>The ACM advised that implementation by the sponsor of the recommendations outlined above to the satisfaction of the TGA, in addition to the evidence of efficacy and safety provided would support the safe and effective use of this product.</w:t>
      </w:r>
    </w:p>
    <w:p w14:paraId="5276B576" w14:textId="77777777" w:rsidR="008E7846" w:rsidRPr="002E238E" w:rsidRDefault="008E7846" w:rsidP="008E7846">
      <w:pPr>
        <w:pStyle w:val="Heading3"/>
      </w:pPr>
      <w:bookmarkStart w:id="316" w:name="_Toc247691532"/>
      <w:bookmarkStart w:id="317" w:name="_Toc314842516"/>
      <w:bookmarkStart w:id="318" w:name="_Toc12348802"/>
      <w:bookmarkEnd w:id="168"/>
      <w:bookmarkEnd w:id="310"/>
      <w:bookmarkEnd w:id="311"/>
      <w:r>
        <w:t>Outcome</w:t>
      </w:r>
      <w:bookmarkEnd w:id="316"/>
      <w:bookmarkEnd w:id="317"/>
      <w:bookmarkEnd w:id="318"/>
    </w:p>
    <w:p w14:paraId="2F1C631C" w14:textId="77777777" w:rsidR="00D23139" w:rsidRPr="00D23139" w:rsidRDefault="00D23139" w:rsidP="007B5D48">
      <w:bookmarkStart w:id="319" w:name="_Toc247691533"/>
      <w:bookmarkStart w:id="320" w:name="_Toc314842517"/>
      <w:r w:rsidRPr="00D23139">
        <w:t xml:space="preserve">Based on a review of quality, safety and efficacy, TGA approved the registration of </w:t>
      </w:r>
      <w:r w:rsidR="007B5D48">
        <w:t>Kodatef tafenoquine (as succinate) 100 mg tablet blister pack for oral administration</w:t>
      </w:r>
      <w:r w:rsidRPr="00D23139">
        <w:t>, indicated for:</w:t>
      </w:r>
    </w:p>
    <w:p w14:paraId="6F12EA95" w14:textId="77777777" w:rsidR="007B5D48" w:rsidRPr="007B5D48" w:rsidRDefault="007B5D48" w:rsidP="007B5D48">
      <w:pPr>
        <w:ind w:left="720"/>
        <w:rPr>
          <w:i/>
        </w:rPr>
      </w:pPr>
      <w:r w:rsidRPr="007B5D48">
        <w:rPr>
          <w:i/>
        </w:rPr>
        <w:t>Malaria Prophylaxis</w:t>
      </w:r>
    </w:p>
    <w:p w14:paraId="43BE45EC" w14:textId="77777777" w:rsidR="00D23139" w:rsidRPr="007B5D48" w:rsidRDefault="007B5D48" w:rsidP="007B5D48">
      <w:pPr>
        <w:ind w:left="720"/>
        <w:rPr>
          <w:i/>
        </w:rPr>
      </w:pPr>
      <w:r w:rsidRPr="007B5D48">
        <w:rPr>
          <w:i/>
        </w:rPr>
        <w:t>Kodatef (tafenoquine) is an antimalarial indicated for the prevention of malaria in adults 18 years of age and above for up to 6 months of continuous dosing. See Section 5.1 Pharmacodynamic Properties – Clinical trials</w:t>
      </w:r>
      <w:r>
        <w:rPr>
          <w:i/>
        </w:rPr>
        <w:t>.</w:t>
      </w:r>
    </w:p>
    <w:p w14:paraId="758D48DF" w14:textId="77777777" w:rsidR="00D23139" w:rsidRDefault="00D23139" w:rsidP="00D23139">
      <w:pPr>
        <w:pStyle w:val="Heading4"/>
      </w:pPr>
      <w:r w:rsidRPr="00D23139">
        <w:t>Specific conditions of registration applying to these goods</w:t>
      </w:r>
    </w:p>
    <w:p w14:paraId="4831808F" w14:textId="77777777" w:rsidR="00283EC0" w:rsidRDefault="00283EC0" w:rsidP="00283EC0">
      <w:pPr>
        <w:pStyle w:val="Numberbullet0"/>
        <w:numPr>
          <w:ilvl w:val="0"/>
          <w:numId w:val="46"/>
        </w:numPr>
      </w:pPr>
      <w:r>
        <w:t>Kodatef (tafenoquine) is to be included in the Black Triangle Scheme. The PI and CMI for Kodatef must include the black triangle symbol and mandatory accompanying text for five years, which starts from the date that the sponsor notifies the TGA of supply of the product.</w:t>
      </w:r>
    </w:p>
    <w:p w14:paraId="2E1DB701" w14:textId="77777777" w:rsidR="007B5D48" w:rsidRPr="007B5D48" w:rsidRDefault="007B5D48" w:rsidP="00283EC0">
      <w:pPr>
        <w:pStyle w:val="Numberbullet0"/>
      </w:pPr>
      <w:r>
        <w:t>The Kodatef EU-Risk Management Plan (RMP) (version 2.0, dated 30 January 2018, data lock point 21 August 2017), with Australian Specific Annex (version 2.0, dated 30 January 2018), included with submission PM-2017-02418-1-2, and any subsequent revisions, as agreed with the TGA will be implemented in Australia.</w:t>
      </w:r>
    </w:p>
    <w:p w14:paraId="45027F06" w14:textId="77777777" w:rsidR="008E7846" w:rsidRDefault="00A80B5B" w:rsidP="00D23139">
      <w:pPr>
        <w:pStyle w:val="Heading2"/>
      </w:pPr>
      <w:bookmarkStart w:id="321" w:name="_Toc12348803"/>
      <w:proofErr w:type="gramStart"/>
      <w:r>
        <w:t>Attachment 1.</w:t>
      </w:r>
      <w:proofErr w:type="gramEnd"/>
      <w:r>
        <w:t xml:space="preserve"> </w:t>
      </w:r>
      <w:r w:rsidR="008E7846">
        <w:t xml:space="preserve">Product </w:t>
      </w:r>
      <w:r w:rsidR="00AA0ED0">
        <w:t>I</w:t>
      </w:r>
      <w:r w:rsidR="008E7846">
        <w:t>nformation</w:t>
      </w:r>
      <w:bookmarkEnd w:id="319"/>
      <w:bookmarkEnd w:id="320"/>
      <w:bookmarkEnd w:id="321"/>
    </w:p>
    <w:p w14:paraId="0BCFE4F8" w14:textId="77777777" w:rsidR="00C80137" w:rsidRDefault="006136D7" w:rsidP="00C80137">
      <w:pPr>
        <w:rPr>
          <w:color w:val="000000"/>
          <w:lang w:eastAsia="en-AU"/>
        </w:rPr>
      </w:pPr>
      <w:r w:rsidRPr="002B3624">
        <w:t xml:space="preserve">The </w:t>
      </w:r>
      <w:r>
        <w:t>PI</w:t>
      </w:r>
      <w:r w:rsidRPr="002B3624">
        <w:t xml:space="preserve"> for </w:t>
      </w:r>
      <w:r w:rsidR="00883923">
        <w:t>Kodatef</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74" w:history="1">
        <w:r w:rsidR="007C6B9B" w:rsidRPr="007C6B9B">
          <w:rPr>
            <w:rStyle w:val="Hyperlink"/>
          </w:rPr>
          <w:t>https://www.tga.gov.au/product-information-pi</w:t>
        </w:r>
      </w:hyperlink>
      <w:r w:rsidR="00883923">
        <w:t>&gt;.</w:t>
      </w:r>
    </w:p>
    <w:p w14:paraId="7D38CD53" w14:textId="4FC0BB6A" w:rsidR="00E1623F" w:rsidRDefault="00E1623F" w:rsidP="00E1623F">
      <w:pPr>
        <w:pStyle w:val="Heading2"/>
        <w:rPr>
          <w:lang w:eastAsia="ja-JP"/>
        </w:rPr>
      </w:pPr>
      <w:bookmarkStart w:id="322" w:name="_Toc517274446"/>
      <w:bookmarkStart w:id="323" w:name="_Toc12348804"/>
      <w:proofErr w:type="gramStart"/>
      <w:r>
        <w:rPr>
          <w:lang w:eastAsia="en-AU"/>
        </w:rPr>
        <w:t>Attachment 2.</w:t>
      </w:r>
      <w:proofErr w:type="gramEnd"/>
      <w:r>
        <w:rPr>
          <w:lang w:eastAsia="en-AU"/>
        </w:rPr>
        <w:t xml:space="preserve"> Extract from the Clinical Evaluation Report</w:t>
      </w:r>
      <w:bookmarkEnd w:id="322"/>
      <w:bookmarkEnd w:id="323"/>
    </w:p>
    <w:p w14:paraId="438A3DF5" w14:textId="77777777" w:rsidR="00C80137" w:rsidRPr="001D043B" w:rsidRDefault="00C80137" w:rsidP="003A7F6C">
      <w:pPr>
        <w:pStyle w:val="TableTitle"/>
        <w:sectPr w:rsidR="00C80137" w:rsidRPr="001D043B" w:rsidSect="00B452CE">
          <w:headerReference w:type="even" r:id="rId75"/>
          <w:headerReference w:type="default" r:id="rId76"/>
          <w:headerReference w:type="first" r:id="rId77"/>
          <w:footerReference w:type="first" r:id="rId7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0D9885F" w14:textId="77777777" w:rsidTr="00A05FA4">
        <w:trPr>
          <w:trHeight w:hRule="exact" w:val="704"/>
        </w:trPr>
        <w:tc>
          <w:tcPr>
            <w:tcW w:w="9175" w:type="dxa"/>
          </w:tcPr>
          <w:p w14:paraId="2977B7F9" w14:textId="77777777" w:rsidR="001C32CD" w:rsidRPr="00487162" w:rsidRDefault="001C32CD" w:rsidP="00A05FA4">
            <w:pPr>
              <w:pStyle w:val="TGASignoff"/>
            </w:pPr>
            <w:r w:rsidRPr="00487162">
              <w:lastRenderedPageBreak/>
              <w:t>Therapeutic Goods Administration</w:t>
            </w:r>
          </w:p>
        </w:tc>
      </w:tr>
      <w:tr w:rsidR="001C32CD" w:rsidRPr="004C239D" w14:paraId="44811950" w14:textId="77777777" w:rsidTr="00A05FA4">
        <w:trPr>
          <w:trHeight w:val="1221"/>
        </w:trPr>
        <w:tc>
          <w:tcPr>
            <w:tcW w:w="9175" w:type="dxa"/>
            <w:tcMar>
              <w:top w:w="28" w:type="dxa"/>
            </w:tcMar>
          </w:tcPr>
          <w:p w14:paraId="64519833" w14:textId="77777777" w:rsidR="001C32CD" w:rsidRPr="00487162" w:rsidRDefault="001C32CD" w:rsidP="00A05FA4">
            <w:pPr>
              <w:pStyle w:val="Address"/>
            </w:pPr>
            <w:r w:rsidRPr="00487162">
              <w:t>PO Box 100 Woden ACT 2606 Australia</w:t>
            </w:r>
          </w:p>
          <w:p w14:paraId="2948C7C0" w14:textId="77777777" w:rsidR="001C32CD" w:rsidRPr="00487162" w:rsidRDefault="001C32CD" w:rsidP="00A05FA4">
            <w:pPr>
              <w:pStyle w:val="Address"/>
            </w:pPr>
            <w:r w:rsidRPr="00487162">
              <w:t xml:space="preserve">Email: </w:t>
            </w:r>
            <w:hyperlink r:id="rId79" w:history="1">
              <w:r w:rsidRPr="004C239D">
                <w:rPr>
                  <w:rStyle w:val="Hyperlink"/>
                </w:rPr>
                <w:t>info@tga.gov.au</w:t>
              </w:r>
            </w:hyperlink>
            <w:r w:rsidR="0020528D" w:rsidRPr="0020528D">
              <w:t xml:space="preserve"> </w:t>
            </w:r>
            <w:r w:rsidRPr="00487162">
              <w:t>Phone: 1800 020 653</w:t>
            </w:r>
            <w:r w:rsidR="0020528D" w:rsidRPr="0020528D">
              <w:t xml:space="preserve"> </w:t>
            </w:r>
            <w:r w:rsidRPr="00487162">
              <w:t>Fax: 02 6232 8605</w:t>
            </w:r>
          </w:p>
          <w:p w14:paraId="6823E7D1" w14:textId="77777777" w:rsidR="001C32CD" w:rsidRPr="004C239D" w:rsidRDefault="009F66E1" w:rsidP="00A05FA4">
            <w:pPr>
              <w:pStyle w:val="Address"/>
              <w:spacing w:line="260" w:lineRule="atLeast"/>
              <w:rPr>
                <w:b/>
                <w:color w:val="0000FF"/>
                <w:u w:val="single"/>
              </w:rPr>
            </w:pPr>
            <w:hyperlink r:id="rId80" w:history="1">
              <w:r w:rsidR="007C6B9B" w:rsidRPr="007C6B9B">
                <w:rPr>
                  <w:rStyle w:val="Hyperlink"/>
                  <w:b/>
                </w:rPr>
                <w:t>https://www.tga.gov.au</w:t>
              </w:r>
            </w:hyperlink>
          </w:p>
        </w:tc>
      </w:tr>
    </w:tbl>
    <w:p w14:paraId="27B4EA7B" w14:textId="77777777" w:rsidR="00774E1D" w:rsidRPr="008A5E0B" w:rsidRDefault="00774E1D" w:rsidP="004C239D"/>
    <w:sectPr w:rsidR="00774E1D" w:rsidRPr="008A5E0B" w:rsidSect="001C32CD">
      <w:headerReference w:type="even" r:id="rId81"/>
      <w:headerReference w:type="default" r:id="rId82"/>
      <w:footerReference w:type="default" r:id="rId83"/>
      <w:headerReference w:type="first" r:id="rId84"/>
      <w:footerReference w:type="first" r:id="rId8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AE6F99" w14:textId="77777777" w:rsidR="007A1903" w:rsidRDefault="007A1903" w:rsidP="00C40A36">
      <w:pPr>
        <w:spacing w:after="0"/>
      </w:pPr>
      <w:r>
        <w:separator/>
      </w:r>
    </w:p>
  </w:endnote>
  <w:endnote w:type="continuationSeparator" w:id="0">
    <w:p w14:paraId="64E27D32" w14:textId="77777777" w:rsidR="007A1903" w:rsidRDefault="007A190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Dutch801BT-Roman">
    <w:altName w:val="Cambria"/>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A1903" w:rsidRPr="00487162" w14:paraId="75D56D8E" w14:textId="77777777" w:rsidTr="00DB750B">
      <w:trPr>
        <w:trHeight w:val="269"/>
      </w:trPr>
      <w:tc>
        <w:tcPr>
          <w:tcW w:w="7371" w:type="dxa"/>
          <w:tcMar>
            <w:top w:w="142" w:type="dxa"/>
            <w:bottom w:w="0" w:type="dxa"/>
          </w:tcMar>
        </w:tcPr>
        <w:p w14:paraId="01A6AE6E" w14:textId="021EF7E8" w:rsidR="007A1903" w:rsidRPr="00487162" w:rsidRDefault="007A1903" w:rsidP="00D869ED">
          <w:pPr>
            <w:pStyle w:val="Footer"/>
          </w:pPr>
          <w:r w:rsidRPr="00487162">
            <w:t>AusPA</w:t>
          </w:r>
          <w:r>
            <w:t>R Kodatef Tafenoquine Biocelect Pty Ltd PM-2017</w:t>
          </w:r>
          <w:r w:rsidRPr="00487162">
            <w:t>-</w:t>
          </w:r>
          <w:r>
            <w:t>02418-1-2</w:t>
          </w:r>
          <w:r>
            <w:br/>
            <w:t>Final 8 April 2019</w:t>
          </w:r>
        </w:p>
      </w:tc>
      <w:tc>
        <w:tcPr>
          <w:tcW w:w="1490" w:type="dxa"/>
          <w:tcMar>
            <w:top w:w="142" w:type="dxa"/>
            <w:bottom w:w="0" w:type="dxa"/>
          </w:tcMar>
        </w:tcPr>
        <w:p w14:paraId="727E6429" w14:textId="77777777" w:rsidR="007A1903" w:rsidRPr="00487162" w:rsidRDefault="007A1903" w:rsidP="00DB750B">
          <w:pPr>
            <w:pStyle w:val="Footer"/>
            <w:jc w:val="right"/>
          </w:pPr>
          <w:r w:rsidRPr="00487162">
            <w:t xml:space="preserve">Page </w:t>
          </w:r>
          <w:r>
            <w:fldChar w:fldCharType="begin"/>
          </w:r>
          <w:r>
            <w:instrText xml:space="preserve"> PAGE  \* Arabic </w:instrText>
          </w:r>
          <w:r>
            <w:fldChar w:fldCharType="separate"/>
          </w:r>
          <w:r w:rsidR="009F66E1">
            <w:rPr>
              <w:noProof/>
            </w:rPr>
            <w:t>79</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9F66E1">
            <w:rPr>
              <w:noProof/>
            </w:rPr>
            <w:t>79</w:t>
          </w:r>
          <w:r>
            <w:rPr>
              <w:noProof/>
            </w:rPr>
            <w:fldChar w:fldCharType="end"/>
          </w:r>
        </w:p>
      </w:tc>
    </w:tr>
  </w:tbl>
  <w:p w14:paraId="17D8E549" w14:textId="77777777" w:rsidR="007A1903" w:rsidRDefault="007A190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A1903" w:rsidRPr="00487162" w14:paraId="6C2C9669" w14:textId="77777777" w:rsidTr="00E45619">
      <w:trPr>
        <w:trHeight w:val="269"/>
      </w:trPr>
      <w:tc>
        <w:tcPr>
          <w:tcW w:w="4519" w:type="dxa"/>
          <w:tcBorders>
            <w:top w:val="single" w:sz="4" w:space="0" w:color="auto"/>
          </w:tcBorders>
          <w:tcMar>
            <w:top w:w="142" w:type="dxa"/>
            <w:bottom w:w="0" w:type="dxa"/>
          </w:tcMar>
        </w:tcPr>
        <w:p w14:paraId="60C4E22F" w14:textId="77777777" w:rsidR="007A1903" w:rsidRPr="00487162" w:rsidRDefault="007A1903" w:rsidP="00FE1DEE">
          <w:pPr>
            <w:pStyle w:val="Footer"/>
          </w:pPr>
          <w:r w:rsidRPr="00487162">
            <w:t>Document title, Part #, Section # - Section title</w:t>
          </w:r>
        </w:p>
        <w:p w14:paraId="7C2601D5" w14:textId="77777777" w:rsidR="007A1903" w:rsidRPr="00487162" w:rsidRDefault="007A1903" w:rsidP="00FE1DEE">
          <w:pPr>
            <w:pStyle w:val="Footer"/>
          </w:pPr>
          <w:r w:rsidRPr="00487162">
            <w:t>V1.0 October 2010</w:t>
          </w:r>
        </w:p>
      </w:tc>
      <w:tc>
        <w:tcPr>
          <w:tcW w:w="4342" w:type="dxa"/>
          <w:tcBorders>
            <w:top w:val="single" w:sz="4" w:space="0" w:color="auto"/>
          </w:tcBorders>
          <w:tcMar>
            <w:top w:w="142" w:type="dxa"/>
            <w:bottom w:w="0" w:type="dxa"/>
          </w:tcMar>
        </w:tcPr>
        <w:p w14:paraId="592143A2" w14:textId="11D0D517" w:rsidR="007A1903" w:rsidRPr="00487162" w:rsidRDefault="007A190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80</w:t>
          </w:r>
          <w:r>
            <w:rPr>
              <w:noProof/>
            </w:rPr>
            <w:fldChar w:fldCharType="end"/>
          </w:r>
        </w:p>
      </w:tc>
    </w:tr>
  </w:tbl>
  <w:p w14:paraId="05931DF4" w14:textId="77777777" w:rsidR="007A1903" w:rsidRDefault="007A19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F9AB1" w14:textId="77777777" w:rsidR="007A1903" w:rsidRPr="001C32CD" w:rsidRDefault="007A190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A1903" w14:paraId="757CC73D" w14:textId="77777777" w:rsidTr="0010601F">
      <w:trPr>
        <w:trHeight w:val="108"/>
      </w:trPr>
      <w:tc>
        <w:tcPr>
          <w:tcW w:w="8875" w:type="dxa"/>
          <w:gridSpan w:val="2"/>
          <w:tcBorders>
            <w:bottom w:val="single" w:sz="4" w:space="0" w:color="auto"/>
          </w:tcBorders>
          <w:tcMar>
            <w:right w:w="284" w:type="dxa"/>
          </w:tcMar>
        </w:tcPr>
        <w:p w14:paraId="0F16A27E" w14:textId="77777777" w:rsidR="007A1903" w:rsidRDefault="007A1903" w:rsidP="006E08B3">
          <w:pPr>
            <w:pStyle w:val="Heading3"/>
          </w:pPr>
          <w:r>
            <w:t>Copyright</w:t>
          </w:r>
        </w:p>
        <w:p w14:paraId="72646C8D" w14:textId="77777777" w:rsidR="007A1903" w:rsidRDefault="007A1903" w:rsidP="006E08B3">
          <w:r>
            <w:rPr>
              <w:rFonts w:cs="Arial"/>
            </w:rPr>
            <w:t>©</w:t>
          </w:r>
          <w:r>
            <w:t xml:space="preserve"> Commonwealth of Australia [add year]</w:t>
          </w:r>
        </w:p>
        <w:p w14:paraId="11A54095" w14:textId="77777777" w:rsidR="007A1903" w:rsidRDefault="007A1903" w:rsidP="006E08B3"/>
        <w:p w14:paraId="0BAB4237" w14:textId="77777777" w:rsidR="007A1903" w:rsidRDefault="007A1903"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Pr="0020528D">
            <w:t xml:space="preserve"> </w:t>
          </w:r>
          <w:r w:rsidRPr="006E08B3">
            <w:t>http://www.ag.gov.au/cca</w:t>
          </w:r>
        </w:p>
        <w:p w14:paraId="4417E04B" w14:textId="77777777" w:rsidR="007A1903" w:rsidRDefault="007A1903" w:rsidP="006E08B3"/>
        <w:p w14:paraId="63046C72" w14:textId="77777777" w:rsidR="007A1903" w:rsidRDefault="007A1903" w:rsidP="006E08B3">
          <w:pPr>
            <w:pStyle w:val="Heading3"/>
          </w:pPr>
          <w:r>
            <w:t>Confidentiality</w:t>
          </w:r>
        </w:p>
        <w:p w14:paraId="3BC12B07" w14:textId="77777777" w:rsidR="007A1903" w:rsidRDefault="007A190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C9C8EAB" w14:textId="77777777" w:rsidR="007A1903" w:rsidRDefault="007A1903" w:rsidP="006E08B3"/>
        <w:p w14:paraId="1D1A423D" w14:textId="77777777" w:rsidR="007A1903" w:rsidRDefault="007A1903" w:rsidP="006E08B3">
          <w:r>
            <w:t>For submission made by individuals, all personal details, other than your name, will be removed from your submission before it is published on the TGA’s Internet site.</w:t>
          </w:r>
        </w:p>
        <w:p w14:paraId="136BEB6A" w14:textId="77777777" w:rsidR="007A1903" w:rsidRDefault="007A1903" w:rsidP="006E08B3"/>
        <w:p w14:paraId="2E32FF66" w14:textId="77777777" w:rsidR="007A1903" w:rsidRDefault="007A1903" w:rsidP="006E08B3">
          <w:r>
            <w:t>In addition, a list of parties making submissions will be published. If you do not wish to be identified with your submission you must specifically request this in the space provided ib the submission coversheet.</w:t>
          </w:r>
        </w:p>
      </w:tc>
    </w:tr>
    <w:tr w:rsidR="007A1903" w14:paraId="5D40264C" w14:textId="77777777" w:rsidTr="0010601F">
      <w:trPr>
        <w:trHeight w:val="417"/>
      </w:trPr>
      <w:tc>
        <w:tcPr>
          <w:tcW w:w="4519" w:type="dxa"/>
          <w:tcBorders>
            <w:top w:val="single" w:sz="4" w:space="0" w:color="auto"/>
          </w:tcBorders>
          <w:tcMar>
            <w:top w:w="142" w:type="dxa"/>
            <w:bottom w:w="0" w:type="dxa"/>
          </w:tcMar>
        </w:tcPr>
        <w:p w14:paraId="4EF47189" w14:textId="77777777" w:rsidR="007A1903" w:rsidRDefault="007A1903" w:rsidP="006E08B3">
          <w:r>
            <w:t>Document title, Part #, Section # - Section title</w:t>
          </w:r>
        </w:p>
        <w:p w14:paraId="12B470B6" w14:textId="77777777" w:rsidR="007A1903" w:rsidRDefault="007A1903" w:rsidP="006E08B3">
          <w:r>
            <w:t>V1.0 October 2010</w:t>
          </w:r>
        </w:p>
      </w:tc>
      <w:tc>
        <w:tcPr>
          <w:tcW w:w="4356" w:type="dxa"/>
          <w:tcBorders>
            <w:top w:val="single" w:sz="4" w:space="0" w:color="auto"/>
          </w:tcBorders>
          <w:tcMar>
            <w:top w:w="142" w:type="dxa"/>
            <w:bottom w:w="0" w:type="dxa"/>
          </w:tcMar>
        </w:tcPr>
        <w:p w14:paraId="2F54A4B9" w14:textId="620A354A" w:rsidR="007A1903" w:rsidRDefault="007A190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80</w:t>
          </w:r>
          <w:r>
            <w:rPr>
              <w:noProof/>
            </w:rPr>
            <w:fldChar w:fldCharType="end"/>
          </w:r>
          <w:r w:rsidRPr="0020528D">
            <w:t xml:space="preserve"> </w:t>
          </w:r>
        </w:p>
      </w:tc>
    </w:tr>
  </w:tbl>
  <w:p w14:paraId="010A0A54" w14:textId="77777777" w:rsidR="007A1903" w:rsidRDefault="007A19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505A0" w14:textId="77777777" w:rsidR="007A1903" w:rsidRDefault="007A1903" w:rsidP="00C40A36">
      <w:pPr>
        <w:spacing w:after="0"/>
      </w:pPr>
      <w:r>
        <w:separator/>
      </w:r>
    </w:p>
  </w:footnote>
  <w:footnote w:type="continuationSeparator" w:id="0">
    <w:p w14:paraId="6DBBB911" w14:textId="77777777" w:rsidR="007A1903" w:rsidRDefault="007A1903" w:rsidP="00C40A36">
      <w:pPr>
        <w:spacing w:after="0"/>
      </w:pPr>
      <w:r>
        <w:continuationSeparator/>
      </w:r>
    </w:p>
  </w:footnote>
  <w:footnote w:id="1">
    <w:p w14:paraId="44A207D1" w14:textId="4C4C8838" w:rsidR="007A1903" w:rsidRPr="00025C59" w:rsidRDefault="007A1903" w:rsidP="00381DD3">
      <w:pPr>
        <w:pStyle w:val="FootnoteText"/>
        <w:rPr>
          <w:szCs w:val="18"/>
          <w:lang w:val="en-US"/>
        </w:rPr>
      </w:pPr>
      <w:r w:rsidRPr="00025C59">
        <w:rPr>
          <w:rStyle w:val="FootnoteReference"/>
          <w:szCs w:val="18"/>
        </w:rPr>
        <w:footnoteRef/>
      </w:r>
      <w:r>
        <w:rPr>
          <w:szCs w:val="18"/>
        </w:rPr>
        <w:t xml:space="preserve"> </w:t>
      </w:r>
      <w:proofErr w:type="gramStart"/>
      <w:r>
        <w:rPr>
          <w:szCs w:val="18"/>
        </w:rPr>
        <w:t>World Health Organization (</w:t>
      </w:r>
      <w:r w:rsidRPr="00025C59">
        <w:rPr>
          <w:szCs w:val="18"/>
        </w:rPr>
        <w:t>WHO</w:t>
      </w:r>
      <w:r>
        <w:rPr>
          <w:szCs w:val="18"/>
        </w:rPr>
        <w:t>);</w:t>
      </w:r>
      <w:r w:rsidRPr="00025C59">
        <w:rPr>
          <w:szCs w:val="18"/>
        </w:rPr>
        <w:t xml:space="preserve"> Guidelines for the treatment of Malaria, 2015.</w:t>
      </w:r>
      <w:proofErr w:type="gramEnd"/>
    </w:p>
  </w:footnote>
  <w:footnote w:id="2">
    <w:p w14:paraId="1712C860" w14:textId="77777777" w:rsidR="007A1903" w:rsidRPr="00025C59" w:rsidRDefault="007A1903" w:rsidP="00381DD3">
      <w:pPr>
        <w:pStyle w:val="FootnoteText"/>
        <w:rPr>
          <w:szCs w:val="18"/>
          <w:lang w:val="en-US"/>
        </w:rPr>
      </w:pPr>
      <w:r w:rsidRPr="00025C59">
        <w:rPr>
          <w:rStyle w:val="FootnoteReference"/>
          <w:szCs w:val="18"/>
        </w:rPr>
        <w:footnoteRef/>
      </w:r>
      <w:r w:rsidRPr="00025C59">
        <w:rPr>
          <w:szCs w:val="18"/>
        </w:rPr>
        <w:t>http://www.cdc.gov/malaria/resources/pdf/treatmenttable.pdf</w:t>
      </w:r>
    </w:p>
  </w:footnote>
  <w:footnote w:id="3">
    <w:p w14:paraId="469DD07C" w14:textId="77777777" w:rsidR="007A1903" w:rsidRPr="00025C59" w:rsidRDefault="007A1903" w:rsidP="00381DD3">
      <w:pPr>
        <w:spacing w:before="0" w:after="0"/>
        <w:rPr>
          <w:sz w:val="18"/>
          <w:szCs w:val="18"/>
          <w:lang w:val="en-US"/>
        </w:rPr>
      </w:pPr>
      <w:r w:rsidRPr="00025C59">
        <w:rPr>
          <w:rStyle w:val="FootnoteReference"/>
          <w:sz w:val="18"/>
          <w:szCs w:val="18"/>
        </w:rPr>
        <w:footnoteRef/>
      </w:r>
      <w:r w:rsidRPr="00025C59">
        <w:rPr>
          <w:sz w:val="18"/>
          <w:szCs w:val="18"/>
        </w:rPr>
        <w:t>Tan et al. Doxycycline for Malaria Chemoprophylaxis and Treatment: Report from</w:t>
      </w:r>
      <w:r>
        <w:rPr>
          <w:sz w:val="18"/>
          <w:szCs w:val="18"/>
        </w:rPr>
        <w:t xml:space="preserve"> </w:t>
      </w:r>
      <w:r w:rsidRPr="00025C59">
        <w:rPr>
          <w:sz w:val="18"/>
          <w:szCs w:val="18"/>
          <w:lang w:eastAsia="ja-JP"/>
        </w:rPr>
        <w:t>the CDC Expert Meeting on Malaria Chemoprophylaxis. Am. J. Trop. Med. Hyg., 84(4), 2011, pp. 517–531.</w:t>
      </w:r>
    </w:p>
  </w:footnote>
  <w:footnote w:id="4">
    <w:p w14:paraId="2F53F512" w14:textId="77777777" w:rsidR="007A1903" w:rsidRPr="00455D15" w:rsidRDefault="007A1903">
      <w:pPr>
        <w:pStyle w:val="FootnoteText"/>
        <w:rPr>
          <w:lang w:val="en-US"/>
        </w:rPr>
      </w:pPr>
      <w:r>
        <w:rPr>
          <w:rStyle w:val="FootnoteReference"/>
        </w:rPr>
        <w:footnoteRef/>
      </w:r>
      <w:r>
        <w:t xml:space="preserve"> </w:t>
      </w:r>
      <w:r w:rsidRPr="002A1B27">
        <w:t>ICH M3 (R2):</w:t>
      </w:r>
      <w:r>
        <w:rPr>
          <w:i/>
        </w:rPr>
        <w:t xml:space="preserve"> </w:t>
      </w:r>
      <w:r w:rsidRPr="002A1B27">
        <w:t>Non-clinical safety studies for the conduct of human clinical trials for pharmaceuticals</w:t>
      </w:r>
    </w:p>
  </w:footnote>
  <w:footnote w:id="5">
    <w:p w14:paraId="42ED8D14" w14:textId="77777777" w:rsidR="007A1903" w:rsidRPr="009C7682" w:rsidRDefault="007A1903" w:rsidP="006C365A">
      <w:pPr>
        <w:pStyle w:val="NoSpacing"/>
        <w:rPr>
          <w:rFonts w:asciiTheme="minorHAnsi" w:hAnsiTheme="minorHAnsi"/>
          <w:sz w:val="18"/>
          <w:szCs w:val="18"/>
        </w:rPr>
      </w:pPr>
      <w:r w:rsidRPr="009C7682">
        <w:rPr>
          <w:rStyle w:val="FootnoteReference"/>
          <w:rFonts w:asciiTheme="minorHAnsi" w:hAnsiTheme="minorHAnsi"/>
          <w:sz w:val="18"/>
          <w:szCs w:val="18"/>
        </w:rPr>
        <w:footnoteRef/>
      </w:r>
      <w:r w:rsidRPr="009C7682">
        <w:rPr>
          <w:rFonts w:asciiTheme="minorHAnsi" w:hAnsiTheme="minorHAnsi"/>
          <w:sz w:val="18"/>
          <w:szCs w:val="18"/>
        </w:rPr>
        <w:t xml:space="preserve"> </w:t>
      </w:r>
      <w:proofErr w:type="gramStart"/>
      <w:r w:rsidRPr="009C7682">
        <w:rPr>
          <w:rFonts w:asciiTheme="minorHAnsi" w:hAnsiTheme="minorHAnsi"/>
          <w:sz w:val="18"/>
          <w:szCs w:val="18"/>
        </w:rPr>
        <w:t xml:space="preserve">Vennerstrom </w:t>
      </w:r>
      <w:r w:rsidRPr="009C7682">
        <w:rPr>
          <w:rFonts w:asciiTheme="minorHAnsi" w:hAnsiTheme="minorHAnsi"/>
          <w:i/>
          <w:sz w:val="18"/>
          <w:szCs w:val="18"/>
        </w:rPr>
        <w:t>et al.</w:t>
      </w:r>
      <w:r w:rsidRPr="009C7682">
        <w:rPr>
          <w:rFonts w:asciiTheme="minorHAnsi" w:hAnsiTheme="minorHAnsi"/>
          <w:sz w:val="18"/>
          <w:szCs w:val="18"/>
        </w:rPr>
        <w:t xml:space="preserve"> (1999).</w:t>
      </w:r>
      <w:proofErr w:type="gramEnd"/>
      <w:r w:rsidRPr="009C7682">
        <w:rPr>
          <w:rFonts w:asciiTheme="minorHAnsi" w:hAnsiTheme="minorHAnsi"/>
          <w:sz w:val="18"/>
          <w:szCs w:val="18"/>
        </w:rPr>
        <w:t xml:space="preserve"> 8-Aminoquinolines active against blood stage Plasmodium falciparum </w:t>
      </w:r>
      <w:r w:rsidRPr="009C7682">
        <w:rPr>
          <w:rFonts w:asciiTheme="minorHAnsi" w:hAnsiTheme="minorHAnsi"/>
          <w:i/>
          <w:sz w:val="18"/>
          <w:szCs w:val="18"/>
        </w:rPr>
        <w:t>in vitro</w:t>
      </w:r>
      <w:r w:rsidRPr="009C7682">
        <w:rPr>
          <w:rFonts w:asciiTheme="minorHAnsi" w:hAnsiTheme="minorHAnsi"/>
          <w:sz w:val="18"/>
          <w:szCs w:val="18"/>
        </w:rPr>
        <w:t xml:space="preserve"> inhibit hematin polymerization. </w:t>
      </w:r>
      <w:proofErr w:type="gramStart"/>
      <w:r w:rsidRPr="009C7682">
        <w:rPr>
          <w:rFonts w:asciiTheme="minorHAnsi" w:hAnsiTheme="minorHAnsi"/>
          <w:sz w:val="18"/>
          <w:szCs w:val="18"/>
        </w:rPr>
        <w:t>Antimicrob Agents Chemo.</w:t>
      </w:r>
      <w:proofErr w:type="gramEnd"/>
      <w:r w:rsidRPr="009C7682">
        <w:rPr>
          <w:rFonts w:asciiTheme="minorHAnsi" w:hAnsiTheme="minorHAnsi"/>
          <w:sz w:val="18"/>
          <w:szCs w:val="18"/>
        </w:rPr>
        <w:t xml:space="preserve"> </w:t>
      </w:r>
      <w:r w:rsidRPr="009C7682">
        <w:rPr>
          <w:rFonts w:asciiTheme="minorHAnsi" w:hAnsiTheme="minorHAnsi"/>
          <w:b/>
          <w:sz w:val="18"/>
          <w:szCs w:val="18"/>
        </w:rPr>
        <w:t>43</w:t>
      </w:r>
      <w:r w:rsidRPr="009C7682">
        <w:rPr>
          <w:rFonts w:asciiTheme="minorHAnsi" w:hAnsiTheme="minorHAnsi"/>
          <w:sz w:val="18"/>
          <w:szCs w:val="18"/>
        </w:rPr>
        <w:t>(3): 598-602</w:t>
      </w:r>
    </w:p>
  </w:footnote>
  <w:footnote w:id="6">
    <w:p w14:paraId="2E4A146E" w14:textId="77777777" w:rsidR="007A1903" w:rsidRPr="009C7682" w:rsidRDefault="007A1903" w:rsidP="006C365A">
      <w:pPr>
        <w:pStyle w:val="NoSpacing"/>
        <w:rPr>
          <w:rFonts w:asciiTheme="minorHAnsi" w:hAnsiTheme="minorHAnsi"/>
          <w:sz w:val="18"/>
          <w:szCs w:val="18"/>
        </w:rPr>
      </w:pPr>
      <w:r w:rsidRPr="009C7682">
        <w:rPr>
          <w:rStyle w:val="FootnoteReference"/>
          <w:rFonts w:asciiTheme="minorHAnsi" w:hAnsiTheme="minorHAnsi"/>
          <w:sz w:val="18"/>
          <w:szCs w:val="18"/>
        </w:rPr>
        <w:footnoteRef/>
      </w:r>
      <w:proofErr w:type="gramStart"/>
      <w:r w:rsidRPr="009C7682">
        <w:rPr>
          <w:rFonts w:asciiTheme="minorHAnsi" w:hAnsiTheme="minorHAnsi"/>
          <w:sz w:val="18"/>
          <w:szCs w:val="18"/>
        </w:rPr>
        <w:t xml:space="preserve">Ramharter </w:t>
      </w:r>
      <w:r w:rsidRPr="009C7682">
        <w:rPr>
          <w:rFonts w:asciiTheme="minorHAnsi" w:hAnsiTheme="minorHAnsi"/>
          <w:i/>
          <w:sz w:val="18"/>
          <w:szCs w:val="18"/>
        </w:rPr>
        <w:t>et al.</w:t>
      </w:r>
      <w:r w:rsidRPr="009C7682">
        <w:rPr>
          <w:rFonts w:asciiTheme="minorHAnsi" w:hAnsiTheme="minorHAnsi"/>
          <w:sz w:val="18"/>
          <w:szCs w:val="18"/>
        </w:rPr>
        <w:t xml:space="preserve"> (2002).</w:t>
      </w:r>
      <w:proofErr w:type="gramEnd"/>
      <w:r w:rsidRPr="009C7682">
        <w:rPr>
          <w:rFonts w:asciiTheme="minorHAnsi" w:hAnsiTheme="minorHAnsi"/>
          <w:sz w:val="18"/>
          <w:szCs w:val="18"/>
        </w:rPr>
        <w:t xml:space="preserve"> </w:t>
      </w:r>
      <w:proofErr w:type="gramStart"/>
      <w:r w:rsidRPr="009C7682">
        <w:rPr>
          <w:rFonts w:asciiTheme="minorHAnsi" w:hAnsiTheme="minorHAnsi"/>
          <w:i/>
          <w:sz w:val="18"/>
          <w:szCs w:val="18"/>
        </w:rPr>
        <w:t>In vitro</w:t>
      </w:r>
      <w:r w:rsidRPr="009C7682">
        <w:rPr>
          <w:rFonts w:asciiTheme="minorHAnsi" w:hAnsiTheme="minorHAnsi"/>
          <w:sz w:val="18"/>
          <w:szCs w:val="18"/>
        </w:rPr>
        <w:t xml:space="preserve"> activity of tafenoquine alone and in combination with artemisinin against </w:t>
      </w:r>
      <w:r w:rsidRPr="009C7682">
        <w:rPr>
          <w:rFonts w:asciiTheme="minorHAnsi" w:hAnsiTheme="minorHAnsi"/>
          <w:i/>
          <w:sz w:val="18"/>
          <w:szCs w:val="18"/>
        </w:rPr>
        <w:t>Plasmodium Falciparum</w:t>
      </w:r>
      <w:r w:rsidRPr="009C7682">
        <w:rPr>
          <w:rFonts w:asciiTheme="minorHAnsi" w:hAnsiTheme="minorHAnsi"/>
          <w:sz w:val="18"/>
          <w:szCs w:val="18"/>
        </w:rPr>
        <w:t>.</w:t>
      </w:r>
      <w:proofErr w:type="gramEnd"/>
      <w:r w:rsidRPr="009C7682">
        <w:rPr>
          <w:rFonts w:asciiTheme="minorHAnsi" w:hAnsiTheme="minorHAnsi"/>
          <w:sz w:val="18"/>
          <w:szCs w:val="18"/>
        </w:rPr>
        <w:t xml:space="preserve"> Am J Trop Med </w:t>
      </w:r>
      <w:proofErr w:type="gramStart"/>
      <w:r w:rsidRPr="009C7682">
        <w:rPr>
          <w:rFonts w:asciiTheme="minorHAnsi" w:hAnsiTheme="minorHAnsi"/>
          <w:sz w:val="18"/>
          <w:szCs w:val="18"/>
        </w:rPr>
        <w:t>Hyg.</w:t>
      </w:r>
      <w:proofErr w:type="gramEnd"/>
      <w:r w:rsidRPr="009C7682">
        <w:rPr>
          <w:rFonts w:asciiTheme="minorHAnsi" w:hAnsiTheme="minorHAnsi"/>
          <w:sz w:val="18"/>
          <w:szCs w:val="18"/>
        </w:rPr>
        <w:t xml:space="preserve"> </w:t>
      </w:r>
      <w:r w:rsidRPr="009C7682">
        <w:rPr>
          <w:rFonts w:asciiTheme="minorHAnsi" w:hAnsiTheme="minorHAnsi"/>
          <w:b/>
          <w:sz w:val="18"/>
          <w:szCs w:val="18"/>
        </w:rPr>
        <w:t>67</w:t>
      </w:r>
      <w:r w:rsidRPr="009C7682">
        <w:rPr>
          <w:rFonts w:asciiTheme="minorHAnsi" w:hAnsiTheme="minorHAnsi"/>
          <w:sz w:val="18"/>
          <w:szCs w:val="18"/>
        </w:rPr>
        <w:t>(1), 39–43</w:t>
      </w:r>
    </w:p>
  </w:footnote>
  <w:footnote w:id="7">
    <w:p w14:paraId="6AFE8378" w14:textId="77777777" w:rsidR="007A1903" w:rsidRPr="009C7682" w:rsidRDefault="007A1903" w:rsidP="006C365A">
      <w:pPr>
        <w:pStyle w:val="NoSpacing"/>
        <w:rPr>
          <w:rFonts w:asciiTheme="minorHAnsi" w:hAnsiTheme="minorHAnsi"/>
          <w:sz w:val="18"/>
          <w:szCs w:val="18"/>
        </w:rPr>
      </w:pPr>
      <w:r w:rsidRPr="009C7682">
        <w:rPr>
          <w:rStyle w:val="FootnoteReference"/>
          <w:rFonts w:asciiTheme="minorHAnsi" w:hAnsiTheme="minorHAnsi"/>
          <w:sz w:val="18"/>
          <w:szCs w:val="18"/>
        </w:rPr>
        <w:footnoteRef/>
      </w:r>
      <w:r w:rsidRPr="009C7682">
        <w:rPr>
          <w:rFonts w:asciiTheme="minorHAnsi" w:hAnsiTheme="minorHAnsi"/>
          <w:sz w:val="18"/>
          <w:szCs w:val="18"/>
        </w:rPr>
        <w:t xml:space="preserve"> </w:t>
      </w:r>
      <w:proofErr w:type="gramStart"/>
      <w:r w:rsidRPr="009C7682">
        <w:rPr>
          <w:rFonts w:asciiTheme="minorHAnsi" w:hAnsiTheme="minorHAnsi"/>
          <w:sz w:val="18"/>
          <w:szCs w:val="18"/>
        </w:rPr>
        <w:t xml:space="preserve">Pradines </w:t>
      </w:r>
      <w:r w:rsidRPr="009C7682">
        <w:rPr>
          <w:rFonts w:asciiTheme="minorHAnsi" w:hAnsiTheme="minorHAnsi"/>
          <w:i/>
          <w:sz w:val="18"/>
          <w:szCs w:val="18"/>
        </w:rPr>
        <w:t>et al,</w:t>
      </w:r>
      <w:r w:rsidRPr="009C7682">
        <w:rPr>
          <w:rFonts w:asciiTheme="minorHAnsi" w:hAnsiTheme="minorHAnsi"/>
          <w:sz w:val="18"/>
          <w:szCs w:val="18"/>
        </w:rPr>
        <w:t xml:space="preserve"> (2006).</w:t>
      </w:r>
      <w:proofErr w:type="gramEnd"/>
      <w:r w:rsidRPr="009C7682">
        <w:rPr>
          <w:rFonts w:asciiTheme="minorHAnsi" w:hAnsiTheme="minorHAnsi"/>
          <w:sz w:val="18"/>
          <w:szCs w:val="18"/>
        </w:rPr>
        <w:t xml:space="preserve"> </w:t>
      </w:r>
      <w:r w:rsidRPr="009C7682">
        <w:rPr>
          <w:rFonts w:asciiTheme="minorHAnsi" w:hAnsiTheme="minorHAnsi"/>
          <w:i/>
          <w:sz w:val="18"/>
          <w:szCs w:val="18"/>
        </w:rPr>
        <w:t>In vitro</w:t>
      </w:r>
      <w:r w:rsidRPr="009C7682">
        <w:rPr>
          <w:rFonts w:asciiTheme="minorHAnsi" w:hAnsiTheme="minorHAnsi"/>
          <w:sz w:val="18"/>
          <w:szCs w:val="18"/>
        </w:rPr>
        <w:t xml:space="preserve"> activity of tafenoquine against the asexual blood stages of </w:t>
      </w:r>
      <w:r w:rsidRPr="009C7682">
        <w:rPr>
          <w:rFonts w:asciiTheme="minorHAnsi" w:hAnsiTheme="minorHAnsi"/>
          <w:i/>
          <w:sz w:val="18"/>
          <w:szCs w:val="18"/>
        </w:rPr>
        <w:t>Plasmodium falciparum</w:t>
      </w:r>
      <w:r w:rsidRPr="009C7682">
        <w:rPr>
          <w:rFonts w:asciiTheme="minorHAnsi" w:hAnsiTheme="minorHAnsi"/>
          <w:sz w:val="18"/>
          <w:szCs w:val="18"/>
        </w:rPr>
        <w:t xml:space="preserve"> isolates from Gabon, Senegal, and Djibouti. </w:t>
      </w:r>
      <w:proofErr w:type="gramStart"/>
      <w:r w:rsidRPr="009C7682">
        <w:rPr>
          <w:rFonts w:asciiTheme="minorHAnsi" w:hAnsiTheme="minorHAnsi"/>
          <w:sz w:val="18"/>
          <w:szCs w:val="18"/>
        </w:rPr>
        <w:t>Antimicrob Agents Chemother.</w:t>
      </w:r>
      <w:proofErr w:type="gramEnd"/>
      <w:r w:rsidRPr="009C7682">
        <w:rPr>
          <w:rFonts w:asciiTheme="minorHAnsi" w:hAnsiTheme="minorHAnsi"/>
          <w:sz w:val="18"/>
          <w:szCs w:val="18"/>
        </w:rPr>
        <w:t xml:space="preserve"> </w:t>
      </w:r>
      <w:r w:rsidRPr="009C7682">
        <w:rPr>
          <w:rFonts w:asciiTheme="minorHAnsi" w:hAnsiTheme="minorHAnsi"/>
          <w:b/>
          <w:sz w:val="18"/>
          <w:szCs w:val="18"/>
        </w:rPr>
        <w:t>50</w:t>
      </w:r>
      <w:r w:rsidRPr="009C7682">
        <w:rPr>
          <w:rFonts w:asciiTheme="minorHAnsi" w:hAnsiTheme="minorHAnsi"/>
          <w:sz w:val="18"/>
          <w:szCs w:val="18"/>
        </w:rPr>
        <w:t>(9): 3225–3226.</w:t>
      </w:r>
    </w:p>
  </w:footnote>
  <w:footnote w:id="8">
    <w:p w14:paraId="410685AF" w14:textId="77777777" w:rsidR="007A1903" w:rsidRPr="009C7682" w:rsidRDefault="007A1903" w:rsidP="006C365A">
      <w:pPr>
        <w:pStyle w:val="NoSpacing"/>
        <w:rPr>
          <w:rFonts w:asciiTheme="minorHAnsi" w:hAnsiTheme="minorHAnsi"/>
          <w:sz w:val="18"/>
          <w:szCs w:val="18"/>
        </w:rPr>
      </w:pPr>
      <w:r w:rsidRPr="009C7682">
        <w:rPr>
          <w:rStyle w:val="FootnoteReference"/>
          <w:rFonts w:asciiTheme="minorHAnsi" w:hAnsiTheme="minorHAnsi"/>
          <w:sz w:val="18"/>
          <w:szCs w:val="18"/>
        </w:rPr>
        <w:footnoteRef/>
      </w:r>
      <w:r w:rsidRPr="009C7682">
        <w:rPr>
          <w:rFonts w:asciiTheme="minorHAnsi" w:hAnsiTheme="minorHAnsi"/>
          <w:sz w:val="18"/>
          <w:szCs w:val="18"/>
        </w:rPr>
        <w:t xml:space="preserve"> </w:t>
      </w:r>
      <w:proofErr w:type="gramStart"/>
      <w:r w:rsidRPr="009C7682">
        <w:rPr>
          <w:rFonts w:asciiTheme="minorHAnsi" w:hAnsiTheme="minorHAnsi"/>
          <w:sz w:val="18"/>
          <w:szCs w:val="18"/>
        </w:rPr>
        <w:t xml:space="preserve">Gorka </w:t>
      </w:r>
      <w:r w:rsidRPr="009C7682">
        <w:rPr>
          <w:rFonts w:asciiTheme="minorHAnsi" w:hAnsiTheme="minorHAnsi"/>
          <w:i/>
          <w:sz w:val="18"/>
          <w:szCs w:val="18"/>
        </w:rPr>
        <w:t>et al.</w:t>
      </w:r>
      <w:r w:rsidRPr="009C7682">
        <w:rPr>
          <w:rFonts w:asciiTheme="minorHAnsi" w:hAnsiTheme="minorHAnsi"/>
          <w:sz w:val="18"/>
          <w:szCs w:val="18"/>
        </w:rPr>
        <w:t xml:space="preserve"> 2013.</w:t>
      </w:r>
      <w:proofErr w:type="gramEnd"/>
      <w:r w:rsidRPr="009C7682">
        <w:rPr>
          <w:rFonts w:asciiTheme="minorHAnsi" w:hAnsiTheme="minorHAnsi"/>
          <w:sz w:val="18"/>
          <w:szCs w:val="18"/>
        </w:rPr>
        <w:t xml:space="preserve"> </w:t>
      </w:r>
      <w:proofErr w:type="gramStart"/>
      <w:r w:rsidRPr="009C7682">
        <w:rPr>
          <w:rFonts w:asciiTheme="minorHAnsi" w:hAnsiTheme="minorHAnsi"/>
          <w:sz w:val="18"/>
          <w:szCs w:val="18"/>
        </w:rPr>
        <w:t>Cytostatic versus cytocidal profiling of quinolone drug combinations via modified fixed-ratio isobologram analysis.</w:t>
      </w:r>
      <w:proofErr w:type="gramEnd"/>
      <w:r w:rsidRPr="009C7682">
        <w:rPr>
          <w:rFonts w:asciiTheme="minorHAnsi" w:hAnsiTheme="minorHAnsi"/>
          <w:sz w:val="18"/>
          <w:szCs w:val="18"/>
        </w:rPr>
        <w:t xml:space="preserve"> Malaria Journal </w:t>
      </w:r>
      <w:r w:rsidRPr="009C7682">
        <w:rPr>
          <w:rFonts w:asciiTheme="minorHAnsi" w:hAnsiTheme="minorHAnsi"/>
          <w:b/>
          <w:sz w:val="18"/>
          <w:szCs w:val="18"/>
        </w:rPr>
        <w:t>12</w:t>
      </w:r>
      <w:r w:rsidRPr="009C7682">
        <w:rPr>
          <w:rFonts w:asciiTheme="minorHAnsi" w:hAnsiTheme="minorHAnsi"/>
          <w:sz w:val="18"/>
          <w:szCs w:val="18"/>
        </w:rPr>
        <w:t>:332.</w:t>
      </w:r>
    </w:p>
  </w:footnote>
  <w:footnote w:id="9">
    <w:p w14:paraId="3243646A" w14:textId="77777777" w:rsidR="007A1903" w:rsidRPr="009C7682" w:rsidRDefault="007A1903" w:rsidP="006C365A">
      <w:pPr>
        <w:pStyle w:val="NoSpacing"/>
        <w:rPr>
          <w:rFonts w:asciiTheme="minorHAnsi" w:hAnsiTheme="minorHAnsi"/>
          <w:sz w:val="18"/>
          <w:szCs w:val="18"/>
        </w:rPr>
      </w:pPr>
      <w:r w:rsidRPr="009C7682">
        <w:rPr>
          <w:rStyle w:val="FootnoteReference"/>
          <w:rFonts w:asciiTheme="minorHAnsi" w:hAnsiTheme="minorHAnsi"/>
          <w:sz w:val="18"/>
          <w:szCs w:val="18"/>
        </w:rPr>
        <w:footnoteRef/>
      </w:r>
      <w:r w:rsidRPr="009C7682">
        <w:rPr>
          <w:rFonts w:asciiTheme="minorHAnsi" w:hAnsiTheme="minorHAnsi"/>
          <w:sz w:val="18"/>
          <w:szCs w:val="18"/>
          <w:vertAlign w:val="superscript"/>
        </w:rPr>
        <w:t xml:space="preserve"> </w:t>
      </w:r>
      <w:proofErr w:type="gramStart"/>
      <w:r w:rsidRPr="009C7682">
        <w:rPr>
          <w:rFonts w:asciiTheme="minorHAnsi" w:hAnsiTheme="minorHAnsi"/>
          <w:sz w:val="18"/>
          <w:szCs w:val="18"/>
        </w:rPr>
        <w:t xml:space="preserve">Quashie </w:t>
      </w:r>
      <w:r w:rsidRPr="009C7682">
        <w:rPr>
          <w:rFonts w:asciiTheme="minorHAnsi" w:hAnsiTheme="minorHAnsi"/>
          <w:i/>
          <w:sz w:val="18"/>
          <w:szCs w:val="18"/>
        </w:rPr>
        <w:t>et al.</w:t>
      </w:r>
      <w:r w:rsidRPr="009C7682">
        <w:rPr>
          <w:rFonts w:asciiTheme="minorHAnsi" w:hAnsiTheme="minorHAnsi"/>
          <w:sz w:val="18"/>
          <w:szCs w:val="18"/>
        </w:rPr>
        <w:t xml:space="preserve"> 2013.</w:t>
      </w:r>
      <w:proofErr w:type="gramEnd"/>
      <w:r w:rsidRPr="009C7682">
        <w:rPr>
          <w:rFonts w:asciiTheme="minorHAnsi" w:hAnsiTheme="minorHAnsi"/>
          <w:sz w:val="18"/>
          <w:szCs w:val="18"/>
        </w:rPr>
        <w:t xml:space="preserve"> A SYBR Green 1-based </w:t>
      </w:r>
      <w:r w:rsidRPr="009C7682">
        <w:rPr>
          <w:rFonts w:asciiTheme="minorHAnsi" w:hAnsiTheme="minorHAnsi"/>
          <w:i/>
          <w:sz w:val="18"/>
          <w:szCs w:val="18"/>
        </w:rPr>
        <w:t>in vitro</w:t>
      </w:r>
      <w:r w:rsidRPr="009C7682">
        <w:rPr>
          <w:rFonts w:asciiTheme="minorHAnsi" w:hAnsiTheme="minorHAnsi"/>
          <w:sz w:val="18"/>
          <w:szCs w:val="18"/>
        </w:rPr>
        <w:t xml:space="preserve"> test of susceptibility of Ghanaian </w:t>
      </w:r>
      <w:r w:rsidRPr="009C7682">
        <w:rPr>
          <w:rFonts w:asciiTheme="minorHAnsi" w:hAnsiTheme="minorHAnsi"/>
          <w:i/>
          <w:sz w:val="18"/>
          <w:szCs w:val="18"/>
        </w:rPr>
        <w:t>Plasmodium falciparum</w:t>
      </w:r>
      <w:r w:rsidRPr="009C7682">
        <w:rPr>
          <w:rFonts w:asciiTheme="minorHAnsi" w:hAnsiTheme="minorHAnsi"/>
          <w:sz w:val="18"/>
          <w:szCs w:val="18"/>
        </w:rPr>
        <w:t xml:space="preserve"> clinical isolates to a panel of anti-malarial drugs. Malaria Journal </w:t>
      </w:r>
      <w:r w:rsidRPr="009C7682">
        <w:rPr>
          <w:rFonts w:asciiTheme="minorHAnsi" w:hAnsiTheme="minorHAnsi"/>
          <w:b/>
          <w:sz w:val="18"/>
          <w:szCs w:val="18"/>
        </w:rPr>
        <w:t>12</w:t>
      </w:r>
      <w:r w:rsidRPr="009C7682">
        <w:rPr>
          <w:rFonts w:asciiTheme="minorHAnsi" w:hAnsiTheme="minorHAnsi"/>
          <w:sz w:val="18"/>
          <w:szCs w:val="18"/>
        </w:rPr>
        <w:t>:450.</w:t>
      </w:r>
    </w:p>
  </w:footnote>
  <w:footnote w:id="10">
    <w:p w14:paraId="5E70082E" w14:textId="0FA78EC9" w:rsidR="007A1903" w:rsidRPr="009C7682" w:rsidRDefault="007A1903" w:rsidP="006C365A">
      <w:pPr>
        <w:pStyle w:val="FootnoteText"/>
        <w:rPr>
          <w:rFonts w:asciiTheme="minorHAnsi" w:hAnsiTheme="minorHAnsi"/>
          <w:szCs w:val="18"/>
          <w:lang w:val="en-US"/>
        </w:rPr>
      </w:pPr>
      <w:r w:rsidRPr="009C7682">
        <w:rPr>
          <w:rStyle w:val="FootnoteReference"/>
          <w:rFonts w:asciiTheme="minorHAnsi" w:hAnsiTheme="minorHAnsi"/>
          <w:szCs w:val="18"/>
        </w:rPr>
        <w:footnoteRef/>
      </w:r>
      <w:r w:rsidRPr="009C7682">
        <w:rPr>
          <w:rFonts w:asciiTheme="minorHAnsi" w:hAnsiTheme="minorHAnsi"/>
          <w:szCs w:val="18"/>
        </w:rPr>
        <w:t xml:space="preserve"> </w:t>
      </w:r>
      <w:proofErr w:type="gramStart"/>
      <w:r w:rsidRPr="009C7682">
        <w:rPr>
          <w:rFonts w:asciiTheme="minorHAnsi" w:hAnsiTheme="minorHAnsi"/>
          <w:szCs w:val="18"/>
          <w:lang w:val="en-US"/>
        </w:rPr>
        <w:t>Based on C</w:t>
      </w:r>
      <w:r w:rsidRPr="009C7682">
        <w:rPr>
          <w:rFonts w:asciiTheme="minorHAnsi" w:hAnsiTheme="minorHAnsi"/>
          <w:szCs w:val="18"/>
          <w:vertAlign w:val="subscript"/>
          <w:lang w:val="en-US"/>
        </w:rPr>
        <w:t>max</w:t>
      </w:r>
      <w:r w:rsidRPr="009C7682">
        <w:rPr>
          <w:rFonts w:asciiTheme="minorHAnsi" w:hAnsiTheme="minorHAnsi"/>
          <w:szCs w:val="18"/>
          <w:lang w:val="en-US"/>
        </w:rPr>
        <w:t xml:space="preserve"> </w:t>
      </w:r>
      <w:r>
        <w:rPr>
          <w:rFonts w:asciiTheme="minorHAnsi" w:hAnsiTheme="minorHAnsi"/>
          <w:szCs w:val="18"/>
          <w:lang w:val="en-US"/>
        </w:rPr>
        <w:t>at around</w:t>
      </w:r>
      <w:r w:rsidRPr="009C7682">
        <w:rPr>
          <w:rFonts w:asciiTheme="minorHAnsi" w:hAnsiTheme="minorHAnsi"/>
          <w:szCs w:val="18"/>
          <w:lang w:val="en-US"/>
        </w:rPr>
        <w:t>300 ng/ml (647 nM) and 99% plasma protein binding.</w:t>
      </w:r>
      <w:proofErr w:type="gramEnd"/>
    </w:p>
  </w:footnote>
  <w:footnote w:id="11">
    <w:p w14:paraId="0AF6A61B" w14:textId="77777777" w:rsidR="007A1903" w:rsidRPr="002522B4" w:rsidRDefault="007A1903" w:rsidP="006C365A">
      <w:pPr>
        <w:pStyle w:val="NoSpacing"/>
        <w:rPr>
          <w:rFonts w:asciiTheme="minorHAnsi" w:hAnsiTheme="minorHAnsi"/>
          <w:sz w:val="18"/>
          <w:szCs w:val="18"/>
          <w:lang w:val="en-US"/>
        </w:rPr>
      </w:pPr>
      <w:r w:rsidRPr="00087B67">
        <w:rPr>
          <w:rStyle w:val="FootnoteReference"/>
          <w:sz w:val="18"/>
          <w:szCs w:val="18"/>
        </w:rPr>
        <w:footnoteRef/>
      </w:r>
      <w:r w:rsidRPr="00087B67">
        <w:rPr>
          <w:sz w:val="18"/>
          <w:szCs w:val="18"/>
        </w:rPr>
        <w:t xml:space="preserve"> </w:t>
      </w:r>
      <w:proofErr w:type="gramStart"/>
      <w:r w:rsidRPr="002522B4">
        <w:rPr>
          <w:rFonts w:asciiTheme="minorHAnsi" w:hAnsiTheme="minorHAnsi"/>
          <w:sz w:val="18"/>
          <w:szCs w:val="18"/>
        </w:rPr>
        <w:t xml:space="preserve">Coleman </w:t>
      </w:r>
      <w:r w:rsidRPr="002522B4">
        <w:rPr>
          <w:rFonts w:asciiTheme="minorHAnsi" w:hAnsiTheme="minorHAnsi"/>
          <w:i/>
          <w:sz w:val="18"/>
          <w:szCs w:val="18"/>
        </w:rPr>
        <w:t>et al</w:t>
      </w:r>
      <w:r w:rsidRPr="002522B4">
        <w:rPr>
          <w:rFonts w:asciiTheme="minorHAnsi" w:hAnsiTheme="minorHAnsi"/>
          <w:sz w:val="18"/>
          <w:szCs w:val="18"/>
        </w:rPr>
        <w:t>., (1992).</w:t>
      </w:r>
      <w:proofErr w:type="gramEnd"/>
      <w:r w:rsidRPr="002522B4">
        <w:rPr>
          <w:rFonts w:asciiTheme="minorHAnsi" w:hAnsiTheme="minorHAnsi"/>
          <w:sz w:val="18"/>
          <w:szCs w:val="18"/>
        </w:rPr>
        <w:t xml:space="preserve"> </w:t>
      </w:r>
      <w:proofErr w:type="gramStart"/>
      <w:r w:rsidRPr="002522B4">
        <w:rPr>
          <w:rFonts w:asciiTheme="minorHAnsi" w:hAnsiTheme="minorHAnsi"/>
          <w:sz w:val="18"/>
          <w:szCs w:val="18"/>
        </w:rPr>
        <w:t xml:space="preserve">Gametocytocidal and sporontocidal activity of antimalarials against </w:t>
      </w:r>
      <w:r w:rsidRPr="002522B4">
        <w:rPr>
          <w:rFonts w:asciiTheme="minorHAnsi" w:hAnsiTheme="minorHAnsi"/>
          <w:i/>
          <w:sz w:val="18"/>
          <w:szCs w:val="18"/>
        </w:rPr>
        <w:t>Plasmodium Berghei</w:t>
      </w:r>
      <w:r w:rsidRPr="002522B4">
        <w:rPr>
          <w:rFonts w:asciiTheme="minorHAnsi" w:hAnsiTheme="minorHAnsi"/>
          <w:sz w:val="18"/>
          <w:szCs w:val="18"/>
        </w:rPr>
        <w:t xml:space="preserve"> anka in ICR mice and </w:t>
      </w:r>
      <w:r w:rsidRPr="002522B4">
        <w:rPr>
          <w:rFonts w:asciiTheme="minorHAnsi" w:hAnsiTheme="minorHAnsi"/>
          <w:i/>
          <w:sz w:val="18"/>
          <w:szCs w:val="18"/>
        </w:rPr>
        <w:t>Anopheles Stephensi</w:t>
      </w:r>
      <w:r w:rsidRPr="002522B4">
        <w:rPr>
          <w:rFonts w:asciiTheme="minorHAnsi" w:hAnsiTheme="minorHAnsi"/>
          <w:sz w:val="18"/>
          <w:szCs w:val="18"/>
        </w:rPr>
        <w:t xml:space="preserve"> mosquitoes.</w:t>
      </w:r>
      <w:proofErr w:type="gramEnd"/>
      <w:r w:rsidRPr="002522B4">
        <w:rPr>
          <w:rFonts w:asciiTheme="minorHAnsi" w:hAnsiTheme="minorHAnsi"/>
          <w:sz w:val="18"/>
          <w:szCs w:val="18"/>
        </w:rPr>
        <w:t xml:space="preserve"> Am J Trop Med </w:t>
      </w:r>
      <w:proofErr w:type="gramStart"/>
      <w:r w:rsidRPr="002522B4">
        <w:rPr>
          <w:rFonts w:asciiTheme="minorHAnsi" w:hAnsiTheme="minorHAnsi"/>
          <w:sz w:val="18"/>
          <w:szCs w:val="18"/>
        </w:rPr>
        <w:t>Hyg.</w:t>
      </w:r>
      <w:proofErr w:type="gramEnd"/>
      <w:r w:rsidRPr="002522B4">
        <w:rPr>
          <w:rFonts w:asciiTheme="minorHAnsi" w:hAnsiTheme="minorHAnsi"/>
          <w:sz w:val="18"/>
          <w:szCs w:val="18"/>
        </w:rPr>
        <w:t xml:space="preserve"> </w:t>
      </w:r>
      <w:r w:rsidRPr="002522B4">
        <w:rPr>
          <w:rFonts w:asciiTheme="minorHAnsi" w:hAnsiTheme="minorHAnsi"/>
          <w:b/>
          <w:sz w:val="18"/>
          <w:szCs w:val="18"/>
        </w:rPr>
        <w:t>46</w:t>
      </w:r>
      <w:r w:rsidRPr="002522B4">
        <w:rPr>
          <w:rFonts w:asciiTheme="minorHAnsi" w:hAnsiTheme="minorHAnsi"/>
          <w:sz w:val="18"/>
          <w:szCs w:val="18"/>
        </w:rPr>
        <w:t>(2):169-182</w:t>
      </w:r>
    </w:p>
  </w:footnote>
  <w:footnote w:id="12">
    <w:p w14:paraId="334F01AC" w14:textId="77777777" w:rsidR="007A1903" w:rsidRPr="002522B4" w:rsidRDefault="007A1903" w:rsidP="006C365A">
      <w:pPr>
        <w:pStyle w:val="FootnoteText"/>
        <w:rPr>
          <w:rFonts w:asciiTheme="minorHAnsi" w:hAnsiTheme="minorHAnsi"/>
          <w:szCs w:val="18"/>
          <w:lang w:val="en-US"/>
        </w:rPr>
      </w:pPr>
      <w:r w:rsidRPr="002522B4">
        <w:rPr>
          <w:rStyle w:val="FootnoteReference"/>
          <w:rFonts w:asciiTheme="minorHAnsi" w:hAnsiTheme="minorHAnsi"/>
          <w:szCs w:val="18"/>
        </w:rPr>
        <w:footnoteRef/>
      </w:r>
      <w:r w:rsidRPr="002522B4">
        <w:rPr>
          <w:rFonts w:asciiTheme="minorHAnsi" w:hAnsiTheme="minorHAnsi"/>
          <w:szCs w:val="18"/>
        </w:rPr>
        <w:t xml:space="preserve"> </w:t>
      </w:r>
      <w:proofErr w:type="gramStart"/>
      <w:r w:rsidRPr="002522B4">
        <w:rPr>
          <w:rFonts w:asciiTheme="minorHAnsi" w:hAnsiTheme="minorHAnsi"/>
          <w:szCs w:val="18"/>
          <w:lang w:val="en-US"/>
        </w:rPr>
        <w:t xml:space="preserve">Ponsa </w:t>
      </w:r>
      <w:r w:rsidRPr="002522B4">
        <w:rPr>
          <w:rFonts w:asciiTheme="minorHAnsi" w:hAnsiTheme="minorHAnsi"/>
          <w:i/>
          <w:szCs w:val="18"/>
          <w:lang w:val="en-US"/>
        </w:rPr>
        <w:t>et al</w:t>
      </w:r>
      <w:r w:rsidRPr="002522B4">
        <w:rPr>
          <w:rFonts w:asciiTheme="minorHAnsi" w:hAnsiTheme="minorHAnsi"/>
          <w:szCs w:val="18"/>
          <w:lang w:val="en-US"/>
        </w:rPr>
        <w:t>., (2003).</w:t>
      </w:r>
      <w:proofErr w:type="gramEnd"/>
      <w:r w:rsidRPr="002522B4">
        <w:rPr>
          <w:rFonts w:asciiTheme="minorHAnsi" w:hAnsiTheme="minorHAnsi"/>
          <w:szCs w:val="18"/>
          <w:lang w:val="en-US"/>
        </w:rPr>
        <w:t xml:space="preserve"> </w:t>
      </w:r>
      <w:proofErr w:type="gramStart"/>
      <w:r w:rsidRPr="002522B4">
        <w:rPr>
          <w:rFonts w:asciiTheme="minorHAnsi" w:hAnsiTheme="minorHAnsi"/>
          <w:szCs w:val="18"/>
          <w:lang w:val="en-US"/>
        </w:rPr>
        <w:t xml:space="preserve">Transmission-blocking activity of tafenoquine and artelinic acid against naturally circulating strains of </w:t>
      </w:r>
      <w:r w:rsidRPr="002522B4">
        <w:rPr>
          <w:rFonts w:asciiTheme="minorHAnsi" w:hAnsiTheme="minorHAnsi"/>
          <w:i/>
          <w:szCs w:val="18"/>
          <w:lang w:val="en-US"/>
        </w:rPr>
        <w:t>Plasmodium</w:t>
      </w:r>
      <w:r w:rsidRPr="002522B4">
        <w:rPr>
          <w:rFonts w:asciiTheme="minorHAnsi" w:hAnsiTheme="minorHAnsi"/>
          <w:szCs w:val="18"/>
          <w:lang w:val="en-US"/>
        </w:rPr>
        <w:t xml:space="preserve"> </w:t>
      </w:r>
      <w:r w:rsidRPr="002522B4">
        <w:rPr>
          <w:rFonts w:asciiTheme="minorHAnsi" w:hAnsiTheme="minorHAnsi"/>
          <w:i/>
          <w:szCs w:val="18"/>
          <w:lang w:val="en-US"/>
        </w:rPr>
        <w:t>Vivax</w:t>
      </w:r>
      <w:r w:rsidRPr="002522B4">
        <w:rPr>
          <w:rFonts w:asciiTheme="minorHAnsi" w:hAnsiTheme="minorHAnsi"/>
          <w:szCs w:val="18"/>
          <w:lang w:val="en-US"/>
        </w:rPr>
        <w:t xml:space="preserve"> in Thailand.</w:t>
      </w:r>
      <w:proofErr w:type="gramEnd"/>
      <w:r w:rsidRPr="002522B4">
        <w:rPr>
          <w:rFonts w:asciiTheme="minorHAnsi" w:hAnsiTheme="minorHAnsi"/>
          <w:szCs w:val="18"/>
          <w:lang w:val="en-US"/>
        </w:rPr>
        <w:t xml:space="preserve"> Am J Trop Med Hyg </w:t>
      </w:r>
      <w:r w:rsidRPr="002522B4">
        <w:rPr>
          <w:rFonts w:asciiTheme="minorHAnsi" w:hAnsiTheme="minorHAnsi"/>
          <w:b/>
          <w:szCs w:val="18"/>
          <w:lang w:val="en-US"/>
        </w:rPr>
        <w:t>69</w:t>
      </w:r>
      <w:r w:rsidRPr="002522B4">
        <w:rPr>
          <w:rFonts w:asciiTheme="minorHAnsi" w:hAnsiTheme="minorHAnsi"/>
          <w:szCs w:val="18"/>
          <w:lang w:val="en-US"/>
        </w:rPr>
        <w:t>(5): 542–547</w:t>
      </w:r>
    </w:p>
  </w:footnote>
  <w:footnote w:id="13">
    <w:p w14:paraId="78FFEF3C" w14:textId="77777777" w:rsidR="007A1903" w:rsidRPr="002522B4" w:rsidRDefault="007A1903" w:rsidP="006C365A">
      <w:pPr>
        <w:pStyle w:val="NoSpacing"/>
        <w:rPr>
          <w:rFonts w:asciiTheme="minorHAnsi" w:hAnsiTheme="minorHAnsi"/>
          <w:sz w:val="18"/>
          <w:szCs w:val="18"/>
          <w:lang w:val="en-US"/>
        </w:rPr>
      </w:pPr>
      <w:r w:rsidRPr="002522B4">
        <w:rPr>
          <w:rStyle w:val="FootnoteReference"/>
          <w:rFonts w:asciiTheme="minorHAnsi" w:hAnsiTheme="minorHAnsi"/>
          <w:sz w:val="18"/>
          <w:szCs w:val="18"/>
        </w:rPr>
        <w:footnoteRef/>
      </w:r>
      <w:r w:rsidRPr="002522B4">
        <w:rPr>
          <w:rFonts w:asciiTheme="minorHAnsi" w:hAnsiTheme="minorHAnsi"/>
          <w:sz w:val="18"/>
          <w:szCs w:val="18"/>
        </w:rPr>
        <w:t xml:space="preserve"> </w:t>
      </w:r>
      <w:proofErr w:type="gramStart"/>
      <w:r w:rsidRPr="002522B4">
        <w:rPr>
          <w:rFonts w:asciiTheme="minorHAnsi" w:hAnsiTheme="minorHAnsi"/>
          <w:sz w:val="18"/>
          <w:szCs w:val="18"/>
        </w:rPr>
        <w:t xml:space="preserve">Tekwani </w:t>
      </w:r>
      <w:r w:rsidRPr="002522B4">
        <w:rPr>
          <w:rFonts w:asciiTheme="minorHAnsi" w:hAnsiTheme="minorHAnsi"/>
          <w:i/>
          <w:sz w:val="18"/>
          <w:szCs w:val="18"/>
        </w:rPr>
        <w:t>et al.</w:t>
      </w:r>
      <w:r w:rsidRPr="002522B4">
        <w:rPr>
          <w:rFonts w:asciiTheme="minorHAnsi" w:hAnsiTheme="minorHAnsi"/>
          <w:sz w:val="18"/>
          <w:szCs w:val="18"/>
        </w:rPr>
        <w:t xml:space="preserve"> (2005).</w:t>
      </w:r>
      <w:proofErr w:type="gramEnd"/>
      <w:r w:rsidRPr="002522B4">
        <w:rPr>
          <w:rFonts w:asciiTheme="minorHAnsi" w:hAnsiTheme="minorHAnsi"/>
          <w:sz w:val="18"/>
          <w:szCs w:val="18"/>
        </w:rPr>
        <w:t xml:space="preserve"> </w:t>
      </w:r>
      <w:proofErr w:type="gramStart"/>
      <w:r w:rsidRPr="002522B4">
        <w:rPr>
          <w:rFonts w:asciiTheme="minorHAnsi" w:hAnsiTheme="minorHAnsi"/>
          <w:sz w:val="18"/>
          <w:szCs w:val="18"/>
        </w:rPr>
        <w:t xml:space="preserve">Targeting the hemozin synthesis pathway for new antimalarial drug discovery: Technologies for </w:t>
      </w:r>
      <w:r w:rsidRPr="002522B4">
        <w:rPr>
          <w:rFonts w:asciiTheme="minorHAnsi" w:hAnsiTheme="minorHAnsi"/>
          <w:i/>
          <w:sz w:val="18"/>
          <w:szCs w:val="18"/>
        </w:rPr>
        <w:t>in vitro</w:t>
      </w:r>
      <w:r w:rsidRPr="002522B4">
        <w:rPr>
          <w:rFonts w:asciiTheme="minorHAnsi" w:hAnsiTheme="minorHAnsi"/>
          <w:sz w:val="18"/>
          <w:szCs w:val="18"/>
        </w:rPr>
        <w:t xml:space="preserve"> β-Hematin formation assay.</w:t>
      </w:r>
      <w:proofErr w:type="gramEnd"/>
      <w:r w:rsidRPr="002522B4">
        <w:rPr>
          <w:rFonts w:asciiTheme="minorHAnsi" w:hAnsiTheme="minorHAnsi"/>
          <w:sz w:val="18"/>
          <w:szCs w:val="18"/>
        </w:rPr>
        <w:t xml:space="preserve"> Combinational Chemistry and High Throughput Screening </w:t>
      </w:r>
      <w:r w:rsidRPr="002522B4">
        <w:rPr>
          <w:rFonts w:asciiTheme="minorHAnsi" w:hAnsiTheme="minorHAnsi"/>
          <w:b/>
          <w:sz w:val="18"/>
          <w:szCs w:val="18"/>
        </w:rPr>
        <w:t>8</w:t>
      </w:r>
      <w:r w:rsidRPr="002522B4">
        <w:rPr>
          <w:rFonts w:asciiTheme="minorHAnsi" w:hAnsiTheme="minorHAnsi"/>
          <w:sz w:val="18"/>
          <w:szCs w:val="18"/>
        </w:rPr>
        <w:t>:63-79.</w:t>
      </w:r>
    </w:p>
  </w:footnote>
  <w:footnote w:id="14">
    <w:p w14:paraId="0D89C324" w14:textId="77777777" w:rsidR="007A1903" w:rsidRPr="002522B4" w:rsidRDefault="007A1903" w:rsidP="006C365A">
      <w:pPr>
        <w:pStyle w:val="NoSpacing"/>
        <w:rPr>
          <w:rFonts w:asciiTheme="minorHAnsi" w:hAnsiTheme="minorHAnsi"/>
          <w:sz w:val="18"/>
          <w:szCs w:val="18"/>
          <w:lang w:val="en-US"/>
        </w:rPr>
      </w:pPr>
      <w:r w:rsidRPr="002522B4">
        <w:rPr>
          <w:rStyle w:val="FootnoteReference"/>
          <w:rFonts w:asciiTheme="minorHAnsi" w:hAnsiTheme="minorHAnsi"/>
          <w:sz w:val="18"/>
          <w:szCs w:val="18"/>
        </w:rPr>
        <w:footnoteRef/>
      </w:r>
      <w:r w:rsidRPr="002522B4">
        <w:rPr>
          <w:rFonts w:asciiTheme="minorHAnsi" w:hAnsiTheme="minorHAnsi"/>
          <w:sz w:val="18"/>
          <w:szCs w:val="18"/>
        </w:rPr>
        <w:t xml:space="preserve"> </w:t>
      </w:r>
      <w:proofErr w:type="gramStart"/>
      <w:r w:rsidRPr="002522B4">
        <w:rPr>
          <w:rFonts w:asciiTheme="minorHAnsi" w:hAnsiTheme="minorHAnsi"/>
          <w:sz w:val="18"/>
          <w:szCs w:val="18"/>
          <w:lang w:val="en-US"/>
        </w:rPr>
        <w:t xml:space="preserve">Vennerstrom </w:t>
      </w:r>
      <w:r w:rsidRPr="002522B4">
        <w:rPr>
          <w:rFonts w:asciiTheme="minorHAnsi" w:hAnsiTheme="minorHAnsi"/>
          <w:i/>
          <w:sz w:val="18"/>
          <w:szCs w:val="18"/>
          <w:lang w:val="en-US"/>
        </w:rPr>
        <w:t>et al</w:t>
      </w:r>
      <w:r w:rsidRPr="002522B4">
        <w:rPr>
          <w:rFonts w:asciiTheme="minorHAnsi" w:hAnsiTheme="minorHAnsi"/>
          <w:sz w:val="18"/>
          <w:szCs w:val="18"/>
          <w:lang w:val="en-US"/>
        </w:rPr>
        <w:t>. (1999).</w:t>
      </w:r>
      <w:proofErr w:type="gramEnd"/>
      <w:r w:rsidRPr="002522B4">
        <w:rPr>
          <w:rFonts w:asciiTheme="minorHAnsi" w:hAnsiTheme="minorHAnsi"/>
          <w:sz w:val="18"/>
          <w:szCs w:val="18"/>
          <w:lang w:val="en-US"/>
        </w:rPr>
        <w:t xml:space="preserve"> 8-aminoquinolines active against blood stage </w:t>
      </w:r>
      <w:r w:rsidRPr="002522B4">
        <w:rPr>
          <w:rFonts w:asciiTheme="minorHAnsi" w:hAnsiTheme="minorHAnsi"/>
          <w:i/>
          <w:sz w:val="18"/>
          <w:szCs w:val="18"/>
          <w:lang w:val="en-US"/>
        </w:rPr>
        <w:t>Plasmodium falciparum</w:t>
      </w:r>
      <w:r w:rsidRPr="002522B4">
        <w:rPr>
          <w:rFonts w:asciiTheme="minorHAnsi" w:hAnsiTheme="minorHAnsi"/>
          <w:sz w:val="18"/>
          <w:szCs w:val="18"/>
          <w:lang w:val="en-US"/>
        </w:rPr>
        <w:t xml:space="preserve"> </w:t>
      </w:r>
      <w:r w:rsidRPr="002522B4">
        <w:rPr>
          <w:rFonts w:asciiTheme="minorHAnsi" w:hAnsiTheme="minorHAnsi"/>
          <w:i/>
          <w:sz w:val="18"/>
          <w:szCs w:val="18"/>
          <w:lang w:val="en-US"/>
        </w:rPr>
        <w:t>in vitro</w:t>
      </w:r>
      <w:r w:rsidRPr="002522B4">
        <w:rPr>
          <w:rFonts w:asciiTheme="minorHAnsi" w:hAnsiTheme="minorHAnsi"/>
          <w:sz w:val="18"/>
          <w:szCs w:val="18"/>
          <w:lang w:val="en-US"/>
        </w:rPr>
        <w:t xml:space="preserve"> inhibit hematin polymerization. Antimicrob Agents Chemo </w:t>
      </w:r>
      <w:r w:rsidRPr="002522B4">
        <w:rPr>
          <w:rFonts w:asciiTheme="minorHAnsi" w:hAnsiTheme="minorHAnsi"/>
          <w:b/>
          <w:sz w:val="18"/>
          <w:szCs w:val="18"/>
          <w:lang w:val="en-US"/>
        </w:rPr>
        <w:t>43</w:t>
      </w:r>
      <w:r w:rsidRPr="002522B4">
        <w:rPr>
          <w:rFonts w:asciiTheme="minorHAnsi" w:hAnsiTheme="minorHAnsi"/>
          <w:sz w:val="18"/>
          <w:szCs w:val="18"/>
          <w:lang w:val="en-US"/>
        </w:rPr>
        <w:t>:598-602</w:t>
      </w:r>
    </w:p>
  </w:footnote>
  <w:footnote w:id="15">
    <w:p w14:paraId="790FF6BE" w14:textId="77777777" w:rsidR="007A1903" w:rsidRPr="002522B4" w:rsidRDefault="007A1903" w:rsidP="006C365A">
      <w:pPr>
        <w:pStyle w:val="NoSpacing"/>
        <w:rPr>
          <w:rFonts w:asciiTheme="minorHAnsi" w:hAnsiTheme="minorHAnsi"/>
          <w:sz w:val="18"/>
          <w:szCs w:val="18"/>
          <w:lang w:val="en-US"/>
        </w:rPr>
      </w:pPr>
      <w:r w:rsidRPr="002522B4">
        <w:rPr>
          <w:rStyle w:val="FootnoteReference"/>
          <w:rFonts w:asciiTheme="minorHAnsi" w:hAnsiTheme="minorHAnsi"/>
          <w:sz w:val="18"/>
          <w:szCs w:val="18"/>
        </w:rPr>
        <w:footnoteRef/>
      </w:r>
      <w:r w:rsidRPr="002522B4">
        <w:rPr>
          <w:rFonts w:asciiTheme="minorHAnsi" w:hAnsiTheme="minorHAnsi"/>
          <w:sz w:val="18"/>
          <w:szCs w:val="18"/>
        </w:rPr>
        <w:t xml:space="preserve"> </w:t>
      </w:r>
      <w:proofErr w:type="gramStart"/>
      <w:r w:rsidRPr="002522B4">
        <w:rPr>
          <w:rFonts w:asciiTheme="minorHAnsi" w:hAnsiTheme="minorHAnsi"/>
          <w:sz w:val="18"/>
          <w:szCs w:val="18"/>
          <w:lang w:val="en-US"/>
        </w:rPr>
        <w:t>Lanners H. N. (1991).</w:t>
      </w:r>
      <w:proofErr w:type="gramEnd"/>
      <w:r w:rsidRPr="002522B4">
        <w:rPr>
          <w:rFonts w:asciiTheme="minorHAnsi" w:hAnsiTheme="minorHAnsi"/>
          <w:sz w:val="18"/>
          <w:szCs w:val="18"/>
          <w:lang w:val="en-US"/>
        </w:rPr>
        <w:t xml:space="preserve"> </w:t>
      </w:r>
      <w:proofErr w:type="gramStart"/>
      <w:r w:rsidRPr="002522B4">
        <w:rPr>
          <w:rFonts w:asciiTheme="minorHAnsi" w:hAnsiTheme="minorHAnsi"/>
          <w:sz w:val="18"/>
          <w:szCs w:val="18"/>
          <w:lang w:val="en-US"/>
        </w:rPr>
        <w:t xml:space="preserve">Effect of the 8-aminoquinoline primaquine on culture-derived gametocytes of the malaria parasite </w:t>
      </w:r>
      <w:r w:rsidRPr="002522B4">
        <w:rPr>
          <w:rFonts w:asciiTheme="minorHAnsi" w:hAnsiTheme="minorHAnsi"/>
          <w:i/>
          <w:sz w:val="18"/>
          <w:szCs w:val="18"/>
          <w:lang w:val="en-US"/>
        </w:rPr>
        <w:t>Plasmodium falciparum</w:t>
      </w:r>
      <w:r w:rsidRPr="002522B4">
        <w:rPr>
          <w:rFonts w:asciiTheme="minorHAnsi" w:hAnsiTheme="minorHAnsi"/>
          <w:sz w:val="18"/>
          <w:szCs w:val="18"/>
          <w:lang w:val="en-US"/>
        </w:rPr>
        <w:t>.</w:t>
      </w:r>
      <w:proofErr w:type="gramEnd"/>
      <w:r w:rsidRPr="002522B4">
        <w:rPr>
          <w:rFonts w:asciiTheme="minorHAnsi" w:hAnsiTheme="minorHAnsi"/>
          <w:sz w:val="18"/>
          <w:szCs w:val="18"/>
          <w:lang w:val="en-US"/>
        </w:rPr>
        <w:t xml:space="preserve"> Parasitol Res </w:t>
      </w:r>
      <w:r w:rsidRPr="002522B4">
        <w:rPr>
          <w:rFonts w:asciiTheme="minorHAnsi" w:hAnsiTheme="minorHAnsi"/>
          <w:b/>
          <w:sz w:val="18"/>
          <w:szCs w:val="18"/>
          <w:lang w:val="en-US"/>
        </w:rPr>
        <w:t>77</w:t>
      </w:r>
      <w:r w:rsidRPr="002522B4">
        <w:rPr>
          <w:rFonts w:asciiTheme="minorHAnsi" w:hAnsiTheme="minorHAnsi"/>
          <w:sz w:val="18"/>
          <w:szCs w:val="18"/>
          <w:lang w:val="en-US"/>
        </w:rPr>
        <w:t>:478-481</w:t>
      </w:r>
    </w:p>
  </w:footnote>
  <w:footnote w:id="16">
    <w:p w14:paraId="7479DFD7" w14:textId="033710CB" w:rsidR="007A1903" w:rsidRPr="002522B4" w:rsidRDefault="007A1903">
      <w:pPr>
        <w:pStyle w:val="FootnoteText"/>
        <w:rPr>
          <w:rFonts w:asciiTheme="minorHAnsi" w:hAnsiTheme="minorHAnsi"/>
          <w:lang w:val="en-US"/>
        </w:rPr>
      </w:pPr>
      <w:r w:rsidRPr="002522B4">
        <w:rPr>
          <w:rStyle w:val="FootnoteReference"/>
          <w:rFonts w:asciiTheme="minorHAnsi" w:hAnsiTheme="minorHAnsi"/>
        </w:rPr>
        <w:footnoteRef/>
      </w:r>
      <w:r w:rsidRPr="002522B4">
        <w:rPr>
          <w:rFonts w:asciiTheme="minorHAnsi" w:hAnsiTheme="minorHAnsi"/>
        </w:rPr>
        <w:t xml:space="preserve"> The QT interval is the time from the start of the Q wave to the end of the T wave. It represents the time taken for ventricular depolarisation and repolarisation, effectively the period of ventricular systole from ventricular isovolumetric contraction to isovolumetric relaxation.</w:t>
      </w:r>
      <w:r>
        <w:rPr>
          <w:rFonts w:asciiTheme="minorHAnsi" w:hAnsiTheme="minorHAnsi"/>
        </w:rPr>
        <w:t xml:space="preserve"> </w:t>
      </w:r>
      <w:r w:rsidRPr="002522B4">
        <w:rPr>
          <w:rFonts w:asciiTheme="minorHAnsi" w:hAnsiTheme="minorHAnsi"/>
        </w:rPr>
        <w:t>The QT shortens at faster heart rates. An abnormally prolonged QT is associated with an increased risk of ventricular arrhythmias, especially Torsades de Pointes.</w:t>
      </w:r>
    </w:p>
  </w:footnote>
  <w:footnote w:id="17">
    <w:p w14:paraId="028D2F06" w14:textId="77777777" w:rsidR="007A1903" w:rsidRPr="007711EC" w:rsidRDefault="007A1903" w:rsidP="006C365A">
      <w:pPr>
        <w:pStyle w:val="FootnoteText"/>
        <w:rPr>
          <w:szCs w:val="18"/>
          <w:lang w:val="en-US"/>
        </w:rPr>
      </w:pPr>
      <w:r w:rsidRPr="007711EC">
        <w:rPr>
          <w:rStyle w:val="FootnoteReference"/>
          <w:szCs w:val="18"/>
        </w:rPr>
        <w:footnoteRef/>
      </w:r>
      <w:r w:rsidRPr="007711EC">
        <w:rPr>
          <w:szCs w:val="18"/>
        </w:rPr>
        <w:t xml:space="preserve"> </w:t>
      </w:r>
      <w:proofErr w:type="gramStart"/>
      <w:r w:rsidRPr="007711EC">
        <w:rPr>
          <w:szCs w:val="18"/>
        </w:rPr>
        <w:t xml:space="preserve">Brueckner </w:t>
      </w:r>
      <w:r w:rsidRPr="007711EC">
        <w:rPr>
          <w:i/>
          <w:szCs w:val="18"/>
        </w:rPr>
        <w:t>et al</w:t>
      </w:r>
      <w:r w:rsidRPr="007711EC">
        <w:rPr>
          <w:szCs w:val="18"/>
        </w:rPr>
        <w:t>. 1998.</w:t>
      </w:r>
      <w:proofErr w:type="gramEnd"/>
      <w:r w:rsidRPr="007711EC">
        <w:rPr>
          <w:szCs w:val="18"/>
        </w:rPr>
        <w:t xml:space="preserve"> First time in </w:t>
      </w:r>
      <w:proofErr w:type="gramStart"/>
      <w:r w:rsidRPr="007711EC">
        <w:rPr>
          <w:szCs w:val="18"/>
        </w:rPr>
        <w:t>humans</w:t>
      </w:r>
      <w:proofErr w:type="gramEnd"/>
      <w:r w:rsidRPr="007711EC">
        <w:rPr>
          <w:szCs w:val="18"/>
        </w:rPr>
        <w:t xml:space="preserve"> safety and pharmacokinetics of WR238605, a new antimalarial. Am J Trop Med Hyg., </w:t>
      </w:r>
      <w:r w:rsidRPr="007711EC">
        <w:rPr>
          <w:b/>
          <w:szCs w:val="18"/>
        </w:rPr>
        <w:t>58</w:t>
      </w:r>
      <w:r w:rsidRPr="007711EC">
        <w:rPr>
          <w:szCs w:val="18"/>
        </w:rPr>
        <w:t>(5):645–649</w:t>
      </w:r>
    </w:p>
  </w:footnote>
  <w:footnote w:id="18">
    <w:p w14:paraId="18861518" w14:textId="05432DF3" w:rsidR="007A1903" w:rsidRDefault="007A1903">
      <w:pPr>
        <w:pStyle w:val="FootnoteText"/>
      </w:pPr>
      <w:r>
        <w:rPr>
          <w:rStyle w:val="FootnoteReference"/>
        </w:rPr>
        <w:footnoteRef/>
      </w:r>
      <w:r>
        <w:t xml:space="preserve"> Sponsor comment: These studies were done prior to the availability of assays such as LC/MS/MS.</w:t>
      </w:r>
    </w:p>
  </w:footnote>
  <w:footnote w:id="19">
    <w:p w14:paraId="680EFEE3" w14:textId="78558E5B" w:rsidR="007A1903" w:rsidRDefault="007A1903">
      <w:pPr>
        <w:pStyle w:val="FootnoteText"/>
      </w:pPr>
      <w:r>
        <w:rPr>
          <w:rStyle w:val="FootnoteReference"/>
        </w:rPr>
        <w:footnoteRef/>
      </w:r>
      <w:r>
        <w:t xml:space="preserve"> Sponsor comment: Human drug-drug interaction data did not support a separate in vitro analysis of CYP enzymes.</w:t>
      </w:r>
    </w:p>
  </w:footnote>
  <w:footnote w:id="20">
    <w:p w14:paraId="7D51ACA7" w14:textId="77777777" w:rsidR="007A1903" w:rsidRPr="000C24B0" w:rsidRDefault="007A1903" w:rsidP="006C365A">
      <w:pPr>
        <w:pStyle w:val="FootnoteText"/>
        <w:rPr>
          <w:szCs w:val="18"/>
          <w:lang w:val="en-US"/>
        </w:rPr>
      </w:pPr>
      <w:r>
        <w:rPr>
          <w:rStyle w:val="FootnoteReference"/>
        </w:rPr>
        <w:footnoteRef/>
      </w:r>
      <w:r>
        <w:t xml:space="preserve"> </w:t>
      </w:r>
      <w:proofErr w:type="gramStart"/>
      <w:r w:rsidRPr="000C24B0">
        <w:rPr>
          <w:szCs w:val="18"/>
          <w:lang w:val="en-US"/>
        </w:rPr>
        <w:t xml:space="preserve">Reasor </w:t>
      </w:r>
      <w:r w:rsidRPr="000C24B0">
        <w:rPr>
          <w:i/>
          <w:szCs w:val="18"/>
          <w:lang w:val="en-US"/>
        </w:rPr>
        <w:t>et al.</w:t>
      </w:r>
      <w:r w:rsidRPr="000C24B0">
        <w:rPr>
          <w:szCs w:val="18"/>
          <w:lang w:val="en-US"/>
        </w:rPr>
        <w:t xml:space="preserve"> 2001.</w:t>
      </w:r>
      <w:proofErr w:type="gramEnd"/>
      <w:r w:rsidRPr="000C24B0">
        <w:rPr>
          <w:szCs w:val="18"/>
          <w:lang w:val="en-US"/>
        </w:rPr>
        <w:t xml:space="preserve"> Drug induced phospholipidosis: are there functional consequences? Exp Biol Med 226(9):825-830</w:t>
      </w:r>
    </w:p>
  </w:footnote>
  <w:footnote w:id="21">
    <w:p w14:paraId="41597AB5" w14:textId="77777777" w:rsidR="007A1903" w:rsidRPr="0098580E" w:rsidRDefault="007A1903">
      <w:pPr>
        <w:pStyle w:val="FootnoteText"/>
        <w:rPr>
          <w:lang w:val="en-US"/>
        </w:rPr>
      </w:pPr>
      <w:r>
        <w:rPr>
          <w:rStyle w:val="FootnoteReference"/>
        </w:rPr>
        <w:footnoteRef/>
      </w:r>
      <w:r>
        <w:t xml:space="preserve"> ICH S2 R1: G</w:t>
      </w:r>
      <w:r w:rsidRPr="0098580E">
        <w:t>uidance on genotoxicity testing and data interpretation for pharmaceuticals intended for human use</w:t>
      </w:r>
    </w:p>
  </w:footnote>
  <w:footnote w:id="22">
    <w:p w14:paraId="20C53BDC" w14:textId="77777777" w:rsidR="007A1903" w:rsidRPr="00BF2BA5" w:rsidRDefault="007A1903" w:rsidP="006C365A">
      <w:pPr>
        <w:pStyle w:val="FootnoteText"/>
        <w:rPr>
          <w:szCs w:val="18"/>
          <w:lang w:val="en-US"/>
        </w:rPr>
      </w:pPr>
      <w:r w:rsidRPr="00BF2BA5">
        <w:rPr>
          <w:rStyle w:val="FootnoteReference"/>
          <w:szCs w:val="18"/>
        </w:rPr>
        <w:footnoteRef/>
      </w:r>
      <w:r w:rsidRPr="00BF2BA5">
        <w:rPr>
          <w:szCs w:val="18"/>
        </w:rPr>
        <w:t xml:space="preserve"> </w:t>
      </w:r>
      <w:proofErr w:type="gramStart"/>
      <w:r w:rsidRPr="00BF2BA5">
        <w:rPr>
          <w:szCs w:val="18"/>
        </w:rPr>
        <w:t>Hard G</w:t>
      </w:r>
      <w:r>
        <w:rPr>
          <w:szCs w:val="18"/>
        </w:rPr>
        <w:t xml:space="preserve"> </w:t>
      </w:r>
      <w:r w:rsidRPr="00BF2BA5">
        <w:rPr>
          <w:szCs w:val="18"/>
        </w:rPr>
        <w:t>C</w:t>
      </w:r>
      <w:r>
        <w:rPr>
          <w:szCs w:val="18"/>
        </w:rPr>
        <w:t>.</w:t>
      </w:r>
      <w:r w:rsidRPr="00BF2BA5">
        <w:rPr>
          <w:szCs w:val="18"/>
        </w:rPr>
        <w:t xml:space="preserve"> 2013</w:t>
      </w:r>
      <w:r>
        <w:rPr>
          <w:szCs w:val="18"/>
        </w:rPr>
        <w:t>.</w:t>
      </w:r>
      <w:proofErr w:type="gramEnd"/>
      <w:r w:rsidRPr="00BF2BA5">
        <w:rPr>
          <w:szCs w:val="18"/>
        </w:rPr>
        <w:t xml:space="preserve"> </w:t>
      </w:r>
      <w:proofErr w:type="gramStart"/>
      <w:r w:rsidRPr="00BF2BA5">
        <w:rPr>
          <w:szCs w:val="18"/>
        </w:rPr>
        <w:t>Consideration of rat chronic progressive nephropathy in regulatory evaluations for carcinogenicity.</w:t>
      </w:r>
      <w:proofErr w:type="gramEnd"/>
      <w:r w:rsidRPr="00BF2BA5">
        <w:rPr>
          <w:szCs w:val="18"/>
        </w:rPr>
        <w:t xml:space="preserve"> </w:t>
      </w:r>
      <w:r w:rsidRPr="00BF2BA5">
        <w:rPr>
          <w:i/>
          <w:szCs w:val="18"/>
        </w:rPr>
        <w:t>Toxicol Sci.</w:t>
      </w:r>
      <w:r w:rsidRPr="00BF2BA5">
        <w:rPr>
          <w:szCs w:val="18"/>
        </w:rPr>
        <w:t xml:space="preserve"> </w:t>
      </w:r>
      <w:r w:rsidRPr="00F900F9">
        <w:rPr>
          <w:szCs w:val="18"/>
        </w:rPr>
        <w:t>132</w:t>
      </w:r>
      <w:r w:rsidRPr="00BF2BA5">
        <w:rPr>
          <w:szCs w:val="18"/>
        </w:rPr>
        <w:t>: 268-275.</w:t>
      </w:r>
    </w:p>
  </w:footnote>
  <w:footnote w:id="23">
    <w:p w14:paraId="4996330C" w14:textId="77777777" w:rsidR="007A1903" w:rsidRPr="0084395F" w:rsidRDefault="007A1903" w:rsidP="0084395F">
      <w:pPr>
        <w:pStyle w:val="FootnoteText"/>
        <w:rPr>
          <w:lang w:val="en-US"/>
        </w:rPr>
      </w:pPr>
      <w:r>
        <w:rPr>
          <w:rStyle w:val="FootnoteReference"/>
        </w:rPr>
        <w:footnoteRef/>
      </w:r>
      <w:r>
        <w:t xml:space="preserve"> ICH S5 R2: Detection of toxicity to reproduction for medicinal products &amp; toxicity to male fertility</w:t>
      </w:r>
    </w:p>
  </w:footnote>
  <w:footnote w:id="24">
    <w:p w14:paraId="2231422E" w14:textId="77777777" w:rsidR="007A1903" w:rsidRPr="00C62FFC" w:rsidRDefault="007A1903" w:rsidP="00C62FFC">
      <w:pPr>
        <w:pStyle w:val="FootnoteText"/>
        <w:rPr>
          <w:lang w:val="en-US"/>
        </w:rPr>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5">
    <w:p w14:paraId="33457F66" w14:textId="0D4CAF60" w:rsidR="007A1903" w:rsidRDefault="007A1903">
      <w:pPr>
        <w:pStyle w:val="FootnoteText"/>
      </w:pPr>
      <w:r>
        <w:rPr>
          <w:rStyle w:val="FootnoteReference"/>
        </w:rPr>
        <w:footnoteRef/>
      </w:r>
      <w:r>
        <w:t xml:space="preserve"> Sponsor comment: The sponsor proposed Category D because the G6PD status of the foetus cannot easily be assessed. </w:t>
      </w:r>
    </w:p>
  </w:footnote>
  <w:footnote w:id="26">
    <w:p w14:paraId="56C4AAFD" w14:textId="77777777" w:rsidR="007A1903" w:rsidRDefault="007A1903" w:rsidP="00C62FFC">
      <w:pPr>
        <w:pStyle w:val="FootnoteText"/>
      </w:pPr>
      <w:r>
        <w:rPr>
          <w:rStyle w:val="FootnoteReference"/>
        </w:rPr>
        <w:footnoteRef/>
      </w:r>
      <w:r>
        <w:t xml:space="preserve"> Category B1: Drugs which have been taken by only a limited number of pregnant women and women of childbearing age, without an increase in the frequency of malformation or other direct or indirect harmful effects on the human fetus having been observed.</w:t>
      </w:r>
    </w:p>
    <w:p w14:paraId="51E0824D" w14:textId="77777777" w:rsidR="007A1903" w:rsidRPr="00C62FFC" w:rsidRDefault="007A1903" w:rsidP="00C62FFC">
      <w:pPr>
        <w:pStyle w:val="FootnoteText"/>
        <w:rPr>
          <w:lang w:val="en-US"/>
        </w:rPr>
      </w:pPr>
      <w:r>
        <w:t>Studies in animals have not shown evidence of an increased occurrence of fetal damage.</w:t>
      </w:r>
    </w:p>
  </w:footnote>
  <w:footnote w:id="27">
    <w:p w14:paraId="2CF3AE5F" w14:textId="77777777" w:rsidR="007A1903" w:rsidRPr="00C62FFC" w:rsidRDefault="007A1903" w:rsidP="00C62FFC">
      <w:pPr>
        <w:pStyle w:val="FootnoteText"/>
        <w:rPr>
          <w:lang w:val="en-US"/>
        </w:rPr>
      </w:pPr>
      <w:r>
        <w:rPr>
          <w:rStyle w:val="FootnoteReference"/>
        </w:rPr>
        <w:footnoteRef/>
      </w:r>
      <w:r>
        <w:t xml:space="preserve">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28">
    <w:p w14:paraId="1B7549A8" w14:textId="77777777" w:rsidR="007A1903" w:rsidRPr="00455D15" w:rsidRDefault="007A1903">
      <w:pPr>
        <w:pStyle w:val="FootnoteText"/>
        <w:rPr>
          <w:lang w:val="en-US"/>
        </w:rPr>
      </w:pPr>
      <w:r>
        <w:rPr>
          <w:rStyle w:val="FootnoteReference"/>
        </w:rPr>
        <w:footnoteRef/>
      </w:r>
      <w:r>
        <w:t xml:space="preserve"> ICH </w:t>
      </w:r>
      <w:r w:rsidRPr="00455D15">
        <w:t>S10</w:t>
      </w:r>
      <w:r>
        <w:t>:</w:t>
      </w:r>
      <w:r w:rsidRPr="00455D15">
        <w:t xml:space="preserve"> Photosafety evaluation of pharmaceuticals</w:t>
      </w:r>
    </w:p>
  </w:footnote>
  <w:footnote w:id="29">
    <w:p w14:paraId="7D976F05" w14:textId="374F98C1" w:rsidR="007A1903" w:rsidRPr="00025C59" w:rsidRDefault="007A1903">
      <w:pPr>
        <w:pStyle w:val="FootnoteText"/>
        <w:rPr>
          <w:lang w:val="en-US"/>
        </w:rPr>
      </w:pPr>
      <w:r>
        <w:rPr>
          <w:rStyle w:val="FootnoteReference"/>
        </w:rPr>
        <w:footnoteRef/>
      </w:r>
      <w:r>
        <w:rPr>
          <w:lang w:val="en-US"/>
        </w:rPr>
        <w:t xml:space="preserve"> </w:t>
      </w:r>
      <w:r w:rsidRPr="00025C59">
        <w:rPr>
          <w:lang w:val="en-US"/>
        </w:rPr>
        <w:t>https://www.fda.gov/OHRMS/DOCKETS/98fr/07d-0212-gdl0001.pdf</w:t>
      </w:r>
    </w:p>
  </w:footnote>
  <w:footnote w:id="30">
    <w:p w14:paraId="67E31623" w14:textId="617AA3C4" w:rsidR="007A1903" w:rsidRDefault="007A1903">
      <w:pPr>
        <w:pStyle w:val="FootnoteText"/>
      </w:pPr>
      <w:r>
        <w:rPr>
          <w:rStyle w:val="FootnoteReference"/>
        </w:rPr>
        <w:footnoteRef/>
      </w:r>
      <w:r>
        <w:t xml:space="preserve"> Sponsor comment: Malarone is given daily. Mefloquine is given weekly. Malarone was not approved for chemoprophylaxis when these studies were conducted.</w:t>
      </w:r>
    </w:p>
  </w:footnote>
  <w:footnote w:id="31">
    <w:p w14:paraId="767470C2" w14:textId="77777777" w:rsidR="007A1903" w:rsidRPr="0014236D" w:rsidRDefault="007A1903" w:rsidP="0082067D">
      <w:pPr>
        <w:autoSpaceDE w:val="0"/>
        <w:autoSpaceDN w:val="0"/>
        <w:spacing w:before="0" w:after="0" w:line="240" w:lineRule="auto"/>
        <w:rPr>
          <w:rFonts w:cs="Dutch801BT-Roman"/>
          <w:sz w:val="18"/>
          <w:szCs w:val="18"/>
        </w:rPr>
      </w:pPr>
      <w:r>
        <w:rPr>
          <w:rStyle w:val="FootnoteReference"/>
        </w:rPr>
        <w:footnoteRef/>
      </w:r>
      <w:r>
        <w:t xml:space="preserve"> </w:t>
      </w:r>
      <w:r w:rsidRPr="0014236D">
        <w:rPr>
          <w:rFonts w:cs="Dutch801BT-Roman"/>
          <w:sz w:val="18"/>
          <w:szCs w:val="18"/>
        </w:rPr>
        <w:t>Nasveld et al (2010), Randomized, Double-Blind Study of the Safety, Tolerability, and Efficacy of Tafenoquine versus Mefloquine for Malaria Prophylaxis in Nonimmune Subjects, Antimicrobial Agents and Chemotherapy, American Society for Microbiology (2010) p. 792–798; doi:10.1128/AAC.00354-09</w:t>
      </w:r>
      <w:r>
        <w:rPr>
          <w:rFonts w:cs="Dutch801BT-Roman"/>
          <w:sz w:val="18"/>
          <w:szCs w:val="18"/>
        </w:rPr>
        <w:t>.</w:t>
      </w:r>
    </w:p>
  </w:footnote>
  <w:footnote w:id="32">
    <w:p w14:paraId="6C16BD95" w14:textId="77777777" w:rsidR="007A1903" w:rsidRPr="002848C1" w:rsidRDefault="007A1903" w:rsidP="0082067D">
      <w:pPr>
        <w:spacing w:before="0" w:after="0"/>
        <w:rPr>
          <w:rFonts w:cs="AdvOT863180fb"/>
          <w:sz w:val="18"/>
          <w:szCs w:val="18"/>
        </w:rPr>
      </w:pPr>
      <w:r w:rsidRPr="002848C1">
        <w:rPr>
          <w:rStyle w:val="FootnoteReference"/>
          <w:sz w:val="18"/>
          <w:szCs w:val="18"/>
        </w:rPr>
        <w:footnoteRef/>
      </w:r>
      <w:r w:rsidRPr="002848C1">
        <w:rPr>
          <w:sz w:val="18"/>
          <w:szCs w:val="18"/>
        </w:rPr>
        <w:t xml:space="preserve"> </w:t>
      </w:r>
      <w:r w:rsidRPr="002848C1">
        <w:rPr>
          <w:rFonts w:cs="Dutch801BT-Roman"/>
          <w:sz w:val="18"/>
          <w:szCs w:val="18"/>
        </w:rPr>
        <w:t>Novitt-Moreno A, et al., Tafenoquine for malaria prophylaxis in adults: An integrated safety analysis, Travel Medicine and Infectious Disease (2017),</w:t>
      </w:r>
      <w:r w:rsidRPr="002848C1">
        <w:rPr>
          <w:rFonts w:eastAsiaTheme="minorHAnsi" w:cs="AdvOT863180fb"/>
          <w:sz w:val="18"/>
          <w:szCs w:val="18"/>
        </w:rPr>
        <w:t xml:space="preserve"> </w:t>
      </w:r>
      <w:hyperlink r:id="rId1" w:history="1">
        <w:r w:rsidRPr="002848C1">
          <w:rPr>
            <w:rStyle w:val="Hyperlink"/>
            <w:rFonts w:eastAsiaTheme="minorHAnsi" w:cs="AdvOT863180fb"/>
            <w:sz w:val="18"/>
            <w:szCs w:val="18"/>
          </w:rPr>
          <w:t>http://dx.doi.org/10.1016/j.tmaid.2017.05.008</w:t>
        </w:r>
      </w:hyperlink>
      <w:r w:rsidRPr="002848C1">
        <w:rPr>
          <w:rFonts w:cs="AdvOT863180fb"/>
          <w:sz w:val="18"/>
          <w:szCs w:val="18"/>
        </w:rPr>
        <w:t>.</w:t>
      </w:r>
    </w:p>
  </w:footnote>
  <w:footnote w:id="33">
    <w:p w14:paraId="3F73E7C1" w14:textId="77777777" w:rsidR="007A1903" w:rsidRPr="0072115E" w:rsidRDefault="007A1903" w:rsidP="0082067D">
      <w:pPr>
        <w:pStyle w:val="FootnoteText"/>
        <w:rPr>
          <w:szCs w:val="18"/>
        </w:rPr>
      </w:pPr>
      <w:r>
        <w:rPr>
          <w:rStyle w:val="FootnoteReference"/>
        </w:rPr>
        <w:footnoteRef/>
      </w:r>
      <w:r>
        <w:t xml:space="preserve"> </w:t>
      </w:r>
      <w:r w:rsidRPr="0072115E">
        <w:rPr>
          <w:rFonts w:cs="TimesTen-Roman"/>
          <w:szCs w:val="18"/>
        </w:rPr>
        <w:t>Leary et al (2009), A Randomized, Double-Blind, Safety and Tolerability Study to Assess the Ophthalmic and Renal Effects of Tafenoquine 200 mg Weekly versus Placebo for 6 Months in Healthy Volunteers, Am. J. Trop. Med. Hyg., 81(2), 2009, pp. 356–362.</w:t>
      </w:r>
    </w:p>
  </w:footnote>
  <w:footnote w:id="34">
    <w:p w14:paraId="183398BB" w14:textId="11EFFC7C" w:rsidR="007A1903" w:rsidRDefault="007A1903">
      <w:pPr>
        <w:pStyle w:val="FootnoteText"/>
      </w:pPr>
      <w:r>
        <w:rPr>
          <w:rStyle w:val="FootnoteReference"/>
        </w:rPr>
        <w:footnoteRef/>
      </w:r>
      <w:r>
        <w:t xml:space="preserve"> Sponsor comment: This was due to mefloquine only. No other of the 15 studies in the package without mefloquine had such </w:t>
      </w:r>
      <w:proofErr w:type="gramStart"/>
      <w:r>
        <w:t>an exclusion</w:t>
      </w:r>
      <w:proofErr w:type="gramEnd"/>
      <w:r>
        <w:t>. The submission supports the assertion that this exclusion criteria was only because of mefloquine.</w:t>
      </w:r>
    </w:p>
  </w:footnote>
  <w:footnote w:id="35">
    <w:p w14:paraId="15ECA3C2" w14:textId="77777777" w:rsidR="007A1903" w:rsidRDefault="007A1903"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2531861" w14:textId="77777777" w:rsidR="007A1903" w:rsidRPr="00456765" w:rsidRDefault="007A1903"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36">
    <w:p w14:paraId="2D2C7697" w14:textId="6DEA6FA2" w:rsidR="007A1903" w:rsidRDefault="007A1903">
      <w:pPr>
        <w:pStyle w:val="FootnoteText"/>
      </w:pPr>
      <w:r>
        <w:rPr>
          <w:rStyle w:val="FootnoteReference"/>
        </w:rPr>
        <w:footnoteRef/>
      </w:r>
      <w:r>
        <w:t xml:space="preserve"> Vortex keratopathy [corneal deposits])</w:t>
      </w:r>
    </w:p>
  </w:footnote>
  <w:footnote w:id="37">
    <w:p w14:paraId="38DAFEFB" w14:textId="77777777" w:rsidR="007A1903" w:rsidRPr="00397241" w:rsidRDefault="007A1903">
      <w:pPr>
        <w:pStyle w:val="FootnoteText"/>
        <w:rPr>
          <w:lang w:val="en-US"/>
        </w:rPr>
      </w:pPr>
      <w:r>
        <w:rPr>
          <w:rStyle w:val="FootnoteReference"/>
        </w:rPr>
        <w:footnoteRef/>
      </w:r>
      <w:r>
        <w:t xml:space="preserve"> </w:t>
      </w:r>
      <w:r w:rsidRPr="00397241">
        <w:t xml:space="preserve">Hard GC, Betz LJ, Seely JC. </w:t>
      </w:r>
      <w:proofErr w:type="gramStart"/>
      <w:r w:rsidRPr="00397241">
        <w:t>Association of Advanced Chronic Progressive Nephropathy (CPN) with Renal Tubule Tumours and Precursor Hyperplasia in Control F344 Rats from Two-Year Carcinogenicity Studies.</w:t>
      </w:r>
      <w:proofErr w:type="gramEnd"/>
      <w:r w:rsidRPr="00397241">
        <w:t xml:space="preserve"> Toxicol Pathol 2012; 40: 473-481.</w:t>
      </w:r>
    </w:p>
  </w:footnote>
  <w:footnote w:id="38">
    <w:p w14:paraId="4474B06F" w14:textId="77777777" w:rsidR="007A1903" w:rsidRPr="00397241" w:rsidRDefault="007A1903">
      <w:pPr>
        <w:pStyle w:val="FootnoteText"/>
        <w:rPr>
          <w:lang w:val="en-US"/>
        </w:rPr>
      </w:pPr>
      <w:r>
        <w:rPr>
          <w:rStyle w:val="FootnoteReference"/>
        </w:rPr>
        <w:footnoteRef/>
      </w:r>
      <w:r>
        <w:t xml:space="preserve"> </w:t>
      </w:r>
      <w:r w:rsidRPr="00397241">
        <w:t>Melnick RL, Burns KM, Ward JM, Huff J; Chemically Exacerbated Chronic Progressive Nephropathy Not Associated with Renal Tubular Tumor Induction in Rats: An Evaluation Based on 60 Carcinogenicity Studies by the National Toxicology Program, Toxicological Sciences, Volume 128, Issue 2, 1 August 2012, Pages 346–356, https://doi.org/10.1093/toxsci/kfs156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2872" w14:textId="77777777" w:rsidR="007A1903" w:rsidRDefault="007A190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BDECA" w14:textId="77777777" w:rsidR="007A1903" w:rsidRDefault="007A1903">
    <w:pPr>
      <w:rPr>
        <w:noProof/>
        <w:lang w:eastAsia="en-AU"/>
      </w:rPr>
    </w:pPr>
    <w:r w:rsidRPr="00347824">
      <w:rPr>
        <w:noProof/>
        <w:lang w:eastAsia="en-AU"/>
      </w:rPr>
      <w:drawing>
        <wp:anchor distT="0" distB="0" distL="114300" distR="114300" simplePos="0" relativeHeight="251659264" behindDoc="1" locked="0" layoutInCell="1" allowOverlap="1" wp14:anchorId="56A1A558" wp14:editId="1250FA2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FAEA5C1" w14:textId="77777777" w:rsidR="007A1903" w:rsidRDefault="007A1903" w:rsidP="00593AD1">
    <w:pPr>
      <w:pStyle w:val="HeaderNoLine"/>
    </w:pPr>
    <w:r>
      <w:rPr>
        <w:noProof/>
        <w:lang w:eastAsia="en-AU"/>
      </w:rPr>
      <w:drawing>
        <wp:inline distT="0" distB="0" distL="0" distR="0" wp14:anchorId="4798CA09" wp14:editId="4B8B9363">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9C18D" w14:textId="77777777" w:rsidR="007A1903" w:rsidRDefault="007A19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BEA42" w14:textId="77777777" w:rsidR="007A1903" w:rsidRDefault="007A190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59F1" w14:textId="77777777" w:rsidR="007A1903" w:rsidRDefault="007A190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94D30" w14:textId="77777777" w:rsidR="007A1903" w:rsidRDefault="007A19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7A753" w14:textId="77777777" w:rsidR="007A1903" w:rsidRDefault="007A190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3B634" w14:textId="77777777" w:rsidR="007A1903" w:rsidRDefault="007A1903" w:rsidP="006E08B3">
    <w:r>
      <w:t>Therapeutic Goods Administration</w:t>
    </w:r>
  </w:p>
  <w:p w14:paraId="0F61B52C" w14:textId="77777777" w:rsidR="007A1903" w:rsidRDefault="007A190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3FA8681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29538C5"/>
    <w:multiLevelType w:val="hybridMultilevel"/>
    <w:tmpl w:val="3FA4E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411527"/>
    <w:multiLevelType w:val="hybridMultilevel"/>
    <w:tmpl w:val="57D84FBE"/>
    <w:lvl w:ilvl="0" w:tplc="8996AB66">
      <w:start w:val="1"/>
      <w:numFmt w:val="decimal"/>
      <w:lvlText w:val="%1."/>
      <w:lvlJc w:val="left"/>
      <w:pPr>
        <w:ind w:left="1702" w:hanging="285"/>
      </w:pPr>
      <w:rPr>
        <w:rFonts w:ascii="Cambria" w:eastAsia="Cambria" w:hAnsi="Cambria" w:cs="Cambria" w:hint="default"/>
        <w:b/>
        <w:bCs/>
        <w:spacing w:val="-1"/>
        <w:w w:val="99"/>
        <w:sz w:val="22"/>
        <w:szCs w:val="22"/>
        <w:lang w:val="en-AU" w:eastAsia="en-AU" w:bidi="en-AU"/>
      </w:rPr>
    </w:lvl>
    <w:lvl w:ilvl="1" w:tplc="F662960C">
      <w:numFmt w:val="bullet"/>
      <w:lvlText w:val="•"/>
      <w:lvlJc w:val="left"/>
      <w:pPr>
        <w:ind w:left="2720" w:hanging="285"/>
      </w:pPr>
      <w:rPr>
        <w:rFonts w:hint="default"/>
        <w:lang w:val="en-AU" w:eastAsia="en-AU" w:bidi="en-AU"/>
      </w:rPr>
    </w:lvl>
    <w:lvl w:ilvl="2" w:tplc="AE22BBAA">
      <w:numFmt w:val="bullet"/>
      <w:lvlText w:val="•"/>
      <w:lvlJc w:val="left"/>
      <w:pPr>
        <w:ind w:left="3741" w:hanging="285"/>
      </w:pPr>
      <w:rPr>
        <w:rFonts w:hint="default"/>
        <w:lang w:val="en-AU" w:eastAsia="en-AU" w:bidi="en-AU"/>
      </w:rPr>
    </w:lvl>
    <w:lvl w:ilvl="3" w:tplc="0E449966">
      <w:numFmt w:val="bullet"/>
      <w:lvlText w:val="•"/>
      <w:lvlJc w:val="left"/>
      <w:pPr>
        <w:ind w:left="4761" w:hanging="285"/>
      </w:pPr>
      <w:rPr>
        <w:rFonts w:hint="default"/>
        <w:lang w:val="en-AU" w:eastAsia="en-AU" w:bidi="en-AU"/>
      </w:rPr>
    </w:lvl>
    <w:lvl w:ilvl="4" w:tplc="76120B18">
      <w:numFmt w:val="bullet"/>
      <w:lvlText w:val="•"/>
      <w:lvlJc w:val="left"/>
      <w:pPr>
        <w:ind w:left="5782" w:hanging="285"/>
      </w:pPr>
      <w:rPr>
        <w:rFonts w:hint="default"/>
        <w:lang w:val="en-AU" w:eastAsia="en-AU" w:bidi="en-AU"/>
      </w:rPr>
    </w:lvl>
    <w:lvl w:ilvl="5" w:tplc="14AE9E68">
      <w:numFmt w:val="bullet"/>
      <w:lvlText w:val="•"/>
      <w:lvlJc w:val="left"/>
      <w:pPr>
        <w:ind w:left="6803" w:hanging="285"/>
      </w:pPr>
      <w:rPr>
        <w:rFonts w:hint="default"/>
        <w:lang w:val="en-AU" w:eastAsia="en-AU" w:bidi="en-AU"/>
      </w:rPr>
    </w:lvl>
    <w:lvl w:ilvl="6" w:tplc="7AD22FE6">
      <w:numFmt w:val="bullet"/>
      <w:lvlText w:val="•"/>
      <w:lvlJc w:val="left"/>
      <w:pPr>
        <w:ind w:left="7823" w:hanging="285"/>
      </w:pPr>
      <w:rPr>
        <w:rFonts w:hint="default"/>
        <w:lang w:val="en-AU" w:eastAsia="en-AU" w:bidi="en-AU"/>
      </w:rPr>
    </w:lvl>
    <w:lvl w:ilvl="7" w:tplc="05D87160">
      <w:numFmt w:val="bullet"/>
      <w:lvlText w:val="•"/>
      <w:lvlJc w:val="left"/>
      <w:pPr>
        <w:ind w:left="8844" w:hanging="285"/>
      </w:pPr>
      <w:rPr>
        <w:rFonts w:hint="default"/>
        <w:lang w:val="en-AU" w:eastAsia="en-AU" w:bidi="en-AU"/>
      </w:rPr>
    </w:lvl>
    <w:lvl w:ilvl="8" w:tplc="ED86E250">
      <w:numFmt w:val="bullet"/>
      <w:lvlText w:val="•"/>
      <w:lvlJc w:val="left"/>
      <w:pPr>
        <w:ind w:left="9865" w:hanging="285"/>
      </w:pPr>
      <w:rPr>
        <w:rFonts w:hint="default"/>
        <w:lang w:val="en-AU" w:eastAsia="en-AU" w:bidi="en-AU"/>
      </w:r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5094C5E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12664AD"/>
    <w:multiLevelType w:val="hybridMultilevel"/>
    <w:tmpl w:val="059A2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DEB3C4F"/>
    <w:multiLevelType w:val="multilevel"/>
    <w:tmpl w:val="2F88BFE8"/>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1EA2AE3"/>
    <w:multiLevelType w:val="hybridMultilevel"/>
    <w:tmpl w:val="FA7AE592"/>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nsid w:val="32A22B98"/>
    <w:multiLevelType w:val="multilevel"/>
    <w:tmpl w:val="BF3AB1D2"/>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AAF541C"/>
    <w:multiLevelType w:val="multilevel"/>
    <w:tmpl w:val="71A67648"/>
    <w:lvl w:ilvl="0">
      <w:start w:val="2"/>
      <w:numFmt w:val="decimal"/>
      <w:lvlText w:val="%1."/>
      <w:lvlJc w:val="left"/>
      <w:pPr>
        <w:ind w:left="2269" w:hanging="851"/>
      </w:pPr>
      <w:rPr>
        <w:rFonts w:ascii="Arial" w:eastAsia="Arial" w:hAnsi="Arial" w:cs="Arial" w:hint="default"/>
        <w:b/>
        <w:bCs/>
        <w:spacing w:val="-1"/>
        <w:w w:val="99"/>
        <w:sz w:val="36"/>
        <w:szCs w:val="36"/>
        <w:lang w:val="en-AU" w:eastAsia="en-AU" w:bidi="en-AU"/>
      </w:rPr>
    </w:lvl>
    <w:lvl w:ilvl="1">
      <w:start w:val="3"/>
      <w:numFmt w:val="decimalZero"/>
      <w:lvlText w:val="%1.%2"/>
      <w:lvlJc w:val="left"/>
      <w:pPr>
        <w:ind w:left="2041" w:hanging="623"/>
      </w:pPr>
      <w:rPr>
        <w:rFonts w:ascii="Cambria" w:eastAsia="Cambria" w:hAnsi="Cambria" w:cs="Cambria" w:hint="default"/>
        <w:b/>
        <w:bCs/>
        <w:spacing w:val="-1"/>
        <w:w w:val="99"/>
        <w:sz w:val="28"/>
        <w:szCs w:val="28"/>
        <w:lang w:val="en-AU" w:eastAsia="en-AU" w:bidi="en-AU"/>
      </w:rPr>
    </w:lvl>
    <w:lvl w:ilvl="2">
      <w:numFmt w:val="bullet"/>
      <w:lvlText w:val=""/>
      <w:lvlJc w:val="left"/>
      <w:pPr>
        <w:ind w:left="2138" w:hanging="360"/>
      </w:pPr>
      <w:rPr>
        <w:rFonts w:ascii="Symbol" w:eastAsia="Symbol" w:hAnsi="Symbol" w:cs="Symbol" w:hint="default"/>
        <w:w w:val="99"/>
        <w:sz w:val="22"/>
        <w:szCs w:val="22"/>
        <w:lang w:val="en-AU" w:eastAsia="en-AU" w:bidi="en-AU"/>
      </w:rPr>
    </w:lvl>
    <w:lvl w:ilvl="3">
      <w:numFmt w:val="bullet"/>
      <w:lvlText w:val="•"/>
      <w:lvlJc w:val="left"/>
      <w:pPr>
        <w:ind w:left="3465" w:hanging="360"/>
      </w:pPr>
      <w:rPr>
        <w:rFonts w:hint="default"/>
        <w:lang w:val="en-AU" w:eastAsia="en-AU" w:bidi="en-AU"/>
      </w:rPr>
    </w:lvl>
    <w:lvl w:ilvl="4">
      <w:numFmt w:val="bullet"/>
      <w:lvlText w:val="•"/>
      <w:lvlJc w:val="left"/>
      <w:pPr>
        <w:ind w:left="4671" w:hanging="360"/>
      </w:pPr>
      <w:rPr>
        <w:rFonts w:hint="default"/>
        <w:lang w:val="en-AU" w:eastAsia="en-AU" w:bidi="en-AU"/>
      </w:rPr>
    </w:lvl>
    <w:lvl w:ilvl="5">
      <w:numFmt w:val="bullet"/>
      <w:lvlText w:val="•"/>
      <w:lvlJc w:val="left"/>
      <w:pPr>
        <w:ind w:left="5877" w:hanging="360"/>
      </w:pPr>
      <w:rPr>
        <w:rFonts w:hint="default"/>
        <w:lang w:val="en-AU" w:eastAsia="en-AU" w:bidi="en-AU"/>
      </w:rPr>
    </w:lvl>
    <w:lvl w:ilvl="6">
      <w:numFmt w:val="bullet"/>
      <w:lvlText w:val="•"/>
      <w:lvlJc w:val="left"/>
      <w:pPr>
        <w:ind w:left="7083" w:hanging="360"/>
      </w:pPr>
      <w:rPr>
        <w:rFonts w:hint="default"/>
        <w:lang w:val="en-AU" w:eastAsia="en-AU" w:bidi="en-AU"/>
      </w:rPr>
    </w:lvl>
    <w:lvl w:ilvl="7">
      <w:numFmt w:val="bullet"/>
      <w:lvlText w:val="•"/>
      <w:lvlJc w:val="left"/>
      <w:pPr>
        <w:ind w:left="8289" w:hanging="360"/>
      </w:pPr>
      <w:rPr>
        <w:rFonts w:hint="default"/>
        <w:lang w:val="en-AU" w:eastAsia="en-AU" w:bidi="en-AU"/>
      </w:rPr>
    </w:lvl>
    <w:lvl w:ilvl="8">
      <w:numFmt w:val="bullet"/>
      <w:lvlText w:val="•"/>
      <w:lvlJc w:val="left"/>
      <w:pPr>
        <w:ind w:left="9494" w:hanging="360"/>
      </w:pPr>
      <w:rPr>
        <w:rFonts w:hint="default"/>
        <w:lang w:val="en-AU" w:eastAsia="en-AU" w:bidi="en-AU"/>
      </w:rPr>
    </w:lvl>
  </w:abstractNum>
  <w:abstractNum w:abstractNumId="14">
    <w:nsid w:val="4C9F32CA"/>
    <w:multiLevelType w:val="hybridMultilevel"/>
    <w:tmpl w:val="73B2E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932A77"/>
    <w:multiLevelType w:val="hybridMultilevel"/>
    <w:tmpl w:val="9BEAE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A192F51"/>
    <w:multiLevelType w:val="hybridMultilevel"/>
    <w:tmpl w:val="DB3AE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F754A7A"/>
    <w:multiLevelType w:val="hybridMultilevel"/>
    <w:tmpl w:val="4D144C5E"/>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nsid w:val="63FD1EA7"/>
    <w:multiLevelType w:val="hybridMultilevel"/>
    <w:tmpl w:val="78A27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22"/>
  </w:num>
  <w:num w:numId="29">
    <w:abstractNumId w:val="20"/>
  </w:num>
  <w:num w:numId="30">
    <w:abstractNumId w:val="11"/>
  </w:num>
  <w:num w:numId="31">
    <w:abstractNumId w:val="10"/>
  </w:num>
  <w:num w:numId="32">
    <w:abstractNumId w:val="12"/>
  </w:num>
  <w:num w:numId="33">
    <w:abstractNumId w:val="13"/>
  </w:num>
  <w:num w:numId="34">
    <w:abstractNumId w:val="5"/>
  </w:num>
  <w:num w:numId="35">
    <w:abstractNumId w:val="6"/>
  </w:num>
  <w:num w:numId="36">
    <w:abstractNumId w:val="19"/>
  </w:num>
  <w:num w:numId="37">
    <w:abstractNumId w:val="18"/>
  </w:num>
  <w:num w:numId="38">
    <w:abstractNumId w:val="9"/>
  </w:num>
  <w:num w:numId="39">
    <w:abstractNumId w:val="17"/>
  </w:num>
  <w:num w:numId="40">
    <w:abstractNumId w:val="4"/>
  </w:num>
  <w:num w:numId="41">
    <w:abstractNumId w:val="21"/>
  </w:num>
  <w:num w:numId="42">
    <w:abstractNumId w:val="14"/>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3C1"/>
    <w:rsid w:val="00002031"/>
    <w:rsid w:val="00004734"/>
    <w:rsid w:val="00006B22"/>
    <w:rsid w:val="00011656"/>
    <w:rsid w:val="0001276A"/>
    <w:rsid w:val="00023DE8"/>
    <w:rsid w:val="000246AE"/>
    <w:rsid w:val="00025C59"/>
    <w:rsid w:val="00025C67"/>
    <w:rsid w:val="00035012"/>
    <w:rsid w:val="00037998"/>
    <w:rsid w:val="00044772"/>
    <w:rsid w:val="0005559E"/>
    <w:rsid w:val="000604D6"/>
    <w:rsid w:val="000734D8"/>
    <w:rsid w:val="00077775"/>
    <w:rsid w:val="0008156B"/>
    <w:rsid w:val="0008597D"/>
    <w:rsid w:val="00087250"/>
    <w:rsid w:val="00090471"/>
    <w:rsid w:val="00094813"/>
    <w:rsid w:val="0009491A"/>
    <w:rsid w:val="00096AA7"/>
    <w:rsid w:val="000A3AED"/>
    <w:rsid w:val="000B3532"/>
    <w:rsid w:val="000B3A75"/>
    <w:rsid w:val="000C00C2"/>
    <w:rsid w:val="000C0377"/>
    <w:rsid w:val="000C24B0"/>
    <w:rsid w:val="000C66C5"/>
    <w:rsid w:val="000C690F"/>
    <w:rsid w:val="000C6FD7"/>
    <w:rsid w:val="000D1295"/>
    <w:rsid w:val="000D2A48"/>
    <w:rsid w:val="000D391B"/>
    <w:rsid w:val="000D3D6D"/>
    <w:rsid w:val="000D4FC7"/>
    <w:rsid w:val="000E157C"/>
    <w:rsid w:val="000E36DE"/>
    <w:rsid w:val="000E6196"/>
    <w:rsid w:val="000F1E62"/>
    <w:rsid w:val="000F4869"/>
    <w:rsid w:val="000F546D"/>
    <w:rsid w:val="000F5B42"/>
    <w:rsid w:val="000F6E6F"/>
    <w:rsid w:val="0010601F"/>
    <w:rsid w:val="0010788A"/>
    <w:rsid w:val="00107A31"/>
    <w:rsid w:val="00110EA5"/>
    <w:rsid w:val="00112F56"/>
    <w:rsid w:val="00124ACD"/>
    <w:rsid w:val="00125318"/>
    <w:rsid w:val="0012561C"/>
    <w:rsid w:val="001305A2"/>
    <w:rsid w:val="00133238"/>
    <w:rsid w:val="00133A1B"/>
    <w:rsid w:val="0013579C"/>
    <w:rsid w:val="0014197B"/>
    <w:rsid w:val="00143D9B"/>
    <w:rsid w:val="00143F88"/>
    <w:rsid w:val="001447CD"/>
    <w:rsid w:val="001516B1"/>
    <w:rsid w:val="00154EBB"/>
    <w:rsid w:val="00156316"/>
    <w:rsid w:val="001578C4"/>
    <w:rsid w:val="00161181"/>
    <w:rsid w:val="00162D14"/>
    <w:rsid w:val="00163780"/>
    <w:rsid w:val="00165389"/>
    <w:rsid w:val="0017693F"/>
    <w:rsid w:val="0018110E"/>
    <w:rsid w:val="00181684"/>
    <w:rsid w:val="001843C6"/>
    <w:rsid w:val="001850E0"/>
    <w:rsid w:val="00186FDD"/>
    <w:rsid w:val="00187308"/>
    <w:rsid w:val="001A1577"/>
    <w:rsid w:val="001A2158"/>
    <w:rsid w:val="001A525F"/>
    <w:rsid w:val="001B09F9"/>
    <w:rsid w:val="001B103A"/>
    <w:rsid w:val="001B3525"/>
    <w:rsid w:val="001B5C90"/>
    <w:rsid w:val="001B6448"/>
    <w:rsid w:val="001C0EBF"/>
    <w:rsid w:val="001C32CD"/>
    <w:rsid w:val="001D2984"/>
    <w:rsid w:val="001D5C78"/>
    <w:rsid w:val="001E07CF"/>
    <w:rsid w:val="001E59F1"/>
    <w:rsid w:val="001F2CEE"/>
    <w:rsid w:val="001F49EB"/>
    <w:rsid w:val="001F6931"/>
    <w:rsid w:val="001F6CBA"/>
    <w:rsid w:val="00201D4E"/>
    <w:rsid w:val="0020528D"/>
    <w:rsid w:val="002076C9"/>
    <w:rsid w:val="00220B8A"/>
    <w:rsid w:val="0022128C"/>
    <w:rsid w:val="00222998"/>
    <w:rsid w:val="0022299A"/>
    <w:rsid w:val="002257F3"/>
    <w:rsid w:val="00233456"/>
    <w:rsid w:val="002339A5"/>
    <w:rsid w:val="002352EB"/>
    <w:rsid w:val="0023715D"/>
    <w:rsid w:val="00242787"/>
    <w:rsid w:val="0025068B"/>
    <w:rsid w:val="002522B4"/>
    <w:rsid w:val="00255E0D"/>
    <w:rsid w:val="00257848"/>
    <w:rsid w:val="0027084A"/>
    <w:rsid w:val="00283EC0"/>
    <w:rsid w:val="00286434"/>
    <w:rsid w:val="00286C59"/>
    <w:rsid w:val="0029173B"/>
    <w:rsid w:val="0029187B"/>
    <w:rsid w:val="00291957"/>
    <w:rsid w:val="002942D1"/>
    <w:rsid w:val="0029501A"/>
    <w:rsid w:val="002A04BA"/>
    <w:rsid w:val="002A1B27"/>
    <w:rsid w:val="002A3721"/>
    <w:rsid w:val="002B10E3"/>
    <w:rsid w:val="002B1638"/>
    <w:rsid w:val="002B3624"/>
    <w:rsid w:val="002B4B0B"/>
    <w:rsid w:val="002D0952"/>
    <w:rsid w:val="002D7830"/>
    <w:rsid w:val="002E3DAA"/>
    <w:rsid w:val="002E40B3"/>
    <w:rsid w:val="002E4C9A"/>
    <w:rsid w:val="002F11F8"/>
    <w:rsid w:val="002F30A6"/>
    <w:rsid w:val="002F3F56"/>
    <w:rsid w:val="002F44B5"/>
    <w:rsid w:val="002F6229"/>
    <w:rsid w:val="0031042F"/>
    <w:rsid w:val="00311AC0"/>
    <w:rsid w:val="00314050"/>
    <w:rsid w:val="00316B46"/>
    <w:rsid w:val="003176FC"/>
    <w:rsid w:val="0032583B"/>
    <w:rsid w:val="00327883"/>
    <w:rsid w:val="00335504"/>
    <w:rsid w:val="00340C18"/>
    <w:rsid w:val="003442FD"/>
    <w:rsid w:val="00347824"/>
    <w:rsid w:val="00350567"/>
    <w:rsid w:val="003505C6"/>
    <w:rsid w:val="003521E8"/>
    <w:rsid w:val="00354E3D"/>
    <w:rsid w:val="00360C04"/>
    <w:rsid w:val="00367463"/>
    <w:rsid w:val="00370CE3"/>
    <w:rsid w:val="003728F3"/>
    <w:rsid w:val="0037496E"/>
    <w:rsid w:val="00380988"/>
    <w:rsid w:val="00381DD3"/>
    <w:rsid w:val="00383221"/>
    <w:rsid w:val="00386150"/>
    <w:rsid w:val="003874CE"/>
    <w:rsid w:val="00390900"/>
    <w:rsid w:val="003915F7"/>
    <w:rsid w:val="00393AE4"/>
    <w:rsid w:val="00397241"/>
    <w:rsid w:val="0039759D"/>
    <w:rsid w:val="003A2C7B"/>
    <w:rsid w:val="003A4421"/>
    <w:rsid w:val="003A7F1B"/>
    <w:rsid w:val="003A7F6C"/>
    <w:rsid w:val="003B4D60"/>
    <w:rsid w:val="003B7E39"/>
    <w:rsid w:val="003C1292"/>
    <w:rsid w:val="003C58DC"/>
    <w:rsid w:val="003D1E62"/>
    <w:rsid w:val="003D2B33"/>
    <w:rsid w:val="003D364B"/>
    <w:rsid w:val="003D4617"/>
    <w:rsid w:val="003E0B99"/>
    <w:rsid w:val="003E2486"/>
    <w:rsid w:val="003E3208"/>
    <w:rsid w:val="003F0816"/>
    <w:rsid w:val="003F0B04"/>
    <w:rsid w:val="003F5B97"/>
    <w:rsid w:val="0040134E"/>
    <w:rsid w:val="004260AC"/>
    <w:rsid w:val="004334C7"/>
    <w:rsid w:val="00440A2D"/>
    <w:rsid w:val="004415DE"/>
    <w:rsid w:val="00441C3F"/>
    <w:rsid w:val="00455D15"/>
    <w:rsid w:val="004564A7"/>
    <w:rsid w:val="00456765"/>
    <w:rsid w:val="004617BF"/>
    <w:rsid w:val="00463658"/>
    <w:rsid w:val="004637A0"/>
    <w:rsid w:val="004722CC"/>
    <w:rsid w:val="00490410"/>
    <w:rsid w:val="004936E4"/>
    <w:rsid w:val="00494E60"/>
    <w:rsid w:val="00497487"/>
    <w:rsid w:val="004A6189"/>
    <w:rsid w:val="004A62EC"/>
    <w:rsid w:val="004A7390"/>
    <w:rsid w:val="004B24CD"/>
    <w:rsid w:val="004B7B76"/>
    <w:rsid w:val="004C098C"/>
    <w:rsid w:val="004C239D"/>
    <w:rsid w:val="004C2DCA"/>
    <w:rsid w:val="004C61D2"/>
    <w:rsid w:val="004C7147"/>
    <w:rsid w:val="004C745A"/>
    <w:rsid w:val="004D59DA"/>
    <w:rsid w:val="004E4DA2"/>
    <w:rsid w:val="004F0C4A"/>
    <w:rsid w:val="004F0F38"/>
    <w:rsid w:val="004F47D6"/>
    <w:rsid w:val="00500337"/>
    <w:rsid w:val="00501921"/>
    <w:rsid w:val="00522E90"/>
    <w:rsid w:val="00530354"/>
    <w:rsid w:val="0053625B"/>
    <w:rsid w:val="0053760E"/>
    <w:rsid w:val="005434C6"/>
    <w:rsid w:val="00543B39"/>
    <w:rsid w:val="005443EA"/>
    <w:rsid w:val="00546154"/>
    <w:rsid w:val="00550096"/>
    <w:rsid w:val="0055454D"/>
    <w:rsid w:val="00555280"/>
    <w:rsid w:val="00557FF9"/>
    <w:rsid w:val="00562327"/>
    <w:rsid w:val="005711D5"/>
    <w:rsid w:val="00576378"/>
    <w:rsid w:val="00577130"/>
    <w:rsid w:val="0057744F"/>
    <w:rsid w:val="00577945"/>
    <w:rsid w:val="00577E38"/>
    <w:rsid w:val="00585322"/>
    <w:rsid w:val="005857C6"/>
    <w:rsid w:val="00585BEA"/>
    <w:rsid w:val="00592F6E"/>
    <w:rsid w:val="00593193"/>
    <w:rsid w:val="00593AD1"/>
    <w:rsid w:val="005A0188"/>
    <w:rsid w:val="005A22E3"/>
    <w:rsid w:val="005A5EEC"/>
    <w:rsid w:val="005A68B6"/>
    <w:rsid w:val="005A767E"/>
    <w:rsid w:val="005B7261"/>
    <w:rsid w:val="005B76EB"/>
    <w:rsid w:val="005C306E"/>
    <w:rsid w:val="005C4FFD"/>
    <w:rsid w:val="005C5570"/>
    <w:rsid w:val="005C79A4"/>
    <w:rsid w:val="005D5442"/>
    <w:rsid w:val="005F43CE"/>
    <w:rsid w:val="00603F32"/>
    <w:rsid w:val="00605AD4"/>
    <w:rsid w:val="006136D7"/>
    <w:rsid w:val="006203C1"/>
    <w:rsid w:val="00624941"/>
    <w:rsid w:val="00625A6E"/>
    <w:rsid w:val="00632398"/>
    <w:rsid w:val="00633943"/>
    <w:rsid w:val="00640FC3"/>
    <w:rsid w:val="00642020"/>
    <w:rsid w:val="00646BB4"/>
    <w:rsid w:val="0065337B"/>
    <w:rsid w:val="0065419D"/>
    <w:rsid w:val="0065611C"/>
    <w:rsid w:val="006604D8"/>
    <w:rsid w:val="00662C35"/>
    <w:rsid w:val="00664A5B"/>
    <w:rsid w:val="0066735C"/>
    <w:rsid w:val="006763D2"/>
    <w:rsid w:val="00680C08"/>
    <w:rsid w:val="006820A8"/>
    <w:rsid w:val="006916A0"/>
    <w:rsid w:val="006931B1"/>
    <w:rsid w:val="006A15C0"/>
    <w:rsid w:val="006C365A"/>
    <w:rsid w:val="006C3E2A"/>
    <w:rsid w:val="006C5CD7"/>
    <w:rsid w:val="006C642F"/>
    <w:rsid w:val="006D03E5"/>
    <w:rsid w:val="006D06EB"/>
    <w:rsid w:val="006D2C04"/>
    <w:rsid w:val="006D4F86"/>
    <w:rsid w:val="006D5D3E"/>
    <w:rsid w:val="006E08B3"/>
    <w:rsid w:val="006E1914"/>
    <w:rsid w:val="006E5C1B"/>
    <w:rsid w:val="006E66CB"/>
    <w:rsid w:val="006F17AC"/>
    <w:rsid w:val="006F25B8"/>
    <w:rsid w:val="006F2616"/>
    <w:rsid w:val="006F2C7A"/>
    <w:rsid w:val="006F572E"/>
    <w:rsid w:val="007046D6"/>
    <w:rsid w:val="00705DB0"/>
    <w:rsid w:val="00722B57"/>
    <w:rsid w:val="00725313"/>
    <w:rsid w:val="00730E34"/>
    <w:rsid w:val="00730F8A"/>
    <w:rsid w:val="00732880"/>
    <w:rsid w:val="007340ED"/>
    <w:rsid w:val="00735A8C"/>
    <w:rsid w:val="00735C4D"/>
    <w:rsid w:val="0074253D"/>
    <w:rsid w:val="00743697"/>
    <w:rsid w:val="00743CB3"/>
    <w:rsid w:val="0074429B"/>
    <w:rsid w:val="00753F23"/>
    <w:rsid w:val="007615BC"/>
    <w:rsid w:val="00762F05"/>
    <w:rsid w:val="007652FF"/>
    <w:rsid w:val="00770CAC"/>
    <w:rsid w:val="00770EF1"/>
    <w:rsid w:val="007711EC"/>
    <w:rsid w:val="00772715"/>
    <w:rsid w:val="00773EF7"/>
    <w:rsid w:val="00773FF2"/>
    <w:rsid w:val="00774E1D"/>
    <w:rsid w:val="007765D8"/>
    <w:rsid w:val="0077675A"/>
    <w:rsid w:val="00780355"/>
    <w:rsid w:val="007819FD"/>
    <w:rsid w:val="00785717"/>
    <w:rsid w:val="00785721"/>
    <w:rsid w:val="00793A59"/>
    <w:rsid w:val="007A1903"/>
    <w:rsid w:val="007A46F5"/>
    <w:rsid w:val="007B5D48"/>
    <w:rsid w:val="007B6132"/>
    <w:rsid w:val="007B6E9F"/>
    <w:rsid w:val="007C1216"/>
    <w:rsid w:val="007C1AF7"/>
    <w:rsid w:val="007C6B9B"/>
    <w:rsid w:val="007D3257"/>
    <w:rsid w:val="007E4973"/>
    <w:rsid w:val="008023D2"/>
    <w:rsid w:val="00805D27"/>
    <w:rsid w:val="00806DCB"/>
    <w:rsid w:val="0081101C"/>
    <w:rsid w:val="0082067D"/>
    <w:rsid w:val="00820B30"/>
    <w:rsid w:val="00821776"/>
    <w:rsid w:val="008269BD"/>
    <w:rsid w:val="008321F5"/>
    <w:rsid w:val="00832369"/>
    <w:rsid w:val="00834660"/>
    <w:rsid w:val="00836864"/>
    <w:rsid w:val="00836BC2"/>
    <w:rsid w:val="00842EE0"/>
    <w:rsid w:val="0084395F"/>
    <w:rsid w:val="0085156D"/>
    <w:rsid w:val="0085339E"/>
    <w:rsid w:val="0085641B"/>
    <w:rsid w:val="00857136"/>
    <w:rsid w:val="0087154A"/>
    <w:rsid w:val="00875A6B"/>
    <w:rsid w:val="008826BE"/>
    <w:rsid w:val="00883923"/>
    <w:rsid w:val="00885682"/>
    <w:rsid w:val="00885B11"/>
    <w:rsid w:val="00886D15"/>
    <w:rsid w:val="00887DD8"/>
    <w:rsid w:val="00891BA9"/>
    <w:rsid w:val="00894FE9"/>
    <w:rsid w:val="00896018"/>
    <w:rsid w:val="008960DD"/>
    <w:rsid w:val="0089635C"/>
    <w:rsid w:val="008A2B9D"/>
    <w:rsid w:val="008A3D9F"/>
    <w:rsid w:val="008A5E0B"/>
    <w:rsid w:val="008A6D59"/>
    <w:rsid w:val="008A79A4"/>
    <w:rsid w:val="008B1E15"/>
    <w:rsid w:val="008B4B03"/>
    <w:rsid w:val="008B596F"/>
    <w:rsid w:val="008C159F"/>
    <w:rsid w:val="008C1623"/>
    <w:rsid w:val="008C1850"/>
    <w:rsid w:val="008C4598"/>
    <w:rsid w:val="008C51A9"/>
    <w:rsid w:val="008C6323"/>
    <w:rsid w:val="008D44CF"/>
    <w:rsid w:val="008E0D26"/>
    <w:rsid w:val="008E2D9E"/>
    <w:rsid w:val="008E4560"/>
    <w:rsid w:val="008E5361"/>
    <w:rsid w:val="008E7846"/>
    <w:rsid w:val="008F02E5"/>
    <w:rsid w:val="008F1CCC"/>
    <w:rsid w:val="008F2967"/>
    <w:rsid w:val="008F6943"/>
    <w:rsid w:val="009016FB"/>
    <w:rsid w:val="00902A21"/>
    <w:rsid w:val="009114B5"/>
    <w:rsid w:val="00913D92"/>
    <w:rsid w:val="00915F12"/>
    <w:rsid w:val="00920330"/>
    <w:rsid w:val="009218B2"/>
    <w:rsid w:val="009219D7"/>
    <w:rsid w:val="00922D53"/>
    <w:rsid w:val="00923B70"/>
    <w:rsid w:val="00924482"/>
    <w:rsid w:val="00930237"/>
    <w:rsid w:val="00932544"/>
    <w:rsid w:val="009349D2"/>
    <w:rsid w:val="00936586"/>
    <w:rsid w:val="00937C17"/>
    <w:rsid w:val="00940A89"/>
    <w:rsid w:val="00946EA5"/>
    <w:rsid w:val="0094784D"/>
    <w:rsid w:val="00963C08"/>
    <w:rsid w:val="009752A5"/>
    <w:rsid w:val="00977CA4"/>
    <w:rsid w:val="00980FDF"/>
    <w:rsid w:val="0098580E"/>
    <w:rsid w:val="0098585A"/>
    <w:rsid w:val="00994454"/>
    <w:rsid w:val="00994561"/>
    <w:rsid w:val="009A054C"/>
    <w:rsid w:val="009A4CED"/>
    <w:rsid w:val="009A690D"/>
    <w:rsid w:val="009B1D12"/>
    <w:rsid w:val="009B416B"/>
    <w:rsid w:val="009C4BD5"/>
    <w:rsid w:val="009C7682"/>
    <w:rsid w:val="009D7B77"/>
    <w:rsid w:val="009E0BB0"/>
    <w:rsid w:val="009E28FB"/>
    <w:rsid w:val="009E3164"/>
    <w:rsid w:val="009E3FBB"/>
    <w:rsid w:val="009F66E1"/>
    <w:rsid w:val="009F7353"/>
    <w:rsid w:val="00A04F85"/>
    <w:rsid w:val="00A05FA4"/>
    <w:rsid w:val="00A102E4"/>
    <w:rsid w:val="00A12C42"/>
    <w:rsid w:val="00A14DF7"/>
    <w:rsid w:val="00A3246D"/>
    <w:rsid w:val="00A36FA7"/>
    <w:rsid w:val="00A3743C"/>
    <w:rsid w:val="00A40626"/>
    <w:rsid w:val="00A44DDB"/>
    <w:rsid w:val="00A475B7"/>
    <w:rsid w:val="00A47AF7"/>
    <w:rsid w:val="00A47C3E"/>
    <w:rsid w:val="00A50226"/>
    <w:rsid w:val="00A52F63"/>
    <w:rsid w:val="00A53E84"/>
    <w:rsid w:val="00A60BAD"/>
    <w:rsid w:val="00A70B60"/>
    <w:rsid w:val="00A76D3B"/>
    <w:rsid w:val="00A80B5B"/>
    <w:rsid w:val="00A8109F"/>
    <w:rsid w:val="00A84DBA"/>
    <w:rsid w:val="00A84E36"/>
    <w:rsid w:val="00A964D1"/>
    <w:rsid w:val="00AA0ED0"/>
    <w:rsid w:val="00AA2A8D"/>
    <w:rsid w:val="00AB2CC3"/>
    <w:rsid w:val="00AC2B40"/>
    <w:rsid w:val="00AC2BB2"/>
    <w:rsid w:val="00AC2C3C"/>
    <w:rsid w:val="00AC37B2"/>
    <w:rsid w:val="00AC3CDF"/>
    <w:rsid w:val="00AC512D"/>
    <w:rsid w:val="00AD0083"/>
    <w:rsid w:val="00AD1030"/>
    <w:rsid w:val="00AD3935"/>
    <w:rsid w:val="00AE49D0"/>
    <w:rsid w:val="00AE5CB9"/>
    <w:rsid w:val="00AE6543"/>
    <w:rsid w:val="00AE65EB"/>
    <w:rsid w:val="00AE67A7"/>
    <w:rsid w:val="00AF1D94"/>
    <w:rsid w:val="00AF29EC"/>
    <w:rsid w:val="00AF60C5"/>
    <w:rsid w:val="00B009C6"/>
    <w:rsid w:val="00B01548"/>
    <w:rsid w:val="00B13EBD"/>
    <w:rsid w:val="00B21D29"/>
    <w:rsid w:val="00B227B3"/>
    <w:rsid w:val="00B25034"/>
    <w:rsid w:val="00B31BC7"/>
    <w:rsid w:val="00B33588"/>
    <w:rsid w:val="00B33863"/>
    <w:rsid w:val="00B37D17"/>
    <w:rsid w:val="00B4175E"/>
    <w:rsid w:val="00B41C85"/>
    <w:rsid w:val="00B452CE"/>
    <w:rsid w:val="00B50630"/>
    <w:rsid w:val="00B52F8D"/>
    <w:rsid w:val="00B54C25"/>
    <w:rsid w:val="00B76B91"/>
    <w:rsid w:val="00B77EB1"/>
    <w:rsid w:val="00B811C6"/>
    <w:rsid w:val="00B83C22"/>
    <w:rsid w:val="00B84B23"/>
    <w:rsid w:val="00B855B0"/>
    <w:rsid w:val="00B92E08"/>
    <w:rsid w:val="00BC622A"/>
    <w:rsid w:val="00BE0A78"/>
    <w:rsid w:val="00BE6286"/>
    <w:rsid w:val="00BE79F0"/>
    <w:rsid w:val="00BF046D"/>
    <w:rsid w:val="00BF1190"/>
    <w:rsid w:val="00BF5D04"/>
    <w:rsid w:val="00C009AA"/>
    <w:rsid w:val="00C05C36"/>
    <w:rsid w:val="00C1164D"/>
    <w:rsid w:val="00C16861"/>
    <w:rsid w:val="00C312D1"/>
    <w:rsid w:val="00C346AB"/>
    <w:rsid w:val="00C404A6"/>
    <w:rsid w:val="00C40A36"/>
    <w:rsid w:val="00C44419"/>
    <w:rsid w:val="00C45E7B"/>
    <w:rsid w:val="00C471B1"/>
    <w:rsid w:val="00C60459"/>
    <w:rsid w:val="00C6196D"/>
    <w:rsid w:val="00C62FFC"/>
    <w:rsid w:val="00C6316B"/>
    <w:rsid w:val="00C634A9"/>
    <w:rsid w:val="00C64586"/>
    <w:rsid w:val="00C70D53"/>
    <w:rsid w:val="00C73BF4"/>
    <w:rsid w:val="00C73D0B"/>
    <w:rsid w:val="00C73D8C"/>
    <w:rsid w:val="00C7507A"/>
    <w:rsid w:val="00C772FF"/>
    <w:rsid w:val="00C80137"/>
    <w:rsid w:val="00C801AF"/>
    <w:rsid w:val="00C80256"/>
    <w:rsid w:val="00C905AA"/>
    <w:rsid w:val="00C94CD4"/>
    <w:rsid w:val="00C962C5"/>
    <w:rsid w:val="00C9747E"/>
    <w:rsid w:val="00C97D55"/>
    <w:rsid w:val="00CB6BC0"/>
    <w:rsid w:val="00CC1B7C"/>
    <w:rsid w:val="00CC727F"/>
    <w:rsid w:val="00CD0452"/>
    <w:rsid w:val="00CE218E"/>
    <w:rsid w:val="00CF15C3"/>
    <w:rsid w:val="00CF2B6F"/>
    <w:rsid w:val="00CF2F3E"/>
    <w:rsid w:val="00CF58B6"/>
    <w:rsid w:val="00D0062D"/>
    <w:rsid w:val="00D00BCB"/>
    <w:rsid w:val="00D00D21"/>
    <w:rsid w:val="00D017ED"/>
    <w:rsid w:val="00D03159"/>
    <w:rsid w:val="00D040D3"/>
    <w:rsid w:val="00D04C65"/>
    <w:rsid w:val="00D139EF"/>
    <w:rsid w:val="00D13E73"/>
    <w:rsid w:val="00D14AAF"/>
    <w:rsid w:val="00D201D2"/>
    <w:rsid w:val="00D224FE"/>
    <w:rsid w:val="00D23139"/>
    <w:rsid w:val="00D33C60"/>
    <w:rsid w:val="00D40A3E"/>
    <w:rsid w:val="00D425BB"/>
    <w:rsid w:val="00D45722"/>
    <w:rsid w:val="00D51CC2"/>
    <w:rsid w:val="00D6493E"/>
    <w:rsid w:val="00D64CAD"/>
    <w:rsid w:val="00D7195D"/>
    <w:rsid w:val="00D7301E"/>
    <w:rsid w:val="00D83AE1"/>
    <w:rsid w:val="00D84F4E"/>
    <w:rsid w:val="00D855D4"/>
    <w:rsid w:val="00D869ED"/>
    <w:rsid w:val="00D902C9"/>
    <w:rsid w:val="00D93466"/>
    <w:rsid w:val="00DA1124"/>
    <w:rsid w:val="00DA67CA"/>
    <w:rsid w:val="00DB15EE"/>
    <w:rsid w:val="00DB6124"/>
    <w:rsid w:val="00DB750B"/>
    <w:rsid w:val="00DB75B7"/>
    <w:rsid w:val="00DC1E5F"/>
    <w:rsid w:val="00DC6C86"/>
    <w:rsid w:val="00DC6E02"/>
    <w:rsid w:val="00DD28CD"/>
    <w:rsid w:val="00DD7C87"/>
    <w:rsid w:val="00DE02AE"/>
    <w:rsid w:val="00DE181D"/>
    <w:rsid w:val="00DF1D7F"/>
    <w:rsid w:val="00DF4BE4"/>
    <w:rsid w:val="00E02FB4"/>
    <w:rsid w:val="00E04F94"/>
    <w:rsid w:val="00E0665B"/>
    <w:rsid w:val="00E130CD"/>
    <w:rsid w:val="00E13FC7"/>
    <w:rsid w:val="00E1623F"/>
    <w:rsid w:val="00E20571"/>
    <w:rsid w:val="00E22980"/>
    <w:rsid w:val="00E235F7"/>
    <w:rsid w:val="00E23659"/>
    <w:rsid w:val="00E239D4"/>
    <w:rsid w:val="00E26130"/>
    <w:rsid w:val="00E37602"/>
    <w:rsid w:val="00E37C05"/>
    <w:rsid w:val="00E40186"/>
    <w:rsid w:val="00E40B22"/>
    <w:rsid w:val="00E44ED1"/>
    <w:rsid w:val="00E45619"/>
    <w:rsid w:val="00E4588F"/>
    <w:rsid w:val="00E46DA3"/>
    <w:rsid w:val="00E51BB1"/>
    <w:rsid w:val="00E53C30"/>
    <w:rsid w:val="00E602A7"/>
    <w:rsid w:val="00E624A5"/>
    <w:rsid w:val="00E64BA4"/>
    <w:rsid w:val="00E66DE0"/>
    <w:rsid w:val="00E71EF1"/>
    <w:rsid w:val="00E72C81"/>
    <w:rsid w:val="00E7344E"/>
    <w:rsid w:val="00E82665"/>
    <w:rsid w:val="00E8666D"/>
    <w:rsid w:val="00E936DB"/>
    <w:rsid w:val="00EA4615"/>
    <w:rsid w:val="00EA7557"/>
    <w:rsid w:val="00EB0798"/>
    <w:rsid w:val="00EB40AD"/>
    <w:rsid w:val="00EB586E"/>
    <w:rsid w:val="00EB5FC8"/>
    <w:rsid w:val="00EC463D"/>
    <w:rsid w:val="00EC7A85"/>
    <w:rsid w:val="00ED2922"/>
    <w:rsid w:val="00ED3CAD"/>
    <w:rsid w:val="00ED4109"/>
    <w:rsid w:val="00ED5A41"/>
    <w:rsid w:val="00EE1DE8"/>
    <w:rsid w:val="00EE27C2"/>
    <w:rsid w:val="00EE4754"/>
    <w:rsid w:val="00EF4BAD"/>
    <w:rsid w:val="00EF59DC"/>
    <w:rsid w:val="00F033EC"/>
    <w:rsid w:val="00F04F68"/>
    <w:rsid w:val="00F11159"/>
    <w:rsid w:val="00F12670"/>
    <w:rsid w:val="00F14B27"/>
    <w:rsid w:val="00F3148D"/>
    <w:rsid w:val="00F325C5"/>
    <w:rsid w:val="00F32DAA"/>
    <w:rsid w:val="00F32FE0"/>
    <w:rsid w:val="00F35298"/>
    <w:rsid w:val="00F4558A"/>
    <w:rsid w:val="00F47333"/>
    <w:rsid w:val="00F47E37"/>
    <w:rsid w:val="00F530F5"/>
    <w:rsid w:val="00F53C07"/>
    <w:rsid w:val="00F54B65"/>
    <w:rsid w:val="00F640B6"/>
    <w:rsid w:val="00F66DF2"/>
    <w:rsid w:val="00F7542B"/>
    <w:rsid w:val="00F809B0"/>
    <w:rsid w:val="00F80E40"/>
    <w:rsid w:val="00F848D9"/>
    <w:rsid w:val="00F900F9"/>
    <w:rsid w:val="00FA5692"/>
    <w:rsid w:val="00FA5B82"/>
    <w:rsid w:val="00FA639E"/>
    <w:rsid w:val="00FB518A"/>
    <w:rsid w:val="00FB59B4"/>
    <w:rsid w:val="00FB6F44"/>
    <w:rsid w:val="00FC1FCA"/>
    <w:rsid w:val="00FC25E4"/>
    <w:rsid w:val="00FC4EF7"/>
    <w:rsid w:val="00FD029D"/>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0E00F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00BC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aliases w:val="Caption for figure"/>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3C1292"/>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2067D"/>
    <w:pPr>
      <w:adjustRightInd w:val="0"/>
      <w:snapToGrid w:val="0"/>
      <w:spacing w:before="180" w:after="180"/>
      <w:ind w:left="720"/>
      <w:contextualSpacing/>
    </w:pPr>
    <w:rPr>
      <w:rFonts w:eastAsia="MS Mincho"/>
      <w:szCs w:val="20"/>
      <w:lang w:eastAsia="ja-JP"/>
    </w:rPr>
  </w:style>
  <w:style w:type="paragraph" w:customStyle="1" w:styleId="C-BodyText">
    <w:name w:val="C-Body Text"/>
    <w:link w:val="C-BodyTextChar"/>
    <w:rsid w:val="0082067D"/>
    <w:pPr>
      <w:spacing w:before="120" w:after="120" w:line="280" w:lineRule="atLeast"/>
    </w:pPr>
    <w:rPr>
      <w:rFonts w:ascii="Times New Roman" w:eastAsia="Times New Roman" w:hAnsi="Times New Roman" w:cs="Times New Roman"/>
      <w:lang w:val="en-GB" w:eastAsia="en-GB"/>
    </w:rPr>
  </w:style>
  <w:style w:type="character" w:customStyle="1" w:styleId="C-BodyTextChar">
    <w:name w:val="C-Body Text Char"/>
    <w:link w:val="C-BodyText"/>
    <w:locked/>
    <w:rsid w:val="0082067D"/>
    <w:rPr>
      <w:rFonts w:ascii="Times New Roman" w:eastAsia="Times New Roman" w:hAnsi="Times New Roman" w:cs="Times New Roman"/>
      <w:lang w:val="en-GB" w:eastAsia="en-GB"/>
    </w:rPr>
  </w:style>
  <w:style w:type="paragraph" w:styleId="NormalWeb">
    <w:name w:val="Normal (Web)"/>
    <w:basedOn w:val="Normal"/>
    <w:uiPriority w:val="99"/>
    <w:rsid w:val="0082067D"/>
    <w:pPr>
      <w:spacing w:before="0" w:after="0" w:line="240" w:lineRule="auto"/>
    </w:pPr>
    <w:rPr>
      <w:rFonts w:ascii="Times New Roman" w:eastAsia="Times New Roman" w:hAnsi="Times New Roman"/>
      <w:sz w:val="24"/>
      <w:szCs w:val="24"/>
      <w:lang w:val="en-US"/>
    </w:rPr>
  </w:style>
  <w:style w:type="paragraph" w:styleId="BodyText">
    <w:name w:val="Body Text"/>
    <w:basedOn w:val="Normal"/>
    <w:link w:val="BodyTextChar"/>
    <w:uiPriority w:val="1"/>
    <w:qFormat/>
    <w:rsid w:val="00367463"/>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367463"/>
    <w:rPr>
      <w:rFonts w:ascii="Cambria" w:eastAsia="Cambria" w:hAnsi="Cambria" w:cs="Cambria"/>
      <w:lang w:eastAsia="en-AU" w:bidi="en-AU"/>
    </w:rPr>
  </w:style>
  <w:style w:type="paragraph" w:customStyle="1" w:styleId="Standard">
    <w:name w:val="Standard"/>
    <w:basedOn w:val="Normal"/>
    <w:link w:val="StandardChar"/>
    <w:qFormat/>
    <w:rsid w:val="001B103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B103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1B103A"/>
    <w:pPr>
      <w:numPr>
        <w:numId w:val="35"/>
      </w:numPr>
      <w:spacing w:after="180"/>
      <w:ind w:left="426" w:hanging="284"/>
    </w:pPr>
    <w:rPr>
      <w:kern w:val="2"/>
    </w:rPr>
  </w:style>
  <w:style w:type="character" w:customStyle="1" w:styleId="TabletextChar">
    <w:name w:val="Table text Char"/>
    <w:basedOn w:val="StandardChar"/>
    <w:link w:val="Tabletext"/>
    <w:rsid w:val="001B103A"/>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1B103A"/>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1B103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B103A"/>
    <w:rPr>
      <w:rFonts w:ascii="Cambria" w:eastAsia="Times New Roman" w:hAnsi="Cambria" w:cs="Times New Roman"/>
      <w:b/>
      <w:snapToGrid w:val="0"/>
      <w:kern w:val="16"/>
      <w:sz w:val="20"/>
      <w:szCs w:val="24"/>
    </w:rPr>
  </w:style>
  <w:style w:type="paragraph" w:styleId="NoSpacing">
    <w:name w:val="No Spacing"/>
    <w:uiPriority w:val="1"/>
    <w:qFormat/>
    <w:rsid w:val="006C365A"/>
    <w:pPr>
      <w:spacing w:after="0" w:line="240" w:lineRule="auto"/>
    </w:pPr>
    <w:rPr>
      <w:rFonts w:ascii="Times New Roman" w:eastAsia="Times New Roman" w:hAnsi="Times New Roman" w:cs="Times New Roman"/>
      <w:sz w:val="24"/>
      <w:szCs w:val="20"/>
    </w:rPr>
  </w:style>
  <w:style w:type="paragraph" w:customStyle="1" w:styleId="SectionHeading">
    <w:name w:val="Section Heading"/>
    <w:basedOn w:val="Standard"/>
    <w:next w:val="Standard"/>
    <w:link w:val="SectionHeadingCharChar"/>
    <w:rsid w:val="006C365A"/>
    <w:pPr>
      <w:keepNext/>
      <w:outlineLvl w:val="0"/>
    </w:pPr>
    <w:rPr>
      <w:b/>
      <w:caps/>
      <w:sz w:val="24"/>
    </w:rPr>
  </w:style>
  <w:style w:type="paragraph" w:customStyle="1" w:styleId="WhiteSpace">
    <w:name w:val="White Space"/>
    <w:basedOn w:val="Standard"/>
    <w:next w:val="Standard"/>
    <w:link w:val="WhiteSpaceChar"/>
    <w:rsid w:val="006C365A"/>
    <w:pPr>
      <w:spacing w:after="0"/>
    </w:pPr>
    <w:rPr>
      <w:sz w:val="16"/>
      <w:szCs w:val="16"/>
    </w:rPr>
  </w:style>
  <w:style w:type="paragraph" w:customStyle="1" w:styleId="AssessmentSubsection">
    <w:name w:val="Assessment Subsection"/>
    <w:basedOn w:val="Standard"/>
    <w:next w:val="Standard"/>
    <w:rsid w:val="006C365A"/>
    <w:pPr>
      <w:keepNext/>
      <w:spacing w:after="110"/>
      <w:outlineLvl w:val="2"/>
    </w:pPr>
    <w:rPr>
      <w:b/>
      <w:i/>
      <w:sz w:val="22"/>
    </w:rPr>
  </w:style>
  <w:style w:type="character" w:customStyle="1" w:styleId="SectionHeadingCharChar">
    <w:name w:val="Section Heading Char Char"/>
    <w:basedOn w:val="DefaultParagraphFont"/>
    <w:link w:val="SectionHeading"/>
    <w:rsid w:val="006C365A"/>
    <w:rPr>
      <w:rFonts w:ascii="Cambria" w:eastAsia="Times New Roman" w:hAnsi="Cambria" w:cs="Times New Roman"/>
      <w:b/>
      <w:caps/>
      <w:snapToGrid w:val="0"/>
      <w:kern w:val="16"/>
      <w:sz w:val="24"/>
      <w:szCs w:val="24"/>
    </w:rPr>
  </w:style>
  <w:style w:type="character" w:customStyle="1" w:styleId="WhiteSpaceChar">
    <w:name w:val="White Space Char"/>
    <w:basedOn w:val="DefaultParagraphFont"/>
    <w:link w:val="WhiteSpace"/>
    <w:rsid w:val="006C365A"/>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6C365A"/>
    <w:pPr>
      <w:outlineLvl w:val="1"/>
    </w:pPr>
    <w:rPr>
      <w:i w:val="0"/>
    </w:rPr>
  </w:style>
  <w:style w:type="paragraph" w:customStyle="1" w:styleId="AssessmentSubsection2">
    <w:name w:val="Assessment Subsection 2"/>
    <w:basedOn w:val="AssessmentSubsection"/>
    <w:next w:val="Standard"/>
    <w:rsid w:val="006C365A"/>
    <w:pPr>
      <w:outlineLvl w:val="3"/>
    </w:pPr>
    <w:rPr>
      <w:b w:val="0"/>
    </w:rPr>
  </w:style>
  <w:style w:type="character" w:customStyle="1" w:styleId="TableTitleChar">
    <w:name w:val="Table Title Char"/>
    <w:basedOn w:val="DefaultParagraphFont"/>
    <w:link w:val="TableTitle"/>
    <w:rsid w:val="006C365A"/>
    <w:rPr>
      <w:rFonts w:ascii="Cambria" w:eastAsia="Cambria" w:hAnsi="Cambria" w:cs="Times New Roman"/>
      <w:b/>
    </w:rPr>
  </w:style>
  <w:style w:type="paragraph" w:customStyle="1" w:styleId="TableHeader">
    <w:name w:val="Table Header"/>
    <w:basedOn w:val="Normal"/>
    <w:rsid w:val="006C365A"/>
    <w:pPr>
      <w:keepNext/>
      <w:keepLines/>
      <w:widowControl w:val="0"/>
      <w:spacing w:before="60" w:after="60" w:line="200" w:lineRule="exact"/>
      <w:jc w:val="center"/>
    </w:pPr>
    <w:rPr>
      <w:rFonts w:eastAsia="MS Mincho" w:cstheme="minorBidi"/>
      <w:b/>
      <w:kern w:val="2"/>
      <w:sz w:val="19"/>
      <w:szCs w:val="19"/>
    </w:rPr>
  </w:style>
  <w:style w:type="paragraph" w:customStyle="1" w:styleId="TableBullet">
    <w:name w:val="Table Bullet"/>
    <w:basedOn w:val="Normal"/>
    <w:rsid w:val="00023DE8"/>
    <w:pPr>
      <w:numPr>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
    <w:name w:val="st"/>
    <w:basedOn w:val="DefaultParagraphFont"/>
    <w:rsid w:val="005C4FFD"/>
  </w:style>
  <w:style w:type="character" w:styleId="Emphasis">
    <w:name w:val="Emphasis"/>
    <w:basedOn w:val="DefaultParagraphFont"/>
    <w:uiPriority w:val="20"/>
    <w:qFormat/>
    <w:rsid w:val="005C4FFD"/>
    <w:rPr>
      <w:i/>
      <w:iCs/>
    </w:rPr>
  </w:style>
  <w:style w:type="table" w:customStyle="1" w:styleId="TableGrid1">
    <w:name w:val="Table Grid1"/>
    <w:basedOn w:val="TableNormal"/>
    <w:next w:val="TableGrid"/>
    <w:uiPriority w:val="59"/>
    <w:rsid w:val="005A0188"/>
    <w:pPr>
      <w:spacing w:before="120"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00BC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aliases w:val="Caption for figure"/>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3C1292"/>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2067D"/>
    <w:pPr>
      <w:adjustRightInd w:val="0"/>
      <w:snapToGrid w:val="0"/>
      <w:spacing w:before="180" w:after="180"/>
      <w:ind w:left="720"/>
      <w:contextualSpacing/>
    </w:pPr>
    <w:rPr>
      <w:rFonts w:eastAsia="MS Mincho"/>
      <w:szCs w:val="20"/>
      <w:lang w:eastAsia="ja-JP"/>
    </w:rPr>
  </w:style>
  <w:style w:type="paragraph" w:customStyle="1" w:styleId="C-BodyText">
    <w:name w:val="C-Body Text"/>
    <w:link w:val="C-BodyTextChar"/>
    <w:rsid w:val="0082067D"/>
    <w:pPr>
      <w:spacing w:before="120" w:after="120" w:line="280" w:lineRule="atLeast"/>
    </w:pPr>
    <w:rPr>
      <w:rFonts w:ascii="Times New Roman" w:eastAsia="Times New Roman" w:hAnsi="Times New Roman" w:cs="Times New Roman"/>
      <w:lang w:val="en-GB" w:eastAsia="en-GB"/>
    </w:rPr>
  </w:style>
  <w:style w:type="character" w:customStyle="1" w:styleId="C-BodyTextChar">
    <w:name w:val="C-Body Text Char"/>
    <w:link w:val="C-BodyText"/>
    <w:locked/>
    <w:rsid w:val="0082067D"/>
    <w:rPr>
      <w:rFonts w:ascii="Times New Roman" w:eastAsia="Times New Roman" w:hAnsi="Times New Roman" w:cs="Times New Roman"/>
      <w:lang w:val="en-GB" w:eastAsia="en-GB"/>
    </w:rPr>
  </w:style>
  <w:style w:type="paragraph" w:styleId="NormalWeb">
    <w:name w:val="Normal (Web)"/>
    <w:basedOn w:val="Normal"/>
    <w:uiPriority w:val="99"/>
    <w:rsid w:val="0082067D"/>
    <w:pPr>
      <w:spacing w:before="0" w:after="0" w:line="240" w:lineRule="auto"/>
    </w:pPr>
    <w:rPr>
      <w:rFonts w:ascii="Times New Roman" w:eastAsia="Times New Roman" w:hAnsi="Times New Roman"/>
      <w:sz w:val="24"/>
      <w:szCs w:val="24"/>
      <w:lang w:val="en-US"/>
    </w:rPr>
  </w:style>
  <w:style w:type="paragraph" w:styleId="BodyText">
    <w:name w:val="Body Text"/>
    <w:basedOn w:val="Normal"/>
    <w:link w:val="BodyTextChar"/>
    <w:uiPriority w:val="1"/>
    <w:qFormat/>
    <w:rsid w:val="00367463"/>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367463"/>
    <w:rPr>
      <w:rFonts w:ascii="Cambria" w:eastAsia="Cambria" w:hAnsi="Cambria" w:cs="Cambria"/>
      <w:lang w:eastAsia="en-AU" w:bidi="en-AU"/>
    </w:rPr>
  </w:style>
  <w:style w:type="paragraph" w:customStyle="1" w:styleId="Standard">
    <w:name w:val="Standard"/>
    <w:basedOn w:val="Normal"/>
    <w:link w:val="StandardChar"/>
    <w:qFormat/>
    <w:rsid w:val="001B103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B103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1B103A"/>
    <w:pPr>
      <w:numPr>
        <w:numId w:val="35"/>
      </w:numPr>
      <w:spacing w:after="180"/>
      <w:ind w:left="426" w:hanging="284"/>
    </w:pPr>
    <w:rPr>
      <w:kern w:val="2"/>
    </w:rPr>
  </w:style>
  <w:style w:type="character" w:customStyle="1" w:styleId="TabletextChar">
    <w:name w:val="Table text Char"/>
    <w:basedOn w:val="StandardChar"/>
    <w:link w:val="Tabletext"/>
    <w:rsid w:val="001B103A"/>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1B103A"/>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1B103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B103A"/>
    <w:rPr>
      <w:rFonts w:ascii="Cambria" w:eastAsia="Times New Roman" w:hAnsi="Cambria" w:cs="Times New Roman"/>
      <w:b/>
      <w:snapToGrid w:val="0"/>
      <w:kern w:val="16"/>
      <w:sz w:val="20"/>
      <w:szCs w:val="24"/>
    </w:rPr>
  </w:style>
  <w:style w:type="paragraph" w:styleId="NoSpacing">
    <w:name w:val="No Spacing"/>
    <w:uiPriority w:val="1"/>
    <w:qFormat/>
    <w:rsid w:val="006C365A"/>
    <w:pPr>
      <w:spacing w:after="0" w:line="240" w:lineRule="auto"/>
    </w:pPr>
    <w:rPr>
      <w:rFonts w:ascii="Times New Roman" w:eastAsia="Times New Roman" w:hAnsi="Times New Roman" w:cs="Times New Roman"/>
      <w:sz w:val="24"/>
      <w:szCs w:val="20"/>
    </w:rPr>
  </w:style>
  <w:style w:type="paragraph" w:customStyle="1" w:styleId="SectionHeading">
    <w:name w:val="Section Heading"/>
    <w:basedOn w:val="Standard"/>
    <w:next w:val="Standard"/>
    <w:link w:val="SectionHeadingCharChar"/>
    <w:rsid w:val="006C365A"/>
    <w:pPr>
      <w:keepNext/>
      <w:outlineLvl w:val="0"/>
    </w:pPr>
    <w:rPr>
      <w:b/>
      <w:caps/>
      <w:sz w:val="24"/>
    </w:rPr>
  </w:style>
  <w:style w:type="paragraph" w:customStyle="1" w:styleId="WhiteSpace">
    <w:name w:val="White Space"/>
    <w:basedOn w:val="Standard"/>
    <w:next w:val="Standard"/>
    <w:link w:val="WhiteSpaceChar"/>
    <w:rsid w:val="006C365A"/>
    <w:pPr>
      <w:spacing w:after="0"/>
    </w:pPr>
    <w:rPr>
      <w:sz w:val="16"/>
      <w:szCs w:val="16"/>
    </w:rPr>
  </w:style>
  <w:style w:type="paragraph" w:customStyle="1" w:styleId="AssessmentSubsection">
    <w:name w:val="Assessment Subsection"/>
    <w:basedOn w:val="Standard"/>
    <w:next w:val="Standard"/>
    <w:rsid w:val="006C365A"/>
    <w:pPr>
      <w:keepNext/>
      <w:spacing w:after="110"/>
      <w:outlineLvl w:val="2"/>
    </w:pPr>
    <w:rPr>
      <w:b/>
      <w:i/>
      <w:sz w:val="22"/>
    </w:rPr>
  </w:style>
  <w:style w:type="character" w:customStyle="1" w:styleId="SectionHeadingCharChar">
    <w:name w:val="Section Heading Char Char"/>
    <w:basedOn w:val="DefaultParagraphFont"/>
    <w:link w:val="SectionHeading"/>
    <w:rsid w:val="006C365A"/>
    <w:rPr>
      <w:rFonts w:ascii="Cambria" w:eastAsia="Times New Roman" w:hAnsi="Cambria" w:cs="Times New Roman"/>
      <w:b/>
      <w:caps/>
      <w:snapToGrid w:val="0"/>
      <w:kern w:val="16"/>
      <w:sz w:val="24"/>
      <w:szCs w:val="24"/>
    </w:rPr>
  </w:style>
  <w:style w:type="character" w:customStyle="1" w:styleId="WhiteSpaceChar">
    <w:name w:val="White Space Char"/>
    <w:basedOn w:val="DefaultParagraphFont"/>
    <w:link w:val="WhiteSpace"/>
    <w:rsid w:val="006C365A"/>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6C365A"/>
    <w:pPr>
      <w:outlineLvl w:val="1"/>
    </w:pPr>
    <w:rPr>
      <w:i w:val="0"/>
    </w:rPr>
  </w:style>
  <w:style w:type="paragraph" w:customStyle="1" w:styleId="AssessmentSubsection2">
    <w:name w:val="Assessment Subsection 2"/>
    <w:basedOn w:val="AssessmentSubsection"/>
    <w:next w:val="Standard"/>
    <w:rsid w:val="006C365A"/>
    <w:pPr>
      <w:outlineLvl w:val="3"/>
    </w:pPr>
    <w:rPr>
      <w:b w:val="0"/>
    </w:rPr>
  </w:style>
  <w:style w:type="character" w:customStyle="1" w:styleId="TableTitleChar">
    <w:name w:val="Table Title Char"/>
    <w:basedOn w:val="DefaultParagraphFont"/>
    <w:link w:val="TableTitle"/>
    <w:rsid w:val="006C365A"/>
    <w:rPr>
      <w:rFonts w:ascii="Cambria" w:eastAsia="Cambria" w:hAnsi="Cambria" w:cs="Times New Roman"/>
      <w:b/>
    </w:rPr>
  </w:style>
  <w:style w:type="paragraph" w:customStyle="1" w:styleId="TableHeader">
    <w:name w:val="Table Header"/>
    <w:basedOn w:val="Normal"/>
    <w:rsid w:val="006C365A"/>
    <w:pPr>
      <w:keepNext/>
      <w:keepLines/>
      <w:widowControl w:val="0"/>
      <w:spacing w:before="60" w:after="60" w:line="200" w:lineRule="exact"/>
      <w:jc w:val="center"/>
    </w:pPr>
    <w:rPr>
      <w:rFonts w:eastAsia="MS Mincho" w:cstheme="minorBidi"/>
      <w:b/>
      <w:kern w:val="2"/>
      <w:sz w:val="19"/>
      <w:szCs w:val="19"/>
    </w:rPr>
  </w:style>
  <w:style w:type="paragraph" w:customStyle="1" w:styleId="TableBullet">
    <w:name w:val="Table Bullet"/>
    <w:basedOn w:val="Normal"/>
    <w:rsid w:val="00023DE8"/>
    <w:pPr>
      <w:numPr>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
    <w:name w:val="st"/>
    <w:basedOn w:val="DefaultParagraphFont"/>
    <w:rsid w:val="005C4FFD"/>
  </w:style>
  <w:style w:type="character" w:styleId="Emphasis">
    <w:name w:val="Emphasis"/>
    <w:basedOn w:val="DefaultParagraphFont"/>
    <w:uiPriority w:val="20"/>
    <w:qFormat/>
    <w:rsid w:val="005C4FFD"/>
    <w:rPr>
      <w:i/>
      <w:iCs/>
    </w:rPr>
  </w:style>
  <w:style w:type="table" w:customStyle="1" w:styleId="TableGrid1">
    <w:name w:val="Table Grid1"/>
    <w:basedOn w:val="TableNormal"/>
    <w:next w:val="TableGrid"/>
    <w:uiPriority w:val="59"/>
    <w:rsid w:val="005A0188"/>
    <w:pPr>
      <w:spacing w:before="120"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44095">
      <w:bodyDiv w:val="1"/>
      <w:marLeft w:val="0"/>
      <w:marRight w:val="0"/>
      <w:marTop w:val="0"/>
      <w:marBottom w:val="0"/>
      <w:divBdr>
        <w:top w:val="none" w:sz="0" w:space="0" w:color="auto"/>
        <w:left w:val="none" w:sz="0" w:space="0" w:color="auto"/>
        <w:bottom w:val="none" w:sz="0" w:space="0" w:color="auto"/>
        <w:right w:val="none" w:sz="0" w:space="0" w:color="auto"/>
      </w:divBdr>
      <w:divsChild>
        <w:div w:id="284819833">
          <w:marLeft w:val="0"/>
          <w:marRight w:val="0"/>
          <w:marTop w:val="0"/>
          <w:marBottom w:val="0"/>
          <w:divBdr>
            <w:top w:val="none" w:sz="0" w:space="0" w:color="auto"/>
            <w:left w:val="none" w:sz="0" w:space="0" w:color="auto"/>
            <w:bottom w:val="none" w:sz="0" w:space="0" w:color="auto"/>
            <w:right w:val="none" w:sz="0" w:space="0" w:color="auto"/>
          </w:divBdr>
          <w:divsChild>
            <w:div w:id="1073088703">
              <w:marLeft w:val="0"/>
              <w:marRight w:val="0"/>
              <w:marTop w:val="0"/>
              <w:marBottom w:val="0"/>
              <w:divBdr>
                <w:top w:val="none" w:sz="0" w:space="0" w:color="auto"/>
                <w:left w:val="none" w:sz="0" w:space="0" w:color="auto"/>
                <w:bottom w:val="none" w:sz="0" w:space="0" w:color="auto"/>
                <w:right w:val="none" w:sz="0" w:space="0" w:color="auto"/>
              </w:divBdr>
              <w:divsChild>
                <w:div w:id="91246552">
                  <w:marLeft w:val="0"/>
                  <w:marRight w:val="0"/>
                  <w:marTop w:val="0"/>
                  <w:marBottom w:val="0"/>
                  <w:divBdr>
                    <w:top w:val="none" w:sz="0" w:space="0" w:color="auto"/>
                    <w:left w:val="none" w:sz="0" w:space="0" w:color="auto"/>
                    <w:bottom w:val="none" w:sz="0" w:space="0" w:color="auto"/>
                    <w:right w:val="none" w:sz="0" w:space="0" w:color="auto"/>
                  </w:divBdr>
                  <w:divsChild>
                    <w:div w:id="1353072598">
                      <w:marLeft w:val="0"/>
                      <w:marRight w:val="0"/>
                      <w:marTop w:val="0"/>
                      <w:marBottom w:val="0"/>
                      <w:divBdr>
                        <w:top w:val="none" w:sz="0" w:space="0" w:color="auto"/>
                        <w:left w:val="none" w:sz="0" w:space="0" w:color="auto"/>
                        <w:bottom w:val="none" w:sz="0" w:space="0" w:color="auto"/>
                        <w:right w:val="none" w:sz="0" w:space="0" w:color="auto"/>
                      </w:divBdr>
                      <w:divsChild>
                        <w:div w:id="2083793708">
                          <w:marLeft w:val="0"/>
                          <w:marRight w:val="0"/>
                          <w:marTop w:val="0"/>
                          <w:marBottom w:val="0"/>
                          <w:divBdr>
                            <w:top w:val="none" w:sz="0" w:space="0" w:color="auto"/>
                            <w:left w:val="none" w:sz="0" w:space="0" w:color="auto"/>
                            <w:bottom w:val="none" w:sz="0" w:space="0" w:color="auto"/>
                            <w:right w:val="none" w:sz="0" w:space="0" w:color="auto"/>
                          </w:divBdr>
                          <w:divsChild>
                            <w:div w:id="878005917">
                              <w:marLeft w:val="0"/>
                              <w:marRight w:val="0"/>
                              <w:marTop w:val="0"/>
                              <w:marBottom w:val="0"/>
                              <w:divBdr>
                                <w:top w:val="none" w:sz="0" w:space="0" w:color="auto"/>
                                <w:left w:val="none" w:sz="0" w:space="0" w:color="auto"/>
                                <w:bottom w:val="none" w:sz="0" w:space="0" w:color="auto"/>
                                <w:right w:val="none" w:sz="0" w:space="0" w:color="auto"/>
                              </w:divBdr>
                              <w:divsChild>
                                <w:div w:id="471294791">
                                  <w:marLeft w:val="0"/>
                                  <w:marRight w:val="0"/>
                                  <w:marTop w:val="0"/>
                                  <w:marBottom w:val="0"/>
                                  <w:divBdr>
                                    <w:top w:val="none" w:sz="0" w:space="0" w:color="auto"/>
                                    <w:left w:val="none" w:sz="0" w:space="0" w:color="auto"/>
                                    <w:bottom w:val="none" w:sz="0" w:space="0" w:color="auto"/>
                                    <w:right w:val="none" w:sz="0" w:space="0" w:color="auto"/>
                                  </w:divBdr>
                                  <w:divsChild>
                                    <w:div w:id="410857703">
                                      <w:marLeft w:val="0"/>
                                      <w:marRight w:val="0"/>
                                      <w:marTop w:val="0"/>
                                      <w:marBottom w:val="0"/>
                                      <w:divBdr>
                                        <w:top w:val="none" w:sz="0" w:space="0" w:color="auto"/>
                                        <w:left w:val="none" w:sz="0" w:space="0" w:color="auto"/>
                                        <w:bottom w:val="none" w:sz="0" w:space="0" w:color="auto"/>
                                        <w:right w:val="none" w:sz="0" w:space="0" w:color="auto"/>
                                      </w:divBdr>
                                      <w:divsChild>
                                        <w:div w:id="354120496">
                                          <w:marLeft w:val="0"/>
                                          <w:marRight w:val="0"/>
                                          <w:marTop w:val="0"/>
                                          <w:marBottom w:val="0"/>
                                          <w:divBdr>
                                            <w:top w:val="none" w:sz="0" w:space="0" w:color="auto"/>
                                            <w:left w:val="none" w:sz="0" w:space="0" w:color="auto"/>
                                            <w:bottom w:val="none" w:sz="0" w:space="0" w:color="auto"/>
                                            <w:right w:val="none" w:sz="0" w:space="0" w:color="auto"/>
                                          </w:divBdr>
                                          <w:divsChild>
                                            <w:div w:id="1527282614">
                                              <w:marLeft w:val="0"/>
                                              <w:marRight w:val="0"/>
                                              <w:marTop w:val="0"/>
                                              <w:marBottom w:val="0"/>
                                              <w:divBdr>
                                                <w:top w:val="none" w:sz="0" w:space="0" w:color="auto"/>
                                                <w:left w:val="none" w:sz="0" w:space="0" w:color="auto"/>
                                                <w:bottom w:val="none" w:sz="0" w:space="0" w:color="auto"/>
                                                <w:right w:val="none" w:sz="0" w:space="0" w:color="auto"/>
                                              </w:divBdr>
                                              <w:divsChild>
                                                <w:div w:id="1532036269">
                                                  <w:marLeft w:val="0"/>
                                                  <w:marRight w:val="0"/>
                                                  <w:marTop w:val="0"/>
                                                  <w:marBottom w:val="0"/>
                                                  <w:divBdr>
                                                    <w:top w:val="none" w:sz="0" w:space="0" w:color="auto"/>
                                                    <w:left w:val="none" w:sz="0" w:space="0" w:color="auto"/>
                                                    <w:bottom w:val="none" w:sz="0" w:space="0" w:color="auto"/>
                                                    <w:right w:val="none" w:sz="0" w:space="0" w:color="auto"/>
                                                  </w:divBdr>
                                                  <w:divsChild>
                                                    <w:div w:id="919294140">
                                                      <w:marLeft w:val="0"/>
                                                      <w:marRight w:val="0"/>
                                                      <w:marTop w:val="0"/>
                                                      <w:marBottom w:val="0"/>
                                                      <w:divBdr>
                                                        <w:top w:val="none" w:sz="0" w:space="0" w:color="auto"/>
                                                        <w:left w:val="none" w:sz="0" w:space="0" w:color="auto"/>
                                                        <w:bottom w:val="none" w:sz="0" w:space="0" w:color="auto"/>
                                                        <w:right w:val="none" w:sz="0" w:space="0" w:color="auto"/>
                                                      </w:divBdr>
                                                      <w:divsChild>
                                                        <w:div w:id="925260087">
                                                          <w:marLeft w:val="0"/>
                                                          <w:marRight w:val="0"/>
                                                          <w:marTop w:val="0"/>
                                                          <w:marBottom w:val="0"/>
                                                          <w:divBdr>
                                                            <w:top w:val="none" w:sz="0" w:space="0" w:color="auto"/>
                                                            <w:left w:val="none" w:sz="0" w:space="0" w:color="auto"/>
                                                            <w:bottom w:val="none" w:sz="0" w:space="0" w:color="auto"/>
                                                            <w:right w:val="none" w:sz="0" w:space="0" w:color="auto"/>
                                                          </w:divBdr>
                                                        </w:div>
                                                      </w:divsChild>
                                                    </w:div>
                                                    <w:div w:id="1162815646">
                                                      <w:marLeft w:val="0"/>
                                                      <w:marRight w:val="0"/>
                                                      <w:marTop w:val="0"/>
                                                      <w:marBottom w:val="0"/>
                                                      <w:divBdr>
                                                        <w:top w:val="none" w:sz="0" w:space="0" w:color="auto"/>
                                                        <w:left w:val="none" w:sz="0" w:space="0" w:color="auto"/>
                                                        <w:bottom w:val="none" w:sz="0" w:space="0" w:color="auto"/>
                                                        <w:right w:val="none" w:sz="0" w:space="0" w:color="auto"/>
                                                      </w:divBdr>
                                                      <w:divsChild>
                                                        <w:div w:id="1917352687">
                                                          <w:marLeft w:val="0"/>
                                                          <w:marRight w:val="0"/>
                                                          <w:marTop w:val="0"/>
                                                          <w:marBottom w:val="0"/>
                                                          <w:divBdr>
                                                            <w:top w:val="none" w:sz="0" w:space="0" w:color="auto"/>
                                                            <w:left w:val="none" w:sz="0" w:space="0" w:color="auto"/>
                                                            <w:bottom w:val="none" w:sz="0" w:space="0" w:color="auto"/>
                                                            <w:right w:val="none" w:sz="0" w:space="0" w:color="auto"/>
                                                          </w:divBdr>
                                                          <w:divsChild>
                                                            <w:div w:id="649288920">
                                                              <w:marLeft w:val="0"/>
                                                              <w:marRight w:val="0"/>
                                                              <w:marTop w:val="0"/>
                                                              <w:marBottom w:val="0"/>
                                                              <w:divBdr>
                                                                <w:top w:val="none" w:sz="0" w:space="0" w:color="auto"/>
                                                                <w:left w:val="none" w:sz="0" w:space="0" w:color="auto"/>
                                                                <w:bottom w:val="none" w:sz="0" w:space="0" w:color="auto"/>
                                                                <w:right w:val="none" w:sz="0" w:space="0" w:color="auto"/>
                                                              </w:divBdr>
                                                              <w:divsChild>
                                                                <w:div w:id="987050499">
                                                                  <w:marLeft w:val="0"/>
                                                                  <w:marRight w:val="0"/>
                                                                  <w:marTop w:val="0"/>
                                                                  <w:marBottom w:val="0"/>
                                                                  <w:divBdr>
                                                                    <w:top w:val="none" w:sz="0" w:space="0" w:color="auto"/>
                                                                    <w:left w:val="none" w:sz="0" w:space="0" w:color="auto"/>
                                                                    <w:bottom w:val="none" w:sz="0" w:space="0" w:color="auto"/>
                                                                    <w:right w:val="none" w:sz="0" w:space="0" w:color="auto"/>
                                                                  </w:divBdr>
                                                                  <w:divsChild>
                                                                    <w:div w:id="639270448">
                                                                      <w:marLeft w:val="0"/>
                                                                      <w:marRight w:val="0"/>
                                                                      <w:marTop w:val="0"/>
                                                                      <w:marBottom w:val="0"/>
                                                                      <w:divBdr>
                                                                        <w:top w:val="none" w:sz="0" w:space="0" w:color="auto"/>
                                                                        <w:left w:val="none" w:sz="0" w:space="0" w:color="auto"/>
                                                                        <w:bottom w:val="none" w:sz="0" w:space="0" w:color="auto"/>
                                                                        <w:right w:val="none" w:sz="0" w:space="0" w:color="auto"/>
                                                                      </w:divBdr>
                                                                    </w:div>
                                                                    <w:div w:id="7223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6096">
                                                              <w:marLeft w:val="0"/>
                                                              <w:marRight w:val="0"/>
                                                              <w:marTop w:val="0"/>
                                                              <w:marBottom w:val="0"/>
                                                              <w:divBdr>
                                                                <w:top w:val="none" w:sz="0" w:space="0" w:color="auto"/>
                                                                <w:left w:val="none" w:sz="0" w:space="0" w:color="auto"/>
                                                                <w:bottom w:val="none" w:sz="0" w:space="0" w:color="auto"/>
                                                                <w:right w:val="none" w:sz="0" w:space="0" w:color="auto"/>
                                                              </w:divBdr>
                                                              <w:divsChild>
                                                                <w:div w:id="2018075543">
                                                                  <w:marLeft w:val="0"/>
                                                                  <w:marRight w:val="0"/>
                                                                  <w:marTop w:val="0"/>
                                                                  <w:marBottom w:val="0"/>
                                                                  <w:divBdr>
                                                                    <w:top w:val="none" w:sz="0" w:space="0" w:color="auto"/>
                                                                    <w:left w:val="none" w:sz="0" w:space="0" w:color="auto"/>
                                                                    <w:bottom w:val="none" w:sz="0" w:space="0" w:color="auto"/>
                                                                    <w:right w:val="none" w:sz="0" w:space="0" w:color="auto"/>
                                                                  </w:divBdr>
                                                                  <w:divsChild>
                                                                    <w:div w:id="338587336">
                                                                      <w:marLeft w:val="0"/>
                                                                      <w:marRight w:val="0"/>
                                                                      <w:marTop w:val="0"/>
                                                                      <w:marBottom w:val="0"/>
                                                                      <w:divBdr>
                                                                        <w:top w:val="none" w:sz="0" w:space="0" w:color="auto"/>
                                                                        <w:left w:val="none" w:sz="0" w:space="0" w:color="auto"/>
                                                                        <w:bottom w:val="none" w:sz="0" w:space="0" w:color="auto"/>
                                                                        <w:right w:val="none" w:sz="0" w:space="0" w:color="auto"/>
                                                                      </w:divBdr>
                                                                    </w:div>
                                                                    <w:div w:id="6897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549151">
      <w:bodyDiv w:val="1"/>
      <w:marLeft w:val="0"/>
      <w:marRight w:val="0"/>
      <w:marTop w:val="0"/>
      <w:marBottom w:val="0"/>
      <w:divBdr>
        <w:top w:val="none" w:sz="0" w:space="0" w:color="auto"/>
        <w:left w:val="none" w:sz="0" w:space="0" w:color="auto"/>
        <w:bottom w:val="none" w:sz="0" w:space="0" w:color="auto"/>
        <w:right w:val="none" w:sz="0" w:space="0" w:color="auto"/>
      </w:divBdr>
    </w:div>
    <w:div w:id="125122044">
      <w:bodyDiv w:val="1"/>
      <w:marLeft w:val="0"/>
      <w:marRight w:val="0"/>
      <w:marTop w:val="0"/>
      <w:marBottom w:val="0"/>
      <w:divBdr>
        <w:top w:val="none" w:sz="0" w:space="0" w:color="auto"/>
        <w:left w:val="none" w:sz="0" w:space="0" w:color="auto"/>
        <w:bottom w:val="none" w:sz="0" w:space="0" w:color="auto"/>
        <w:right w:val="none" w:sz="0" w:space="0" w:color="auto"/>
      </w:divBdr>
    </w:div>
    <w:div w:id="243346833">
      <w:bodyDiv w:val="1"/>
      <w:marLeft w:val="0"/>
      <w:marRight w:val="0"/>
      <w:marTop w:val="0"/>
      <w:marBottom w:val="0"/>
      <w:divBdr>
        <w:top w:val="none" w:sz="0" w:space="0" w:color="auto"/>
        <w:left w:val="none" w:sz="0" w:space="0" w:color="auto"/>
        <w:bottom w:val="none" w:sz="0" w:space="0" w:color="auto"/>
        <w:right w:val="none" w:sz="0" w:space="0" w:color="auto"/>
      </w:divBdr>
    </w:div>
    <w:div w:id="280964808">
      <w:bodyDiv w:val="1"/>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1206411244">
              <w:marLeft w:val="0"/>
              <w:marRight w:val="0"/>
              <w:marTop w:val="0"/>
              <w:marBottom w:val="0"/>
              <w:divBdr>
                <w:top w:val="none" w:sz="0" w:space="0" w:color="auto"/>
                <w:left w:val="none" w:sz="0" w:space="0" w:color="auto"/>
                <w:bottom w:val="none" w:sz="0" w:space="0" w:color="auto"/>
                <w:right w:val="none" w:sz="0" w:space="0" w:color="auto"/>
              </w:divBdr>
              <w:divsChild>
                <w:div w:id="232082462">
                  <w:marLeft w:val="0"/>
                  <w:marRight w:val="0"/>
                  <w:marTop w:val="0"/>
                  <w:marBottom w:val="0"/>
                  <w:divBdr>
                    <w:top w:val="none" w:sz="0" w:space="0" w:color="auto"/>
                    <w:left w:val="none" w:sz="0" w:space="0" w:color="auto"/>
                    <w:bottom w:val="none" w:sz="0" w:space="0" w:color="auto"/>
                    <w:right w:val="none" w:sz="0" w:space="0" w:color="auto"/>
                  </w:divBdr>
                  <w:divsChild>
                    <w:div w:id="220598437">
                      <w:marLeft w:val="0"/>
                      <w:marRight w:val="0"/>
                      <w:marTop w:val="0"/>
                      <w:marBottom w:val="0"/>
                      <w:divBdr>
                        <w:top w:val="none" w:sz="0" w:space="0" w:color="auto"/>
                        <w:left w:val="none" w:sz="0" w:space="0" w:color="auto"/>
                        <w:bottom w:val="none" w:sz="0" w:space="0" w:color="auto"/>
                        <w:right w:val="none" w:sz="0" w:space="0" w:color="auto"/>
                      </w:divBdr>
                      <w:divsChild>
                        <w:div w:id="1343361386">
                          <w:marLeft w:val="0"/>
                          <w:marRight w:val="0"/>
                          <w:marTop w:val="0"/>
                          <w:marBottom w:val="0"/>
                          <w:divBdr>
                            <w:top w:val="none" w:sz="0" w:space="0" w:color="auto"/>
                            <w:left w:val="none" w:sz="0" w:space="0" w:color="auto"/>
                            <w:bottom w:val="none" w:sz="0" w:space="0" w:color="auto"/>
                            <w:right w:val="none" w:sz="0" w:space="0" w:color="auto"/>
                          </w:divBdr>
                          <w:divsChild>
                            <w:div w:id="15134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88544">
      <w:bodyDiv w:val="1"/>
      <w:marLeft w:val="0"/>
      <w:marRight w:val="0"/>
      <w:marTop w:val="0"/>
      <w:marBottom w:val="0"/>
      <w:divBdr>
        <w:top w:val="none" w:sz="0" w:space="0" w:color="auto"/>
        <w:left w:val="none" w:sz="0" w:space="0" w:color="auto"/>
        <w:bottom w:val="none" w:sz="0" w:space="0" w:color="auto"/>
        <w:right w:val="none" w:sz="0" w:space="0" w:color="auto"/>
      </w:divBdr>
    </w:div>
    <w:div w:id="429931519">
      <w:bodyDiv w:val="1"/>
      <w:marLeft w:val="0"/>
      <w:marRight w:val="0"/>
      <w:marTop w:val="0"/>
      <w:marBottom w:val="0"/>
      <w:divBdr>
        <w:top w:val="none" w:sz="0" w:space="0" w:color="auto"/>
        <w:left w:val="none" w:sz="0" w:space="0" w:color="auto"/>
        <w:bottom w:val="none" w:sz="0" w:space="0" w:color="auto"/>
        <w:right w:val="none" w:sz="0" w:space="0" w:color="auto"/>
      </w:divBdr>
    </w:div>
    <w:div w:id="530843267">
      <w:bodyDiv w:val="1"/>
      <w:marLeft w:val="0"/>
      <w:marRight w:val="0"/>
      <w:marTop w:val="0"/>
      <w:marBottom w:val="0"/>
      <w:divBdr>
        <w:top w:val="none" w:sz="0" w:space="0" w:color="auto"/>
        <w:left w:val="none" w:sz="0" w:space="0" w:color="auto"/>
        <w:bottom w:val="none" w:sz="0" w:space="0" w:color="auto"/>
        <w:right w:val="none" w:sz="0" w:space="0" w:color="auto"/>
      </w:divBdr>
    </w:div>
    <w:div w:id="532765924">
      <w:bodyDiv w:val="1"/>
      <w:marLeft w:val="0"/>
      <w:marRight w:val="0"/>
      <w:marTop w:val="0"/>
      <w:marBottom w:val="0"/>
      <w:divBdr>
        <w:top w:val="none" w:sz="0" w:space="0" w:color="auto"/>
        <w:left w:val="none" w:sz="0" w:space="0" w:color="auto"/>
        <w:bottom w:val="none" w:sz="0" w:space="0" w:color="auto"/>
        <w:right w:val="none" w:sz="0" w:space="0" w:color="auto"/>
      </w:divBdr>
    </w:div>
    <w:div w:id="600525753">
      <w:bodyDiv w:val="1"/>
      <w:marLeft w:val="0"/>
      <w:marRight w:val="0"/>
      <w:marTop w:val="0"/>
      <w:marBottom w:val="0"/>
      <w:divBdr>
        <w:top w:val="none" w:sz="0" w:space="0" w:color="auto"/>
        <w:left w:val="none" w:sz="0" w:space="0" w:color="auto"/>
        <w:bottom w:val="none" w:sz="0" w:space="0" w:color="auto"/>
        <w:right w:val="none" w:sz="0" w:space="0" w:color="auto"/>
      </w:divBdr>
    </w:div>
    <w:div w:id="653486157">
      <w:bodyDiv w:val="1"/>
      <w:marLeft w:val="0"/>
      <w:marRight w:val="0"/>
      <w:marTop w:val="0"/>
      <w:marBottom w:val="0"/>
      <w:divBdr>
        <w:top w:val="none" w:sz="0" w:space="0" w:color="auto"/>
        <w:left w:val="none" w:sz="0" w:space="0" w:color="auto"/>
        <w:bottom w:val="none" w:sz="0" w:space="0" w:color="auto"/>
        <w:right w:val="none" w:sz="0" w:space="0" w:color="auto"/>
      </w:divBdr>
    </w:div>
    <w:div w:id="720515070">
      <w:bodyDiv w:val="1"/>
      <w:marLeft w:val="0"/>
      <w:marRight w:val="0"/>
      <w:marTop w:val="0"/>
      <w:marBottom w:val="0"/>
      <w:divBdr>
        <w:top w:val="none" w:sz="0" w:space="0" w:color="auto"/>
        <w:left w:val="none" w:sz="0" w:space="0" w:color="auto"/>
        <w:bottom w:val="none" w:sz="0" w:space="0" w:color="auto"/>
        <w:right w:val="none" w:sz="0" w:space="0" w:color="auto"/>
      </w:divBdr>
      <w:divsChild>
        <w:div w:id="1702394182">
          <w:marLeft w:val="0"/>
          <w:marRight w:val="0"/>
          <w:marTop w:val="0"/>
          <w:marBottom w:val="0"/>
          <w:divBdr>
            <w:top w:val="none" w:sz="0" w:space="0" w:color="auto"/>
            <w:left w:val="none" w:sz="0" w:space="0" w:color="auto"/>
            <w:bottom w:val="none" w:sz="0" w:space="0" w:color="auto"/>
            <w:right w:val="none" w:sz="0" w:space="0" w:color="auto"/>
          </w:divBdr>
          <w:divsChild>
            <w:div w:id="532617537">
              <w:marLeft w:val="0"/>
              <w:marRight w:val="0"/>
              <w:marTop w:val="0"/>
              <w:marBottom w:val="0"/>
              <w:divBdr>
                <w:top w:val="none" w:sz="0" w:space="0" w:color="auto"/>
                <w:left w:val="none" w:sz="0" w:space="0" w:color="auto"/>
                <w:bottom w:val="none" w:sz="0" w:space="0" w:color="auto"/>
                <w:right w:val="none" w:sz="0" w:space="0" w:color="auto"/>
              </w:divBdr>
              <w:divsChild>
                <w:div w:id="1795563469">
                  <w:marLeft w:val="0"/>
                  <w:marRight w:val="0"/>
                  <w:marTop w:val="0"/>
                  <w:marBottom w:val="0"/>
                  <w:divBdr>
                    <w:top w:val="none" w:sz="0" w:space="0" w:color="auto"/>
                    <w:left w:val="none" w:sz="0" w:space="0" w:color="auto"/>
                    <w:bottom w:val="none" w:sz="0" w:space="0" w:color="auto"/>
                    <w:right w:val="none" w:sz="0" w:space="0" w:color="auto"/>
                  </w:divBdr>
                  <w:divsChild>
                    <w:div w:id="2108691063">
                      <w:marLeft w:val="0"/>
                      <w:marRight w:val="0"/>
                      <w:marTop w:val="0"/>
                      <w:marBottom w:val="0"/>
                      <w:divBdr>
                        <w:top w:val="none" w:sz="0" w:space="0" w:color="auto"/>
                        <w:left w:val="none" w:sz="0" w:space="0" w:color="auto"/>
                        <w:bottom w:val="none" w:sz="0" w:space="0" w:color="auto"/>
                        <w:right w:val="none" w:sz="0" w:space="0" w:color="auto"/>
                      </w:divBdr>
                      <w:divsChild>
                        <w:div w:id="1248467636">
                          <w:marLeft w:val="0"/>
                          <w:marRight w:val="0"/>
                          <w:marTop w:val="0"/>
                          <w:marBottom w:val="0"/>
                          <w:divBdr>
                            <w:top w:val="none" w:sz="0" w:space="0" w:color="auto"/>
                            <w:left w:val="none" w:sz="0" w:space="0" w:color="auto"/>
                            <w:bottom w:val="none" w:sz="0" w:space="0" w:color="auto"/>
                            <w:right w:val="none" w:sz="0" w:space="0" w:color="auto"/>
                          </w:divBdr>
                          <w:divsChild>
                            <w:div w:id="493884045">
                              <w:marLeft w:val="0"/>
                              <w:marRight w:val="0"/>
                              <w:marTop w:val="0"/>
                              <w:marBottom w:val="0"/>
                              <w:divBdr>
                                <w:top w:val="none" w:sz="0" w:space="0" w:color="auto"/>
                                <w:left w:val="none" w:sz="0" w:space="0" w:color="auto"/>
                                <w:bottom w:val="none" w:sz="0" w:space="0" w:color="auto"/>
                                <w:right w:val="none" w:sz="0" w:space="0" w:color="auto"/>
                              </w:divBdr>
                              <w:divsChild>
                                <w:div w:id="608859598">
                                  <w:marLeft w:val="0"/>
                                  <w:marRight w:val="0"/>
                                  <w:marTop w:val="0"/>
                                  <w:marBottom w:val="0"/>
                                  <w:divBdr>
                                    <w:top w:val="none" w:sz="0" w:space="0" w:color="auto"/>
                                    <w:left w:val="none" w:sz="0" w:space="0" w:color="auto"/>
                                    <w:bottom w:val="none" w:sz="0" w:space="0" w:color="auto"/>
                                    <w:right w:val="none" w:sz="0" w:space="0" w:color="auto"/>
                                  </w:divBdr>
                                  <w:divsChild>
                                    <w:div w:id="439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626498">
      <w:bodyDiv w:val="1"/>
      <w:marLeft w:val="0"/>
      <w:marRight w:val="0"/>
      <w:marTop w:val="0"/>
      <w:marBottom w:val="0"/>
      <w:divBdr>
        <w:top w:val="none" w:sz="0" w:space="0" w:color="auto"/>
        <w:left w:val="none" w:sz="0" w:space="0" w:color="auto"/>
        <w:bottom w:val="none" w:sz="0" w:space="0" w:color="auto"/>
        <w:right w:val="none" w:sz="0" w:space="0" w:color="auto"/>
      </w:divBdr>
    </w:div>
    <w:div w:id="803352885">
      <w:bodyDiv w:val="1"/>
      <w:marLeft w:val="0"/>
      <w:marRight w:val="0"/>
      <w:marTop w:val="0"/>
      <w:marBottom w:val="0"/>
      <w:divBdr>
        <w:top w:val="none" w:sz="0" w:space="0" w:color="auto"/>
        <w:left w:val="none" w:sz="0" w:space="0" w:color="auto"/>
        <w:bottom w:val="none" w:sz="0" w:space="0" w:color="auto"/>
        <w:right w:val="none" w:sz="0" w:space="0" w:color="auto"/>
      </w:divBdr>
    </w:div>
    <w:div w:id="825242177">
      <w:bodyDiv w:val="1"/>
      <w:marLeft w:val="0"/>
      <w:marRight w:val="0"/>
      <w:marTop w:val="0"/>
      <w:marBottom w:val="0"/>
      <w:divBdr>
        <w:top w:val="none" w:sz="0" w:space="0" w:color="auto"/>
        <w:left w:val="none" w:sz="0" w:space="0" w:color="auto"/>
        <w:bottom w:val="none" w:sz="0" w:space="0" w:color="auto"/>
        <w:right w:val="none" w:sz="0" w:space="0" w:color="auto"/>
      </w:divBdr>
    </w:div>
    <w:div w:id="835997307">
      <w:bodyDiv w:val="1"/>
      <w:marLeft w:val="0"/>
      <w:marRight w:val="0"/>
      <w:marTop w:val="0"/>
      <w:marBottom w:val="0"/>
      <w:divBdr>
        <w:top w:val="none" w:sz="0" w:space="0" w:color="auto"/>
        <w:left w:val="none" w:sz="0" w:space="0" w:color="auto"/>
        <w:bottom w:val="none" w:sz="0" w:space="0" w:color="auto"/>
        <w:right w:val="none" w:sz="0" w:space="0" w:color="auto"/>
      </w:divBdr>
    </w:div>
    <w:div w:id="891574643">
      <w:bodyDiv w:val="1"/>
      <w:marLeft w:val="0"/>
      <w:marRight w:val="0"/>
      <w:marTop w:val="0"/>
      <w:marBottom w:val="0"/>
      <w:divBdr>
        <w:top w:val="none" w:sz="0" w:space="0" w:color="auto"/>
        <w:left w:val="none" w:sz="0" w:space="0" w:color="auto"/>
        <w:bottom w:val="none" w:sz="0" w:space="0" w:color="auto"/>
        <w:right w:val="none" w:sz="0" w:space="0" w:color="auto"/>
      </w:divBdr>
    </w:div>
    <w:div w:id="956135701">
      <w:bodyDiv w:val="1"/>
      <w:marLeft w:val="0"/>
      <w:marRight w:val="0"/>
      <w:marTop w:val="0"/>
      <w:marBottom w:val="0"/>
      <w:divBdr>
        <w:top w:val="none" w:sz="0" w:space="0" w:color="auto"/>
        <w:left w:val="none" w:sz="0" w:space="0" w:color="auto"/>
        <w:bottom w:val="none" w:sz="0" w:space="0" w:color="auto"/>
        <w:right w:val="none" w:sz="0" w:space="0" w:color="auto"/>
      </w:divBdr>
    </w:div>
    <w:div w:id="993029085">
      <w:bodyDiv w:val="1"/>
      <w:marLeft w:val="0"/>
      <w:marRight w:val="0"/>
      <w:marTop w:val="0"/>
      <w:marBottom w:val="0"/>
      <w:divBdr>
        <w:top w:val="none" w:sz="0" w:space="0" w:color="auto"/>
        <w:left w:val="none" w:sz="0" w:space="0" w:color="auto"/>
        <w:bottom w:val="none" w:sz="0" w:space="0" w:color="auto"/>
        <w:right w:val="none" w:sz="0" w:space="0" w:color="auto"/>
      </w:divBdr>
    </w:div>
    <w:div w:id="1126241933">
      <w:bodyDiv w:val="1"/>
      <w:marLeft w:val="0"/>
      <w:marRight w:val="0"/>
      <w:marTop w:val="0"/>
      <w:marBottom w:val="0"/>
      <w:divBdr>
        <w:top w:val="none" w:sz="0" w:space="0" w:color="auto"/>
        <w:left w:val="none" w:sz="0" w:space="0" w:color="auto"/>
        <w:bottom w:val="none" w:sz="0" w:space="0" w:color="auto"/>
        <w:right w:val="none" w:sz="0" w:space="0" w:color="auto"/>
      </w:divBdr>
    </w:div>
    <w:div w:id="1151559762">
      <w:bodyDiv w:val="1"/>
      <w:marLeft w:val="0"/>
      <w:marRight w:val="0"/>
      <w:marTop w:val="0"/>
      <w:marBottom w:val="0"/>
      <w:divBdr>
        <w:top w:val="none" w:sz="0" w:space="0" w:color="auto"/>
        <w:left w:val="none" w:sz="0" w:space="0" w:color="auto"/>
        <w:bottom w:val="none" w:sz="0" w:space="0" w:color="auto"/>
        <w:right w:val="none" w:sz="0" w:space="0" w:color="auto"/>
      </w:divBdr>
    </w:div>
    <w:div w:id="1175609811">
      <w:bodyDiv w:val="1"/>
      <w:marLeft w:val="0"/>
      <w:marRight w:val="0"/>
      <w:marTop w:val="0"/>
      <w:marBottom w:val="0"/>
      <w:divBdr>
        <w:top w:val="none" w:sz="0" w:space="0" w:color="auto"/>
        <w:left w:val="none" w:sz="0" w:space="0" w:color="auto"/>
        <w:bottom w:val="none" w:sz="0" w:space="0" w:color="auto"/>
        <w:right w:val="none" w:sz="0" w:space="0" w:color="auto"/>
      </w:divBdr>
    </w:div>
    <w:div w:id="1194927361">
      <w:bodyDiv w:val="1"/>
      <w:marLeft w:val="0"/>
      <w:marRight w:val="0"/>
      <w:marTop w:val="0"/>
      <w:marBottom w:val="0"/>
      <w:divBdr>
        <w:top w:val="none" w:sz="0" w:space="0" w:color="auto"/>
        <w:left w:val="none" w:sz="0" w:space="0" w:color="auto"/>
        <w:bottom w:val="none" w:sz="0" w:space="0" w:color="auto"/>
        <w:right w:val="none" w:sz="0" w:space="0" w:color="auto"/>
      </w:divBdr>
    </w:div>
    <w:div w:id="1201741536">
      <w:bodyDiv w:val="1"/>
      <w:marLeft w:val="0"/>
      <w:marRight w:val="0"/>
      <w:marTop w:val="0"/>
      <w:marBottom w:val="0"/>
      <w:divBdr>
        <w:top w:val="none" w:sz="0" w:space="0" w:color="auto"/>
        <w:left w:val="none" w:sz="0" w:space="0" w:color="auto"/>
        <w:bottom w:val="none" w:sz="0" w:space="0" w:color="auto"/>
        <w:right w:val="none" w:sz="0" w:space="0" w:color="auto"/>
      </w:divBdr>
    </w:div>
    <w:div w:id="1204830896">
      <w:bodyDiv w:val="1"/>
      <w:marLeft w:val="0"/>
      <w:marRight w:val="0"/>
      <w:marTop w:val="0"/>
      <w:marBottom w:val="0"/>
      <w:divBdr>
        <w:top w:val="none" w:sz="0" w:space="0" w:color="auto"/>
        <w:left w:val="none" w:sz="0" w:space="0" w:color="auto"/>
        <w:bottom w:val="none" w:sz="0" w:space="0" w:color="auto"/>
        <w:right w:val="none" w:sz="0" w:space="0" w:color="auto"/>
      </w:divBdr>
    </w:div>
    <w:div w:id="1205797678">
      <w:bodyDiv w:val="1"/>
      <w:marLeft w:val="0"/>
      <w:marRight w:val="0"/>
      <w:marTop w:val="0"/>
      <w:marBottom w:val="0"/>
      <w:divBdr>
        <w:top w:val="none" w:sz="0" w:space="0" w:color="auto"/>
        <w:left w:val="none" w:sz="0" w:space="0" w:color="auto"/>
        <w:bottom w:val="none" w:sz="0" w:space="0" w:color="auto"/>
        <w:right w:val="none" w:sz="0" w:space="0" w:color="auto"/>
      </w:divBdr>
    </w:div>
    <w:div w:id="1219629035">
      <w:bodyDiv w:val="1"/>
      <w:marLeft w:val="0"/>
      <w:marRight w:val="0"/>
      <w:marTop w:val="0"/>
      <w:marBottom w:val="0"/>
      <w:divBdr>
        <w:top w:val="none" w:sz="0" w:space="0" w:color="auto"/>
        <w:left w:val="none" w:sz="0" w:space="0" w:color="auto"/>
        <w:bottom w:val="none" w:sz="0" w:space="0" w:color="auto"/>
        <w:right w:val="none" w:sz="0" w:space="0" w:color="auto"/>
      </w:divBdr>
    </w:div>
    <w:div w:id="1229994004">
      <w:bodyDiv w:val="1"/>
      <w:marLeft w:val="0"/>
      <w:marRight w:val="0"/>
      <w:marTop w:val="0"/>
      <w:marBottom w:val="0"/>
      <w:divBdr>
        <w:top w:val="none" w:sz="0" w:space="0" w:color="auto"/>
        <w:left w:val="none" w:sz="0" w:space="0" w:color="auto"/>
        <w:bottom w:val="none" w:sz="0" w:space="0" w:color="auto"/>
        <w:right w:val="none" w:sz="0" w:space="0" w:color="auto"/>
      </w:divBdr>
    </w:div>
    <w:div w:id="1264606575">
      <w:bodyDiv w:val="1"/>
      <w:marLeft w:val="0"/>
      <w:marRight w:val="0"/>
      <w:marTop w:val="0"/>
      <w:marBottom w:val="0"/>
      <w:divBdr>
        <w:top w:val="none" w:sz="0" w:space="0" w:color="auto"/>
        <w:left w:val="none" w:sz="0" w:space="0" w:color="auto"/>
        <w:bottom w:val="none" w:sz="0" w:space="0" w:color="auto"/>
        <w:right w:val="none" w:sz="0" w:space="0" w:color="auto"/>
      </w:divBdr>
    </w:div>
    <w:div w:id="1356885633">
      <w:bodyDiv w:val="1"/>
      <w:marLeft w:val="0"/>
      <w:marRight w:val="0"/>
      <w:marTop w:val="0"/>
      <w:marBottom w:val="0"/>
      <w:divBdr>
        <w:top w:val="none" w:sz="0" w:space="0" w:color="auto"/>
        <w:left w:val="none" w:sz="0" w:space="0" w:color="auto"/>
        <w:bottom w:val="none" w:sz="0" w:space="0" w:color="auto"/>
        <w:right w:val="none" w:sz="0" w:space="0" w:color="auto"/>
      </w:divBdr>
    </w:div>
    <w:div w:id="1464620570">
      <w:bodyDiv w:val="1"/>
      <w:marLeft w:val="0"/>
      <w:marRight w:val="0"/>
      <w:marTop w:val="0"/>
      <w:marBottom w:val="0"/>
      <w:divBdr>
        <w:top w:val="none" w:sz="0" w:space="0" w:color="auto"/>
        <w:left w:val="none" w:sz="0" w:space="0" w:color="auto"/>
        <w:bottom w:val="none" w:sz="0" w:space="0" w:color="auto"/>
        <w:right w:val="none" w:sz="0" w:space="0" w:color="auto"/>
      </w:divBdr>
    </w:div>
    <w:div w:id="1528182271">
      <w:bodyDiv w:val="1"/>
      <w:marLeft w:val="0"/>
      <w:marRight w:val="0"/>
      <w:marTop w:val="0"/>
      <w:marBottom w:val="0"/>
      <w:divBdr>
        <w:top w:val="none" w:sz="0" w:space="0" w:color="auto"/>
        <w:left w:val="none" w:sz="0" w:space="0" w:color="auto"/>
        <w:bottom w:val="none" w:sz="0" w:space="0" w:color="auto"/>
        <w:right w:val="none" w:sz="0" w:space="0" w:color="auto"/>
      </w:divBdr>
    </w:div>
    <w:div w:id="1536036266">
      <w:bodyDiv w:val="1"/>
      <w:marLeft w:val="0"/>
      <w:marRight w:val="0"/>
      <w:marTop w:val="0"/>
      <w:marBottom w:val="0"/>
      <w:divBdr>
        <w:top w:val="none" w:sz="0" w:space="0" w:color="auto"/>
        <w:left w:val="none" w:sz="0" w:space="0" w:color="auto"/>
        <w:bottom w:val="none" w:sz="0" w:space="0" w:color="auto"/>
        <w:right w:val="none" w:sz="0" w:space="0" w:color="auto"/>
      </w:divBdr>
    </w:div>
    <w:div w:id="1592739587">
      <w:bodyDiv w:val="1"/>
      <w:marLeft w:val="0"/>
      <w:marRight w:val="0"/>
      <w:marTop w:val="0"/>
      <w:marBottom w:val="0"/>
      <w:divBdr>
        <w:top w:val="none" w:sz="0" w:space="0" w:color="auto"/>
        <w:left w:val="none" w:sz="0" w:space="0" w:color="auto"/>
        <w:bottom w:val="none" w:sz="0" w:space="0" w:color="auto"/>
        <w:right w:val="none" w:sz="0" w:space="0" w:color="auto"/>
      </w:divBdr>
    </w:div>
    <w:div w:id="1624851126">
      <w:bodyDiv w:val="1"/>
      <w:marLeft w:val="0"/>
      <w:marRight w:val="0"/>
      <w:marTop w:val="0"/>
      <w:marBottom w:val="0"/>
      <w:divBdr>
        <w:top w:val="none" w:sz="0" w:space="0" w:color="auto"/>
        <w:left w:val="none" w:sz="0" w:space="0" w:color="auto"/>
        <w:bottom w:val="none" w:sz="0" w:space="0" w:color="auto"/>
        <w:right w:val="none" w:sz="0" w:space="0" w:color="auto"/>
      </w:divBdr>
    </w:div>
    <w:div w:id="1643150485">
      <w:bodyDiv w:val="1"/>
      <w:marLeft w:val="0"/>
      <w:marRight w:val="0"/>
      <w:marTop w:val="0"/>
      <w:marBottom w:val="0"/>
      <w:divBdr>
        <w:top w:val="none" w:sz="0" w:space="0" w:color="auto"/>
        <w:left w:val="none" w:sz="0" w:space="0" w:color="auto"/>
        <w:bottom w:val="none" w:sz="0" w:space="0" w:color="auto"/>
        <w:right w:val="none" w:sz="0" w:space="0" w:color="auto"/>
      </w:divBdr>
      <w:divsChild>
        <w:div w:id="412120632">
          <w:marLeft w:val="0"/>
          <w:marRight w:val="0"/>
          <w:marTop w:val="0"/>
          <w:marBottom w:val="0"/>
          <w:divBdr>
            <w:top w:val="none" w:sz="0" w:space="0" w:color="auto"/>
            <w:left w:val="none" w:sz="0" w:space="0" w:color="auto"/>
            <w:bottom w:val="none" w:sz="0" w:space="0" w:color="auto"/>
            <w:right w:val="none" w:sz="0" w:space="0" w:color="auto"/>
          </w:divBdr>
          <w:divsChild>
            <w:div w:id="25034823">
              <w:marLeft w:val="0"/>
              <w:marRight w:val="0"/>
              <w:marTop w:val="0"/>
              <w:marBottom w:val="0"/>
              <w:divBdr>
                <w:top w:val="none" w:sz="0" w:space="0" w:color="auto"/>
                <w:left w:val="none" w:sz="0" w:space="0" w:color="auto"/>
                <w:bottom w:val="none" w:sz="0" w:space="0" w:color="auto"/>
                <w:right w:val="none" w:sz="0" w:space="0" w:color="auto"/>
              </w:divBdr>
              <w:divsChild>
                <w:div w:id="47730166">
                  <w:marLeft w:val="0"/>
                  <w:marRight w:val="0"/>
                  <w:marTop w:val="0"/>
                  <w:marBottom w:val="0"/>
                  <w:divBdr>
                    <w:top w:val="none" w:sz="0" w:space="0" w:color="auto"/>
                    <w:left w:val="none" w:sz="0" w:space="0" w:color="auto"/>
                    <w:bottom w:val="none" w:sz="0" w:space="0" w:color="auto"/>
                    <w:right w:val="none" w:sz="0" w:space="0" w:color="auto"/>
                  </w:divBdr>
                  <w:divsChild>
                    <w:div w:id="94986147">
                      <w:marLeft w:val="0"/>
                      <w:marRight w:val="0"/>
                      <w:marTop w:val="0"/>
                      <w:marBottom w:val="0"/>
                      <w:divBdr>
                        <w:top w:val="none" w:sz="0" w:space="0" w:color="auto"/>
                        <w:left w:val="none" w:sz="0" w:space="0" w:color="auto"/>
                        <w:bottom w:val="none" w:sz="0" w:space="0" w:color="auto"/>
                        <w:right w:val="none" w:sz="0" w:space="0" w:color="auto"/>
                      </w:divBdr>
                      <w:divsChild>
                        <w:div w:id="831599616">
                          <w:marLeft w:val="0"/>
                          <w:marRight w:val="0"/>
                          <w:marTop w:val="0"/>
                          <w:marBottom w:val="0"/>
                          <w:divBdr>
                            <w:top w:val="none" w:sz="0" w:space="0" w:color="auto"/>
                            <w:left w:val="none" w:sz="0" w:space="0" w:color="auto"/>
                            <w:bottom w:val="none" w:sz="0" w:space="0" w:color="auto"/>
                            <w:right w:val="none" w:sz="0" w:space="0" w:color="auto"/>
                          </w:divBdr>
                          <w:divsChild>
                            <w:div w:id="35666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20">
      <w:bodyDiv w:val="1"/>
      <w:marLeft w:val="0"/>
      <w:marRight w:val="0"/>
      <w:marTop w:val="0"/>
      <w:marBottom w:val="0"/>
      <w:divBdr>
        <w:top w:val="none" w:sz="0" w:space="0" w:color="auto"/>
        <w:left w:val="none" w:sz="0" w:space="0" w:color="auto"/>
        <w:bottom w:val="none" w:sz="0" w:space="0" w:color="auto"/>
        <w:right w:val="none" w:sz="0" w:space="0" w:color="auto"/>
      </w:divBdr>
    </w:div>
    <w:div w:id="1757945194">
      <w:bodyDiv w:val="1"/>
      <w:marLeft w:val="0"/>
      <w:marRight w:val="0"/>
      <w:marTop w:val="0"/>
      <w:marBottom w:val="0"/>
      <w:divBdr>
        <w:top w:val="none" w:sz="0" w:space="0" w:color="auto"/>
        <w:left w:val="none" w:sz="0" w:space="0" w:color="auto"/>
        <w:bottom w:val="none" w:sz="0" w:space="0" w:color="auto"/>
        <w:right w:val="none" w:sz="0" w:space="0" w:color="auto"/>
      </w:divBdr>
    </w:div>
    <w:div w:id="1793672921">
      <w:bodyDiv w:val="1"/>
      <w:marLeft w:val="0"/>
      <w:marRight w:val="0"/>
      <w:marTop w:val="0"/>
      <w:marBottom w:val="0"/>
      <w:divBdr>
        <w:top w:val="none" w:sz="0" w:space="0" w:color="auto"/>
        <w:left w:val="none" w:sz="0" w:space="0" w:color="auto"/>
        <w:bottom w:val="none" w:sz="0" w:space="0" w:color="auto"/>
        <w:right w:val="none" w:sz="0" w:space="0" w:color="auto"/>
      </w:divBdr>
    </w:div>
    <w:div w:id="1798135200">
      <w:bodyDiv w:val="1"/>
      <w:marLeft w:val="0"/>
      <w:marRight w:val="0"/>
      <w:marTop w:val="0"/>
      <w:marBottom w:val="0"/>
      <w:divBdr>
        <w:top w:val="none" w:sz="0" w:space="0" w:color="auto"/>
        <w:left w:val="none" w:sz="0" w:space="0" w:color="auto"/>
        <w:bottom w:val="none" w:sz="0" w:space="0" w:color="auto"/>
        <w:right w:val="none" w:sz="0" w:space="0" w:color="auto"/>
      </w:divBdr>
    </w:div>
    <w:div w:id="1848249837">
      <w:bodyDiv w:val="1"/>
      <w:marLeft w:val="0"/>
      <w:marRight w:val="0"/>
      <w:marTop w:val="0"/>
      <w:marBottom w:val="0"/>
      <w:divBdr>
        <w:top w:val="none" w:sz="0" w:space="0" w:color="auto"/>
        <w:left w:val="none" w:sz="0" w:space="0" w:color="auto"/>
        <w:bottom w:val="none" w:sz="0" w:space="0" w:color="auto"/>
        <w:right w:val="none" w:sz="0" w:space="0" w:color="auto"/>
      </w:divBdr>
    </w:div>
    <w:div w:id="1867867252">
      <w:bodyDiv w:val="1"/>
      <w:marLeft w:val="0"/>
      <w:marRight w:val="0"/>
      <w:marTop w:val="0"/>
      <w:marBottom w:val="0"/>
      <w:divBdr>
        <w:top w:val="none" w:sz="0" w:space="0" w:color="auto"/>
        <w:left w:val="none" w:sz="0" w:space="0" w:color="auto"/>
        <w:bottom w:val="none" w:sz="0" w:space="0" w:color="auto"/>
        <w:right w:val="none" w:sz="0" w:space="0" w:color="auto"/>
      </w:divBdr>
    </w:div>
    <w:div w:id="1927959771">
      <w:bodyDiv w:val="1"/>
      <w:marLeft w:val="0"/>
      <w:marRight w:val="0"/>
      <w:marTop w:val="0"/>
      <w:marBottom w:val="0"/>
      <w:divBdr>
        <w:top w:val="none" w:sz="0" w:space="0" w:color="auto"/>
        <w:left w:val="none" w:sz="0" w:space="0" w:color="auto"/>
        <w:bottom w:val="none" w:sz="0" w:space="0" w:color="auto"/>
        <w:right w:val="none" w:sz="0" w:space="0" w:color="auto"/>
      </w:divBdr>
      <w:divsChild>
        <w:div w:id="1304306900">
          <w:marLeft w:val="0"/>
          <w:marRight w:val="0"/>
          <w:marTop w:val="0"/>
          <w:marBottom w:val="0"/>
          <w:divBdr>
            <w:top w:val="none" w:sz="0" w:space="0" w:color="auto"/>
            <w:left w:val="none" w:sz="0" w:space="0" w:color="auto"/>
            <w:bottom w:val="none" w:sz="0" w:space="0" w:color="auto"/>
            <w:right w:val="none" w:sz="0" w:space="0" w:color="auto"/>
          </w:divBdr>
          <w:divsChild>
            <w:div w:id="1622612756">
              <w:marLeft w:val="0"/>
              <w:marRight w:val="0"/>
              <w:marTop w:val="0"/>
              <w:marBottom w:val="0"/>
              <w:divBdr>
                <w:top w:val="none" w:sz="0" w:space="0" w:color="auto"/>
                <w:left w:val="none" w:sz="0" w:space="0" w:color="auto"/>
                <w:bottom w:val="none" w:sz="0" w:space="0" w:color="auto"/>
                <w:right w:val="none" w:sz="0" w:space="0" w:color="auto"/>
              </w:divBdr>
              <w:divsChild>
                <w:div w:id="780298707">
                  <w:marLeft w:val="0"/>
                  <w:marRight w:val="0"/>
                  <w:marTop w:val="0"/>
                  <w:marBottom w:val="0"/>
                  <w:divBdr>
                    <w:top w:val="none" w:sz="0" w:space="0" w:color="auto"/>
                    <w:left w:val="none" w:sz="0" w:space="0" w:color="auto"/>
                    <w:bottom w:val="none" w:sz="0" w:space="0" w:color="auto"/>
                    <w:right w:val="none" w:sz="0" w:space="0" w:color="auto"/>
                  </w:divBdr>
                  <w:divsChild>
                    <w:div w:id="494226135">
                      <w:marLeft w:val="0"/>
                      <w:marRight w:val="0"/>
                      <w:marTop w:val="0"/>
                      <w:marBottom w:val="0"/>
                      <w:divBdr>
                        <w:top w:val="none" w:sz="0" w:space="0" w:color="auto"/>
                        <w:left w:val="none" w:sz="0" w:space="0" w:color="auto"/>
                        <w:bottom w:val="none" w:sz="0" w:space="0" w:color="auto"/>
                        <w:right w:val="none" w:sz="0" w:space="0" w:color="auto"/>
                      </w:divBdr>
                      <w:divsChild>
                        <w:div w:id="1592816859">
                          <w:marLeft w:val="0"/>
                          <w:marRight w:val="0"/>
                          <w:marTop w:val="0"/>
                          <w:marBottom w:val="0"/>
                          <w:divBdr>
                            <w:top w:val="none" w:sz="0" w:space="0" w:color="auto"/>
                            <w:left w:val="none" w:sz="0" w:space="0" w:color="auto"/>
                            <w:bottom w:val="none" w:sz="0" w:space="0" w:color="auto"/>
                            <w:right w:val="none" w:sz="0" w:space="0" w:color="auto"/>
                          </w:divBdr>
                          <w:divsChild>
                            <w:div w:id="8971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464736">
      <w:bodyDiv w:val="1"/>
      <w:marLeft w:val="0"/>
      <w:marRight w:val="0"/>
      <w:marTop w:val="0"/>
      <w:marBottom w:val="0"/>
      <w:divBdr>
        <w:top w:val="none" w:sz="0" w:space="0" w:color="auto"/>
        <w:left w:val="none" w:sz="0" w:space="0" w:color="auto"/>
        <w:bottom w:val="none" w:sz="0" w:space="0" w:color="auto"/>
        <w:right w:val="none" w:sz="0" w:space="0" w:color="auto"/>
      </w:divBdr>
    </w:div>
    <w:div w:id="1932734754">
      <w:bodyDiv w:val="1"/>
      <w:marLeft w:val="0"/>
      <w:marRight w:val="0"/>
      <w:marTop w:val="0"/>
      <w:marBottom w:val="0"/>
      <w:divBdr>
        <w:top w:val="none" w:sz="0" w:space="0" w:color="auto"/>
        <w:left w:val="none" w:sz="0" w:space="0" w:color="auto"/>
        <w:bottom w:val="none" w:sz="0" w:space="0" w:color="auto"/>
        <w:right w:val="none" w:sz="0" w:space="0" w:color="auto"/>
      </w:divBdr>
    </w:div>
    <w:div w:id="1991132499">
      <w:bodyDiv w:val="1"/>
      <w:marLeft w:val="0"/>
      <w:marRight w:val="0"/>
      <w:marTop w:val="0"/>
      <w:marBottom w:val="0"/>
      <w:divBdr>
        <w:top w:val="none" w:sz="0" w:space="0" w:color="auto"/>
        <w:left w:val="none" w:sz="0" w:space="0" w:color="auto"/>
        <w:bottom w:val="none" w:sz="0" w:space="0" w:color="auto"/>
        <w:right w:val="none" w:sz="0" w:space="0" w:color="auto"/>
      </w:divBdr>
    </w:div>
    <w:div w:id="2055736023">
      <w:bodyDiv w:val="1"/>
      <w:marLeft w:val="0"/>
      <w:marRight w:val="0"/>
      <w:marTop w:val="0"/>
      <w:marBottom w:val="0"/>
      <w:divBdr>
        <w:top w:val="none" w:sz="0" w:space="0" w:color="auto"/>
        <w:left w:val="none" w:sz="0" w:space="0" w:color="auto"/>
        <w:bottom w:val="none" w:sz="0" w:space="0" w:color="auto"/>
        <w:right w:val="none" w:sz="0" w:space="0" w:color="auto"/>
      </w:divBdr>
    </w:div>
    <w:div w:id="2077628685">
      <w:bodyDiv w:val="1"/>
      <w:marLeft w:val="0"/>
      <w:marRight w:val="0"/>
      <w:marTop w:val="0"/>
      <w:marBottom w:val="0"/>
      <w:divBdr>
        <w:top w:val="none" w:sz="0" w:space="0" w:color="auto"/>
        <w:left w:val="none" w:sz="0" w:space="0" w:color="auto"/>
        <w:bottom w:val="none" w:sz="0" w:space="0" w:color="auto"/>
        <w:right w:val="none" w:sz="0" w:space="0" w:color="auto"/>
      </w:divBdr>
    </w:div>
    <w:div w:id="209790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hdphoto" Target="media/hdphoto2.wdp"/><Relationship Id="rId26" Type="http://schemas.openxmlformats.org/officeDocument/2006/relationships/image" Target="media/image12.emf"/><Relationship Id="rId39" Type="http://schemas.microsoft.com/office/2007/relationships/hdphoto" Target="media/hdphoto8.wdp"/><Relationship Id="rId21" Type="http://schemas.openxmlformats.org/officeDocument/2006/relationships/image" Target="media/image7.emf"/><Relationship Id="rId34" Type="http://schemas.openxmlformats.org/officeDocument/2006/relationships/image" Target="media/image17.png"/><Relationship Id="rId42" Type="http://schemas.openxmlformats.org/officeDocument/2006/relationships/image" Target="media/image21.png"/><Relationship Id="rId47" Type="http://schemas.microsoft.com/office/2007/relationships/hdphoto" Target="media/hdphoto12.wdp"/><Relationship Id="rId50" Type="http://schemas.openxmlformats.org/officeDocument/2006/relationships/image" Target="media/image25.tmp"/><Relationship Id="rId55" Type="http://schemas.openxmlformats.org/officeDocument/2006/relationships/image" Target="media/image28.png"/><Relationship Id="rId63" Type="http://schemas.microsoft.com/office/2007/relationships/hdphoto" Target="media/hdphoto19.wdp"/><Relationship Id="rId68" Type="http://schemas.openxmlformats.org/officeDocument/2006/relationships/image" Target="media/image36.png"/><Relationship Id="rId76" Type="http://schemas.openxmlformats.org/officeDocument/2006/relationships/header" Target="header4.xml"/><Relationship Id="rId84" Type="http://schemas.openxmlformats.org/officeDocument/2006/relationships/header" Target="header8.xml"/><Relationship Id="rId7" Type="http://schemas.openxmlformats.org/officeDocument/2006/relationships/footnotes" Target="footnotes.xml"/><Relationship Id="rId71" Type="http://schemas.microsoft.com/office/2007/relationships/hdphoto" Target="media/hdphoto22.wdp"/><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4.tmp"/><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6.png"/><Relationship Id="rId37" Type="http://schemas.microsoft.com/office/2007/relationships/hdphoto" Target="media/hdphoto7.wdp"/><Relationship Id="rId40" Type="http://schemas.openxmlformats.org/officeDocument/2006/relationships/image" Target="media/image20.png"/><Relationship Id="rId45" Type="http://schemas.microsoft.com/office/2007/relationships/hdphoto" Target="media/hdphoto11.wdp"/><Relationship Id="rId53" Type="http://schemas.openxmlformats.org/officeDocument/2006/relationships/image" Target="media/image27.png"/><Relationship Id="rId58" Type="http://schemas.openxmlformats.org/officeDocument/2006/relationships/image" Target="media/image30.png"/><Relationship Id="rId66" Type="http://schemas.microsoft.com/office/2007/relationships/hdphoto" Target="media/hdphoto20.wdp"/><Relationship Id="rId74" Type="http://schemas.openxmlformats.org/officeDocument/2006/relationships/hyperlink" Target="https://www.tga.gov.au/product-information-pi" TargetMode="External"/><Relationship Id="rId79" Type="http://schemas.openxmlformats.org/officeDocument/2006/relationships/hyperlink" Target="mailto:info@tga.gov.au" TargetMode="External"/><Relationship Id="rId87" Type="http://schemas.openxmlformats.org/officeDocument/2006/relationships/theme" Target="theme/theme1.xml"/><Relationship Id="rId5" Type="http://schemas.openxmlformats.org/officeDocument/2006/relationships/settings" Target="settings.xml"/><Relationship Id="rId61" Type="http://schemas.microsoft.com/office/2007/relationships/hdphoto" Target="media/hdphoto18.wdp"/><Relationship Id="rId82" Type="http://schemas.openxmlformats.org/officeDocument/2006/relationships/header" Target="header7.xml"/><Relationship Id="rId19" Type="http://schemas.openxmlformats.org/officeDocument/2006/relationships/hyperlink" Target="https://www.tga.gov.au/product-information-pi"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tm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image" Target="media/image24.png"/><Relationship Id="rId56" Type="http://schemas.microsoft.com/office/2007/relationships/hdphoto" Target="media/hdphoto16.wdp"/><Relationship Id="rId64" Type="http://schemas.openxmlformats.org/officeDocument/2006/relationships/image" Target="media/image33.tmp"/><Relationship Id="rId69" Type="http://schemas.microsoft.com/office/2007/relationships/hdphoto" Target="media/hdphoto21.wdp"/><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8.png"/><Relationship Id="rId80" Type="http://schemas.openxmlformats.org/officeDocument/2006/relationships/hyperlink" Target="https://www.tga.gov.au"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emf"/><Relationship Id="rId33" Type="http://schemas.microsoft.com/office/2007/relationships/hdphoto" Target="media/hdphoto5.wdp"/><Relationship Id="rId38" Type="http://schemas.openxmlformats.org/officeDocument/2006/relationships/image" Target="media/image19.png"/><Relationship Id="rId46" Type="http://schemas.openxmlformats.org/officeDocument/2006/relationships/image" Target="media/image23.png"/><Relationship Id="rId59" Type="http://schemas.microsoft.com/office/2007/relationships/hdphoto" Target="media/hdphoto17.wdp"/><Relationship Id="rId67" Type="http://schemas.openxmlformats.org/officeDocument/2006/relationships/image" Target="media/image35.tmp"/><Relationship Id="rId20" Type="http://schemas.openxmlformats.org/officeDocument/2006/relationships/image" Target="media/image6.png"/><Relationship Id="rId41" Type="http://schemas.microsoft.com/office/2007/relationships/hdphoto" Target="media/hdphoto9.wdp"/><Relationship Id="rId54" Type="http://schemas.microsoft.com/office/2007/relationships/hdphoto" Target="media/hdphoto15.wdp"/><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header" Target="header3.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microsoft.com/office/2007/relationships/hdphoto" Target="media/hdphoto3.wdp"/><Relationship Id="rId36" Type="http://schemas.openxmlformats.org/officeDocument/2006/relationships/image" Target="media/image18.png"/><Relationship Id="rId49" Type="http://schemas.microsoft.com/office/2007/relationships/hdphoto" Target="media/hdphoto13.wdp"/><Relationship Id="rId57" Type="http://schemas.openxmlformats.org/officeDocument/2006/relationships/image" Target="media/image29.tmp"/><Relationship Id="rId10" Type="http://schemas.openxmlformats.org/officeDocument/2006/relationships/hyperlink" Target="mailto:tga.copyright@tga.gov.au" TargetMode="External"/><Relationship Id="rId31" Type="http://schemas.microsoft.com/office/2007/relationships/hdphoto" Target="media/hdphoto4.wdp"/><Relationship Id="rId44" Type="http://schemas.openxmlformats.org/officeDocument/2006/relationships/image" Target="media/image22.png"/><Relationship Id="rId52" Type="http://schemas.microsoft.com/office/2007/relationships/hdphoto" Target="media/hdphoto14.wdp"/><Relationship Id="rId60" Type="http://schemas.openxmlformats.org/officeDocument/2006/relationships/image" Target="media/image31.png"/><Relationship Id="rId65" Type="http://schemas.openxmlformats.org/officeDocument/2006/relationships/image" Target="media/image34.png"/><Relationship Id="rId73" Type="http://schemas.microsoft.com/office/2007/relationships/hdphoto" Target="media/hdphoto23.wdp"/><Relationship Id="rId78" Type="http://schemas.openxmlformats.org/officeDocument/2006/relationships/footer" Target="footer2.xml"/><Relationship Id="rId81" Type="http://schemas.openxmlformats.org/officeDocument/2006/relationships/header" Target="header6.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x.doi.org/10.1016/j.tmaid.2017.05.00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580\t0PIWX70.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BA281-DC88-4479-AA3C-CC8B9EEC8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t0PIWX70.DOTX</Template>
  <TotalTime>13</TotalTime>
  <Pages>80</Pages>
  <Words>26391</Words>
  <Characters>145156</Characters>
  <Application>Microsoft Office Word</Application>
  <DocSecurity>0</DocSecurity>
  <Lines>3721</Lines>
  <Paragraphs>1786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169761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Tafenoquine succinate</dc:title>
  <dc:subject>prescription medicines</dc:subject>
  <dc:creator> Therapeutic Goods Administration</dc:creator>
  <cp:keywords>AusPARs</cp:keywords>
  <cp:lastModifiedBy>LACK, Janet</cp:lastModifiedBy>
  <cp:revision>4</cp:revision>
  <cp:lastPrinted>2018-11-19T22:49:00Z</cp:lastPrinted>
  <dcterms:created xsi:type="dcterms:W3CDTF">2019-06-24T23:40:00Z</dcterms:created>
  <dcterms:modified xsi:type="dcterms:W3CDTF">2019-06-25T01:30:00Z</dcterms:modified>
  <cp:category/>
</cp:coreProperties>
</file>