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A7930" w14:textId="17811AB7" w:rsidR="002F5236" w:rsidRDefault="002F5236" w:rsidP="00243A31">
      <w:pPr>
        <w:pStyle w:val="CLDNormal"/>
        <w:rPr>
          <w:rFonts w:eastAsiaTheme="minorHAnsi"/>
          <w:lang w:val="en-AU"/>
        </w:rPr>
      </w:pPr>
      <w:r w:rsidRPr="002F5236">
        <w:rPr>
          <w:rFonts w:asciiTheme="minorHAnsi" w:eastAsiaTheme="minorHAnsi" w:hAnsiTheme="minorHAnsi"/>
          <w:noProof/>
          <w:lang w:val="en-AU" w:eastAsia="en-AU"/>
        </w:rPr>
        <mc:AlternateContent>
          <mc:Choice Requires="wps">
            <w:drawing>
              <wp:inline distT="0" distB="0" distL="0" distR="0" wp14:anchorId="100819C1" wp14:editId="21D0C97F">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1E852" w14:textId="77777777" w:rsidR="00A44966" w:rsidRPr="00BE2A26" w:rsidRDefault="00A44966" w:rsidP="002F5236">
                            <w:pPr>
                              <w:spacing w:after="0"/>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00819C1"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4x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oX&#10;GCnSAUX3fPDoRg+oCN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BvYfjF0AgAA/gQAAA4AAAAAAAAAAAAA&#10;AAAALgIAAGRycy9lMm9Eb2MueG1sUEsBAi0AFAAGAAgAAAAhAGP1TgzZAAAAAwEAAA8AAAAAAAAA&#10;AAAAAAAAzgQAAGRycy9kb3ducmV2LnhtbFBLBQYAAAAABAAEAPMAAADUBQAAAAA=&#10;" stroked="f">
                <v:textbox inset="0,0,0,0">
                  <w:txbxContent>
                    <w:p w14:paraId="4FC1E852" w14:textId="77777777" w:rsidR="00A44966" w:rsidRPr="00BE2A26" w:rsidRDefault="00A44966" w:rsidP="002F5236">
                      <w:pPr>
                        <w:spacing w:after="0"/>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2F5236">
        <w:rPr>
          <w:rFonts w:eastAsiaTheme="minorHAnsi"/>
          <w:lang w:val="en-AU"/>
        </w:rPr>
        <w:t>This medicinal product is subject to additional monitoring in Australia</w:t>
      </w:r>
      <w:r w:rsidR="00BB4E33">
        <w:rPr>
          <w:rFonts w:eastAsiaTheme="minorHAnsi"/>
          <w:lang w:val="en-AU"/>
        </w:rPr>
        <w:t xml:space="preserve">.  </w:t>
      </w:r>
      <w:r w:rsidRPr="002F5236">
        <w:rPr>
          <w:rFonts w:eastAsiaTheme="minorHAnsi"/>
          <w:lang w:val="en-AU"/>
        </w:rPr>
        <w:t>This will allow quick identification of new safety information</w:t>
      </w:r>
      <w:r w:rsidR="00BB4E33">
        <w:rPr>
          <w:rFonts w:eastAsiaTheme="minorHAnsi"/>
          <w:lang w:val="en-AU"/>
        </w:rPr>
        <w:t xml:space="preserve">.  </w:t>
      </w:r>
      <w:r w:rsidRPr="002F5236">
        <w:rPr>
          <w:rFonts w:eastAsiaTheme="minorHAnsi"/>
          <w:lang w:val="en-AU"/>
        </w:rPr>
        <w:t xml:space="preserve">Healthcare professionals are asked to report any suspected adverse events </w:t>
      </w:r>
      <w:hyperlink r:id="rId12" w:history="1">
        <w:r w:rsidR="008050F6">
          <w:rPr>
            <w:rStyle w:val="Hyperlink"/>
            <w:rFonts w:eastAsiaTheme="minorHAnsi"/>
            <w:lang w:val="en-AU"/>
          </w:rPr>
          <w:t>www.tga.gov.au/reporting-problems</w:t>
        </w:r>
      </w:hyperlink>
      <w:r w:rsidRPr="002F5236">
        <w:rPr>
          <w:rFonts w:eastAsiaTheme="minorHAnsi"/>
          <w:lang w:val="en-AU"/>
        </w:rPr>
        <w:t>.</w:t>
      </w:r>
    </w:p>
    <w:p w14:paraId="46E53F08" w14:textId="6E132F24" w:rsidR="005F0573" w:rsidRPr="00D01328" w:rsidRDefault="00A72C9D" w:rsidP="00EA197E">
      <w:pPr>
        <w:pStyle w:val="CLDTITLE"/>
        <w:rPr>
          <w:color w:val="FF0000"/>
        </w:rPr>
      </w:pPr>
      <w:r>
        <w:t xml:space="preserve">AUSTRALIAN PRODUCT INFORMATION </w:t>
      </w:r>
      <w:r w:rsidR="005C60BF">
        <w:t xml:space="preserve">- </w:t>
      </w:r>
      <w:r>
        <w:t>VYNDAQEL</w:t>
      </w:r>
      <w:r w:rsidR="000804CE" w:rsidRPr="00D01328">
        <w:rPr>
          <w:vertAlign w:val="superscript"/>
        </w:rPr>
        <w:t>®</w:t>
      </w:r>
      <w:r w:rsidR="003B255D" w:rsidRPr="00D01328">
        <w:t xml:space="preserve"> (</w:t>
      </w:r>
      <w:r>
        <w:t>tafamidis</w:t>
      </w:r>
      <w:r w:rsidR="00917414" w:rsidRPr="00914EEA">
        <w:rPr>
          <w:sz w:val="24"/>
          <w:szCs w:val="24"/>
        </w:rPr>
        <w:t xml:space="preserve"> </w:t>
      </w:r>
      <w:r w:rsidR="00917414" w:rsidRPr="00EA197E">
        <w:t>meglumine</w:t>
      </w:r>
      <w:r w:rsidR="003503EA">
        <w:t>)</w:t>
      </w:r>
      <w:r w:rsidR="008B650B">
        <w:t xml:space="preserve"> soft capsules</w:t>
      </w:r>
    </w:p>
    <w:p w14:paraId="46E53F09" w14:textId="1DBD316D" w:rsidR="00EB4D43" w:rsidRPr="00643055" w:rsidRDefault="00E60520" w:rsidP="00643055">
      <w:pPr>
        <w:pStyle w:val="CLDHeading1"/>
      </w:pPr>
      <w:r w:rsidRPr="00643055">
        <w:t>1.</w:t>
      </w:r>
      <w:r w:rsidR="00294A15" w:rsidRPr="00643055">
        <w:tab/>
      </w:r>
      <w:r w:rsidRPr="00643055">
        <w:t>NAME</w:t>
      </w:r>
      <w:r w:rsidR="003B255D" w:rsidRPr="00643055">
        <w:t xml:space="preserve"> OF THE MEDICINE</w:t>
      </w:r>
    </w:p>
    <w:p w14:paraId="548CFD5A" w14:textId="1B850E6E" w:rsidR="00636841" w:rsidRDefault="006C2EAD" w:rsidP="001421CE">
      <w:pPr>
        <w:pStyle w:val="CLDNormal"/>
        <w:rPr>
          <w:color w:val="7030A0"/>
        </w:rPr>
      </w:pPr>
      <w:r>
        <w:t>T</w:t>
      </w:r>
      <w:r w:rsidR="003503EA">
        <w:t>afamidis</w:t>
      </w:r>
      <w:r w:rsidR="00917414">
        <w:t xml:space="preserve"> meglumine</w:t>
      </w:r>
    </w:p>
    <w:p w14:paraId="46E53F0D" w14:textId="4350460B" w:rsidR="00EB4D43" w:rsidRPr="00924CC2" w:rsidRDefault="00294A15" w:rsidP="00643055">
      <w:pPr>
        <w:pStyle w:val="CLDHeading1"/>
      </w:pPr>
      <w:r>
        <w:t>2.</w:t>
      </w:r>
      <w:r>
        <w:tab/>
      </w:r>
      <w:r w:rsidR="0018348D">
        <w:t>QUALITATIVE AND QUANTITATIVE COMPOSITION</w:t>
      </w:r>
    </w:p>
    <w:p w14:paraId="70BE3B31" w14:textId="39B3DF87" w:rsidR="005D4607" w:rsidRDefault="005D4607" w:rsidP="006C2EAD">
      <w:pPr>
        <w:pStyle w:val="CLDNormal"/>
        <w:rPr>
          <w:rFonts w:eastAsia="TimesNewRoman"/>
          <w:vertAlign w:val="superscript"/>
        </w:rPr>
      </w:pPr>
      <w:r w:rsidRPr="00343702">
        <w:rPr>
          <w:rFonts w:eastAsia="TimesNewRoman"/>
        </w:rPr>
        <w:t>The drug product is a soft caps</w:t>
      </w:r>
      <w:r w:rsidR="000C2273">
        <w:rPr>
          <w:rFonts w:eastAsia="TimesNewRoman"/>
        </w:rPr>
        <w:t>ule containing 20 mg of micronis</w:t>
      </w:r>
      <w:r w:rsidRPr="00343702">
        <w:rPr>
          <w:rFonts w:eastAsia="TimesNewRoman"/>
        </w:rPr>
        <w:t xml:space="preserve">ed tafamidis </w:t>
      </w:r>
      <w:r w:rsidRPr="00343702">
        <w:t>meglumine</w:t>
      </w:r>
      <w:r>
        <w:t xml:space="preserve"> (equivalent to </w:t>
      </w:r>
      <w:r w:rsidRPr="00343702">
        <w:rPr>
          <w:rFonts w:eastAsia="TimesNewRoman"/>
        </w:rPr>
        <w:t xml:space="preserve">12.2 mg </w:t>
      </w:r>
      <w:r>
        <w:rPr>
          <w:rFonts w:eastAsia="TimesNewRoman"/>
        </w:rPr>
        <w:t>tafamidis).</w:t>
      </w:r>
    </w:p>
    <w:p w14:paraId="4CF1AFDA" w14:textId="1B11A729" w:rsidR="005D4607" w:rsidRPr="00896B65" w:rsidRDefault="00192FE4" w:rsidP="006C2EAD">
      <w:pPr>
        <w:pStyle w:val="CLDNormal"/>
        <w:rPr>
          <w:rFonts w:eastAsia="TimesNewRoman"/>
        </w:rPr>
      </w:pPr>
      <w:r>
        <w:rPr>
          <w:rFonts w:eastAsia="TimesNewRoman"/>
        </w:rPr>
        <w:t>E</w:t>
      </w:r>
      <w:r w:rsidR="005D4607" w:rsidRPr="00896B65">
        <w:rPr>
          <w:rFonts w:eastAsia="TimesNewRoman"/>
        </w:rPr>
        <w:t>ach soft capsule contains no more than 44 mg of sorbitol</w:t>
      </w:r>
      <w:r w:rsidR="005D4607">
        <w:rPr>
          <w:rFonts w:eastAsia="TimesNewRoman"/>
        </w:rPr>
        <w:t>.</w:t>
      </w:r>
    </w:p>
    <w:p w14:paraId="7B5A9A6F" w14:textId="5961FBEA" w:rsidR="0077433C" w:rsidRPr="00896B65" w:rsidRDefault="0077433C" w:rsidP="0077433C">
      <w:pPr>
        <w:pStyle w:val="CLDNormal"/>
        <w:rPr>
          <w:rFonts w:eastAsia="TimesNewRoman"/>
        </w:rPr>
      </w:pPr>
      <w:r>
        <w:rPr>
          <w:rFonts w:eastAsia="TimesNewRoman"/>
        </w:rPr>
        <w:t xml:space="preserve">The soft capsules contain </w:t>
      </w:r>
      <w:r w:rsidR="00184D42">
        <w:rPr>
          <w:rFonts w:eastAsia="TimesNewRoman"/>
        </w:rPr>
        <w:t>sulfites</w:t>
      </w:r>
      <w:r>
        <w:rPr>
          <w:rFonts w:eastAsia="TimesNewRoman"/>
        </w:rPr>
        <w:t>.</w:t>
      </w:r>
    </w:p>
    <w:p w14:paraId="781174C2" w14:textId="4E56910C" w:rsidR="00192FE4" w:rsidRPr="00192FE4" w:rsidRDefault="00192FE4" w:rsidP="006C2EAD">
      <w:pPr>
        <w:pStyle w:val="CLDNormal"/>
        <w:rPr>
          <w:rFonts w:eastAsia="TimesNewRoman"/>
        </w:rPr>
      </w:pPr>
      <w:r>
        <w:rPr>
          <w:rFonts w:eastAsia="TimesNewRoman"/>
        </w:rPr>
        <w:t>For the</w:t>
      </w:r>
      <w:r w:rsidRPr="00F35EFC">
        <w:rPr>
          <w:rFonts w:eastAsia="TimesNewRoman"/>
        </w:rPr>
        <w:t xml:space="preserve"> full lis</w:t>
      </w:r>
      <w:r w:rsidR="000C2273">
        <w:rPr>
          <w:rFonts w:eastAsia="TimesNewRoman"/>
        </w:rPr>
        <w:t>t of excipients, see Section 6.1</w:t>
      </w:r>
      <w:r w:rsidR="007B23CB">
        <w:rPr>
          <w:rFonts w:eastAsia="TimesNewRoman"/>
        </w:rPr>
        <w:t xml:space="preserve"> List of excipients</w:t>
      </w:r>
      <w:r w:rsidRPr="00F35EFC">
        <w:rPr>
          <w:rFonts w:eastAsia="TimesNewRoman"/>
        </w:rPr>
        <w:t>.</w:t>
      </w:r>
    </w:p>
    <w:p w14:paraId="46E53F13" w14:textId="6BA1142F" w:rsidR="0034484A" w:rsidRPr="002C0516" w:rsidRDefault="00932B9D" w:rsidP="00643055">
      <w:pPr>
        <w:pStyle w:val="CLDHeading1"/>
      </w:pPr>
      <w:r>
        <w:t>3.</w:t>
      </w:r>
      <w:r>
        <w:tab/>
      </w:r>
      <w:r w:rsidR="0018348D">
        <w:t>PHARMACEUTICAL FORM</w:t>
      </w:r>
    </w:p>
    <w:p w14:paraId="1BF76A53" w14:textId="467ED81F" w:rsidR="006C2EAD" w:rsidRPr="00F35EFC" w:rsidRDefault="006C2EAD" w:rsidP="006C2EAD">
      <w:pPr>
        <w:pStyle w:val="CLDNormal"/>
        <w:rPr>
          <w:rFonts w:eastAsia="TimesNewRoman"/>
          <w:color w:val="000000"/>
        </w:rPr>
      </w:pPr>
      <w:r w:rsidRPr="00F35EFC">
        <w:t xml:space="preserve">Soft </w:t>
      </w:r>
      <w:r w:rsidRPr="00F35EFC">
        <w:rPr>
          <w:rFonts w:eastAsia="TimesNewRoman"/>
          <w:color w:val="000000"/>
        </w:rPr>
        <w:t>capsule</w:t>
      </w:r>
      <w:r>
        <w:rPr>
          <w:rFonts w:eastAsia="TimesNewRoman"/>
          <w:color w:val="000000"/>
        </w:rPr>
        <w:t>.</w:t>
      </w:r>
    </w:p>
    <w:p w14:paraId="3D19EDA4" w14:textId="73494A4B" w:rsidR="008260CF" w:rsidRPr="008260CF" w:rsidRDefault="006C2EAD" w:rsidP="008260CF">
      <w:pPr>
        <w:pStyle w:val="CLDNormal"/>
      </w:pPr>
      <w:r w:rsidRPr="008260CF">
        <w:t>Yellow, opaque, oblong (approximately 21 mm) capsule printed with “VYN 20” in red.</w:t>
      </w:r>
    </w:p>
    <w:p w14:paraId="46E53F1D" w14:textId="624CAEC4" w:rsidR="00E4558F" w:rsidRDefault="00932B9D" w:rsidP="00643055">
      <w:pPr>
        <w:pStyle w:val="CLDHeading1"/>
      </w:pPr>
      <w:r>
        <w:t>4.</w:t>
      </w:r>
      <w:r>
        <w:tab/>
      </w:r>
      <w:r w:rsidR="0018348D">
        <w:t>CLINICAL PARTICULARS</w:t>
      </w:r>
    </w:p>
    <w:p w14:paraId="46E53F1E" w14:textId="5DECC37B" w:rsidR="00E60520" w:rsidRPr="00C035A6" w:rsidRDefault="00932B9D" w:rsidP="00755FFF">
      <w:pPr>
        <w:pStyle w:val="CLDHeading2"/>
        <w:rPr>
          <w:bCs/>
          <w:i/>
          <w:iCs/>
          <w:color w:val="FF0000"/>
        </w:rPr>
      </w:pPr>
      <w:r>
        <w:t>4.1</w:t>
      </w:r>
      <w:r>
        <w:tab/>
      </w:r>
      <w:r w:rsidR="004779F5">
        <w:t>Therapeutic i</w:t>
      </w:r>
      <w:r w:rsidR="00E60520" w:rsidRPr="00932B9D">
        <w:t>ndications</w:t>
      </w:r>
    </w:p>
    <w:p w14:paraId="5032FD0A" w14:textId="75F7356F" w:rsidR="003050DB" w:rsidRPr="00C13332" w:rsidRDefault="008260CF" w:rsidP="00FE1286">
      <w:pPr>
        <w:pStyle w:val="CLDNormal"/>
        <w:rPr>
          <w:rStyle w:val="Instructions"/>
          <w:i w:val="0"/>
          <w:color w:val="auto"/>
        </w:rPr>
      </w:pPr>
      <w:r w:rsidRPr="008260CF">
        <w:rPr>
          <w:rStyle w:val="Instructions"/>
          <w:i w:val="0"/>
          <w:color w:val="auto"/>
        </w:rPr>
        <w:t xml:space="preserve">VYNDAQEL is </w:t>
      </w:r>
      <w:r w:rsidRPr="008260CF">
        <w:t xml:space="preserve">indicated for the treatment of adult patients with </w:t>
      </w:r>
      <w:r w:rsidR="00000018">
        <w:t>wild</w:t>
      </w:r>
      <w:r w:rsidR="00000018">
        <w:noBreakHyphen/>
      </w:r>
      <w:r w:rsidRPr="00743BAB">
        <w:t xml:space="preserve">type or </w:t>
      </w:r>
      <w:r w:rsidRPr="00743BAB">
        <w:rPr>
          <w:iCs/>
        </w:rPr>
        <w:t xml:space="preserve">hereditary </w:t>
      </w:r>
      <w:r w:rsidR="00C13332" w:rsidRPr="008260CF">
        <w:t xml:space="preserve">transthyretin </w:t>
      </w:r>
      <w:r w:rsidR="009045F2">
        <w:rPr>
          <w:iCs/>
        </w:rPr>
        <w:t>amyloid</w:t>
      </w:r>
      <w:r w:rsidR="00C13332">
        <w:t xml:space="preserve"> </w:t>
      </w:r>
      <w:r w:rsidRPr="00743BAB">
        <w:rPr>
          <w:iCs/>
        </w:rPr>
        <w:t>cardiomyopathy</w:t>
      </w:r>
      <w:r w:rsidR="00BB1D67">
        <w:rPr>
          <w:iCs/>
        </w:rPr>
        <w:t xml:space="preserve"> (ATTR-CM)</w:t>
      </w:r>
      <w:r w:rsidRPr="00C13332">
        <w:t>.</w:t>
      </w:r>
      <w:r w:rsidRPr="00C13332">
        <w:rPr>
          <w:rStyle w:val="Instructions"/>
          <w:i w:val="0"/>
          <w:color w:val="auto"/>
        </w:rPr>
        <w:t xml:space="preserve"> </w:t>
      </w:r>
    </w:p>
    <w:p w14:paraId="46E53F21" w14:textId="16B71965" w:rsidR="00E60520" w:rsidRDefault="00932B9D" w:rsidP="00755FFF">
      <w:pPr>
        <w:pStyle w:val="CLDHeading2"/>
      </w:pPr>
      <w:r w:rsidRPr="00755FFF">
        <w:t>4.2</w:t>
      </w:r>
      <w:r w:rsidRPr="00755FFF">
        <w:tab/>
      </w:r>
      <w:r w:rsidR="004779F5" w:rsidRPr="00755FFF">
        <w:t>Dose and method of a</w:t>
      </w:r>
      <w:r w:rsidR="00E60520" w:rsidRPr="00755FFF">
        <w:t>dministration</w:t>
      </w:r>
    </w:p>
    <w:p w14:paraId="7C7E3362" w14:textId="27C9CAA7" w:rsidR="00BC5614" w:rsidRPr="001551AB" w:rsidRDefault="00BC5614" w:rsidP="001551AB">
      <w:pPr>
        <w:pStyle w:val="CLDNormal"/>
        <w:rPr>
          <w:rFonts w:eastAsia="SimSun"/>
        </w:rPr>
      </w:pPr>
      <w:r w:rsidRPr="001551AB">
        <w:rPr>
          <w:rFonts w:eastAsia="SimSun"/>
        </w:rPr>
        <w:t xml:space="preserve">Treatment should be initiated </w:t>
      </w:r>
      <w:r w:rsidR="004A62ED">
        <w:rPr>
          <w:rFonts w:eastAsia="SimSun"/>
        </w:rPr>
        <w:t>and remain under</w:t>
      </w:r>
      <w:r w:rsidR="004A62ED" w:rsidRPr="001551AB">
        <w:rPr>
          <w:rFonts w:eastAsia="SimSun"/>
        </w:rPr>
        <w:t xml:space="preserve"> </w:t>
      </w:r>
      <w:r w:rsidRPr="001551AB">
        <w:rPr>
          <w:rFonts w:eastAsia="SimSun"/>
        </w:rPr>
        <w:t>the supervision of a physician knowledgeable in the management of patients with transthyretin amyloid cardiomyopathy (ATTR-CM).</w:t>
      </w:r>
    </w:p>
    <w:p w14:paraId="7AC2B57C" w14:textId="1AB96024" w:rsidR="00405AB3" w:rsidRDefault="00405AB3" w:rsidP="00405AB3">
      <w:pPr>
        <w:pStyle w:val="CLDHeading3"/>
      </w:pPr>
      <w:r>
        <w:t>Dosage</w:t>
      </w:r>
    </w:p>
    <w:p w14:paraId="10862AF8" w14:textId="5EC75B2A" w:rsidR="00BC5614" w:rsidRDefault="008260CF" w:rsidP="00FE1286">
      <w:pPr>
        <w:pStyle w:val="CLDNormal"/>
      </w:pPr>
      <w:r w:rsidRPr="007E2343">
        <w:t xml:space="preserve">The recommended dose of </w:t>
      </w:r>
      <w:r w:rsidR="00405AB3">
        <w:t>VYNDAQEL</w:t>
      </w:r>
      <w:r w:rsidRPr="007E2343">
        <w:t xml:space="preserve"> is </w:t>
      </w:r>
      <w:r w:rsidR="001D678F" w:rsidRPr="001530F3">
        <w:rPr>
          <w:szCs w:val="24"/>
        </w:rPr>
        <w:t>80 mg tafamidis meglumine (administered as four 20 mg capsules) once daily.</w:t>
      </w:r>
    </w:p>
    <w:p w14:paraId="48136CDD" w14:textId="18C331FE" w:rsidR="00BC5614" w:rsidRDefault="00D53F0C" w:rsidP="00BC5614">
      <w:pPr>
        <w:pStyle w:val="CLDNormal"/>
      </w:pPr>
      <w:r>
        <w:lastRenderedPageBreak/>
        <w:t xml:space="preserve">A dose of </w:t>
      </w:r>
      <w:r w:rsidR="00CE6238" w:rsidRPr="00CE6238">
        <w:t xml:space="preserve">80 mg </w:t>
      </w:r>
      <w:r w:rsidR="000E4398">
        <w:t>VYNDAQEL (</w:t>
      </w:r>
      <w:r w:rsidR="00CE6238" w:rsidRPr="00CE6238">
        <w:t>tafamidis meglumine</w:t>
      </w:r>
      <w:r w:rsidR="000E4398">
        <w:t>)</w:t>
      </w:r>
      <w:r w:rsidR="00CE6238" w:rsidRPr="00CE6238">
        <w:t xml:space="preserve"> </w:t>
      </w:r>
      <w:r w:rsidR="000E4398">
        <w:t>(</w:t>
      </w:r>
      <w:r w:rsidR="00607380">
        <w:t xml:space="preserve">administered as </w:t>
      </w:r>
      <w:r w:rsidR="00CE6238" w:rsidRPr="00CE6238">
        <w:t xml:space="preserve">four 20 mg </w:t>
      </w:r>
      <w:r w:rsidR="000E4398">
        <w:t xml:space="preserve">VYNDAQEL </w:t>
      </w:r>
      <w:r w:rsidR="00CE6238" w:rsidRPr="00CE6238">
        <w:t>capsules</w:t>
      </w:r>
      <w:r w:rsidR="000E4398">
        <w:t>)</w:t>
      </w:r>
      <w:r w:rsidR="00CE6238" w:rsidRPr="00CE6238">
        <w:t xml:space="preserve"> </w:t>
      </w:r>
      <w:r w:rsidR="00BC5614" w:rsidRPr="00CE6238">
        <w:t xml:space="preserve">is bioequivalent to </w:t>
      </w:r>
      <w:r w:rsidR="00CE6238" w:rsidRPr="00CE6238">
        <w:t xml:space="preserve">a single 61 mg </w:t>
      </w:r>
      <w:r w:rsidR="000E4398">
        <w:t>VYNDAMAX (</w:t>
      </w:r>
      <w:r w:rsidR="00CE6238" w:rsidRPr="00CE6238">
        <w:t>tafamidis</w:t>
      </w:r>
      <w:r w:rsidR="000E4398">
        <w:t>)</w:t>
      </w:r>
      <w:r w:rsidR="00CE6238" w:rsidRPr="00CE6238">
        <w:t xml:space="preserve"> capsule</w:t>
      </w:r>
      <w:r w:rsidR="00D33D98">
        <w:t xml:space="preserve"> </w:t>
      </w:r>
      <w:r w:rsidR="00BC5614" w:rsidRPr="00CE6238">
        <w:t xml:space="preserve">and is not interchangeable on a per mg basis (see Section 5.1 </w:t>
      </w:r>
      <w:r w:rsidR="007B23CB">
        <w:t xml:space="preserve">Pharmacodynamic properties </w:t>
      </w:r>
      <w:r w:rsidR="00BC5614" w:rsidRPr="00CE6238">
        <w:t xml:space="preserve">and </w:t>
      </w:r>
      <w:r w:rsidR="00617622">
        <w:t xml:space="preserve">Section </w:t>
      </w:r>
      <w:r w:rsidR="00BC5614" w:rsidRPr="00CE6238">
        <w:t>5.2</w:t>
      </w:r>
      <w:r w:rsidR="007B23CB">
        <w:t xml:space="preserve"> Pharmacokinetic properties</w:t>
      </w:r>
      <w:r w:rsidR="00BC5614" w:rsidRPr="00CE6238">
        <w:t>).</w:t>
      </w:r>
    </w:p>
    <w:p w14:paraId="4F7E68A7" w14:textId="39AD68A9" w:rsidR="00E44C71" w:rsidRPr="007E2343" w:rsidRDefault="00E44C71" w:rsidP="00BC5614">
      <w:pPr>
        <w:pStyle w:val="CLDNormal"/>
      </w:pPr>
      <w:bookmarkStart w:id="0" w:name="_Hlk19018217"/>
      <w:r>
        <w:t>No dose ranging studies have been undertaken.</w:t>
      </w:r>
    </w:p>
    <w:bookmarkEnd w:id="0"/>
    <w:p w14:paraId="4BEBEAA9" w14:textId="77777777" w:rsidR="00405AB3" w:rsidRPr="008B4E7C" w:rsidRDefault="00405AB3" w:rsidP="00405AB3">
      <w:pPr>
        <w:pStyle w:val="CLDHeading3"/>
      </w:pPr>
      <w:r w:rsidRPr="008B4E7C">
        <w:t>Method of administration</w:t>
      </w:r>
    </w:p>
    <w:p w14:paraId="34962CFD" w14:textId="77777777" w:rsidR="00405AB3" w:rsidRPr="001551AB" w:rsidRDefault="00405AB3" w:rsidP="001551AB">
      <w:pPr>
        <w:pStyle w:val="CLDNormal"/>
      </w:pPr>
      <w:r w:rsidRPr="001551AB">
        <w:t>Oral</w:t>
      </w:r>
      <w:r w:rsidRPr="001551AB">
        <w:rPr>
          <w:rStyle w:val="Instructions"/>
          <w:i w:val="0"/>
          <w:iCs w:val="0"/>
          <w:color w:val="auto"/>
        </w:rPr>
        <w:t xml:space="preserve"> use.</w:t>
      </w:r>
    </w:p>
    <w:p w14:paraId="2A177B2D" w14:textId="07A6909C" w:rsidR="00854722" w:rsidRPr="001530F3" w:rsidRDefault="00854722" w:rsidP="001551AB">
      <w:pPr>
        <w:pStyle w:val="CLDNormal"/>
      </w:pPr>
      <w:r w:rsidRPr="001530F3">
        <w:t>The capsule</w:t>
      </w:r>
      <w:r w:rsidR="00930898">
        <w:t>(s)</w:t>
      </w:r>
      <w:r w:rsidRPr="001530F3">
        <w:t xml:space="preserve"> should be swallowe</w:t>
      </w:r>
      <w:r w:rsidR="003E411B">
        <w:t xml:space="preserve">d whole and not crushed or cut.  </w:t>
      </w:r>
      <w:r>
        <w:t>VYNDAQEL</w:t>
      </w:r>
      <w:r w:rsidRPr="001530F3">
        <w:t xml:space="preserve"> may be taken with or without food.</w:t>
      </w:r>
    </w:p>
    <w:p w14:paraId="7E071061" w14:textId="0C6C008F" w:rsidR="00854722" w:rsidRDefault="00854722" w:rsidP="001551AB">
      <w:pPr>
        <w:pStyle w:val="CLDNormal"/>
        <w:rPr>
          <w:vertAlign w:val="superscript"/>
        </w:rPr>
      </w:pPr>
      <w:r w:rsidRPr="001530F3">
        <w:t>If a dose is missed, the patient should take the dose as soon as remembered.</w:t>
      </w:r>
      <w:r>
        <w:t xml:space="preserve"> </w:t>
      </w:r>
      <w:r w:rsidRPr="001530F3">
        <w:t xml:space="preserve"> If it is almost time for the next dose, the patient should skip the missed dose and take the next dose at the regularly scheduled time. </w:t>
      </w:r>
      <w:r>
        <w:t xml:space="preserve"> </w:t>
      </w:r>
      <w:r w:rsidRPr="001530F3">
        <w:t>Do not double the dose.</w:t>
      </w:r>
    </w:p>
    <w:p w14:paraId="46E53F26" w14:textId="243E4DEB" w:rsidR="00932B9D" w:rsidRDefault="00932B9D" w:rsidP="00755FFF">
      <w:pPr>
        <w:pStyle w:val="CLDHeading3"/>
      </w:pPr>
      <w:r>
        <w:t>Dos</w:t>
      </w:r>
      <w:r w:rsidR="00837C3E">
        <w:t>age</w:t>
      </w:r>
      <w:r w:rsidR="00243A31">
        <w:t xml:space="preserve"> a</w:t>
      </w:r>
      <w:r>
        <w:t>djustment</w:t>
      </w:r>
    </w:p>
    <w:p w14:paraId="5A0A70D9" w14:textId="2AF8449C" w:rsidR="005B513D" w:rsidRPr="001551AB" w:rsidRDefault="005B513D" w:rsidP="00C73291">
      <w:pPr>
        <w:pStyle w:val="CLDHeading4"/>
        <w:tabs>
          <w:tab w:val="right" w:pos="9027"/>
        </w:tabs>
        <w:rPr>
          <w:rStyle w:val="Instructions"/>
          <w:i/>
          <w:iCs/>
          <w:color w:val="auto"/>
        </w:rPr>
      </w:pPr>
      <w:r w:rsidRPr="001551AB">
        <w:rPr>
          <w:rStyle w:val="Instructions"/>
          <w:i/>
          <w:iCs/>
          <w:color w:val="auto"/>
        </w:rPr>
        <w:t>Renal or hepatic impairment</w:t>
      </w:r>
    </w:p>
    <w:p w14:paraId="2684815B" w14:textId="52BE0514" w:rsidR="005B513D" w:rsidRPr="004D1D53" w:rsidRDefault="005B513D" w:rsidP="001551AB">
      <w:pPr>
        <w:pStyle w:val="CLDNormal"/>
      </w:pPr>
      <w:r w:rsidRPr="004D1D53">
        <w:t xml:space="preserve">No dosage adjustment is required for patients with renal </w:t>
      </w:r>
      <w:r>
        <w:t xml:space="preserve">impairment, </w:t>
      </w:r>
      <w:r w:rsidRPr="004D1D53">
        <w:t xml:space="preserve">or mild </w:t>
      </w:r>
      <w:r w:rsidR="00930898">
        <w:t>or</w:t>
      </w:r>
      <w:r w:rsidR="00930898" w:rsidRPr="004D1D53">
        <w:t xml:space="preserve"> </w:t>
      </w:r>
      <w:r w:rsidRPr="004D1D53">
        <w:t>moderate hepatic impairment</w:t>
      </w:r>
      <w:r w:rsidR="00BB4E33">
        <w:t xml:space="preserve">.  </w:t>
      </w:r>
      <w:r w:rsidR="00C27260">
        <w:t>VYNDAQEL</w:t>
      </w:r>
      <w:r w:rsidRPr="004D1D53">
        <w:t xml:space="preserve"> has not been studied in patients with severe hepatic impairment (see </w:t>
      </w:r>
      <w:r>
        <w:t>S</w:t>
      </w:r>
      <w:r w:rsidRPr="004D1D53">
        <w:t>ection 5.2</w:t>
      </w:r>
      <w:r w:rsidR="007B23CB">
        <w:t xml:space="preserve"> Pharmacokinetic properties</w:t>
      </w:r>
      <w:r w:rsidRPr="004D1D53">
        <w:t>).</w:t>
      </w:r>
    </w:p>
    <w:p w14:paraId="286D0F78" w14:textId="77777777" w:rsidR="005B513D" w:rsidRPr="008B4E7C" w:rsidRDefault="005B513D" w:rsidP="005B513D">
      <w:pPr>
        <w:pStyle w:val="CLDHeading4"/>
      </w:pPr>
      <w:r w:rsidRPr="008B4E7C">
        <w:t>Elderly</w:t>
      </w:r>
    </w:p>
    <w:p w14:paraId="7AF73DCA" w14:textId="75D0FB7B" w:rsidR="005B513D" w:rsidRPr="00F35EFC" w:rsidRDefault="005B513D" w:rsidP="004A62ED">
      <w:r w:rsidRPr="00F35EFC">
        <w:t>No dosage adjustment is required for elderly patients (≥ 65 years) (see Section 5.2</w:t>
      </w:r>
      <w:r w:rsidR="007B23CB">
        <w:t xml:space="preserve"> Pharmacokinetic properties</w:t>
      </w:r>
      <w:r w:rsidRPr="00F35EFC">
        <w:t>).</w:t>
      </w:r>
      <w:r w:rsidR="004A62ED">
        <w:t xml:space="preserve">  </w:t>
      </w:r>
      <w:r w:rsidR="004A62ED" w:rsidRPr="004F43E3">
        <w:rPr>
          <w:rFonts w:eastAsia="TimesNewRoman"/>
        </w:rPr>
        <w:t>Of the total number of patients in the clinical study (n=441), 90.5% were 65 and over, with a median age of 75 years.</w:t>
      </w:r>
    </w:p>
    <w:p w14:paraId="27E46157" w14:textId="627397BB" w:rsidR="00405AB3" w:rsidRPr="001551AB" w:rsidRDefault="00405AB3" w:rsidP="001551AB">
      <w:pPr>
        <w:pStyle w:val="CLDHeading4"/>
        <w:rPr>
          <w:rStyle w:val="Instructions"/>
          <w:i/>
          <w:iCs/>
          <w:color w:val="auto"/>
        </w:rPr>
      </w:pPr>
      <w:r w:rsidRPr="001551AB">
        <w:rPr>
          <w:rStyle w:val="Instructions"/>
          <w:i/>
          <w:iCs/>
          <w:color w:val="auto"/>
        </w:rPr>
        <w:t>P</w:t>
      </w:r>
      <w:r w:rsidR="000C2273" w:rsidRPr="001551AB">
        <w:rPr>
          <w:rStyle w:val="Instructions"/>
          <w:i/>
          <w:iCs/>
          <w:color w:val="auto"/>
        </w:rPr>
        <w:t>a</w:t>
      </w:r>
      <w:r w:rsidRPr="001551AB">
        <w:rPr>
          <w:rStyle w:val="Instructions"/>
          <w:i/>
          <w:iCs/>
          <w:color w:val="auto"/>
        </w:rPr>
        <w:t>ediatric</w:t>
      </w:r>
    </w:p>
    <w:p w14:paraId="6B20955C" w14:textId="0A795CED" w:rsidR="00610739" w:rsidRPr="00610739" w:rsidRDefault="00610739" w:rsidP="00610739">
      <w:pPr>
        <w:rPr>
          <w:rStyle w:val="Instructions"/>
          <w:i w:val="0"/>
          <w:iCs w:val="0"/>
          <w:color w:val="auto"/>
        </w:rPr>
      </w:pPr>
      <w:bookmarkStart w:id="1" w:name="_Hlk29410027"/>
      <w:r w:rsidRPr="00610739">
        <w:rPr>
          <w:rFonts w:eastAsia="TimesNewRoman"/>
          <w:szCs w:val="24"/>
        </w:rPr>
        <w:t xml:space="preserve">The safety and effectiveness of VYNDAQEL </w:t>
      </w:r>
      <w:r>
        <w:rPr>
          <w:rFonts w:eastAsia="TimesNewRoman"/>
          <w:szCs w:val="24"/>
        </w:rPr>
        <w:t>have</w:t>
      </w:r>
      <w:r w:rsidRPr="00610739">
        <w:rPr>
          <w:rFonts w:eastAsia="TimesNewRoman"/>
          <w:szCs w:val="24"/>
        </w:rPr>
        <w:t xml:space="preserve"> not been established in p</w:t>
      </w:r>
      <w:r>
        <w:rPr>
          <w:rFonts w:eastAsia="TimesNewRoman"/>
          <w:szCs w:val="24"/>
        </w:rPr>
        <w:t>a</w:t>
      </w:r>
      <w:r w:rsidRPr="00610739">
        <w:rPr>
          <w:rFonts w:eastAsia="TimesNewRoman"/>
          <w:szCs w:val="24"/>
        </w:rPr>
        <w:t>ediatric patients</w:t>
      </w:r>
      <w:bookmarkEnd w:id="1"/>
      <w:r w:rsidRPr="00610739">
        <w:rPr>
          <w:rFonts w:eastAsia="TimesNewRoman"/>
          <w:szCs w:val="24"/>
        </w:rPr>
        <w:t>.</w:t>
      </w:r>
    </w:p>
    <w:p w14:paraId="46E53F35" w14:textId="066849D3" w:rsidR="0062454C" w:rsidRPr="00362C5A" w:rsidRDefault="00787D1C" w:rsidP="00755FFF">
      <w:pPr>
        <w:pStyle w:val="CLDHeading2"/>
      </w:pPr>
      <w:r>
        <w:t>4.3</w:t>
      </w:r>
      <w:r>
        <w:tab/>
      </w:r>
      <w:r w:rsidR="00FE1286">
        <w:t>Contraindications</w:t>
      </w:r>
    </w:p>
    <w:p w14:paraId="7C189656" w14:textId="56F7CD1C" w:rsidR="000C2273" w:rsidRPr="004D1D53" w:rsidRDefault="000C2273" w:rsidP="001551AB">
      <w:pPr>
        <w:pStyle w:val="CLDNormal"/>
      </w:pPr>
      <w:r w:rsidRPr="004D1D53">
        <w:t xml:space="preserve">Hypersensitivity to the active substance or to any of </w:t>
      </w:r>
      <w:r>
        <w:t xml:space="preserve">the excipients </w:t>
      </w:r>
      <w:r w:rsidR="00854722">
        <w:t xml:space="preserve">of VYNDAQEL </w:t>
      </w:r>
      <w:r>
        <w:t>listed in S</w:t>
      </w:r>
      <w:r w:rsidRPr="004D1D53">
        <w:t>ection 6.1</w:t>
      </w:r>
      <w:r w:rsidR="007B23CB">
        <w:t xml:space="preserve"> </w:t>
      </w:r>
      <w:bookmarkStart w:id="2" w:name="_Hlk32912830"/>
      <w:r w:rsidR="007B23CB">
        <w:t>List of excipients</w:t>
      </w:r>
      <w:bookmarkEnd w:id="2"/>
      <w:r w:rsidRPr="004D1D53">
        <w:t>.</w:t>
      </w:r>
    </w:p>
    <w:p w14:paraId="46E53F38" w14:textId="517DC3B8" w:rsidR="0062454C" w:rsidRPr="001551AB" w:rsidRDefault="00787D1C" w:rsidP="001551AB">
      <w:pPr>
        <w:pStyle w:val="CLDHeading2"/>
      </w:pPr>
      <w:r w:rsidRPr="001551AB">
        <w:t>4.4</w:t>
      </w:r>
      <w:r w:rsidRPr="001551AB">
        <w:tab/>
      </w:r>
      <w:r w:rsidR="00CD7E76" w:rsidRPr="001551AB">
        <w:t>Special w</w:t>
      </w:r>
      <w:r w:rsidR="0062454C" w:rsidRPr="001551AB">
        <w:t xml:space="preserve">arnings and </w:t>
      </w:r>
      <w:r w:rsidR="00CD7E76" w:rsidRPr="001551AB">
        <w:t>p</w:t>
      </w:r>
      <w:r w:rsidR="0062454C" w:rsidRPr="001551AB">
        <w:t>recautions</w:t>
      </w:r>
      <w:r w:rsidR="00315AB0" w:rsidRPr="001551AB">
        <w:t xml:space="preserve"> </w:t>
      </w:r>
      <w:r w:rsidR="00CD7E76" w:rsidRPr="001551AB">
        <w:t>for u</w:t>
      </w:r>
      <w:r w:rsidR="001551AB" w:rsidRPr="001551AB">
        <w:t>se</w:t>
      </w:r>
    </w:p>
    <w:p w14:paraId="22D6665F" w14:textId="135FF344" w:rsidR="005B513D" w:rsidRPr="001551AB" w:rsidRDefault="001551AB" w:rsidP="001551AB">
      <w:pPr>
        <w:pStyle w:val="CLDHeading3"/>
      </w:pPr>
      <w:r w:rsidRPr="001551AB">
        <w:t xml:space="preserve">Women of </w:t>
      </w:r>
      <w:r w:rsidR="003B181F">
        <w:t>c</w:t>
      </w:r>
      <w:r w:rsidRPr="001551AB">
        <w:t>hildb</w:t>
      </w:r>
      <w:r w:rsidR="005B513D" w:rsidRPr="001551AB">
        <w:t>ea</w:t>
      </w:r>
      <w:r w:rsidRPr="001551AB">
        <w:t>r</w:t>
      </w:r>
      <w:r w:rsidR="005B513D" w:rsidRPr="001551AB">
        <w:t xml:space="preserve">ing </w:t>
      </w:r>
      <w:r w:rsidR="003B181F">
        <w:t>p</w:t>
      </w:r>
      <w:r w:rsidR="005B513D" w:rsidRPr="001551AB">
        <w:t>otential</w:t>
      </w:r>
    </w:p>
    <w:p w14:paraId="58BE3BE7" w14:textId="47370736" w:rsidR="00854722" w:rsidRPr="001530F3" w:rsidRDefault="00854722" w:rsidP="001551AB">
      <w:pPr>
        <w:pStyle w:val="CLDNormal"/>
      </w:pPr>
      <w:r w:rsidRPr="001530F3">
        <w:t xml:space="preserve">Studies in animals have shown developmental toxicity (see Section </w:t>
      </w:r>
      <w:r w:rsidR="00934BD7">
        <w:t>4.6</w:t>
      </w:r>
      <w:r w:rsidR="007B23CB">
        <w:t xml:space="preserve"> Fertility, pregnancy and lactation</w:t>
      </w:r>
      <w:r w:rsidRPr="001530F3">
        <w:t>).</w:t>
      </w:r>
      <w:r>
        <w:t xml:space="preserve">  </w:t>
      </w:r>
      <w:r w:rsidRPr="001530F3">
        <w:t xml:space="preserve">The potential risk for humans is unknown. </w:t>
      </w:r>
      <w:r>
        <w:t xml:space="preserve"> VYNDAQEL</w:t>
      </w:r>
      <w:r w:rsidRPr="001530F3">
        <w:t xml:space="preserve"> is not recommended during pregnancy. </w:t>
      </w:r>
      <w:r>
        <w:t xml:space="preserve"> </w:t>
      </w:r>
      <w:r w:rsidRPr="001530F3">
        <w:t xml:space="preserve">Women of childbearing potential should use appropriate contraception when taking </w:t>
      </w:r>
      <w:r>
        <w:t>VYNDAQEL</w:t>
      </w:r>
      <w:r w:rsidRPr="001530F3">
        <w:t xml:space="preserve"> and continue to use appropriate contraception for 1</w:t>
      </w:r>
      <w:r>
        <w:noBreakHyphen/>
      </w:r>
      <w:r w:rsidRPr="001530F3">
        <w:t xml:space="preserve">month after stopping treatment with </w:t>
      </w:r>
      <w:r>
        <w:t>VYNDAQEL</w:t>
      </w:r>
      <w:r w:rsidRPr="001530F3">
        <w:t xml:space="preserve"> (see Section 4.6</w:t>
      </w:r>
      <w:r w:rsidR="007B23CB">
        <w:t xml:space="preserve"> Fertility, pregnancy and lactation</w:t>
      </w:r>
      <w:r w:rsidRPr="001530F3">
        <w:t>).</w:t>
      </w:r>
    </w:p>
    <w:p w14:paraId="7EBEA255" w14:textId="038F2A2E" w:rsidR="005B513D" w:rsidRPr="00CD3920" w:rsidRDefault="003B181F" w:rsidP="005B513D">
      <w:pPr>
        <w:pStyle w:val="CLDHeading3"/>
      </w:pPr>
      <w:r>
        <w:lastRenderedPageBreak/>
        <w:t>Organ t</w:t>
      </w:r>
      <w:r w:rsidR="001551AB">
        <w:t>ransplan</w:t>
      </w:r>
      <w:r w:rsidR="00854722">
        <w:t xml:space="preserve">t </w:t>
      </w:r>
      <w:r>
        <w:t>p</w:t>
      </w:r>
      <w:r w:rsidR="00854722">
        <w:t>atients</w:t>
      </w:r>
    </w:p>
    <w:p w14:paraId="4C372C06" w14:textId="02622E59" w:rsidR="00854722" w:rsidRDefault="00854722" w:rsidP="003B181F">
      <w:pPr>
        <w:pStyle w:val="CLDNormal"/>
      </w:pPr>
      <w:r w:rsidRPr="001530F3">
        <w:t xml:space="preserve">A study </w:t>
      </w:r>
      <w:proofErr w:type="gramStart"/>
      <w:r w:rsidRPr="001530F3">
        <w:t>has not been conducted</w:t>
      </w:r>
      <w:proofErr w:type="gramEnd"/>
      <w:r w:rsidRPr="001530F3">
        <w:t xml:space="preserve"> in organ transplant patients. The efficacy and safety of </w:t>
      </w:r>
      <w:r>
        <w:t>VYNDAQEL</w:t>
      </w:r>
      <w:r w:rsidRPr="001530F3">
        <w:t xml:space="preserve"> in organ transplant patients </w:t>
      </w:r>
      <w:proofErr w:type="gramStart"/>
      <w:r w:rsidRPr="001530F3">
        <w:t>has not been established</w:t>
      </w:r>
      <w:proofErr w:type="gramEnd"/>
      <w:r w:rsidRPr="001530F3">
        <w:t>.</w:t>
      </w:r>
    </w:p>
    <w:p w14:paraId="1A567A97" w14:textId="5637378E" w:rsidR="005B513D" w:rsidRPr="00854722" w:rsidRDefault="000D7ECE" w:rsidP="007C1212">
      <w:pPr>
        <w:pStyle w:val="CLDHeading3"/>
      </w:pPr>
      <w:r w:rsidRPr="007C1212">
        <w:t>Sorbitol</w:t>
      </w:r>
    </w:p>
    <w:p w14:paraId="56372853" w14:textId="1D5318A2" w:rsidR="005B513D" w:rsidRDefault="005B513D" w:rsidP="003B181F">
      <w:pPr>
        <w:pStyle w:val="CLDNormal"/>
      </w:pPr>
      <w:r>
        <w:t xml:space="preserve">This medicinal product </w:t>
      </w:r>
      <w:r w:rsidR="00FE1286" w:rsidRPr="004D1D53">
        <w:t xml:space="preserve">contains </w:t>
      </w:r>
      <w:r w:rsidR="00DF7BAF">
        <w:t xml:space="preserve">no more than </w:t>
      </w:r>
      <w:r>
        <w:t xml:space="preserve">44 mg </w:t>
      </w:r>
      <w:r w:rsidR="00FE1286" w:rsidRPr="004D1D53">
        <w:t>sorbitol</w:t>
      </w:r>
      <w:r>
        <w:t xml:space="preserve"> in each capsule</w:t>
      </w:r>
      <w:r w:rsidR="00FE1286" w:rsidRPr="004D1D53">
        <w:t>.</w:t>
      </w:r>
    </w:p>
    <w:p w14:paraId="76B86750" w14:textId="5D6C36BA" w:rsidR="005B513D" w:rsidRDefault="005B513D" w:rsidP="003B181F">
      <w:pPr>
        <w:pStyle w:val="CLDNormal"/>
      </w:pPr>
      <w:r w:rsidRPr="004D1D53">
        <w:t>The additive effect of concomitantly administered products containing sorbitol (or fructose) and dietary intake of sorbitol (or fructose</w:t>
      </w:r>
      <w:r w:rsidR="00FB531F">
        <w:t xml:space="preserve">) </w:t>
      </w:r>
      <w:proofErr w:type="gramStart"/>
      <w:r w:rsidR="00FB531F">
        <w:t>should be taken</w:t>
      </w:r>
      <w:proofErr w:type="gramEnd"/>
      <w:r w:rsidR="00FB531F">
        <w:t xml:space="preserve"> into account.</w:t>
      </w:r>
    </w:p>
    <w:p w14:paraId="31924DB5" w14:textId="765BA47B" w:rsidR="007C1212" w:rsidRPr="004D1D53" w:rsidRDefault="005B513D" w:rsidP="007C1212">
      <w:pPr>
        <w:pStyle w:val="CLDNormal"/>
      </w:pPr>
      <w:r w:rsidRPr="004D1D53">
        <w:t>The content of sorbitol in medicinal products for oral use may affect the bioavailability of other medicinal products for oral use administered concomitantly.</w:t>
      </w:r>
    </w:p>
    <w:p w14:paraId="7A32E64A" w14:textId="77777777" w:rsidR="00703CDF" w:rsidRPr="00703CDF" w:rsidRDefault="00703CDF" w:rsidP="00703CDF">
      <w:pPr>
        <w:pStyle w:val="CLDHeading3"/>
        <w:rPr>
          <w:rFonts w:eastAsia="TimesNewRoman"/>
        </w:rPr>
      </w:pPr>
      <w:r w:rsidRPr="00703CDF">
        <w:rPr>
          <w:rFonts w:eastAsia="TimesNewRoman"/>
        </w:rPr>
        <w:t>Liver function tests</w:t>
      </w:r>
    </w:p>
    <w:p w14:paraId="0DB9931B" w14:textId="77777777" w:rsidR="00703CDF" w:rsidRPr="004D1D53" w:rsidRDefault="00703CDF" w:rsidP="00703CDF">
      <w:pPr>
        <w:pStyle w:val="CLDNormal"/>
      </w:pPr>
      <w:r w:rsidRPr="00703CDF">
        <w:rPr>
          <w:rFonts w:eastAsia="TimesNewRoman"/>
        </w:rPr>
        <w:t>Increase in liver function tests may occur (see Section 4.8 Adverse effects (undesirable effects)).</w:t>
      </w:r>
    </w:p>
    <w:p w14:paraId="32C33634" w14:textId="260EA2CB" w:rsidR="00C40E91" w:rsidRPr="00CD3920" w:rsidRDefault="00C40E91" w:rsidP="00755FFF">
      <w:pPr>
        <w:pStyle w:val="CLDHeading3"/>
      </w:pPr>
      <w:r w:rsidRPr="00CD3920">
        <w:t>Use in hepatic impairment</w:t>
      </w:r>
    </w:p>
    <w:p w14:paraId="377EA25B" w14:textId="2C0BE6EB" w:rsidR="00854722" w:rsidRPr="004D1D53" w:rsidRDefault="00854722" w:rsidP="003B181F">
      <w:pPr>
        <w:pStyle w:val="CLDNormal"/>
      </w:pPr>
      <w:r w:rsidRPr="004D1D53">
        <w:t>Tafamidis</w:t>
      </w:r>
      <w:r w:rsidR="00FE397F">
        <w:t xml:space="preserve"> meglumine</w:t>
      </w:r>
      <w:r w:rsidRPr="004D1D53">
        <w:t xml:space="preserve"> has not been studied in patients with severe hepatic impairment and caution is recommended (see </w:t>
      </w:r>
      <w:r>
        <w:t>S</w:t>
      </w:r>
      <w:r w:rsidRPr="004D1D53">
        <w:t>ection 5.2</w:t>
      </w:r>
      <w:r w:rsidR="00617622">
        <w:t xml:space="preserve"> Pharmacokinetic properties</w:t>
      </w:r>
      <w:r w:rsidRPr="004D1D53">
        <w:t>).</w:t>
      </w:r>
    </w:p>
    <w:p w14:paraId="46D8E975" w14:textId="1542FD06" w:rsidR="00C40E91" w:rsidRPr="00CD3920" w:rsidRDefault="00C40E91" w:rsidP="00755FFF">
      <w:pPr>
        <w:pStyle w:val="CLDHeading3"/>
      </w:pPr>
      <w:r w:rsidRPr="00CD3920">
        <w:t>Use in renal impairment</w:t>
      </w:r>
    </w:p>
    <w:p w14:paraId="0192E0EB" w14:textId="70B91A49" w:rsidR="00B1218F" w:rsidRPr="004D1D53" w:rsidRDefault="00B1218F" w:rsidP="003B181F">
      <w:pPr>
        <w:pStyle w:val="CLDNormal"/>
      </w:pPr>
      <w:r w:rsidRPr="005827B6">
        <w:t>Limited data are available in patients with severe renal impairment (creatinine clearance less than or equal to 30</w:t>
      </w:r>
      <w:r>
        <w:t> </w:t>
      </w:r>
      <w:r w:rsidRPr="005827B6">
        <w:t>mL/min)</w:t>
      </w:r>
      <w:r w:rsidR="00FB531F">
        <w:t>.</w:t>
      </w:r>
    </w:p>
    <w:p w14:paraId="14485E08" w14:textId="257DD3AF" w:rsidR="00C40E91" w:rsidRPr="00095635" w:rsidRDefault="00E11F1D" w:rsidP="00755FFF">
      <w:pPr>
        <w:pStyle w:val="CLDHeading3"/>
        <w:rPr>
          <w:bCs/>
        </w:rPr>
      </w:pPr>
      <w:r>
        <w:t>Use in the elderly</w:t>
      </w:r>
    </w:p>
    <w:p w14:paraId="777C0B4E" w14:textId="0523D4DB" w:rsidR="00E11F1D" w:rsidRPr="00CD3920" w:rsidRDefault="00B1218F" w:rsidP="00E11F1D">
      <w:pPr>
        <w:pStyle w:val="CLDNormal"/>
        <w:rPr>
          <w:i/>
          <w:iCs/>
        </w:rPr>
      </w:pPr>
      <w:r w:rsidRPr="00CD3920">
        <w:t>See Section 4.2</w:t>
      </w:r>
      <w:r w:rsidR="00617622">
        <w:t xml:space="preserve"> </w:t>
      </w:r>
      <w:bookmarkStart w:id="3" w:name="_Hlk32912982"/>
      <w:r w:rsidR="00617622">
        <w:t>Dose and method of administration</w:t>
      </w:r>
      <w:bookmarkEnd w:id="3"/>
      <w:r w:rsidRPr="00CD3920">
        <w:t>.</w:t>
      </w:r>
    </w:p>
    <w:p w14:paraId="1F8DDC70" w14:textId="04BA602B" w:rsidR="00E11F1D" w:rsidRPr="00FD6E1D" w:rsidRDefault="00C40E91" w:rsidP="00755FFF">
      <w:pPr>
        <w:pStyle w:val="CLDHeading3"/>
      </w:pPr>
      <w:r>
        <w:t>Paediatric use</w:t>
      </w:r>
    </w:p>
    <w:p w14:paraId="7CE30871" w14:textId="128D3ADF" w:rsidR="00B1218F" w:rsidRPr="00CD3920" w:rsidRDefault="00B1218F" w:rsidP="00B1218F">
      <w:pPr>
        <w:pStyle w:val="CLDNormal"/>
        <w:rPr>
          <w:i/>
          <w:iCs/>
        </w:rPr>
      </w:pPr>
      <w:r w:rsidRPr="00CD3920">
        <w:t>See Section 4.2</w:t>
      </w:r>
      <w:r w:rsidR="00617622">
        <w:t xml:space="preserve"> Dose and method of administration</w:t>
      </w:r>
      <w:r w:rsidRPr="00CD3920">
        <w:t>.</w:t>
      </w:r>
    </w:p>
    <w:p w14:paraId="727ABC04" w14:textId="5B2E2B86" w:rsidR="00C40E91" w:rsidRDefault="00C40E91" w:rsidP="00755FFF">
      <w:pPr>
        <w:pStyle w:val="CLDHeading3"/>
      </w:pPr>
      <w:r>
        <w:t>Effects on laboratory tests</w:t>
      </w:r>
    </w:p>
    <w:p w14:paraId="6DBDFF3F" w14:textId="4D33FFB8" w:rsidR="00B1218F" w:rsidRDefault="00B1218F" w:rsidP="003B181F">
      <w:pPr>
        <w:pStyle w:val="CLDNormal"/>
      </w:pPr>
      <w:r w:rsidRPr="004D1D53">
        <w:t>Tafamidis</w:t>
      </w:r>
      <w:r w:rsidR="00FE397F">
        <w:t xml:space="preserve"> meglumine</w:t>
      </w:r>
      <w:r w:rsidRPr="004D1D53">
        <w:t xml:space="preserve"> may decrease serum concentrations of total thyroxine, without an accompanying change in free thyroxine (T4) or thyroid stimulating hormone (TSH). </w:t>
      </w:r>
      <w:r>
        <w:t xml:space="preserve"> </w:t>
      </w:r>
      <w:r w:rsidRPr="004D1D53">
        <w:t>This observation in total thyroxine values may likely be the result of reduced thyroxine binding to or displacement from transthyretin (TTR) due to the high binding affinity tafamidis</w:t>
      </w:r>
      <w:r w:rsidR="00FE397F">
        <w:t xml:space="preserve"> meglumine</w:t>
      </w:r>
      <w:r w:rsidRPr="004D1D53">
        <w:t xml:space="preserve"> has to the TTR thyroxine receptor. </w:t>
      </w:r>
      <w:r>
        <w:t xml:space="preserve"> </w:t>
      </w:r>
      <w:r w:rsidRPr="004D1D53">
        <w:t xml:space="preserve">No corresponding clinical findings consistent with thyroid dysfunction have been </w:t>
      </w:r>
      <w:r w:rsidRPr="00EE3F3F">
        <w:t>observed</w:t>
      </w:r>
      <w:r w:rsidR="009E28D8" w:rsidRPr="00EE3F3F">
        <w:t xml:space="preserve"> (see Section 4.8 Adverse effects (undesirable effects)</w:t>
      </w:r>
      <w:r w:rsidRPr="00EE3F3F">
        <w:t>.</w:t>
      </w:r>
    </w:p>
    <w:p w14:paraId="17069614" w14:textId="4FC5CF2E" w:rsidR="002D06FE" w:rsidRPr="00EE3F3F" w:rsidRDefault="002D06FE" w:rsidP="002D06FE">
      <w:pPr>
        <w:pStyle w:val="CLDNormal"/>
      </w:pPr>
      <w:r>
        <w:t>The incidence of thyroxine abnormality &lt;0.8 x Lower Level of Normal (LLN) was greater in the tafamidis meglumine 80 mg group (29.7%) than in the tafamidis meglumine 20 mg (12.3%) and placebo (4.5%) groups</w:t>
      </w:r>
      <w:r w:rsidR="00FB531F">
        <w:t>.</w:t>
      </w:r>
    </w:p>
    <w:p w14:paraId="46E53F42" w14:textId="1ED2AE09" w:rsidR="00EC2C85" w:rsidRPr="00112E5B" w:rsidRDefault="00787D1C" w:rsidP="00755FFF">
      <w:pPr>
        <w:pStyle w:val="CLDHeading2"/>
      </w:pPr>
      <w:r>
        <w:lastRenderedPageBreak/>
        <w:t>4.5</w:t>
      </w:r>
      <w:r>
        <w:tab/>
      </w:r>
      <w:r w:rsidR="00112E5B">
        <w:t>Interaction</w:t>
      </w:r>
      <w:r w:rsidR="00CD7E76">
        <w:t>s with other m</w:t>
      </w:r>
      <w:r w:rsidR="00112E5B">
        <w:t>ed</w:t>
      </w:r>
      <w:r w:rsidR="00591258">
        <w:t>i</w:t>
      </w:r>
      <w:r w:rsidR="00112E5B">
        <w:t>cines</w:t>
      </w:r>
      <w:r w:rsidR="00CD7E76">
        <w:t xml:space="preserve"> and other forms of i</w:t>
      </w:r>
      <w:r w:rsidR="004A5EA8">
        <w:t>nteraction</w:t>
      </w:r>
      <w:r w:rsidR="00C40E91">
        <w:t>s</w:t>
      </w:r>
    </w:p>
    <w:p w14:paraId="09E23B92" w14:textId="4C88E847" w:rsidR="00FE1286" w:rsidRPr="004D1D53" w:rsidRDefault="00FE1286" w:rsidP="003B181F">
      <w:pPr>
        <w:pStyle w:val="CLDNormal"/>
      </w:pPr>
      <w:r w:rsidRPr="004D1D53">
        <w:t xml:space="preserve">In a clinical study in healthy volunteers, tafamidis </w:t>
      </w:r>
      <w:r w:rsidR="00FE397F">
        <w:t xml:space="preserve">meglumine </w:t>
      </w:r>
      <w:r w:rsidRPr="004D1D53">
        <w:t>did not induce or inhibit the cytochrome P450 enzyme CYP3A4.</w:t>
      </w:r>
    </w:p>
    <w:p w14:paraId="78C6323D" w14:textId="7C5BF710" w:rsidR="005B513D" w:rsidRPr="004D1D53" w:rsidRDefault="005B513D" w:rsidP="003B181F">
      <w:pPr>
        <w:pStyle w:val="CLDNormal"/>
      </w:pPr>
      <w:r w:rsidRPr="004D1D53">
        <w:rPr>
          <w:i/>
        </w:rPr>
        <w:t>In vitro</w:t>
      </w:r>
      <w:r w:rsidRPr="004D1D53">
        <w:t xml:space="preserve"> data also indicated that tafamidis </w:t>
      </w:r>
      <w:r w:rsidR="00FE397F">
        <w:t xml:space="preserve">meglumine </w:t>
      </w:r>
      <w:r w:rsidRPr="004D1D53">
        <w:t>does not significantly inhibit cytochrome P450 enzymes CYP1A2, CYP3A4, CYP3A5, CYP2B6, CYP2C8, CYP2C9, CYP2C19, and CYP2D6</w:t>
      </w:r>
      <w:r w:rsidR="00BB4E33">
        <w:t xml:space="preserve">.  </w:t>
      </w:r>
      <w:r w:rsidRPr="004D1D53">
        <w:t xml:space="preserve">In addition, tafamidis </w:t>
      </w:r>
      <w:r w:rsidR="00FE397F">
        <w:t xml:space="preserve">meglumine </w:t>
      </w:r>
      <w:r w:rsidRPr="004D1D53">
        <w:t xml:space="preserve">did not induce CYP1A2, but did induce CYP2B6 </w:t>
      </w:r>
      <w:r w:rsidRPr="004D1D53">
        <w:rPr>
          <w:i/>
        </w:rPr>
        <w:t>in vitro</w:t>
      </w:r>
      <w:r w:rsidRPr="004D1D53">
        <w:t>, however based on the negative clinical CYP3A4 induction results, it can be concluded that the likelihood of CYP2B6 clinical induction is low.</w:t>
      </w:r>
    </w:p>
    <w:p w14:paraId="7DD9D307" w14:textId="09D279CB" w:rsidR="005B513D" w:rsidRPr="003B181F" w:rsidRDefault="005B513D" w:rsidP="00252DAA">
      <w:pPr>
        <w:pStyle w:val="CLDNormal"/>
        <w:rPr>
          <w:rStyle w:val="BlueText"/>
          <w:color w:val="auto"/>
        </w:rPr>
      </w:pPr>
      <w:r w:rsidRPr="00850933">
        <w:rPr>
          <w:rStyle w:val="BlueText"/>
          <w:i/>
          <w:color w:val="auto"/>
        </w:rPr>
        <w:t>In vitro</w:t>
      </w:r>
      <w:r w:rsidRPr="003B181F">
        <w:rPr>
          <w:rStyle w:val="BlueText"/>
          <w:color w:val="auto"/>
        </w:rPr>
        <w:t xml:space="preserve"> studies suggest that it is unlikely tafamidis</w:t>
      </w:r>
      <w:r w:rsidRPr="003B181F">
        <w:t xml:space="preserve"> </w:t>
      </w:r>
      <w:r w:rsidR="00FE397F">
        <w:t xml:space="preserve">meglumine </w:t>
      </w:r>
      <w:r w:rsidRPr="003B181F">
        <w:rPr>
          <w:rStyle w:val="BlueText"/>
          <w:color w:val="auto"/>
        </w:rPr>
        <w:t>will cause drug interactions at clinically relevant concen</w:t>
      </w:r>
      <w:r w:rsidR="00B1218F" w:rsidRPr="003B181F">
        <w:rPr>
          <w:rStyle w:val="BlueText"/>
          <w:color w:val="auto"/>
        </w:rPr>
        <w:t>trations with substrates of UDP-</w:t>
      </w:r>
      <w:r w:rsidRPr="003B181F">
        <w:rPr>
          <w:rStyle w:val="BlueText"/>
          <w:color w:val="auto"/>
        </w:rPr>
        <w:t>glucuronosyltransferase (UGT) systemically</w:t>
      </w:r>
      <w:r w:rsidR="00BB4E33">
        <w:rPr>
          <w:rStyle w:val="BlueText"/>
          <w:color w:val="auto"/>
        </w:rPr>
        <w:t xml:space="preserve">.  </w:t>
      </w:r>
      <w:r w:rsidRPr="003B181F">
        <w:rPr>
          <w:rStyle w:val="BlueText"/>
          <w:color w:val="auto"/>
        </w:rPr>
        <w:t xml:space="preserve">Tafamidis </w:t>
      </w:r>
      <w:r w:rsidR="00FE397F">
        <w:t xml:space="preserve">meglumine </w:t>
      </w:r>
      <w:r w:rsidRPr="003B181F">
        <w:rPr>
          <w:rStyle w:val="BlueText"/>
          <w:color w:val="auto"/>
        </w:rPr>
        <w:t>may inhibit intestinal activities of UGT1A1.</w:t>
      </w:r>
    </w:p>
    <w:p w14:paraId="7D958552" w14:textId="6A970BD4" w:rsidR="00252DAA" w:rsidRPr="00252DAA" w:rsidRDefault="00252DAA" w:rsidP="00252DAA">
      <w:pPr>
        <w:pStyle w:val="CLDNormal"/>
        <w:rPr>
          <w:rStyle w:val="BlueText"/>
          <w:color w:val="auto"/>
        </w:rPr>
      </w:pPr>
      <w:r w:rsidRPr="00252DAA">
        <w:rPr>
          <w:rStyle w:val="BlueText"/>
          <w:color w:val="auto"/>
        </w:rPr>
        <w:t xml:space="preserve">Tafamidis </w:t>
      </w:r>
      <w:r w:rsidR="00FE397F">
        <w:t xml:space="preserve">meglumine </w:t>
      </w:r>
      <w:r w:rsidRPr="00252DAA">
        <w:rPr>
          <w:rStyle w:val="BlueText"/>
          <w:color w:val="auto"/>
        </w:rPr>
        <w:t>showed a low potential to inhibit Multi</w:t>
      </w:r>
      <w:r w:rsidRPr="00252DAA">
        <w:rPr>
          <w:rStyle w:val="BlueText"/>
          <w:color w:val="auto"/>
        </w:rPr>
        <w:noBreakHyphen/>
        <w:t>Drug Resistant Protein (MDR1) (also known as P</w:t>
      </w:r>
      <w:r w:rsidRPr="00252DAA">
        <w:rPr>
          <w:rStyle w:val="BlueText"/>
          <w:color w:val="auto"/>
        </w:rPr>
        <w:noBreakHyphen/>
        <w:t>glycoprotein; P</w:t>
      </w:r>
      <w:r w:rsidRPr="00252DAA">
        <w:rPr>
          <w:rStyle w:val="BlueText"/>
          <w:color w:val="auto"/>
        </w:rPr>
        <w:noBreakHyphen/>
        <w:t>gp) systemically and in the gastrointestinal (GI) tract, organic cation transporter 2 (OCT2), multidrug and toxin extrusion transporter 1 (MATE1) and MATE2K, organic anion transporting polypeptide 1B1 (OATP1B1) and OATP1B3 at clinically relevant concentrations.</w:t>
      </w:r>
    </w:p>
    <w:p w14:paraId="7E823A1B" w14:textId="181FA634" w:rsidR="00CC44B7" w:rsidRPr="001530F3" w:rsidRDefault="00B1218F" w:rsidP="00CC44B7">
      <w:pPr>
        <w:pStyle w:val="CLDNormal"/>
        <w:tabs>
          <w:tab w:val="left" w:pos="6379"/>
        </w:tabs>
        <w:rPr>
          <w:vertAlign w:val="superscript"/>
        </w:rPr>
      </w:pPr>
      <w:r w:rsidRPr="001530F3">
        <w:t xml:space="preserve">Tafamidis </w:t>
      </w:r>
      <w:r w:rsidR="00FE397F">
        <w:t xml:space="preserve">meglumine </w:t>
      </w:r>
      <w:r w:rsidRPr="001530F3">
        <w:t>has the potential to inhibit the efflux transporter BCRP (breast cancer resistant protein) and may increase systemic exposure of subst</w:t>
      </w:r>
      <w:r w:rsidR="000D7ECE">
        <w:t>rates of this transporter (e.g. </w:t>
      </w:r>
      <w:r w:rsidRPr="001530F3">
        <w:t>methotrexate, rosuvastatin, imatinib) following 80 mg tafamidis meglumine daily dose.</w:t>
      </w:r>
      <w:r w:rsidR="00CC44B7">
        <w:t xml:space="preserve">  Dose adjustment may be needed for these substrates.</w:t>
      </w:r>
    </w:p>
    <w:p w14:paraId="34001D67" w14:textId="233069CC" w:rsidR="00252DAA" w:rsidRDefault="00252DAA" w:rsidP="00252DAA">
      <w:pPr>
        <w:pStyle w:val="CLDNormal"/>
      </w:pPr>
      <w:r w:rsidRPr="00252DAA">
        <w:t xml:space="preserve">Tafamidis </w:t>
      </w:r>
      <w:r w:rsidR="00FE397F">
        <w:t xml:space="preserve">meglumine </w:t>
      </w:r>
      <w:r w:rsidRPr="00252DAA">
        <w:t>may have the potential to inhibit organic anion transporter 1 (OAT1) and OAT3</w:t>
      </w:r>
      <w:r w:rsidRPr="001530F3">
        <w:t xml:space="preserve"> and may cause drug</w:t>
      </w:r>
      <w:r>
        <w:noBreakHyphen/>
      </w:r>
      <w:r w:rsidRPr="001530F3">
        <w:t xml:space="preserve">drug interactions with substrates of </w:t>
      </w:r>
      <w:r>
        <w:t>these</w:t>
      </w:r>
      <w:r w:rsidRPr="001530F3">
        <w:t xml:space="preserve"> transporter</w:t>
      </w:r>
      <w:r>
        <w:t>s</w:t>
      </w:r>
      <w:r w:rsidRPr="001530F3">
        <w:t xml:space="preserve"> (e.g.</w:t>
      </w:r>
      <w:r w:rsidR="00F65931">
        <w:t> </w:t>
      </w:r>
      <w:r w:rsidRPr="001530F3">
        <w:t>non</w:t>
      </w:r>
      <w:r>
        <w:noBreakHyphen/>
      </w:r>
      <w:r w:rsidRPr="001530F3">
        <w:t>steroidal anti</w:t>
      </w:r>
      <w:r>
        <w:noBreakHyphen/>
      </w:r>
      <w:r w:rsidRPr="001530F3">
        <w:t xml:space="preserve">inflammatory drugs, bumetanide, furosemide, lamivudine, methotrexate, oseltamivir, tenofovir, ganciclovir, adefovir, cidofovir, zidovudine, zalcitabine). </w:t>
      </w:r>
      <w:r>
        <w:t xml:space="preserve"> </w:t>
      </w:r>
      <w:r w:rsidRPr="001530F3">
        <w:t>However, additional risk assessments based on the R</w:t>
      </w:r>
      <w:r>
        <w:noBreakHyphen/>
      </w:r>
      <w:r w:rsidRPr="001530F3">
        <w:t>value model (AUCi/AUC =1+(C</w:t>
      </w:r>
      <w:r w:rsidRPr="00B9777F">
        <w:rPr>
          <w:vertAlign w:val="subscript"/>
        </w:rPr>
        <w:t>max</w:t>
      </w:r>
      <w:r w:rsidRPr="001530F3">
        <w:t>,u/Ki)</w:t>
      </w:r>
      <w:r>
        <w:t>)</w:t>
      </w:r>
      <w:r w:rsidRPr="001530F3">
        <w:t xml:space="preserve"> were performed and the maximal predicted change</w:t>
      </w:r>
      <w:r>
        <w:t>s</w:t>
      </w:r>
      <w:r w:rsidRPr="001530F3">
        <w:t xml:space="preserve"> in AUC of </w:t>
      </w:r>
      <w:r>
        <w:t xml:space="preserve">OAT1 and </w:t>
      </w:r>
      <w:r w:rsidRPr="001530F3">
        <w:t xml:space="preserve">OAT3 substrates </w:t>
      </w:r>
      <w:r>
        <w:t xml:space="preserve">were </w:t>
      </w:r>
      <w:r w:rsidRPr="001530F3">
        <w:t xml:space="preserve">determined to be less than 1.25 for the 80 mg tafamidis meglumine daily dose, therefore, inhibition of </w:t>
      </w:r>
      <w:r>
        <w:t xml:space="preserve">OAT1 or </w:t>
      </w:r>
      <w:r w:rsidRPr="001530F3">
        <w:t>OAT3 transporters by tafamidis</w:t>
      </w:r>
      <w:r w:rsidR="00FE397F">
        <w:t xml:space="preserve"> meglumine</w:t>
      </w:r>
      <w:r w:rsidRPr="001530F3">
        <w:t xml:space="preserve"> is not expected to result in clinically significant interactions.</w:t>
      </w:r>
    </w:p>
    <w:p w14:paraId="711E5CDC" w14:textId="5AB9C09C" w:rsidR="00C8239C" w:rsidRPr="00CC44B7" w:rsidRDefault="00B270ED" w:rsidP="008F0262">
      <w:pPr>
        <w:pStyle w:val="CLDNormal"/>
      </w:pPr>
      <w:bookmarkStart w:id="4" w:name="_Hlk26781996"/>
      <w:r>
        <w:t xml:space="preserve">Patients receiving substrates of both BCRP and OAT with tafamidis </w:t>
      </w:r>
      <w:r w:rsidR="00FE397F">
        <w:t xml:space="preserve">meglumine </w:t>
      </w:r>
      <w:r>
        <w:t xml:space="preserve">should be assessed as exposure of these drugs may be </w:t>
      </w:r>
      <w:r w:rsidRPr="004C6BF9">
        <w:t>increased</w:t>
      </w:r>
      <w:r w:rsidR="004E7859">
        <w:t xml:space="preserve"> e.g.</w:t>
      </w:r>
      <w:bookmarkStart w:id="5" w:name="_Hlk29410184"/>
      <w:r w:rsidR="004E7859">
        <w:t xml:space="preserve"> m</w:t>
      </w:r>
      <w:r w:rsidR="00C8239C">
        <w:t>ethotrexate AUC might be increased by ~50%.</w:t>
      </w:r>
    </w:p>
    <w:bookmarkEnd w:id="4"/>
    <w:bookmarkEnd w:id="5"/>
    <w:p w14:paraId="018CBF88" w14:textId="1E36C5B2" w:rsidR="0093083D" w:rsidRPr="004D1D53" w:rsidRDefault="0093083D" w:rsidP="003B181F">
      <w:pPr>
        <w:pStyle w:val="CLDNormal"/>
      </w:pPr>
      <w:r w:rsidRPr="004D1D53">
        <w:t>No interaction studies have been performed evaluating the effect of other medicinal products on tafamidis</w:t>
      </w:r>
      <w:r w:rsidR="00FE397F" w:rsidRPr="00FE397F">
        <w:t xml:space="preserve"> </w:t>
      </w:r>
      <w:r w:rsidR="00FE397F">
        <w:t>meglumine</w:t>
      </w:r>
      <w:r w:rsidRPr="004D1D53">
        <w:t>.</w:t>
      </w:r>
    </w:p>
    <w:p w14:paraId="23B78422" w14:textId="364B0AEB" w:rsidR="00882436" w:rsidRDefault="00882436" w:rsidP="003B181F">
      <w:pPr>
        <w:pStyle w:val="CLDNormal"/>
      </w:pPr>
      <w:r w:rsidRPr="001530F3">
        <w:t>No significant effect was observed on the pharmacokinetics of midazolam (a CYP3A4 substrate) or on the formation of its active metabolite (1</w:t>
      </w:r>
      <w:r>
        <w:noBreakHyphen/>
      </w:r>
      <w:r w:rsidRPr="001530F3">
        <w:t>hydroxymidazolam), when a single 7.5</w:t>
      </w:r>
      <w:r>
        <w:t> mg</w:t>
      </w:r>
      <w:r w:rsidRPr="001530F3">
        <w:t xml:space="preserve"> dose of midazolam was administered prior to and after a 14</w:t>
      </w:r>
      <w:r>
        <w:noBreakHyphen/>
      </w:r>
      <w:r w:rsidRPr="001530F3">
        <w:t>day regimen of 20</w:t>
      </w:r>
      <w:r>
        <w:t> mg</w:t>
      </w:r>
      <w:r w:rsidRPr="001530F3">
        <w:t xml:space="preserve"> once</w:t>
      </w:r>
      <w:r>
        <w:noBreakHyphen/>
      </w:r>
      <w:r w:rsidRPr="001530F3">
        <w:t xml:space="preserve">daily tafamidis meglumine. </w:t>
      </w:r>
      <w:r w:rsidR="003B181F">
        <w:t xml:space="preserve"> </w:t>
      </w:r>
      <w:r w:rsidRPr="001530F3">
        <w:t>The overall systemic exposure (AUC</w:t>
      </w:r>
      <w:r w:rsidRPr="00877BF0">
        <w:rPr>
          <w:vertAlign w:val="subscript"/>
        </w:rPr>
        <w:t>0</w:t>
      </w:r>
      <w:r w:rsidRPr="00877BF0">
        <w:rPr>
          <w:vertAlign w:val="subscript"/>
        </w:rPr>
        <w:noBreakHyphen/>
      </w:r>
      <w:r w:rsidRPr="00877BF0">
        <w:rPr>
          <w:vertAlign w:val="subscript"/>
        </w:rPr>
        <w:sym w:font="Symbol" w:char="F0A5"/>
      </w:r>
      <w:r w:rsidRPr="001530F3">
        <w:t>) and total</w:t>
      </w:r>
      <w:r w:rsidRPr="001530F3">
        <w:rPr>
          <w:color w:val="4F81BD"/>
        </w:rPr>
        <w:t xml:space="preserve"> </w:t>
      </w:r>
      <w:r w:rsidRPr="001530F3">
        <w:t>clearance (CL/F) of midazolam were shown to be equivalent</w:t>
      </w:r>
      <w:r w:rsidR="00BB4E33">
        <w:t xml:space="preserve">.  </w:t>
      </w:r>
      <w:r w:rsidRPr="001530F3">
        <w:t xml:space="preserve">In addition, tafamidis </w:t>
      </w:r>
      <w:r w:rsidR="00FE397F">
        <w:t xml:space="preserve">meglumine </w:t>
      </w:r>
      <w:r w:rsidRPr="001530F3">
        <w:t>did not induce CYP3A4 activity in either male or female subjects.</w:t>
      </w:r>
    </w:p>
    <w:p w14:paraId="0297FA2A" w14:textId="25DA34F0" w:rsidR="00F1762B" w:rsidRDefault="00F1762B" w:rsidP="00F1762B">
      <w:pPr>
        <w:pStyle w:val="CLDHeading2"/>
      </w:pPr>
      <w:r>
        <w:lastRenderedPageBreak/>
        <w:t>4.6</w:t>
      </w:r>
      <w:r>
        <w:tab/>
        <w:t>Fertility, pregnancy and lactation</w:t>
      </w:r>
    </w:p>
    <w:p w14:paraId="3F2DA6CA" w14:textId="37CA6A82" w:rsidR="00F1762B" w:rsidRPr="001530F3" w:rsidRDefault="00F1762B" w:rsidP="00F1762B">
      <w:pPr>
        <w:pStyle w:val="CLDHeading3"/>
      </w:pPr>
      <w:r>
        <w:t>Effects on fertility</w:t>
      </w:r>
    </w:p>
    <w:p w14:paraId="6EF37B9B" w14:textId="388F74CB" w:rsidR="00B176F0" w:rsidRDefault="00B176F0">
      <w:pPr>
        <w:pStyle w:val="CLDNormal"/>
      </w:pPr>
      <w:r w:rsidRPr="001530F3">
        <w:t>There were no effects of tafamidis meglumine on fertility, reproductive performance, or mating behavior in the rat at any dose.</w:t>
      </w:r>
      <w:r>
        <w:t xml:space="preserve"> </w:t>
      </w:r>
      <w:r w:rsidRPr="001530F3">
        <w:t xml:space="preserve"> Rats</w:t>
      </w:r>
      <w:r w:rsidRPr="001530F3">
        <w:rPr>
          <w:color w:val="0000FF"/>
        </w:rPr>
        <w:t xml:space="preserve"> </w:t>
      </w:r>
      <w:r w:rsidRPr="001530F3">
        <w:t>were dosed daily (</w:t>
      </w:r>
      <w:r w:rsidRPr="001530F3">
        <w:rPr>
          <w:rStyle w:val="C-BodyTextChar1"/>
        </w:rPr>
        <w:t xml:space="preserve">5, 15, and 30 mg/kg/day) </w:t>
      </w:r>
      <w:r w:rsidRPr="001530F3">
        <w:t>prior to cohabitation (for at least 15 days for females and 28 days for males), throughout the cohabitation period to the day prior to termination of males and through to implantation of females (Gestation Day 7)</w:t>
      </w:r>
      <w:r>
        <w:t xml:space="preserve">.  </w:t>
      </w:r>
      <w:r w:rsidRPr="001530F3">
        <w:t xml:space="preserve">No adverse effects were noted on male rats in toxicity, fertility and mating behaviour at any dose.  Because no reproductive effects occurred at the highest dose tested, the paternal and maternal </w:t>
      </w:r>
      <w:r>
        <w:t xml:space="preserve">no observed effect level </w:t>
      </w:r>
      <w:r w:rsidRPr="001530F3">
        <w:t xml:space="preserve">for reproductive toxicity of tafamidis meglumine is greater than 30 mg/kg/day </w:t>
      </w:r>
      <w:bookmarkStart w:id="6" w:name="_Hlk19015371"/>
      <w:r w:rsidRPr="001530F3">
        <w:t>(</w:t>
      </w:r>
      <w:r w:rsidR="00537076">
        <w:t xml:space="preserve">estimated to be greater than </w:t>
      </w:r>
      <w:r>
        <w:t>9.</w:t>
      </w:r>
      <w:r w:rsidR="008C746E">
        <w:t>7</w:t>
      </w:r>
      <w:r>
        <w:t xml:space="preserve">-times the clinical AUC at the MRHD of </w:t>
      </w:r>
      <w:r w:rsidR="002F1ED6">
        <w:t>80</w:t>
      </w:r>
      <w:r>
        <w:t xml:space="preserve"> mg tafamidis</w:t>
      </w:r>
      <w:r w:rsidR="002F1ED6">
        <w:t xml:space="preserve"> meglumine</w:t>
      </w:r>
      <w:r>
        <w:t xml:space="preserve"> per day)</w:t>
      </w:r>
      <w:bookmarkEnd w:id="6"/>
      <w:r>
        <w:t>.</w:t>
      </w:r>
    </w:p>
    <w:p w14:paraId="704CECDA" w14:textId="77777777" w:rsidR="001E2A73" w:rsidRPr="001530F3" w:rsidRDefault="001E2A73" w:rsidP="001E2A73">
      <w:pPr>
        <w:pStyle w:val="CLDHeading3"/>
      </w:pPr>
      <w:r w:rsidRPr="001530F3">
        <w:t>Developmental toxicity</w:t>
      </w:r>
    </w:p>
    <w:p w14:paraId="52276898" w14:textId="1EB5BFA8" w:rsidR="001E2A73" w:rsidRPr="000D7ECE" w:rsidRDefault="001E2A73" w:rsidP="001E2A73">
      <w:pPr>
        <w:pStyle w:val="CLDNormal"/>
      </w:pPr>
      <w:r>
        <w:t>I</w:t>
      </w:r>
      <w:r w:rsidRPr="001530F3">
        <w:t xml:space="preserve">n </w:t>
      </w:r>
      <w:r>
        <w:t xml:space="preserve">pregnant </w:t>
      </w:r>
      <w:r w:rsidRPr="001530F3">
        <w:t>rabbits increase</w:t>
      </w:r>
      <w:r>
        <w:t>d</w:t>
      </w:r>
      <w:r w:rsidRPr="001530F3">
        <w:t xml:space="preserve"> skeletal </w:t>
      </w:r>
      <w:r w:rsidR="002E77A9" w:rsidRPr="001530F3">
        <w:t>variations</w:t>
      </w:r>
      <w:r w:rsidR="002E77A9">
        <w:t xml:space="preserve"> were observed at ≥</w:t>
      </w:r>
      <w:r w:rsidR="00CE1FC9">
        <w:t>0.5</w:t>
      </w:r>
      <w:r w:rsidR="002E77A9">
        <w:t xml:space="preserve"> mg/kg/day (exposures approximately equivalent to clinical exposures at the M</w:t>
      </w:r>
      <w:r w:rsidR="00CE1FC9">
        <w:t>RH</w:t>
      </w:r>
      <w:r w:rsidR="002E77A9">
        <w:t>D</w:t>
      </w:r>
      <w:r w:rsidR="00CE1FC9">
        <w:t xml:space="preserve"> of 80 mg tafamidis meglumine</w:t>
      </w:r>
      <w:r w:rsidR="002E77A9">
        <w:t>)</w:t>
      </w:r>
      <w:r w:rsidR="002E77A9" w:rsidRPr="001530F3">
        <w:t xml:space="preserve">, </w:t>
      </w:r>
      <w:r w:rsidR="002E77A9">
        <w:t>while increased skeletal malformations</w:t>
      </w:r>
      <w:r w:rsidRPr="001530F3">
        <w:t>, reduced embryo</w:t>
      </w:r>
      <w:r>
        <w:noBreakHyphen/>
      </w:r>
      <w:r w:rsidRPr="001530F3">
        <w:t xml:space="preserve">fetal survival and reduction in fetal body weights were observed at </w:t>
      </w:r>
      <w:r w:rsidR="007247ED">
        <w:t>8</w:t>
      </w:r>
      <w:r>
        <w:t xml:space="preserve"> mg/kg/day (AUC exposures </w:t>
      </w:r>
      <w:r w:rsidR="007247ED">
        <w:t>9.3</w:t>
      </w:r>
      <w:r w:rsidR="002F1ED6">
        <w:t xml:space="preserve"> times </w:t>
      </w:r>
      <w:r>
        <w:t xml:space="preserve">clinical AUC </w:t>
      </w:r>
      <w:r w:rsidR="00CE1FC9">
        <w:t>at the MRHD</w:t>
      </w:r>
      <w:r w:rsidR="00EF4E59">
        <w:t>)</w:t>
      </w:r>
      <w:r w:rsidRPr="001530F3">
        <w:t xml:space="preserve">.  In </w:t>
      </w:r>
      <w:r>
        <w:t>pregnant</w:t>
      </w:r>
      <w:r w:rsidRPr="001530F3">
        <w:t xml:space="preserve"> rats, oral administration of tafamidis</w:t>
      </w:r>
      <w:r w:rsidR="00FE397F">
        <w:t xml:space="preserve"> meglumine</w:t>
      </w:r>
      <w:r w:rsidRPr="001530F3">
        <w:t xml:space="preserve"> (15, 30, and 45 mg/kg/day) from Gestation Day 7 through 17 resulted in decreased fetal weights at </w:t>
      </w:r>
      <w:r w:rsidRPr="001530F3">
        <w:sym w:font="Symbol" w:char="F0B3"/>
      </w:r>
      <w:r w:rsidRPr="001530F3">
        <w:t xml:space="preserve">30 mg/kg/day (approximately </w:t>
      </w:r>
      <w:r w:rsidRPr="001530F3">
        <w:sym w:font="Symbol" w:char="F0B3"/>
      </w:r>
      <w:r w:rsidRPr="001530F3">
        <w:t>9.7</w:t>
      </w:r>
      <w:r>
        <w:noBreakHyphen/>
      </w:r>
      <w:r w:rsidRPr="001530F3">
        <w:t>times the human AUC at the clinical dose</w:t>
      </w:r>
      <w:r w:rsidR="002F1ED6">
        <w:t xml:space="preserve"> of</w:t>
      </w:r>
      <w:r w:rsidR="00FB531F">
        <w:t xml:space="preserve"> 80 mg </w:t>
      </w:r>
      <w:proofErr w:type="spellStart"/>
      <w:r w:rsidR="00FB531F">
        <w:t>tafamidis</w:t>
      </w:r>
      <w:proofErr w:type="spellEnd"/>
      <w:r w:rsidR="00FB531F">
        <w:t xml:space="preserve"> </w:t>
      </w:r>
      <w:proofErr w:type="spellStart"/>
      <w:r w:rsidR="00FB531F">
        <w:t>meglumine</w:t>
      </w:r>
      <w:proofErr w:type="spellEnd"/>
      <w:r w:rsidR="00FB531F">
        <w:t>).</w:t>
      </w:r>
    </w:p>
    <w:p w14:paraId="4CE483BB" w14:textId="7CAA72D6" w:rsidR="001E2A73" w:rsidRPr="000D7ECE" w:rsidRDefault="001E2A73" w:rsidP="001E2A73">
      <w:pPr>
        <w:pStyle w:val="CLDNormal"/>
      </w:pPr>
      <w:r w:rsidRPr="001530F3">
        <w:t>In the rat pre</w:t>
      </w:r>
      <w:r>
        <w:noBreakHyphen/>
      </w:r>
      <w:r w:rsidRPr="001530F3">
        <w:t xml:space="preserve"> and post</w:t>
      </w:r>
      <w:r>
        <w:noBreakHyphen/>
      </w:r>
      <w:r w:rsidRPr="001530F3">
        <w:t>natal development study with tafamidis</w:t>
      </w:r>
      <w:r w:rsidR="00FE397F">
        <w:t xml:space="preserve"> meglumine</w:t>
      </w:r>
      <w:r w:rsidRPr="001530F3">
        <w:t>, pregnant rats were orally administered tafamidis meglumine at doses of 5, 15, or 30 mg/kg/day from Gestation Day 7 through Lactation Day 20</w:t>
      </w:r>
      <w:r>
        <w:t xml:space="preserve">.  </w:t>
      </w:r>
      <w:r w:rsidRPr="001530F3">
        <w:t>Decreased pup survival</w:t>
      </w:r>
      <w:r>
        <w:t>,</w:t>
      </w:r>
      <w:r w:rsidRPr="001530F3">
        <w:t xml:space="preserve"> reduced pup weights</w:t>
      </w:r>
      <w:r>
        <w:t xml:space="preserve"> and malformations (microphthalmia, enophthalmos, domed head)</w:t>
      </w:r>
      <w:r w:rsidRPr="001530F3">
        <w:t xml:space="preserve"> were noted at doses </w:t>
      </w:r>
      <w:r>
        <w:t>≥15 mg</w:t>
      </w:r>
      <w:r w:rsidRPr="001530F3">
        <w:t>/kg/day</w:t>
      </w:r>
      <w:r>
        <w:t xml:space="preserve"> (</w:t>
      </w:r>
      <w:r w:rsidR="00DE76F7">
        <w:t>≥</w:t>
      </w:r>
      <w:r>
        <w:t>6.</w:t>
      </w:r>
      <w:r w:rsidR="002F1ED6">
        <w:t>6</w:t>
      </w:r>
      <w:r w:rsidR="00DE76F7">
        <w:noBreakHyphen/>
      </w:r>
      <w:r>
        <w:t xml:space="preserve">times the clinical AUC at the MRHD of </w:t>
      </w:r>
      <w:r w:rsidR="002F1ED6">
        <w:t>80</w:t>
      </w:r>
      <w:r>
        <w:t xml:space="preserve"> mg tafamidis</w:t>
      </w:r>
      <w:r w:rsidR="002F1ED6">
        <w:t xml:space="preserve"> meglumine</w:t>
      </w:r>
      <w:r>
        <w:t xml:space="preserve"> per day).  </w:t>
      </w:r>
      <w:r w:rsidRPr="001530F3">
        <w:t>Decreased pup weights in males were associated with delayed sexual maturation (preputial separation) at 15 mg/kg/day</w:t>
      </w:r>
      <w:r>
        <w:t xml:space="preserve">.  </w:t>
      </w:r>
      <w:r w:rsidRPr="001530F3">
        <w:t>Impaired performance in a water</w:t>
      </w:r>
      <w:r>
        <w:noBreakHyphen/>
      </w:r>
      <w:r w:rsidRPr="001530F3">
        <w:t>maze test for learning and memory was observed at 15 mg/kg/day</w:t>
      </w:r>
      <w:r>
        <w:t xml:space="preserve">.  </w:t>
      </w:r>
      <w:r w:rsidRPr="001530F3">
        <w:t xml:space="preserve">The </w:t>
      </w:r>
      <w:r>
        <w:t>no observable adverse effect level (</w:t>
      </w:r>
      <w:r w:rsidRPr="001530F3">
        <w:t>NOAEL</w:t>
      </w:r>
      <w:r>
        <w:t>)</w:t>
      </w:r>
      <w:r w:rsidRPr="001530F3">
        <w:t xml:space="preserve"> for viability and growth in the F1 generation offspring following maternal </w:t>
      </w:r>
      <w:r>
        <w:t>exposures to</w:t>
      </w:r>
      <w:r w:rsidRPr="001530F3">
        <w:t xml:space="preserve"> tafamidis </w:t>
      </w:r>
      <w:r w:rsidR="00FE397F">
        <w:t xml:space="preserve">meglumine </w:t>
      </w:r>
      <w:r w:rsidRPr="001530F3">
        <w:t>was 5</w:t>
      </w:r>
      <w:r>
        <w:t> mg</w:t>
      </w:r>
      <w:r w:rsidRPr="001530F3">
        <w:t xml:space="preserve">/kg/day (human equivalent dose </w:t>
      </w:r>
      <w:r>
        <w:t xml:space="preserve">of </w:t>
      </w:r>
      <w:r w:rsidRPr="001530F3">
        <w:t>0.8</w:t>
      </w:r>
      <w:r w:rsidR="00F65931">
        <w:t> </w:t>
      </w:r>
      <w:r w:rsidRPr="001530F3">
        <w:t>mg/kg/day), a dose approximately 1.</w:t>
      </w:r>
      <w:r>
        <w:t>2</w:t>
      </w:r>
      <w:r>
        <w:noBreakHyphen/>
      </w:r>
      <w:r w:rsidRPr="001530F3">
        <w:t>times the clinical dose of 80 mg tafamidis meglumine</w:t>
      </w:r>
      <w:r>
        <w:t xml:space="preserve"> for a </w:t>
      </w:r>
      <w:r w:rsidRPr="00EF4E59">
        <w:t>70</w:t>
      </w:r>
      <w:r>
        <w:t xml:space="preserve"> kg adult</w:t>
      </w:r>
      <w:r w:rsidRPr="001530F3">
        <w:t>.</w:t>
      </w:r>
    </w:p>
    <w:p w14:paraId="46E53F48" w14:textId="73C0B4E5" w:rsidR="00112E5B" w:rsidRDefault="00C40E91" w:rsidP="00755FFF">
      <w:pPr>
        <w:pStyle w:val="CLDHeading3"/>
      </w:pPr>
      <w:r>
        <w:t>Use in p</w:t>
      </w:r>
      <w:r w:rsidR="00112E5B">
        <w:t>regnancy</w:t>
      </w:r>
      <w:r>
        <w:t xml:space="preserve"> – </w:t>
      </w:r>
      <w:r w:rsidR="00636841">
        <w:t>Pregnancy</w:t>
      </w:r>
      <w:r w:rsidR="003E7ED4">
        <w:t xml:space="preserve"> Category </w:t>
      </w:r>
      <w:r w:rsidR="00B176F0">
        <w:t>D</w:t>
      </w:r>
    </w:p>
    <w:p w14:paraId="26D0256E" w14:textId="77777777" w:rsidR="00FE1286" w:rsidRPr="004D1D53" w:rsidRDefault="00FE1286" w:rsidP="003B181F">
      <w:pPr>
        <w:pStyle w:val="CLDHeading4"/>
      </w:pPr>
      <w:r w:rsidRPr="004D1D53">
        <w:t>Women of childbearing potential</w:t>
      </w:r>
    </w:p>
    <w:p w14:paraId="2A3F5E5D" w14:textId="194A2F3D" w:rsidR="00B1218F" w:rsidRDefault="00B1218F" w:rsidP="003B181F">
      <w:pPr>
        <w:pStyle w:val="CLDNormal"/>
        <w:rPr>
          <w:vertAlign w:val="superscript"/>
        </w:rPr>
      </w:pPr>
      <w:r w:rsidRPr="001530F3">
        <w:t xml:space="preserve">Contraceptive measures should be used by women of childbearing potential during treatment with </w:t>
      </w:r>
      <w:r>
        <w:t>VYNDAQEL</w:t>
      </w:r>
      <w:r w:rsidRPr="001530F3">
        <w:t>, and, due to the prolonged half</w:t>
      </w:r>
      <w:r>
        <w:noBreakHyphen/>
      </w:r>
      <w:r w:rsidRPr="001530F3">
        <w:t>life, for one month after stopping treatment.</w:t>
      </w:r>
    </w:p>
    <w:p w14:paraId="5C13D59F" w14:textId="5000625A" w:rsidR="00B1218F" w:rsidRPr="001530F3" w:rsidRDefault="00B1218F" w:rsidP="003B181F">
      <w:pPr>
        <w:pStyle w:val="CLDNormal"/>
        <w:rPr>
          <w:u w:val="single"/>
        </w:rPr>
      </w:pPr>
      <w:r>
        <w:t>VYNDAQEL</w:t>
      </w:r>
      <w:r w:rsidRPr="001530F3">
        <w:t xml:space="preserve"> is not recommended in women of childbearing potential not using contraception.</w:t>
      </w:r>
    </w:p>
    <w:p w14:paraId="6BD11A99" w14:textId="77777777" w:rsidR="00FE1286" w:rsidRPr="004D1D53" w:rsidRDefault="00FE1286" w:rsidP="003B181F">
      <w:pPr>
        <w:pStyle w:val="CLDHeading4"/>
      </w:pPr>
      <w:r w:rsidRPr="004D1D53">
        <w:t>Pregnancy</w:t>
      </w:r>
    </w:p>
    <w:p w14:paraId="67C50E9C" w14:textId="1357802B" w:rsidR="00B1218F" w:rsidRPr="001530F3" w:rsidRDefault="00B1218F" w:rsidP="003B181F">
      <w:pPr>
        <w:pStyle w:val="CLDNormal"/>
      </w:pPr>
      <w:r w:rsidRPr="001530F3">
        <w:t xml:space="preserve">There are no adequate data on the use of </w:t>
      </w:r>
      <w:r>
        <w:t>VYNDAQEL</w:t>
      </w:r>
      <w:r w:rsidRPr="001530F3">
        <w:t xml:space="preserve"> in pregnant women. </w:t>
      </w:r>
      <w:r>
        <w:t xml:space="preserve"> </w:t>
      </w:r>
      <w:r w:rsidR="00175D21">
        <w:t>Based on findings from animal studies, VYNDA</w:t>
      </w:r>
      <w:r w:rsidR="00AB4AFC">
        <w:t>QEL</w:t>
      </w:r>
      <w:r w:rsidR="00175D21">
        <w:t xml:space="preserve"> may cause fetal harm when administered to pregnant </w:t>
      </w:r>
      <w:r w:rsidR="00175D21">
        <w:lastRenderedPageBreak/>
        <w:t>women</w:t>
      </w:r>
      <w:r w:rsidRPr="001530F3">
        <w:t xml:space="preserve"> (see </w:t>
      </w:r>
      <w:r w:rsidR="00934BD7">
        <w:t>above</w:t>
      </w:r>
      <w:r w:rsidRPr="001530F3">
        <w:t xml:space="preserve">). </w:t>
      </w:r>
      <w:r>
        <w:t xml:space="preserve"> </w:t>
      </w:r>
      <w:r w:rsidRPr="001530F3">
        <w:t xml:space="preserve">The potential risk for humans is unknown. </w:t>
      </w:r>
      <w:r>
        <w:t xml:space="preserve"> VYNDAQEL</w:t>
      </w:r>
      <w:r w:rsidRPr="001530F3">
        <w:t xml:space="preserve"> is not recommended during pregnancy.</w:t>
      </w:r>
    </w:p>
    <w:p w14:paraId="12288C2F" w14:textId="207514FE" w:rsidR="00FE1286" w:rsidRPr="004D1D53" w:rsidRDefault="00B1218F" w:rsidP="003B181F">
      <w:pPr>
        <w:pStyle w:val="CLDNormal"/>
        <w:rPr>
          <w:szCs w:val="22"/>
        </w:rPr>
      </w:pPr>
      <w:r w:rsidRPr="00472751">
        <w:t xml:space="preserve">To monitor outcomes of pregnant women exposed to VYNDAQEL, a Tafamidis Enhanced Surveillance for Pregnancy Outcomes (TESPO) program has been established.  If a pregnancy occurs in a woman being treated with VYNDAQEL, medical or healthcare professionals are encouraged to report the pregnancy </w:t>
      </w:r>
      <w:r w:rsidR="00472751" w:rsidRPr="00472751">
        <w:t xml:space="preserve">to </w:t>
      </w:r>
      <w:r w:rsidR="00472751">
        <w:t xml:space="preserve">the Sponsor </w:t>
      </w:r>
      <w:r w:rsidR="00472751" w:rsidRPr="00472751">
        <w:t>(see Section</w:t>
      </w:r>
      <w:r w:rsidR="00472751">
        <w:t> </w:t>
      </w:r>
      <w:r w:rsidR="00472751" w:rsidRPr="00472751">
        <w:t>8</w:t>
      </w:r>
      <w:r w:rsidR="00617622">
        <w:t xml:space="preserve"> Sponsor</w:t>
      </w:r>
      <w:r w:rsidR="00472751" w:rsidRPr="00472751">
        <w:t>)</w:t>
      </w:r>
      <w:r w:rsidRPr="00472751">
        <w:t>.</w:t>
      </w:r>
    </w:p>
    <w:p w14:paraId="46E53F4B" w14:textId="79B2F176" w:rsidR="00EC2C85" w:rsidRPr="00EC2C85" w:rsidRDefault="00C40E91" w:rsidP="00755FFF">
      <w:pPr>
        <w:pStyle w:val="CLDHeading3"/>
      </w:pPr>
      <w:r>
        <w:t>Use in l</w:t>
      </w:r>
      <w:r w:rsidR="00807A52">
        <w:t>actation</w:t>
      </w:r>
    </w:p>
    <w:p w14:paraId="3AD85E5C" w14:textId="1EDCA8EC" w:rsidR="00B1218F" w:rsidRPr="001530F3" w:rsidRDefault="000719CD" w:rsidP="003B181F">
      <w:pPr>
        <w:pStyle w:val="CLDNormal"/>
      </w:pPr>
      <w:r>
        <w:t>Nonclinical data demonstrate that tafamidis</w:t>
      </w:r>
      <w:r w:rsidR="00FE397F">
        <w:t xml:space="preserve"> meglumine</w:t>
      </w:r>
      <w:r>
        <w:t xml:space="preserve"> is secreted in the milk of lactating rats.  While t</w:t>
      </w:r>
      <w:r w:rsidR="00B1218F" w:rsidRPr="001530F3">
        <w:t xml:space="preserve">he effect of </w:t>
      </w:r>
      <w:r w:rsidR="00B1218F">
        <w:t>VYNDAQEL</w:t>
      </w:r>
      <w:r w:rsidR="00B1218F" w:rsidRPr="001530F3">
        <w:t xml:space="preserve"> on nursing infants after administration to the mother has not been studied</w:t>
      </w:r>
      <w:r>
        <w:t>, a risk to infants cannot be excluded</w:t>
      </w:r>
      <w:r w:rsidR="00B1218F" w:rsidRPr="001530F3">
        <w:t>.</w:t>
      </w:r>
      <w:r w:rsidR="00B1218F">
        <w:t xml:space="preserve"> </w:t>
      </w:r>
      <w:r w:rsidR="00B1218F" w:rsidRPr="001530F3">
        <w:t xml:space="preserve"> </w:t>
      </w:r>
      <w:r>
        <w:t>Breastfeeding is not recommended during treatment with VYNDAQEL.</w:t>
      </w:r>
    </w:p>
    <w:p w14:paraId="46E53F4E" w14:textId="5243DB98" w:rsidR="00EC2C85" w:rsidRPr="00F1762B" w:rsidRDefault="002F6F96" w:rsidP="00755FFF">
      <w:pPr>
        <w:pStyle w:val="CLDHeading2"/>
        <w:rPr>
          <w:bCs/>
          <w:i/>
          <w:iCs/>
        </w:rPr>
      </w:pPr>
      <w:r>
        <w:t>4.7</w:t>
      </w:r>
      <w:r>
        <w:tab/>
      </w:r>
      <w:r w:rsidR="00A52C16">
        <w:t xml:space="preserve">Effects on </w:t>
      </w:r>
      <w:r w:rsidR="00003485">
        <w:t>ability to d</w:t>
      </w:r>
      <w:r w:rsidR="009021BA">
        <w:t xml:space="preserve">rive </w:t>
      </w:r>
      <w:r w:rsidR="00003485">
        <w:t>and u</w:t>
      </w:r>
      <w:r w:rsidR="00A52C16">
        <w:t>se</w:t>
      </w:r>
      <w:r w:rsidR="00003485">
        <w:t xml:space="preserve"> m</w:t>
      </w:r>
      <w:r w:rsidR="00C40E91">
        <w:t>achines</w:t>
      </w:r>
    </w:p>
    <w:p w14:paraId="0E5723AF" w14:textId="567A954A" w:rsidR="00E13D87" w:rsidRDefault="00E13D87" w:rsidP="00515162">
      <w:pPr>
        <w:pStyle w:val="CLDNormal"/>
      </w:pPr>
      <w:r w:rsidRPr="001530F3">
        <w:t xml:space="preserve">No studies on the effects of </w:t>
      </w:r>
      <w:r>
        <w:t>VYNDAQEL</w:t>
      </w:r>
      <w:r w:rsidRPr="001530F3">
        <w:t xml:space="preserve"> on the ability to drive or use machines have been performed.</w:t>
      </w:r>
    </w:p>
    <w:p w14:paraId="46E53F54" w14:textId="0AAE3C54" w:rsidR="0062454C" w:rsidRPr="00F1762B" w:rsidRDefault="002F6F96" w:rsidP="00755FFF">
      <w:pPr>
        <w:pStyle w:val="CLDHeading2"/>
        <w:rPr>
          <w:bCs/>
          <w:i/>
          <w:iCs/>
        </w:rPr>
      </w:pPr>
      <w:r>
        <w:t>4.8</w:t>
      </w:r>
      <w:r>
        <w:tab/>
      </w:r>
      <w:r w:rsidR="00003485">
        <w:t>Adverse effects (undesirable e</w:t>
      </w:r>
      <w:r w:rsidR="0062454C" w:rsidRPr="0037240B">
        <w:t>ffects</w:t>
      </w:r>
      <w:r w:rsidR="00C40E91">
        <w:t>)</w:t>
      </w:r>
    </w:p>
    <w:p w14:paraId="79CC9612" w14:textId="0F75688E" w:rsidR="00E13D87" w:rsidRPr="001530F3" w:rsidRDefault="00E13D87" w:rsidP="00515162">
      <w:pPr>
        <w:pStyle w:val="CLDNormal"/>
      </w:pPr>
      <w:r w:rsidRPr="001530F3">
        <w:t>The data across clinical trials reflect exposure of 377 ATTR</w:t>
      </w:r>
      <w:r>
        <w:noBreakHyphen/>
      </w:r>
      <w:r w:rsidRPr="001530F3">
        <w:t>CM patients to either 20 mg or 80</w:t>
      </w:r>
      <w:r>
        <w:t> </w:t>
      </w:r>
      <w:r w:rsidRPr="001530F3">
        <w:t>mg (administered as four 20 mg capsules) of tafamidis meglumine daily for an average of 24.5</w:t>
      </w:r>
      <w:r>
        <w:t> </w:t>
      </w:r>
      <w:r w:rsidRPr="001530F3">
        <w:t>months (ranging from 1 day to 111 months)</w:t>
      </w:r>
      <w:r w:rsidR="00BB4E33">
        <w:t xml:space="preserve">.  </w:t>
      </w:r>
      <w:r w:rsidRPr="001530F3">
        <w:t>The population included adult patients diagnosed with ATTR</w:t>
      </w:r>
      <w:r>
        <w:noBreakHyphen/>
      </w:r>
      <w:r w:rsidRPr="001530F3">
        <w:t xml:space="preserve">CM, the majority (approximately 90%) of </w:t>
      </w:r>
      <w:r w:rsidR="00AF1B9C">
        <w:t>whom</w:t>
      </w:r>
      <w:r w:rsidR="00AF1B9C" w:rsidRPr="001530F3">
        <w:t xml:space="preserve"> </w:t>
      </w:r>
      <w:r w:rsidRPr="001530F3">
        <w:t>had a baseline NYHA (New York Heart Association) classification of Class II or Class III.  The mean age was approximately 75 years (ranging from 46 years to 91 years of age); a majority were male (&gt;90%), and approximately 82% were Caucasian.</w:t>
      </w:r>
    </w:p>
    <w:p w14:paraId="5BBF8E26" w14:textId="1BDB086C" w:rsidR="00E13D87" w:rsidRPr="001530F3" w:rsidRDefault="00E13D87" w:rsidP="00515162">
      <w:pPr>
        <w:pStyle w:val="CLDNormal"/>
      </w:pPr>
      <w:r w:rsidRPr="001530F3">
        <w:t>Adverse events were assessed from ATTR</w:t>
      </w:r>
      <w:r>
        <w:noBreakHyphen/>
      </w:r>
      <w:r w:rsidRPr="001530F3">
        <w:t xml:space="preserve">CM clinical trials with </w:t>
      </w:r>
      <w:r w:rsidR="00AD084A">
        <w:t>tafamidis meglumine</w:t>
      </w:r>
      <w:r w:rsidRPr="001530F3">
        <w:t xml:space="preserve"> including a 30</w:t>
      </w:r>
      <w:r>
        <w:noBreakHyphen/>
      </w:r>
      <w:r w:rsidRPr="001530F3">
        <w:t>month placebo</w:t>
      </w:r>
      <w:r>
        <w:noBreakHyphen/>
      </w:r>
      <w:r w:rsidRPr="001530F3">
        <w:t>controlled trial in patients diagnosed with ATTR</w:t>
      </w:r>
      <w:r>
        <w:noBreakHyphen/>
      </w:r>
      <w:r w:rsidRPr="001530F3">
        <w:t>CM (see Section 5.1</w:t>
      </w:r>
      <w:r w:rsidR="00617622">
        <w:t xml:space="preserve"> </w:t>
      </w:r>
      <w:bookmarkStart w:id="7" w:name="_Hlk32913026"/>
      <w:r w:rsidR="00617622">
        <w:t>Pharmacodynamic properties</w:t>
      </w:r>
      <w:bookmarkEnd w:id="7"/>
      <w:r w:rsidRPr="001530F3">
        <w:t>).  The frequency of adverse events in patients treated with 20 mg or 80 mg tafamidis meglumine was similar and comparable to placebo</w:t>
      </w:r>
      <w:r w:rsidR="00BB4E33">
        <w:t xml:space="preserve">.  </w:t>
      </w:r>
    </w:p>
    <w:p w14:paraId="52A4DD17" w14:textId="12DA4D0C" w:rsidR="00AD084A" w:rsidRPr="00F1762B" w:rsidRDefault="00AD084A" w:rsidP="00AD084A">
      <w:pPr>
        <w:pStyle w:val="CLDNormal"/>
      </w:pPr>
      <w:bookmarkStart w:id="8" w:name="_Hlk20322432"/>
      <w:r>
        <w:t xml:space="preserve">The most commonly reported treatment-emergent adverse events (&gt;15%) for the patients treated with tafamidis </w:t>
      </w:r>
      <w:r w:rsidR="00FE397F">
        <w:t xml:space="preserve">meglumine </w:t>
      </w:r>
      <w:r>
        <w:t>(pooled tafamidis</w:t>
      </w:r>
      <w:r w:rsidR="00FE397F" w:rsidRPr="00FE397F">
        <w:t xml:space="preserve"> </w:t>
      </w:r>
      <w:r w:rsidR="00FE397F">
        <w:t>meglumine</w:t>
      </w:r>
      <w:r>
        <w:t xml:space="preserve"> 20 mg + 80 mg) compared to placebo in the pivotal </w:t>
      </w:r>
      <w:r w:rsidRPr="00F1762B">
        <w:t xml:space="preserve">phase </w:t>
      </w:r>
      <w:proofErr w:type="gramStart"/>
      <w:r w:rsidRPr="00F1762B">
        <w:t>3</w:t>
      </w:r>
      <w:proofErr w:type="gramEnd"/>
      <w:r w:rsidRPr="00F1762B">
        <w:t xml:space="preserve"> Study B3461028 are shown in </w:t>
      </w:r>
      <w:r w:rsidR="00476395" w:rsidRPr="00F1762B">
        <w:fldChar w:fldCharType="begin"/>
      </w:r>
      <w:r w:rsidR="00476395" w:rsidRPr="00F1762B">
        <w:instrText xml:space="preserve"> REF _Ref20322215 \h </w:instrText>
      </w:r>
      <w:r w:rsidR="00F1762B" w:rsidRPr="00F1762B">
        <w:instrText xml:space="preserve"> \* MERGEFORMAT </w:instrText>
      </w:r>
      <w:r w:rsidR="00476395" w:rsidRPr="00F1762B">
        <w:fldChar w:fldCharType="separate"/>
      </w:r>
      <w:r w:rsidR="00E23711" w:rsidRPr="00F1762B">
        <w:rPr>
          <w:szCs w:val="24"/>
        </w:rPr>
        <w:t xml:space="preserve">Table </w:t>
      </w:r>
      <w:r w:rsidR="00E23711">
        <w:rPr>
          <w:noProof/>
          <w:szCs w:val="24"/>
        </w:rPr>
        <w:t>1</w:t>
      </w:r>
      <w:r w:rsidR="00476395" w:rsidRPr="00F1762B">
        <w:fldChar w:fldCharType="end"/>
      </w:r>
      <w:r w:rsidRPr="00F1762B">
        <w:t>.</w:t>
      </w:r>
    </w:p>
    <w:p w14:paraId="57BCABBB" w14:textId="06DA73FC" w:rsidR="00476395" w:rsidRPr="00F1762B" w:rsidRDefault="00476395" w:rsidP="00476395">
      <w:pPr>
        <w:pStyle w:val="Caption"/>
        <w:keepNext/>
        <w:rPr>
          <w:color w:val="auto"/>
        </w:rPr>
      </w:pPr>
      <w:bookmarkStart w:id="9" w:name="_Ref20322215"/>
      <w:r w:rsidRPr="00F1762B">
        <w:rPr>
          <w:color w:val="auto"/>
          <w:sz w:val="24"/>
          <w:szCs w:val="24"/>
        </w:rPr>
        <w:t xml:space="preserve">Table </w:t>
      </w:r>
      <w:r w:rsidRPr="00F1762B">
        <w:rPr>
          <w:color w:val="auto"/>
          <w:sz w:val="24"/>
          <w:szCs w:val="24"/>
        </w:rPr>
        <w:fldChar w:fldCharType="begin"/>
      </w:r>
      <w:r w:rsidRPr="00F1762B">
        <w:rPr>
          <w:color w:val="auto"/>
          <w:sz w:val="24"/>
          <w:szCs w:val="24"/>
        </w:rPr>
        <w:instrText xml:space="preserve"> SEQ Table \* ARABIC </w:instrText>
      </w:r>
      <w:r w:rsidRPr="00F1762B">
        <w:rPr>
          <w:color w:val="auto"/>
          <w:sz w:val="24"/>
          <w:szCs w:val="24"/>
        </w:rPr>
        <w:fldChar w:fldCharType="separate"/>
      </w:r>
      <w:r w:rsidR="00E23711">
        <w:rPr>
          <w:noProof/>
          <w:color w:val="auto"/>
          <w:sz w:val="24"/>
          <w:szCs w:val="24"/>
        </w:rPr>
        <w:t>1</w:t>
      </w:r>
      <w:r w:rsidRPr="00F1762B">
        <w:rPr>
          <w:color w:val="auto"/>
          <w:sz w:val="24"/>
          <w:szCs w:val="24"/>
        </w:rPr>
        <w:fldChar w:fldCharType="end"/>
      </w:r>
      <w:bookmarkEnd w:id="9"/>
      <w:r w:rsidRPr="00F1762B">
        <w:rPr>
          <w:color w:val="auto"/>
          <w:sz w:val="24"/>
          <w:szCs w:val="24"/>
        </w:rPr>
        <w:t xml:space="preserve">:  Most Common Treatment-Emergent Adverse Events (&gt;15%) for Patients Treated With Tafamidis </w:t>
      </w:r>
      <w:r w:rsidR="00FE397F" w:rsidRPr="00DE585B">
        <w:rPr>
          <w:color w:val="auto"/>
          <w:sz w:val="24"/>
          <w:szCs w:val="24"/>
        </w:rPr>
        <w:t>Meglumine</w:t>
      </w:r>
      <w:r w:rsidR="00FE397F" w:rsidRPr="00DE585B">
        <w:rPr>
          <w:color w:val="auto"/>
        </w:rPr>
        <w:t xml:space="preserve"> </w:t>
      </w:r>
      <w:r w:rsidRPr="00F1762B">
        <w:rPr>
          <w:color w:val="auto"/>
          <w:sz w:val="24"/>
          <w:szCs w:val="24"/>
        </w:rPr>
        <w:t>in Study B3461028</w:t>
      </w:r>
    </w:p>
    <w:tbl>
      <w:tblPr>
        <w:tblStyle w:val="TableGrid"/>
        <w:tblW w:w="0" w:type="auto"/>
        <w:tblLook w:val="04A0" w:firstRow="1" w:lastRow="0" w:firstColumn="1" w:lastColumn="0" w:noHBand="0" w:noVBand="1"/>
      </w:tblPr>
      <w:tblGrid>
        <w:gridCol w:w="2070"/>
        <w:gridCol w:w="3510"/>
        <w:gridCol w:w="3437"/>
      </w:tblGrid>
      <w:tr w:rsidR="00AD084A" w:rsidRPr="00476395" w14:paraId="63F8839F" w14:textId="77777777" w:rsidTr="00F61BC7">
        <w:trPr>
          <w:tblHeader/>
        </w:trPr>
        <w:tc>
          <w:tcPr>
            <w:tcW w:w="2070" w:type="dxa"/>
          </w:tcPr>
          <w:p w14:paraId="687C3A8D" w14:textId="77777777" w:rsidR="00AD084A" w:rsidRPr="00476395" w:rsidRDefault="00AD084A" w:rsidP="00AD084A">
            <w:pPr>
              <w:pStyle w:val="CLDNormal"/>
              <w:spacing w:after="0"/>
              <w:rPr>
                <w:b/>
              </w:rPr>
            </w:pPr>
          </w:p>
        </w:tc>
        <w:tc>
          <w:tcPr>
            <w:tcW w:w="3510" w:type="dxa"/>
          </w:tcPr>
          <w:p w14:paraId="00DF22F2" w14:textId="066D9F62" w:rsidR="00AD084A" w:rsidRPr="00476395" w:rsidRDefault="00AD084A" w:rsidP="00AD084A">
            <w:pPr>
              <w:pStyle w:val="CLDNormal"/>
              <w:spacing w:after="0"/>
              <w:jc w:val="center"/>
              <w:rPr>
                <w:b/>
              </w:rPr>
            </w:pPr>
            <w:r w:rsidRPr="00476395">
              <w:rPr>
                <w:b/>
              </w:rPr>
              <w:t xml:space="preserve">Pooled tafamidis </w:t>
            </w:r>
            <w:r w:rsidR="00FE397F" w:rsidRPr="00FE397F">
              <w:rPr>
                <w:b/>
              </w:rPr>
              <w:t>meglumine</w:t>
            </w:r>
            <w:r w:rsidR="00FE397F">
              <w:t xml:space="preserve"> </w:t>
            </w:r>
            <w:r w:rsidRPr="00476395">
              <w:rPr>
                <w:b/>
              </w:rPr>
              <w:t>(20 mg + 80 mg) (N=264)</w:t>
            </w:r>
          </w:p>
        </w:tc>
        <w:tc>
          <w:tcPr>
            <w:tcW w:w="3437" w:type="dxa"/>
          </w:tcPr>
          <w:p w14:paraId="0B4C4ABA" w14:textId="77777777" w:rsidR="00AD084A" w:rsidRPr="00476395" w:rsidRDefault="00AD084A" w:rsidP="00AD084A">
            <w:pPr>
              <w:pStyle w:val="CLDNormal"/>
              <w:spacing w:after="0"/>
              <w:jc w:val="center"/>
              <w:rPr>
                <w:b/>
              </w:rPr>
            </w:pPr>
            <w:r w:rsidRPr="00476395">
              <w:rPr>
                <w:b/>
              </w:rPr>
              <w:t xml:space="preserve">Placebo </w:t>
            </w:r>
          </w:p>
          <w:p w14:paraId="08DB6684" w14:textId="77777777" w:rsidR="00AD084A" w:rsidRPr="00476395" w:rsidRDefault="00AD084A" w:rsidP="00AD084A">
            <w:pPr>
              <w:pStyle w:val="CLDNormal"/>
              <w:spacing w:after="0"/>
              <w:jc w:val="center"/>
              <w:rPr>
                <w:b/>
              </w:rPr>
            </w:pPr>
            <w:r w:rsidRPr="00476395">
              <w:rPr>
                <w:b/>
              </w:rPr>
              <w:t>(N=177)</w:t>
            </w:r>
          </w:p>
        </w:tc>
      </w:tr>
      <w:tr w:rsidR="00AD084A" w:rsidRPr="00476395" w14:paraId="27B9C55A" w14:textId="77777777" w:rsidTr="00870C19">
        <w:tc>
          <w:tcPr>
            <w:tcW w:w="2070" w:type="dxa"/>
          </w:tcPr>
          <w:p w14:paraId="4FDE4CA8" w14:textId="77777777" w:rsidR="00AD084A" w:rsidRPr="00476395" w:rsidRDefault="00AD084A" w:rsidP="00AD084A">
            <w:pPr>
              <w:pStyle w:val="CLDNormal"/>
              <w:spacing w:after="0"/>
            </w:pPr>
            <w:r w:rsidRPr="00476395">
              <w:t>Cardiac failure</w:t>
            </w:r>
          </w:p>
        </w:tc>
        <w:tc>
          <w:tcPr>
            <w:tcW w:w="3510" w:type="dxa"/>
          </w:tcPr>
          <w:p w14:paraId="1E2F9BC1" w14:textId="77777777" w:rsidR="00AD084A" w:rsidRPr="00476395" w:rsidRDefault="00AD084A" w:rsidP="00AD084A">
            <w:pPr>
              <w:pStyle w:val="CLDNormal"/>
              <w:spacing w:after="0"/>
              <w:jc w:val="center"/>
            </w:pPr>
            <w:r w:rsidRPr="00476395">
              <w:t>28.8%</w:t>
            </w:r>
          </w:p>
        </w:tc>
        <w:tc>
          <w:tcPr>
            <w:tcW w:w="3437" w:type="dxa"/>
          </w:tcPr>
          <w:p w14:paraId="237702F9" w14:textId="77777777" w:rsidR="00AD084A" w:rsidRPr="00476395" w:rsidRDefault="00AD084A" w:rsidP="00AD084A">
            <w:pPr>
              <w:pStyle w:val="CLDNormal"/>
              <w:spacing w:after="0"/>
              <w:jc w:val="center"/>
            </w:pPr>
            <w:r w:rsidRPr="00476395">
              <w:t>33.9%</w:t>
            </w:r>
          </w:p>
        </w:tc>
      </w:tr>
      <w:tr w:rsidR="00AD084A" w:rsidRPr="00476395" w14:paraId="77F6D159" w14:textId="77777777" w:rsidTr="00870C19">
        <w:tc>
          <w:tcPr>
            <w:tcW w:w="2070" w:type="dxa"/>
          </w:tcPr>
          <w:p w14:paraId="1CD4DEB2" w14:textId="77777777" w:rsidR="00AD084A" w:rsidRPr="00476395" w:rsidRDefault="00AD084A" w:rsidP="00AD084A">
            <w:pPr>
              <w:pStyle w:val="CLDNormal"/>
              <w:spacing w:after="0"/>
            </w:pPr>
            <w:r w:rsidRPr="00476395">
              <w:t>Fall</w:t>
            </w:r>
          </w:p>
        </w:tc>
        <w:tc>
          <w:tcPr>
            <w:tcW w:w="3510" w:type="dxa"/>
          </w:tcPr>
          <w:p w14:paraId="2D7013B4" w14:textId="77777777" w:rsidR="00AD084A" w:rsidRPr="00476395" w:rsidRDefault="00AD084A" w:rsidP="00AD084A">
            <w:pPr>
              <w:pStyle w:val="CLDNormal"/>
              <w:spacing w:after="0"/>
              <w:jc w:val="center"/>
            </w:pPr>
            <w:r w:rsidRPr="00476395">
              <w:t>26.5%</w:t>
            </w:r>
          </w:p>
        </w:tc>
        <w:tc>
          <w:tcPr>
            <w:tcW w:w="3437" w:type="dxa"/>
          </w:tcPr>
          <w:p w14:paraId="3FB0AD58" w14:textId="77777777" w:rsidR="00AD084A" w:rsidRPr="00476395" w:rsidRDefault="00AD084A" w:rsidP="00AD084A">
            <w:pPr>
              <w:pStyle w:val="CLDNormal"/>
              <w:spacing w:after="0"/>
              <w:jc w:val="center"/>
            </w:pPr>
            <w:r w:rsidRPr="00476395">
              <w:t>23.2%</w:t>
            </w:r>
          </w:p>
        </w:tc>
      </w:tr>
      <w:tr w:rsidR="00AD084A" w:rsidRPr="00476395" w14:paraId="7567279B" w14:textId="77777777" w:rsidTr="00870C19">
        <w:tc>
          <w:tcPr>
            <w:tcW w:w="2070" w:type="dxa"/>
          </w:tcPr>
          <w:p w14:paraId="52CA2F01" w14:textId="77777777" w:rsidR="00AD084A" w:rsidRPr="00476395" w:rsidRDefault="00AD084A" w:rsidP="00AD084A">
            <w:pPr>
              <w:pStyle w:val="CLDNormal"/>
              <w:spacing w:after="0"/>
            </w:pPr>
            <w:r w:rsidRPr="00476395">
              <w:t>Atrial fibrillation</w:t>
            </w:r>
          </w:p>
        </w:tc>
        <w:tc>
          <w:tcPr>
            <w:tcW w:w="3510" w:type="dxa"/>
          </w:tcPr>
          <w:p w14:paraId="317A13F4" w14:textId="77777777" w:rsidR="00AD084A" w:rsidRPr="00476395" w:rsidRDefault="00AD084A" w:rsidP="00AD084A">
            <w:pPr>
              <w:pStyle w:val="CLDNormal"/>
              <w:spacing w:after="0"/>
              <w:jc w:val="center"/>
            </w:pPr>
            <w:r w:rsidRPr="00476395">
              <w:t>18.9%</w:t>
            </w:r>
          </w:p>
        </w:tc>
        <w:tc>
          <w:tcPr>
            <w:tcW w:w="3437" w:type="dxa"/>
          </w:tcPr>
          <w:p w14:paraId="335C4245" w14:textId="77777777" w:rsidR="00AD084A" w:rsidRPr="00476395" w:rsidRDefault="00AD084A" w:rsidP="00AD084A">
            <w:pPr>
              <w:pStyle w:val="CLDNormal"/>
              <w:spacing w:after="0"/>
              <w:jc w:val="center"/>
            </w:pPr>
            <w:r w:rsidRPr="00476395">
              <w:t>18.6%</w:t>
            </w:r>
          </w:p>
        </w:tc>
      </w:tr>
      <w:tr w:rsidR="00AD084A" w:rsidRPr="00476395" w14:paraId="45B97DA6" w14:textId="77777777" w:rsidTr="00870C19">
        <w:tc>
          <w:tcPr>
            <w:tcW w:w="2070" w:type="dxa"/>
          </w:tcPr>
          <w:p w14:paraId="11675DA6" w14:textId="0BC66523" w:rsidR="00AD084A" w:rsidRPr="00476395" w:rsidRDefault="00AD084A" w:rsidP="00AD084A">
            <w:pPr>
              <w:pStyle w:val="CLDNormal"/>
              <w:spacing w:after="0"/>
            </w:pPr>
            <w:r w:rsidRPr="00476395">
              <w:t>Dyspn</w:t>
            </w:r>
            <w:r w:rsidR="00BF2271">
              <w:t>o</w:t>
            </w:r>
            <w:r w:rsidRPr="00476395">
              <w:t>ea</w:t>
            </w:r>
          </w:p>
        </w:tc>
        <w:tc>
          <w:tcPr>
            <w:tcW w:w="3510" w:type="dxa"/>
          </w:tcPr>
          <w:p w14:paraId="458051FE" w14:textId="77777777" w:rsidR="00AD084A" w:rsidRPr="00476395" w:rsidRDefault="00AD084A" w:rsidP="00AD084A">
            <w:pPr>
              <w:pStyle w:val="CLDNormal"/>
              <w:spacing w:after="0"/>
              <w:jc w:val="center"/>
            </w:pPr>
            <w:r w:rsidRPr="00476395">
              <w:t>18.9%</w:t>
            </w:r>
          </w:p>
        </w:tc>
        <w:tc>
          <w:tcPr>
            <w:tcW w:w="3437" w:type="dxa"/>
          </w:tcPr>
          <w:p w14:paraId="66D648F3" w14:textId="77777777" w:rsidR="00AD084A" w:rsidRPr="00476395" w:rsidRDefault="00AD084A" w:rsidP="00AD084A">
            <w:pPr>
              <w:pStyle w:val="CLDNormal"/>
              <w:spacing w:after="0"/>
              <w:jc w:val="center"/>
            </w:pPr>
            <w:r w:rsidRPr="00476395">
              <w:t>30.5%</w:t>
            </w:r>
          </w:p>
        </w:tc>
      </w:tr>
      <w:tr w:rsidR="00AD084A" w:rsidRPr="00476395" w14:paraId="18FD6169" w14:textId="77777777" w:rsidTr="00870C19">
        <w:tc>
          <w:tcPr>
            <w:tcW w:w="2070" w:type="dxa"/>
          </w:tcPr>
          <w:p w14:paraId="78162E4E" w14:textId="5522AB48" w:rsidR="00AD084A" w:rsidRPr="00476395" w:rsidRDefault="00AD084A" w:rsidP="00AD084A">
            <w:pPr>
              <w:pStyle w:val="CLDNormal"/>
              <w:spacing w:after="0"/>
            </w:pPr>
            <w:r w:rsidRPr="00476395">
              <w:lastRenderedPageBreak/>
              <w:t xml:space="preserve">Peripheral </w:t>
            </w:r>
            <w:r w:rsidR="00BF2271">
              <w:t>o</w:t>
            </w:r>
            <w:r w:rsidRPr="00476395">
              <w:t>edema</w:t>
            </w:r>
          </w:p>
        </w:tc>
        <w:tc>
          <w:tcPr>
            <w:tcW w:w="3510" w:type="dxa"/>
          </w:tcPr>
          <w:p w14:paraId="05FB60D9" w14:textId="77777777" w:rsidR="00AD084A" w:rsidRPr="00476395" w:rsidRDefault="00AD084A" w:rsidP="00AD084A">
            <w:pPr>
              <w:pStyle w:val="CLDNormal"/>
              <w:spacing w:after="0"/>
              <w:jc w:val="center"/>
            </w:pPr>
            <w:r w:rsidRPr="00476395">
              <w:t>17.8%</w:t>
            </w:r>
          </w:p>
        </w:tc>
        <w:tc>
          <w:tcPr>
            <w:tcW w:w="3437" w:type="dxa"/>
          </w:tcPr>
          <w:p w14:paraId="17BF17B6" w14:textId="77777777" w:rsidR="00AD084A" w:rsidRPr="00476395" w:rsidRDefault="00AD084A" w:rsidP="00AD084A">
            <w:pPr>
              <w:pStyle w:val="CLDNormal"/>
              <w:spacing w:after="0"/>
              <w:jc w:val="center"/>
            </w:pPr>
            <w:r w:rsidRPr="00476395">
              <w:t>17.5%</w:t>
            </w:r>
          </w:p>
        </w:tc>
      </w:tr>
      <w:tr w:rsidR="00AD084A" w:rsidRPr="00476395" w14:paraId="009F62E5" w14:textId="77777777" w:rsidTr="00870C19">
        <w:tc>
          <w:tcPr>
            <w:tcW w:w="2070" w:type="dxa"/>
          </w:tcPr>
          <w:p w14:paraId="4B8EA6C7" w14:textId="77777777" w:rsidR="00AD084A" w:rsidRPr="00476395" w:rsidRDefault="00AD084A" w:rsidP="00AD084A">
            <w:pPr>
              <w:pStyle w:val="CLDNormal"/>
              <w:spacing w:after="0"/>
            </w:pPr>
            <w:r w:rsidRPr="00476395">
              <w:t>Fatigue</w:t>
            </w:r>
          </w:p>
        </w:tc>
        <w:tc>
          <w:tcPr>
            <w:tcW w:w="3510" w:type="dxa"/>
          </w:tcPr>
          <w:p w14:paraId="3AA0EB86" w14:textId="77777777" w:rsidR="00AD084A" w:rsidRPr="00476395" w:rsidRDefault="00AD084A" w:rsidP="00AD084A">
            <w:pPr>
              <w:pStyle w:val="CLDNormal"/>
              <w:spacing w:after="0"/>
              <w:jc w:val="center"/>
            </w:pPr>
            <w:r w:rsidRPr="00476395">
              <w:t>17.0%</w:t>
            </w:r>
          </w:p>
        </w:tc>
        <w:tc>
          <w:tcPr>
            <w:tcW w:w="3437" w:type="dxa"/>
          </w:tcPr>
          <w:p w14:paraId="4A78353E" w14:textId="77777777" w:rsidR="00AD084A" w:rsidRPr="00476395" w:rsidRDefault="00AD084A" w:rsidP="00AD084A">
            <w:pPr>
              <w:pStyle w:val="CLDNormal"/>
              <w:spacing w:after="0"/>
              <w:jc w:val="center"/>
            </w:pPr>
            <w:r w:rsidRPr="00476395">
              <w:t>18.6%</w:t>
            </w:r>
          </w:p>
        </w:tc>
      </w:tr>
      <w:tr w:rsidR="00AD084A" w:rsidRPr="00476395" w14:paraId="7D5D6387" w14:textId="77777777" w:rsidTr="00870C19">
        <w:tc>
          <w:tcPr>
            <w:tcW w:w="2070" w:type="dxa"/>
          </w:tcPr>
          <w:p w14:paraId="7DA196B9" w14:textId="77777777" w:rsidR="00AD084A" w:rsidRPr="00476395" w:rsidRDefault="00AD084A" w:rsidP="00AD084A">
            <w:pPr>
              <w:pStyle w:val="CLDNormal"/>
              <w:spacing w:after="0"/>
            </w:pPr>
            <w:r w:rsidRPr="00476395">
              <w:t>Dizziness</w:t>
            </w:r>
          </w:p>
        </w:tc>
        <w:tc>
          <w:tcPr>
            <w:tcW w:w="3510" w:type="dxa"/>
          </w:tcPr>
          <w:p w14:paraId="3B202581" w14:textId="77777777" w:rsidR="00AD084A" w:rsidRPr="00476395" w:rsidRDefault="00AD084A" w:rsidP="00AD084A">
            <w:pPr>
              <w:pStyle w:val="CLDNormal"/>
              <w:spacing w:after="0"/>
              <w:jc w:val="center"/>
            </w:pPr>
            <w:r w:rsidRPr="00476395">
              <w:t>15.9%</w:t>
            </w:r>
          </w:p>
        </w:tc>
        <w:tc>
          <w:tcPr>
            <w:tcW w:w="3437" w:type="dxa"/>
          </w:tcPr>
          <w:p w14:paraId="5B4B9343" w14:textId="77777777" w:rsidR="00AD084A" w:rsidRPr="00476395" w:rsidRDefault="00AD084A" w:rsidP="00AD084A">
            <w:pPr>
              <w:pStyle w:val="CLDNormal"/>
              <w:spacing w:after="0"/>
              <w:jc w:val="center"/>
            </w:pPr>
            <w:r w:rsidRPr="00476395">
              <w:t>20.9%</w:t>
            </w:r>
          </w:p>
        </w:tc>
      </w:tr>
      <w:tr w:rsidR="00AD084A" w:rsidRPr="00476395" w14:paraId="27F61D12" w14:textId="77777777" w:rsidTr="00870C19">
        <w:tc>
          <w:tcPr>
            <w:tcW w:w="2070" w:type="dxa"/>
          </w:tcPr>
          <w:p w14:paraId="02C02B5B" w14:textId="77777777" w:rsidR="00AD084A" w:rsidRPr="00476395" w:rsidRDefault="00AD084A" w:rsidP="00AD084A">
            <w:pPr>
              <w:pStyle w:val="CLDNormal"/>
              <w:spacing w:after="0"/>
            </w:pPr>
            <w:r w:rsidRPr="00476395">
              <w:t>Constipation</w:t>
            </w:r>
          </w:p>
        </w:tc>
        <w:tc>
          <w:tcPr>
            <w:tcW w:w="3510" w:type="dxa"/>
          </w:tcPr>
          <w:p w14:paraId="214BF889" w14:textId="77777777" w:rsidR="00AD084A" w:rsidRPr="00476395" w:rsidRDefault="00AD084A" w:rsidP="00AD084A">
            <w:pPr>
              <w:pStyle w:val="CLDNormal"/>
              <w:spacing w:after="0"/>
              <w:jc w:val="center"/>
            </w:pPr>
            <w:r w:rsidRPr="00476395">
              <w:t>15.2%</w:t>
            </w:r>
          </w:p>
        </w:tc>
        <w:tc>
          <w:tcPr>
            <w:tcW w:w="3437" w:type="dxa"/>
          </w:tcPr>
          <w:p w14:paraId="7A8A5544" w14:textId="77777777" w:rsidR="00AD084A" w:rsidRPr="00476395" w:rsidRDefault="00AD084A" w:rsidP="00AD084A">
            <w:pPr>
              <w:pStyle w:val="CLDNormal"/>
              <w:spacing w:after="0"/>
              <w:jc w:val="center"/>
            </w:pPr>
            <w:r w:rsidRPr="00476395">
              <w:t>16.9%</w:t>
            </w:r>
          </w:p>
        </w:tc>
      </w:tr>
    </w:tbl>
    <w:p w14:paraId="0DF7796F" w14:textId="02FA6ADD" w:rsidR="00913863" w:rsidRPr="00F1762B" w:rsidRDefault="00913863" w:rsidP="00FB531F">
      <w:pPr>
        <w:pStyle w:val="CLDNormal"/>
        <w:spacing w:before="240"/>
      </w:pPr>
      <w:bookmarkStart w:id="10" w:name="_Hlk29411759"/>
      <w:bookmarkEnd w:id="8"/>
      <w:r>
        <w:t xml:space="preserve">The treatment-emergent adverse events with a greater incidence in </w:t>
      </w:r>
      <w:r w:rsidR="00A34B54">
        <w:t xml:space="preserve">patients treated with </w:t>
      </w:r>
      <w:r>
        <w:t>tafamidis</w:t>
      </w:r>
      <w:r w:rsidR="00FE397F">
        <w:t xml:space="preserve"> meglumine</w:t>
      </w:r>
      <w:r>
        <w:t xml:space="preserve"> (pooled tafamidis </w:t>
      </w:r>
      <w:r w:rsidR="00FE397F">
        <w:t xml:space="preserve">meglumine </w:t>
      </w:r>
      <w:r>
        <w:t xml:space="preserve">20 mg + 80 mg) than placebo in the pivotal </w:t>
      </w:r>
      <w:r w:rsidRPr="00F1762B">
        <w:t xml:space="preserve">phase 3 Study B3461028 are shown in </w:t>
      </w:r>
      <w:r>
        <w:fldChar w:fldCharType="begin"/>
      </w:r>
      <w:r>
        <w:instrText xml:space="preserve"> REF _Ref29411335 \h </w:instrText>
      </w:r>
      <w:r>
        <w:fldChar w:fldCharType="separate"/>
      </w:r>
      <w:r w:rsidR="00E23711" w:rsidRPr="00F1762B">
        <w:rPr>
          <w:szCs w:val="24"/>
        </w:rPr>
        <w:t xml:space="preserve">Table </w:t>
      </w:r>
      <w:r w:rsidR="00E23711">
        <w:rPr>
          <w:noProof/>
          <w:szCs w:val="24"/>
        </w:rPr>
        <w:t>2</w:t>
      </w:r>
      <w:r>
        <w:fldChar w:fldCharType="end"/>
      </w:r>
      <w:r w:rsidRPr="00F1762B">
        <w:t>.</w:t>
      </w:r>
    </w:p>
    <w:p w14:paraId="69FA3FA2" w14:textId="40686D5F" w:rsidR="00913863" w:rsidRPr="00F1762B" w:rsidRDefault="00913863" w:rsidP="00913863">
      <w:pPr>
        <w:pStyle w:val="Caption"/>
        <w:keepNext/>
        <w:rPr>
          <w:color w:val="auto"/>
        </w:rPr>
      </w:pPr>
      <w:bookmarkStart w:id="11" w:name="_Ref29411335"/>
      <w:r w:rsidRPr="00F1762B">
        <w:rPr>
          <w:color w:val="auto"/>
          <w:sz w:val="24"/>
          <w:szCs w:val="24"/>
        </w:rPr>
        <w:t xml:space="preserve">Table </w:t>
      </w:r>
      <w:r w:rsidRPr="00F1762B">
        <w:rPr>
          <w:szCs w:val="24"/>
        </w:rPr>
        <w:fldChar w:fldCharType="begin"/>
      </w:r>
      <w:r w:rsidRPr="00F1762B">
        <w:rPr>
          <w:color w:val="auto"/>
          <w:sz w:val="24"/>
          <w:szCs w:val="24"/>
        </w:rPr>
        <w:instrText xml:space="preserve"> SEQ Table \* ARABIC </w:instrText>
      </w:r>
      <w:r w:rsidRPr="00F1762B">
        <w:rPr>
          <w:szCs w:val="24"/>
        </w:rPr>
        <w:fldChar w:fldCharType="separate"/>
      </w:r>
      <w:r w:rsidR="00E23711">
        <w:rPr>
          <w:noProof/>
          <w:color w:val="auto"/>
          <w:sz w:val="24"/>
          <w:szCs w:val="24"/>
        </w:rPr>
        <w:t>2</w:t>
      </w:r>
      <w:r w:rsidRPr="00F1762B">
        <w:rPr>
          <w:szCs w:val="24"/>
        </w:rPr>
        <w:fldChar w:fldCharType="end"/>
      </w:r>
      <w:bookmarkEnd w:id="11"/>
      <w:r w:rsidRPr="00F1762B">
        <w:rPr>
          <w:color w:val="auto"/>
          <w:sz w:val="24"/>
          <w:szCs w:val="24"/>
        </w:rPr>
        <w:t xml:space="preserve">:  Treatment-Emergent Adverse Events </w:t>
      </w:r>
      <w:r>
        <w:rPr>
          <w:color w:val="auto"/>
          <w:sz w:val="24"/>
          <w:szCs w:val="24"/>
        </w:rPr>
        <w:t>with a Greater Incidence i</w:t>
      </w:r>
      <w:r w:rsidR="00A34B54">
        <w:rPr>
          <w:color w:val="auto"/>
          <w:sz w:val="24"/>
          <w:szCs w:val="24"/>
        </w:rPr>
        <w:t>n</w:t>
      </w:r>
      <w:r w:rsidRPr="00F1762B">
        <w:rPr>
          <w:color w:val="auto"/>
          <w:sz w:val="24"/>
          <w:szCs w:val="24"/>
        </w:rPr>
        <w:t xml:space="preserve"> Patients Treated With Tafamidis</w:t>
      </w:r>
      <w:r w:rsidR="00A34B54">
        <w:rPr>
          <w:color w:val="auto"/>
          <w:sz w:val="24"/>
          <w:szCs w:val="24"/>
        </w:rPr>
        <w:t xml:space="preserve"> </w:t>
      </w:r>
      <w:r w:rsidR="00FE397F">
        <w:rPr>
          <w:color w:val="auto"/>
          <w:sz w:val="24"/>
          <w:szCs w:val="24"/>
        </w:rPr>
        <w:t xml:space="preserve">Meglumine </w:t>
      </w:r>
      <w:r w:rsidR="00A34B54">
        <w:rPr>
          <w:color w:val="auto"/>
          <w:sz w:val="24"/>
          <w:szCs w:val="24"/>
        </w:rPr>
        <w:t>than Placebo</w:t>
      </w:r>
      <w:r w:rsidRPr="00F1762B">
        <w:rPr>
          <w:color w:val="auto"/>
          <w:sz w:val="24"/>
          <w:szCs w:val="24"/>
        </w:rPr>
        <w:t xml:space="preserve"> in Study B3461028</w:t>
      </w:r>
      <w:r w:rsidR="00795258">
        <w:rPr>
          <w:color w:val="auto"/>
          <w:sz w:val="24"/>
          <w:szCs w:val="24"/>
        </w:rPr>
        <w:t>*</w:t>
      </w:r>
    </w:p>
    <w:tbl>
      <w:tblPr>
        <w:tblStyle w:val="TableGrid"/>
        <w:tblW w:w="0" w:type="auto"/>
        <w:tblLook w:val="04A0" w:firstRow="1" w:lastRow="0" w:firstColumn="1" w:lastColumn="0" w:noHBand="0" w:noVBand="1"/>
      </w:tblPr>
      <w:tblGrid>
        <w:gridCol w:w="2070"/>
        <w:gridCol w:w="3992"/>
        <w:gridCol w:w="2955"/>
      </w:tblGrid>
      <w:tr w:rsidR="00913863" w:rsidRPr="00476395" w14:paraId="09D5AF9B" w14:textId="28AA03E8" w:rsidTr="00870C19">
        <w:trPr>
          <w:tblHeader/>
        </w:trPr>
        <w:tc>
          <w:tcPr>
            <w:tcW w:w="2070" w:type="dxa"/>
          </w:tcPr>
          <w:p w14:paraId="40681F6A" w14:textId="4CCDB7D1" w:rsidR="00913863" w:rsidRPr="00476395" w:rsidRDefault="00913863" w:rsidP="00FE397F">
            <w:pPr>
              <w:pStyle w:val="CLDNormal"/>
              <w:spacing w:after="0"/>
              <w:rPr>
                <w:b/>
              </w:rPr>
            </w:pPr>
          </w:p>
        </w:tc>
        <w:tc>
          <w:tcPr>
            <w:tcW w:w="3992" w:type="dxa"/>
          </w:tcPr>
          <w:p w14:paraId="75FF9BFA" w14:textId="02683D15" w:rsidR="00A34B54" w:rsidRDefault="00913863" w:rsidP="00FE397F">
            <w:pPr>
              <w:pStyle w:val="CLDNormal"/>
              <w:spacing w:after="0"/>
              <w:jc w:val="center"/>
              <w:rPr>
                <w:b/>
              </w:rPr>
            </w:pPr>
            <w:r w:rsidRPr="00476395">
              <w:rPr>
                <w:b/>
              </w:rPr>
              <w:t xml:space="preserve">Pooled tafamidis </w:t>
            </w:r>
            <w:r w:rsidR="00FE397F">
              <w:rPr>
                <w:b/>
              </w:rPr>
              <w:t xml:space="preserve">meglumine </w:t>
            </w:r>
            <w:r w:rsidR="00FE397F">
              <w:rPr>
                <w:b/>
              </w:rPr>
              <w:br/>
            </w:r>
            <w:r w:rsidRPr="00476395">
              <w:rPr>
                <w:b/>
              </w:rPr>
              <w:t xml:space="preserve">(20 mg + 80 mg) </w:t>
            </w:r>
          </w:p>
          <w:p w14:paraId="4DCDF5BB" w14:textId="2642B37A" w:rsidR="00913863" w:rsidRDefault="00913863" w:rsidP="00FE397F">
            <w:pPr>
              <w:pStyle w:val="CLDNormal"/>
              <w:spacing w:after="0"/>
              <w:jc w:val="center"/>
              <w:rPr>
                <w:b/>
              </w:rPr>
            </w:pPr>
            <w:r w:rsidRPr="00476395">
              <w:rPr>
                <w:b/>
              </w:rPr>
              <w:t>(N=264)</w:t>
            </w:r>
          </w:p>
          <w:p w14:paraId="7589FF1E" w14:textId="65AF8CB5" w:rsidR="00A34B54" w:rsidRPr="00476395" w:rsidRDefault="00A34B54" w:rsidP="00FE397F">
            <w:pPr>
              <w:pStyle w:val="CLDNormal"/>
              <w:spacing w:after="0"/>
              <w:jc w:val="center"/>
              <w:rPr>
                <w:b/>
              </w:rPr>
            </w:pPr>
            <w:r>
              <w:rPr>
                <w:b/>
              </w:rPr>
              <w:t>n (%)</w:t>
            </w:r>
          </w:p>
        </w:tc>
        <w:tc>
          <w:tcPr>
            <w:tcW w:w="2955" w:type="dxa"/>
          </w:tcPr>
          <w:p w14:paraId="67A0D60F" w14:textId="51760459" w:rsidR="00A34B54" w:rsidRDefault="00913863" w:rsidP="00A34B54">
            <w:pPr>
              <w:pStyle w:val="CLDNormal"/>
              <w:spacing w:after="0"/>
              <w:jc w:val="center"/>
              <w:rPr>
                <w:b/>
              </w:rPr>
            </w:pPr>
            <w:r w:rsidRPr="00476395">
              <w:rPr>
                <w:b/>
              </w:rPr>
              <w:t>Placebo</w:t>
            </w:r>
          </w:p>
          <w:p w14:paraId="622CD6F8" w14:textId="6C4ADB83" w:rsidR="00913863" w:rsidRDefault="00913863" w:rsidP="00A34B54">
            <w:pPr>
              <w:pStyle w:val="CLDNormal"/>
              <w:spacing w:after="0"/>
              <w:jc w:val="center"/>
              <w:rPr>
                <w:b/>
              </w:rPr>
            </w:pPr>
            <w:r w:rsidRPr="00476395">
              <w:rPr>
                <w:b/>
              </w:rPr>
              <w:t>(N=177)</w:t>
            </w:r>
          </w:p>
          <w:p w14:paraId="76468127" w14:textId="7B3E8610" w:rsidR="00A34B54" w:rsidRPr="00476395" w:rsidRDefault="00A34B54" w:rsidP="00A34B54">
            <w:pPr>
              <w:pStyle w:val="CLDNormal"/>
              <w:spacing w:after="0"/>
              <w:jc w:val="center"/>
              <w:rPr>
                <w:b/>
              </w:rPr>
            </w:pPr>
            <w:r>
              <w:rPr>
                <w:b/>
              </w:rPr>
              <w:t>n (%)</w:t>
            </w:r>
          </w:p>
        </w:tc>
      </w:tr>
      <w:tr w:rsidR="00FF4273" w:rsidRPr="00476395" w14:paraId="5857C762" w14:textId="47E6D344" w:rsidTr="00503BE1">
        <w:tc>
          <w:tcPr>
            <w:tcW w:w="2070" w:type="dxa"/>
          </w:tcPr>
          <w:p w14:paraId="7D5DAB99" w14:textId="39FE4986" w:rsidR="00FF4273" w:rsidRPr="00476395" w:rsidRDefault="00FF4273" w:rsidP="00503BE1">
            <w:pPr>
              <w:pStyle w:val="CLDNormal"/>
              <w:spacing w:after="0"/>
            </w:pPr>
            <w:r>
              <w:t>Asthenia</w:t>
            </w:r>
          </w:p>
        </w:tc>
        <w:tc>
          <w:tcPr>
            <w:tcW w:w="3992" w:type="dxa"/>
          </w:tcPr>
          <w:p w14:paraId="0D8CFB2E" w14:textId="12A761A2" w:rsidR="00FF4273" w:rsidRPr="00476395" w:rsidRDefault="00FF4273" w:rsidP="00503BE1">
            <w:pPr>
              <w:pStyle w:val="CLDNormal"/>
              <w:spacing w:after="0"/>
              <w:jc w:val="center"/>
            </w:pPr>
            <w:r>
              <w:t>29 (11.0)</w:t>
            </w:r>
          </w:p>
        </w:tc>
        <w:tc>
          <w:tcPr>
            <w:tcW w:w="2955" w:type="dxa"/>
          </w:tcPr>
          <w:p w14:paraId="748CCB14" w14:textId="0C58DB6E" w:rsidR="00FF4273" w:rsidRPr="00476395" w:rsidRDefault="00FF4273" w:rsidP="00503BE1">
            <w:pPr>
              <w:pStyle w:val="CLDNormal"/>
              <w:spacing w:after="0"/>
              <w:jc w:val="center"/>
            </w:pPr>
            <w:r>
              <w:t>11 (6.2)</w:t>
            </w:r>
          </w:p>
        </w:tc>
      </w:tr>
      <w:tr w:rsidR="00FF4273" w:rsidRPr="00476395" w14:paraId="5E9DE7EF" w14:textId="2648FC96" w:rsidTr="00503BE1">
        <w:tc>
          <w:tcPr>
            <w:tcW w:w="2070" w:type="dxa"/>
          </w:tcPr>
          <w:p w14:paraId="5331A9D5" w14:textId="2A9FC06B" w:rsidR="00FF4273" w:rsidRPr="00476395" w:rsidRDefault="00FF4273" w:rsidP="00503BE1">
            <w:pPr>
              <w:pStyle w:val="CLDNormal"/>
              <w:spacing w:after="0"/>
            </w:pPr>
            <w:r>
              <w:t>Balance disorder</w:t>
            </w:r>
          </w:p>
        </w:tc>
        <w:tc>
          <w:tcPr>
            <w:tcW w:w="3992" w:type="dxa"/>
          </w:tcPr>
          <w:p w14:paraId="334D2978" w14:textId="63019896" w:rsidR="00FF4273" w:rsidRPr="00476395" w:rsidRDefault="00FF4273" w:rsidP="00503BE1">
            <w:pPr>
              <w:pStyle w:val="CLDNormal"/>
              <w:spacing w:after="0"/>
              <w:jc w:val="center"/>
            </w:pPr>
            <w:r>
              <w:t>17 (6.4)</w:t>
            </w:r>
          </w:p>
        </w:tc>
        <w:tc>
          <w:tcPr>
            <w:tcW w:w="2955" w:type="dxa"/>
          </w:tcPr>
          <w:p w14:paraId="323CB94F" w14:textId="081B9C54" w:rsidR="00FF4273" w:rsidRPr="00476395" w:rsidRDefault="00FF4273" w:rsidP="00503BE1">
            <w:pPr>
              <w:pStyle w:val="CLDNormal"/>
              <w:spacing w:after="0"/>
              <w:jc w:val="center"/>
            </w:pPr>
            <w:r>
              <w:t>2 (1.1)</w:t>
            </w:r>
          </w:p>
        </w:tc>
      </w:tr>
      <w:tr w:rsidR="00FF48EB" w:rsidRPr="00476395" w14:paraId="0DB1E473" w14:textId="7C392E8C" w:rsidTr="00503BE1">
        <w:tc>
          <w:tcPr>
            <w:tcW w:w="2070" w:type="dxa"/>
          </w:tcPr>
          <w:p w14:paraId="768D5205" w14:textId="29709DAF" w:rsidR="00FF48EB" w:rsidRPr="00476395" w:rsidRDefault="00FF48EB" w:rsidP="00503BE1">
            <w:pPr>
              <w:pStyle w:val="CLDNormal"/>
              <w:spacing w:after="0"/>
            </w:pPr>
            <w:r>
              <w:t>Sinusitis</w:t>
            </w:r>
          </w:p>
        </w:tc>
        <w:tc>
          <w:tcPr>
            <w:tcW w:w="3992" w:type="dxa"/>
          </w:tcPr>
          <w:p w14:paraId="26907BC9" w14:textId="12E85D8A" w:rsidR="00FF48EB" w:rsidRPr="00476395" w:rsidRDefault="00FF48EB" w:rsidP="00503BE1">
            <w:pPr>
              <w:pStyle w:val="CLDNormal"/>
              <w:spacing w:after="0"/>
              <w:jc w:val="center"/>
            </w:pPr>
            <w:r>
              <w:t>15 (5.7)</w:t>
            </w:r>
          </w:p>
        </w:tc>
        <w:tc>
          <w:tcPr>
            <w:tcW w:w="2955" w:type="dxa"/>
          </w:tcPr>
          <w:p w14:paraId="0FE98C23" w14:textId="34E97BA5" w:rsidR="00FF48EB" w:rsidRPr="00476395" w:rsidRDefault="00FF48EB" w:rsidP="00503BE1">
            <w:pPr>
              <w:pStyle w:val="CLDNormal"/>
              <w:spacing w:after="0"/>
              <w:jc w:val="center"/>
            </w:pPr>
            <w:r>
              <w:t>1 (0.6)</w:t>
            </w:r>
          </w:p>
        </w:tc>
      </w:tr>
      <w:tr w:rsidR="00913863" w:rsidRPr="00476395" w14:paraId="6F5E733F" w14:textId="0721DF58" w:rsidTr="00870C19">
        <w:tc>
          <w:tcPr>
            <w:tcW w:w="2070" w:type="dxa"/>
          </w:tcPr>
          <w:p w14:paraId="65BE794A" w14:textId="144F265A" w:rsidR="00913863" w:rsidRPr="00476395" w:rsidRDefault="00913863" w:rsidP="00FE397F">
            <w:pPr>
              <w:pStyle w:val="CLDNormal"/>
              <w:spacing w:after="0"/>
            </w:pPr>
            <w:r>
              <w:t>Cataract</w:t>
            </w:r>
          </w:p>
        </w:tc>
        <w:tc>
          <w:tcPr>
            <w:tcW w:w="3992" w:type="dxa"/>
          </w:tcPr>
          <w:p w14:paraId="573FFD9F" w14:textId="15B543F2" w:rsidR="00913863" w:rsidRPr="00476395" w:rsidRDefault="00913863" w:rsidP="00FE397F">
            <w:pPr>
              <w:pStyle w:val="CLDNormal"/>
              <w:spacing w:after="0"/>
              <w:jc w:val="center"/>
            </w:pPr>
            <w:r>
              <w:t>12 (4.5)</w:t>
            </w:r>
          </w:p>
        </w:tc>
        <w:tc>
          <w:tcPr>
            <w:tcW w:w="2955" w:type="dxa"/>
          </w:tcPr>
          <w:p w14:paraId="4CF1B2A0" w14:textId="1F4076FF" w:rsidR="00913863" w:rsidRPr="00476395" w:rsidRDefault="00A34B54" w:rsidP="00FE397F">
            <w:pPr>
              <w:pStyle w:val="CLDNormal"/>
              <w:spacing w:after="0"/>
              <w:jc w:val="center"/>
            </w:pPr>
            <w:r>
              <w:t>2 (1.1%)</w:t>
            </w:r>
          </w:p>
        </w:tc>
      </w:tr>
      <w:tr w:rsidR="00913863" w:rsidRPr="00476395" w14:paraId="2DF5A27A" w14:textId="489C9E07" w:rsidTr="00870C19">
        <w:tc>
          <w:tcPr>
            <w:tcW w:w="2070" w:type="dxa"/>
          </w:tcPr>
          <w:p w14:paraId="157830E6" w14:textId="5B5125C3" w:rsidR="00913863" w:rsidRPr="00476395" w:rsidRDefault="00A34B54" w:rsidP="00FE397F">
            <w:pPr>
              <w:pStyle w:val="CLDNormal"/>
              <w:spacing w:after="0"/>
            </w:pPr>
            <w:r>
              <w:t>Flatul</w:t>
            </w:r>
            <w:r w:rsidR="00BF2271">
              <w:t>e</w:t>
            </w:r>
            <w:r>
              <w:t>nce</w:t>
            </w:r>
          </w:p>
        </w:tc>
        <w:tc>
          <w:tcPr>
            <w:tcW w:w="3992" w:type="dxa"/>
          </w:tcPr>
          <w:p w14:paraId="3EF8A885" w14:textId="6EE8D2F5" w:rsidR="00913863" w:rsidRPr="00476395" w:rsidRDefault="00A34B54" w:rsidP="00FE397F">
            <w:pPr>
              <w:pStyle w:val="CLDNormal"/>
              <w:spacing w:after="0"/>
              <w:jc w:val="center"/>
            </w:pPr>
            <w:r>
              <w:t>10 (3.8)</w:t>
            </w:r>
          </w:p>
        </w:tc>
        <w:tc>
          <w:tcPr>
            <w:tcW w:w="2955" w:type="dxa"/>
          </w:tcPr>
          <w:p w14:paraId="6465BC4C" w14:textId="00B55C25" w:rsidR="00913863" w:rsidRPr="00476395" w:rsidRDefault="00A34B54" w:rsidP="00FE397F">
            <w:pPr>
              <w:pStyle w:val="CLDNormal"/>
              <w:spacing w:after="0"/>
              <w:jc w:val="center"/>
            </w:pPr>
            <w:r>
              <w:t>3 (1.7%)</w:t>
            </w:r>
          </w:p>
        </w:tc>
      </w:tr>
      <w:tr w:rsidR="00FF4273" w:rsidRPr="00476395" w14:paraId="5744805A" w14:textId="5A77FC9F" w:rsidTr="00503BE1">
        <w:tc>
          <w:tcPr>
            <w:tcW w:w="2070" w:type="dxa"/>
          </w:tcPr>
          <w:p w14:paraId="0FC3EC5D" w14:textId="080C24A9" w:rsidR="00FF4273" w:rsidRPr="00476395" w:rsidRDefault="00FF4273" w:rsidP="00503BE1">
            <w:pPr>
              <w:pStyle w:val="CLDNormal"/>
              <w:spacing w:after="0"/>
            </w:pPr>
            <w:r>
              <w:t>Myalgia</w:t>
            </w:r>
          </w:p>
        </w:tc>
        <w:tc>
          <w:tcPr>
            <w:tcW w:w="3992" w:type="dxa"/>
          </w:tcPr>
          <w:p w14:paraId="6A4F5EA9" w14:textId="3FE4FB5C" w:rsidR="00FF4273" w:rsidRPr="00476395" w:rsidRDefault="00FF4273" w:rsidP="00503BE1">
            <w:pPr>
              <w:pStyle w:val="CLDNormal"/>
              <w:spacing w:after="0"/>
              <w:jc w:val="center"/>
            </w:pPr>
            <w:r>
              <w:t>10 (3.8)</w:t>
            </w:r>
          </w:p>
        </w:tc>
        <w:tc>
          <w:tcPr>
            <w:tcW w:w="2955" w:type="dxa"/>
          </w:tcPr>
          <w:p w14:paraId="01EF600D" w14:textId="169E8599" w:rsidR="00FF4273" w:rsidRPr="00476395" w:rsidRDefault="00FF4273" w:rsidP="00503BE1">
            <w:pPr>
              <w:pStyle w:val="CLDNormal"/>
              <w:spacing w:after="0"/>
              <w:jc w:val="center"/>
            </w:pPr>
            <w:r>
              <w:t>2 (1.1)</w:t>
            </w:r>
          </w:p>
        </w:tc>
      </w:tr>
      <w:tr w:rsidR="00FF4273" w:rsidRPr="00476395" w14:paraId="376D1847" w14:textId="0F9BE7CC" w:rsidTr="00503BE1">
        <w:tc>
          <w:tcPr>
            <w:tcW w:w="2070" w:type="dxa"/>
          </w:tcPr>
          <w:p w14:paraId="58BAA9DC" w14:textId="0CB0003D" w:rsidR="00FF4273" w:rsidRDefault="00FF4273" w:rsidP="00503BE1">
            <w:pPr>
              <w:pStyle w:val="CLDNormal"/>
              <w:spacing w:after="0"/>
            </w:pPr>
            <w:r>
              <w:t>Skin ulcer</w:t>
            </w:r>
          </w:p>
        </w:tc>
        <w:tc>
          <w:tcPr>
            <w:tcW w:w="3992" w:type="dxa"/>
          </w:tcPr>
          <w:p w14:paraId="0C1352DD" w14:textId="169B94FA" w:rsidR="00FF4273" w:rsidRDefault="00FF4273" w:rsidP="00503BE1">
            <w:pPr>
              <w:pStyle w:val="CLDNormal"/>
              <w:spacing w:after="0"/>
              <w:jc w:val="center"/>
            </w:pPr>
            <w:r>
              <w:t>10 (3.8)</w:t>
            </w:r>
          </w:p>
        </w:tc>
        <w:tc>
          <w:tcPr>
            <w:tcW w:w="2955" w:type="dxa"/>
          </w:tcPr>
          <w:p w14:paraId="5C5EAF04" w14:textId="766EB17C" w:rsidR="00FF4273" w:rsidRDefault="00FF4273" w:rsidP="00503BE1">
            <w:pPr>
              <w:pStyle w:val="CLDNormal"/>
              <w:spacing w:after="0"/>
              <w:jc w:val="center"/>
            </w:pPr>
            <w:r>
              <w:t>1 (0.6)</w:t>
            </w:r>
          </w:p>
        </w:tc>
      </w:tr>
      <w:tr w:rsidR="00FF4273" w:rsidRPr="00476395" w14:paraId="54EE9B96" w14:textId="4A2B18FE" w:rsidTr="00503BE1">
        <w:tc>
          <w:tcPr>
            <w:tcW w:w="2070" w:type="dxa"/>
          </w:tcPr>
          <w:p w14:paraId="3C80B5E0" w14:textId="1B5FECE8" w:rsidR="00FF4273" w:rsidRPr="00476395" w:rsidRDefault="00FF4273" w:rsidP="00503BE1">
            <w:pPr>
              <w:pStyle w:val="CLDNormal"/>
              <w:spacing w:after="0"/>
            </w:pPr>
            <w:r>
              <w:t>Arthritis</w:t>
            </w:r>
          </w:p>
        </w:tc>
        <w:tc>
          <w:tcPr>
            <w:tcW w:w="3992" w:type="dxa"/>
          </w:tcPr>
          <w:p w14:paraId="30CE265F" w14:textId="6C6A5674" w:rsidR="00FF4273" w:rsidRPr="00476395" w:rsidRDefault="00FF4273" w:rsidP="00503BE1">
            <w:pPr>
              <w:pStyle w:val="CLDNormal"/>
              <w:spacing w:after="0"/>
              <w:jc w:val="center"/>
            </w:pPr>
            <w:r>
              <w:t>8 (3.0)</w:t>
            </w:r>
          </w:p>
        </w:tc>
        <w:tc>
          <w:tcPr>
            <w:tcW w:w="2955" w:type="dxa"/>
          </w:tcPr>
          <w:p w14:paraId="6FA2D5BD" w14:textId="4185EEE8" w:rsidR="00FF4273" w:rsidRPr="00476395" w:rsidRDefault="00FF4273" w:rsidP="00503BE1">
            <w:pPr>
              <w:pStyle w:val="CLDNormal"/>
              <w:spacing w:after="0"/>
              <w:jc w:val="center"/>
            </w:pPr>
            <w:r>
              <w:t>1 (0.6)</w:t>
            </w:r>
          </w:p>
        </w:tc>
      </w:tr>
      <w:tr w:rsidR="00913863" w:rsidRPr="00476395" w14:paraId="45CFC7D4" w14:textId="1C53A7D3" w:rsidTr="00870C19">
        <w:tc>
          <w:tcPr>
            <w:tcW w:w="2070" w:type="dxa"/>
          </w:tcPr>
          <w:p w14:paraId="4366E741" w14:textId="2CD4A3CF" w:rsidR="00913863" w:rsidRPr="00476395" w:rsidRDefault="00A34B54" w:rsidP="00FE397F">
            <w:pPr>
              <w:pStyle w:val="CLDNormal"/>
              <w:spacing w:after="0"/>
            </w:pPr>
            <w:r>
              <w:t>Cystitis</w:t>
            </w:r>
          </w:p>
        </w:tc>
        <w:tc>
          <w:tcPr>
            <w:tcW w:w="3992" w:type="dxa"/>
          </w:tcPr>
          <w:p w14:paraId="5DC286A6" w14:textId="47A0039C" w:rsidR="00913863" w:rsidRPr="00476395" w:rsidRDefault="00A34B54" w:rsidP="00FE397F">
            <w:pPr>
              <w:pStyle w:val="CLDNormal"/>
              <w:spacing w:after="0"/>
              <w:jc w:val="center"/>
            </w:pPr>
            <w:r>
              <w:t>8 (3.0)</w:t>
            </w:r>
          </w:p>
        </w:tc>
        <w:tc>
          <w:tcPr>
            <w:tcW w:w="2955" w:type="dxa"/>
          </w:tcPr>
          <w:p w14:paraId="0AB46693" w14:textId="72EA29D4" w:rsidR="00913863" w:rsidRPr="00476395" w:rsidRDefault="00A34B54" w:rsidP="00FE397F">
            <w:pPr>
              <w:pStyle w:val="CLDNormal"/>
              <w:spacing w:after="0"/>
              <w:jc w:val="center"/>
            </w:pPr>
            <w:r>
              <w:t>0</w:t>
            </w:r>
          </w:p>
        </w:tc>
      </w:tr>
      <w:tr w:rsidR="00A34B54" w:rsidRPr="00476395" w14:paraId="084A3BA9" w14:textId="126FBE03" w:rsidTr="00870C19">
        <w:tc>
          <w:tcPr>
            <w:tcW w:w="2070" w:type="dxa"/>
          </w:tcPr>
          <w:p w14:paraId="108676FA" w14:textId="691B37AD" w:rsidR="00A34B54" w:rsidRDefault="00A34B54" w:rsidP="00FE397F">
            <w:pPr>
              <w:pStyle w:val="CLDNormal"/>
              <w:spacing w:after="0"/>
            </w:pPr>
            <w:r>
              <w:t>Hyperhidrosis</w:t>
            </w:r>
          </w:p>
        </w:tc>
        <w:tc>
          <w:tcPr>
            <w:tcW w:w="3992" w:type="dxa"/>
          </w:tcPr>
          <w:p w14:paraId="118F0D05" w14:textId="627A5903" w:rsidR="00A34B54" w:rsidRDefault="00A34B54" w:rsidP="00FE397F">
            <w:pPr>
              <w:pStyle w:val="CLDNormal"/>
              <w:spacing w:after="0"/>
              <w:jc w:val="center"/>
            </w:pPr>
            <w:r>
              <w:t>6 (2.3)</w:t>
            </w:r>
          </w:p>
        </w:tc>
        <w:tc>
          <w:tcPr>
            <w:tcW w:w="2955" w:type="dxa"/>
          </w:tcPr>
          <w:p w14:paraId="37F33522" w14:textId="7559D5E6" w:rsidR="00A34B54" w:rsidRDefault="00A34B54" w:rsidP="00FE397F">
            <w:pPr>
              <w:pStyle w:val="CLDNormal"/>
              <w:spacing w:after="0"/>
              <w:jc w:val="center"/>
            </w:pPr>
            <w:r>
              <w:t>0</w:t>
            </w:r>
          </w:p>
        </w:tc>
      </w:tr>
    </w:tbl>
    <w:p w14:paraId="095F6AFD" w14:textId="210490D0" w:rsidR="00913863" w:rsidRDefault="00E23711" w:rsidP="00E23711">
      <w:pPr>
        <w:pStyle w:val="Footer"/>
        <w:rPr>
          <w:lang w:val="en-AU"/>
        </w:rPr>
      </w:pPr>
      <w:r>
        <w:rPr>
          <w:lang w:val="en-AU"/>
        </w:rPr>
        <w:t>* Adverse events are presented, regardless of causality, with an incidence at least twice placebo and at least four patients reporting the event.</w:t>
      </w:r>
    </w:p>
    <w:bookmarkEnd w:id="10"/>
    <w:p w14:paraId="1C0502FB" w14:textId="427A2952" w:rsidR="00E13D87" w:rsidRDefault="00E13D87" w:rsidP="00FB531F">
      <w:pPr>
        <w:pStyle w:val="CLDNormal"/>
        <w:spacing w:before="240"/>
      </w:pPr>
      <w:r w:rsidRPr="001530F3">
        <w:t xml:space="preserve">A lower proportion of </w:t>
      </w:r>
      <w:r w:rsidR="00295C81">
        <w:t>VYNDAQEL</w:t>
      </w:r>
      <w:r w:rsidR="00295C81" w:rsidRPr="001530F3">
        <w:t xml:space="preserve"> </w:t>
      </w:r>
      <w:r w:rsidRPr="001530F3">
        <w:t>treated patients compared to placebo discontinued due to an adverse event in the 30</w:t>
      </w:r>
      <w:r>
        <w:noBreakHyphen/>
      </w:r>
      <w:r w:rsidRPr="001530F3">
        <w:t>month placebo</w:t>
      </w:r>
      <w:r>
        <w:noBreakHyphen/>
      </w:r>
      <w:r w:rsidRPr="001530F3">
        <w:t>controlled trial in patients diagnosed with ATTR</w:t>
      </w:r>
      <w:r>
        <w:noBreakHyphen/>
      </w:r>
      <w:r w:rsidRPr="001530F3">
        <w:t xml:space="preserve">CM [40 (22.7%), 16 (18.2%), and 51 (28.8%) from the </w:t>
      </w:r>
      <w:r w:rsidR="00930898">
        <w:t xml:space="preserve">tafamidis meglumine </w:t>
      </w:r>
      <w:r w:rsidRPr="001530F3">
        <w:t xml:space="preserve">80 mg (administered as four 20 mg capsules), </w:t>
      </w:r>
      <w:r w:rsidR="00930898" w:rsidRPr="001530F3">
        <w:t xml:space="preserve">tafamidis meglumine </w:t>
      </w:r>
      <w:r w:rsidRPr="001530F3">
        <w:t>20 mg, and placebo groups, respectively].</w:t>
      </w:r>
    </w:p>
    <w:p w14:paraId="0E20C364" w14:textId="39E58EA5" w:rsidR="00E23711" w:rsidRPr="00EE3F3F" w:rsidRDefault="00E23711" w:rsidP="00E23711">
      <w:pPr>
        <w:pStyle w:val="CLDNormal"/>
      </w:pPr>
      <w:r>
        <w:t xml:space="preserve">Incidence of hypothyroidism was reported in 6.8%, 5.7% and 5.6% patients in the tafamidis meglumine 80 mg, 20 mg and placebo groups, </w:t>
      </w:r>
      <w:r w:rsidRPr="00EE3F3F">
        <w:t>respectively</w:t>
      </w:r>
      <w:r w:rsidR="009E28D8" w:rsidRPr="00EE3F3F">
        <w:t xml:space="preserve"> (see Section 4.5 Special warnings and precautions for use)</w:t>
      </w:r>
      <w:r w:rsidRPr="00EE3F3F">
        <w:t>.</w:t>
      </w:r>
    </w:p>
    <w:p w14:paraId="523E9852" w14:textId="15A8D5E7" w:rsidR="0061726E" w:rsidRPr="00EE3F3F" w:rsidRDefault="002D06FE" w:rsidP="00D6001A">
      <w:pPr>
        <w:pStyle w:val="CLDNormal"/>
      </w:pPr>
      <w:r w:rsidRPr="00EE3F3F">
        <w:t>Liver function test increased were more frequent in the tafamidis meglumine 80 mg group (3.4%) than in the tafamidis meglumine 20 mg (2.3%) and placebo (1.1%) groups.  A causal relationship has not been established</w:t>
      </w:r>
      <w:r w:rsidR="00EE3F3F">
        <w:t xml:space="preserve"> </w:t>
      </w:r>
      <w:r w:rsidR="00EE3F3F" w:rsidRPr="00BB5B2D">
        <w:t>(see Section 4.4 Special warnings and precautions for use)</w:t>
      </w:r>
      <w:r w:rsidRPr="00EE3F3F">
        <w:t>.</w:t>
      </w:r>
    </w:p>
    <w:p w14:paraId="03D1FC28" w14:textId="0FFB4A74" w:rsidR="009E28D8" w:rsidRPr="001530F3" w:rsidRDefault="009E28D8" w:rsidP="00D6001A">
      <w:pPr>
        <w:pStyle w:val="CLDNormal"/>
      </w:pPr>
      <w:r w:rsidRPr="00EE3F3F">
        <w:lastRenderedPageBreak/>
        <w:t>Low neutrophil count (&lt;0.8 x LLN) was more frequent with tafamidis meglumine treatment than with placebo (1.9% tafamidis meglumine 80 mg, 1.2% tafamidis meglumine 20 mg, 0.6% placebo).</w:t>
      </w:r>
    </w:p>
    <w:p w14:paraId="3DCFD401" w14:textId="129BA210" w:rsidR="003C4BE5" w:rsidRPr="003C4BE5" w:rsidRDefault="003C4BE5" w:rsidP="00755FFF">
      <w:pPr>
        <w:pStyle w:val="CLDHeading3"/>
        <w:rPr>
          <w:color w:val="7030A0"/>
        </w:rPr>
      </w:pPr>
      <w:r>
        <w:t>Reporting suspected ad</w:t>
      </w:r>
      <w:r w:rsidR="00633E2B">
        <w:t>verse effects</w:t>
      </w:r>
    </w:p>
    <w:p w14:paraId="2706A230" w14:textId="358F2984" w:rsidR="00795258" w:rsidRDefault="00C40E91" w:rsidP="00795258">
      <w:pPr>
        <w:pStyle w:val="CLDNormal"/>
        <w:tabs>
          <w:tab w:val="left" w:pos="6379"/>
        </w:tabs>
      </w:pPr>
      <w:r w:rsidRPr="00C40E91">
        <w:t>Reporting suspected adverse reactions after registration of the medicinal product is important</w:t>
      </w:r>
      <w:r w:rsidR="00BB4E33">
        <w:t xml:space="preserve">.  </w:t>
      </w:r>
      <w:r w:rsidRPr="00C40E91">
        <w:t>It allows continued monitoring of the benefit-risk balance of the medicinal product</w:t>
      </w:r>
      <w:r w:rsidR="00BB4E33">
        <w:t xml:space="preserve">.  </w:t>
      </w:r>
      <w:r w:rsidRPr="00C40E91">
        <w:t xml:space="preserve">Healthcare professionals are asked to report any suspected adverse reactions at </w:t>
      </w:r>
      <w:r w:rsidR="00C91DD5" w:rsidRPr="00C91DD5">
        <w:rPr>
          <w:rStyle w:val="Hyperlink"/>
        </w:rPr>
        <w:t>http://www.tga.gov.au/reporting-problems</w:t>
      </w:r>
      <w:r w:rsidR="00795258">
        <w:t>.</w:t>
      </w:r>
    </w:p>
    <w:p w14:paraId="46E53F7D" w14:textId="488164D9" w:rsidR="00112E5B" w:rsidRPr="00003E72" w:rsidRDefault="00003E72" w:rsidP="00795258">
      <w:pPr>
        <w:pStyle w:val="CLDHeading2"/>
      </w:pPr>
      <w:r>
        <w:t>4.9</w:t>
      </w:r>
      <w:r>
        <w:tab/>
      </w:r>
      <w:r w:rsidR="00112E5B" w:rsidRPr="00DB3A4B">
        <w:t>Overdos</w:t>
      </w:r>
      <w:r w:rsidR="0061777E">
        <w:t>e</w:t>
      </w:r>
    </w:p>
    <w:p w14:paraId="25E81E2D" w14:textId="77777777" w:rsidR="00633E2B" w:rsidRPr="004D1D53" w:rsidRDefault="00633E2B" w:rsidP="00515162">
      <w:pPr>
        <w:pStyle w:val="CLDHeading3"/>
      </w:pPr>
      <w:r w:rsidRPr="004D1D53">
        <w:t>Symptoms</w:t>
      </w:r>
    </w:p>
    <w:p w14:paraId="35C4185C" w14:textId="5823A4D9" w:rsidR="0093083D" w:rsidRPr="004D1D53" w:rsidRDefault="0093083D" w:rsidP="00515162">
      <w:pPr>
        <w:pStyle w:val="CLDNormal"/>
      </w:pPr>
      <w:r w:rsidRPr="004D1D53">
        <w:t>There is minimal clinical experience with overdose</w:t>
      </w:r>
      <w:r w:rsidR="00BB4E33">
        <w:t xml:space="preserve">.  </w:t>
      </w:r>
      <w:r w:rsidRPr="004D1D53">
        <w:t xml:space="preserve">During clinical trials, two patients diagnosed with ATTR-CM accidentally ingested a single </w:t>
      </w:r>
      <w:r w:rsidR="000D7ECE">
        <w:t>tafamidis meglumine dose of 160 </w:t>
      </w:r>
      <w:r w:rsidRPr="004D1D53">
        <w:t>mg without the occurrence of any associated adverse events</w:t>
      </w:r>
      <w:r w:rsidR="00BB4E33">
        <w:t xml:space="preserve">.  </w:t>
      </w:r>
      <w:r w:rsidRPr="004D1D53">
        <w:t>The highest dose of tafamidis meglumine given to healthy volunteers in a clinical trial was 480 mg as a single dose</w:t>
      </w:r>
      <w:r w:rsidR="00BB4E33">
        <w:t xml:space="preserve">.  </w:t>
      </w:r>
      <w:r w:rsidRPr="004D1D53">
        <w:t>There was one reported treatment-related adverse event of mild hordeolum at this dose.</w:t>
      </w:r>
    </w:p>
    <w:p w14:paraId="12081E2C" w14:textId="77777777" w:rsidR="00633E2B" w:rsidRPr="004D1D53" w:rsidRDefault="00633E2B" w:rsidP="00515162">
      <w:pPr>
        <w:pStyle w:val="CLDHeading3"/>
      </w:pPr>
      <w:r w:rsidRPr="004D1D53">
        <w:t>Management</w:t>
      </w:r>
    </w:p>
    <w:p w14:paraId="5732A8C1" w14:textId="77777777" w:rsidR="00633E2B" w:rsidRPr="004D1D53" w:rsidRDefault="00633E2B" w:rsidP="00515162">
      <w:pPr>
        <w:pStyle w:val="CLDNormal"/>
      </w:pPr>
      <w:r w:rsidRPr="004D1D53">
        <w:t>In case of overdose, standard supportive measures should be instituted as required.</w:t>
      </w:r>
    </w:p>
    <w:p w14:paraId="36F98817" w14:textId="04CB1BF7" w:rsidR="00904B18" w:rsidRPr="00515162" w:rsidRDefault="00904B18" w:rsidP="00515162">
      <w:pPr>
        <w:pStyle w:val="CLDNormal"/>
      </w:pPr>
      <w:r w:rsidRPr="00904B18">
        <w:t>For information on the management of overdose, contact the Poisons Information Centre on 13 11 26 (Australia).</w:t>
      </w:r>
    </w:p>
    <w:p w14:paraId="46E53F81" w14:textId="4895BD3B" w:rsidR="0062454C" w:rsidRDefault="00003E72" w:rsidP="00643055">
      <w:pPr>
        <w:pStyle w:val="CLDHeading1"/>
      </w:pPr>
      <w:r>
        <w:t>5.</w:t>
      </w:r>
      <w:r>
        <w:tab/>
      </w:r>
      <w:r w:rsidR="0018348D">
        <w:t>PHARMACOLOGICAL PROPERTIES</w:t>
      </w:r>
    </w:p>
    <w:p w14:paraId="46E53F82" w14:textId="072DC19A" w:rsidR="00112E5B" w:rsidRDefault="00003E72" w:rsidP="00755FFF">
      <w:pPr>
        <w:pStyle w:val="CLDHeading2"/>
      </w:pPr>
      <w:r>
        <w:t>5.1</w:t>
      </w:r>
      <w:r>
        <w:tab/>
      </w:r>
      <w:r w:rsidR="00112E5B">
        <w:t>Pharmacodynamic properties</w:t>
      </w:r>
    </w:p>
    <w:p w14:paraId="4A2C8777" w14:textId="77777777" w:rsidR="0093083D" w:rsidRPr="004D1D53" w:rsidRDefault="0093083D" w:rsidP="00515162">
      <w:pPr>
        <w:pStyle w:val="CLDNormal"/>
      </w:pPr>
      <w:r w:rsidRPr="004D1D53">
        <w:t>Pharmacotherapeutic group: Other nervous system drugs, ATC code: N07XX08</w:t>
      </w:r>
    </w:p>
    <w:p w14:paraId="46E53F85" w14:textId="6CEEB327" w:rsidR="003C6DC6" w:rsidRDefault="003C6DC6" w:rsidP="00755FFF">
      <w:pPr>
        <w:pStyle w:val="CLDHeading3"/>
      </w:pPr>
      <w:r>
        <w:t>Mechanism of action</w:t>
      </w:r>
    </w:p>
    <w:p w14:paraId="09F663D1" w14:textId="6F130A2A" w:rsidR="00E13D87" w:rsidRDefault="00E13D87" w:rsidP="00515162">
      <w:pPr>
        <w:pStyle w:val="CLDNormal"/>
      </w:pPr>
      <w:r w:rsidRPr="001530F3">
        <w:t>Tafamidis</w:t>
      </w:r>
      <w:r w:rsidR="00FE397F">
        <w:t xml:space="preserve"> meglumine</w:t>
      </w:r>
      <w:r w:rsidRPr="001530F3">
        <w:t xml:space="preserve"> is a selective stabili</w:t>
      </w:r>
      <w:r w:rsidR="00586DA6">
        <w:t>s</w:t>
      </w:r>
      <w:r w:rsidRPr="001530F3">
        <w:t>er of TTR</w:t>
      </w:r>
      <w:r w:rsidR="00BB4E33">
        <w:t xml:space="preserve">.  </w:t>
      </w:r>
      <w:r w:rsidRPr="001530F3">
        <w:t>Tafamidis</w:t>
      </w:r>
      <w:r w:rsidR="00FE397F">
        <w:t xml:space="preserve"> meglumine</w:t>
      </w:r>
      <w:r w:rsidRPr="001530F3">
        <w:t xml:space="preserve"> binds with negative cooperativity to the two thyroxine binding sites on the native tetrameric form of TTR preventing dissociation into monomers, the rate</w:t>
      </w:r>
      <w:r>
        <w:noBreakHyphen/>
      </w:r>
      <w:r w:rsidRPr="001530F3">
        <w:t>limiting step in the amyloidogenic process</w:t>
      </w:r>
      <w:r w:rsidR="00BB4E33">
        <w:t xml:space="preserve">.  </w:t>
      </w:r>
      <w:r w:rsidRPr="001530F3">
        <w:t xml:space="preserve">The inhibition of TTR tetramer dissociation forms the rationale for the use of </w:t>
      </w:r>
      <w:r w:rsidR="00295C81">
        <w:t>VYNDAQEL</w:t>
      </w:r>
      <w:r w:rsidR="00295C81" w:rsidRPr="001530F3">
        <w:t xml:space="preserve"> </w:t>
      </w:r>
      <w:r w:rsidRPr="001530F3">
        <w:t xml:space="preserve">to </w:t>
      </w:r>
      <w:r w:rsidRPr="001530F3">
        <w:rPr>
          <w:szCs w:val="22"/>
        </w:rPr>
        <w:t>reduce all</w:t>
      </w:r>
      <w:r>
        <w:rPr>
          <w:szCs w:val="22"/>
        </w:rPr>
        <w:noBreakHyphen/>
      </w:r>
      <w:r w:rsidRPr="001530F3">
        <w:rPr>
          <w:szCs w:val="22"/>
        </w:rPr>
        <w:t>cause mortality and cardiovascular</w:t>
      </w:r>
      <w:r>
        <w:rPr>
          <w:szCs w:val="22"/>
        </w:rPr>
        <w:noBreakHyphen/>
      </w:r>
      <w:r w:rsidR="00586DA6">
        <w:rPr>
          <w:szCs w:val="22"/>
        </w:rPr>
        <w:t>related hospitalis</w:t>
      </w:r>
      <w:r w:rsidRPr="001530F3">
        <w:rPr>
          <w:szCs w:val="22"/>
        </w:rPr>
        <w:t>ation in ATTR</w:t>
      </w:r>
      <w:r>
        <w:rPr>
          <w:szCs w:val="22"/>
        </w:rPr>
        <w:noBreakHyphen/>
      </w:r>
      <w:r w:rsidRPr="001530F3">
        <w:rPr>
          <w:szCs w:val="22"/>
        </w:rPr>
        <w:t>CM patients</w:t>
      </w:r>
      <w:r w:rsidRPr="001530F3">
        <w:t>.</w:t>
      </w:r>
    </w:p>
    <w:p w14:paraId="7ADBBF6A" w14:textId="576312CD" w:rsidR="00E44C71" w:rsidRPr="001530F3" w:rsidRDefault="00E44C71" w:rsidP="00515162">
      <w:pPr>
        <w:pStyle w:val="CLDNormal"/>
      </w:pPr>
      <w:bookmarkStart w:id="12" w:name="_Hlk19018131"/>
      <w:r>
        <w:t>No studies have been undertaken to establish a direct relationship between this dissociation and an effect on reduction of amyloid deposition in the heart.</w:t>
      </w:r>
    </w:p>
    <w:bookmarkEnd w:id="12"/>
    <w:p w14:paraId="2C585AA2" w14:textId="77777777" w:rsidR="00633E2B" w:rsidRPr="004D1D53" w:rsidRDefault="00633E2B" w:rsidP="00515162">
      <w:pPr>
        <w:pStyle w:val="CLDHeading4"/>
      </w:pPr>
      <w:r w:rsidRPr="004D1D53">
        <w:t>Pharmacodynamic effects</w:t>
      </w:r>
    </w:p>
    <w:p w14:paraId="62EEEF5C" w14:textId="2A623BAF" w:rsidR="008040F1" w:rsidRPr="001530F3" w:rsidRDefault="008040F1" w:rsidP="00515162">
      <w:pPr>
        <w:pStyle w:val="CLDNormal"/>
      </w:pPr>
      <w:bookmarkStart w:id="13" w:name="_Hlk29467905"/>
      <w:r>
        <w:rPr>
          <w:rFonts w:eastAsia="TimesNewRoman"/>
        </w:rPr>
        <w:t>A TTR stabilisation assay was utilised as a pharmacodynamic marker and assessed the stability of the TTR tetramer</w:t>
      </w:r>
      <w:r w:rsidR="00F661EC">
        <w:rPr>
          <w:rFonts w:eastAsia="TimesNewRoman"/>
        </w:rPr>
        <w:t xml:space="preserve"> under denaturation conditions</w:t>
      </w:r>
      <w:r>
        <w:rPr>
          <w:rFonts w:eastAsia="TimesNewRoman"/>
        </w:rPr>
        <w:t xml:space="preserve">.  The TTR stabilisation assay quantifies immunoturbidimetric measurement of the stable TTR tetramer in plasma pre- and </w:t>
      </w:r>
      <w:r>
        <w:rPr>
          <w:rFonts w:eastAsia="TimesNewRoman"/>
        </w:rPr>
        <w:lastRenderedPageBreak/>
        <w:t>post</w:t>
      </w:r>
      <w:r>
        <w:rPr>
          <w:rFonts w:eastAsia="TimesNewRoman"/>
        </w:rPr>
        <w:noBreakHyphen/>
        <w:t xml:space="preserve">treatment with 2-day </w:t>
      </w:r>
      <w:r w:rsidRPr="002D161D">
        <w:rPr>
          <w:rFonts w:eastAsia="TimesNewRoman"/>
          <w:i/>
        </w:rPr>
        <w:t>in vitro</w:t>
      </w:r>
      <w:r>
        <w:rPr>
          <w:rFonts w:eastAsia="TimesNewRoman"/>
        </w:rPr>
        <w:t xml:space="preserve"> denaturation with urea.  Using this assay, a dose-dependent trend for greater TTR tetramer stabilisation is observed for tafamidis meglumine 80 mg compared to tafamidis meglumine 20 mg.  However, the clinical relevance of a higher TTR tetramer stabilisation towards cardiovascular outcomes is not known.</w:t>
      </w:r>
      <w:bookmarkEnd w:id="13"/>
    </w:p>
    <w:p w14:paraId="0E9CB5E9" w14:textId="4879EA50" w:rsidR="00E13D87" w:rsidRPr="001530F3" w:rsidRDefault="00295C81" w:rsidP="00515162">
      <w:pPr>
        <w:pStyle w:val="CLDNormal"/>
      </w:pPr>
      <w:r>
        <w:t>VYNDAQEL</w:t>
      </w:r>
      <w:r w:rsidRPr="001530F3">
        <w:t xml:space="preserve"> </w:t>
      </w:r>
      <w:r w:rsidR="00586DA6">
        <w:t>stabilis</w:t>
      </w:r>
      <w:r w:rsidR="00E13D87" w:rsidRPr="001530F3">
        <w:t>ed both the wild</w:t>
      </w:r>
      <w:r w:rsidR="00E13D87">
        <w:noBreakHyphen/>
      </w:r>
      <w:r w:rsidR="00E13D87" w:rsidRPr="001530F3">
        <w:t>type TTR tetramer and the tetramers of 14 TTR variants tested clinically after once</w:t>
      </w:r>
      <w:r w:rsidR="00E13D87">
        <w:noBreakHyphen/>
      </w:r>
      <w:r w:rsidR="00E13D87" w:rsidRPr="001530F3">
        <w:t>daily dosing</w:t>
      </w:r>
      <w:r w:rsidR="000D7ECE">
        <w:t xml:space="preserve">. </w:t>
      </w:r>
      <w:r w:rsidR="00E13D87" w:rsidRPr="001530F3">
        <w:t xml:space="preserve"> Tafamidis </w:t>
      </w:r>
      <w:r w:rsidR="00FE397F">
        <w:t xml:space="preserve">meglumine </w:t>
      </w:r>
      <w:r w:rsidR="00E13D87" w:rsidRPr="001530F3">
        <w:t>also stabili</w:t>
      </w:r>
      <w:r w:rsidR="00586DA6">
        <w:t>s</w:t>
      </w:r>
      <w:r w:rsidR="00E13D87" w:rsidRPr="001530F3">
        <w:t xml:space="preserve">ed the TTR tetramer for an additional 25 variants tested </w:t>
      </w:r>
      <w:r w:rsidR="00E13D87" w:rsidRPr="00E42FB0">
        <w:rPr>
          <w:i/>
        </w:rPr>
        <w:t>ex vivo</w:t>
      </w:r>
      <w:r w:rsidR="00E13D87" w:rsidRPr="001530F3">
        <w:t>, thus demonstrating TTR stabili</w:t>
      </w:r>
      <w:r w:rsidR="00586DA6">
        <w:t>s</w:t>
      </w:r>
      <w:r w:rsidR="00E13D87" w:rsidRPr="001530F3">
        <w:t>ation of 40 amyloidogenic TTR genotypes.</w:t>
      </w:r>
    </w:p>
    <w:p w14:paraId="417485D5" w14:textId="3C6AE1D8" w:rsidR="00E13D87" w:rsidRPr="001530F3" w:rsidRDefault="00E13D87" w:rsidP="00515162">
      <w:pPr>
        <w:pStyle w:val="CLDNormal"/>
      </w:pPr>
      <w:r w:rsidRPr="001530F3">
        <w:t>A population PK/PD analysis was conducted with a database consisting of 3</w:t>
      </w:r>
      <w:r w:rsidR="009E644D">
        <w:t>,</w:t>
      </w:r>
      <w:r w:rsidRPr="001530F3">
        <w:t>662 observations from 102 healthy subjects and 558 patients with transthyretin amyloidosis.</w:t>
      </w:r>
    </w:p>
    <w:p w14:paraId="4118AC1B" w14:textId="0E2449AE" w:rsidR="00E13D87" w:rsidRPr="001530F3" w:rsidRDefault="00E13D87" w:rsidP="00515162">
      <w:pPr>
        <w:pStyle w:val="CLDNormal"/>
      </w:pPr>
      <w:r w:rsidRPr="001530F3">
        <w:t xml:space="preserve">None of the following parameters were found to modify the </w:t>
      </w:r>
      <w:r w:rsidR="00295C81">
        <w:t>VYNDAQEL</w:t>
      </w:r>
      <w:r w:rsidR="00295C81" w:rsidRPr="001530F3">
        <w:t xml:space="preserve"> </w:t>
      </w:r>
      <w:r w:rsidRPr="001530F3">
        <w:t>pharmacodynamic response: race (non</w:t>
      </w:r>
      <w:r>
        <w:noBreakHyphen/>
      </w:r>
      <w:r w:rsidRPr="001530F3">
        <w:t>Japanese vs. Japanese), patient type, or genotype.</w:t>
      </w:r>
    </w:p>
    <w:p w14:paraId="46E53F89" w14:textId="4F22CDA8" w:rsidR="005A454A" w:rsidRDefault="002A5064" w:rsidP="00755FFF">
      <w:pPr>
        <w:pStyle w:val="CLDHeading3"/>
      </w:pPr>
      <w:r>
        <w:t>Clinical trials</w:t>
      </w:r>
    </w:p>
    <w:p w14:paraId="50E1DF76" w14:textId="77777777" w:rsidR="0093083D" w:rsidRPr="004D1D53" w:rsidRDefault="0093083D" w:rsidP="00515162">
      <w:pPr>
        <w:pStyle w:val="CLDNormal"/>
      </w:pPr>
      <w:r w:rsidRPr="004D1D53">
        <w:t>Efficacy was demonstrated in a multicentre, international, double-blind, placebo-controlled, randomi</w:t>
      </w:r>
      <w:r>
        <w:t>s</w:t>
      </w:r>
      <w:r w:rsidRPr="004D1D53">
        <w:t>ed 3-arm study in 441 patients with wild</w:t>
      </w:r>
      <w:r w:rsidRPr="004D1D53">
        <w:noBreakHyphen/>
        <w:t xml:space="preserve">type or hereditary ATTR-CM. </w:t>
      </w:r>
    </w:p>
    <w:p w14:paraId="466CD36D" w14:textId="2BD4BDCE" w:rsidR="00D04235" w:rsidRDefault="00D04235" w:rsidP="00515162">
      <w:pPr>
        <w:pStyle w:val="CLDNormal"/>
      </w:pPr>
      <w:bookmarkStart w:id="14" w:name="_Hlk19532998"/>
      <w:r w:rsidRPr="00B51BB0">
        <w:t xml:space="preserve">Eligible </w:t>
      </w:r>
      <w:r w:rsidR="00B4565C">
        <w:t>patients</w:t>
      </w:r>
      <w:r w:rsidRPr="00B51BB0">
        <w:t xml:space="preserve"> were between 18 and 90 y</w:t>
      </w:r>
      <w:r>
        <w:t>ears old at the time of randomis</w:t>
      </w:r>
      <w:r w:rsidRPr="00B51BB0">
        <w:t>ation</w:t>
      </w:r>
      <w:r w:rsidR="00B4565C">
        <w:t xml:space="preserve"> with</w:t>
      </w:r>
      <w:r w:rsidRPr="00B51BB0">
        <w:t xml:space="preserve"> a medical history of heart failure and documented </w:t>
      </w:r>
      <w:r w:rsidR="00B4565C">
        <w:t>A</w:t>
      </w:r>
      <w:r w:rsidRPr="00B51BB0">
        <w:t>TTR</w:t>
      </w:r>
      <w:r w:rsidR="00B4565C">
        <w:t>-CM (variant or wild-type</w:t>
      </w:r>
      <w:r w:rsidRPr="00B51BB0">
        <w:t xml:space="preserve">). </w:t>
      </w:r>
      <w:r>
        <w:t xml:space="preserve"> </w:t>
      </w:r>
      <w:r w:rsidR="00B4565C">
        <w:t xml:space="preserve">Patients had </w:t>
      </w:r>
      <w:r w:rsidRPr="00B51BB0">
        <w:t xml:space="preserve">documented presence of amyloid </w:t>
      </w:r>
      <w:r w:rsidR="00B4565C">
        <w:t xml:space="preserve">deposits in biopsy tissue </w:t>
      </w:r>
      <w:r w:rsidRPr="00B51BB0">
        <w:t>and demonstration of TTR precursor protein at screening or previously</w:t>
      </w:r>
      <w:r w:rsidR="00B4565C">
        <w:t>, end-diastolic intraventricular</w:t>
      </w:r>
      <w:r w:rsidR="003B62C7">
        <w:t xml:space="preserve"> </w:t>
      </w:r>
      <w:r w:rsidR="00B4565C">
        <w:t xml:space="preserve">septal wall thickness &gt;12 mm by echocardiography, </w:t>
      </w:r>
      <w:r w:rsidRPr="00B51BB0">
        <w:t xml:space="preserve">N-terminal prohormone </w:t>
      </w:r>
      <w:r>
        <w:t>B</w:t>
      </w:r>
      <w:r>
        <w:noBreakHyphen/>
      </w:r>
      <w:r w:rsidRPr="00B51BB0">
        <w:t>type natriuretic pep</w:t>
      </w:r>
      <w:r>
        <w:t>tide (NT-proBNP) ≥</w:t>
      </w:r>
      <w:r w:rsidRPr="00B51BB0">
        <w:t xml:space="preserve"> 600 pg/mL and 6-Minute Walk Test (6MWT)</w:t>
      </w:r>
      <w:r w:rsidR="00B4565C">
        <w:t xml:space="preserve"> &gt;100 m</w:t>
      </w:r>
      <w:r w:rsidRPr="00B51BB0">
        <w:t xml:space="preserve"> at screening.</w:t>
      </w:r>
      <w:r w:rsidR="005B6D68">
        <w:t xml:space="preserve">  Patients with NYHA Class I-III were enrolled</w:t>
      </w:r>
      <w:r w:rsidR="00CE3D7B">
        <w:t>, whilst</w:t>
      </w:r>
      <w:r w:rsidR="005B6D68">
        <w:t xml:space="preserve"> patients with NYHA Class IV </w:t>
      </w:r>
      <w:r w:rsidR="00CE3D7B">
        <w:t xml:space="preserve">or transplant patients </w:t>
      </w:r>
      <w:r w:rsidR="005B6D68">
        <w:t>were excluded.</w:t>
      </w:r>
    </w:p>
    <w:bookmarkEnd w:id="14"/>
    <w:p w14:paraId="793385A1" w14:textId="3FC5AFD9" w:rsidR="005B6D68" w:rsidRDefault="0093083D" w:rsidP="00515162">
      <w:pPr>
        <w:pStyle w:val="CLDNormal"/>
      </w:pPr>
      <w:r w:rsidRPr="004D1D53">
        <w:t>Patients were randomi</w:t>
      </w:r>
      <w:r>
        <w:t>s</w:t>
      </w:r>
      <w:r w:rsidRPr="004D1D53">
        <w:t>ed to either tafamidis meglumine 20 mg (n=88) or 80 mg [administered as four 20 mg tafamidis meglumine capsules] (n=176) or matching placebo (n=177) once daily, in addition to standard of care (e.g. diuretics) for 30 months</w:t>
      </w:r>
      <w:r w:rsidR="00BB4E33">
        <w:t xml:space="preserve">.  </w:t>
      </w:r>
      <w:r w:rsidRPr="004D1D53">
        <w:t xml:space="preserve">Treatment assignment was stratified by the presence or absence of a variant TTR genotype as well as by baseline severity of disease (NYHA </w:t>
      </w:r>
      <w:bookmarkStart w:id="15" w:name="_Hlk20322914"/>
      <w:r w:rsidRPr="004D1D53">
        <w:t>Class</w:t>
      </w:r>
      <w:bookmarkEnd w:id="15"/>
      <w:r w:rsidRPr="004D1D53">
        <w:t>)</w:t>
      </w:r>
      <w:r w:rsidR="00BB4E33">
        <w:t>.</w:t>
      </w:r>
      <w:r w:rsidR="00B176F0">
        <w:t xml:space="preserve"> </w:t>
      </w:r>
    </w:p>
    <w:p w14:paraId="2408324B" w14:textId="1612E1BD" w:rsidR="0093083D" w:rsidRDefault="007C3D43" w:rsidP="00515162">
      <w:pPr>
        <w:pStyle w:val="CLDNormal"/>
      </w:pPr>
      <w:r>
        <w:fldChar w:fldCharType="begin"/>
      </w:r>
      <w:r>
        <w:instrText xml:space="preserve"> REF _Ref532446890 \h </w:instrText>
      </w:r>
      <w:r>
        <w:fldChar w:fldCharType="separate"/>
      </w:r>
      <w:r w:rsidR="00E23711">
        <w:t xml:space="preserve">Table </w:t>
      </w:r>
      <w:r w:rsidR="00E23711">
        <w:rPr>
          <w:noProof/>
        </w:rPr>
        <w:t>3</w:t>
      </w:r>
      <w:r>
        <w:fldChar w:fldCharType="end"/>
      </w:r>
      <w:r w:rsidR="0093083D" w:rsidRPr="004D1D53">
        <w:t xml:space="preserve"> describes the patient demographics and baseline characteristics.</w:t>
      </w:r>
    </w:p>
    <w:p w14:paraId="2294563A" w14:textId="6D6AD5A4" w:rsidR="0093083D" w:rsidRPr="004D1D53" w:rsidRDefault="00515162" w:rsidP="00515162">
      <w:pPr>
        <w:pStyle w:val="CLDTableTitle"/>
      </w:pPr>
      <w:bookmarkStart w:id="16" w:name="_Ref532446890"/>
      <w:r>
        <w:t xml:space="preserve">Table </w:t>
      </w:r>
      <w:r w:rsidR="00476395">
        <w:fldChar w:fldCharType="begin"/>
      </w:r>
      <w:r w:rsidR="00476395">
        <w:instrText xml:space="preserve"> SEQ Table \* ARABIC </w:instrText>
      </w:r>
      <w:r w:rsidR="00476395">
        <w:fldChar w:fldCharType="separate"/>
      </w:r>
      <w:r w:rsidR="00E23711">
        <w:rPr>
          <w:noProof/>
        </w:rPr>
        <w:t>3</w:t>
      </w:r>
      <w:r w:rsidR="00476395">
        <w:fldChar w:fldCharType="end"/>
      </w:r>
      <w:bookmarkEnd w:id="16"/>
      <w:r w:rsidR="0093083D" w:rsidRPr="004D1D53">
        <w:t xml:space="preserve">: </w:t>
      </w:r>
      <w:r w:rsidR="00F2323C">
        <w:t xml:space="preserve"> </w:t>
      </w:r>
      <w:r w:rsidR="0093083D" w:rsidRPr="004D1D53">
        <w:t>Patient demographics and baseline characteristics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2"/>
        <w:gridCol w:w="3162"/>
        <w:gridCol w:w="2472"/>
      </w:tblGrid>
      <w:tr w:rsidR="0093083D" w:rsidRPr="00F2323C" w14:paraId="367A9900" w14:textId="77777777" w:rsidTr="00C616D1">
        <w:trPr>
          <w:tblHeader/>
        </w:trPr>
        <w:tc>
          <w:tcPr>
            <w:tcW w:w="3241" w:type="dxa"/>
            <w:tcMar>
              <w:top w:w="0" w:type="dxa"/>
              <w:left w:w="108" w:type="dxa"/>
              <w:bottom w:w="0" w:type="dxa"/>
              <w:right w:w="108" w:type="dxa"/>
            </w:tcMar>
            <w:hideMark/>
          </w:tcPr>
          <w:p w14:paraId="76B3F87D" w14:textId="77777777" w:rsidR="0093083D" w:rsidRPr="00F2323C" w:rsidRDefault="0093083D" w:rsidP="00F2323C">
            <w:pPr>
              <w:pStyle w:val="CLDTableTextListText"/>
              <w:rPr>
                <w:b/>
              </w:rPr>
            </w:pPr>
            <w:r w:rsidRPr="00F2323C">
              <w:rPr>
                <w:b/>
              </w:rPr>
              <w:t>Characteristic</w:t>
            </w:r>
          </w:p>
        </w:tc>
        <w:tc>
          <w:tcPr>
            <w:tcW w:w="3246" w:type="dxa"/>
            <w:tcMar>
              <w:top w:w="0" w:type="dxa"/>
              <w:left w:w="108" w:type="dxa"/>
              <w:bottom w:w="0" w:type="dxa"/>
              <w:right w:w="108" w:type="dxa"/>
            </w:tcMar>
            <w:hideMark/>
          </w:tcPr>
          <w:p w14:paraId="7150C9DE" w14:textId="1EFCE0E3" w:rsidR="0093083D" w:rsidRPr="00F2323C" w:rsidRDefault="0093083D" w:rsidP="00F2323C">
            <w:pPr>
              <w:pStyle w:val="CLDTableTextListText"/>
              <w:rPr>
                <w:rFonts w:eastAsia="Calibri"/>
                <w:b/>
              </w:rPr>
            </w:pPr>
            <w:r w:rsidRPr="00F2323C">
              <w:rPr>
                <w:b/>
              </w:rPr>
              <w:t>Pooled tafamidis</w:t>
            </w:r>
            <w:r w:rsidR="00FE397F">
              <w:rPr>
                <w:b/>
              </w:rPr>
              <w:t xml:space="preserve"> meglumine</w:t>
            </w:r>
          </w:p>
          <w:p w14:paraId="435D5098" w14:textId="77777777" w:rsidR="0093083D" w:rsidRPr="00F2323C" w:rsidRDefault="0093083D" w:rsidP="00F2323C">
            <w:pPr>
              <w:pStyle w:val="CLDTableTextListText"/>
              <w:rPr>
                <w:b/>
              </w:rPr>
            </w:pPr>
            <w:r w:rsidRPr="00F2323C">
              <w:rPr>
                <w:b/>
              </w:rPr>
              <w:t>N=264</w:t>
            </w:r>
          </w:p>
        </w:tc>
        <w:tc>
          <w:tcPr>
            <w:tcW w:w="2540" w:type="dxa"/>
            <w:tcMar>
              <w:top w:w="0" w:type="dxa"/>
              <w:left w:w="108" w:type="dxa"/>
              <w:bottom w:w="0" w:type="dxa"/>
              <w:right w:w="108" w:type="dxa"/>
            </w:tcMar>
            <w:hideMark/>
          </w:tcPr>
          <w:p w14:paraId="6DE9B64D" w14:textId="77777777" w:rsidR="0093083D" w:rsidRPr="00F2323C" w:rsidRDefault="0093083D" w:rsidP="00F2323C">
            <w:pPr>
              <w:pStyle w:val="CLDTableTextListText"/>
              <w:rPr>
                <w:rFonts w:eastAsia="Calibri"/>
                <w:b/>
              </w:rPr>
            </w:pPr>
            <w:r w:rsidRPr="00F2323C">
              <w:rPr>
                <w:b/>
              </w:rPr>
              <w:t>Placebo</w:t>
            </w:r>
          </w:p>
          <w:p w14:paraId="3A039512" w14:textId="77777777" w:rsidR="0093083D" w:rsidRPr="00F2323C" w:rsidRDefault="0093083D" w:rsidP="00F2323C">
            <w:pPr>
              <w:pStyle w:val="CLDTableTextListText"/>
              <w:rPr>
                <w:b/>
              </w:rPr>
            </w:pPr>
            <w:r w:rsidRPr="00F2323C">
              <w:rPr>
                <w:b/>
              </w:rPr>
              <w:t>N=177</w:t>
            </w:r>
          </w:p>
        </w:tc>
      </w:tr>
      <w:tr w:rsidR="0093083D" w:rsidRPr="004D1D53" w14:paraId="43B5C8C6" w14:textId="77777777" w:rsidTr="00C616D1">
        <w:tc>
          <w:tcPr>
            <w:tcW w:w="0" w:type="auto"/>
            <w:gridSpan w:val="3"/>
            <w:tcMar>
              <w:top w:w="0" w:type="dxa"/>
              <w:left w:w="108" w:type="dxa"/>
              <w:bottom w:w="0" w:type="dxa"/>
              <w:right w:w="108" w:type="dxa"/>
            </w:tcMar>
            <w:hideMark/>
          </w:tcPr>
          <w:p w14:paraId="184C5717" w14:textId="77777777" w:rsidR="0093083D" w:rsidRPr="004D1D53" w:rsidRDefault="0093083D" w:rsidP="00F2323C">
            <w:pPr>
              <w:pStyle w:val="CLDTableTextListText"/>
              <w:rPr>
                <w:rFonts w:eastAsia="Calibri"/>
              </w:rPr>
            </w:pPr>
            <w:r w:rsidRPr="004D1D53">
              <w:t>Age — year</w:t>
            </w:r>
          </w:p>
        </w:tc>
      </w:tr>
      <w:tr w:rsidR="0093083D" w:rsidRPr="004D1D53" w14:paraId="44059CB5" w14:textId="77777777" w:rsidTr="00C616D1">
        <w:tc>
          <w:tcPr>
            <w:tcW w:w="3241" w:type="dxa"/>
            <w:tcMar>
              <w:top w:w="0" w:type="dxa"/>
              <w:left w:w="108" w:type="dxa"/>
              <w:bottom w:w="0" w:type="dxa"/>
              <w:right w:w="108" w:type="dxa"/>
            </w:tcMar>
            <w:hideMark/>
          </w:tcPr>
          <w:p w14:paraId="2FE42F58" w14:textId="77777777" w:rsidR="0093083D" w:rsidRPr="004D1D53" w:rsidRDefault="0093083D" w:rsidP="00F2323C">
            <w:pPr>
              <w:pStyle w:val="CLDTableTextListText"/>
              <w:rPr>
                <w:rFonts w:eastAsia="Calibri"/>
              </w:rPr>
            </w:pPr>
            <w:r w:rsidRPr="004D1D53">
              <w:t>Mean (standard deviation)</w:t>
            </w:r>
          </w:p>
        </w:tc>
        <w:tc>
          <w:tcPr>
            <w:tcW w:w="3246" w:type="dxa"/>
            <w:tcMar>
              <w:top w:w="0" w:type="dxa"/>
              <w:left w:w="108" w:type="dxa"/>
              <w:bottom w:w="0" w:type="dxa"/>
              <w:right w:w="108" w:type="dxa"/>
            </w:tcMar>
            <w:hideMark/>
          </w:tcPr>
          <w:p w14:paraId="5FF90D85" w14:textId="77777777" w:rsidR="0093083D" w:rsidRPr="004D1D53" w:rsidRDefault="0093083D" w:rsidP="00F2323C">
            <w:pPr>
              <w:pStyle w:val="CLDTableTextListText"/>
              <w:rPr>
                <w:sz w:val="22"/>
              </w:rPr>
            </w:pPr>
            <w:r w:rsidRPr="004D1D53">
              <w:rPr>
                <w:sz w:val="22"/>
              </w:rPr>
              <w:t>74.5 (7.2)</w:t>
            </w:r>
          </w:p>
        </w:tc>
        <w:tc>
          <w:tcPr>
            <w:tcW w:w="2540" w:type="dxa"/>
            <w:tcMar>
              <w:top w:w="0" w:type="dxa"/>
              <w:left w:w="108" w:type="dxa"/>
              <w:bottom w:w="0" w:type="dxa"/>
              <w:right w:w="108" w:type="dxa"/>
            </w:tcMar>
            <w:hideMark/>
          </w:tcPr>
          <w:p w14:paraId="70889D40" w14:textId="77777777" w:rsidR="0093083D" w:rsidRPr="004D1D53" w:rsidRDefault="0093083D" w:rsidP="00F2323C">
            <w:pPr>
              <w:pStyle w:val="CLDTableTextListText"/>
              <w:rPr>
                <w:sz w:val="22"/>
              </w:rPr>
            </w:pPr>
            <w:r w:rsidRPr="004D1D53">
              <w:rPr>
                <w:sz w:val="22"/>
              </w:rPr>
              <w:t>74.1 (6.7)</w:t>
            </w:r>
          </w:p>
        </w:tc>
      </w:tr>
      <w:tr w:rsidR="0093083D" w:rsidRPr="004D1D53" w14:paraId="4CDD3927" w14:textId="77777777" w:rsidTr="00C616D1">
        <w:tc>
          <w:tcPr>
            <w:tcW w:w="3241" w:type="dxa"/>
            <w:tcMar>
              <w:top w:w="0" w:type="dxa"/>
              <w:left w:w="108" w:type="dxa"/>
              <w:bottom w:w="0" w:type="dxa"/>
              <w:right w:w="108" w:type="dxa"/>
            </w:tcMar>
            <w:hideMark/>
          </w:tcPr>
          <w:p w14:paraId="26599A5B" w14:textId="77777777" w:rsidR="0093083D" w:rsidRPr="004D1D53" w:rsidRDefault="0093083D" w:rsidP="00F2323C">
            <w:pPr>
              <w:pStyle w:val="CLDTableTextListText"/>
              <w:rPr>
                <w:rFonts w:eastAsia="Calibri"/>
              </w:rPr>
            </w:pPr>
            <w:r w:rsidRPr="004D1D53">
              <w:t>Median (minimum, maximum)</w:t>
            </w:r>
          </w:p>
        </w:tc>
        <w:tc>
          <w:tcPr>
            <w:tcW w:w="3246" w:type="dxa"/>
            <w:tcMar>
              <w:top w:w="0" w:type="dxa"/>
              <w:left w:w="108" w:type="dxa"/>
              <w:bottom w:w="0" w:type="dxa"/>
              <w:right w:w="108" w:type="dxa"/>
            </w:tcMar>
            <w:hideMark/>
          </w:tcPr>
          <w:p w14:paraId="56835D4A" w14:textId="77777777" w:rsidR="0093083D" w:rsidRPr="004D1D53" w:rsidRDefault="0093083D" w:rsidP="00F2323C">
            <w:pPr>
              <w:pStyle w:val="CLDTableTextListText"/>
              <w:rPr>
                <w:sz w:val="22"/>
              </w:rPr>
            </w:pPr>
            <w:r w:rsidRPr="004D1D53">
              <w:rPr>
                <w:sz w:val="22"/>
              </w:rPr>
              <w:t>75 (46, 88)</w:t>
            </w:r>
          </w:p>
        </w:tc>
        <w:tc>
          <w:tcPr>
            <w:tcW w:w="2540" w:type="dxa"/>
            <w:tcMar>
              <w:top w:w="0" w:type="dxa"/>
              <w:left w:w="108" w:type="dxa"/>
              <w:bottom w:w="0" w:type="dxa"/>
              <w:right w:w="108" w:type="dxa"/>
            </w:tcMar>
            <w:hideMark/>
          </w:tcPr>
          <w:p w14:paraId="089EBD9F" w14:textId="77777777" w:rsidR="0093083D" w:rsidRPr="004D1D53" w:rsidRDefault="0093083D" w:rsidP="00F2323C">
            <w:pPr>
              <w:pStyle w:val="CLDTableTextListText"/>
              <w:rPr>
                <w:sz w:val="22"/>
              </w:rPr>
            </w:pPr>
            <w:r w:rsidRPr="004D1D53">
              <w:rPr>
                <w:sz w:val="22"/>
              </w:rPr>
              <w:t>74 (51, 89)</w:t>
            </w:r>
          </w:p>
        </w:tc>
      </w:tr>
      <w:tr w:rsidR="0093083D" w:rsidRPr="004D1D53" w14:paraId="6D5AAEC1" w14:textId="77777777" w:rsidTr="00C616D1">
        <w:tc>
          <w:tcPr>
            <w:tcW w:w="0" w:type="auto"/>
            <w:gridSpan w:val="3"/>
            <w:tcMar>
              <w:top w:w="0" w:type="dxa"/>
              <w:left w:w="108" w:type="dxa"/>
              <w:bottom w:w="0" w:type="dxa"/>
              <w:right w:w="108" w:type="dxa"/>
            </w:tcMar>
            <w:hideMark/>
          </w:tcPr>
          <w:p w14:paraId="5DE67671" w14:textId="77777777" w:rsidR="0093083D" w:rsidRPr="004D1D53" w:rsidRDefault="0093083D" w:rsidP="00F2323C">
            <w:pPr>
              <w:pStyle w:val="CLDTableTextListText"/>
              <w:rPr>
                <w:rFonts w:eastAsia="Calibri"/>
              </w:rPr>
            </w:pPr>
            <w:r w:rsidRPr="004D1D53">
              <w:t>Sex — number (%)</w:t>
            </w:r>
          </w:p>
        </w:tc>
      </w:tr>
      <w:tr w:rsidR="0093083D" w:rsidRPr="004D1D53" w14:paraId="353B0A7A" w14:textId="77777777" w:rsidTr="00C616D1">
        <w:tc>
          <w:tcPr>
            <w:tcW w:w="3241" w:type="dxa"/>
            <w:tcMar>
              <w:top w:w="0" w:type="dxa"/>
              <w:left w:w="108" w:type="dxa"/>
              <w:bottom w:w="0" w:type="dxa"/>
              <w:right w:w="108" w:type="dxa"/>
            </w:tcMar>
            <w:hideMark/>
          </w:tcPr>
          <w:p w14:paraId="4AEF1CEC" w14:textId="77777777" w:rsidR="0093083D" w:rsidRPr="004D1D53" w:rsidRDefault="0093083D" w:rsidP="00F2323C">
            <w:pPr>
              <w:pStyle w:val="CLDTableTextListText"/>
              <w:rPr>
                <w:rFonts w:eastAsia="Calibri"/>
              </w:rPr>
            </w:pPr>
            <w:r w:rsidRPr="004D1D53">
              <w:t>Male</w:t>
            </w:r>
          </w:p>
        </w:tc>
        <w:tc>
          <w:tcPr>
            <w:tcW w:w="3246" w:type="dxa"/>
            <w:tcMar>
              <w:top w:w="0" w:type="dxa"/>
              <w:left w:w="108" w:type="dxa"/>
              <w:bottom w:w="0" w:type="dxa"/>
              <w:right w:w="108" w:type="dxa"/>
            </w:tcMar>
            <w:hideMark/>
          </w:tcPr>
          <w:p w14:paraId="5235587C" w14:textId="77777777" w:rsidR="0093083D" w:rsidRPr="004D1D53" w:rsidRDefault="0093083D" w:rsidP="00F2323C">
            <w:pPr>
              <w:pStyle w:val="CLDTableTextListText"/>
              <w:rPr>
                <w:sz w:val="22"/>
              </w:rPr>
            </w:pPr>
            <w:r w:rsidRPr="004D1D53">
              <w:rPr>
                <w:sz w:val="22"/>
              </w:rPr>
              <w:t>241 (91.3)</w:t>
            </w:r>
          </w:p>
        </w:tc>
        <w:tc>
          <w:tcPr>
            <w:tcW w:w="2540" w:type="dxa"/>
            <w:tcMar>
              <w:top w:w="0" w:type="dxa"/>
              <w:left w:w="108" w:type="dxa"/>
              <w:bottom w:w="0" w:type="dxa"/>
              <w:right w:w="108" w:type="dxa"/>
            </w:tcMar>
            <w:hideMark/>
          </w:tcPr>
          <w:p w14:paraId="63906336" w14:textId="77777777" w:rsidR="0093083D" w:rsidRPr="004D1D53" w:rsidRDefault="0093083D" w:rsidP="00F2323C">
            <w:pPr>
              <w:pStyle w:val="CLDTableTextListText"/>
              <w:rPr>
                <w:sz w:val="22"/>
              </w:rPr>
            </w:pPr>
            <w:r w:rsidRPr="004D1D53">
              <w:rPr>
                <w:sz w:val="22"/>
              </w:rPr>
              <w:t>157 (88.7)</w:t>
            </w:r>
          </w:p>
        </w:tc>
      </w:tr>
      <w:tr w:rsidR="0093083D" w:rsidRPr="004D1D53" w14:paraId="4B511ABE" w14:textId="77777777" w:rsidTr="00C616D1">
        <w:tc>
          <w:tcPr>
            <w:tcW w:w="3241" w:type="dxa"/>
            <w:tcMar>
              <w:top w:w="0" w:type="dxa"/>
              <w:left w:w="108" w:type="dxa"/>
              <w:bottom w:w="0" w:type="dxa"/>
              <w:right w:w="108" w:type="dxa"/>
            </w:tcMar>
            <w:hideMark/>
          </w:tcPr>
          <w:p w14:paraId="350DA776" w14:textId="77777777" w:rsidR="0093083D" w:rsidRPr="004D1D53" w:rsidRDefault="0093083D" w:rsidP="00F2323C">
            <w:pPr>
              <w:pStyle w:val="CLDTableTextListText"/>
              <w:rPr>
                <w:rFonts w:eastAsia="Calibri"/>
              </w:rPr>
            </w:pPr>
            <w:r w:rsidRPr="004D1D53">
              <w:t>Female</w:t>
            </w:r>
          </w:p>
        </w:tc>
        <w:tc>
          <w:tcPr>
            <w:tcW w:w="3246" w:type="dxa"/>
            <w:tcMar>
              <w:top w:w="0" w:type="dxa"/>
              <w:left w:w="108" w:type="dxa"/>
              <w:bottom w:w="0" w:type="dxa"/>
              <w:right w:w="108" w:type="dxa"/>
            </w:tcMar>
            <w:hideMark/>
          </w:tcPr>
          <w:p w14:paraId="67DE3C19" w14:textId="77777777" w:rsidR="0093083D" w:rsidRPr="004D1D53" w:rsidRDefault="0093083D" w:rsidP="00F2323C">
            <w:pPr>
              <w:pStyle w:val="CLDTableTextListText"/>
              <w:rPr>
                <w:sz w:val="22"/>
              </w:rPr>
            </w:pPr>
            <w:r w:rsidRPr="004D1D53">
              <w:rPr>
                <w:sz w:val="22"/>
              </w:rPr>
              <w:t>23 (8.7)</w:t>
            </w:r>
          </w:p>
        </w:tc>
        <w:tc>
          <w:tcPr>
            <w:tcW w:w="2540" w:type="dxa"/>
            <w:tcMar>
              <w:top w:w="0" w:type="dxa"/>
              <w:left w:w="108" w:type="dxa"/>
              <w:bottom w:w="0" w:type="dxa"/>
              <w:right w:w="108" w:type="dxa"/>
            </w:tcMar>
            <w:hideMark/>
          </w:tcPr>
          <w:p w14:paraId="53B469F1" w14:textId="77777777" w:rsidR="0093083D" w:rsidRPr="004D1D53" w:rsidRDefault="0093083D" w:rsidP="00F2323C">
            <w:pPr>
              <w:pStyle w:val="CLDTableTextListText"/>
              <w:rPr>
                <w:sz w:val="22"/>
              </w:rPr>
            </w:pPr>
            <w:r w:rsidRPr="004D1D53">
              <w:rPr>
                <w:sz w:val="22"/>
              </w:rPr>
              <w:t>20 (11.3)</w:t>
            </w:r>
          </w:p>
        </w:tc>
      </w:tr>
      <w:tr w:rsidR="0093083D" w:rsidRPr="004D1D53" w14:paraId="030891CD" w14:textId="77777777" w:rsidTr="00C616D1">
        <w:tc>
          <w:tcPr>
            <w:tcW w:w="0" w:type="auto"/>
            <w:gridSpan w:val="3"/>
            <w:tcMar>
              <w:top w:w="0" w:type="dxa"/>
              <w:left w:w="108" w:type="dxa"/>
              <w:bottom w:w="0" w:type="dxa"/>
              <w:right w:w="108" w:type="dxa"/>
            </w:tcMar>
            <w:hideMark/>
          </w:tcPr>
          <w:p w14:paraId="017BBCD9" w14:textId="77777777" w:rsidR="0093083D" w:rsidRPr="004D1D53" w:rsidRDefault="0093083D" w:rsidP="00F2323C">
            <w:pPr>
              <w:pStyle w:val="CLDTableTextListText"/>
              <w:rPr>
                <w:rFonts w:eastAsia="Calibri"/>
              </w:rPr>
            </w:pPr>
            <w:r w:rsidRPr="004D1D53">
              <w:rPr>
                <w:i/>
                <w:iCs/>
              </w:rPr>
              <w:t>TTR</w:t>
            </w:r>
            <w:r w:rsidRPr="004D1D53">
              <w:t xml:space="preserve"> genotype — number (%)</w:t>
            </w:r>
          </w:p>
        </w:tc>
      </w:tr>
      <w:tr w:rsidR="0093083D" w:rsidRPr="004D1D53" w14:paraId="65C30077" w14:textId="77777777" w:rsidTr="00C616D1">
        <w:tc>
          <w:tcPr>
            <w:tcW w:w="3241" w:type="dxa"/>
            <w:tcMar>
              <w:top w:w="0" w:type="dxa"/>
              <w:left w:w="108" w:type="dxa"/>
              <w:bottom w:w="0" w:type="dxa"/>
              <w:right w:w="108" w:type="dxa"/>
            </w:tcMar>
            <w:hideMark/>
          </w:tcPr>
          <w:p w14:paraId="7ACE0517" w14:textId="77777777" w:rsidR="0093083D" w:rsidRPr="004D1D53" w:rsidRDefault="0093083D" w:rsidP="00F2323C">
            <w:pPr>
              <w:pStyle w:val="CLDTableTextListText"/>
              <w:rPr>
                <w:rFonts w:eastAsia="Calibri"/>
              </w:rPr>
            </w:pPr>
            <w:r w:rsidRPr="004D1D53">
              <w:lastRenderedPageBreak/>
              <w:t xml:space="preserve">ATTRm </w:t>
            </w:r>
          </w:p>
        </w:tc>
        <w:tc>
          <w:tcPr>
            <w:tcW w:w="3246" w:type="dxa"/>
            <w:tcMar>
              <w:top w:w="0" w:type="dxa"/>
              <w:left w:w="108" w:type="dxa"/>
              <w:bottom w:w="0" w:type="dxa"/>
              <w:right w:w="108" w:type="dxa"/>
            </w:tcMar>
            <w:hideMark/>
          </w:tcPr>
          <w:p w14:paraId="4CA641B8" w14:textId="77777777" w:rsidR="0093083D" w:rsidRPr="004D1D53" w:rsidRDefault="0093083D" w:rsidP="00F2323C">
            <w:pPr>
              <w:pStyle w:val="CLDTableTextListText"/>
              <w:rPr>
                <w:sz w:val="22"/>
              </w:rPr>
            </w:pPr>
            <w:r w:rsidRPr="004D1D53">
              <w:rPr>
                <w:sz w:val="22"/>
              </w:rPr>
              <w:t>63 (23.9)</w:t>
            </w:r>
          </w:p>
        </w:tc>
        <w:tc>
          <w:tcPr>
            <w:tcW w:w="2540" w:type="dxa"/>
            <w:tcMar>
              <w:top w:w="0" w:type="dxa"/>
              <w:left w:w="108" w:type="dxa"/>
              <w:bottom w:w="0" w:type="dxa"/>
              <w:right w:w="108" w:type="dxa"/>
            </w:tcMar>
            <w:hideMark/>
          </w:tcPr>
          <w:p w14:paraId="213412D4" w14:textId="77777777" w:rsidR="0093083D" w:rsidRPr="004D1D53" w:rsidRDefault="0093083D" w:rsidP="00F2323C">
            <w:pPr>
              <w:pStyle w:val="CLDTableTextListText"/>
              <w:rPr>
                <w:sz w:val="22"/>
              </w:rPr>
            </w:pPr>
            <w:r w:rsidRPr="004D1D53">
              <w:rPr>
                <w:sz w:val="22"/>
              </w:rPr>
              <w:t>43 (24.3)</w:t>
            </w:r>
          </w:p>
        </w:tc>
      </w:tr>
      <w:tr w:rsidR="0093083D" w:rsidRPr="004D1D53" w14:paraId="5653529A" w14:textId="77777777" w:rsidTr="00C616D1">
        <w:tc>
          <w:tcPr>
            <w:tcW w:w="3241" w:type="dxa"/>
            <w:tcMar>
              <w:top w:w="0" w:type="dxa"/>
              <w:left w:w="108" w:type="dxa"/>
              <w:bottom w:w="0" w:type="dxa"/>
              <w:right w:w="108" w:type="dxa"/>
            </w:tcMar>
            <w:hideMark/>
          </w:tcPr>
          <w:p w14:paraId="04F5D0F1" w14:textId="77777777" w:rsidR="0093083D" w:rsidRPr="004D1D53" w:rsidRDefault="0093083D" w:rsidP="00F2323C">
            <w:pPr>
              <w:pStyle w:val="CLDTableTextListText"/>
              <w:rPr>
                <w:rFonts w:eastAsia="Calibri"/>
              </w:rPr>
            </w:pPr>
            <w:r w:rsidRPr="004D1D53">
              <w:t xml:space="preserve">ATTRwt </w:t>
            </w:r>
          </w:p>
        </w:tc>
        <w:tc>
          <w:tcPr>
            <w:tcW w:w="3246" w:type="dxa"/>
            <w:tcMar>
              <w:top w:w="0" w:type="dxa"/>
              <w:left w:w="108" w:type="dxa"/>
              <w:bottom w:w="0" w:type="dxa"/>
              <w:right w:w="108" w:type="dxa"/>
            </w:tcMar>
            <w:hideMark/>
          </w:tcPr>
          <w:p w14:paraId="655D5CC1" w14:textId="77777777" w:rsidR="0093083D" w:rsidRPr="004D1D53" w:rsidRDefault="0093083D" w:rsidP="00F2323C">
            <w:pPr>
              <w:pStyle w:val="CLDTableTextListText"/>
              <w:rPr>
                <w:sz w:val="22"/>
              </w:rPr>
            </w:pPr>
            <w:r w:rsidRPr="004D1D53">
              <w:rPr>
                <w:sz w:val="22"/>
              </w:rPr>
              <w:t>201 (76.1)</w:t>
            </w:r>
          </w:p>
        </w:tc>
        <w:tc>
          <w:tcPr>
            <w:tcW w:w="2540" w:type="dxa"/>
            <w:tcMar>
              <w:top w:w="0" w:type="dxa"/>
              <w:left w:w="108" w:type="dxa"/>
              <w:bottom w:w="0" w:type="dxa"/>
              <w:right w:w="108" w:type="dxa"/>
            </w:tcMar>
            <w:hideMark/>
          </w:tcPr>
          <w:p w14:paraId="49BC4296" w14:textId="77777777" w:rsidR="0093083D" w:rsidRPr="004D1D53" w:rsidRDefault="0093083D" w:rsidP="00F2323C">
            <w:pPr>
              <w:pStyle w:val="CLDTableTextListText"/>
              <w:rPr>
                <w:sz w:val="22"/>
              </w:rPr>
            </w:pPr>
            <w:r w:rsidRPr="004D1D53">
              <w:rPr>
                <w:sz w:val="22"/>
              </w:rPr>
              <w:t>134 (75.7)</w:t>
            </w:r>
          </w:p>
        </w:tc>
      </w:tr>
      <w:tr w:rsidR="0093083D" w:rsidRPr="004D1D53" w14:paraId="05CB6921" w14:textId="77777777" w:rsidTr="00C616D1">
        <w:tc>
          <w:tcPr>
            <w:tcW w:w="3241" w:type="dxa"/>
            <w:tcMar>
              <w:top w:w="0" w:type="dxa"/>
              <w:left w:w="108" w:type="dxa"/>
              <w:bottom w:w="0" w:type="dxa"/>
              <w:right w:w="108" w:type="dxa"/>
            </w:tcMar>
            <w:hideMark/>
          </w:tcPr>
          <w:p w14:paraId="5594BD2E" w14:textId="77777777" w:rsidR="0093083D" w:rsidRPr="004D1D53" w:rsidRDefault="0093083D" w:rsidP="00F2323C">
            <w:pPr>
              <w:pStyle w:val="CLDTableTextListText"/>
              <w:rPr>
                <w:rFonts w:eastAsia="Calibri"/>
              </w:rPr>
            </w:pPr>
            <w:r w:rsidRPr="004D1D53">
              <w:t>NYHA Class — number (%)</w:t>
            </w:r>
          </w:p>
        </w:tc>
        <w:tc>
          <w:tcPr>
            <w:tcW w:w="3246" w:type="dxa"/>
            <w:tcMar>
              <w:top w:w="0" w:type="dxa"/>
              <w:left w:w="108" w:type="dxa"/>
              <w:bottom w:w="0" w:type="dxa"/>
              <w:right w:w="108" w:type="dxa"/>
            </w:tcMar>
          </w:tcPr>
          <w:p w14:paraId="462A6261" w14:textId="77777777" w:rsidR="0093083D" w:rsidRPr="004D1D53" w:rsidRDefault="0093083D" w:rsidP="00F2323C">
            <w:pPr>
              <w:pStyle w:val="CLDTableTextListText"/>
              <w:rPr>
                <w:sz w:val="22"/>
              </w:rPr>
            </w:pPr>
          </w:p>
        </w:tc>
        <w:tc>
          <w:tcPr>
            <w:tcW w:w="2540" w:type="dxa"/>
            <w:tcMar>
              <w:top w:w="0" w:type="dxa"/>
              <w:left w:w="108" w:type="dxa"/>
              <w:bottom w:w="0" w:type="dxa"/>
              <w:right w:w="108" w:type="dxa"/>
            </w:tcMar>
          </w:tcPr>
          <w:p w14:paraId="630D06D1" w14:textId="77777777" w:rsidR="0093083D" w:rsidRPr="004D1D53" w:rsidRDefault="0093083D" w:rsidP="00F2323C">
            <w:pPr>
              <w:pStyle w:val="CLDTableTextListText"/>
              <w:rPr>
                <w:sz w:val="22"/>
              </w:rPr>
            </w:pPr>
          </w:p>
        </w:tc>
      </w:tr>
      <w:tr w:rsidR="0093083D" w:rsidRPr="004D1D53" w14:paraId="75C2EA5B" w14:textId="77777777" w:rsidTr="00C616D1">
        <w:tc>
          <w:tcPr>
            <w:tcW w:w="3241" w:type="dxa"/>
            <w:tcMar>
              <w:top w:w="0" w:type="dxa"/>
              <w:left w:w="108" w:type="dxa"/>
              <w:bottom w:w="0" w:type="dxa"/>
              <w:right w:w="108" w:type="dxa"/>
            </w:tcMar>
            <w:hideMark/>
          </w:tcPr>
          <w:p w14:paraId="678CCB5C" w14:textId="77777777" w:rsidR="0093083D" w:rsidRPr="004D1D53" w:rsidRDefault="0093083D" w:rsidP="00F2323C">
            <w:pPr>
              <w:pStyle w:val="CLDTableTextListText"/>
              <w:rPr>
                <w:rFonts w:eastAsia="Calibri"/>
              </w:rPr>
            </w:pPr>
            <w:r w:rsidRPr="004D1D53">
              <w:t>NYHA Class I</w:t>
            </w:r>
          </w:p>
        </w:tc>
        <w:tc>
          <w:tcPr>
            <w:tcW w:w="3246" w:type="dxa"/>
            <w:tcMar>
              <w:top w:w="0" w:type="dxa"/>
              <w:left w:w="108" w:type="dxa"/>
              <w:bottom w:w="0" w:type="dxa"/>
              <w:right w:w="108" w:type="dxa"/>
            </w:tcMar>
            <w:hideMark/>
          </w:tcPr>
          <w:p w14:paraId="1F62875A" w14:textId="77777777" w:rsidR="0093083D" w:rsidRPr="004D1D53" w:rsidRDefault="0093083D" w:rsidP="00F2323C">
            <w:pPr>
              <w:pStyle w:val="CLDTableTextListText"/>
              <w:rPr>
                <w:sz w:val="22"/>
              </w:rPr>
            </w:pPr>
            <w:r w:rsidRPr="004D1D53">
              <w:rPr>
                <w:sz w:val="22"/>
              </w:rPr>
              <w:t>24 (9.1)</w:t>
            </w:r>
          </w:p>
        </w:tc>
        <w:tc>
          <w:tcPr>
            <w:tcW w:w="2540" w:type="dxa"/>
            <w:tcMar>
              <w:top w:w="0" w:type="dxa"/>
              <w:left w:w="108" w:type="dxa"/>
              <w:bottom w:w="0" w:type="dxa"/>
              <w:right w:w="108" w:type="dxa"/>
            </w:tcMar>
            <w:hideMark/>
          </w:tcPr>
          <w:p w14:paraId="21EF55FF" w14:textId="77777777" w:rsidR="0093083D" w:rsidRPr="004D1D53" w:rsidRDefault="0093083D" w:rsidP="00F2323C">
            <w:pPr>
              <w:pStyle w:val="CLDTableTextListText"/>
              <w:rPr>
                <w:sz w:val="22"/>
              </w:rPr>
            </w:pPr>
            <w:r w:rsidRPr="004D1D53">
              <w:rPr>
                <w:sz w:val="22"/>
              </w:rPr>
              <w:t>13 (7.3)</w:t>
            </w:r>
          </w:p>
        </w:tc>
      </w:tr>
      <w:tr w:rsidR="0093083D" w:rsidRPr="004D1D53" w14:paraId="087A0724" w14:textId="77777777" w:rsidTr="00C616D1">
        <w:tc>
          <w:tcPr>
            <w:tcW w:w="3241" w:type="dxa"/>
            <w:tcMar>
              <w:top w:w="0" w:type="dxa"/>
              <w:left w:w="108" w:type="dxa"/>
              <w:bottom w:w="0" w:type="dxa"/>
              <w:right w:w="108" w:type="dxa"/>
            </w:tcMar>
            <w:hideMark/>
          </w:tcPr>
          <w:p w14:paraId="51A59347" w14:textId="77777777" w:rsidR="0093083D" w:rsidRPr="004D1D53" w:rsidRDefault="0093083D" w:rsidP="00F2323C">
            <w:pPr>
              <w:pStyle w:val="CLDTableTextListText"/>
              <w:rPr>
                <w:rFonts w:eastAsia="Calibri"/>
              </w:rPr>
            </w:pPr>
            <w:r w:rsidRPr="004D1D53">
              <w:t>NYHA Class II</w:t>
            </w:r>
          </w:p>
        </w:tc>
        <w:tc>
          <w:tcPr>
            <w:tcW w:w="3246" w:type="dxa"/>
            <w:tcMar>
              <w:top w:w="0" w:type="dxa"/>
              <w:left w:w="108" w:type="dxa"/>
              <w:bottom w:w="0" w:type="dxa"/>
              <w:right w:w="108" w:type="dxa"/>
            </w:tcMar>
            <w:hideMark/>
          </w:tcPr>
          <w:p w14:paraId="580FEC20" w14:textId="77777777" w:rsidR="0093083D" w:rsidRPr="004D1D53" w:rsidRDefault="0093083D" w:rsidP="00F2323C">
            <w:pPr>
              <w:pStyle w:val="CLDTableTextListText"/>
              <w:rPr>
                <w:sz w:val="22"/>
              </w:rPr>
            </w:pPr>
            <w:r w:rsidRPr="004D1D53">
              <w:rPr>
                <w:sz w:val="22"/>
              </w:rPr>
              <w:t>162 (61.4)</w:t>
            </w:r>
          </w:p>
        </w:tc>
        <w:tc>
          <w:tcPr>
            <w:tcW w:w="2540" w:type="dxa"/>
            <w:tcMar>
              <w:top w:w="0" w:type="dxa"/>
              <w:left w:w="108" w:type="dxa"/>
              <w:bottom w:w="0" w:type="dxa"/>
              <w:right w:w="108" w:type="dxa"/>
            </w:tcMar>
            <w:hideMark/>
          </w:tcPr>
          <w:p w14:paraId="75E25F96" w14:textId="77777777" w:rsidR="0093083D" w:rsidRPr="004D1D53" w:rsidRDefault="0093083D" w:rsidP="00F2323C">
            <w:pPr>
              <w:pStyle w:val="CLDTableTextListText"/>
              <w:rPr>
                <w:sz w:val="22"/>
              </w:rPr>
            </w:pPr>
            <w:r w:rsidRPr="004D1D53">
              <w:rPr>
                <w:sz w:val="22"/>
              </w:rPr>
              <w:t>101 (57.1)</w:t>
            </w:r>
          </w:p>
        </w:tc>
      </w:tr>
      <w:tr w:rsidR="0093083D" w:rsidRPr="004D1D53" w14:paraId="26B55BB7" w14:textId="77777777" w:rsidTr="00C616D1">
        <w:tc>
          <w:tcPr>
            <w:tcW w:w="3241" w:type="dxa"/>
            <w:tcMar>
              <w:top w:w="0" w:type="dxa"/>
              <w:left w:w="108" w:type="dxa"/>
              <w:bottom w:w="0" w:type="dxa"/>
              <w:right w:w="108" w:type="dxa"/>
            </w:tcMar>
            <w:hideMark/>
          </w:tcPr>
          <w:p w14:paraId="4C70971E" w14:textId="77777777" w:rsidR="0093083D" w:rsidRPr="004D1D53" w:rsidRDefault="0093083D" w:rsidP="00F2323C">
            <w:pPr>
              <w:pStyle w:val="CLDTableTextListText"/>
              <w:rPr>
                <w:rFonts w:eastAsia="Calibri"/>
              </w:rPr>
            </w:pPr>
            <w:r w:rsidRPr="004D1D53">
              <w:t>NYHA Class III</w:t>
            </w:r>
          </w:p>
        </w:tc>
        <w:tc>
          <w:tcPr>
            <w:tcW w:w="3246" w:type="dxa"/>
            <w:tcMar>
              <w:top w:w="0" w:type="dxa"/>
              <w:left w:w="108" w:type="dxa"/>
              <w:bottom w:w="0" w:type="dxa"/>
              <w:right w:w="108" w:type="dxa"/>
            </w:tcMar>
            <w:hideMark/>
          </w:tcPr>
          <w:p w14:paraId="166225BB" w14:textId="77777777" w:rsidR="0093083D" w:rsidRPr="004D1D53" w:rsidRDefault="0093083D" w:rsidP="00F2323C">
            <w:pPr>
              <w:pStyle w:val="CLDTableTextListText"/>
              <w:rPr>
                <w:sz w:val="22"/>
              </w:rPr>
            </w:pPr>
            <w:r w:rsidRPr="004D1D53">
              <w:rPr>
                <w:sz w:val="22"/>
              </w:rPr>
              <w:t>78 (29.5)</w:t>
            </w:r>
          </w:p>
        </w:tc>
        <w:tc>
          <w:tcPr>
            <w:tcW w:w="2540" w:type="dxa"/>
            <w:tcMar>
              <w:top w:w="0" w:type="dxa"/>
              <w:left w:w="108" w:type="dxa"/>
              <w:bottom w:w="0" w:type="dxa"/>
              <w:right w:w="108" w:type="dxa"/>
            </w:tcMar>
            <w:hideMark/>
          </w:tcPr>
          <w:p w14:paraId="4E4E2384" w14:textId="77777777" w:rsidR="0093083D" w:rsidRPr="004D1D53" w:rsidRDefault="0093083D" w:rsidP="00F2323C">
            <w:pPr>
              <w:pStyle w:val="CLDTableTextListText"/>
              <w:rPr>
                <w:sz w:val="22"/>
              </w:rPr>
            </w:pPr>
            <w:r w:rsidRPr="004D1D53">
              <w:rPr>
                <w:sz w:val="22"/>
              </w:rPr>
              <w:t>63 (35.6)</w:t>
            </w:r>
          </w:p>
        </w:tc>
      </w:tr>
    </w:tbl>
    <w:p w14:paraId="168C5061" w14:textId="77777777" w:rsidR="0093083D" w:rsidRDefault="0093083D" w:rsidP="00F2323C">
      <w:pPr>
        <w:pStyle w:val="CLDTableFootnote"/>
      </w:pPr>
      <w:r w:rsidRPr="004D1D53">
        <w:t>Abbreviations: ATTRm=variant transthyretin amyloid, ATTRwt=wild-type transthyretin amyloid, NYHA=New York Heart Association.</w:t>
      </w:r>
    </w:p>
    <w:p w14:paraId="7907C778" w14:textId="29355454" w:rsidR="0093083D" w:rsidRPr="004D1D53" w:rsidRDefault="0093083D" w:rsidP="00FB531F">
      <w:pPr>
        <w:pStyle w:val="CLDNormal"/>
        <w:spacing w:before="240"/>
      </w:pPr>
      <w:r w:rsidRPr="004D1D53">
        <w:t xml:space="preserve">The primary analysis used </w:t>
      </w:r>
      <w:r w:rsidR="005B6D68">
        <w:t>the Finkelstein</w:t>
      </w:r>
      <w:r w:rsidR="005B6D68">
        <w:noBreakHyphen/>
      </w:r>
      <w:r w:rsidR="005B6D68" w:rsidRPr="004D1D53">
        <w:t xml:space="preserve">Schoenfeld (F-S) </w:t>
      </w:r>
      <w:r w:rsidR="005B6D68">
        <w:t xml:space="preserve">method </w:t>
      </w:r>
      <w:r w:rsidR="005B6D68" w:rsidRPr="004D1D53">
        <w:t>to</w:t>
      </w:r>
      <w:r w:rsidR="005B6D68">
        <w:t xml:space="preserve"> perform</w:t>
      </w:r>
      <w:r w:rsidR="005B6D68" w:rsidRPr="004D1D53">
        <w:t xml:space="preserve"> </w:t>
      </w:r>
      <w:r w:rsidRPr="004D1D53">
        <w:t xml:space="preserve">a hierarchical combination </w:t>
      </w:r>
      <w:r w:rsidR="005B6D68">
        <w:t>of</w:t>
      </w:r>
      <w:r w:rsidRPr="004D1D53">
        <w:t xml:space="preserve"> all-cause mortality and frequency of cardiovascular-related hospitalisations, which </w:t>
      </w:r>
      <w:proofErr w:type="gramStart"/>
      <w:r w:rsidRPr="004D1D53">
        <w:t>is defined</w:t>
      </w:r>
      <w:proofErr w:type="gramEnd"/>
      <w:r w:rsidRPr="004D1D53">
        <w:t xml:space="preserve"> as the number of times </w:t>
      </w:r>
      <w:r w:rsidR="000D7ECE">
        <w:t>a subject is hospitalised (i.e. </w:t>
      </w:r>
      <w:r w:rsidRPr="004D1D53">
        <w:t>admitted to a hospital) for cardiovascular-related morbidity</w:t>
      </w:r>
      <w:r w:rsidR="00BB4E33">
        <w:t xml:space="preserve">.  </w:t>
      </w:r>
      <w:r w:rsidRPr="004D1D53">
        <w:t xml:space="preserve">The </w:t>
      </w:r>
      <w:r w:rsidR="005B6D68">
        <w:t xml:space="preserve">F-S </w:t>
      </w:r>
      <w:r w:rsidRPr="004D1D53">
        <w:t xml:space="preserve">method compared each patient to every other patient within each stratum in a pair-wise </w:t>
      </w:r>
      <w:bookmarkStart w:id="17" w:name="_Hlk19019250"/>
      <w:r w:rsidRPr="004D1D53">
        <w:t xml:space="preserve">manner </w:t>
      </w:r>
      <w:r w:rsidR="00AF1B9C">
        <w:t xml:space="preserve">to determine which member of the pair had experienced a more favourable outcome (i.e. “won”), proceeding </w:t>
      </w:r>
      <w:bookmarkEnd w:id="17"/>
      <w:r w:rsidRPr="004D1D53">
        <w:t xml:space="preserve">in a hierarchical fashion using all-cause mortality followed by frequency of cardiovascular-related hospitalisations when patients </w:t>
      </w:r>
      <w:r w:rsidR="00AF1B9C">
        <w:t>could not</w:t>
      </w:r>
      <w:r w:rsidR="00AF1B9C" w:rsidRPr="004D1D53">
        <w:t xml:space="preserve"> </w:t>
      </w:r>
      <w:r w:rsidRPr="004D1D53">
        <w:t xml:space="preserve">be differentiated based on mortality. </w:t>
      </w:r>
    </w:p>
    <w:p w14:paraId="4D026E4A" w14:textId="3CC5C56C" w:rsidR="0093083D" w:rsidRPr="004D1D53" w:rsidRDefault="0093083D" w:rsidP="00F2323C">
      <w:pPr>
        <w:pStyle w:val="CLDNormal"/>
      </w:pPr>
      <w:r w:rsidRPr="004D1D53">
        <w:t xml:space="preserve">This analysis demonstrated a significant reduction (p=0.0006) in all-cause mortality and frequency of cardiovascular-related hospitalisations in the pooled tafamidis </w:t>
      </w:r>
      <w:r w:rsidR="004403C0">
        <w:t xml:space="preserve">meglumine </w:t>
      </w:r>
      <w:r w:rsidRPr="004D1D53">
        <w:t>20</w:t>
      </w:r>
      <w:r w:rsidR="00F65931">
        <w:t> </w:t>
      </w:r>
      <w:r w:rsidRPr="004D1D53">
        <w:t>mg and 80 mg dose group versus placebo (</w:t>
      </w:r>
      <w:r w:rsidR="007C3D43">
        <w:fldChar w:fldCharType="begin"/>
      </w:r>
      <w:r w:rsidR="007C3D43">
        <w:instrText xml:space="preserve"> REF _Ref532446912 \h </w:instrText>
      </w:r>
      <w:r w:rsidR="007C3D43">
        <w:fldChar w:fldCharType="separate"/>
      </w:r>
      <w:r w:rsidR="00E23711">
        <w:t xml:space="preserve">Table </w:t>
      </w:r>
      <w:r w:rsidR="00E23711">
        <w:rPr>
          <w:noProof/>
        </w:rPr>
        <w:t>4</w:t>
      </w:r>
      <w:r w:rsidR="007C3D43">
        <w:fldChar w:fldCharType="end"/>
      </w:r>
      <w:r w:rsidRPr="004D1D53">
        <w:t xml:space="preserve">). </w:t>
      </w:r>
    </w:p>
    <w:p w14:paraId="72BCE648" w14:textId="0A33A53E" w:rsidR="0093083D" w:rsidRPr="004D1D53" w:rsidRDefault="00F2323C" w:rsidP="00F2323C">
      <w:pPr>
        <w:pStyle w:val="CLDTableTitle"/>
        <w:rPr>
          <w:szCs w:val="22"/>
        </w:rPr>
      </w:pPr>
      <w:bookmarkStart w:id="18" w:name="_Ref532446912"/>
      <w:r>
        <w:t xml:space="preserve">Table </w:t>
      </w:r>
      <w:r w:rsidR="00476395">
        <w:fldChar w:fldCharType="begin"/>
      </w:r>
      <w:r w:rsidR="00476395">
        <w:instrText xml:space="preserve"> SEQ Table \* ARABIC </w:instrText>
      </w:r>
      <w:r w:rsidR="00476395">
        <w:fldChar w:fldCharType="separate"/>
      </w:r>
      <w:r w:rsidR="00E23711">
        <w:rPr>
          <w:noProof/>
        </w:rPr>
        <w:t>4</w:t>
      </w:r>
      <w:r w:rsidR="00476395">
        <w:fldChar w:fldCharType="end"/>
      </w:r>
      <w:bookmarkEnd w:id="18"/>
      <w:r w:rsidR="0093083D" w:rsidRPr="004D1D53">
        <w:t>: Primary analysis using Finkelstein-Schoenfeld (F-S) Method of all-cause mortality and frequency of cardiovascular-related hospitalisations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1881"/>
        <w:gridCol w:w="1883"/>
      </w:tblGrid>
      <w:tr w:rsidR="0093083D" w:rsidRPr="00F2323C" w14:paraId="4B71FBC6" w14:textId="77777777" w:rsidTr="005E5DE9">
        <w:trPr>
          <w:tblHeader/>
        </w:trPr>
        <w:tc>
          <w:tcPr>
            <w:tcW w:w="2913" w:type="pct"/>
            <w:shd w:val="clear" w:color="auto" w:fill="auto"/>
          </w:tcPr>
          <w:p w14:paraId="53DB3E35" w14:textId="77777777" w:rsidR="0093083D" w:rsidRPr="00F2323C" w:rsidRDefault="0093083D" w:rsidP="00F2323C">
            <w:pPr>
              <w:pStyle w:val="CLDTableTextListText"/>
              <w:rPr>
                <w:b/>
              </w:rPr>
            </w:pPr>
            <w:r w:rsidRPr="00F2323C">
              <w:rPr>
                <w:b/>
              </w:rPr>
              <w:t>Primary analysis</w:t>
            </w:r>
          </w:p>
        </w:tc>
        <w:tc>
          <w:tcPr>
            <w:tcW w:w="1043" w:type="pct"/>
            <w:shd w:val="clear" w:color="auto" w:fill="auto"/>
          </w:tcPr>
          <w:p w14:paraId="1CEE603B" w14:textId="37839692" w:rsidR="0093083D" w:rsidRPr="00F2323C" w:rsidRDefault="0093083D" w:rsidP="00F2323C">
            <w:pPr>
              <w:pStyle w:val="CLDTableTextListText"/>
              <w:rPr>
                <w:b/>
              </w:rPr>
            </w:pPr>
            <w:r w:rsidRPr="00F2323C">
              <w:rPr>
                <w:b/>
              </w:rPr>
              <w:t>Pooled Tafamidis</w:t>
            </w:r>
            <w:r w:rsidR="00FE397F">
              <w:rPr>
                <w:b/>
              </w:rPr>
              <w:t xml:space="preserve"> meglumine</w:t>
            </w:r>
          </w:p>
          <w:p w14:paraId="7FEE7D43" w14:textId="77777777" w:rsidR="0093083D" w:rsidRPr="00F2323C" w:rsidRDefault="0093083D" w:rsidP="00F2323C">
            <w:pPr>
              <w:pStyle w:val="CLDTableTextListText"/>
              <w:rPr>
                <w:b/>
              </w:rPr>
            </w:pPr>
            <w:r w:rsidRPr="00F2323C">
              <w:rPr>
                <w:b/>
              </w:rPr>
              <w:t>N=264</w:t>
            </w:r>
          </w:p>
        </w:tc>
        <w:tc>
          <w:tcPr>
            <w:tcW w:w="1044" w:type="pct"/>
            <w:shd w:val="clear" w:color="auto" w:fill="auto"/>
          </w:tcPr>
          <w:p w14:paraId="7B487EA1" w14:textId="77777777" w:rsidR="0093083D" w:rsidRPr="00F2323C" w:rsidRDefault="0093083D" w:rsidP="00F2323C">
            <w:pPr>
              <w:pStyle w:val="CLDTableTextListText"/>
              <w:rPr>
                <w:b/>
              </w:rPr>
            </w:pPr>
            <w:r w:rsidRPr="00F2323C">
              <w:rPr>
                <w:b/>
              </w:rPr>
              <w:t>Placebo</w:t>
            </w:r>
          </w:p>
          <w:p w14:paraId="272EDA1B" w14:textId="77777777" w:rsidR="0093083D" w:rsidRPr="00F2323C" w:rsidRDefault="0093083D" w:rsidP="00F2323C">
            <w:pPr>
              <w:pStyle w:val="CLDTableTextListText"/>
              <w:rPr>
                <w:b/>
              </w:rPr>
            </w:pPr>
            <w:r w:rsidRPr="00F2323C">
              <w:rPr>
                <w:b/>
              </w:rPr>
              <w:t>N=177</w:t>
            </w:r>
          </w:p>
        </w:tc>
      </w:tr>
      <w:tr w:rsidR="0093083D" w:rsidRPr="004D1D53" w14:paraId="560751E6" w14:textId="77777777" w:rsidTr="00AD109B">
        <w:tc>
          <w:tcPr>
            <w:tcW w:w="2913" w:type="pct"/>
            <w:shd w:val="clear" w:color="auto" w:fill="auto"/>
          </w:tcPr>
          <w:p w14:paraId="6ED4BD15" w14:textId="77777777" w:rsidR="0093083D" w:rsidRPr="004D1D53" w:rsidRDefault="0093083D" w:rsidP="00F2323C">
            <w:pPr>
              <w:pStyle w:val="CLDTableTextListText"/>
            </w:pPr>
            <w:r w:rsidRPr="004D1D53">
              <w:t xml:space="preserve">Number (%) of subjects alive* at month 30 </w:t>
            </w:r>
          </w:p>
        </w:tc>
        <w:tc>
          <w:tcPr>
            <w:tcW w:w="1043" w:type="pct"/>
            <w:shd w:val="clear" w:color="auto" w:fill="auto"/>
          </w:tcPr>
          <w:p w14:paraId="7266CCE1" w14:textId="77777777" w:rsidR="0093083D" w:rsidRPr="004D1D53" w:rsidRDefault="0093083D" w:rsidP="00F2323C">
            <w:pPr>
              <w:pStyle w:val="CLDTableTextListText"/>
            </w:pPr>
            <w:r w:rsidRPr="004D1D53">
              <w:rPr>
                <w:bCs/>
                <w:kern w:val="24"/>
              </w:rPr>
              <w:t>186 (70.5)</w:t>
            </w:r>
          </w:p>
        </w:tc>
        <w:tc>
          <w:tcPr>
            <w:tcW w:w="1044" w:type="pct"/>
            <w:shd w:val="clear" w:color="auto" w:fill="auto"/>
          </w:tcPr>
          <w:p w14:paraId="6CCED67C" w14:textId="77777777" w:rsidR="0093083D" w:rsidRPr="004D1D53" w:rsidRDefault="0093083D" w:rsidP="00F2323C">
            <w:pPr>
              <w:pStyle w:val="CLDTableTextListText"/>
            </w:pPr>
            <w:r w:rsidRPr="004D1D53">
              <w:rPr>
                <w:bCs/>
                <w:kern w:val="24"/>
              </w:rPr>
              <w:t>101 (57.1)</w:t>
            </w:r>
          </w:p>
        </w:tc>
      </w:tr>
      <w:tr w:rsidR="0093083D" w:rsidRPr="004D1D53" w14:paraId="62CB3182" w14:textId="77777777" w:rsidTr="00AD109B">
        <w:tc>
          <w:tcPr>
            <w:tcW w:w="2913" w:type="pct"/>
            <w:shd w:val="clear" w:color="auto" w:fill="auto"/>
          </w:tcPr>
          <w:p w14:paraId="71DDD252" w14:textId="77777777" w:rsidR="0093083D" w:rsidRPr="004D1D53" w:rsidRDefault="0093083D" w:rsidP="00F2323C">
            <w:pPr>
              <w:pStyle w:val="CLDTableTextListText"/>
            </w:pPr>
            <w:r w:rsidRPr="004D1D53">
              <w:t>Average cardiovascular-related hospitalisations during 30 months (per patient per year) among those alive at month 30</w:t>
            </w:r>
            <w:r w:rsidRPr="004D1D53">
              <w:rPr>
                <w:vertAlign w:val="superscript"/>
              </w:rPr>
              <w:t>†</w:t>
            </w:r>
          </w:p>
        </w:tc>
        <w:tc>
          <w:tcPr>
            <w:tcW w:w="1043" w:type="pct"/>
            <w:shd w:val="clear" w:color="auto" w:fill="auto"/>
          </w:tcPr>
          <w:p w14:paraId="65DA97F6" w14:textId="77777777" w:rsidR="0093083D" w:rsidRPr="004D1D53" w:rsidRDefault="0093083D" w:rsidP="00F2323C">
            <w:pPr>
              <w:pStyle w:val="CLDTableTextListText"/>
            </w:pPr>
            <w:r w:rsidRPr="004D1D53">
              <w:rPr>
                <w:bCs/>
                <w:kern w:val="24"/>
              </w:rPr>
              <w:t>0.297</w:t>
            </w:r>
          </w:p>
        </w:tc>
        <w:tc>
          <w:tcPr>
            <w:tcW w:w="1044" w:type="pct"/>
            <w:shd w:val="clear" w:color="auto" w:fill="auto"/>
          </w:tcPr>
          <w:p w14:paraId="0E04A218" w14:textId="77777777" w:rsidR="0093083D" w:rsidRPr="004D1D53" w:rsidRDefault="0093083D" w:rsidP="00F2323C">
            <w:pPr>
              <w:pStyle w:val="CLDTableTextListText"/>
            </w:pPr>
            <w:r w:rsidRPr="004D1D53">
              <w:rPr>
                <w:bCs/>
                <w:kern w:val="24"/>
              </w:rPr>
              <w:t>0.455</w:t>
            </w:r>
          </w:p>
        </w:tc>
      </w:tr>
      <w:tr w:rsidR="0093083D" w:rsidRPr="004D1D53" w14:paraId="3F355932" w14:textId="77777777" w:rsidTr="00875D32">
        <w:tc>
          <w:tcPr>
            <w:tcW w:w="2913" w:type="pct"/>
            <w:shd w:val="clear" w:color="auto" w:fill="auto"/>
          </w:tcPr>
          <w:p w14:paraId="28372A4F" w14:textId="77777777" w:rsidR="0093083D" w:rsidRPr="004D1D53" w:rsidRDefault="0093083D" w:rsidP="00F2323C">
            <w:pPr>
              <w:pStyle w:val="CLDTableTextListText"/>
            </w:pPr>
            <w:r w:rsidRPr="004D1D53">
              <w:t>p-value from F-S Method</w:t>
            </w:r>
          </w:p>
        </w:tc>
        <w:tc>
          <w:tcPr>
            <w:tcW w:w="2087" w:type="pct"/>
            <w:gridSpan w:val="2"/>
            <w:shd w:val="clear" w:color="auto" w:fill="auto"/>
          </w:tcPr>
          <w:p w14:paraId="675EE99F" w14:textId="77777777" w:rsidR="0093083D" w:rsidRPr="004D1D53" w:rsidRDefault="0093083D" w:rsidP="00F2323C">
            <w:pPr>
              <w:pStyle w:val="CLDTableTextListText"/>
            </w:pPr>
            <w:r w:rsidRPr="004D1D53">
              <w:t>0.0006</w:t>
            </w:r>
          </w:p>
        </w:tc>
      </w:tr>
    </w:tbl>
    <w:p w14:paraId="3A7126A7" w14:textId="505E783B" w:rsidR="00AD109B" w:rsidRPr="001530F3" w:rsidRDefault="00AD109B" w:rsidP="00F2323C">
      <w:pPr>
        <w:pStyle w:val="CLDTableFootnote"/>
      </w:pPr>
      <w:r w:rsidRPr="001530F3">
        <w:t>* Heart transplantation and cardiac mechanical assist device implantation are considered indicators of approaching end stage</w:t>
      </w:r>
      <w:r w:rsidR="00BB4E33">
        <w:t xml:space="preserve">.  </w:t>
      </w:r>
      <w:r w:rsidRPr="001530F3">
        <w:t>As such, these subjects are treated in the analysis as equivalent to death</w:t>
      </w:r>
      <w:r w:rsidR="00BB4E33">
        <w:t xml:space="preserve">.  </w:t>
      </w:r>
      <w:r w:rsidRPr="001530F3">
        <w:t>Therefore, such subjects are not included in the count of “Number of Subjects Alive at Month 30” even if such subjects are alive based on 30 month vital status follow</w:t>
      </w:r>
      <w:r>
        <w:noBreakHyphen/>
      </w:r>
      <w:r w:rsidRPr="001530F3">
        <w:t xml:space="preserve">up assessment. </w:t>
      </w:r>
    </w:p>
    <w:p w14:paraId="21E497E1" w14:textId="77777777" w:rsidR="00AD109B" w:rsidRPr="001530F3" w:rsidRDefault="00AD109B" w:rsidP="00F2323C">
      <w:pPr>
        <w:pStyle w:val="CLDTableFootnote"/>
      </w:pPr>
      <w:r w:rsidRPr="008109BD">
        <w:t>†</w:t>
      </w:r>
      <w:r w:rsidRPr="001530F3">
        <w:t xml:space="preserve"> Descriptive mean among those who survived the 30 months.</w:t>
      </w:r>
    </w:p>
    <w:p w14:paraId="06A59CC5" w14:textId="54CECBF7" w:rsidR="0093083D" w:rsidRPr="004D1D53" w:rsidRDefault="0093083D" w:rsidP="00FB531F">
      <w:pPr>
        <w:pStyle w:val="CLDNormal"/>
        <w:spacing w:before="240"/>
      </w:pPr>
      <w:r w:rsidRPr="004D1D53">
        <w:t>Analysis of the individual components of the primary analysis (all-cause mortality and cardiovascular</w:t>
      </w:r>
      <w:r w:rsidRPr="004D1D53">
        <w:noBreakHyphen/>
        <w:t xml:space="preserve">related hospitalisation) also demonstrated significant reductions for </w:t>
      </w:r>
      <w:proofErr w:type="spellStart"/>
      <w:r w:rsidRPr="004D1D53">
        <w:t>tafamidis</w:t>
      </w:r>
      <w:proofErr w:type="spellEnd"/>
      <w:r w:rsidRPr="004D1D53">
        <w:t xml:space="preserve"> </w:t>
      </w:r>
      <w:proofErr w:type="spellStart"/>
      <w:r w:rsidR="00FE397F">
        <w:t>meglumine</w:t>
      </w:r>
      <w:proofErr w:type="spellEnd"/>
      <w:r w:rsidR="00FE397F">
        <w:t xml:space="preserve"> </w:t>
      </w:r>
      <w:r w:rsidR="00FB531F">
        <w:t>versus placebo.</w:t>
      </w:r>
    </w:p>
    <w:p w14:paraId="1F959715" w14:textId="7CCCAF4C" w:rsidR="0093083D" w:rsidRPr="004D1D53" w:rsidRDefault="0093083D" w:rsidP="00F2323C">
      <w:pPr>
        <w:pStyle w:val="CLDNormal"/>
      </w:pPr>
      <w:r w:rsidRPr="004D1D53">
        <w:t xml:space="preserve">The hazard ratio from the all-cause mortality Cox-proportional hazard model for pooled tafamidis </w:t>
      </w:r>
      <w:r w:rsidR="00FE397F">
        <w:t xml:space="preserve">meglumine </w:t>
      </w:r>
      <w:r w:rsidRPr="004D1D53">
        <w:t xml:space="preserve">was 0.698 (95% CI 0.508, 0.958), indicating a 30.2% reduction in the </w:t>
      </w:r>
      <w:r w:rsidRPr="004D1D53">
        <w:lastRenderedPageBreak/>
        <w:t>risk of death relative to the placebo group (p=0.0259)</w:t>
      </w:r>
      <w:r w:rsidR="00BB4E33">
        <w:t xml:space="preserve">.  </w:t>
      </w:r>
      <w:bookmarkStart w:id="19" w:name="_Hlk29412442"/>
      <w:r w:rsidR="004403C0">
        <w:t xml:space="preserve">Approximately 80% of total deaths were cardiovascular-related in both treatment groups.  </w:t>
      </w:r>
      <w:bookmarkEnd w:id="19"/>
      <w:r w:rsidRPr="004D1D53">
        <w:t>A Kaplan-Meier plot of time to event all</w:t>
      </w:r>
      <w:r w:rsidR="004403C0">
        <w:noBreakHyphen/>
      </w:r>
      <w:r w:rsidRPr="004D1D53">
        <w:t xml:space="preserve">cause mortality </w:t>
      </w:r>
      <w:proofErr w:type="gramStart"/>
      <w:r w:rsidRPr="004D1D53">
        <w:t>is presented</w:t>
      </w:r>
      <w:proofErr w:type="gramEnd"/>
      <w:r w:rsidRPr="004D1D53">
        <w:t xml:space="preserve"> in </w:t>
      </w:r>
      <w:r w:rsidR="007C3D43">
        <w:fldChar w:fldCharType="begin"/>
      </w:r>
      <w:r w:rsidR="007C3D43">
        <w:instrText xml:space="preserve"> REF _Ref532447077 \h </w:instrText>
      </w:r>
      <w:r w:rsidR="007C3D43">
        <w:fldChar w:fldCharType="separate"/>
      </w:r>
      <w:r w:rsidR="00E23711">
        <w:t xml:space="preserve">Figure </w:t>
      </w:r>
      <w:r w:rsidR="00E23711">
        <w:rPr>
          <w:noProof/>
        </w:rPr>
        <w:t>1</w:t>
      </w:r>
      <w:r w:rsidR="007C3D43">
        <w:fldChar w:fldCharType="end"/>
      </w:r>
      <w:r w:rsidRPr="004D1D53">
        <w:t>.</w:t>
      </w:r>
    </w:p>
    <w:p w14:paraId="4CF423DC" w14:textId="249F982E" w:rsidR="0093083D" w:rsidRPr="004D1D53" w:rsidRDefault="00F2323C" w:rsidP="00F2323C">
      <w:pPr>
        <w:pStyle w:val="CLDTableTitle"/>
        <w:rPr>
          <w:b w:val="0"/>
          <w:szCs w:val="22"/>
        </w:rPr>
      </w:pPr>
      <w:bookmarkStart w:id="20" w:name="_Ref532447077"/>
      <w:bookmarkStart w:id="21" w:name="_Ref532447057"/>
      <w:r>
        <w:t xml:space="preserve">Figure </w:t>
      </w:r>
      <w:r>
        <w:fldChar w:fldCharType="begin"/>
      </w:r>
      <w:r>
        <w:instrText xml:space="preserve"> SEQ Figure \* ARABIC </w:instrText>
      </w:r>
      <w:r>
        <w:fldChar w:fldCharType="separate"/>
      </w:r>
      <w:r w:rsidR="00E23711">
        <w:rPr>
          <w:noProof/>
        </w:rPr>
        <w:t>1</w:t>
      </w:r>
      <w:r>
        <w:fldChar w:fldCharType="end"/>
      </w:r>
      <w:bookmarkEnd w:id="20"/>
      <w:r w:rsidR="0093083D" w:rsidRPr="004D1D53">
        <w:rPr>
          <w:szCs w:val="22"/>
        </w:rPr>
        <w:t>:</w:t>
      </w:r>
      <w:r>
        <w:rPr>
          <w:szCs w:val="22"/>
        </w:rPr>
        <w:t xml:space="preserve"> </w:t>
      </w:r>
      <w:r w:rsidR="0093083D" w:rsidRPr="004D1D53">
        <w:rPr>
          <w:szCs w:val="22"/>
        </w:rPr>
        <w:t xml:space="preserve"> All-cause mortality</w:t>
      </w:r>
      <w:r w:rsidR="0093083D" w:rsidRPr="004D1D53">
        <w:rPr>
          <w:szCs w:val="22"/>
          <w:vertAlign w:val="superscript"/>
        </w:rPr>
        <w:t>*</w:t>
      </w:r>
      <w:bookmarkEnd w:id="21"/>
    </w:p>
    <w:p w14:paraId="4D109F77" w14:textId="517E8FD4" w:rsidR="0093083D" w:rsidRPr="004D1D53" w:rsidRDefault="008304DF" w:rsidP="0093083D">
      <w:pPr>
        <w:rPr>
          <w:b/>
          <w:szCs w:val="22"/>
        </w:rPr>
      </w:pPr>
      <w:r>
        <w:rPr>
          <w:noProof/>
          <w:lang w:val="en-AU" w:eastAsia="en-AU"/>
        </w:rPr>
        <w:drawing>
          <wp:inline distT="0" distB="0" distL="0" distR="0" wp14:anchorId="700C4C73" wp14:editId="22DDD0DD">
            <wp:extent cx="5731510" cy="4281805"/>
            <wp:effectExtent l="0" t="0" r="2540" b="4445"/>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4281805"/>
                    </a:xfrm>
                    <a:prstGeom prst="rect">
                      <a:avLst/>
                    </a:prstGeom>
                    <a:noFill/>
                    <a:ln>
                      <a:noFill/>
                    </a:ln>
                  </pic:spPr>
                </pic:pic>
              </a:graphicData>
            </a:graphic>
          </wp:inline>
        </w:drawing>
      </w:r>
    </w:p>
    <w:p w14:paraId="11C26B54" w14:textId="5C36A2DA" w:rsidR="0093083D" w:rsidRPr="004D1D53" w:rsidRDefault="0093083D" w:rsidP="00F2323C">
      <w:pPr>
        <w:pStyle w:val="CLDTableFootnote"/>
      </w:pPr>
      <w:r w:rsidRPr="004D1D53">
        <w:t>* Heart transplants and cardiac mechanical assist devices treated as death</w:t>
      </w:r>
      <w:r w:rsidR="00BB4E33">
        <w:t xml:space="preserve">.  </w:t>
      </w:r>
      <w:r w:rsidRPr="004D1D53">
        <w:t xml:space="preserve">Hazard ratio from </w:t>
      </w:r>
      <w:r w:rsidRPr="004D1D53">
        <w:rPr>
          <w:rFonts w:eastAsia="TimesNewRoman"/>
        </w:rPr>
        <w:t>Cox</w:t>
      </w:r>
      <w:r w:rsidRPr="004D1D53">
        <w:rPr>
          <w:rFonts w:eastAsia="TimesNewRoman"/>
        </w:rPr>
        <w:noBreakHyphen/>
        <w:t>proportional hazards model with treatment, TTR genotype (variant and wild</w:t>
      </w:r>
      <w:r>
        <w:rPr>
          <w:rFonts w:eastAsia="TimesNewRoman"/>
        </w:rPr>
        <w:noBreakHyphen/>
      </w:r>
      <w:r w:rsidRPr="004D1D53">
        <w:rPr>
          <w:rFonts w:eastAsia="TimesNewRoman"/>
        </w:rPr>
        <w:t xml:space="preserve">type), and </w:t>
      </w:r>
      <w:r>
        <w:rPr>
          <w:rFonts w:eastAsia="TimesNewRoman"/>
        </w:rPr>
        <w:t>New York Heart Association (</w:t>
      </w:r>
      <w:r w:rsidRPr="004D1D53">
        <w:rPr>
          <w:rFonts w:eastAsia="TimesNewRoman"/>
        </w:rPr>
        <w:t>NYHA</w:t>
      </w:r>
      <w:r>
        <w:rPr>
          <w:rFonts w:eastAsia="TimesNewRoman"/>
        </w:rPr>
        <w:t>)</w:t>
      </w:r>
      <w:r w:rsidRPr="004D1D53">
        <w:rPr>
          <w:rFonts w:eastAsia="TimesNewRoman"/>
        </w:rPr>
        <w:t xml:space="preserve"> Baseline classification (NYHA Classes I and II combined and NYHA Class III) as factors.</w:t>
      </w:r>
    </w:p>
    <w:p w14:paraId="06642CDA" w14:textId="73412E7F" w:rsidR="0093083D" w:rsidRPr="004D1D53" w:rsidRDefault="0093083D" w:rsidP="00FB531F">
      <w:pPr>
        <w:pStyle w:val="CLDNormal"/>
        <w:spacing w:before="240"/>
      </w:pPr>
      <w:r w:rsidRPr="004D1D53">
        <w:t xml:space="preserve">There were significantly fewer cardiovascular-related hospitalisations with tafamidis </w:t>
      </w:r>
      <w:r w:rsidR="00FE397F">
        <w:t xml:space="preserve">meglumine </w:t>
      </w:r>
      <w:r w:rsidRPr="004D1D53">
        <w:t>compared with placebo with a reduction in risk of 32.4% (</w:t>
      </w:r>
      <w:r w:rsidR="007C3D43">
        <w:fldChar w:fldCharType="begin"/>
      </w:r>
      <w:r w:rsidR="007C3D43">
        <w:instrText xml:space="preserve"> REF _Ref532446932 \h </w:instrText>
      </w:r>
      <w:r w:rsidR="007C3D43">
        <w:fldChar w:fldCharType="separate"/>
      </w:r>
      <w:r w:rsidR="00E23711">
        <w:t xml:space="preserve">Table </w:t>
      </w:r>
      <w:r w:rsidR="00E23711">
        <w:rPr>
          <w:noProof/>
        </w:rPr>
        <w:t>5</w:t>
      </w:r>
      <w:r w:rsidR="007C3D43">
        <w:fldChar w:fldCharType="end"/>
      </w:r>
      <w:r w:rsidRPr="004D1D53">
        <w:t>).</w:t>
      </w:r>
    </w:p>
    <w:p w14:paraId="406D4217" w14:textId="26A1C456" w:rsidR="0093083D" w:rsidRPr="004D1D53" w:rsidRDefault="00F2323C" w:rsidP="00F2323C">
      <w:pPr>
        <w:pStyle w:val="CLDTableTitle"/>
        <w:rPr>
          <w:szCs w:val="22"/>
        </w:rPr>
      </w:pPr>
      <w:bookmarkStart w:id="22" w:name="_Ref532446932"/>
      <w:r>
        <w:t xml:space="preserve">Table </w:t>
      </w:r>
      <w:r w:rsidR="00476395">
        <w:fldChar w:fldCharType="begin"/>
      </w:r>
      <w:r w:rsidR="00476395">
        <w:instrText xml:space="preserve"> SEQ Table \* ARABIC </w:instrText>
      </w:r>
      <w:r w:rsidR="00476395">
        <w:fldChar w:fldCharType="separate"/>
      </w:r>
      <w:r w:rsidR="00E23711">
        <w:rPr>
          <w:noProof/>
        </w:rPr>
        <w:t>5</w:t>
      </w:r>
      <w:r w:rsidR="00476395">
        <w:fldChar w:fldCharType="end"/>
      </w:r>
      <w:bookmarkEnd w:id="22"/>
      <w:r w:rsidR="0093083D" w:rsidRPr="004D1D53">
        <w:t>:</w:t>
      </w:r>
      <w:r>
        <w:t xml:space="preserve"> </w:t>
      </w:r>
      <w:r w:rsidR="0093083D" w:rsidRPr="004D1D53">
        <w:t xml:space="preserve"> Cardiovascular-related hospitalisation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2099"/>
        <w:gridCol w:w="2101"/>
      </w:tblGrid>
      <w:tr w:rsidR="0093083D" w:rsidRPr="004D1D53" w14:paraId="216F958D" w14:textId="77777777" w:rsidTr="00BE0738">
        <w:trPr>
          <w:tblHeader/>
        </w:trPr>
        <w:tc>
          <w:tcPr>
            <w:tcW w:w="2671" w:type="pct"/>
            <w:shd w:val="clear" w:color="auto" w:fill="auto"/>
          </w:tcPr>
          <w:p w14:paraId="3A8D3E1B" w14:textId="77777777" w:rsidR="0093083D" w:rsidRPr="004D1D53" w:rsidRDefault="0093083D" w:rsidP="00F2323C">
            <w:pPr>
              <w:pStyle w:val="CLDTableTextListText"/>
            </w:pPr>
          </w:p>
        </w:tc>
        <w:tc>
          <w:tcPr>
            <w:tcW w:w="1164" w:type="pct"/>
            <w:shd w:val="clear" w:color="auto" w:fill="auto"/>
          </w:tcPr>
          <w:p w14:paraId="579462CE" w14:textId="4C9F342A" w:rsidR="0093083D" w:rsidRPr="004D1D53" w:rsidRDefault="0093083D" w:rsidP="00F2323C">
            <w:pPr>
              <w:pStyle w:val="CLDTableTextListText"/>
              <w:rPr>
                <w:b/>
              </w:rPr>
            </w:pPr>
            <w:r w:rsidRPr="004D1D53">
              <w:rPr>
                <w:b/>
                <w:bCs/>
              </w:rPr>
              <w:t>Pooled Tafamidis</w:t>
            </w:r>
            <w:r w:rsidR="00FE397F">
              <w:rPr>
                <w:b/>
                <w:bCs/>
              </w:rPr>
              <w:t xml:space="preserve"> meglumine</w:t>
            </w:r>
          </w:p>
          <w:p w14:paraId="729F603C" w14:textId="77777777" w:rsidR="0093083D" w:rsidRPr="004D1D53" w:rsidRDefault="0093083D" w:rsidP="00F2323C">
            <w:pPr>
              <w:pStyle w:val="CLDTableTextListText"/>
              <w:rPr>
                <w:b/>
              </w:rPr>
            </w:pPr>
            <w:r w:rsidRPr="004D1D53">
              <w:rPr>
                <w:b/>
                <w:bCs/>
              </w:rPr>
              <w:t>N=264</w:t>
            </w:r>
          </w:p>
        </w:tc>
        <w:tc>
          <w:tcPr>
            <w:tcW w:w="1165" w:type="pct"/>
            <w:shd w:val="clear" w:color="auto" w:fill="auto"/>
          </w:tcPr>
          <w:p w14:paraId="673BD11C" w14:textId="77777777" w:rsidR="0093083D" w:rsidRPr="004D1D53" w:rsidRDefault="0093083D" w:rsidP="00F2323C">
            <w:pPr>
              <w:pStyle w:val="CLDTableTextListText"/>
              <w:rPr>
                <w:b/>
              </w:rPr>
            </w:pPr>
            <w:r w:rsidRPr="004D1D53">
              <w:rPr>
                <w:b/>
                <w:bCs/>
              </w:rPr>
              <w:t>Placebo</w:t>
            </w:r>
          </w:p>
          <w:p w14:paraId="7CD20DFD" w14:textId="77777777" w:rsidR="0093083D" w:rsidRPr="004D1D53" w:rsidRDefault="0093083D" w:rsidP="00F2323C">
            <w:pPr>
              <w:pStyle w:val="CLDTableTextListText"/>
              <w:rPr>
                <w:b/>
              </w:rPr>
            </w:pPr>
            <w:r w:rsidRPr="004D1D53">
              <w:rPr>
                <w:b/>
                <w:bCs/>
              </w:rPr>
              <w:t>N=177</w:t>
            </w:r>
          </w:p>
        </w:tc>
      </w:tr>
      <w:tr w:rsidR="0093083D" w:rsidRPr="004D1D53" w14:paraId="5180DE96" w14:textId="77777777" w:rsidTr="00875D32">
        <w:tc>
          <w:tcPr>
            <w:tcW w:w="2671" w:type="pct"/>
            <w:shd w:val="clear" w:color="auto" w:fill="auto"/>
          </w:tcPr>
          <w:p w14:paraId="50C9189D" w14:textId="77777777" w:rsidR="0093083D" w:rsidRPr="004D1D53" w:rsidRDefault="0093083D" w:rsidP="00F2323C">
            <w:pPr>
              <w:pStyle w:val="CLDTableTextListText"/>
            </w:pPr>
            <w:r w:rsidRPr="004D1D53">
              <w:rPr>
                <w:bCs/>
              </w:rPr>
              <w:t>Total (%) number of subjects with cardiovascular</w:t>
            </w:r>
            <w:r w:rsidRPr="004D1D53">
              <w:rPr>
                <w:bCs/>
              </w:rPr>
              <w:noBreakHyphen/>
              <w:t>related hospitalisations</w:t>
            </w:r>
          </w:p>
        </w:tc>
        <w:tc>
          <w:tcPr>
            <w:tcW w:w="1164" w:type="pct"/>
            <w:shd w:val="clear" w:color="auto" w:fill="auto"/>
          </w:tcPr>
          <w:p w14:paraId="4DC2296F" w14:textId="77777777" w:rsidR="0093083D" w:rsidRPr="004D1D53" w:rsidRDefault="0093083D" w:rsidP="00F2323C">
            <w:pPr>
              <w:pStyle w:val="CLDTableTextListText"/>
            </w:pPr>
            <w:r w:rsidRPr="004D1D53">
              <w:rPr>
                <w:bCs/>
                <w:kern w:val="24"/>
              </w:rPr>
              <w:t>138 (52.3)</w:t>
            </w:r>
          </w:p>
        </w:tc>
        <w:tc>
          <w:tcPr>
            <w:tcW w:w="1165" w:type="pct"/>
            <w:shd w:val="clear" w:color="auto" w:fill="auto"/>
          </w:tcPr>
          <w:p w14:paraId="2CBC5E78" w14:textId="77777777" w:rsidR="0093083D" w:rsidRPr="004D1D53" w:rsidRDefault="0093083D" w:rsidP="00F2323C">
            <w:pPr>
              <w:pStyle w:val="CLDTableTextListText"/>
            </w:pPr>
            <w:r w:rsidRPr="004D1D53">
              <w:rPr>
                <w:bCs/>
                <w:kern w:val="24"/>
              </w:rPr>
              <w:t>107 (60.5)</w:t>
            </w:r>
          </w:p>
        </w:tc>
      </w:tr>
      <w:tr w:rsidR="0093083D" w:rsidRPr="004D1D53" w14:paraId="25475855" w14:textId="77777777" w:rsidTr="00875D32">
        <w:tc>
          <w:tcPr>
            <w:tcW w:w="2671" w:type="pct"/>
            <w:shd w:val="clear" w:color="auto" w:fill="auto"/>
          </w:tcPr>
          <w:p w14:paraId="57E7F4C9" w14:textId="77777777" w:rsidR="0093083D" w:rsidRPr="004D1D53" w:rsidRDefault="0093083D" w:rsidP="00F2323C">
            <w:pPr>
              <w:pStyle w:val="CLDTableTextListText"/>
            </w:pPr>
            <w:r w:rsidRPr="004D1D53">
              <w:rPr>
                <w:bCs/>
              </w:rPr>
              <w:t>Cardiovascular-related hospitalisations per year*</w:t>
            </w:r>
          </w:p>
        </w:tc>
        <w:tc>
          <w:tcPr>
            <w:tcW w:w="1164" w:type="pct"/>
            <w:shd w:val="clear" w:color="auto" w:fill="auto"/>
          </w:tcPr>
          <w:p w14:paraId="78A6AA1E" w14:textId="77777777" w:rsidR="0093083D" w:rsidRPr="004D1D53" w:rsidRDefault="0093083D" w:rsidP="00F2323C">
            <w:pPr>
              <w:pStyle w:val="CLDTableTextListText"/>
            </w:pPr>
            <w:r w:rsidRPr="004D1D53">
              <w:rPr>
                <w:bCs/>
                <w:kern w:val="24"/>
              </w:rPr>
              <w:t>0.4750</w:t>
            </w:r>
          </w:p>
        </w:tc>
        <w:tc>
          <w:tcPr>
            <w:tcW w:w="1165" w:type="pct"/>
            <w:shd w:val="clear" w:color="auto" w:fill="auto"/>
          </w:tcPr>
          <w:p w14:paraId="2CD93EB4" w14:textId="77777777" w:rsidR="0093083D" w:rsidRPr="004D1D53" w:rsidRDefault="0093083D" w:rsidP="00F2323C">
            <w:pPr>
              <w:pStyle w:val="CLDTableTextListText"/>
            </w:pPr>
            <w:r w:rsidRPr="004D1D53">
              <w:rPr>
                <w:bCs/>
                <w:kern w:val="24"/>
              </w:rPr>
              <w:t>0.7025</w:t>
            </w:r>
          </w:p>
        </w:tc>
      </w:tr>
      <w:tr w:rsidR="0093083D" w:rsidRPr="004D1D53" w14:paraId="41D0CC70" w14:textId="77777777" w:rsidTr="00875D32">
        <w:tc>
          <w:tcPr>
            <w:tcW w:w="2671" w:type="pct"/>
            <w:shd w:val="clear" w:color="auto" w:fill="auto"/>
          </w:tcPr>
          <w:p w14:paraId="3D147FA8" w14:textId="6FF977C0" w:rsidR="0093083D" w:rsidRPr="004D1D53" w:rsidRDefault="0093083D" w:rsidP="00F2323C">
            <w:pPr>
              <w:pStyle w:val="CLDTableTextListText"/>
            </w:pPr>
            <w:r w:rsidRPr="004D1D53">
              <w:rPr>
                <w:bCs/>
              </w:rPr>
              <w:t xml:space="preserve">Pooled tafamidis </w:t>
            </w:r>
            <w:r w:rsidR="00FE397F">
              <w:rPr>
                <w:bCs/>
              </w:rPr>
              <w:t xml:space="preserve">meglumine </w:t>
            </w:r>
            <w:r w:rsidRPr="004D1D53">
              <w:rPr>
                <w:bCs/>
              </w:rPr>
              <w:t>v</w:t>
            </w:r>
            <w:r>
              <w:rPr>
                <w:bCs/>
              </w:rPr>
              <w:t>ersu</w:t>
            </w:r>
            <w:r w:rsidRPr="004D1D53">
              <w:rPr>
                <w:bCs/>
              </w:rPr>
              <w:t>s placebo treatment difference (relative risk ratio)*</w:t>
            </w:r>
          </w:p>
        </w:tc>
        <w:tc>
          <w:tcPr>
            <w:tcW w:w="2329" w:type="pct"/>
            <w:gridSpan w:val="2"/>
            <w:shd w:val="clear" w:color="auto" w:fill="auto"/>
          </w:tcPr>
          <w:p w14:paraId="76554F51" w14:textId="23B46DD8" w:rsidR="0093083D" w:rsidRPr="004D1D53" w:rsidRDefault="0093083D" w:rsidP="00812DF9">
            <w:pPr>
              <w:pStyle w:val="CLDTableTextListText"/>
              <w:jc w:val="center"/>
            </w:pPr>
            <w:r w:rsidRPr="004D1D53">
              <w:t>0.6761</w:t>
            </w:r>
          </w:p>
        </w:tc>
      </w:tr>
      <w:tr w:rsidR="0093083D" w:rsidRPr="004D1D53" w14:paraId="675E030F" w14:textId="77777777" w:rsidTr="00875D32">
        <w:tc>
          <w:tcPr>
            <w:tcW w:w="2671" w:type="pct"/>
            <w:shd w:val="clear" w:color="auto" w:fill="auto"/>
          </w:tcPr>
          <w:p w14:paraId="023FC1D4" w14:textId="77777777" w:rsidR="0093083D" w:rsidRPr="004D1D53" w:rsidRDefault="0093083D" w:rsidP="00F2323C">
            <w:pPr>
              <w:pStyle w:val="CLDTableTextListText"/>
            </w:pPr>
            <w:r w:rsidRPr="004D1D53">
              <w:rPr>
                <w:bCs/>
              </w:rPr>
              <w:lastRenderedPageBreak/>
              <w:t>p-value*</w:t>
            </w:r>
          </w:p>
        </w:tc>
        <w:tc>
          <w:tcPr>
            <w:tcW w:w="2329" w:type="pct"/>
            <w:gridSpan w:val="2"/>
            <w:shd w:val="clear" w:color="auto" w:fill="auto"/>
          </w:tcPr>
          <w:p w14:paraId="62FB8D06" w14:textId="21AA7ED2" w:rsidR="0093083D" w:rsidRPr="004D1D53" w:rsidRDefault="0093083D" w:rsidP="00812DF9">
            <w:pPr>
              <w:pStyle w:val="CLDTableTextListText"/>
              <w:jc w:val="center"/>
            </w:pPr>
            <w:r w:rsidRPr="004D1D53">
              <w:t>&lt;0.0001</w:t>
            </w:r>
          </w:p>
        </w:tc>
      </w:tr>
    </w:tbl>
    <w:p w14:paraId="7F7EA871" w14:textId="77777777" w:rsidR="0093083D" w:rsidRPr="004D1D53" w:rsidRDefault="0093083D" w:rsidP="00F2323C">
      <w:pPr>
        <w:pStyle w:val="CLDTableFootnote"/>
      </w:pPr>
      <w:r w:rsidRPr="004D1D53">
        <w:t>* This analysis was based on a Poisson regression model with treatment, TTR genotype (variant and wild</w:t>
      </w:r>
      <w:r>
        <w:noBreakHyphen/>
      </w:r>
      <w:r w:rsidRPr="004D1D53">
        <w:t xml:space="preserve">type), </w:t>
      </w:r>
      <w:r w:rsidRPr="00EC290C">
        <w:t xml:space="preserve">New York Heart Association </w:t>
      </w:r>
      <w:r>
        <w:t>(</w:t>
      </w:r>
      <w:r w:rsidRPr="004D1D53">
        <w:t>NYHA</w:t>
      </w:r>
      <w:r>
        <w:t>)</w:t>
      </w:r>
      <w:r w:rsidRPr="004D1D53">
        <w:t xml:space="preserve"> Baseline classification (NYHA Classes I and II combined and NYHA Class III), treatment-by-TTR genotype interaction, and treatment-by-NYHA Baseline classification interaction terms as factors. </w:t>
      </w:r>
    </w:p>
    <w:p w14:paraId="5B12888C" w14:textId="4046314E" w:rsidR="0093083D" w:rsidRDefault="0093083D" w:rsidP="00FB531F">
      <w:pPr>
        <w:pStyle w:val="CLDNormal"/>
        <w:spacing w:before="240"/>
      </w:pPr>
      <w:r w:rsidRPr="004D1D53">
        <w:t xml:space="preserve">The </w:t>
      </w:r>
      <w:proofErr w:type="gramStart"/>
      <w:r w:rsidRPr="004D1D53">
        <w:t xml:space="preserve">treatment effect of tafamidis </w:t>
      </w:r>
      <w:r w:rsidR="00FE397F">
        <w:t xml:space="preserve">meglumine </w:t>
      </w:r>
      <w:r w:rsidRPr="004D1D53">
        <w:t>on functional capacity and health status was assessed by the 6</w:t>
      </w:r>
      <w:r w:rsidRPr="004D1D53">
        <w:noBreakHyphen/>
        <w:t>Minute Walk Test (6MWT) and the Kansas City Cardiomyopathy Questionnaire-Overall Summary (KCCQ-OS) score, respectively</w:t>
      </w:r>
      <w:proofErr w:type="gramEnd"/>
      <w:r w:rsidR="00BB4E33">
        <w:t xml:space="preserve">.  </w:t>
      </w:r>
      <w:r w:rsidRPr="004D1D53">
        <w:t xml:space="preserve">A significant treatment effect favouring tafamidis </w:t>
      </w:r>
      <w:r w:rsidR="00FE397F">
        <w:t xml:space="preserve">meglumine </w:t>
      </w:r>
      <w:proofErr w:type="gramStart"/>
      <w:r w:rsidRPr="004D1D53">
        <w:t>was first observed at Month 6 and remained consistent through Month 30 on both 6MWT distance</w:t>
      </w:r>
      <w:proofErr w:type="gramEnd"/>
      <w:r w:rsidRPr="004D1D53">
        <w:t xml:space="preserve"> and KCCQ-OS score (</w:t>
      </w:r>
      <w:r w:rsidR="007C3D43">
        <w:fldChar w:fldCharType="begin"/>
      </w:r>
      <w:r w:rsidR="007C3D43">
        <w:instrText xml:space="preserve"> REF _Ref532447101 \h </w:instrText>
      </w:r>
      <w:r w:rsidR="007C3D43">
        <w:fldChar w:fldCharType="separate"/>
      </w:r>
      <w:r w:rsidR="00E23711">
        <w:t xml:space="preserve">Figure </w:t>
      </w:r>
      <w:r w:rsidR="00E23711">
        <w:rPr>
          <w:noProof/>
        </w:rPr>
        <w:t>2</w:t>
      </w:r>
      <w:r w:rsidR="007C3D43">
        <w:fldChar w:fldCharType="end"/>
      </w:r>
      <w:r w:rsidRPr="004D1D53">
        <w:t xml:space="preserve"> and </w:t>
      </w:r>
      <w:r w:rsidR="007C3D43">
        <w:fldChar w:fldCharType="begin"/>
      </w:r>
      <w:r w:rsidR="007C3D43">
        <w:instrText xml:space="preserve"> REF _Ref532446980 \h </w:instrText>
      </w:r>
      <w:r w:rsidR="007C3D43">
        <w:fldChar w:fldCharType="separate"/>
      </w:r>
      <w:r w:rsidR="00E23711">
        <w:t xml:space="preserve">Table </w:t>
      </w:r>
      <w:r w:rsidR="00E23711">
        <w:rPr>
          <w:noProof/>
        </w:rPr>
        <w:t>6</w:t>
      </w:r>
      <w:r w:rsidR="007C3D43">
        <w:fldChar w:fldCharType="end"/>
      </w:r>
      <w:r w:rsidRPr="004D1D53">
        <w:t xml:space="preserve">). </w:t>
      </w:r>
    </w:p>
    <w:p w14:paraId="63F20D9C" w14:textId="26185B16" w:rsidR="00AD109B" w:rsidRDefault="00F2323C" w:rsidP="00F2323C">
      <w:pPr>
        <w:pStyle w:val="CLDTableTitle"/>
      </w:pPr>
      <w:bookmarkStart w:id="23" w:name="_Ref532447101"/>
      <w:r>
        <w:t xml:space="preserve">Figure </w:t>
      </w:r>
      <w:r>
        <w:fldChar w:fldCharType="begin"/>
      </w:r>
      <w:r>
        <w:instrText xml:space="preserve"> SEQ Figure \* ARABIC </w:instrText>
      </w:r>
      <w:r>
        <w:fldChar w:fldCharType="separate"/>
      </w:r>
      <w:r w:rsidR="00E23711">
        <w:rPr>
          <w:noProof/>
        </w:rPr>
        <w:t>2</w:t>
      </w:r>
      <w:r>
        <w:fldChar w:fldCharType="end"/>
      </w:r>
      <w:bookmarkEnd w:id="23"/>
      <w:r w:rsidR="00AD109B" w:rsidRPr="001530F3">
        <w:t>:</w:t>
      </w:r>
      <w:r>
        <w:t xml:space="preserve"> </w:t>
      </w:r>
      <w:r w:rsidR="00AD109B" w:rsidRPr="008F13E2">
        <w:t xml:space="preserve"> </w:t>
      </w:r>
      <w:r w:rsidR="00AD109B" w:rsidRPr="001530F3">
        <w:t>Change from Baseline to Month 30 in 6MWT distance and KCCQ</w:t>
      </w:r>
      <w:r w:rsidR="00AD109B">
        <w:noBreakHyphen/>
      </w:r>
      <w:r>
        <w:t>OS score</w:t>
      </w:r>
    </w:p>
    <w:p w14:paraId="618C3CFE" w14:textId="26536F05" w:rsidR="007A1C29" w:rsidRPr="004D1D53" w:rsidRDefault="008304DF" w:rsidP="00F2323C">
      <w:pPr>
        <w:pStyle w:val="CLDTableTitle"/>
        <w:rPr>
          <w:szCs w:val="22"/>
        </w:rPr>
      </w:pPr>
      <w:r>
        <w:rPr>
          <w:noProof/>
          <w:lang w:val="en-AU" w:eastAsia="en-AU"/>
        </w:rPr>
        <w:drawing>
          <wp:inline distT="0" distB="0" distL="0" distR="0" wp14:anchorId="06A43DB6" wp14:editId="65E02C55">
            <wp:extent cx="5731510" cy="2662555"/>
            <wp:effectExtent l="0" t="0" r="2540" b="4445"/>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662555"/>
                    </a:xfrm>
                    <a:prstGeom prst="rect">
                      <a:avLst/>
                    </a:prstGeom>
                    <a:noFill/>
                    <a:ln>
                      <a:noFill/>
                    </a:ln>
                  </pic:spPr>
                </pic:pic>
              </a:graphicData>
            </a:graphic>
          </wp:inline>
        </w:drawing>
      </w:r>
    </w:p>
    <w:p w14:paraId="678A95BA" w14:textId="77777777" w:rsidR="0093083D" w:rsidRDefault="0093083D" w:rsidP="00F2323C">
      <w:pPr>
        <w:pStyle w:val="CLDTableFootnote"/>
        <w:rPr>
          <w:lang w:eastAsia="en-GB"/>
        </w:rPr>
      </w:pPr>
      <w:r w:rsidRPr="004D1D53">
        <w:rPr>
          <w:lang w:eastAsia="en-GB"/>
        </w:rPr>
        <w:t>Abbreviations: 6MWT=6</w:t>
      </w:r>
      <w:r w:rsidRPr="004D1D53">
        <w:rPr>
          <w:lang w:eastAsia="en-GB"/>
        </w:rPr>
        <w:noBreakHyphen/>
        <w:t>Minute Walk Test, KCCQ-OS=Kansas City Cardiomyopathy Questionnaire-Overall Summary.</w:t>
      </w:r>
    </w:p>
    <w:p w14:paraId="4A9EF65B" w14:textId="03E06CB9" w:rsidR="0093083D" w:rsidRPr="004D1D53" w:rsidRDefault="0093083D" w:rsidP="00F2323C">
      <w:pPr>
        <w:pStyle w:val="CLDTableFootnote"/>
        <w:rPr>
          <w:lang w:eastAsia="en-GB"/>
        </w:rPr>
      </w:pPr>
      <w:r w:rsidRPr="004D1D53">
        <w:rPr>
          <w:lang w:eastAsia="en-GB"/>
        </w:rPr>
        <w:t xml:space="preserve">Panel A shows change from Baseline to Month 30 in pooled tafamidis </w:t>
      </w:r>
      <w:r w:rsidR="00FE397F">
        <w:rPr>
          <w:lang w:eastAsia="en-GB"/>
        </w:rPr>
        <w:t xml:space="preserve">meglumine </w:t>
      </w:r>
      <w:r w:rsidRPr="004D1D53">
        <w:rPr>
          <w:lang w:eastAsia="en-GB"/>
        </w:rPr>
        <w:t>compared with placebo</w:t>
      </w:r>
      <w:r w:rsidRPr="004D1D53">
        <w:rPr>
          <w:lang w:eastAsia="en-GB"/>
        </w:rPr>
        <w:noBreakHyphen/>
        <w:t>treated patients in 6MWT distance.</w:t>
      </w:r>
    </w:p>
    <w:p w14:paraId="4F5DEF94" w14:textId="7AC7FFF5" w:rsidR="0093083D" w:rsidRPr="004D1D53" w:rsidRDefault="0093083D" w:rsidP="00F2323C">
      <w:pPr>
        <w:pStyle w:val="CLDTableFootnote"/>
        <w:rPr>
          <w:lang w:eastAsia="en-GB"/>
        </w:rPr>
      </w:pPr>
      <w:r w:rsidRPr="004D1D53">
        <w:rPr>
          <w:lang w:eastAsia="en-GB"/>
        </w:rPr>
        <w:t xml:space="preserve">Panel </w:t>
      </w:r>
      <w:r w:rsidRPr="004D1D53">
        <w:t xml:space="preserve">B shows change from Baseline to Month 30 in pooled tafamidis </w:t>
      </w:r>
      <w:r w:rsidR="00FE397F">
        <w:t xml:space="preserve">meglumine </w:t>
      </w:r>
      <w:r w:rsidRPr="004D1D53">
        <w:t>compared with placebo</w:t>
      </w:r>
      <w:r w:rsidRPr="004D1D53">
        <w:noBreakHyphen/>
        <w:t>treated patients in KCCQ-OS score.</w:t>
      </w:r>
    </w:p>
    <w:p w14:paraId="24A56349" w14:textId="1046CE4A" w:rsidR="0093083D" w:rsidRPr="004D1D53" w:rsidRDefault="0093083D" w:rsidP="00FB531F">
      <w:pPr>
        <w:pStyle w:val="CLDNormal"/>
        <w:spacing w:before="240"/>
      </w:pPr>
      <w:r w:rsidRPr="004D1D53">
        <w:t>The KCCQ-OS score is composed of four domains including Total Symptom (Symptom Frequency and Symptom Burden), Physical Limitation, Quality of Life, and Social Limitation</w:t>
      </w:r>
      <w:r w:rsidR="00BB4E33">
        <w:t xml:space="preserve">.  </w:t>
      </w:r>
      <w:r w:rsidRPr="004D1D53">
        <w:t xml:space="preserve">All four domains favoured tafamidis </w:t>
      </w:r>
      <w:r w:rsidR="00FE397F">
        <w:t xml:space="preserve">meglumine </w:t>
      </w:r>
      <w:r w:rsidRPr="004D1D53">
        <w:t>compared to placebo at Month 30 (</w:t>
      </w:r>
      <w:r w:rsidR="007C3D43">
        <w:fldChar w:fldCharType="begin"/>
      </w:r>
      <w:r w:rsidR="007C3D43">
        <w:instrText xml:space="preserve"> REF _Ref532447101 \h </w:instrText>
      </w:r>
      <w:r w:rsidR="007C3D43">
        <w:fldChar w:fldCharType="separate"/>
      </w:r>
      <w:r w:rsidR="00E23711">
        <w:t xml:space="preserve">Figure </w:t>
      </w:r>
      <w:r w:rsidR="00E23711">
        <w:rPr>
          <w:noProof/>
        </w:rPr>
        <w:t>2</w:t>
      </w:r>
      <w:r w:rsidR="007C3D43">
        <w:fldChar w:fldCharType="end"/>
      </w:r>
      <w:r w:rsidRPr="004D1D53">
        <w:t xml:space="preserve"> and </w:t>
      </w:r>
      <w:r w:rsidR="007C3D43">
        <w:fldChar w:fldCharType="begin"/>
      </w:r>
      <w:r w:rsidR="007C3D43">
        <w:instrText xml:space="preserve"> REF _Ref532446980 \h </w:instrText>
      </w:r>
      <w:r w:rsidR="007C3D43">
        <w:fldChar w:fldCharType="separate"/>
      </w:r>
      <w:r w:rsidR="00E23711">
        <w:t xml:space="preserve">Table </w:t>
      </w:r>
      <w:r w:rsidR="00E23711">
        <w:rPr>
          <w:noProof/>
        </w:rPr>
        <w:t>6</w:t>
      </w:r>
      <w:r w:rsidR="007C3D43">
        <w:fldChar w:fldCharType="end"/>
      </w:r>
      <w:r w:rsidRPr="004D1D53">
        <w:t>)</w:t>
      </w:r>
      <w:r w:rsidR="00BB4E33">
        <w:t xml:space="preserve">.  </w:t>
      </w:r>
      <w:r w:rsidRPr="004D1D53">
        <w:t>KCCQ-OS and domain scores range from 0</w:t>
      </w:r>
      <w:r w:rsidRPr="004D1D53">
        <w:noBreakHyphen/>
        <w:t>100 with higher scores representing better health status</w:t>
      </w:r>
      <w:r w:rsidR="00BB4E33">
        <w:t xml:space="preserve">.  </w:t>
      </w:r>
      <w:r w:rsidRPr="004D1D53">
        <w:t>The cumulative distribution and distribution for change from Baseline to Month 30 for KCCQ-OS (</w:t>
      </w:r>
      <w:r w:rsidR="007C3D43">
        <w:fldChar w:fldCharType="begin"/>
      </w:r>
      <w:r w:rsidR="007C3D43">
        <w:instrText xml:space="preserve"> REF _Ref532447182 \h </w:instrText>
      </w:r>
      <w:r w:rsidR="007C3D43">
        <w:fldChar w:fldCharType="separate"/>
      </w:r>
      <w:r w:rsidR="00E23711">
        <w:t xml:space="preserve">Figure </w:t>
      </w:r>
      <w:r w:rsidR="00E23711">
        <w:rPr>
          <w:noProof/>
        </w:rPr>
        <w:t>3</w:t>
      </w:r>
      <w:r w:rsidR="007C3D43">
        <w:fldChar w:fldCharType="end"/>
      </w:r>
      <w:r w:rsidRPr="004D1D53">
        <w:t xml:space="preserve">) show that the proportion of patients with declining KCCQ-OS scores was lower for the pooled tafamidis </w:t>
      </w:r>
      <w:r w:rsidR="00FE397F">
        <w:t xml:space="preserve">meglumine </w:t>
      </w:r>
      <w:r w:rsidRPr="004D1D53">
        <w:t>treated group compared to placebo (</w:t>
      </w:r>
      <w:r w:rsidR="007C3D43">
        <w:fldChar w:fldCharType="begin"/>
      </w:r>
      <w:r w:rsidR="007C3D43">
        <w:instrText xml:space="preserve"> REF _Ref532447182 \h </w:instrText>
      </w:r>
      <w:r w:rsidR="007C3D43">
        <w:fldChar w:fldCharType="separate"/>
      </w:r>
      <w:r w:rsidR="00E23711">
        <w:t xml:space="preserve">Figure </w:t>
      </w:r>
      <w:r w:rsidR="00E23711">
        <w:rPr>
          <w:noProof/>
        </w:rPr>
        <w:t>3</w:t>
      </w:r>
      <w:r w:rsidR="007C3D43">
        <w:fldChar w:fldCharType="end"/>
      </w:r>
      <w:r w:rsidR="00FB531F">
        <w:t>).</w:t>
      </w:r>
    </w:p>
    <w:p w14:paraId="0094A631" w14:textId="3FB98089" w:rsidR="0093083D" w:rsidRPr="004D1D53" w:rsidRDefault="00F2323C" w:rsidP="00F2323C">
      <w:pPr>
        <w:pStyle w:val="CLDTableTitle"/>
        <w:rPr>
          <w:szCs w:val="22"/>
        </w:rPr>
      </w:pPr>
      <w:bookmarkStart w:id="24" w:name="_Ref532447182"/>
      <w:r>
        <w:lastRenderedPageBreak/>
        <w:t xml:space="preserve">Figure </w:t>
      </w:r>
      <w:r>
        <w:fldChar w:fldCharType="begin"/>
      </w:r>
      <w:r>
        <w:instrText xml:space="preserve"> SEQ Figure \* ARABIC </w:instrText>
      </w:r>
      <w:r>
        <w:fldChar w:fldCharType="separate"/>
      </w:r>
      <w:r w:rsidR="00E23711">
        <w:rPr>
          <w:noProof/>
        </w:rPr>
        <w:t>3</w:t>
      </w:r>
      <w:r>
        <w:fldChar w:fldCharType="end"/>
      </w:r>
      <w:bookmarkEnd w:id="24"/>
      <w:r w:rsidR="0093083D" w:rsidRPr="004D1D53">
        <w:t>:</w:t>
      </w:r>
      <w:r>
        <w:t xml:space="preserve"> </w:t>
      </w:r>
      <w:r w:rsidR="0093083D" w:rsidRPr="004D1D53">
        <w:t xml:space="preserve"> Histogram of change from Baseline to Month 30 in KCCQ-OS</w:t>
      </w:r>
    </w:p>
    <w:p w14:paraId="61B85335" w14:textId="30A44E8C" w:rsidR="0093083D" w:rsidRPr="004D1D53" w:rsidRDefault="007448EE" w:rsidP="0093083D">
      <w:r w:rsidRPr="007448EE">
        <w:t xml:space="preserve"> </w:t>
      </w:r>
      <w:r>
        <w:rPr>
          <w:noProof/>
          <w:lang w:val="en-AU" w:eastAsia="en-AU"/>
        </w:rPr>
        <w:drawing>
          <wp:inline distT="0" distB="0" distL="0" distR="0" wp14:anchorId="404407E7" wp14:editId="71C80D3F">
            <wp:extent cx="5732145" cy="4452620"/>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2145" cy="4452620"/>
                    </a:xfrm>
                    <a:prstGeom prst="rect">
                      <a:avLst/>
                    </a:prstGeom>
                    <a:noFill/>
                    <a:ln>
                      <a:noFill/>
                    </a:ln>
                  </pic:spPr>
                </pic:pic>
              </a:graphicData>
            </a:graphic>
          </wp:inline>
        </w:drawing>
      </w:r>
    </w:p>
    <w:p w14:paraId="775CF4F0" w14:textId="77777777" w:rsidR="0093083D" w:rsidRDefault="0093083D" w:rsidP="00F2323C">
      <w:pPr>
        <w:pStyle w:val="CLDTableFootnote"/>
      </w:pPr>
      <w:r w:rsidRPr="004D1D53">
        <w:t>Abbreviation: KCCQ-OS=Kansas City Cardiomyopathy Questionnaire-Overall Summary.</w:t>
      </w:r>
    </w:p>
    <w:p w14:paraId="249DDDDA" w14:textId="0598CF70" w:rsidR="0093083D" w:rsidRPr="004D1D53" w:rsidRDefault="00F2323C" w:rsidP="00FB531F">
      <w:pPr>
        <w:pStyle w:val="CLDTableTitle"/>
        <w:spacing w:before="240"/>
        <w:rPr>
          <w:szCs w:val="22"/>
        </w:rPr>
      </w:pPr>
      <w:bookmarkStart w:id="25" w:name="_Ref532446980"/>
      <w:r>
        <w:t xml:space="preserve">Table </w:t>
      </w:r>
      <w:r w:rsidR="00476395">
        <w:fldChar w:fldCharType="begin"/>
      </w:r>
      <w:r w:rsidR="00476395">
        <w:instrText xml:space="preserve"> SEQ Table \* ARABIC </w:instrText>
      </w:r>
      <w:r w:rsidR="00476395">
        <w:fldChar w:fldCharType="separate"/>
      </w:r>
      <w:r w:rsidR="00E23711">
        <w:rPr>
          <w:noProof/>
        </w:rPr>
        <w:t>6</w:t>
      </w:r>
      <w:r w:rsidR="00476395">
        <w:fldChar w:fldCharType="end"/>
      </w:r>
      <w:bookmarkEnd w:id="25"/>
      <w:r w:rsidR="0093083D" w:rsidRPr="004D1D53">
        <w:t>:</w:t>
      </w:r>
      <w:r>
        <w:t xml:space="preserve"> </w:t>
      </w:r>
      <w:r w:rsidR="0093083D" w:rsidRPr="004D1D53">
        <w:t xml:space="preserve"> 6MWT and KCCQ-OS and component domain scores</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319"/>
        <w:gridCol w:w="1125"/>
        <w:gridCol w:w="1364"/>
        <w:gridCol w:w="1167"/>
        <w:gridCol w:w="1493"/>
        <w:gridCol w:w="1352"/>
      </w:tblGrid>
      <w:tr w:rsidR="0093083D" w:rsidRPr="004D1D53" w14:paraId="12C29258" w14:textId="77777777" w:rsidTr="000F3EAF">
        <w:trPr>
          <w:tblHeader/>
        </w:trPr>
        <w:tc>
          <w:tcPr>
            <w:tcW w:w="1450" w:type="dxa"/>
            <w:vMerge w:val="restart"/>
            <w:shd w:val="clear" w:color="auto" w:fill="auto"/>
          </w:tcPr>
          <w:p w14:paraId="5754C6EA" w14:textId="77777777" w:rsidR="0093083D" w:rsidRPr="00F2323C" w:rsidRDefault="0093083D" w:rsidP="00F2323C">
            <w:pPr>
              <w:pStyle w:val="CLDTableTextListText"/>
              <w:rPr>
                <w:b/>
              </w:rPr>
            </w:pPr>
            <w:r w:rsidRPr="00F2323C">
              <w:rPr>
                <w:b/>
              </w:rPr>
              <w:t>Endpoints</w:t>
            </w:r>
          </w:p>
        </w:tc>
        <w:tc>
          <w:tcPr>
            <w:tcW w:w="2504" w:type="dxa"/>
            <w:gridSpan w:val="2"/>
            <w:shd w:val="clear" w:color="auto" w:fill="auto"/>
          </w:tcPr>
          <w:p w14:paraId="6A5FED3A" w14:textId="77777777" w:rsidR="0093083D" w:rsidRPr="00F2323C" w:rsidRDefault="0093083D" w:rsidP="00F2323C">
            <w:pPr>
              <w:pStyle w:val="CLDTableTextListText"/>
              <w:rPr>
                <w:b/>
              </w:rPr>
            </w:pPr>
            <w:r w:rsidRPr="00F2323C">
              <w:rPr>
                <w:b/>
              </w:rPr>
              <w:t>Baseline Mean (SD)</w:t>
            </w:r>
          </w:p>
        </w:tc>
        <w:tc>
          <w:tcPr>
            <w:tcW w:w="2594" w:type="dxa"/>
            <w:gridSpan w:val="2"/>
            <w:shd w:val="clear" w:color="auto" w:fill="auto"/>
          </w:tcPr>
          <w:p w14:paraId="7D1CAB53" w14:textId="77777777" w:rsidR="0093083D" w:rsidRPr="00F2323C" w:rsidRDefault="0093083D" w:rsidP="00F2323C">
            <w:pPr>
              <w:pStyle w:val="CLDTableTextListText"/>
              <w:rPr>
                <w:b/>
              </w:rPr>
            </w:pPr>
            <w:r w:rsidRPr="00F2323C">
              <w:rPr>
                <w:b/>
              </w:rPr>
              <w:t>Change from Baseline to Month 30, LS mean (SE)</w:t>
            </w:r>
          </w:p>
        </w:tc>
        <w:tc>
          <w:tcPr>
            <w:tcW w:w="1531" w:type="dxa"/>
            <w:vMerge w:val="restart"/>
            <w:shd w:val="clear" w:color="auto" w:fill="auto"/>
          </w:tcPr>
          <w:p w14:paraId="4FE58683" w14:textId="77777777" w:rsidR="0093083D" w:rsidRPr="00F2323C" w:rsidRDefault="0093083D" w:rsidP="00F2323C">
            <w:pPr>
              <w:pStyle w:val="CLDTableTextListText"/>
              <w:rPr>
                <w:b/>
              </w:rPr>
            </w:pPr>
            <w:r w:rsidRPr="00F2323C">
              <w:rPr>
                <w:b/>
              </w:rPr>
              <w:t xml:space="preserve">Treatment difference from placebo </w:t>
            </w:r>
          </w:p>
          <w:p w14:paraId="33663711" w14:textId="77777777" w:rsidR="0093083D" w:rsidRPr="00F2323C" w:rsidRDefault="0093083D" w:rsidP="00F2323C">
            <w:pPr>
              <w:pStyle w:val="CLDTableTextListText"/>
              <w:rPr>
                <w:b/>
              </w:rPr>
            </w:pPr>
            <w:r w:rsidRPr="00F2323C">
              <w:rPr>
                <w:b/>
              </w:rPr>
              <w:t>LS mean (95% CI)</w:t>
            </w:r>
          </w:p>
        </w:tc>
        <w:tc>
          <w:tcPr>
            <w:tcW w:w="1386" w:type="dxa"/>
            <w:vMerge w:val="restart"/>
            <w:shd w:val="clear" w:color="auto" w:fill="auto"/>
          </w:tcPr>
          <w:p w14:paraId="735B5B18" w14:textId="77777777" w:rsidR="0093083D" w:rsidRPr="00F2323C" w:rsidRDefault="0093083D" w:rsidP="00F2323C">
            <w:pPr>
              <w:pStyle w:val="CLDTableTextListText"/>
              <w:rPr>
                <w:b/>
                <w:i/>
              </w:rPr>
            </w:pPr>
            <w:r w:rsidRPr="00F2323C">
              <w:rPr>
                <w:b/>
                <w:i/>
              </w:rPr>
              <w:t>p-value</w:t>
            </w:r>
          </w:p>
        </w:tc>
      </w:tr>
      <w:tr w:rsidR="0093083D" w:rsidRPr="004D1D53" w14:paraId="189BFC3E" w14:textId="77777777" w:rsidTr="000F3EAF">
        <w:trPr>
          <w:tblHeader/>
        </w:trPr>
        <w:tc>
          <w:tcPr>
            <w:tcW w:w="1450" w:type="dxa"/>
            <w:vMerge/>
            <w:shd w:val="clear" w:color="auto" w:fill="auto"/>
          </w:tcPr>
          <w:p w14:paraId="4D74FFBA" w14:textId="77777777" w:rsidR="0093083D" w:rsidRPr="004D1D53" w:rsidRDefault="0093083D" w:rsidP="00F2323C">
            <w:pPr>
              <w:pStyle w:val="CLDTableTextListText"/>
            </w:pPr>
          </w:p>
        </w:tc>
        <w:tc>
          <w:tcPr>
            <w:tcW w:w="1352" w:type="dxa"/>
            <w:shd w:val="clear" w:color="auto" w:fill="auto"/>
          </w:tcPr>
          <w:p w14:paraId="1C836088" w14:textId="29270723" w:rsidR="0093083D" w:rsidRPr="00F2323C" w:rsidRDefault="0093083D" w:rsidP="00F2323C">
            <w:pPr>
              <w:pStyle w:val="CLDTableTextListText"/>
              <w:rPr>
                <w:b/>
              </w:rPr>
            </w:pPr>
            <w:r w:rsidRPr="00F2323C">
              <w:rPr>
                <w:b/>
              </w:rPr>
              <w:t>Pooled tafamidis</w:t>
            </w:r>
            <w:r w:rsidR="003C38B1">
              <w:rPr>
                <w:b/>
              </w:rPr>
              <w:t xml:space="preserve"> meglumine</w:t>
            </w:r>
          </w:p>
          <w:p w14:paraId="771B12B3" w14:textId="77777777" w:rsidR="0093083D" w:rsidRPr="00F2323C" w:rsidRDefault="0093083D" w:rsidP="00F2323C">
            <w:pPr>
              <w:pStyle w:val="CLDTableTextListText"/>
              <w:rPr>
                <w:b/>
              </w:rPr>
            </w:pPr>
            <w:r w:rsidRPr="00F2323C">
              <w:rPr>
                <w:b/>
              </w:rPr>
              <w:t>N=264</w:t>
            </w:r>
          </w:p>
        </w:tc>
        <w:tc>
          <w:tcPr>
            <w:tcW w:w="1152" w:type="dxa"/>
            <w:shd w:val="clear" w:color="auto" w:fill="auto"/>
          </w:tcPr>
          <w:p w14:paraId="64A9604D" w14:textId="77777777" w:rsidR="0093083D" w:rsidRPr="00F2323C" w:rsidRDefault="0093083D" w:rsidP="00F2323C">
            <w:pPr>
              <w:pStyle w:val="CLDTableTextListText"/>
              <w:rPr>
                <w:b/>
              </w:rPr>
            </w:pPr>
            <w:r w:rsidRPr="00F2323C">
              <w:rPr>
                <w:b/>
              </w:rPr>
              <w:t>Placebo</w:t>
            </w:r>
          </w:p>
          <w:p w14:paraId="50E04CCD" w14:textId="77777777" w:rsidR="0093083D" w:rsidRPr="00F2323C" w:rsidRDefault="0093083D" w:rsidP="00F2323C">
            <w:pPr>
              <w:pStyle w:val="CLDTableTextListText"/>
              <w:rPr>
                <w:b/>
              </w:rPr>
            </w:pPr>
            <w:r w:rsidRPr="00F2323C">
              <w:rPr>
                <w:b/>
              </w:rPr>
              <w:t>N=177</w:t>
            </w:r>
          </w:p>
        </w:tc>
        <w:tc>
          <w:tcPr>
            <w:tcW w:w="1399" w:type="dxa"/>
            <w:shd w:val="clear" w:color="auto" w:fill="auto"/>
          </w:tcPr>
          <w:p w14:paraId="412BFE11" w14:textId="62051497" w:rsidR="0093083D" w:rsidRPr="00F2323C" w:rsidRDefault="0093083D" w:rsidP="00F2323C">
            <w:pPr>
              <w:pStyle w:val="CLDTableTextListText"/>
              <w:rPr>
                <w:b/>
              </w:rPr>
            </w:pPr>
            <w:r w:rsidRPr="00F2323C">
              <w:rPr>
                <w:b/>
              </w:rPr>
              <w:t xml:space="preserve">Pooled </w:t>
            </w:r>
            <w:r w:rsidR="00AD194D">
              <w:rPr>
                <w:b/>
              </w:rPr>
              <w:t>t</w:t>
            </w:r>
            <w:r w:rsidRPr="00F2323C">
              <w:rPr>
                <w:b/>
              </w:rPr>
              <w:t xml:space="preserve">afamidis </w:t>
            </w:r>
            <w:r w:rsidR="003C38B1">
              <w:rPr>
                <w:b/>
              </w:rPr>
              <w:t>meglumine</w:t>
            </w:r>
          </w:p>
        </w:tc>
        <w:tc>
          <w:tcPr>
            <w:tcW w:w="1195" w:type="dxa"/>
            <w:shd w:val="clear" w:color="auto" w:fill="auto"/>
          </w:tcPr>
          <w:p w14:paraId="60194FCA" w14:textId="5410D940" w:rsidR="0093083D" w:rsidRPr="00F2323C" w:rsidRDefault="0093083D" w:rsidP="00F2323C">
            <w:pPr>
              <w:pStyle w:val="CLDTableTextListText"/>
              <w:rPr>
                <w:b/>
              </w:rPr>
            </w:pPr>
            <w:r w:rsidRPr="00F2323C">
              <w:rPr>
                <w:b/>
              </w:rPr>
              <w:t>Placebo</w:t>
            </w:r>
          </w:p>
        </w:tc>
        <w:tc>
          <w:tcPr>
            <w:tcW w:w="1531" w:type="dxa"/>
            <w:vMerge/>
            <w:shd w:val="clear" w:color="auto" w:fill="auto"/>
          </w:tcPr>
          <w:p w14:paraId="4616D957" w14:textId="77777777" w:rsidR="0093083D" w:rsidRPr="004D1D53" w:rsidRDefault="0093083D" w:rsidP="00F2323C">
            <w:pPr>
              <w:pStyle w:val="CLDTableTextListText"/>
            </w:pPr>
          </w:p>
        </w:tc>
        <w:tc>
          <w:tcPr>
            <w:tcW w:w="1386" w:type="dxa"/>
            <w:vMerge/>
            <w:shd w:val="clear" w:color="auto" w:fill="auto"/>
          </w:tcPr>
          <w:p w14:paraId="759CBA17" w14:textId="77777777" w:rsidR="0093083D" w:rsidRPr="004D1D53" w:rsidRDefault="0093083D" w:rsidP="00F2323C">
            <w:pPr>
              <w:pStyle w:val="CLDTableTextListText"/>
            </w:pPr>
          </w:p>
        </w:tc>
      </w:tr>
      <w:tr w:rsidR="0093083D" w:rsidRPr="004D1D53" w14:paraId="4A15DC5F" w14:textId="77777777" w:rsidTr="000F3EAF">
        <w:tc>
          <w:tcPr>
            <w:tcW w:w="1450" w:type="dxa"/>
            <w:shd w:val="clear" w:color="auto" w:fill="auto"/>
          </w:tcPr>
          <w:p w14:paraId="3328A1FA" w14:textId="77777777" w:rsidR="0093083D" w:rsidRPr="004D1D53" w:rsidRDefault="0093083D" w:rsidP="00F2323C">
            <w:pPr>
              <w:pStyle w:val="CLDTableTextListText"/>
            </w:pPr>
            <w:r w:rsidRPr="004D1D53">
              <w:t>6MWT (metres)</w:t>
            </w:r>
          </w:p>
        </w:tc>
        <w:tc>
          <w:tcPr>
            <w:tcW w:w="1352" w:type="dxa"/>
            <w:shd w:val="clear" w:color="auto" w:fill="auto"/>
          </w:tcPr>
          <w:p w14:paraId="38DACA4A" w14:textId="77777777" w:rsidR="0093083D" w:rsidRPr="004D1D53" w:rsidRDefault="0093083D" w:rsidP="00F2323C">
            <w:pPr>
              <w:pStyle w:val="CLDTableTextListText"/>
            </w:pPr>
            <w:r w:rsidRPr="004D1D53">
              <w:t>350.55</w:t>
            </w:r>
          </w:p>
          <w:p w14:paraId="3C8F43E3" w14:textId="77777777" w:rsidR="0093083D" w:rsidRPr="004D1D53" w:rsidRDefault="0093083D" w:rsidP="00F2323C">
            <w:pPr>
              <w:pStyle w:val="CLDTableTextListText"/>
            </w:pPr>
            <w:r w:rsidRPr="004D1D53">
              <w:t>(121.30)</w:t>
            </w:r>
          </w:p>
        </w:tc>
        <w:tc>
          <w:tcPr>
            <w:tcW w:w="1152" w:type="dxa"/>
            <w:shd w:val="clear" w:color="auto" w:fill="auto"/>
          </w:tcPr>
          <w:p w14:paraId="5F2C2E7C" w14:textId="77777777" w:rsidR="0093083D" w:rsidRPr="004D1D53" w:rsidRDefault="0093083D" w:rsidP="00F2323C">
            <w:pPr>
              <w:pStyle w:val="CLDTableTextListText"/>
            </w:pPr>
            <w:r w:rsidRPr="004D1D53">
              <w:t>353.26</w:t>
            </w:r>
          </w:p>
          <w:p w14:paraId="3D002EC7" w14:textId="77777777" w:rsidR="0093083D" w:rsidRPr="004D1D53" w:rsidRDefault="0093083D" w:rsidP="00F2323C">
            <w:pPr>
              <w:pStyle w:val="CLDTableTextListText"/>
            </w:pPr>
            <w:r w:rsidRPr="004D1D53">
              <w:t>(125.98)</w:t>
            </w:r>
          </w:p>
        </w:tc>
        <w:tc>
          <w:tcPr>
            <w:tcW w:w="1399" w:type="dxa"/>
            <w:shd w:val="clear" w:color="auto" w:fill="auto"/>
          </w:tcPr>
          <w:p w14:paraId="4B0F5911" w14:textId="77777777" w:rsidR="0093083D" w:rsidRPr="004D1D53" w:rsidRDefault="0093083D" w:rsidP="00F2323C">
            <w:pPr>
              <w:pStyle w:val="CLDTableTextListText"/>
            </w:pPr>
            <w:r w:rsidRPr="004D1D53">
              <w:t>-54.87</w:t>
            </w:r>
          </w:p>
          <w:p w14:paraId="26D8B3AC" w14:textId="77777777" w:rsidR="0093083D" w:rsidRPr="004D1D53" w:rsidRDefault="0093083D" w:rsidP="00F2323C">
            <w:pPr>
              <w:pStyle w:val="CLDTableTextListText"/>
            </w:pPr>
            <w:r w:rsidRPr="004D1D53">
              <w:t>(5.07)</w:t>
            </w:r>
          </w:p>
        </w:tc>
        <w:tc>
          <w:tcPr>
            <w:tcW w:w="1195" w:type="dxa"/>
            <w:shd w:val="clear" w:color="auto" w:fill="auto"/>
          </w:tcPr>
          <w:p w14:paraId="6271A6CC" w14:textId="77777777" w:rsidR="0093083D" w:rsidRPr="004D1D53" w:rsidRDefault="0093083D" w:rsidP="00F2323C">
            <w:pPr>
              <w:pStyle w:val="CLDTableTextListText"/>
            </w:pPr>
            <w:r w:rsidRPr="004D1D53">
              <w:t>-130.55</w:t>
            </w:r>
          </w:p>
          <w:p w14:paraId="3D18CDBB" w14:textId="77777777" w:rsidR="0093083D" w:rsidRPr="004D1D53" w:rsidRDefault="0093083D" w:rsidP="00F2323C">
            <w:pPr>
              <w:pStyle w:val="CLDTableTextListText"/>
            </w:pPr>
            <w:r w:rsidRPr="004D1D53">
              <w:t>(9.80)</w:t>
            </w:r>
          </w:p>
        </w:tc>
        <w:tc>
          <w:tcPr>
            <w:tcW w:w="1531" w:type="dxa"/>
            <w:shd w:val="clear" w:color="auto" w:fill="auto"/>
          </w:tcPr>
          <w:p w14:paraId="7B994ECE" w14:textId="77777777" w:rsidR="0093083D" w:rsidRPr="004D1D53" w:rsidRDefault="0093083D" w:rsidP="00F2323C">
            <w:pPr>
              <w:pStyle w:val="CLDTableTextListText"/>
            </w:pPr>
            <w:r w:rsidRPr="004D1D53">
              <w:t>75.68</w:t>
            </w:r>
          </w:p>
          <w:p w14:paraId="437126CD" w14:textId="77777777" w:rsidR="0093083D" w:rsidRPr="004D1D53" w:rsidRDefault="0093083D" w:rsidP="00F2323C">
            <w:pPr>
              <w:pStyle w:val="CLDTableTextListText"/>
            </w:pPr>
            <w:r w:rsidRPr="004D1D53">
              <w:t>(57.56, 93.80)</w:t>
            </w:r>
          </w:p>
        </w:tc>
        <w:tc>
          <w:tcPr>
            <w:tcW w:w="1386" w:type="dxa"/>
            <w:shd w:val="clear" w:color="auto" w:fill="auto"/>
          </w:tcPr>
          <w:p w14:paraId="66EA6AF3" w14:textId="24CFFF2E" w:rsidR="0093083D" w:rsidRPr="004D1D53" w:rsidRDefault="0093083D" w:rsidP="00850933">
            <w:pPr>
              <w:pStyle w:val="CLDTableTextListText"/>
            </w:pPr>
            <w:r w:rsidRPr="004D1D53">
              <w:rPr>
                <w:i/>
              </w:rPr>
              <w:t>p</w:t>
            </w:r>
            <w:r w:rsidRPr="004D1D53">
              <w:t>&lt;0.0001</w:t>
            </w:r>
          </w:p>
        </w:tc>
      </w:tr>
      <w:tr w:rsidR="0093083D" w:rsidRPr="004D1D53" w14:paraId="77889908" w14:textId="77777777" w:rsidTr="000F3EAF">
        <w:tc>
          <w:tcPr>
            <w:tcW w:w="1450" w:type="dxa"/>
            <w:tcBorders>
              <w:bottom w:val="single" w:sz="4" w:space="0" w:color="auto"/>
            </w:tcBorders>
            <w:shd w:val="clear" w:color="auto" w:fill="auto"/>
          </w:tcPr>
          <w:p w14:paraId="43B3F829" w14:textId="77777777" w:rsidR="0093083D" w:rsidRPr="004D1D53" w:rsidRDefault="0093083D" w:rsidP="00F2323C">
            <w:pPr>
              <w:pStyle w:val="CLDTableTextListText"/>
            </w:pPr>
            <w:r w:rsidRPr="004D1D53">
              <w:t xml:space="preserve">KCCQ-OS </w:t>
            </w:r>
          </w:p>
        </w:tc>
        <w:tc>
          <w:tcPr>
            <w:tcW w:w="1352" w:type="dxa"/>
            <w:shd w:val="clear" w:color="auto" w:fill="auto"/>
          </w:tcPr>
          <w:p w14:paraId="6A4419F4" w14:textId="77777777" w:rsidR="0093083D" w:rsidRPr="004D1D53" w:rsidRDefault="0093083D" w:rsidP="00F2323C">
            <w:pPr>
              <w:pStyle w:val="CLDTableTextListText"/>
            </w:pPr>
            <w:r w:rsidRPr="004D1D53">
              <w:t>67.27</w:t>
            </w:r>
          </w:p>
          <w:p w14:paraId="51A49668" w14:textId="77777777" w:rsidR="0093083D" w:rsidRPr="004D1D53" w:rsidRDefault="0093083D" w:rsidP="00F2323C">
            <w:pPr>
              <w:pStyle w:val="CLDTableTextListText"/>
            </w:pPr>
            <w:r w:rsidRPr="004D1D53">
              <w:t>(21.36)</w:t>
            </w:r>
          </w:p>
        </w:tc>
        <w:tc>
          <w:tcPr>
            <w:tcW w:w="1152" w:type="dxa"/>
            <w:shd w:val="clear" w:color="auto" w:fill="auto"/>
          </w:tcPr>
          <w:p w14:paraId="322AFBC8" w14:textId="77777777" w:rsidR="0093083D" w:rsidRPr="004D1D53" w:rsidRDefault="0093083D" w:rsidP="00F2323C">
            <w:pPr>
              <w:pStyle w:val="CLDTableTextListText"/>
            </w:pPr>
            <w:r w:rsidRPr="004D1D53">
              <w:t>65.90</w:t>
            </w:r>
          </w:p>
          <w:p w14:paraId="360A05FE" w14:textId="77777777" w:rsidR="0093083D" w:rsidRPr="004D1D53" w:rsidRDefault="0093083D" w:rsidP="00F2323C">
            <w:pPr>
              <w:pStyle w:val="CLDTableTextListText"/>
            </w:pPr>
            <w:r w:rsidRPr="004D1D53">
              <w:t>(21.74)</w:t>
            </w:r>
          </w:p>
        </w:tc>
        <w:tc>
          <w:tcPr>
            <w:tcW w:w="1399" w:type="dxa"/>
            <w:shd w:val="clear" w:color="auto" w:fill="auto"/>
          </w:tcPr>
          <w:p w14:paraId="3994AF0D" w14:textId="77777777" w:rsidR="0093083D" w:rsidRPr="004D1D53" w:rsidRDefault="0093083D" w:rsidP="00F2323C">
            <w:pPr>
              <w:pStyle w:val="CLDTableTextListText"/>
            </w:pPr>
            <w:r w:rsidRPr="004D1D53">
              <w:t xml:space="preserve">-7.16 </w:t>
            </w:r>
          </w:p>
          <w:p w14:paraId="180C4E08" w14:textId="77777777" w:rsidR="0093083D" w:rsidRPr="004D1D53" w:rsidRDefault="0093083D" w:rsidP="00F2323C">
            <w:pPr>
              <w:pStyle w:val="CLDTableTextListText"/>
            </w:pPr>
            <w:r w:rsidRPr="004D1D53">
              <w:t>(1.42)</w:t>
            </w:r>
          </w:p>
        </w:tc>
        <w:tc>
          <w:tcPr>
            <w:tcW w:w="1195" w:type="dxa"/>
            <w:shd w:val="clear" w:color="auto" w:fill="auto"/>
          </w:tcPr>
          <w:p w14:paraId="2B1A4740" w14:textId="77777777" w:rsidR="0093083D" w:rsidRPr="004D1D53" w:rsidRDefault="0093083D" w:rsidP="00F2323C">
            <w:pPr>
              <w:pStyle w:val="CLDTableTextListText"/>
            </w:pPr>
            <w:r w:rsidRPr="004D1D53">
              <w:t>-20.81</w:t>
            </w:r>
          </w:p>
          <w:p w14:paraId="2A2C1A86" w14:textId="77777777" w:rsidR="0093083D" w:rsidRPr="004D1D53" w:rsidRDefault="0093083D" w:rsidP="00F2323C">
            <w:pPr>
              <w:pStyle w:val="CLDTableTextListText"/>
            </w:pPr>
            <w:r w:rsidRPr="004D1D53">
              <w:t>(1.97)</w:t>
            </w:r>
          </w:p>
        </w:tc>
        <w:tc>
          <w:tcPr>
            <w:tcW w:w="1531" w:type="dxa"/>
            <w:shd w:val="clear" w:color="auto" w:fill="auto"/>
          </w:tcPr>
          <w:p w14:paraId="790249F6" w14:textId="77777777" w:rsidR="0093083D" w:rsidRPr="004D1D53" w:rsidRDefault="0093083D" w:rsidP="00F2323C">
            <w:pPr>
              <w:pStyle w:val="CLDTableTextListText"/>
            </w:pPr>
            <w:r w:rsidRPr="004D1D53">
              <w:t>13.65</w:t>
            </w:r>
          </w:p>
          <w:p w14:paraId="67DC66EA" w14:textId="77777777" w:rsidR="0093083D" w:rsidRPr="004D1D53" w:rsidRDefault="0093083D" w:rsidP="00F2323C">
            <w:pPr>
              <w:pStyle w:val="CLDTableTextListText"/>
            </w:pPr>
            <w:r w:rsidRPr="004D1D53">
              <w:t>(9.48, 17.83)</w:t>
            </w:r>
          </w:p>
        </w:tc>
        <w:tc>
          <w:tcPr>
            <w:tcW w:w="1386" w:type="dxa"/>
            <w:shd w:val="clear" w:color="auto" w:fill="auto"/>
          </w:tcPr>
          <w:p w14:paraId="0D65054A" w14:textId="5A7D46B9" w:rsidR="0093083D" w:rsidRPr="004D1D53" w:rsidRDefault="0093083D" w:rsidP="00850933">
            <w:pPr>
              <w:pStyle w:val="CLDTableTextListText"/>
            </w:pPr>
            <w:r w:rsidRPr="004D1D53">
              <w:rPr>
                <w:i/>
              </w:rPr>
              <w:t>p</w:t>
            </w:r>
            <w:r w:rsidRPr="004D1D53">
              <w:t>&lt;0.0001</w:t>
            </w:r>
          </w:p>
        </w:tc>
      </w:tr>
    </w:tbl>
    <w:p w14:paraId="3581D501" w14:textId="77F3D52B" w:rsidR="0093083D" w:rsidRDefault="0093083D" w:rsidP="00F2323C">
      <w:pPr>
        <w:pStyle w:val="CLDTableFootnote"/>
      </w:pPr>
      <w:r w:rsidRPr="004D1D53">
        <w:t>Abbreviations: 6MWT=6-Minute Walk Test; KCCQ-OS=Kansas City Cardiomyopathy Questionnaire-Overall Summary; LS=least squares; CI=confidence interval.</w:t>
      </w:r>
    </w:p>
    <w:p w14:paraId="50D55B95" w14:textId="46DC58E2" w:rsidR="0093083D" w:rsidRPr="004D1D53" w:rsidRDefault="00534F42" w:rsidP="00F2323C">
      <w:pPr>
        <w:pStyle w:val="CLDNormal"/>
      </w:pPr>
      <w:r>
        <w:rPr>
          <w:bCs/>
        </w:rPr>
        <w:lastRenderedPageBreak/>
        <w:t xml:space="preserve">In the pivotal study, patients who exhibited &gt;32% TTR stabilisation were considered stabilised.  </w:t>
      </w:r>
      <w:r w:rsidR="0093083D" w:rsidRPr="004D1D53">
        <w:t xml:space="preserve">At Month 1, a significantly greater proportion of patients in the pooled tafamidis </w:t>
      </w:r>
      <w:r w:rsidR="003C38B1">
        <w:t xml:space="preserve">meglumine </w:t>
      </w:r>
      <w:r w:rsidR="0093083D" w:rsidRPr="004D1D53">
        <w:t>group (211/245 [86.1%] patients) demonstrated TTR stabilisation than was observed for patients in the placebo group (6/170 [3.5%] patients) (p&lt;0.0001).</w:t>
      </w:r>
    </w:p>
    <w:p w14:paraId="114C3CE8" w14:textId="1A407A3B" w:rsidR="0093083D" w:rsidRPr="004D1D53" w:rsidRDefault="0093083D" w:rsidP="00F2323C">
      <w:pPr>
        <w:pStyle w:val="CLDNormal"/>
      </w:pPr>
      <w:proofErr w:type="gramStart"/>
      <w:r w:rsidRPr="004D1D53">
        <w:t>Results from F-S method represented by win ratio for the combined endpoint and its components (all</w:t>
      </w:r>
      <w:r w:rsidRPr="004D1D53">
        <w:noBreakHyphen/>
        <w:t>cause mortality and frequency of cardiovascular-related hospitali</w:t>
      </w:r>
      <w:r>
        <w:t>s</w:t>
      </w:r>
      <w:r w:rsidRPr="004D1D53">
        <w:t xml:space="preserve">ation) consistently favoured tafamidis </w:t>
      </w:r>
      <w:r w:rsidR="003C38B1">
        <w:t xml:space="preserve">meglumine </w:t>
      </w:r>
      <w:r w:rsidRPr="004D1D53">
        <w:t>versus placebo across all subgroups (wild</w:t>
      </w:r>
      <w:r>
        <w:noBreakHyphen/>
      </w:r>
      <w:r w:rsidRPr="004D1D53">
        <w:t>type, variant and NYHA Class I &amp; II, and III) except for cardiovascular</w:t>
      </w:r>
      <w:r w:rsidRPr="004D1D53">
        <w:noBreakHyphen/>
        <w:t>related hospitali</w:t>
      </w:r>
      <w:r>
        <w:t>s</w:t>
      </w:r>
      <w:r w:rsidRPr="004D1D53">
        <w:t>ation frequency in NYHA Class III (</w:t>
      </w:r>
      <w:r w:rsidR="007C3D43">
        <w:fldChar w:fldCharType="begin"/>
      </w:r>
      <w:r w:rsidR="007C3D43">
        <w:instrText xml:space="preserve"> REF _Ref532447215 \h </w:instrText>
      </w:r>
      <w:r w:rsidR="007C3D43">
        <w:fldChar w:fldCharType="separate"/>
      </w:r>
      <w:r w:rsidR="00E23711">
        <w:t xml:space="preserve">Figure </w:t>
      </w:r>
      <w:r w:rsidR="00E23711">
        <w:rPr>
          <w:noProof/>
        </w:rPr>
        <w:t>4</w:t>
      </w:r>
      <w:r w:rsidR="007C3D43">
        <w:fldChar w:fldCharType="end"/>
      </w:r>
      <w:r w:rsidRPr="00855B0E">
        <w:t>)</w:t>
      </w:r>
      <w:r w:rsidR="00855B0E" w:rsidRPr="00855B0E">
        <w:t xml:space="preserve"> </w:t>
      </w:r>
      <w:r w:rsidR="00855B0E" w:rsidRPr="00855B0E">
        <w:rPr>
          <w:rFonts w:eastAsia="TimesNewRoman"/>
        </w:rPr>
        <w:t xml:space="preserve">which is higher in the tafamidis </w:t>
      </w:r>
      <w:r w:rsidR="002D06FE">
        <w:rPr>
          <w:rFonts w:eastAsia="TimesNewRoman"/>
        </w:rPr>
        <w:t>meglumine</w:t>
      </w:r>
      <w:r w:rsidR="00855B0E" w:rsidRPr="00855B0E">
        <w:rPr>
          <w:rFonts w:eastAsia="TimesNewRoman"/>
        </w:rPr>
        <w:t xml:space="preserve"> group </w:t>
      </w:r>
      <w:r w:rsidR="002D06FE">
        <w:rPr>
          <w:rFonts w:eastAsia="TimesNewRoman"/>
        </w:rPr>
        <w:t>versus</w:t>
      </w:r>
      <w:r w:rsidR="00855B0E" w:rsidRPr="00855B0E">
        <w:rPr>
          <w:rFonts w:eastAsia="TimesNewRoman"/>
        </w:rPr>
        <w:t xml:space="preserve"> placebo</w:t>
      </w:r>
      <w:r w:rsidR="00BB4E33" w:rsidRPr="00855B0E">
        <w:t>.</w:t>
      </w:r>
      <w:proofErr w:type="gramEnd"/>
      <w:r w:rsidR="00BB4E33">
        <w:t xml:space="preserve">  </w:t>
      </w:r>
      <w:r w:rsidRPr="004D1D53">
        <w:t>Win ratio is the number of pairs of treated-patient “wins” divided by number of</w:t>
      </w:r>
      <w:r w:rsidR="00BE0738">
        <w:t xml:space="preserve"> pairs of placebo patient “wins</w:t>
      </w:r>
      <w:r w:rsidRPr="004D1D53">
        <w:t>”</w:t>
      </w:r>
      <w:r w:rsidR="00BE0738">
        <w:t xml:space="preserve">. </w:t>
      </w:r>
      <w:r w:rsidRPr="004D1D53">
        <w:t xml:space="preserve"> Analyses of 6MWT and KCCQ-OS also favoured tafamidis </w:t>
      </w:r>
      <w:r w:rsidR="003C38B1">
        <w:t xml:space="preserve">meglumine </w:t>
      </w:r>
      <w:r w:rsidRPr="004D1D53">
        <w:t>relative to placebo within each subgroup.</w:t>
      </w:r>
    </w:p>
    <w:p w14:paraId="75AB8829" w14:textId="6C89CCB2" w:rsidR="0093083D" w:rsidRDefault="00F2323C" w:rsidP="00F2323C">
      <w:pPr>
        <w:pStyle w:val="CLDTableTitle"/>
      </w:pPr>
      <w:bookmarkStart w:id="26" w:name="_Ref532447215"/>
      <w:r>
        <w:t xml:space="preserve">Figure </w:t>
      </w:r>
      <w:r>
        <w:fldChar w:fldCharType="begin"/>
      </w:r>
      <w:r>
        <w:instrText xml:space="preserve"> SEQ Figure \* ARABIC </w:instrText>
      </w:r>
      <w:r>
        <w:fldChar w:fldCharType="separate"/>
      </w:r>
      <w:r w:rsidR="00E23711">
        <w:rPr>
          <w:noProof/>
        </w:rPr>
        <w:t>4</w:t>
      </w:r>
      <w:r>
        <w:fldChar w:fldCharType="end"/>
      </w:r>
      <w:bookmarkEnd w:id="26"/>
      <w:r w:rsidR="0093083D" w:rsidRPr="004D1D53">
        <w:t>:</w:t>
      </w:r>
      <w:r>
        <w:t xml:space="preserve"> </w:t>
      </w:r>
      <w:r w:rsidR="0093083D" w:rsidRPr="004D1D53">
        <w:t xml:space="preserve"> Results from F-S Method and components by subgroup and dose </w:t>
      </w:r>
    </w:p>
    <w:p w14:paraId="0DD3927B" w14:textId="6045DD89" w:rsidR="001B7A53" w:rsidRPr="004D1D53" w:rsidRDefault="001B7A53" w:rsidP="00F2323C">
      <w:pPr>
        <w:pStyle w:val="CLDTableTitle"/>
        <w:rPr>
          <w:b w:val="0"/>
          <w:szCs w:val="22"/>
        </w:rPr>
      </w:pPr>
    </w:p>
    <w:p w14:paraId="50937ABD" w14:textId="4AFDE675" w:rsidR="0093083D" w:rsidRPr="004D1D53" w:rsidRDefault="00855B0E" w:rsidP="0093083D">
      <w:r>
        <w:rPr>
          <w:noProof/>
          <w:lang w:val="en-AU" w:eastAsia="en-AU"/>
        </w:rPr>
        <w:drawing>
          <wp:inline distT="0" distB="0" distL="0" distR="0" wp14:anchorId="097EE81B" wp14:editId="649AFFDD">
            <wp:extent cx="5731510" cy="2058035"/>
            <wp:effectExtent l="0" t="0" r="2540" b="0"/>
            <wp:docPr id="6" name="Picture 6" descr="cid:image003.jpg@01D5E7FB.00C7C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5E7FB.00C7CF8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31510" cy="2058035"/>
                    </a:xfrm>
                    <a:prstGeom prst="rect">
                      <a:avLst/>
                    </a:prstGeom>
                    <a:noFill/>
                    <a:ln>
                      <a:noFill/>
                    </a:ln>
                  </pic:spPr>
                </pic:pic>
              </a:graphicData>
            </a:graphic>
          </wp:inline>
        </w:drawing>
      </w:r>
    </w:p>
    <w:p w14:paraId="44D88970" w14:textId="2F789CEF" w:rsidR="0093083D" w:rsidRPr="004D1D53" w:rsidRDefault="0093083D" w:rsidP="00F2323C">
      <w:pPr>
        <w:pStyle w:val="CLDTableFootnote"/>
      </w:pPr>
      <w:r w:rsidRPr="004D1D53">
        <w:t>Abbreviations: ATTRm=variant tra</w:t>
      </w:r>
      <w:r w:rsidR="00000018">
        <w:t>nsthyretin amyloid, ATTRwt=wild</w:t>
      </w:r>
      <w:r w:rsidR="00000018">
        <w:noBreakHyphen/>
      </w:r>
      <w:r w:rsidRPr="004D1D53">
        <w:t>type transthyretin amyloid, F-S=Finkelstein</w:t>
      </w:r>
      <w:r w:rsidRPr="004D1D53">
        <w:noBreakHyphen/>
        <w:t>Schoenfeld, CI=Confidence Interval.</w:t>
      </w:r>
    </w:p>
    <w:p w14:paraId="421D734A" w14:textId="3E32465C" w:rsidR="0093083D" w:rsidRPr="004D1D53" w:rsidRDefault="0093083D" w:rsidP="00F2323C">
      <w:pPr>
        <w:pStyle w:val="CLDTableFootnote"/>
      </w:pPr>
      <w:r w:rsidRPr="004D1D53">
        <w:t>* F-S results presented using win ratio (based on all-cause mortality and frequency of cardiovascular hospitali</w:t>
      </w:r>
      <w:r>
        <w:t>s</w:t>
      </w:r>
      <w:r w:rsidR="00FB531F">
        <w:t>ation).</w:t>
      </w:r>
    </w:p>
    <w:p w14:paraId="7EDCC368" w14:textId="77777777" w:rsidR="0093083D" w:rsidRDefault="0093083D" w:rsidP="00C91DD5">
      <w:pPr>
        <w:pStyle w:val="CLDTableFootnote"/>
      </w:pPr>
      <w:r w:rsidRPr="004D1D53">
        <w:t>Heart transplants and cardiac mechanical assist devices treated as death.</w:t>
      </w:r>
    </w:p>
    <w:p w14:paraId="07661E76" w14:textId="77777777" w:rsidR="00855B0E" w:rsidRDefault="00855B0E" w:rsidP="00C91DD5">
      <w:pPr>
        <w:pStyle w:val="Footer"/>
        <w:pBdr>
          <w:top w:val="none" w:sz="0" w:space="0" w:color="auto"/>
        </w:pBdr>
      </w:pPr>
      <w:r>
        <w:t>“Tafamidis” is referring to tafamidis meglumine</w:t>
      </w:r>
    </w:p>
    <w:p w14:paraId="21C35FAF" w14:textId="387C3682" w:rsidR="001B7A53" w:rsidRPr="004D1D53" w:rsidRDefault="001B7A53" w:rsidP="00FB531F">
      <w:pPr>
        <w:pStyle w:val="CLDNormal"/>
        <w:spacing w:before="240"/>
        <w:rPr>
          <w:rFonts w:eastAsia="TimesNewRoman"/>
        </w:rPr>
      </w:pPr>
      <w:r w:rsidRPr="00FA2272">
        <w:rPr>
          <w:rFonts w:eastAsia="TimesNewRoman"/>
        </w:rPr>
        <w:t>Results of the primary analysis, 6MWT at Month 30 and KCCQ-OS at Month 30 were statistically significant for both the 80</w:t>
      </w:r>
      <w:r>
        <w:rPr>
          <w:rFonts w:eastAsia="TimesNewRoman"/>
        </w:rPr>
        <w:t xml:space="preserve"> </w:t>
      </w:r>
      <w:r w:rsidRPr="00FA2272">
        <w:rPr>
          <w:rFonts w:eastAsia="TimesNewRoman"/>
        </w:rPr>
        <w:t>mg and 20</w:t>
      </w:r>
      <w:r>
        <w:rPr>
          <w:rFonts w:eastAsia="TimesNewRoman"/>
        </w:rPr>
        <w:t xml:space="preserve"> </w:t>
      </w:r>
      <w:r w:rsidRPr="00FA2272">
        <w:rPr>
          <w:rFonts w:eastAsia="TimesNewRoman"/>
        </w:rPr>
        <w:t>mg doses of VYNDAQEL vs. placebo, with similar results for both doses.</w:t>
      </w:r>
    </w:p>
    <w:p w14:paraId="7471268C" w14:textId="6749E3D3" w:rsidR="00AD109B" w:rsidRPr="001530F3" w:rsidRDefault="00AD109B" w:rsidP="00314988">
      <w:pPr>
        <w:pStyle w:val="CLDNormal"/>
        <w:rPr>
          <w:rFonts w:eastAsia="TimesNewRoman"/>
        </w:rPr>
      </w:pPr>
      <w:r w:rsidRPr="001530F3">
        <w:t>Biomarkers associated with heart failure (NT</w:t>
      </w:r>
      <w:r>
        <w:noBreakHyphen/>
      </w:r>
      <w:r w:rsidRPr="001530F3">
        <w:t>proBNP and Troponin I) differentiated between the 80 mg and the 20 mg doses</w:t>
      </w:r>
      <w:r w:rsidR="00BB4E33">
        <w:t xml:space="preserve">.  </w:t>
      </w:r>
      <w:r w:rsidRPr="001530F3">
        <w:t>For NT</w:t>
      </w:r>
      <w:r>
        <w:noBreakHyphen/>
      </w:r>
      <w:r w:rsidRPr="001530F3">
        <w:t xml:space="preserve">proBNP, the LS mean difference in change from Baseline to Month 30 from placebo for 20 mg tafamidis meglumine was </w:t>
      </w:r>
      <w:r>
        <w:noBreakHyphen/>
      </w:r>
      <w:r w:rsidRPr="001530F3">
        <w:t xml:space="preserve">1417.02 pg/mL (SE=743.38) and for 80 mg was </w:t>
      </w:r>
      <w:r>
        <w:noBreakHyphen/>
      </w:r>
      <w:r w:rsidRPr="001530F3">
        <w:t>2587.54 pg/mL (SE=570.25)</w:t>
      </w:r>
      <w:r w:rsidR="00BB4E33">
        <w:t xml:space="preserve">.  </w:t>
      </w:r>
      <w:r w:rsidRPr="001530F3">
        <w:rPr>
          <w:bCs/>
        </w:rPr>
        <w:t>Further, the LS mean difference between the 20 mg and 80 mg doses was 1170.51 </w:t>
      </w:r>
      <w:r>
        <w:rPr>
          <w:bCs/>
        </w:rPr>
        <w:t xml:space="preserve">pg/mL </w:t>
      </w:r>
      <w:r w:rsidRPr="001530F3">
        <w:t xml:space="preserve">(SE=587.31) </w:t>
      </w:r>
      <w:r w:rsidRPr="001530F3">
        <w:rPr>
          <w:bCs/>
        </w:rPr>
        <w:t xml:space="preserve">(p=0.0468), </w:t>
      </w:r>
      <w:r w:rsidR="000D7ECE" w:rsidRPr="001530F3">
        <w:rPr>
          <w:bCs/>
        </w:rPr>
        <w:t>favouring</w:t>
      </w:r>
      <w:r w:rsidRPr="001530F3">
        <w:rPr>
          <w:bCs/>
        </w:rPr>
        <w:t xml:space="preserve"> the 80 mg dose group</w:t>
      </w:r>
      <w:r w:rsidR="00BB4E33">
        <w:rPr>
          <w:bCs/>
        </w:rPr>
        <w:t xml:space="preserve">.  </w:t>
      </w:r>
      <w:r w:rsidRPr="001530F3">
        <w:t xml:space="preserve">Similar results were observed for Troponin I where </w:t>
      </w:r>
      <w:r w:rsidRPr="001530F3">
        <w:rPr>
          <w:rFonts w:eastAsia="TimesNewRoman"/>
        </w:rPr>
        <w:t xml:space="preserve">the LS mean difference in change from Baseline to Month 30 from placebo for 20 mg tafamidis meglumine was </w:t>
      </w:r>
      <w:r>
        <w:rPr>
          <w:rFonts w:eastAsia="TimesNewRoman"/>
        </w:rPr>
        <w:noBreakHyphen/>
      </w:r>
      <w:r w:rsidRPr="001530F3">
        <w:rPr>
          <w:rFonts w:eastAsia="TimesNewRoman"/>
        </w:rPr>
        <w:t xml:space="preserve">0.06 ng/mL </w:t>
      </w:r>
      <w:r w:rsidRPr="001530F3">
        <w:t xml:space="preserve">(SE=0.045) </w:t>
      </w:r>
      <w:r w:rsidRPr="001530F3">
        <w:rPr>
          <w:rFonts w:eastAsia="TimesNewRoman"/>
        </w:rPr>
        <w:t xml:space="preserve">and for 80 mg was </w:t>
      </w:r>
      <w:r>
        <w:rPr>
          <w:rFonts w:eastAsia="TimesNewRoman"/>
        </w:rPr>
        <w:noBreakHyphen/>
      </w:r>
      <w:r w:rsidRPr="001530F3">
        <w:rPr>
          <w:rFonts w:eastAsia="TimesNewRoman"/>
        </w:rPr>
        <w:t>0.10 ng/mL (SE=0.018)</w:t>
      </w:r>
      <w:r w:rsidR="00BB4E33">
        <w:rPr>
          <w:rFonts w:eastAsia="TimesNewRoman"/>
        </w:rPr>
        <w:t xml:space="preserve">.  </w:t>
      </w:r>
      <w:r w:rsidRPr="001530F3">
        <w:rPr>
          <w:bCs/>
        </w:rPr>
        <w:t xml:space="preserve">The LS </w:t>
      </w:r>
      <w:r w:rsidRPr="001530F3">
        <w:rPr>
          <w:bCs/>
        </w:rPr>
        <w:lastRenderedPageBreak/>
        <w:t>mean difference between the 20 mg and 80</w:t>
      </w:r>
      <w:r>
        <w:rPr>
          <w:bCs/>
        </w:rPr>
        <w:t> </w:t>
      </w:r>
      <w:r w:rsidRPr="001530F3">
        <w:rPr>
          <w:bCs/>
        </w:rPr>
        <w:t>mg doses for Troponin I was 0.05</w:t>
      </w:r>
      <w:r>
        <w:rPr>
          <w:bCs/>
        </w:rPr>
        <w:t> ng/mL</w:t>
      </w:r>
      <w:r w:rsidRPr="001530F3">
        <w:rPr>
          <w:bCs/>
        </w:rPr>
        <w:t xml:space="preserve"> </w:t>
      </w:r>
      <w:r w:rsidRPr="001530F3">
        <w:t>(SE=</w:t>
      </w:r>
      <w:r w:rsidRPr="001530F3">
        <w:rPr>
          <w:bCs/>
        </w:rPr>
        <w:t xml:space="preserve">0.04) (p=0.2479), </w:t>
      </w:r>
      <w:r w:rsidR="000D7ECE" w:rsidRPr="001530F3">
        <w:rPr>
          <w:bCs/>
        </w:rPr>
        <w:t>favouring</w:t>
      </w:r>
      <w:r w:rsidRPr="001530F3">
        <w:rPr>
          <w:bCs/>
        </w:rPr>
        <w:t xml:space="preserve"> the 80 mg dose group</w:t>
      </w:r>
      <w:r w:rsidR="00EF5FC2">
        <w:rPr>
          <w:bCs/>
        </w:rPr>
        <w:t xml:space="preserve"> </w:t>
      </w:r>
      <w:bookmarkStart w:id="27" w:name="_Hlk19615212"/>
      <w:r w:rsidR="00EF5FC2">
        <w:rPr>
          <w:bCs/>
        </w:rPr>
        <w:t>numerically, but not statistically</w:t>
      </w:r>
      <w:bookmarkStart w:id="28" w:name="_Hlk19019543"/>
      <w:bookmarkEnd w:id="27"/>
      <w:r w:rsidRPr="001530F3">
        <w:rPr>
          <w:bCs/>
        </w:rPr>
        <w:t>.</w:t>
      </w:r>
    </w:p>
    <w:bookmarkEnd w:id="28"/>
    <w:p w14:paraId="7E7E9E8E" w14:textId="3D65E5E7" w:rsidR="00AD109B" w:rsidRPr="001530F3" w:rsidRDefault="00AD109B" w:rsidP="00314988">
      <w:pPr>
        <w:pStyle w:val="CLDNormal"/>
      </w:pPr>
      <w:r w:rsidRPr="001530F3">
        <w:t>A supra</w:t>
      </w:r>
      <w:r>
        <w:noBreakHyphen/>
      </w:r>
      <w:r w:rsidRPr="001530F3">
        <w:t>therapeutic, single, 400</w:t>
      </w:r>
      <w:r>
        <w:t> mg</w:t>
      </w:r>
      <w:r w:rsidRPr="001530F3">
        <w:t xml:space="preserve"> oral dose of tafamidis </w:t>
      </w:r>
      <w:r w:rsidR="00F355B1">
        <w:t xml:space="preserve">meglumine </w:t>
      </w:r>
      <w:r w:rsidRPr="001530F3">
        <w:t>solution in healthy volunteers demonstrated no effect on the QTc interval.</w:t>
      </w:r>
    </w:p>
    <w:p w14:paraId="46E53F8F" w14:textId="6193FCFE" w:rsidR="00830B98" w:rsidRPr="00875D32" w:rsidRDefault="00003E72" w:rsidP="00755FFF">
      <w:pPr>
        <w:pStyle w:val="CLDHeading2"/>
      </w:pPr>
      <w:r w:rsidRPr="00875D32">
        <w:t>5.2</w:t>
      </w:r>
      <w:r w:rsidRPr="00875D32">
        <w:tab/>
      </w:r>
      <w:r w:rsidR="00B5568E" w:rsidRPr="00875D32">
        <w:t xml:space="preserve">Pharmacokinetic </w:t>
      </w:r>
      <w:r w:rsidR="00003485" w:rsidRPr="00875D32">
        <w:t>p</w:t>
      </w:r>
      <w:r w:rsidR="00112E5B" w:rsidRPr="00875D32">
        <w:t>roperties</w:t>
      </w:r>
    </w:p>
    <w:p w14:paraId="588C721D" w14:textId="74B2AD0A" w:rsidR="00AD109B" w:rsidRDefault="00AD109B" w:rsidP="00314988">
      <w:pPr>
        <w:pStyle w:val="CLDNormal"/>
        <w:rPr>
          <w:vertAlign w:val="superscript"/>
        </w:rPr>
      </w:pPr>
      <w:r w:rsidRPr="001530F3">
        <w:t xml:space="preserve">The pharmacokinetic profile of </w:t>
      </w:r>
      <w:r w:rsidR="00295C81">
        <w:t>VYNDAQEL</w:t>
      </w:r>
      <w:r w:rsidR="00295C81" w:rsidRPr="001530F3">
        <w:t xml:space="preserve"> </w:t>
      </w:r>
      <w:r w:rsidRPr="001530F3">
        <w:t>was determined in Phase I studies in healthy volunteers and patients with ATTR</w:t>
      </w:r>
      <w:r>
        <w:noBreakHyphen/>
      </w:r>
      <w:r w:rsidRPr="001530F3">
        <w:t>CM.</w:t>
      </w:r>
    </w:p>
    <w:p w14:paraId="46E53F90" w14:textId="75BA483F" w:rsidR="003C6DC6" w:rsidRPr="00875D32" w:rsidRDefault="003C6DC6" w:rsidP="00755FFF">
      <w:pPr>
        <w:pStyle w:val="CLDHeading3"/>
      </w:pPr>
      <w:r w:rsidRPr="00875D32">
        <w:t>Absorption</w:t>
      </w:r>
    </w:p>
    <w:p w14:paraId="307EB6CE" w14:textId="3118D479" w:rsidR="008C35F9" w:rsidRPr="001530F3" w:rsidRDefault="008C35F9" w:rsidP="008C35F9">
      <w:pPr>
        <w:pStyle w:val="CLDNormal"/>
      </w:pPr>
      <w:r w:rsidRPr="001530F3">
        <w:t xml:space="preserve">After oral administration of </w:t>
      </w:r>
      <w:r>
        <w:t>VYNDAQEL</w:t>
      </w:r>
      <w:r w:rsidRPr="001530F3">
        <w:t xml:space="preserve"> once daily, the maximum </w:t>
      </w:r>
      <w:r>
        <w:t xml:space="preserve">peak </w:t>
      </w:r>
      <w:r w:rsidRPr="001530F3">
        <w:t>concentration (C</w:t>
      </w:r>
      <w:r w:rsidRPr="001530F3">
        <w:rPr>
          <w:vertAlign w:val="subscript"/>
        </w:rPr>
        <w:t>max</w:t>
      </w:r>
      <w:r w:rsidRPr="001530F3">
        <w:t>) is achieved at a median time (t</w:t>
      </w:r>
      <w:r w:rsidRPr="001530F3">
        <w:rPr>
          <w:vertAlign w:val="subscript"/>
        </w:rPr>
        <w:t>max</w:t>
      </w:r>
      <w:r w:rsidRPr="001530F3">
        <w:t>) within 4 hours after dosing in the fasted state.</w:t>
      </w:r>
      <w:r>
        <w:rPr>
          <w:vertAlign w:val="superscript"/>
        </w:rPr>
        <w:t xml:space="preserve"> </w:t>
      </w:r>
      <w:r w:rsidRPr="001530F3">
        <w:t xml:space="preserve"> Concomitant administration of </w:t>
      </w:r>
      <w:r>
        <w:t xml:space="preserve">a high fat, high calorie meal altered </w:t>
      </w:r>
      <w:r w:rsidRPr="001530F3">
        <w:t xml:space="preserve">the rate of absorption, but not the extent of absorption. </w:t>
      </w:r>
      <w:r>
        <w:t xml:space="preserve"> </w:t>
      </w:r>
      <w:r w:rsidRPr="001530F3">
        <w:t xml:space="preserve">These results support the administration of </w:t>
      </w:r>
      <w:r>
        <w:t>VYNDAQEL</w:t>
      </w:r>
      <w:r w:rsidRPr="001530F3">
        <w:t xml:space="preserve"> with or without food.</w:t>
      </w:r>
    </w:p>
    <w:p w14:paraId="46E53F92" w14:textId="0E7BF95B" w:rsidR="003C6DC6" w:rsidRDefault="003C6DC6" w:rsidP="00755FFF">
      <w:pPr>
        <w:pStyle w:val="CLDHeading3"/>
      </w:pPr>
      <w:r>
        <w:t>Distribution</w:t>
      </w:r>
    </w:p>
    <w:p w14:paraId="22EEE6D3" w14:textId="78B6748D" w:rsidR="00AD109B" w:rsidRPr="001530F3" w:rsidRDefault="00AD109B" w:rsidP="00314988">
      <w:pPr>
        <w:pStyle w:val="CLDNormal"/>
      </w:pPr>
      <w:r w:rsidRPr="001530F3">
        <w:t xml:space="preserve">Tafamidis </w:t>
      </w:r>
      <w:r w:rsidR="003C38B1">
        <w:t xml:space="preserve">meglumine </w:t>
      </w:r>
      <w:r w:rsidRPr="001530F3">
        <w:t>is highly protein bound (</w:t>
      </w:r>
      <w:r w:rsidR="008C35F9">
        <w:t>&gt;99</w:t>
      </w:r>
      <w:r w:rsidRPr="001530F3">
        <w:t>%) in plasma</w:t>
      </w:r>
      <w:r w:rsidR="00BB4E33">
        <w:t xml:space="preserve">.  </w:t>
      </w:r>
      <w:r w:rsidRPr="001530F3">
        <w:t>The apparent steady</w:t>
      </w:r>
      <w:r>
        <w:noBreakHyphen/>
      </w:r>
      <w:r w:rsidRPr="001530F3">
        <w:t>state vo</w:t>
      </w:r>
      <w:r w:rsidR="000D7ECE">
        <w:t>lume of distribution is 16 litre</w:t>
      </w:r>
      <w:r w:rsidRPr="001530F3">
        <w:t>s</w:t>
      </w:r>
      <w:r w:rsidR="004B526A">
        <w:t xml:space="preserve"> in a 7</w:t>
      </w:r>
      <w:r w:rsidR="008F7C3A">
        <w:t>5</w:t>
      </w:r>
      <w:r w:rsidR="004B526A">
        <w:t xml:space="preserve"> kg adult</w:t>
      </w:r>
      <w:r w:rsidRPr="001530F3">
        <w:t>.</w:t>
      </w:r>
    </w:p>
    <w:p w14:paraId="46E53F94" w14:textId="5CDE85B5" w:rsidR="003C6DC6" w:rsidRPr="008C35F9" w:rsidRDefault="002A5064" w:rsidP="00755FFF">
      <w:pPr>
        <w:pStyle w:val="CLDHeading3"/>
        <w:rPr>
          <w:bCs/>
          <w:i/>
        </w:rPr>
      </w:pPr>
      <w:r>
        <w:t>Metabolis</w:t>
      </w:r>
      <w:r w:rsidRPr="008C35F9">
        <w:t>m</w:t>
      </w:r>
      <w:r w:rsidR="00DA513A">
        <w:t xml:space="preserve"> and Excretion</w:t>
      </w:r>
    </w:p>
    <w:p w14:paraId="6CFBBF7A" w14:textId="26DDD4FF" w:rsidR="00882436" w:rsidRPr="001530F3" w:rsidRDefault="00DA513A" w:rsidP="00314988">
      <w:pPr>
        <w:pStyle w:val="CLDNormal"/>
      </w:pPr>
      <w:r w:rsidRPr="001530F3">
        <w:t>While there is no explicit evidence of biliary excretion of tafamidis</w:t>
      </w:r>
      <w:r w:rsidR="003C38B1">
        <w:t xml:space="preserve"> meglumine</w:t>
      </w:r>
      <w:r w:rsidRPr="001530F3">
        <w:t xml:space="preserve"> in humans, based on preclinical data, it is sugge</w:t>
      </w:r>
      <w:r>
        <w:t xml:space="preserve">sted that tafamidis </w:t>
      </w:r>
      <w:r w:rsidR="003C38B1">
        <w:t xml:space="preserve">meglumine </w:t>
      </w:r>
      <w:r>
        <w:t>is metabolis</w:t>
      </w:r>
      <w:r w:rsidRPr="001530F3">
        <w:t>ed by glucuronidation and excreted via the bile</w:t>
      </w:r>
      <w:r>
        <w:t xml:space="preserve">.  </w:t>
      </w:r>
      <w:r w:rsidRPr="001530F3">
        <w:t>This route of metabolism and excretion is likely in humans, as approximately 59% of the total administered dose is recovered in f</w:t>
      </w:r>
      <w:r>
        <w:t>a</w:t>
      </w:r>
      <w:r w:rsidRPr="001530F3">
        <w:t>eces mostly as unchanged drug, and approximately 22% recovered in urine mostly as the glucuronide metabolite.</w:t>
      </w:r>
      <w:r>
        <w:t xml:space="preserve">  </w:t>
      </w:r>
      <w:r w:rsidR="00882436" w:rsidRPr="001530F3">
        <w:t>Based on population pharmacokinetic results, the apparent oral clearance of tafamidis meglumine is 0.228 L/h (0.263</w:t>
      </w:r>
      <w:r w:rsidR="00882436">
        <w:t> </w:t>
      </w:r>
      <w:r w:rsidR="00882436" w:rsidRPr="001530F3">
        <w:t>L/h for tafamidis) and the population mean half</w:t>
      </w:r>
      <w:r w:rsidR="00882436">
        <w:noBreakHyphen/>
      </w:r>
      <w:r w:rsidR="00882436" w:rsidRPr="001530F3">
        <w:t>life is approximately 49</w:t>
      </w:r>
      <w:r>
        <w:t> </w:t>
      </w:r>
      <w:r w:rsidR="00882436" w:rsidRPr="001530F3">
        <w:t>hours.</w:t>
      </w:r>
    </w:p>
    <w:p w14:paraId="7635F291" w14:textId="15B67F4E" w:rsidR="00875D32" w:rsidRPr="004D1D53" w:rsidRDefault="00875D32" w:rsidP="00314988">
      <w:pPr>
        <w:pStyle w:val="CLDNormal"/>
      </w:pPr>
      <w:r w:rsidRPr="004D1D53">
        <w:t>Exposure from once-daily dosing with tafamidis meglumine increased with increasing dose up to 480 mg single dose and multiple doses up to 80 mg/day</w:t>
      </w:r>
      <w:r w:rsidR="00BB4E33">
        <w:t xml:space="preserve">.  </w:t>
      </w:r>
      <w:r w:rsidRPr="004D1D53">
        <w:t>In general, increases were proportional or near proportional to dose.</w:t>
      </w:r>
    </w:p>
    <w:p w14:paraId="208DF668" w14:textId="24D8B2D8" w:rsidR="00882436" w:rsidRPr="001530F3" w:rsidRDefault="00882436" w:rsidP="00314988">
      <w:pPr>
        <w:pStyle w:val="CLDNormal"/>
      </w:pPr>
      <w:r w:rsidRPr="001530F3">
        <w:t>Mean half</w:t>
      </w:r>
      <w:r>
        <w:noBreakHyphen/>
      </w:r>
      <w:r w:rsidRPr="001530F3">
        <w:t xml:space="preserve">life and oral clearance were similar after single and repeated administration of </w:t>
      </w:r>
      <w:r w:rsidR="00D34484">
        <w:t xml:space="preserve">a </w:t>
      </w:r>
      <w:r w:rsidRPr="001530F3">
        <w:t xml:space="preserve">20 mg dose of tafamidis meglumine, indicating a lack of induction or inhibition of tafamidis </w:t>
      </w:r>
      <w:r w:rsidR="003C38B1">
        <w:t xml:space="preserve">meglumine </w:t>
      </w:r>
      <w:r w:rsidRPr="001530F3">
        <w:t>metabolism.</w:t>
      </w:r>
    </w:p>
    <w:p w14:paraId="11B444B8" w14:textId="30C7DB88" w:rsidR="00882436" w:rsidRPr="008C35F9" w:rsidRDefault="00882436" w:rsidP="00314988">
      <w:pPr>
        <w:pStyle w:val="CLDNormal"/>
        <w:rPr>
          <w:rStyle w:val="Instructions"/>
          <w:i w:val="0"/>
          <w:color w:val="auto"/>
        </w:rPr>
      </w:pPr>
      <w:r w:rsidRPr="001530F3">
        <w:t>Results of once</w:t>
      </w:r>
      <w:r>
        <w:noBreakHyphen/>
      </w:r>
      <w:r w:rsidRPr="001530F3">
        <w:t>daily dosing with tafamidis meglumine 15 m</w:t>
      </w:r>
      <w:r w:rsidR="000D7ECE">
        <w:t>g to 60 mg oral solution for 14 </w:t>
      </w:r>
      <w:r w:rsidRPr="001530F3">
        <w:t>days demonstrated that steady</w:t>
      </w:r>
      <w:r>
        <w:noBreakHyphen/>
      </w:r>
      <w:r w:rsidRPr="001530F3">
        <w:t>state (ss) was achieved by Day 14</w:t>
      </w:r>
      <w:r w:rsidRPr="008C35F9">
        <w:t>.</w:t>
      </w:r>
    </w:p>
    <w:p w14:paraId="37A79D4D" w14:textId="77777777" w:rsidR="001135E3" w:rsidRDefault="001135E3" w:rsidP="001135E3">
      <w:pPr>
        <w:pStyle w:val="CLDHeading3"/>
      </w:pPr>
      <w:r>
        <w:t>Comparative Pharmacokinetics</w:t>
      </w:r>
    </w:p>
    <w:p w14:paraId="688FC453" w14:textId="1B51CEE3" w:rsidR="001135E3" w:rsidRPr="004D1D53" w:rsidRDefault="001135E3" w:rsidP="001135E3">
      <w:pPr>
        <w:pStyle w:val="CLDNormal"/>
      </w:pPr>
      <w:r w:rsidRPr="004D1D53">
        <w:t>Tafamidis 61 mg provides steady-state exposures (C</w:t>
      </w:r>
      <w:r w:rsidRPr="004D1D53">
        <w:rPr>
          <w:vertAlign w:val="subscript"/>
        </w:rPr>
        <w:t>max</w:t>
      </w:r>
      <w:r w:rsidRPr="004D1D53">
        <w:t xml:space="preserve"> and AUC) equivalent to </w:t>
      </w:r>
      <w:r>
        <w:t xml:space="preserve">80 mg </w:t>
      </w:r>
      <w:r w:rsidRPr="004D1D53">
        <w:t xml:space="preserve">tafamidis meglumine (administered as four 20 mg capsules), which was administered to patients with ATTR-CM in the </w:t>
      </w:r>
      <w:proofErr w:type="gramStart"/>
      <w:r w:rsidRPr="004D1D53">
        <w:t>double-blind</w:t>
      </w:r>
      <w:proofErr w:type="gramEnd"/>
      <w:r w:rsidRPr="004D1D53">
        <w:t>, placebo</w:t>
      </w:r>
      <w:r w:rsidRPr="004D1D53">
        <w:noBreakHyphen/>
        <w:t>controlled, randomi</w:t>
      </w:r>
      <w:r>
        <w:t>sed study (</w:t>
      </w:r>
      <w:r w:rsidR="00F65BB7">
        <w:fldChar w:fldCharType="begin"/>
      </w:r>
      <w:r w:rsidR="00F65BB7">
        <w:instrText xml:space="preserve"> REF _Ref33516503 \h </w:instrText>
      </w:r>
      <w:r w:rsidR="00F65BB7">
        <w:fldChar w:fldCharType="separate"/>
      </w:r>
      <w:r w:rsidR="00E23711">
        <w:t xml:space="preserve">Table </w:t>
      </w:r>
      <w:r w:rsidR="00E23711">
        <w:rPr>
          <w:noProof/>
        </w:rPr>
        <w:t>7</w:t>
      </w:r>
      <w:r w:rsidR="00F65BB7">
        <w:fldChar w:fldCharType="end"/>
      </w:r>
      <w:r>
        <w:fldChar w:fldCharType="begin"/>
      </w:r>
      <w:r>
        <w:instrText xml:space="preserve"> REF _Ref532446998 \h </w:instrText>
      </w:r>
      <w:r>
        <w:fldChar w:fldCharType="end"/>
      </w:r>
      <w:r>
        <w:t>) (see S</w:t>
      </w:r>
      <w:r w:rsidRPr="004D1D53">
        <w:t>ection 5.1</w:t>
      </w:r>
      <w:r>
        <w:t xml:space="preserve"> </w:t>
      </w:r>
      <w:proofErr w:type="spellStart"/>
      <w:r>
        <w:t>Pharmacodynamic</w:t>
      </w:r>
      <w:proofErr w:type="spellEnd"/>
      <w:r>
        <w:t xml:space="preserve"> properties</w:t>
      </w:r>
      <w:r w:rsidR="00FB531F">
        <w:t>).</w:t>
      </w:r>
    </w:p>
    <w:p w14:paraId="6E6B9777" w14:textId="67E09CD9" w:rsidR="001135E3" w:rsidRPr="004D1D53" w:rsidRDefault="001135E3" w:rsidP="001135E3">
      <w:pPr>
        <w:pStyle w:val="CLDTableTitle"/>
        <w:rPr>
          <w:b w:val="0"/>
          <w:sz w:val="22"/>
          <w:szCs w:val="22"/>
        </w:rPr>
      </w:pPr>
      <w:bookmarkStart w:id="29" w:name="_Ref33516503"/>
      <w:r>
        <w:lastRenderedPageBreak/>
        <w:t xml:space="preserve">Table </w:t>
      </w:r>
      <w:r>
        <w:fldChar w:fldCharType="begin"/>
      </w:r>
      <w:r>
        <w:instrText xml:space="preserve"> SEQ Table \* ARABIC </w:instrText>
      </w:r>
      <w:r>
        <w:fldChar w:fldCharType="separate"/>
      </w:r>
      <w:r w:rsidR="00E23711">
        <w:rPr>
          <w:noProof/>
        </w:rPr>
        <w:t>7</w:t>
      </w:r>
      <w:r>
        <w:fldChar w:fldCharType="end"/>
      </w:r>
      <w:bookmarkEnd w:id="29"/>
      <w:r w:rsidRPr="004D1D53">
        <w:t>:</w:t>
      </w:r>
      <w:r>
        <w:t xml:space="preserve"> </w:t>
      </w:r>
      <w:r w:rsidRPr="004D1D53">
        <w:t xml:space="preserve"> Comparative pharmacokinetics of tafamidis 61 mg capsule to tafamidis meglumine 80 mg (administered as four 20 mg capsules)</w:t>
      </w:r>
    </w:p>
    <w:tbl>
      <w:tblPr>
        <w:tblW w:w="5000" w:type="pct"/>
        <w:tblLayout w:type="fixed"/>
        <w:tblLook w:val="0000" w:firstRow="0" w:lastRow="0" w:firstColumn="0" w:lastColumn="0" w:noHBand="0" w:noVBand="0"/>
      </w:tblPr>
      <w:tblGrid>
        <w:gridCol w:w="1351"/>
        <w:gridCol w:w="1981"/>
        <w:gridCol w:w="1136"/>
        <w:gridCol w:w="1308"/>
        <w:gridCol w:w="1797"/>
        <w:gridCol w:w="1444"/>
      </w:tblGrid>
      <w:tr w:rsidR="001135E3" w:rsidRPr="004D1D53" w14:paraId="56739DBF" w14:textId="77777777" w:rsidTr="00503BE1">
        <w:trPr>
          <w:cantSplit/>
          <w:tblHeader/>
        </w:trPr>
        <w:tc>
          <w:tcPr>
            <w:tcW w:w="1384" w:type="dxa"/>
            <w:vMerge w:val="restart"/>
            <w:tcBorders>
              <w:top w:val="single" w:sz="4" w:space="0" w:color="auto"/>
              <w:left w:val="single" w:sz="4" w:space="0" w:color="auto"/>
              <w:right w:val="single" w:sz="4" w:space="0" w:color="auto"/>
            </w:tcBorders>
            <w:shd w:val="clear" w:color="auto" w:fill="auto"/>
          </w:tcPr>
          <w:p w14:paraId="309E9EFA" w14:textId="77777777" w:rsidR="001135E3" w:rsidRPr="00314988" w:rsidRDefault="001135E3" w:rsidP="00503BE1">
            <w:pPr>
              <w:pStyle w:val="CLDTableTextListText"/>
              <w:rPr>
                <w:b/>
              </w:rPr>
            </w:pPr>
            <w:r w:rsidRPr="00314988">
              <w:rPr>
                <w:b/>
              </w:rPr>
              <w:t xml:space="preserve">Parameter </w:t>
            </w:r>
            <w:r w:rsidRPr="00314988">
              <w:rPr>
                <w:b/>
              </w:rPr>
              <w:br/>
              <w:t>(units)</w:t>
            </w:r>
          </w:p>
        </w:tc>
        <w:tc>
          <w:tcPr>
            <w:tcW w:w="2033" w:type="dxa"/>
            <w:vMerge w:val="restart"/>
            <w:tcBorders>
              <w:top w:val="single" w:sz="4" w:space="0" w:color="auto"/>
              <w:left w:val="single" w:sz="4" w:space="0" w:color="auto"/>
              <w:right w:val="single" w:sz="4" w:space="0" w:color="auto"/>
            </w:tcBorders>
          </w:tcPr>
          <w:p w14:paraId="5045A247" w14:textId="77777777" w:rsidR="001135E3" w:rsidRPr="00314988" w:rsidRDefault="001135E3" w:rsidP="00503BE1">
            <w:pPr>
              <w:pStyle w:val="CLDTableTextListText"/>
              <w:rPr>
                <w:b/>
              </w:rPr>
            </w:pPr>
            <w:r w:rsidRPr="00314988">
              <w:rPr>
                <w:b/>
              </w:rPr>
              <w:t>Comparison</w:t>
            </w:r>
            <w:r w:rsidRPr="00314988">
              <w:rPr>
                <w:b/>
              </w:rPr>
              <w:br/>
              <w:t>(test versus reference)</w:t>
            </w:r>
          </w:p>
        </w:tc>
        <w:tc>
          <w:tcPr>
            <w:tcW w:w="2503" w:type="dxa"/>
            <w:gridSpan w:val="2"/>
            <w:tcBorders>
              <w:top w:val="single" w:sz="4" w:space="0" w:color="auto"/>
              <w:left w:val="single" w:sz="4" w:space="0" w:color="auto"/>
              <w:right w:val="single" w:sz="4" w:space="0" w:color="auto"/>
            </w:tcBorders>
            <w:shd w:val="clear" w:color="auto" w:fill="auto"/>
            <w:vAlign w:val="center"/>
          </w:tcPr>
          <w:p w14:paraId="1A6F663F" w14:textId="77777777" w:rsidR="001135E3" w:rsidRPr="00314988" w:rsidRDefault="001135E3" w:rsidP="00503BE1">
            <w:pPr>
              <w:pStyle w:val="CLDTableTextListText"/>
              <w:rPr>
                <w:b/>
              </w:rPr>
            </w:pPr>
            <w:r w:rsidRPr="00314988">
              <w:rPr>
                <w:b/>
              </w:rPr>
              <w:t>Adjusted geometric means</w:t>
            </w:r>
          </w:p>
        </w:tc>
        <w:tc>
          <w:tcPr>
            <w:tcW w:w="3323" w:type="dxa"/>
            <w:gridSpan w:val="2"/>
            <w:tcBorders>
              <w:top w:val="single" w:sz="4" w:space="0" w:color="auto"/>
              <w:left w:val="single" w:sz="4" w:space="0" w:color="auto"/>
              <w:right w:val="single" w:sz="4" w:space="0" w:color="auto"/>
            </w:tcBorders>
            <w:shd w:val="clear" w:color="auto" w:fill="auto"/>
          </w:tcPr>
          <w:p w14:paraId="3EB23A4E" w14:textId="77777777" w:rsidR="001135E3" w:rsidRPr="00314988" w:rsidRDefault="001135E3" w:rsidP="00503BE1">
            <w:pPr>
              <w:pStyle w:val="CLDTableTextListText"/>
              <w:rPr>
                <w:b/>
              </w:rPr>
            </w:pPr>
            <w:r w:rsidRPr="00314988">
              <w:rPr>
                <w:b/>
              </w:rPr>
              <w:t>Test versus reference</w:t>
            </w:r>
          </w:p>
        </w:tc>
      </w:tr>
      <w:tr w:rsidR="001135E3" w:rsidRPr="004D1D53" w14:paraId="0E9A4CEF" w14:textId="77777777" w:rsidTr="00503BE1">
        <w:trPr>
          <w:cantSplit/>
          <w:tblHeader/>
        </w:trPr>
        <w:tc>
          <w:tcPr>
            <w:tcW w:w="1384" w:type="dxa"/>
            <w:vMerge/>
            <w:tcBorders>
              <w:left w:val="single" w:sz="4" w:space="0" w:color="auto"/>
              <w:bottom w:val="single" w:sz="4" w:space="0" w:color="auto"/>
              <w:right w:val="single" w:sz="4" w:space="0" w:color="auto"/>
            </w:tcBorders>
            <w:shd w:val="clear" w:color="auto" w:fill="auto"/>
          </w:tcPr>
          <w:p w14:paraId="2C77994E" w14:textId="77777777" w:rsidR="001135E3" w:rsidRPr="00314988" w:rsidRDefault="001135E3" w:rsidP="00503BE1">
            <w:pPr>
              <w:pStyle w:val="CLDTableTextListText"/>
              <w:rPr>
                <w:b/>
              </w:rPr>
            </w:pPr>
          </w:p>
        </w:tc>
        <w:tc>
          <w:tcPr>
            <w:tcW w:w="2033" w:type="dxa"/>
            <w:vMerge/>
            <w:tcBorders>
              <w:left w:val="single" w:sz="4" w:space="0" w:color="auto"/>
              <w:bottom w:val="single" w:sz="4" w:space="0" w:color="auto"/>
              <w:right w:val="single" w:sz="4" w:space="0" w:color="auto"/>
            </w:tcBorders>
          </w:tcPr>
          <w:p w14:paraId="034114EA" w14:textId="77777777" w:rsidR="001135E3" w:rsidRPr="00314988" w:rsidRDefault="001135E3" w:rsidP="00503BE1">
            <w:pPr>
              <w:pStyle w:val="CLDTableTextListText"/>
              <w:rPr>
                <w:b/>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2CC04BC" w14:textId="77777777" w:rsidR="001135E3" w:rsidRPr="00314988" w:rsidRDefault="001135E3" w:rsidP="00503BE1">
            <w:pPr>
              <w:pStyle w:val="CLDTableTextListText"/>
              <w:rPr>
                <w:b/>
              </w:rPr>
            </w:pPr>
            <w:r w:rsidRPr="00314988">
              <w:rPr>
                <w:b/>
                <w:lang w:eastAsia="zh-CN"/>
              </w:rPr>
              <w:t>Test</w:t>
            </w: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17DE9531" w14:textId="77777777" w:rsidR="001135E3" w:rsidRPr="00314988" w:rsidRDefault="001135E3" w:rsidP="00503BE1">
            <w:pPr>
              <w:pStyle w:val="CLDTableTextListText"/>
              <w:rPr>
                <w:b/>
              </w:rPr>
            </w:pPr>
            <w:r w:rsidRPr="00314988">
              <w:rPr>
                <w:b/>
                <w:lang w:eastAsia="zh-CN"/>
              </w:rPr>
              <w:t>Reference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0E2AC7" w14:textId="77777777" w:rsidR="001135E3" w:rsidRPr="00314988" w:rsidRDefault="001135E3" w:rsidP="00503BE1">
            <w:pPr>
              <w:pStyle w:val="CLDTableTextListText"/>
              <w:rPr>
                <w:b/>
              </w:rPr>
            </w:pPr>
            <w:r w:rsidRPr="00314988">
              <w:rPr>
                <w:b/>
              </w:rPr>
              <w:t>Ratio (%)</w:t>
            </w:r>
            <w:r w:rsidRPr="00314988">
              <w:rPr>
                <w:b/>
                <w:vertAlign w:val="superscript"/>
              </w:rPr>
              <w:t>a</w:t>
            </w:r>
            <w:r w:rsidRPr="00314988">
              <w:rPr>
                <w:b/>
                <w:lang w:eastAsia="zh-CN"/>
              </w:rPr>
              <w:t xml:space="preserve"> </w:t>
            </w:r>
            <w:r w:rsidRPr="00314988">
              <w:rPr>
                <w:b/>
                <w:lang w:eastAsia="zh-CN"/>
              </w:rPr>
              <w:br/>
              <w:t>(test/reference)</w:t>
            </w: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278BF40E" w14:textId="77777777" w:rsidR="001135E3" w:rsidRPr="00314988" w:rsidRDefault="001135E3" w:rsidP="00503BE1">
            <w:pPr>
              <w:pStyle w:val="CLDTableTextListText"/>
              <w:rPr>
                <w:b/>
              </w:rPr>
            </w:pPr>
            <w:r w:rsidRPr="00314988">
              <w:rPr>
                <w:b/>
              </w:rPr>
              <w:t>90% CI</w:t>
            </w:r>
            <w:r w:rsidRPr="00314988">
              <w:rPr>
                <w:b/>
                <w:vertAlign w:val="superscript"/>
              </w:rPr>
              <w:t>a</w:t>
            </w:r>
          </w:p>
          <w:p w14:paraId="3F1E75CF" w14:textId="77777777" w:rsidR="001135E3" w:rsidRPr="00314988" w:rsidRDefault="001135E3" w:rsidP="00503BE1">
            <w:pPr>
              <w:pStyle w:val="CLDTableTextListText"/>
              <w:rPr>
                <w:b/>
              </w:rPr>
            </w:pPr>
            <w:r w:rsidRPr="00314988">
              <w:rPr>
                <w:b/>
              </w:rPr>
              <w:t>for ratio</w:t>
            </w:r>
          </w:p>
        </w:tc>
      </w:tr>
      <w:tr w:rsidR="001135E3" w:rsidRPr="004D1D53" w14:paraId="0A9FE4FD" w14:textId="77777777" w:rsidTr="00503BE1">
        <w:trPr>
          <w:cantSplit/>
          <w:trHeight w:val="632"/>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0863248" w14:textId="77777777" w:rsidR="001135E3" w:rsidRPr="004D1D53" w:rsidRDefault="001135E3" w:rsidP="00503BE1">
            <w:pPr>
              <w:pStyle w:val="CLDTableTextListText"/>
            </w:pPr>
            <w:r w:rsidRPr="004D1D53">
              <w:t>AUC</w:t>
            </w:r>
            <w:r w:rsidRPr="004D1D53">
              <w:rPr>
                <w:vertAlign w:val="subscript"/>
              </w:rPr>
              <w:t xml:space="preserve">tau </w:t>
            </w:r>
            <w:r w:rsidRPr="004D1D53">
              <w:rPr>
                <w:vertAlign w:val="subscript"/>
              </w:rPr>
              <w:br/>
            </w:r>
            <w:r w:rsidRPr="004D1D53">
              <w:t>(</w:t>
            </w:r>
            <w:r w:rsidRPr="004D1D53">
              <w:rPr>
                <w:lang w:eastAsia="zh-CN"/>
              </w:rPr>
              <w:t>µ</w:t>
            </w:r>
            <w:r w:rsidRPr="004D1D53">
              <w:t>g.hr/mL)</w:t>
            </w:r>
          </w:p>
        </w:tc>
        <w:tc>
          <w:tcPr>
            <w:tcW w:w="2033" w:type="dxa"/>
            <w:vMerge w:val="restart"/>
            <w:tcBorders>
              <w:top w:val="single" w:sz="4" w:space="0" w:color="auto"/>
              <w:left w:val="single" w:sz="4" w:space="0" w:color="auto"/>
              <w:bottom w:val="single" w:sz="4" w:space="0" w:color="auto"/>
              <w:right w:val="single" w:sz="4" w:space="0" w:color="auto"/>
            </w:tcBorders>
          </w:tcPr>
          <w:p w14:paraId="4743DC9B" w14:textId="77777777" w:rsidR="001135E3" w:rsidRPr="004D1D53" w:rsidRDefault="001135E3" w:rsidP="00503BE1">
            <w:pPr>
              <w:pStyle w:val="CLDTableTextListText"/>
              <w:rPr>
                <w:lang w:eastAsia="zh-CN"/>
              </w:rPr>
            </w:pPr>
            <w:r w:rsidRPr="004D1D53">
              <w:t>Tafamidis 61 mg capsule (Test) v</w:t>
            </w:r>
            <w:r w:rsidRPr="004D1D53">
              <w:rPr>
                <w:lang w:eastAsia="zh-CN"/>
              </w:rPr>
              <w:t>er</w:t>
            </w:r>
            <w:r w:rsidRPr="004D1D53">
              <w:t>s</w:t>
            </w:r>
            <w:r w:rsidRPr="004D1D53">
              <w:rPr>
                <w:lang w:eastAsia="zh-CN"/>
              </w:rPr>
              <w:t>us</w:t>
            </w:r>
            <w:r w:rsidRPr="004D1D53">
              <w:rPr>
                <w:b/>
              </w:rPr>
              <w:t xml:space="preserve"> </w:t>
            </w:r>
            <w:r w:rsidRPr="004D1D53">
              <w:t>Tafamidis meglumine Four 20 mg capsules (Reference)</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1730818" w14:textId="77777777" w:rsidR="001135E3" w:rsidRPr="004D1D53" w:rsidRDefault="001135E3" w:rsidP="00503BE1">
            <w:pPr>
              <w:pStyle w:val="CLDTableTextListText"/>
              <w:rPr>
                <w:lang w:eastAsia="zh-CN"/>
              </w:rPr>
            </w:pPr>
            <w:r w:rsidRPr="004D1D53">
              <w:rPr>
                <w:lang w:eastAsia="zh-CN"/>
              </w:rPr>
              <w:t>170.0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50A35C6" w14:textId="77777777" w:rsidR="001135E3" w:rsidRPr="004D1D53" w:rsidRDefault="001135E3" w:rsidP="00503BE1">
            <w:pPr>
              <w:pStyle w:val="CLDTableTextListText"/>
              <w:rPr>
                <w:lang w:eastAsia="zh-CN"/>
              </w:rPr>
            </w:pPr>
            <w:r w:rsidRPr="004D1D53">
              <w:rPr>
                <w:lang w:eastAsia="zh-CN"/>
              </w:rPr>
              <w:t>166.2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D911E" w14:textId="77777777" w:rsidR="001135E3" w:rsidRPr="004D1D53" w:rsidRDefault="001135E3" w:rsidP="00503BE1">
            <w:pPr>
              <w:pStyle w:val="CLDTableTextListText"/>
              <w:rPr>
                <w:lang w:eastAsia="zh-CN"/>
              </w:rPr>
            </w:pPr>
            <w:r w:rsidRPr="004D1D53">
              <w:rPr>
                <w:lang w:eastAsia="zh-CN"/>
              </w:rPr>
              <w:t>102.28</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A7521D6" w14:textId="77777777" w:rsidR="001135E3" w:rsidRPr="004D1D53" w:rsidRDefault="001135E3" w:rsidP="00503BE1">
            <w:pPr>
              <w:pStyle w:val="CLDTableTextListText"/>
            </w:pPr>
            <w:r w:rsidRPr="004D1D53">
              <w:t>(97.99, 106.76)</w:t>
            </w:r>
          </w:p>
        </w:tc>
      </w:tr>
      <w:tr w:rsidR="001135E3" w:rsidRPr="004D1D53" w14:paraId="2663D065" w14:textId="77777777" w:rsidTr="00503BE1">
        <w:trPr>
          <w:cantSplit/>
          <w:trHeight w:val="633"/>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3207402" w14:textId="77777777" w:rsidR="001135E3" w:rsidRPr="004D1D53" w:rsidRDefault="001135E3" w:rsidP="00503BE1">
            <w:pPr>
              <w:pStyle w:val="CLDTableTextListText"/>
            </w:pPr>
            <w:r w:rsidRPr="004D1D53">
              <w:t>C</w:t>
            </w:r>
            <w:r w:rsidRPr="004D1D53">
              <w:rPr>
                <w:vertAlign w:val="subscript"/>
              </w:rPr>
              <w:t xml:space="preserve">max </w:t>
            </w:r>
            <w:r w:rsidRPr="004D1D53">
              <w:t>(</w:t>
            </w:r>
            <w:r w:rsidRPr="004D1D53">
              <w:rPr>
                <w:lang w:eastAsia="zh-CN"/>
              </w:rPr>
              <w:t>µ</w:t>
            </w:r>
            <w:r w:rsidRPr="004D1D53">
              <w:t>g/mL)</w:t>
            </w:r>
          </w:p>
        </w:tc>
        <w:tc>
          <w:tcPr>
            <w:tcW w:w="2033" w:type="dxa"/>
            <w:vMerge/>
            <w:tcBorders>
              <w:top w:val="single" w:sz="4" w:space="0" w:color="auto"/>
              <w:left w:val="single" w:sz="4" w:space="0" w:color="auto"/>
              <w:bottom w:val="single" w:sz="4" w:space="0" w:color="auto"/>
              <w:right w:val="single" w:sz="4" w:space="0" w:color="auto"/>
            </w:tcBorders>
          </w:tcPr>
          <w:p w14:paraId="7F0F501B" w14:textId="77777777" w:rsidR="001135E3" w:rsidRPr="004D1D53" w:rsidRDefault="001135E3" w:rsidP="00503BE1">
            <w:pPr>
              <w:pStyle w:val="CLDTableTextListText"/>
              <w:rPr>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98124C8" w14:textId="77777777" w:rsidR="001135E3" w:rsidRPr="004D1D53" w:rsidRDefault="001135E3" w:rsidP="00503BE1">
            <w:pPr>
              <w:pStyle w:val="CLDTableTextListText"/>
              <w:rPr>
                <w:lang w:eastAsia="zh-CN"/>
              </w:rPr>
            </w:pPr>
            <w:r w:rsidRPr="004D1D53">
              <w:rPr>
                <w:lang w:eastAsia="zh-CN"/>
              </w:rPr>
              <w:t>8.553</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3A6CC1A2" w14:textId="77777777" w:rsidR="001135E3" w:rsidRPr="004D1D53" w:rsidRDefault="001135E3" w:rsidP="00503BE1">
            <w:pPr>
              <w:pStyle w:val="CLDTableTextListText"/>
              <w:rPr>
                <w:lang w:eastAsia="zh-CN"/>
              </w:rPr>
            </w:pPr>
            <w:r w:rsidRPr="004D1D53">
              <w:rPr>
                <w:lang w:eastAsia="zh-CN"/>
              </w:rPr>
              <w:t>9.087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4D276F" w14:textId="77777777" w:rsidR="001135E3" w:rsidRPr="004D1D53" w:rsidRDefault="001135E3" w:rsidP="00503BE1">
            <w:pPr>
              <w:pStyle w:val="CLDTableTextListText"/>
              <w:rPr>
                <w:lang w:eastAsia="zh-CN"/>
              </w:rPr>
            </w:pPr>
            <w:r w:rsidRPr="004D1D53">
              <w:rPr>
                <w:lang w:eastAsia="zh-CN"/>
              </w:rPr>
              <w:t>94.12</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1FEEC762" w14:textId="77777777" w:rsidR="001135E3" w:rsidRPr="004D1D53" w:rsidRDefault="001135E3" w:rsidP="00503BE1">
            <w:pPr>
              <w:pStyle w:val="CLDTableTextListText"/>
            </w:pPr>
            <w:r w:rsidRPr="004D1D53">
              <w:t>(89.09, 99.42)</w:t>
            </w:r>
          </w:p>
        </w:tc>
      </w:tr>
      <w:tr w:rsidR="001135E3" w:rsidRPr="004D1D53" w14:paraId="4722BEDC" w14:textId="77777777" w:rsidTr="00503BE1">
        <w:trPr>
          <w:cantSplit/>
        </w:trPr>
        <w:tc>
          <w:tcPr>
            <w:tcW w:w="9243" w:type="dxa"/>
            <w:gridSpan w:val="6"/>
            <w:tcBorders>
              <w:top w:val="single" w:sz="4" w:space="0" w:color="auto"/>
            </w:tcBorders>
          </w:tcPr>
          <w:p w14:paraId="5E3E8BB4" w14:textId="77777777" w:rsidR="001135E3" w:rsidRPr="004D1D53" w:rsidRDefault="001135E3" w:rsidP="00503BE1">
            <w:pPr>
              <w:pStyle w:val="CLDTableFootnote"/>
              <w:rPr>
                <w:lang w:eastAsia="zh-CN"/>
              </w:rPr>
            </w:pPr>
            <w:r w:rsidRPr="004D1D53">
              <w:rPr>
                <w:lang w:eastAsia="zh-CN"/>
              </w:rPr>
              <w:t>Abbreviations: CI=confidence interval; mg=milligram; µ</w:t>
            </w:r>
            <w:r w:rsidRPr="004D1D53">
              <w:t>g</w:t>
            </w:r>
            <w:r w:rsidRPr="004D1D53">
              <w:rPr>
                <w:lang w:eastAsia="zh-CN"/>
              </w:rPr>
              <w:t>=microgram; mL=millilitre; AUC</w:t>
            </w:r>
            <w:r w:rsidRPr="004D1D53">
              <w:rPr>
                <w:vertAlign w:val="subscript"/>
                <w:lang w:eastAsia="zh-CN"/>
              </w:rPr>
              <w:t>tau</w:t>
            </w:r>
            <w:r w:rsidRPr="004D1D53">
              <w:rPr>
                <w:lang w:eastAsia="zh-CN"/>
              </w:rPr>
              <w:t>=area under curve from time 0 to time tau, the dosing interval, where tau=24 hours for daily dosing; C</w:t>
            </w:r>
            <w:r w:rsidRPr="004D1D53">
              <w:rPr>
                <w:vertAlign w:val="subscript"/>
                <w:lang w:eastAsia="zh-CN"/>
              </w:rPr>
              <w:t>max</w:t>
            </w:r>
            <w:r w:rsidRPr="004D1D53">
              <w:rPr>
                <w:lang w:eastAsia="zh-CN"/>
              </w:rPr>
              <w:t>=maximum serum concentration.</w:t>
            </w:r>
          </w:p>
          <w:p w14:paraId="20827081" w14:textId="77777777" w:rsidR="001135E3" w:rsidRPr="004D1D53" w:rsidRDefault="001135E3" w:rsidP="00503BE1">
            <w:pPr>
              <w:pStyle w:val="CLDTableFootnote"/>
              <w:rPr>
                <w:lang w:eastAsia="zh-CN"/>
              </w:rPr>
            </w:pPr>
            <w:r w:rsidRPr="004D1D53">
              <w:rPr>
                <w:vertAlign w:val="superscript"/>
                <w:lang w:eastAsia="zh-CN"/>
              </w:rPr>
              <w:t>a</w:t>
            </w:r>
            <w:r w:rsidRPr="004D1D53">
              <w:rPr>
                <w:lang w:eastAsia="zh-CN"/>
              </w:rPr>
              <w:t xml:space="preserve"> The ratios and 90% CIs are expressed as percentages.</w:t>
            </w:r>
          </w:p>
        </w:tc>
      </w:tr>
    </w:tbl>
    <w:p w14:paraId="3B9AEE18" w14:textId="77777777" w:rsidR="00633E2B" w:rsidRPr="004D1D53" w:rsidRDefault="00633E2B" w:rsidP="00314988">
      <w:pPr>
        <w:pStyle w:val="CLDHeading3"/>
      </w:pPr>
      <w:r w:rsidRPr="004D1D53">
        <w:t>Special populations</w:t>
      </w:r>
    </w:p>
    <w:p w14:paraId="20853195" w14:textId="77777777" w:rsidR="00633E2B" w:rsidRPr="004D1D53" w:rsidRDefault="00633E2B" w:rsidP="00314988">
      <w:pPr>
        <w:pStyle w:val="CLDHeading4"/>
      </w:pPr>
      <w:r w:rsidRPr="004D1D53">
        <w:t>Hepatic impairment</w:t>
      </w:r>
    </w:p>
    <w:p w14:paraId="442ED333" w14:textId="5FF195ED" w:rsidR="00882436" w:rsidRPr="001530F3" w:rsidRDefault="00882436" w:rsidP="00314988">
      <w:pPr>
        <w:pStyle w:val="CLDNormal"/>
      </w:pPr>
      <w:r w:rsidRPr="001530F3">
        <w:t>No dose adjustment is necessary in mild or moderate hepatic impairment</w:t>
      </w:r>
      <w:r w:rsidR="00BB4E33">
        <w:t xml:space="preserve">.  </w:t>
      </w:r>
      <w:r w:rsidRPr="001530F3">
        <w:t>Pharmacokinetic data indicated decreased systemic exposure (approximately 40%) and increased total clearance (0.52 L/h v</w:t>
      </w:r>
      <w:r>
        <w:t>ersu</w:t>
      </w:r>
      <w:r w:rsidRPr="001530F3">
        <w:t xml:space="preserve">s 0.31 L/h) of </w:t>
      </w:r>
      <w:r w:rsidR="00D34484">
        <w:t>tafamidis meglumine</w:t>
      </w:r>
      <w:r w:rsidR="00D34484" w:rsidRPr="001530F3">
        <w:t xml:space="preserve"> </w:t>
      </w:r>
      <w:r w:rsidRPr="001530F3">
        <w:t>in subjects with moderate hepatic impairment (Child</w:t>
      </w:r>
      <w:r>
        <w:noBreakHyphen/>
      </w:r>
      <w:r w:rsidRPr="001530F3">
        <w:t>Pugh Score of 7</w:t>
      </w:r>
      <w:r>
        <w:noBreakHyphen/>
      </w:r>
      <w:r w:rsidRPr="001530F3">
        <w:t>9 inclusive) compared to healthy subjects</w:t>
      </w:r>
      <w:r w:rsidR="00BB4E33">
        <w:t xml:space="preserve">.  </w:t>
      </w:r>
      <w:r w:rsidRPr="001530F3">
        <w:t xml:space="preserve">As TTR levels are lower in patients with moderate hepatic impairment than in healthy subjects, the exposure of </w:t>
      </w:r>
      <w:r w:rsidR="00295C81">
        <w:t>VYNDAQEL</w:t>
      </w:r>
      <w:r w:rsidR="00295C81" w:rsidRPr="001530F3">
        <w:t xml:space="preserve"> </w:t>
      </w:r>
      <w:r w:rsidRPr="001530F3">
        <w:t xml:space="preserve">relative to the amount of TTR </w:t>
      </w:r>
      <w:r w:rsidR="00586DA6">
        <w:t>would be sufficient for stabilis</w:t>
      </w:r>
      <w:r w:rsidRPr="001530F3">
        <w:t>ation of the TTR tetramer in these patients</w:t>
      </w:r>
      <w:r w:rsidR="00BB4E33">
        <w:t xml:space="preserve">.  </w:t>
      </w:r>
      <w:r w:rsidRPr="001530F3">
        <w:t xml:space="preserve">Exposure to </w:t>
      </w:r>
      <w:r w:rsidR="00295C81">
        <w:t>VYNDAQEL</w:t>
      </w:r>
      <w:r w:rsidR="00295C81" w:rsidRPr="001530F3">
        <w:t xml:space="preserve"> </w:t>
      </w:r>
      <w:r w:rsidRPr="001530F3">
        <w:t>was similar between subjects with mild hepatic impairment and healthy subjects.</w:t>
      </w:r>
    </w:p>
    <w:p w14:paraId="148470E9" w14:textId="4096523A" w:rsidR="00882436" w:rsidRDefault="00882436" w:rsidP="00314988">
      <w:pPr>
        <w:pStyle w:val="CLDNormal"/>
      </w:pPr>
      <w:r w:rsidRPr="001530F3">
        <w:t xml:space="preserve">The exposure to </w:t>
      </w:r>
      <w:r w:rsidR="00295C81">
        <w:t>VYNDAQEL</w:t>
      </w:r>
      <w:r w:rsidR="00295C81" w:rsidRPr="001530F3">
        <w:t xml:space="preserve"> </w:t>
      </w:r>
      <w:r w:rsidRPr="001530F3">
        <w:t>in patients with severe hepatic impairment is unknown.</w:t>
      </w:r>
    </w:p>
    <w:p w14:paraId="3EA82599" w14:textId="77777777" w:rsidR="00633E2B" w:rsidRPr="004D1D53" w:rsidRDefault="00633E2B" w:rsidP="00314988">
      <w:pPr>
        <w:pStyle w:val="CLDHeading4"/>
      </w:pPr>
      <w:r w:rsidRPr="004D1D53">
        <w:t>Renal impairment</w:t>
      </w:r>
    </w:p>
    <w:p w14:paraId="65F26398" w14:textId="56662767" w:rsidR="00882436" w:rsidRPr="001530F3" w:rsidRDefault="00295C81" w:rsidP="00314988">
      <w:pPr>
        <w:pStyle w:val="CLDNormal"/>
      </w:pPr>
      <w:r>
        <w:t>VYNDAQEL</w:t>
      </w:r>
      <w:r w:rsidRPr="001530F3">
        <w:t xml:space="preserve"> </w:t>
      </w:r>
      <w:r w:rsidR="00882436" w:rsidRPr="001530F3">
        <w:t>has not specifically been evaluated in patients with renal impairment</w:t>
      </w:r>
      <w:r w:rsidR="00BB4E33">
        <w:t xml:space="preserve">.  </w:t>
      </w:r>
      <w:r w:rsidR="00586DA6">
        <w:t xml:space="preserve">Tafamidis </w:t>
      </w:r>
      <w:r w:rsidR="003C38B1">
        <w:t xml:space="preserve">meglumine </w:t>
      </w:r>
      <w:r w:rsidR="00586DA6">
        <w:t>is primarily metabolis</w:t>
      </w:r>
      <w:r w:rsidR="00882436" w:rsidRPr="001530F3">
        <w:t>ed by glucuronidation and is likely excreted via the hepatobiliary pathway</w:t>
      </w:r>
      <w:r w:rsidR="00BB4E33">
        <w:t xml:space="preserve">.  </w:t>
      </w:r>
      <w:r w:rsidR="00882436" w:rsidRPr="001530F3">
        <w:t xml:space="preserve">The influence of creatinine clearance on tafamidis </w:t>
      </w:r>
      <w:r w:rsidR="003C38B1">
        <w:t xml:space="preserve">meglumine </w:t>
      </w:r>
      <w:r w:rsidR="00882436" w:rsidRPr="001530F3">
        <w:t>pharmacokinetics (PK) was evaluated in a population PK analysis in patient</w:t>
      </w:r>
      <w:r w:rsidR="000D7ECE">
        <w:t>s with creatinine clearance &gt;18 </w:t>
      </w:r>
      <w:r w:rsidR="00882436" w:rsidRPr="001530F3">
        <w:t>mL/min</w:t>
      </w:r>
      <w:r w:rsidR="00BB4E33">
        <w:t xml:space="preserve">.  </w:t>
      </w:r>
      <w:r w:rsidR="00882436" w:rsidRPr="001530F3">
        <w:t xml:space="preserve">Pharmacokinetic estimates indicated no difference in apparent oral clearance of tafamidis </w:t>
      </w:r>
      <w:r w:rsidR="003C38B1">
        <w:t xml:space="preserve">meglumine </w:t>
      </w:r>
      <w:r w:rsidR="00882436" w:rsidRPr="001530F3">
        <w:t>in patients with creatinine clearance &lt;80 mL/min compared to those with creatinine clearance ≥80 mL/min</w:t>
      </w:r>
      <w:r w:rsidR="00BB4E33">
        <w:t xml:space="preserve">.  </w:t>
      </w:r>
      <w:r w:rsidR="00882436" w:rsidRPr="001530F3">
        <w:t>No dosage adjustment is required in patients with renal impairment</w:t>
      </w:r>
      <w:r w:rsidR="00BB4E33">
        <w:t xml:space="preserve">.  </w:t>
      </w:r>
      <w:r w:rsidR="00882436">
        <w:t>Limited</w:t>
      </w:r>
      <w:r w:rsidR="00882436" w:rsidRPr="001530F3">
        <w:t xml:space="preserve"> data are available in patients with severe renal impai</w:t>
      </w:r>
      <w:r w:rsidR="00F35E3A">
        <w:t>rment (creatinine clearance ≤30 </w:t>
      </w:r>
      <w:r w:rsidR="00882436" w:rsidRPr="001530F3">
        <w:t>mL/min).</w:t>
      </w:r>
    </w:p>
    <w:p w14:paraId="60E949E4" w14:textId="77777777" w:rsidR="00633E2B" w:rsidRPr="004D1D53" w:rsidRDefault="00633E2B" w:rsidP="00314988">
      <w:pPr>
        <w:pStyle w:val="CLDHeading4"/>
      </w:pPr>
      <w:r w:rsidRPr="004D1D53">
        <w:t>Elderly</w:t>
      </w:r>
    </w:p>
    <w:p w14:paraId="5178B486" w14:textId="457C40A1" w:rsidR="00882436" w:rsidRDefault="00882436" w:rsidP="00314988">
      <w:pPr>
        <w:pStyle w:val="CLDNormal"/>
      </w:pPr>
      <w:r w:rsidRPr="001530F3">
        <w:t xml:space="preserve">Based on population pharmacokinetic results, patients </w:t>
      </w:r>
      <w:r w:rsidR="00DF2581">
        <w:sym w:font="Symbol" w:char="F0B3"/>
      </w:r>
      <w:r w:rsidR="00DF2581">
        <w:t xml:space="preserve"> </w:t>
      </w:r>
      <w:r w:rsidRPr="001530F3">
        <w:t>65 years of age had an average 15% lower estimate of apparent oral clearance at steady</w:t>
      </w:r>
      <w:r>
        <w:noBreakHyphen/>
      </w:r>
      <w:r w:rsidRPr="001530F3">
        <w:t>state when compared with patients under the age of 65</w:t>
      </w:r>
      <w:r w:rsidR="00BB4E33">
        <w:t xml:space="preserve">.  </w:t>
      </w:r>
      <w:r w:rsidRPr="001530F3">
        <w:t xml:space="preserve">However, the difference in clearance results in &lt;20% increases in mean </w:t>
      </w:r>
      <w:r w:rsidRPr="001530F3">
        <w:rPr>
          <w:szCs w:val="22"/>
        </w:rPr>
        <w:t>C</w:t>
      </w:r>
      <w:r w:rsidRPr="001530F3">
        <w:rPr>
          <w:szCs w:val="22"/>
          <w:vertAlign w:val="subscript"/>
        </w:rPr>
        <w:t>max</w:t>
      </w:r>
      <w:r w:rsidRPr="001530F3">
        <w:rPr>
          <w:szCs w:val="22"/>
        </w:rPr>
        <w:t xml:space="preserve"> and AUC compared to younger subjects and is not clinically significant</w:t>
      </w:r>
      <w:r w:rsidRPr="001530F3">
        <w:t>.</w:t>
      </w:r>
    </w:p>
    <w:p w14:paraId="4AC83322" w14:textId="7D568153" w:rsidR="00F1762B" w:rsidRPr="001530F3" w:rsidRDefault="00F1762B" w:rsidP="00F1762B">
      <w:pPr>
        <w:pStyle w:val="CLDHeading2"/>
      </w:pPr>
      <w:r>
        <w:lastRenderedPageBreak/>
        <w:t>5.3</w:t>
      </w:r>
      <w:r>
        <w:tab/>
        <w:t>Preclinical safety data</w:t>
      </w:r>
    </w:p>
    <w:p w14:paraId="46E53F9D" w14:textId="3575C510" w:rsidR="00887811" w:rsidRDefault="00887811" w:rsidP="00755FFF">
      <w:pPr>
        <w:pStyle w:val="CLDHeading3"/>
      </w:pPr>
      <w:r>
        <w:t>Genotoxicity</w:t>
      </w:r>
    </w:p>
    <w:p w14:paraId="21488736" w14:textId="280270D0" w:rsidR="00CD7E76" w:rsidRPr="00CD7E76" w:rsidRDefault="00BC541C" w:rsidP="00BD7A69">
      <w:pPr>
        <w:pStyle w:val="CLDNormal"/>
      </w:pPr>
      <w:bookmarkStart w:id="30" w:name="_Hlk19017270"/>
      <w:r>
        <w:t xml:space="preserve">Tafamidis </w:t>
      </w:r>
      <w:r w:rsidR="003C38B1">
        <w:t xml:space="preserve">meglumine </w:t>
      </w:r>
      <w:r>
        <w:t xml:space="preserve">was not genotoxic in a bacterial reverse mutation assay, in an </w:t>
      </w:r>
      <w:r>
        <w:rPr>
          <w:i/>
        </w:rPr>
        <w:t xml:space="preserve">in </w:t>
      </w:r>
      <w:r w:rsidRPr="00BC541C">
        <w:t>vitro</w:t>
      </w:r>
      <w:r>
        <w:t xml:space="preserve"> human lymphocyte chromosomal aberration assay or in an </w:t>
      </w:r>
      <w:r>
        <w:rPr>
          <w:i/>
        </w:rPr>
        <w:t xml:space="preserve">in vivo </w:t>
      </w:r>
      <w:r>
        <w:t xml:space="preserve">rat bone marrow micronucleus test.  </w:t>
      </w:r>
      <w:bookmarkEnd w:id="30"/>
      <w:r w:rsidR="00BD7A69" w:rsidRPr="00BC541C">
        <w:t>Nonclinical</w:t>
      </w:r>
      <w:r w:rsidR="00BD7A69" w:rsidRPr="001530F3">
        <w:t xml:space="preserve"> data demonstrated no special hazard for humans based on conventional studies of genotoxicity</w:t>
      </w:r>
      <w:r w:rsidR="00BD7A69">
        <w:t>.</w:t>
      </w:r>
    </w:p>
    <w:p w14:paraId="46E53F9F" w14:textId="0BA5E366" w:rsidR="00887811" w:rsidRPr="00CD3920" w:rsidRDefault="00887811" w:rsidP="00755FFF">
      <w:pPr>
        <w:pStyle w:val="CLDHeading3"/>
        <w:rPr>
          <w:bCs/>
          <w:i/>
          <w:iCs w:val="0"/>
        </w:rPr>
      </w:pPr>
      <w:bookmarkStart w:id="31" w:name="_Hlk19017508"/>
      <w:r w:rsidRPr="00CD3920">
        <w:t>Carcinogenicity</w:t>
      </w:r>
    </w:p>
    <w:p w14:paraId="570DEF14" w14:textId="71F70E40" w:rsidR="00BD7A69" w:rsidRPr="00B14EB8" w:rsidRDefault="00BD7A69" w:rsidP="00BD7A69">
      <w:pPr>
        <w:pStyle w:val="CLDNormal"/>
        <w:rPr>
          <w:vertAlign w:val="superscript"/>
        </w:rPr>
      </w:pPr>
      <w:r w:rsidRPr="001530F3">
        <w:t>There was no evidence of increased incidence of neoplasia in a 2</w:t>
      </w:r>
      <w:r>
        <w:noBreakHyphen/>
      </w:r>
      <w:r w:rsidRPr="001530F3">
        <w:t>year carcinogenicity study in rats at exposures up to 18</w:t>
      </w:r>
      <w:r>
        <w:noBreakHyphen/>
      </w:r>
      <w:r w:rsidRPr="001530F3">
        <w:t>times the human AUC at the clinical dose of 80 mg tafamidis meglumine.</w:t>
      </w:r>
      <w:r w:rsidR="000D7ECE">
        <w:t xml:space="preserve"> </w:t>
      </w:r>
      <w:r w:rsidR="00B14EB8">
        <w:rPr>
          <w:vertAlign w:val="superscript"/>
        </w:rPr>
        <w:t xml:space="preserve"> </w:t>
      </w:r>
      <w:r w:rsidR="00D34484" w:rsidRPr="001530F3">
        <w:t>There was no evidence of an</w:t>
      </w:r>
      <w:r w:rsidR="006C645F">
        <w:t xml:space="preserve"> </w:t>
      </w:r>
      <w:r w:rsidR="00D34484" w:rsidRPr="001530F3">
        <w:t>increased incidence of neoplasia in the transgenic (Tg)</w:t>
      </w:r>
      <w:r w:rsidR="00D34484">
        <w:noBreakHyphen/>
      </w:r>
      <w:r w:rsidR="00D34484" w:rsidRPr="001530F3">
        <w:t xml:space="preserve">rasH2 mouse following repeat daily administration for 26 weeks at exposures up to </w:t>
      </w:r>
      <w:r w:rsidR="00E72DF9">
        <w:t>9.9</w:t>
      </w:r>
      <w:r w:rsidR="00D34484">
        <w:noBreakHyphen/>
      </w:r>
      <w:r w:rsidR="00D34484" w:rsidRPr="001530F3">
        <w:t>times the human AUC at the clinical dose of 80 mg tafamidis meglumine</w:t>
      </w:r>
      <w:bookmarkStart w:id="32" w:name="_Hlk27136506"/>
      <w:r w:rsidR="00D34484" w:rsidRPr="001530F3">
        <w:t xml:space="preserve">. </w:t>
      </w:r>
      <w:r w:rsidR="00D34484">
        <w:t xml:space="preserve"> </w:t>
      </w:r>
      <w:r w:rsidRPr="001530F3">
        <w:t>In this study, significant non</w:t>
      </w:r>
      <w:r>
        <w:noBreakHyphen/>
      </w:r>
      <w:r w:rsidRPr="001530F3">
        <w:t>neoplastic lesions were noted in the kidneys (nephrosis) and liver (centrilobular hypertrophy and single cell necrosis) in the Tg</w:t>
      </w:r>
      <w:r>
        <w:noBreakHyphen/>
      </w:r>
      <w:r w:rsidRPr="001530F3">
        <w:t xml:space="preserve">rasH2 mice at </w:t>
      </w:r>
      <w:r w:rsidR="00E72DF9">
        <w:t xml:space="preserve">exposures </w:t>
      </w:r>
      <w:r w:rsidRPr="001530F3">
        <w:t>≥</w:t>
      </w:r>
      <w:r w:rsidR="00E72DF9">
        <w:t>2</w:t>
      </w:r>
      <w:r w:rsidR="00835668">
        <w:t>.</w:t>
      </w:r>
      <w:r w:rsidR="00E72DF9">
        <w:t>9</w:t>
      </w:r>
      <w:r>
        <w:noBreakHyphen/>
      </w:r>
      <w:r w:rsidRPr="001530F3">
        <w:t xml:space="preserve">times the clinical </w:t>
      </w:r>
      <w:r w:rsidR="00835668">
        <w:t>AUC</w:t>
      </w:r>
      <w:r w:rsidR="00835668" w:rsidRPr="001530F3">
        <w:t xml:space="preserve"> </w:t>
      </w:r>
      <w:r w:rsidR="00E72DF9">
        <w:t>at</w:t>
      </w:r>
      <w:r w:rsidRPr="001530F3">
        <w:t xml:space="preserve"> 80 mg tafamidis meglumine.</w:t>
      </w:r>
    </w:p>
    <w:bookmarkEnd w:id="31"/>
    <w:bookmarkEnd w:id="32"/>
    <w:p w14:paraId="46E53FA8" w14:textId="3CF7D3D3" w:rsidR="00112B3F" w:rsidRDefault="002B1AAB" w:rsidP="00FB531F">
      <w:pPr>
        <w:pStyle w:val="CLDHeading1"/>
        <w:spacing w:before="240"/>
        <w:ind w:left="425" w:hanging="425"/>
      </w:pPr>
      <w:r>
        <w:t>6.</w:t>
      </w:r>
      <w:r>
        <w:tab/>
      </w:r>
      <w:r w:rsidR="0018348D">
        <w:t>PHARMACEUTICAL PARTICULARS</w:t>
      </w:r>
    </w:p>
    <w:p w14:paraId="46E53FA9" w14:textId="62173F53" w:rsidR="00830B98" w:rsidRDefault="002B1AAB" w:rsidP="00FB531F">
      <w:pPr>
        <w:pStyle w:val="CLDHeading2"/>
        <w:spacing w:before="240"/>
        <w:ind w:left="425" w:hanging="425"/>
      </w:pPr>
      <w:r>
        <w:t>6.1</w:t>
      </w:r>
      <w:r>
        <w:tab/>
      </w:r>
      <w:r w:rsidR="00003485">
        <w:t>List of e</w:t>
      </w:r>
      <w:r w:rsidR="003556AB">
        <w:t>xcipients</w:t>
      </w:r>
    </w:p>
    <w:p w14:paraId="07268E28" w14:textId="21F50AC2" w:rsidR="0077433C" w:rsidRDefault="0077433C" w:rsidP="0077433C">
      <w:pPr>
        <w:pStyle w:val="CLDNormal"/>
      </w:pPr>
      <w:r>
        <w:t>Macrogol 400</w:t>
      </w:r>
    </w:p>
    <w:p w14:paraId="50AA7A29" w14:textId="236463C1" w:rsidR="0077433C" w:rsidRDefault="0077433C" w:rsidP="0077433C">
      <w:pPr>
        <w:pStyle w:val="CLDNormal"/>
      </w:pPr>
      <w:r>
        <w:t>Polysorbate 80</w:t>
      </w:r>
    </w:p>
    <w:p w14:paraId="72F94C92" w14:textId="60FB7825" w:rsidR="0077433C" w:rsidRDefault="0077433C" w:rsidP="0077433C">
      <w:pPr>
        <w:pStyle w:val="CLDNormal"/>
      </w:pPr>
      <w:r w:rsidRPr="00CE6238">
        <w:t>Sorbitan mono-oleate</w:t>
      </w:r>
    </w:p>
    <w:p w14:paraId="2A3D0E11" w14:textId="720346FC" w:rsidR="0077433C" w:rsidRDefault="0077433C" w:rsidP="0077433C">
      <w:pPr>
        <w:pStyle w:val="CLDNormal"/>
        <w:spacing w:after="0"/>
      </w:pPr>
      <w:r>
        <w:t>Gela</w:t>
      </w:r>
      <w:r w:rsidR="0095374E">
        <w:t>tin shell (</w:t>
      </w:r>
      <w:r>
        <w:t>116678)</w:t>
      </w:r>
    </w:p>
    <w:p w14:paraId="67FB7711" w14:textId="77777777" w:rsidR="0077433C" w:rsidRPr="00CE6238" w:rsidRDefault="0077433C" w:rsidP="0077433C">
      <w:pPr>
        <w:pStyle w:val="CLDBulletList"/>
      </w:pPr>
      <w:r w:rsidRPr="00CE6238">
        <w:t>Gelatin</w:t>
      </w:r>
    </w:p>
    <w:p w14:paraId="3513A570" w14:textId="77777777" w:rsidR="0077433C" w:rsidRPr="00CE6238" w:rsidRDefault="0077433C" w:rsidP="0077433C">
      <w:pPr>
        <w:pStyle w:val="CLDBulletList"/>
      </w:pPr>
      <w:r w:rsidRPr="00CE6238">
        <w:t>Glycerol</w:t>
      </w:r>
    </w:p>
    <w:p w14:paraId="4DBE807F" w14:textId="77777777" w:rsidR="0077433C" w:rsidRPr="00CE6238" w:rsidRDefault="0077433C" w:rsidP="0077433C">
      <w:pPr>
        <w:pStyle w:val="CLDBulletList"/>
      </w:pPr>
      <w:r w:rsidRPr="00CE6238">
        <w:t>Iron oxide yellow</w:t>
      </w:r>
    </w:p>
    <w:p w14:paraId="20545491" w14:textId="77777777" w:rsidR="0077433C" w:rsidRPr="00CE6238" w:rsidRDefault="0077433C" w:rsidP="0077433C">
      <w:pPr>
        <w:pStyle w:val="CLDBulletList"/>
      </w:pPr>
      <w:r w:rsidRPr="00CE6238">
        <w:t>Partially dehydrated liquid sorbitol</w:t>
      </w:r>
    </w:p>
    <w:p w14:paraId="5E3CFCA4" w14:textId="77777777" w:rsidR="0077433C" w:rsidRPr="00CE6238" w:rsidRDefault="0077433C" w:rsidP="0077433C">
      <w:pPr>
        <w:pStyle w:val="CLDBulletList"/>
      </w:pPr>
      <w:r w:rsidRPr="00CE6238">
        <w:t>Sorbitol</w:t>
      </w:r>
    </w:p>
    <w:p w14:paraId="64B501BB" w14:textId="77777777" w:rsidR="0077433C" w:rsidRPr="00CE6238" w:rsidRDefault="0077433C" w:rsidP="0077433C">
      <w:pPr>
        <w:pStyle w:val="CLDBulletList"/>
      </w:pPr>
      <w:r w:rsidRPr="00CE6238">
        <w:t>Mannitol</w:t>
      </w:r>
    </w:p>
    <w:p w14:paraId="0F106131" w14:textId="77777777" w:rsidR="0077433C" w:rsidRPr="00CE6238" w:rsidRDefault="0077433C" w:rsidP="0077433C">
      <w:pPr>
        <w:pStyle w:val="CLDBulletList"/>
      </w:pPr>
      <w:r w:rsidRPr="00CE6238">
        <w:t>Titanium dioxide</w:t>
      </w:r>
    </w:p>
    <w:p w14:paraId="5D5397DD" w14:textId="6807C6E8" w:rsidR="0077433C" w:rsidRPr="0077433C" w:rsidRDefault="0077433C" w:rsidP="0077433C">
      <w:pPr>
        <w:pStyle w:val="CLDNormal"/>
        <w:spacing w:before="240" w:after="0"/>
      </w:pPr>
      <w:r w:rsidRPr="0077433C">
        <w:t>Opacode Purple S-1-10011-N</w:t>
      </w:r>
      <w:r>
        <w:t xml:space="preserve"> (PI 3413)</w:t>
      </w:r>
    </w:p>
    <w:p w14:paraId="15CAEAAD" w14:textId="5958DED7" w:rsidR="00633E2B" w:rsidRPr="00CE6238" w:rsidRDefault="00D332F1" w:rsidP="00BD7A69">
      <w:pPr>
        <w:pStyle w:val="CLDBulletList"/>
      </w:pPr>
      <w:r w:rsidRPr="00CE6238">
        <w:t>Ethanol</w:t>
      </w:r>
    </w:p>
    <w:p w14:paraId="24999BF5" w14:textId="77777777" w:rsidR="00633E2B" w:rsidRPr="00CE6238" w:rsidRDefault="00633E2B" w:rsidP="00BD7A69">
      <w:pPr>
        <w:pStyle w:val="CLDBulletList"/>
      </w:pPr>
      <w:r w:rsidRPr="00CE6238">
        <w:t>Isopropyl alcohol</w:t>
      </w:r>
    </w:p>
    <w:p w14:paraId="1CD81E57" w14:textId="7E9A3F98" w:rsidR="00633E2B" w:rsidRPr="00CE6238" w:rsidRDefault="00633E2B" w:rsidP="00BD7A69">
      <w:pPr>
        <w:pStyle w:val="CLDBulletList"/>
      </w:pPr>
      <w:r w:rsidRPr="00CE6238">
        <w:t>Macrogol 400</w:t>
      </w:r>
    </w:p>
    <w:p w14:paraId="2A109DFD" w14:textId="77777777" w:rsidR="00633E2B" w:rsidRPr="00CE6238" w:rsidRDefault="00633E2B" w:rsidP="00BD7A69">
      <w:pPr>
        <w:pStyle w:val="CLDBulletList"/>
      </w:pPr>
      <w:r w:rsidRPr="00CE6238">
        <w:t>Polyvinyl acetate phthalate</w:t>
      </w:r>
    </w:p>
    <w:p w14:paraId="5A89B718" w14:textId="3C334C71" w:rsidR="00633E2B" w:rsidRPr="00CE6238" w:rsidRDefault="00633E2B" w:rsidP="00BD7A69">
      <w:pPr>
        <w:pStyle w:val="CLDBulletList"/>
      </w:pPr>
      <w:r w:rsidRPr="00CE6238">
        <w:t>Propylene glycol</w:t>
      </w:r>
    </w:p>
    <w:p w14:paraId="7041F8CB" w14:textId="246D8B08" w:rsidR="00633E2B" w:rsidRPr="00CE6238" w:rsidRDefault="00D332F1" w:rsidP="00BD7A69">
      <w:pPr>
        <w:pStyle w:val="CLDBulletList"/>
      </w:pPr>
      <w:r w:rsidRPr="00CE6238">
        <w:t>Carmine</w:t>
      </w:r>
    </w:p>
    <w:p w14:paraId="2DF28539" w14:textId="1EB540FF" w:rsidR="00633E2B" w:rsidRPr="00CE6238" w:rsidRDefault="00D332F1" w:rsidP="00BD7A69">
      <w:pPr>
        <w:pStyle w:val="CLDBulletList"/>
      </w:pPr>
      <w:r w:rsidRPr="00CE6238">
        <w:t>Brilliant Blue FCF</w:t>
      </w:r>
    </w:p>
    <w:p w14:paraId="4BEDB0C0" w14:textId="3A0212A7" w:rsidR="00633E2B" w:rsidRPr="00CE6238" w:rsidRDefault="00A45CDA" w:rsidP="00BD7A69">
      <w:pPr>
        <w:pStyle w:val="CLDBulletList"/>
      </w:pPr>
      <w:r w:rsidRPr="00CE6238">
        <w:t>Strong ammonium solution</w:t>
      </w:r>
    </w:p>
    <w:p w14:paraId="46E53FAB" w14:textId="6A366AD7" w:rsidR="00830B98" w:rsidRPr="00CD3920" w:rsidRDefault="002B1AAB" w:rsidP="00FB531F">
      <w:pPr>
        <w:pStyle w:val="CLDHeading2"/>
        <w:spacing w:before="240"/>
        <w:ind w:left="425" w:hanging="425"/>
        <w:rPr>
          <w:bCs/>
          <w:i/>
          <w:iCs/>
        </w:rPr>
      </w:pPr>
      <w:r w:rsidRPr="00CD3920">
        <w:lastRenderedPageBreak/>
        <w:t>6.2</w:t>
      </w:r>
      <w:r w:rsidRPr="00CD3920">
        <w:tab/>
      </w:r>
      <w:r w:rsidR="003556AB" w:rsidRPr="00CD3920">
        <w:t>Incompatibilities</w:t>
      </w:r>
    </w:p>
    <w:p w14:paraId="1059FACC" w14:textId="672E4664" w:rsidR="00633E2B" w:rsidRPr="004D1D53" w:rsidRDefault="00D60B3A" w:rsidP="00BD7A69">
      <w:pPr>
        <w:pStyle w:val="CLDNormal"/>
      </w:pPr>
      <w:r>
        <w:t>See Section 4.5</w:t>
      </w:r>
      <w:r w:rsidR="00617622">
        <w:t xml:space="preserve"> </w:t>
      </w:r>
      <w:bookmarkStart w:id="33" w:name="_Hlk32913070"/>
      <w:r w:rsidR="00617622">
        <w:t>Interactions with other medicines and other forms of interaction</w:t>
      </w:r>
      <w:bookmarkEnd w:id="33"/>
      <w:r>
        <w:t>.</w:t>
      </w:r>
    </w:p>
    <w:p w14:paraId="46E53FB1" w14:textId="4C7EDA41" w:rsidR="00830B98" w:rsidRDefault="002B1AAB" w:rsidP="00FB531F">
      <w:pPr>
        <w:pStyle w:val="CLDHeading2"/>
        <w:spacing w:before="240"/>
        <w:ind w:left="425" w:hanging="425"/>
      </w:pPr>
      <w:r>
        <w:t>6.3</w:t>
      </w:r>
      <w:r>
        <w:tab/>
      </w:r>
      <w:r w:rsidR="003556AB">
        <w:t>Shelf life</w:t>
      </w:r>
    </w:p>
    <w:p w14:paraId="38B2C389" w14:textId="3DE22DEF" w:rsidR="001D2530" w:rsidRPr="00CD3920" w:rsidRDefault="00902136" w:rsidP="00BD7A69">
      <w:pPr>
        <w:pStyle w:val="CLDNormal"/>
        <w:rPr>
          <w:i/>
          <w:iCs/>
        </w:rPr>
      </w:pPr>
      <w:r w:rsidRPr="00902136">
        <w:t>In Australia, information on the shelf life can be found on the public summary of the Australian Register of Therapeutic Goods (ARTG)</w:t>
      </w:r>
      <w:r w:rsidR="00BB4E33">
        <w:t xml:space="preserve">.  </w:t>
      </w:r>
      <w:r w:rsidRPr="00902136">
        <w:t xml:space="preserve">The expiry date can be found on the </w:t>
      </w:r>
      <w:r w:rsidRPr="00CD3920">
        <w:t>packaging.</w:t>
      </w:r>
    </w:p>
    <w:p w14:paraId="46E53FB4" w14:textId="23A68857" w:rsidR="003556AB" w:rsidRDefault="002B1AAB" w:rsidP="00FB531F">
      <w:pPr>
        <w:pStyle w:val="CLDHeading2"/>
        <w:spacing w:before="240"/>
        <w:ind w:left="425" w:hanging="425"/>
      </w:pPr>
      <w:r>
        <w:t>6.4</w:t>
      </w:r>
      <w:r>
        <w:tab/>
      </w:r>
      <w:r w:rsidR="00003485">
        <w:t>Special precautions for s</w:t>
      </w:r>
      <w:r w:rsidR="003556AB">
        <w:t>torage</w:t>
      </w:r>
    </w:p>
    <w:p w14:paraId="642BE22E" w14:textId="77777777" w:rsidR="00633E2B" w:rsidRPr="004D1D53" w:rsidRDefault="00633E2B" w:rsidP="00BD7A69">
      <w:pPr>
        <w:pStyle w:val="CLDNormal"/>
      </w:pPr>
      <w:r w:rsidRPr="004D1D53">
        <w:t>Do not store above 25°C.</w:t>
      </w:r>
    </w:p>
    <w:p w14:paraId="46E53FB8" w14:textId="12BFC060" w:rsidR="003556AB" w:rsidRDefault="00E34962" w:rsidP="00FB531F">
      <w:pPr>
        <w:pStyle w:val="CLDHeading2"/>
        <w:spacing w:before="240"/>
        <w:ind w:left="425" w:hanging="425"/>
      </w:pPr>
      <w:r>
        <w:t>6.5</w:t>
      </w:r>
      <w:r>
        <w:tab/>
      </w:r>
      <w:r w:rsidR="00003485">
        <w:t>Nature and contents of c</w:t>
      </w:r>
      <w:r w:rsidR="003556AB">
        <w:t>ontainer</w:t>
      </w:r>
    </w:p>
    <w:p w14:paraId="627AA482" w14:textId="7E2C88F9" w:rsidR="003D2C16" w:rsidRPr="00460035" w:rsidRDefault="003D2C16" w:rsidP="003D2C16">
      <w:pPr>
        <w:pStyle w:val="CLDNormal"/>
      </w:pPr>
      <w:r>
        <w:t>Not all presentations may be available.</w:t>
      </w:r>
    </w:p>
    <w:p w14:paraId="7C2FCDAA" w14:textId="0D2C7E98" w:rsidR="00DA3BF9" w:rsidRDefault="00DA3BF9" w:rsidP="00DA3BF9">
      <w:pPr>
        <w:pStyle w:val="CLDNormal"/>
      </w:pPr>
      <w:r>
        <w:t>Cartons containing Al</w:t>
      </w:r>
      <w:r w:rsidR="006455E8">
        <w:t>uminium</w:t>
      </w:r>
      <w:r>
        <w:t>/Al</w:t>
      </w:r>
      <w:r w:rsidR="006455E8">
        <w:t>uminium</w:t>
      </w:r>
      <w:r>
        <w:t xml:space="preserve"> blisters of 30 soft capsules.</w:t>
      </w:r>
    </w:p>
    <w:p w14:paraId="46E53FBE" w14:textId="51443905" w:rsidR="003556AB" w:rsidRPr="00460035" w:rsidRDefault="00E34962" w:rsidP="00755FFF">
      <w:pPr>
        <w:pStyle w:val="CLDHeading2"/>
        <w:rPr>
          <w:color w:val="7030A0"/>
        </w:rPr>
      </w:pPr>
      <w:r>
        <w:t>6.6</w:t>
      </w:r>
      <w:r>
        <w:tab/>
      </w:r>
      <w:r w:rsidR="00003485">
        <w:t>Special precautions for d</w:t>
      </w:r>
      <w:r w:rsidR="003556AB">
        <w:t>isposal</w:t>
      </w:r>
    </w:p>
    <w:p w14:paraId="46E53FC2" w14:textId="6BC0495D" w:rsidR="007E659A" w:rsidRDefault="00902136" w:rsidP="00243A31">
      <w:pPr>
        <w:pStyle w:val="CLDNormal"/>
      </w:pPr>
      <w:r w:rsidRPr="00902136">
        <w:t>In Australia, any unused medicine or waste material should be disposed of by taking to your local pharmacy.</w:t>
      </w:r>
    </w:p>
    <w:p w14:paraId="2EFB856C" w14:textId="1CFA3919" w:rsidR="00902136" w:rsidRPr="00CD3920" w:rsidRDefault="00003485" w:rsidP="00FB531F">
      <w:pPr>
        <w:pStyle w:val="CLDHeading2"/>
        <w:spacing w:before="240"/>
        <w:ind w:left="425" w:hanging="425"/>
        <w:rPr>
          <w:bCs/>
          <w:i/>
          <w:iCs/>
        </w:rPr>
      </w:pPr>
      <w:r w:rsidRPr="00CD3920">
        <w:t>6.7</w:t>
      </w:r>
      <w:r w:rsidRPr="00CD3920">
        <w:tab/>
        <w:t>Physicochemical p</w:t>
      </w:r>
      <w:r w:rsidR="00902136" w:rsidRPr="00CD3920">
        <w:t>roperties</w:t>
      </w:r>
    </w:p>
    <w:p w14:paraId="1BD4F5B4" w14:textId="0577646F" w:rsidR="00902136" w:rsidRPr="00CD3920" w:rsidRDefault="00902136" w:rsidP="00755FFF">
      <w:pPr>
        <w:pStyle w:val="CLDHeading3"/>
        <w:rPr>
          <w:bCs/>
          <w:i/>
        </w:rPr>
      </w:pPr>
      <w:r w:rsidRPr="00CD3920">
        <w:t>Chemical structure</w:t>
      </w:r>
    </w:p>
    <w:p w14:paraId="3B7E6CCE" w14:textId="77777777" w:rsidR="00BC5614" w:rsidRPr="00F35EFC" w:rsidRDefault="00BC5614" w:rsidP="00BC5614">
      <w:pPr>
        <w:pStyle w:val="Paragraph"/>
        <w:rPr>
          <w:rFonts w:eastAsia="TimesNewRoman"/>
          <w:color w:val="000000"/>
        </w:rPr>
      </w:pPr>
      <w:r>
        <w:rPr>
          <w:noProof/>
          <w:lang w:val="en-AU" w:eastAsia="en-AU"/>
        </w:rPr>
        <w:drawing>
          <wp:inline distT="0" distB="0" distL="0" distR="0" wp14:anchorId="710A3912" wp14:editId="303C699E">
            <wp:extent cx="4196715" cy="1003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6715" cy="1003300"/>
                    </a:xfrm>
                    <a:prstGeom prst="rect">
                      <a:avLst/>
                    </a:prstGeom>
                    <a:noFill/>
                    <a:ln>
                      <a:noFill/>
                    </a:ln>
                  </pic:spPr>
                </pic:pic>
              </a:graphicData>
            </a:graphic>
          </wp:inline>
        </w:drawing>
      </w:r>
    </w:p>
    <w:p w14:paraId="7A7EF46E" w14:textId="3587CA46" w:rsidR="00902136" w:rsidRDefault="00902136" w:rsidP="00755FFF">
      <w:pPr>
        <w:pStyle w:val="CLDHeading3"/>
      </w:pPr>
      <w:r w:rsidRPr="00354D84">
        <w:t>CAS number</w:t>
      </w:r>
    </w:p>
    <w:p w14:paraId="4EA431E8" w14:textId="2B04C455" w:rsidR="00354D84" w:rsidRDefault="00354D84" w:rsidP="00022399">
      <w:pPr>
        <w:pStyle w:val="CLDNormal"/>
      </w:pPr>
      <w:r>
        <w:t>951395-08-7</w:t>
      </w:r>
    </w:p>
    <w:p w14:paraId="46E53FC4" w14:textId="3C0D6B17" w:rsidR="00EB4D43" w:rsidRPr="00DB3A4B" w:rsidRDefault="00E34962" w:rsidP="00FB531F">
      <w:pPr>
        <w:pStyle w:val="CLDHeading1"/>
        <w:spacing w:before="240" w:after="180"/>
        <w:ind w:left="425" w:hanging="425"/>
      </w:pPr>
      <w:r>
        <w:t>7.</w:t>
      </w:r>
      <w:r>
        <w:tab/>
      </w:r>
      <w:r w:rsidR="0018348D" w:rsidRPr="00003485">
        <w:t>ME</w:t>
      </w:r>
      <w:bookmarkStart w:id="34" w:name="_GoBack"/>
      <w:r w:rsidR="0018348D" w:rsidRPr="00003485">
        <w:t>DICI</w:t>
      </w:r>
      <w:bookmarkEnd w:id="34"/>
      <w:r w:rsidR="0018348D" w:rsidRPr="00003485">
        <w:t>NE SCHEDULE (POISONS STANDARD)</w:t>
      </w:r>
    </w:p>
    <w:p w14:paraId="46E53FC5" w14:textId="75766CDE" w:rsidR="00FB2FED" w:rsidRPr="00FB2FED" w:rsidRDefault="00633E2B" w:rsidP="00460035">
      <w:pPr>
        <w:pStyle w:val="CLDNormal"/>
        <w:rPr>
          <w:b/>
        </w:rPr>
      </w:pPr>
      <w:r>
        <w:t>Schedule 4</w:t>
      </w:r>
    </w:p>
    <w:p w14:paraId="46E53FC7" w14:textId="49CE23C0" w:rsidR="00EB4D43" w:rsidRPr="00DB3A4B" w:rsidRDefault="00E34962" w:rsidP="00FB531F">
      <w:pPr>
        <w:pStyle w:val="CLDHeading1"/>
        <w:spacing w:before="240" w:after="180"/>
        <w:ind w:left="425" w:hanging="425"/>
      </w:pPr>
      <w:r>
        <w:t>8.</w:t>
      </w:r>
      <w:r>
        <w:tab/>
      </w:r>
      <w:r w:rsidR="00FE40A4">
        <w:t>SPONSOR</w:t>
      </w:r>
    </w:p>
    <w:p w14:paraId="46E53FC8" w14:textId="001ACDB5" w:rsidR="00EB4D43" w:rsidRDefault="00370447" w:rsidP="00460035">
      <w:pPr>
        <w:pStyle w:val="CLDTableTextListText"/>
      </w:pPr>
      <w:r>
        <w:t>Pfizer Australia</w:t>
      </w:r>
      <w:r w:rsidR="00EB4D43">
        <w:t xml:space="preserve"> </w:t>
      </w:r>
      <w:r>
        <w:t xml:space="preserve">Pty </w:t>
      </w:r>
      <w:r w:rsidR="00EB4D43">
        <w:t>L</w:t>
      </w:r>
      <w:r>
        <w:t>t</w:t>
      </w:r>
      <w:r w:rsidR="00EB4D43">
        <w:t>d</w:t>
      </w:r>
    </w:p>
    <w:p w14:paraId="0F54FDAB" w14:textId="2A6C2BC3" w:rsidR="00370447" w:rsidRPr="00CD3920" w:rsidRDefault="00633E2B" w:rsidP="00460035">
      <w:pPr>
        <w:pStyle w:val="CLDTableTextListText"/>
        <w:rPr>
          <w:i/>
          <w:color w:val="auto"/>
        </w:rPr>
      </w:pPr>
      <w:r w:rsidRPr="00CD3920">
        <w:rPr>
          <w:color w:val="auto"/>
        </w:rPr>
        <w:t>Level 17, 151 Clarence Street</w:t>
      </w:r>
    </w:p>
    <w:p w14:paraId="5B9C828A" w14:textId="5DA14CA7" w:rsidR="00370447" w:rsidRPr="00CD3920" w:rsidRDefault="00633E2B" w:rsidP="00370447">
      <w:pPr>
        <w:pStyle w:val="CLDTableTextListText"/>
        <w:rPr>
          <w:i/>
          <w:color w:val="auto"/>
        </w:rPr>
      </w:pPr>
      <w:r w:rsidRPr="00CD3920">
        <w:rPr>
          <w:color w:val="auto"/>
        </w:rPr>
        <w:t>Sydney</w:t>
      </w:r>
      <w:r w:rsidR="00370447" w:rsidRPr="00CD3920">
        <w:rPr>
          <w:color w:val="auto"/>
        </w:rPr>
        <w:t xml:space="preserve"> NSW 2</w:t>
      </w:r>
      <w:r w:rsidRPr="00CD3920">
        <w:rPr>
          <w:color w:val="auto"/>
        </w:rPr>
        <w:t>000</w:t>
      </w:r>
    </w:p>
    <w:p w14:paraId="0CB96937" w14:textId="7E987811" w:rsidR="00370447" w:rsidRPr="00CD3920" w:rsidRDefault="00C03949" w:rsidP="00370447">
      <w:pPr>
        <w:pStyle w:val="CLDTableTextListText"/>
        <w:rPr>
          <w:i/>
          <w:color w:val="auto"/>
        </w:rPr>
      </w:pPr>
      <w:r w:rsidRPr="00CD3920">
        <w:rPr>
          <w:color w:val="auto"/>
        </w:rPr>
        <w:t>Toll Free Number: 1800 675 229</w:t>
      </w:r>
    </w:p>
    <w:p w14:paraId="46E53FC9" w14:textId="469BE9EA" w:rsidR="00EB4D43" w:rsidRDefault="00BA4CFD" w:rsidP="00370447">
      <w:pPr>
        <w:pStyle w:val="CLDNormal"/>
      </w:pPr>
      <w:hyperlink w:history="1"/>
      <w:hyperlink r:id="rId19" w:history="1">
        <w:r w:rsidR="00795258" w:rsidRPr="00C8790F">
          <w:rPr>
            <w:rStyle w:val="Hyperlink"/>
          </w:rPr>
          <w:t>www.pfizer.com.au</w:t>
        </w:r>
      </w:hyperlink>
      <w:r w:rsidR="00795258">
        <w:t xml:space="preserve"> </w:t>
      </w:r>
    </w:p>
    <w:p w14:paraId="46E53FCC" w14:textId="3459BB0A" w:rsidR="00EB4D43" w:rsidRPr="00DB3A4B" w:rsidRDefault="00E34962" w:rsidP="00643055">
      <w:pPr>
        <w:pStyle w:val="CLDHeading1"/>
      </w:pPr>
      <w:r>
        <w:lastRenderedPageBreak/>
        <w:t>9.</w:t>
      </w:r>
      <w:r w:rsidRPr="00003485">
        <w:tab/>
      </w:r>
      <w:r w:rsidR="0018348D" w:rsidRPr="00003485">
        <w:t>DATE OF FIRST APPROVAL</w:t>
      </w:r>
    </w:p>
    <w:p w14:paraId="46E53FCE" w14:textId="08841958" w:rsidR="009E6153" w:rsidRPr="00633E2B" w:rsidRDefault="0026671A" w:rsidP="00633E2B">
      <w:pPr>
        <w:pStyle w:val="CLDNormal"/>
      </w:pPr>
      <w:r>
        <w:t>16 March 2020</w:t>
      </w:r>
    </w:p>
    <w:p w14:paraId="46E53FCF" w14:textId="7BB1619E" w:rsidR="003556AB" w:rsidRPr="00DB3A4B" w:rsidRDefault="00E34962" w:rsidP="00643055">
      <w:pPr>
        <w:pStyle w:val="CLDHeading1"/>
      </w:pPr>
      <w:r w:rsidRPr="00003485">
        <w:t>10.</w:t>
      </w:r>
      <w:r w:rsidRPr="00003485">
        <w:tab/>
      </w:r>
      <w:r w:rsidR="00C03949">
        <w:t>DATE OF REVISION</w:t>
      </w:r>
    </w:p>
    <w:p w14:paraId="46E53FD1" w14:textId="19930198" w:rsidR="003556AB" w:rsidRPr="00CD3920" w:rsidRDefault="001421CE" w:rsidP="00EF15DF">
      <w:pPr>
        <w:pStyle w:val="CLDNormal"/>
        <w:rPr>
          <w:i/>
          <w:iCs/>
        </w:rPr>
      </w:pPr>
      <w:r w:rsidRPr="00CD3920">
        <w:t>Not applicable</w:t>
      </w:r>
      <w:r w:rsidR="00B24134" w:rsidRPr="00CD3920">
        <w:t>.</w:t>
      </w:r>
    </w:p>
    <w:p w14:paraId="46E53FD2" w14:textId="747D701C" w:rsidR="009E6153" w:rsidRDefault="00370447" w:rsidP="00755FFF">
      <w:pPr>
        <w:pStyle w:val="CLDHeading3"/>
      </w:pPr>
      <w:r>
        <w:t>Summary Table of C</w:t>
      </w:r>
      <w:r w:rsidR="009E6153" w:rsidRPr="00E01367">
        <w:t>hanges</w:t>
      </w:r>
    </w:p>
    <w:tbl>
      <w:tblPr>
        <w:tblStyle w:val="TableGrid"/>
        <w:tblW w:w="0" w:type="auto"/>
        <w:tblLook w:val="04A0" w:firstRow="1" w:lastRow="0" w:firstColumn="1" w:lastColumn="0" w:noHBand="0" w:noVBand="1"/>
      </w:tblPr>
      <w:tblGrid>
        <w:gridCol w:w="4502"/>
        <w:gridCol w:w="4515"/>
      </w:tblGrid>
      <w:tr w:rsidR="00D60B3A" w:rsidRPr="00D60B3A" w14:paraId="34A45C76" w14:textId="77777777" w:rsidTr="00D60B3A">
        <w:tc>
          <w:tcPr>
            <w:tcW w:w="4621" w:type="dxa"/>
          </w:tcPr>
          <w:p w14:paraId="2F9B2510" w14:textId="3596878D" w:rsidR="00D60B3A" w:rsidRPr="00D60B3A" w:rsidRDefault="00D60B3A" w:rsidP="00D60B3A">
            <w:pPr>
              <w:pStyle w:val="CLDTableTextListText"/>
              <w:rPr>
                <w:b/>
              </w:rPr>
            </w:pPr>
            <w:r w:rsidRPr="00D60B3A">
              <w:rPr>
                <w:b/>
              </w:rPr>
              <w:t>Section changed</w:t>
            </w:r>
          </w:p>
        </w:tc>
        <w:tc>
          <w:tcPr>
            <w:tcW w:w="4622" w:type="dxa"/>
          </w:tcPr>
          <w:p w14:paraId="6DE99274" w14:textId="66E651AD" w:rsidR="00D60B3A" w:rsidRPr="00D60B3A" w:rsidRDefault="00D60B3A" w:rsidP="00D60B3A">
            <w:pPr>
              <w:pStyle w:val="CLDTableTextListText"/>
              <w:rPr>
                <w:b/>
              </w:rPr>
            </w:pPr>
            <w:r w:rsidRPr="00D60B3A">
              <w:rPr>
                <w:b/>
              </w:rPr>
              <w:t>Summary of new information</w:t>
            </w:r>
          </w:p>
        </w:tc>
      </w:tr>
      <w:tr w:rsidR="00D60B3A" w14:paraId="71A41838" w14:textId="77777777" w:rsidTr="00D60B3A">
        <w:tc>
          <w:tcPr>
            <w:tcW w:w="4621" w:type="dxa"/>
          </w:tcPr>
          <w:p w14:paraId="207BD923" w14:textId="6ADB0CA7" w:rsidR="00D60B3A" w:rsidRDefault="00D60B3A" w:rsidP="00D60B3A">
            <w:pPr>
              <w:pStyle w:val="CLDTableTextListText"/>
            </w:pPr>
            <w:r>
              <w:t>All</w:t>
            </w:r>
          </w:p>
        </w:tc>
        <w:tc>
          <w:tcPr>
            <w:tcW w:w="4622" w:type="dxa"/>
          </w:tcPr>
          <w:p w14:paraId="4A45C504" w14:textId="70815A1A" w:rsidR="00D60B3A" w:rsidRDefault="00D60B3A" w:rsidP="00D60B3A">
            <w:pPr>
              <w:pStyle w:val="CLDTableTextListText"/>
            </w:pPr>
            <w:r>
              <w:t>New PI</w:t>
            </w:r>
          </w:p>
        </w:tc>
      </w:tr>
    </w:tbl>
    <w:p w14:paraId="0D7F2945" w14:textId="77777777" w:rsidR="00D60B3A" w:rsidRPr="00C035A6" w:rsidRDefault="00D60B3A" w:rsidP="003E1B20">
      <w:pPr>
        <w:pStyle w:val="CLDNormal"/>
      </w:pPr>
    </w:p>
    <w:sectPr w:rsidR="00D60B3A" w:rsidRPr="00C035A6" w:rsidSect="00460035">
      <w:headerReference w:type="even" r:id="rId20"/>
      <w:headerReference w:type="default" r:id="rId21"/>
      <w:footerReference w:type="even" r:id="rId22"/>
      <w:footerReference w:type="default" r:id="rId23"/>
      <w:headerReference w:type="first" r:id="rId24"/>
      <w:type w:val="oddPage"/>
      <w:pgSz w:w="11907" w:h="16840" w:code="9"/>
      <w:pgMar w:top="1440" w:right="1440" w:bottom="1440" w:left="1440" w:header="567" w:footer="56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6BF8" w14:textId="77777777" w:rsidR="00F910E8" w:rsidRDefault="00F910E8">
      <w:r>
        <w:separator/>
      </w:r>
    </w:p>
  </w:endnote>
  <w:endnote w:type="continuationSeparator" w:id="0">
    <w:p w14:paraId="7FE1ED10" w14:textId="77777777" w:rsidR="00F910E8" w:rsidRDefault="00F9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3FF2" w14:textId="77777777" w:rsidR="00A44966" w:rsidRPr="00054F74" w:rsidRDefault="00A44966" w:rsidP="00054F74">
    <w:r w:rsidRPr="00054F74">
      <w:t>Version: &lt;insert filename&gt;</w:t>
    </w:r>
    <w:r w:rsidRPr="00054F74">
      <w:tab/>
      <w:t>Supersedes: &lt;insert filename&gt;</w:t>
    </w:r>
  </w:p>
  <w:p w14:paraId="46E53FF3" w14:textId="77777777" w:rsidR="00A44966" w:rsidRPr="00054F74" w:rsidRDefault="00A44966" w:rsidP="00054F74">
    <w:r w:rsidRPr="00054F74">
      <w:t>MOH Approved:</w:t>
    </w:r>
  </w:p>
  <w:p w14:paraId="46E53FF4" w14:textId="77777777" w:rsidR="00A44966" w:rsidRPr="00054F74" w:rsidRDefault="00A44966"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3FF5" w14:textId="7A21542A" w:rsidR="00A44966" w:rsidRPr="00C531EF" w:rsidRDefault="00A44966" w:rsidP="00460035">
    <w:pPr>
      <w:pStyle w:val="CLDFooter"/>
    </w:pPr>
    <w:r w:rsidRPr="00C531EF">
      <w:t>V</w:t>
    </w:r>
    <w:r>
      <w:t>ersion: pfpvyndc</w:t>
    </w:r>
    <w:r w:rsidR="005B112B">
      <w:t>1</w:t>
    </w:r>
    <w:r>
      <w:t>0320</w:t>
    </w:r>
    <w:r w:rsidRPr="00C531EF">
      <w:tab/>
      <w:t>Supersedes:</w:t>
    </w:r>
    <w:r>
      <w:t xml:space="preserve"> n/a</w:t>
    </w:r>
  </w:p>
  <w:p w14:paraId="46E53FF6" w14:textId="61E5A83A" w:rsidR="00A44966" w:rsidRPr="00054F74" w:rsidRDefault="00A44966" w:rsidP="0008662E">
    <w:pPr>
      <w:pStyle w:val="CLDFooter"/>
    </w:pPr>
    <w:r w:rsidRPr="00C531EF">
      <w:tab/>
      <w:t xml:space="preserve">Page </w:t>
    </w:r>
    <w:r>
      <w:fldChar w:fldCharType="begin"/>
    </w:r>
    <w:r>
      <w:instrText xml:space="preserve"> PAGE </w:instrText>
    </w:r>
    <w:r>
      <w:fldChar w:fldCharType="separate"/>
    </w:r>
    <w:r w:rsidR="00BA4CFD">
      <w:rPr>
        <w:noProof/>
      </w:rPr>
      <w:t>19</w:t>
    </w:r>
    <w:r>
      <w:fldChar w:fldCharType="end"/>
    </w:r>
    <w:r w:rsidRPr="00C531EF">
      <w:t xml:space="preserve"> of </w:t>
    </w:r>
    <w:r>
      <w:fldChar w:fldCharType="begin"/>
    </w:r>
    <w:r>
      <w:instrText xml:space="preserve"> NUMPAGES </w:instrText>
    </w:r>
    <w:r>
      <w:fldChar w:fldCharType="separate"/>
    </w:r>
    <w:r w:rsidR="00BA4CFD">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598C0" w14:textId="77777777" w:rsidR="00F910E8" w:rsidRDefault="00F910E8">
      <w:r>
        <w:separator/>
      </w:r>
    </w:p>
  </w:footnote>
  <w:footnote w:type="continuationSeparator" w:id="0">
    <w:p w14:paraId="2897F632" w14:textId="77777777" w:rsidR="00F910E8" w:rsidRDefault="00F9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3FDE" w14:textId="77777777" w:rsidR="00A44966" w:rsidRDefault="00A44966"/>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A44966" w14:paraId="46E53FE0" w14:textId="77777777" w:rsidTr="00343757">
      <w:tc>
        <w:tcPr>
          <w:tcW w:w="9855" w:type="dxa"/>
          <w:gridSpan w:val="6"/>
          <w:shd w:val="clear" w:color="auto" w:fill="E6E6E6"/>
        </w:tcPr>
        <w:p w14:paraId="46E53FDF" w14:textId="77777777" w:rsidR="00A44966" w:rsidRPr="00EB4D43" w:rsidRDefault="00A44966" w:rsidP="00343757">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46E5400B" wp14:editId="46E5400C">
                <wp:extent cx="422910"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A44966" w14:paraId="46E53FE3" w14:textId="77777777" w:rsidTr="00343757">
      <w:tc>
        <w:tcPr>
          <w:tcW w:w="1410" w:type="dxa"/>
          <w:shd w:val="clear" w:color="auto" w:fill="E6E6E6"/>
        </w:tcPr>
        <w:p w14:paraId="46E53FE1" w14:textId="77777777" w:rsidR="00A44966" w:rsidRPr="00EB4D43" w:rsidRDefault="00A44966"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46E53FE2" w14:textId="77777777" w:rsidR="00A44966" w:rsidRPr="00EB4D43" w:rsidRDefault="00A44966"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A44966" w14:paraId="46E53FEA" w14:textId="77777777" w:rsidTr="00343757">
      <w:tc>
        <w:tcPr>
          <w:tcW w:w="1410" w:type="dxa"/>
          <w:shd w:val="clear" w:color="auto" w:fill="E6E6E6"/>
        </w:tcPr>
        <w:p w14:paraId="46E53FE4" w14:textId="77777777" w:rsidR="00A44966" w:rsidRPr="00EB4D43" w:rsidRDefault="00A44966"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46E53FE5" w14:textId="77777777" w:rsidR="00A44966" w:rsidRPr="00EB4D43" w:rsidRDefault="00A44966"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46E53FE6" w14:textId="77777777" w:rsidR="00A44966" w:rsidRPr="00EB4D43" w:rsidRDefault="00A44966"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6E53FE7" w14:textId="77777777" w:rsidR="00A44966" w:rsidRPr="00EB4D43" w:rsidRDefault="00A44966"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14:paraId="46E53FE8" w14:textId="77777777" w:rsidR="00A44966" w:rsidRPr="00EB4D43" w:rsidRDefault="00A44966"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46E53FE9" w14:textId="77777777" w:rsidR="00A44966" w:rsidRPr="00EB4D43" w:rsidRDefault="00A44966"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A44966" w14:paraId="46E53FF0" w14:textId="77777777" w:rsidTr="00343757">
      <w:trPr>
        <w:cantSplit/>
      </w:trPr>
      <w:tc>
        <w:tcPr>
          <w:tcW w:w="1410" w:type="dxa"/>
          <w:shd w:val="clear" w:color="auto" w:fill="E6E6E6"/>
        </w:tcPr>
        <w:p w14:paraId="46E53FEB" w14:textId="77777777" w:rsidR="00A44966" w:rsidRPr="00EB4D43" w:rsidRDefault="00A44966"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46E53FEC" w14:textId="77777777" w:rsidR="00A44966" w:rsidRPr="00EB4D43" w:rsidRDefault="00A44966"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46E53FED" w14:textId="77777777" w:rsidR="00A44966" w:rsidRPr="00EB4D43" w:rsidRDefault="00A44966"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6E53FEE" w14:textId="77777777" w:rsidR="00A44966" w:rsidRPr="00EB4D43" w:rsidRDefault="00A44966" w:rsidP="00343757">
          <w:pPr>
            <w:pStyle w:val="Heading3"/>
            <w:jc w:val="left"/>
            <w:rPr>
              <w:rFonts w:ascii="Arial" w:hAnsi="Arial" w:cs="Arial"/>
              <w:i w:val="0"/>
              <w:sz w:val="20"/>
            </w:rPr>
          </w:pPr>
        </w:p>
      </w:tc>
      <w:tc>
        <w:tcPr>
          <w:tcW w:w="1786" w:type="dxa"/>
          <w:gridSpan w:val="2"/>
          <w:shd w:val="clear" w:color="auto" w:fill="E6E6E6"/>
        </w:tcPr>
        <w:p w14:paraId="46E53FEF" w14:textId="77777777" w:rsidR="00A44966" w:rsidRPr="00EB4D43" w:rsidRDefault="00A44966" w:rsidP="00343757">
          <w:pPr>
            <w:pStyle w:val="Heading3"/>
            <w:jc w:val="left"/>
            <w:rPr>
              <w:rFonts w:ascii="Arial" w:hAnsi="Arial" w:cs="Arial"/>
              <w:i w:val="0"/>
              <w:snapToGrid w:val="0"/>
              <w:sz w:val="20"/>
            </w:rPr>
          </w:pPr>
        </w:p>
      </w:tc>
    </w:tr>
  </w:tbl>
  <w:p w14:paraId="46E53FF1" w14:textId="77777777" w:rsidR="00A44966" w:rsidRDefault="00A4496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FB531F" w14:paraId="6466649B" w14:textId="77777777" w:rsidTr="00EB6BD8">
      <w:tc>
        <w:tcPr>
          <w:tcW w:w="8720" w:type="dxa"/>
          <w:shd w:val="clear" w:color="auto" w:fill="E4F2E0"/>
        </w:tcPr>
        <w:p w14:paraId="2A9D021A" w14:textId="2903F4BE" w:rsidR="00FB531F" w:rsidRPr="00D361CA" w:rsidRDefault="00FB531F" w:rsidP="00FB531F">
          <w:pPr>
            <w:spacing w:before="40" w:after="40"/>
            <w:rPr>
              <w:b/>
              <w:sz w:val="20"/>
            </w:rPr>
          </w:pPr>
          <w:r w:rsidRPr="00D361CA">
            <w:rPr>
              <w:b/>
              <w:sz w:val="20"/>
            </w:rPr>
            <w:t xml:space="preserve">Attachment 1: Product information for </w:t>
          </w:r>
          <w:proofErr w:type="spellStart"/>
          <w:r w:rsidRPr="00FB531F">
            <w:rPr>
              <w:b/>
              <w:sz w:val="20"/>
            </w:rPr>
            <w:t>AusPAR</w:t>
          </w:r>
          <w:proofErr w:type="spellEnd"/>
          <w:r w:rsidRPr="00FB531F">
            <w:rPr>
              <w:b/>
              <w:sz w:val="20"/>
            </w:rPr>
            <w:t xml:space="preserve"> - VYNDAMAX and VYNDAQEL - </w:t>
          </w:r>
          <w:proofErr w:type="spellStart"/>
          <w:r w:rsidRPr="00FB531F">
            <w:rPr>
              <w:b/>
              <w:sz w:val="20"/>
            </w:rPr>
            <w:t>tafamidis</w:t>
          </w:r>
          <w:proofErr w:type="spellEnd"/>
          <w:r w:rsidRPr="00FB531F">
            <w:rPr>
              <w:b/>
              <w:sz w:val="20"/>
            </w:rPr>
            <w:t xml:space="preserve"> and </w:t>
          </w:r>
          <w:proofErr w:type="spellStart"/>
          <w:r w:rsidRPr="00FB531F">
            <w:rPr>
              <w:b/>
              <w:sz w:val="20"/>
            </w:rPr>
            <w:t>tafamidis</w:t>
          </w:r>
          <w:proofErr w:type="spellEnd"/>
          <w:r w:rsidRPr="00FB531F">
            <w:rPr>
              <w:b/>
              <w:sz w:val="20"/>
            </w:rPr>
            <w:t xml:space="preserve"> </w:t>
          </w:r>
          <w:proofErr w:type="spellStart"/>
          <w:r w:rsidRPr="00FB531F">
            <w:rPr>
              <w:b/>
              <w:sz w:val="20"/>
            </w:rPr>
            <w:t>meglumine</w:t>
          </w:r>
          <w:proofErr w:type="spellEnd"/>
          <w:r w:rsidRPr="00FB531F">
            <w:rPr>
              <w:b/>
              <w:sz w:val="20"/>
            </w:rPr>
            <w:t xml:space="preserve"> - Pfizer Australia Pty Ltd -</w:t>
          </w:r>
          <w:r>
            <w:rPr>
              <w:b/>
              <w:sz w:val="20"/>
            </w:rPr>
            <w:t xml:space="preserve"> </w:t>
          </w:r>
          <w:r w:rsidRPr="00FB531F">
            <w:rPr>
              <w:b/>
              <w:sz w:val="20"/>
            </w:rPr>
            <w:t>PM-2019-00391-1-3 and PM-2019-01399-1-3</w:t>
          </w:r>
          <w:r>
            <w:rPr>
              <w:b/>
              <w:sz w:val="20"/>
            </w:rPr>
            <w:t xml:space="preserve"> final</w:t>
          </w:r>
          <w:r w:rsidRPr="00FB531F">
            <w:rPr>
              <w:b/>
              <w:sz w:val="20"/>
            </w:rPr>
            <w:t xml:space="preserve"> 3</w:t>
          </w:r>
          <w:r>
            <w:rPr>
              <w:b/>
              <w:sz w:val="20"/>
            </w:rPr>
            <w:t> </w:t>
          </w:r>
          <w:r w:rsidRPr="00FB531F">
            <w:rPr>
              <w:b/>
              <w:sz w:val="20"/>
            </w:rPr>
            <w:t>September 2020</w:t>
          </w:r>
          <w:r w:rsidRPr="00D361CA">
            <w:rPr>
              <w:b/>
              <w:sz w:val="20"/>
            </w:rPr>
            <w:t xml:space="preserve">. </w:t>
          </w:r>
          <w:r w:rsidRPr="00FB03BD">
            <w:rPr>
              <w:b/>
              <w:sz w:val="20"/>
            </w:rPr>
            <w:t xml:space="preserve">This is the Product Information that </w:t>
          </w:r>
          <w:proofErr w:type="gramStart"/>
          <w:r w:rsidRPr="00FB03BD">
            <w:rPr>
              <w:b/>
              <w:sz w:val="20"/>
            </w:rPr>
            <w:t>was approved</w:t>
          </w:r>
          <w:proofErr w:type="gramEnd"/>
          <w:r w:rsidRPr="00FB03BD">
            <w:rPr>
              <w:b/>
              <w:sz w:val="20"/>
            </w:rPr>
            <w:t xml:space="preserve"> with the submission described in this </w:t>
          </w:r>
          <w:proofErr w:type="spellStart"/>
          <w:r w:rsidRPr="00FB03BD">
            <w:rPr>
              <w:b/>
              <w:sz w:val="20"/>
            </w:rPr>
            <w:t>AusPAR</w:t>
          </w:r>
          <w:proofErr w:type="spellEnd"/>
          <w:r w:rsidRPr="00FB03BD">
            <w:rPr>
              <w:b/>
              <w:sz w:val="20"/>
            </w:rPr>
            <w:t xml:space="preserve">. It </w:t>
          </w:r>
          <w:proofErr w:type="gramStart"/>
          <w:r w:rsidRPr="00FB03BD">
            <w:rPr>
              <w:b/>
              <w:sz w:val="20"/>
            </w:rPr>
            <w:t>may have been superseded</w:t>
          </w:r>
          <w:proofErr w:type="gramEnd"/>
          <w:r w:rsidRPr="00FB03BD">
            <w:rPr>
              <w:b/>
              <w:sz w:val="20"/>
            </w:rPr>
            <w:t>. For the most recent PI, please refer to the TGA website at &lt;</w:t>
          </w:r>
          <w:hyperlink r:id="rId1" w:history="1">
            <w:r w:rsidRPr="00FB03BD">
              <w:rPr>
                <w:rStyle w:val="Hyperlink"/>
                <w:b/>
                <w:sz w:val="20"/>
              </w:rPr>
              <w:t>https://www.tga.gov.au/product-information-pi</w:t>
            </w:r>
          </w:hyperlink>
          <w:r w:rsidRPr="00FB03BD">
            <w:rPr>
              <w:b/>
              <w:sz w:val="20"/>
            </w:rPr>
            <w:t>&gt;</w:t>
          </w:r>
        </w:p>
      </w:tc>
    </w:tr>
  </w:tbl>
  <w:p w14:paraId="06505427" w14:textId="77777777" w:rsidR="00FB531F" w:rsidRDefault="00FB5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3FF7" w14:textId="77777777" w:rsidR="00A44966" w:rsidRDefault="00A44966"/>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A44966" w14:paraId="46E53FF9" w14:textId="77777777" w:rsidTr="00121B3A">
      <w:tc>
        <w:tcPr>
          <w:tcW w:w="9855" w:type="dxa"/>
          <w:gridSpan w:val="6"/>
          <w:shd w:val="clear" w:color="auto" w:fill="E6E6E6"/>
        </w:tcPr>
        <w:p w14:paraId="46E53FF8" w14:textId="77777777" w:rsidR="00A44966" w:rsidRPr="00EB4D43" w:rsidRDefault="00A44966" w:rsidP="00121B3A">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46E5400D" wp14:editId="46E5400E">
                <wp:extent cx="422910" cy="252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A44966" w14:paraId="46E53FFC" w14:textId="77777777" w:rsidTr="00121B3A">
      <w:tc>
        <w:tcPr>
          <w:tcW w:w="1410" w:type="dxa"/>
          <w:shd w:val="clear" w:color="auto" w:fill="E6E6E6"/>
        </w:tcPr>
        <w:p w14:paraId="46E53FFA" w14:textId="77777777" w:rsidR="00A44966" w:rsidRPr="00EB4D43" w:rsidRDefault="00A44966"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46E53FFB" w14:textId="77777777" w:rsidR="00A44966" w:rsidRPr="00EB4D43" w:rsidRDefault="00A44966"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A44966" w14:paraId="46E54003" w14:textId="77777777" w:rsidTr="00121B3A">
      <w:tc>
        <w:tcPr>
          <w:tcW w:w="1410" w:type="dxa"/>
          <w:shd w:val="clear" w:color="auto" w:fill="E6E6E6"/>
        </w:tcPr>
        <w:p w14:paraId="46E53FFD" w14:textId="77777777" w:rsidR="00A44966" w:rsidRPr="00EB4D43" w:rsidRDefault="00A44966"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46E53FFE" w14:textId="77777777" w:rsidR="00A44966" w:rsidRPr="00EB4D43" w:rsidRDefault="00A44966"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46E53FFF" w14:textId="77777777" w:rsidR="00A44966" w:rsidRPr="00EB4D43" w:rsidRDefault="00A44966"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6E54000" w14:textId="77777777" w:rsidR="00A44966" w:rsidRPr="00EB4D43" w:rsidRDefault="00A44966"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14:paraId="46E54001" w14:textId="77777777" w:rsidR="00A44966" w:rsidRPr="00EB4D43" w:rsidRDefault="00A44966"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46E54002" w14:textId="77777777" w:rsidR="00A44966" w:rsidRPr="00EB4D43" w:rsidRDefault="00A44966"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A44966" w14:paraId="46E54009" w14:textId="77777777" w:rsidTr="00121B3A">
      <w:trPr>
        <w:cantSplit/>
      </w:trPr>
      <w:tc>
        <w:tcPr>
          <w:tcW w:w="1410" w:type="dxa"/>
          <w:shd w:val="clear" w:color="auto" w:fill="E6E6E6"/>
        </w:tcPr>
        <w:p w14:paraId="46E54004" w14:textId="77777777" w:rsidR="00A44966" w:rsidRPr="00EB4D43" w:rsidRDefault="00A44966"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46E54005" w14:textId="77777777" w:rsidR="00A44966" w:rsidRPr="00EB4D43" w:rsidRDefault="00A44966"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46E54006" w14:textId="77777777" w:rsidR="00A44966" w:rsidRPr="00EB4D43" w:rsidRDefault="00A44966"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6E54007" w14:textId="77777777" w:rsidR="00A44966" w:rsidRPr="00EB4D43" w:rsidRDefault="00A44966"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14:paraId="46E54008" w14:textId="77777777" w:rsidR="00A44966" w:rsidRPr="00EB4D43" w:rsidRDefault="00A44966" w:rsidP="00121B3A">
          <w:pPr>
            <w:pStyle w:val="Heading3"/>
            <w:jc w:val="left"/>
            <w:rPr>
              <w:rFonts w:ascii="Arial" w:hAnsi="Arial" w:cs="Arial"/>
              <w:i w:val="0"/>
              <w:snapToGrid w:val="0"/>
              <w:sz w:val="20"/>
            </w:rPr>
          </w:pPr>
        </w:p>
      </w:tc>
    </w:tr>
  </w:tbl>
  <w:p w14:paraId="46E5400A" w14:textId="77777777" w:rsidR="00A44966" w:rsidRDefault="00A44966" w:rsidP="006D46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63099B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F28308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5052D3"/>
    <w:multiLevelType w:val="hybridMultilevel"/>
    <w:tmpl w:val="B8E6F226"/>
    <w:lvl w:ilvl="0" w:tplc="8B6421D6">
      <w:start w:val="1"/>
      <w:numFmt w:val="bullet"/>
      <w:pStyle w:val="CLD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4C5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80019D"/>
    <w:multiLevelType w:val="hybridMultilevel"/>
    <w:tmpl w:val="3AB8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7715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EA506D"/>
    <w:multiLevelType w:val="hybridMultilevel"/>
    <w:tmpl w:val="6792E7F8"/>
    <w:lvl w:ilvl="0" w:tplc="BDAC27A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67F3A"/>
    <w:multiLevelType w:val="hybridMultilevel"/>
    <w:tmpl w:val="C6B6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E587D"/>
    <w:multiLevelType w:val="singleLevel"/>
    <w:tmpl w:val="E1EEF03C"/>
    <w:lvl w:ilvl="0">
      <w:start w:val="4"/>
      <w:numFmt w:val="bullet"/>
      <w:lvlText w:val="-"/>
      <w:lvlJc w:val="left"/>
      <w:pPr>
        <w:tabs>
          <w:tab w:val="num" w:pos="360"/>
        </w:tabs>
        <w:ind w:left="360" w:hanging="360"/>
      </w:pPr>
      <w:rPr>
        <w:rFonts w:hint="default"/>
      </w:rPr>
    </w:lvl>
  </w:abstractNum>
  <w:abstractNum w:abstractNumId="10" w15:restartNumberingAfterBreak="0">
    <w:nsid w:val="4B4961D3"/>
    <w:multiLevelType w:val="hybridMultilevel"/>
    <w:tmpl w:val="7236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4A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8E69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6A37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1A4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4B6D6B"/>
    <w:multiLevelType w:val="singleLevel"/>
    <w:tmpl w:val="EBC45FB8"/>
    <w:lvl w:ilvl="0">
      <w:start w:val="4"/>
      <w:numFmt w:val="bullet"/>
      <w:lvlText w:val="-"/>
      <w:lvlJc w:val="left"/>
      <w:pPr>
        <w:tabs>
          <w:tab w:val="num" w:pos="360"/>
        </w:tabs>
        <w:ind w:left="360" w:hanging="360"/>
      </w:pPr>
      <w:rPr>
        <w:rFonts w:hint="default"/>
      </w:rPr>
    </w:lvl>
  </w:abstractNum>
  <w:abstractNum w:abstractNumId="16" w15:restartNumberingAfterBreak="0">
    <w:nsid w:val="7B537283"/>
    <w:multiLevelType w:val="hybridMultilevel"/>
    <w:tmpl w:val="99AA9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4"/>
  </w:num>
  <w:num w:numId="4">
    <w:abstractNumId w:val="13"/>
  </w:num>
  <w:num w:numId="5">
    <w:abstractNumId w:val="11"/>
  </w:num>
  <w:num w:numId="6">
    <w:abstractNumId w:val="9"/>
  </w:num>
  <w:num w:numId="7">
    <w:abstractNumId w:val="15"/>
  </w:num>
  <w:num w:numId="8">
    <w:abstractNumId w:val="12"/>
  </w:num>
  <w:num w:numId="9">
    <w:abstractNumId w:val="1"/>
  </w:num>
  <w:num w:numId="10">
    <w:abstractNumId w:val="1"/>
  </w:num>
  <w:num w:numId="11">
    <w:abstractNumId w:val="0"/>
  </w:num>
  <w:num w:numId="12">
    <w:abstractNumId w:val="7"/>
  </w:num>
  <w:num w:numId="13">
    <w:abstractNumId w:val="1"/>
  </w:num>
  <w:num w:numId="14">
    <w:abstractNumId w:val="7"/>
  </w:num>
  <w:num w:numId="15">
    <w:abstractNumId w:val="1"/>
  </w:num>
  <w:num w:numId="16">
    <w:abstractNumId w:val="7"/>
  </w:num>
  <w:num w:numId="17">
    <w:abstractNumId w:val="1"/>
  </w:num>
  <w:num w:numId="18">
    <w:abstractNumId w:val="7"/>
  </w:num>
  <w:num w:numId="19">
    <w:abstractNumId w:val="2"/>
  </w:num>
  <w:num w:numId="20">
    <w:abstractNumId w:val="3"/>
  </w:num>
  <w:num w:numId="21">
    <w:abstractNumId w:val="1"/>
  </w:num>
  <w:num w:numId="22">
    <w:abstractNumId w:val="7"/>
  </w:num>
  <w:num w:numId="23">
    <w:abstractNumId w:val="2"/>
  </w:num>
  <w:num w:numId="24">
    <w:abstractNumId w:val="3"/>
  </w:num>
  <w:num w:numId="25">
    <w:abstractNumId w:val="1"/>
  </w:num>
  <w:num w:numId="26">
    <w:abstractNumId w:val="7"/>
  </w:num>
  <w:num w:numId="27">
    <w:abstractNumId w:val="10"/>
  </w:num>
  <w:num w:numId="28">
    <w:abstractNumId w:val="5"/>
  </w:num>
  <w:num w:numId="29">
    <w:abstractNumId w:val="1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52"/>
    <w:rsid w:val="00000018"/>
    <w:rsid w:val="00003485"/>
    <w:rsid w:val="00003E72"/>
    <w:rsid w:val="00021A08"/>
    <w:rsid w:val="00022399"/>
    <w:rsid w:val="00030516"/>
    <w:rsid w:val="0004004D"/>
    <w:rsid w:val="00041A12"/>
    <w:rsid w:val="00042C4F"/>
    <w:rsid w:val="00045C74"/>
    <w:rsid w:val="00050846"/>
    <w:rsid w:val="00051B9D"/>
    <w:rsid w:val="00054F74"/>
    <w:rsid w:val="00055A21"/>
    <w:rsid w:val="000719CD"/>
    <w:rsid w:val="000804CE"/>
    <w:rsid w:val="0008662E"/>
    <w:rsid w:val="00095635"/>
    <w:rsid w:val="00095753"/>
    <w:rsid w:val="000A30A5"/>
    <w:rsid w:val="000B4D44"/>
    <w:rsid w:val="000C2273"/>
    <w:rsid w:val="000D123E"/>
    <w:rsid w:val="000D3BF1"/>
    <w:rsid w:val="000D7ECE"/>
    <w:rsid w:val="000E37D2"/>
    <w:rsid w:val="000E396B"/>
    <w:rsid w:val="000E4398"/>
    <w:rsid w:val="000E6F74"/>
    <w:rsid w:val="000F3EAF"/>
    <w:rsid w:val="000F67F5"/>
    <w:rsid w:val="00100ED7"/>
    <w:rsid w:val="001025B5"/>
    <w:rsid w:val="001103B7"/>
    <w:rsid w:val="001121A8"/>
    <w:rsid w:val="00112B3F"/>
    <w:rsid w:val="00112E5B"/>
    <w:rsid w:val="001135E3"/>
    <w:rsid w:val="00121B3A"/>
    <w:rsid w:val="001257E5"/>
    <w:rsid w:val="00132BE4"/>
    <w:rsid w:val="00137BF6"/>
    <w:rsid w:val="00137F73"/>
    <w:rsid w:val="001421CE"/>
    <w:rsid w:val="001551AB"/>
    <w:rsid w:val="00156E48"/>
    <w:rsid w:val="00157277"/>
    <w:rsid w:val="001714BE"/>
    <w:rsid w:val="00171E79"/>
    <w:rsid w:val="001726CE"/>
    <w:rsid w:val="00175D21"/>
    <w:rsid w:val="00182455"/>
    <w:rsid w:val="0018348D"/>
    <w:rsid w:val="0018471B"/>
    <w:rsid w:val="00184D42"/>
    <w:rsid w:val="00192AC6"/>
    <w:rsid w:val="00192FE4"/>
    <w:rsid w:val="001B0E15"/>
    <w:rsid w:val="001B1A33"/>
    <w:rsid w:val="001B1F17"/>
    <w:rsid w:val="001B38CA"/>
    <w:rsid w:val="001B4896"/>
    <w:rsid w:val="001B6BE9"/>
    <w:rsid w:val="001B7A53"/>
    <w:rsid w:val="001B7FC9"/>
    <w:rsid w:val="001C41B9"/>
    <w:rsid w:val="001D2530"/>
    <w:rsid w:val="001D5271"/>
    <w:rsid w:val="001D5FC9"/>
    <w:rsid w:val="001D678F"/>
    <w:rsid w:val="001E2A73"/>
    <w:rsid w:val="001F1840"/>
    <w:rsid w:val="0020215B"/>
    <w:rsid w:val="002042BC"/>
    <w:rsid w:val="00211F27"/>
    <w:rsid w:val="002147E1"/>
    <w:rsid w:val="00221B59"/>
    <w:rsid w:val="00222AF9"/>
    <w:rsid w:val="00224743"/>
    <w:rsid w:val="00243A31"/>
    <w:rsid w:val="00243ADE"/>
    <w:rsid w:val="00244080"/>
    <w:rsid w:val="00244711"/>
    <w:rsid w:val="00252DAA"/>
    <w:rsid w:val="00265117"/>
    <w:rsid w:val="0026671A"/>
    <w:rsid w:val="00271624"/>
    <w:rsid w:val="00274A02"/>
    <w:rsid w:val="0027724C"/>
    <w:rsid w:val="00281FD5"/>
    <w:rsid w:val="0028341A"/>
    <w:rsid w:val="002870DB"/>
    <w:rsid w:val="0029199D"/>
    <w:rsid w:val="00291C8C"/>
    <w:rsid w:val="00292E35"/>
    <w:rsid w:val="002931E0"/>
    <w:rsid w:val="00294A15"/>
    <w:rsid w:val="00295C4B"/>
    <w:rsid w:val="00295C81"/>
    <w:rsid w:val="00295D2D"/>
    <w:rsid w:val="00296E1B"/>
    <w:rsid w:val="00297704"/>
    <w:rsid w:val="002A0FB5"/>
    <w:rsid w:val="002A1B73"/>
    <w:rsid w:val="002A5064"/>
    <w:rsid w:val="002B1775"/>
    <w:rsid w:val="002B1AAB"/>
    <w:rsid w:val="002B1F97"/>
    <w:rsid w:val="002B261C"/>
    <w:rsid w:val="002B6A8D"/>
    <w:rsid w:val="002C0516"/>
    <w:rsid w:val="002C52FA"/>
    <w:rsid w:val="002D06FE"/>
    <w:rsid w:val="002D2038"/>
    <w:rsid w:val="002D62BC"/>
    <w:rsid w:val="002E5C41"/>
    <w:rsid w:val="002E6B62"/>
    <w:rsid w:val="002E77A9"/>
    <w:rsid w:val="002F1ED6"/>
    <w:rsid w:val="002F3C5A"/>
    <w:rsid w:val="002F5236"/>
    <w:rsid w:val="002F5C6E"/>
    <w:rsid w:val="002F6F96"/>
    <w:rsid w:val="00301F0C"/>
    <w:rsid w:val="0030452B"/>
    <w:rsid w:val="003050DB"/>
    <w:rsid w:val="003121CD"/>
    <w:rsid w:val="00314988"/>
    <w:rsid w:val="00314A8A"/>
    <w:rsid w:val="00315AB0"/>
    <w:rsid w:val="003238FE"/>
    <w:rsid w:val="003271E4"/>
    <w:rsid w:val="0032795C"/>
    <w:rsid w:val="003341F1"/>
    <w:rsid w:val="00336052"/>
    <w:rsid w:val="003368DE"/>
    <w:rsid w:val="0034316D"/>
    <w:rsid w:val="00343757"/>
    <w:rsid w:val="0034484A"/>
    <w:rsid w:val="003503EA"/>
    <w:rsid w:val="0035269F"/>
    <w:rsid w:val="00352BD6"/>
    <w:rsid w:val="00354D84"/>
    <w:rsid w:val="003556AB"/>
    <w:rsid w:val="00361911"/>
    <w:rsid w:val="00362C5A"/>
    <w:rsid w:val="0036357D"/>
    <w:rsid w:val="00364CD6"/>
    <w:rsid w:val="00365EA8"/>
    <w:rsid w:val="00370447"/>
    <w:rsid w:val="0037318E"/>
    <w:rsid w:val="003812E1"/>
    <w:rsid w:val="00383C60"/>
    <w:rsid w:val="0038717D"/>
    <w:rsid w:val="0039134B"/>
    <w:rsid w:val="00394879"/>
    <w:rsid w:val="003960D6"/>
    <w:rsid w:val="00396174"/>
    <w:rsid w:val="003B181F"/>
    <w:rsid w:val="003B255D"/>
    <w:rsid w:val="003B4317"/>
    <w:rsid w:val="003B62C7"/>
    <w:rsid w:val="003C2929"/>
    <w:rsid w:val="003C386D"/>
    <w:rsid w:val="003C38B1"/>
    <w:rsid w:val="003C4BE5"/>
    <w:rsid w:val="003C6DC6"/>
    <w:rsid w:val="003C7FE5"/>
    <w:rsid w:val="003D017D"/>
    <w:rsid w:val="003D1056"/>
    <w:rsid w:val="003D2C16"/>
    <w:rsid w:val="003D4153"/>
    <w:rsid w:val="003D725F"/>
    <w:rsid w:val="003E1B20"/>
    <w:rsid w:val="003E3F04"/>
    <w:rsid w:val="003E411B"/>
    <w:rsid w:val="003E6DCC"/>
    <w:rsid w:val="003E7ED4"/>
    <w:rsid w:val="003F3AF6"/>
    <w:rsid w:val="003F692F"/>
    <w:rsid w:val="004053A7"/>
    <w:rsid w:val="00405AB3"/>
    <w:rsid w:val="00432E90"/>
    <w:rsid w:val="00432FC2"/>
    <w:rsid w:val="00433191"/>
    <w:rsid w:val="00435B65"/>
    <w:rsid w:val="004402BD"/>
    <w:rsid w:val="004403C0"/>
    <w:rsid w:val="00444939"/>
    <w:rsid w:val="00460035"/>
    <w:rsid w:val="00472751"/>
    <w:rsid w:val="00475942"/>
    <w:rsid w:val="00476395"/>
    <w:rsid w:val="00476452"/>
    <w:rsid w:val="004779F5"/>
    <w:rsid w:val="00481D3F"/>
    <w:rsid w:val="00486C8C"/>
    <w:rsid w:val="00486E55"/>
    <w:rsid w:val="004A1702"/>
    <w:rsid w:val="004A333D"/>
    <w:rsid w:val="004A4A05"/>
    <w:rsid w:val="004A4A54"/>
    <w:rsid w:val="004A5EA8"/>
    <w:rsid w:val="004A62ED"/>
    <w:rsid w:val="004B526A"/>
    <w:rsid w:val="004C6630"/>
    <w:rsid w:val="004D3C8A"/>
    <w:rsid w:val="004E139A"/>
    <w:rsid w:val="004E7859"/>
    <w:rsid w:val="00503BE1"/>
    <w:rsid w:val="00506F82"/>
    <w:rsid w:val="00513341"/>
    <w:rsid w:val="00515162"/>
    <w:rsid w:val="00520868"/>
    <w:rsid w:val="0052396C"/>
    <w:rsid w:val="00534AF6"/>
    <w:rsid w:val="00534F42"/>
    <w:rsid w:val="00537076"/>
    <w:rsid w:val="005451AD"/>
    <w:rsid w:val="005469E0"/>
    <w:rsid w:val="00553E9C"/>
    <w:rsid w:val="00554880"/>
    <w:rsid w:val="00554B0C"/>
    <w:rsid w:val="00557910"/>
    <w:rsid w:val="00563804"/>
    <w:rsid w:val="00581D7D"/>
    <w:rsid w:val="005831FA"/>
    <w:rsid w:val="00585695"/>
    <w:rsid w:val="00586DA6"/>
    <w:rsid w:val="00587809"/>
    <w:rsid w:val="00591258"/>
    <w:rsid w:val="005A454A"/>
    <w:rsid w:val="005A5C66"/>
    <w:rsid w:val="005B112B"/>
    <w:rsid w:val="005B2A88"/>
    <w:rsid w:val="005B513D"/>
    <w:rsid w:val="005B6D68"/>
    <w:rsid w:val="005B7CFC"/>
    <w:rsid w:val="005C1682"/>
    <w:rsid w:val="005C4F3A"/>
    <w:rsid w:val="005C60BF"/>
    <w:rsid w:val="005D4607"/>
    <w:rsid w:val="005E5DE9"/>
    <w:rsid w:val="005F0573"/>
    <w:rsid w:val="005F11CB"/>
    <w:rsid w:val="005F4524"/>
    <w:rsid w:val="005F464B"/>
    <w:rsid w:val="005F645C"/>
    <w:rsid w:val="005F69D0"/>
    <w:rsid w:val="005F6B69"/>
    <w:rsid w:val="00607380"/>
    <w:rsid w:val="00610739"/>
    <w:rsid w:val="0061726E"/>
    <w:rsid w:val="00617622"/>
    <w:rsid w:val="0061777E"/>
    <w:rsid w:val="0062454C"/>
    <w:rsid w:val="00633E2B"/>
    <w:rsid w:val="00636841"/>
    <w:rsid w:val="00643055"/>
    <w:rsid w:val="00643249"/>
    <w:rsid w:val="006455E8"/>
    <w:rsid w:val="006510FE"/>
    <w:rsid w:val="00651AAC"/>
    <w:rsid w:val="00652772"/>
    <w:rsid w:val="006540AD"/>
    <w:rsid w:val="00675710"/>
    <w:rsid w:val="006763E2"/>
    <w:rsid w:val="00683128"/>
    <w:rsid w:val="0069346B"/>
    <w:rsid w:val="00693999"/>
    <w:rsid w:val="006A6F25"/>
    <w:rsid w:val="006B3CD9"/>
    <w:rsid w:val="006B4EBF"/>
    <w:rsid w:val="006B546D"/>
    <w:rsid w:val="006C2EAD"/>
    <w:rsid w:val="006C45D0"/>
    <w:rsid w:val="006C645F"/>
    <w:rsid w:val="006D2175"/>
    <w:rsid w:val="006D2EF5"/>
    <w:rsid w:val="006D4645"/>
    <w:rsid w:val="006D6552"/>
    <w:rsid w:val="006E67FF"/>
    <w:rsid w:val="006E7F40"/>
    <w:rsid w:val="006F0C9C"/>
    <w:rsid w:val="006F6762"/>
    <w:rsid w:val="00703CDF"/>
    <w:rsid w:val="00710299"/>
    <w:rsid w:val="00717425"/>
    <w:rsid w:val="00721858"/>
    <w:rsid w:val="00721F4D"/>
    <w:rsid w:val="007247ED"/>
    <w:rsid w:val="00725DF7"/>
    <w:rsid w:val="00731A5A"/>
    <w:rsid w:val="0073341E"/>
    <w:rsid w:val="007403A4"/>
    <w:rsid w:val="007448EE"/>
    <w:rsid w:val="00744C85"/>
    <w:rsid w:val="00745032"/>
    <w:rsid w:val="00747F6B"/>
    <w:rsid w:val="00755FFF"/>
    <w:rsid w:val="007633BB"/>
    <w:rsid w:val="007658FD"/>
    <w:rsid w:val="007703ED"/>
    <w:rsid w:val="0077433C"/>
    <w:rsid w:val="00787D1C"/>
    <w:rsid w:val="00795258"/>
    <w:rsid w:val="00795CC0"/>
    <w:rsid w:val="007A1C29"/>
    <w:rsid w:val="007A32F8"/>
    <w:rsid w:val="007B017E"/>
    <w:rsid w:val="007B23CB"/>
    <w:rsid w:val="007B305B"/>
    <w:rsid w:val="007B4A20"/>
    <w:rsid w:val="007C1212"/>
    <w:rsid w:val="007C3D43"/>
    <w:rsid w:val="007D2901"/>
    <w:rsid w:val="007E1240"/>
    <w:rsid w:val="007E5605"/>
    <w:rsid w:val="007E659A"/>
    <w:rsid w:val="007E68C2"/>
    <w:rsid w:val="007F3748"/>
    <w:rsid w:val="007F4DBF"/>
    <w:rsid w:val="008040F1"/>
    <w:rsid w:val="008050F6"/>
    <w:rsid w:val="00807203"/>
    <w:rsid w:val="00807A52"/>
    <w:rsid w:val="00812DF9"/>
    <w:rsid w:val="00824F6A"/>
    <w:rsid w:val="00825619"/>
    <w:rsid w:val="008257C3"/>
    <w:rsid w:val="00825B7F"/>
    <w:rsid w:val="00825D96"/>
    <w:rsid w:val="008260CF"/>
    <w:rsid w:val="008304DF"/>
    <w:rsid w:val="00830B98"/>
    <w:rsid w:val="00835668"/>
    <w:rsid w:val="00837C3E"/>
    <w:rsid w:val="00842A38"/>
    <w:rsid w:val="00850933"/>
    <w:rsid w:val="00854722"/>
    <w:rsid w:val="00855265"/>
    <w:rsid w:val="00855B0E"/>
    <w:rsid w:val="00865C0E"/>
    <w:rsid w:val="00870C19"/>
    <w:rsid w:val="008730B0"/>
    <w:rsid w:val="00875D32"/>
    <w:rsid w:val="008768CF"/>
    <w:rsid w:val="00880B8D"/>
    <w:rsid w:val="00881CE3"/>
    <w:rsid w:val="00882436"/>
    <w:rsid w:val="00887811"/>
    <w:rsid w:val="008A293D"/>
    <w:rsid w:val="008A3D36"/>
    <w:rsid w:val="008B175F"/>
    <w:rsid w:val="008B1870"/>
    <w:rsid w:val="008B650B"/>
    <w:rsid w:val="008B73ED"/>
    <w:rsid w:val="008C35F9"/>
    <w:rsid w:val="008C3CD4"/>
    <w:rsid w:val="008C5A9B"/>
    <w:rsid w:val="008C5D34"/>
    <w:rsid w:val="008C746E"/>
    <w:rsid w:val="008D0410"/>
    <w:rsid w:val="008D1C9C"/>
    <w:rsid w:val="008D6C52"/>
    <w:rsid w:val="008E1814"/>
    <w:rsid w:val="008E435F"/>
    <w:rsid w:val="008E60FE"/>
    <w:rsid w:val="008F0262"/>
    <w:rsid w:val="008F2853"/>
    <w:rsid w:val="008F58DB"/>
    <w:rsid w:val="008F7C3A"/>
    <w:rsid w:val="00900DB6"/>
    <w:rsid w:val="00901139"/>
    <w:rsid w:val="009013C8"/>
    <w:rsid w:val="00902136"/>
    <w:rsid w:val="009021BA"/>
    <w:rsid w:val="009045F2"/>
    <w:rsid w:val="00904B18"/>
    <w:rsid w:val="009053D7"/>
    <w:rsid w:val="00913863"/>
    <w:rsid w:val="00914EEA"/>
    <w:rsid w:val="00917414"/>
    <w:rsid w:val="0092133B"/>
    <w:rsid w:val="00924BD6"/>
    <w:rsid w:val="00924C8B"/>
    <w:rsid w:val="0093083D"/>
    <w:rsid w:val="00930898"/>
    <w:rsid w:val="00932B9D"/>
    <w:rsid w:val="00934BD7"/>
    <w:rsid w:val="00935162"/>
    <w:rsid w:val="00937FB1"/>
    <w:rsid w:val="009456D9"/>
    <w:rsid w:val="00945BCB"/>
    <w:rsid w:val="0095374E"/>
    <w:rsid w:val="009549B6"/>
    <w:rsid w:val="00966088"/>
    <w:rsid w:val="00966E66"/>
    <w:rsid w:val="00967F03"/>
    <w:rsid w:val="009710C9"/>
    <w:rsid w:val="00973CF6"/>
    <w:rsid w:val="00975A28"/>
    <w:rsid w:val="00975A34"/>
    <w:rsid w:val="0099565A"/>
    <w:rsid w:val="0099565D"/>
    <w:rsid w:val="00995EFD"/>
    <w:rsid w:val="009A4719"/>
    <w:rsid w:val="009A5B62"/>
    <w:rsid w:val="009A6793"/>
    <w:rsid w:val="009B32B4"/>
    <w:rsid w:val="009C4DB7"/>
    <w:rsid w:val="009D15DA"/>
    <w:rsid w:val="009D5648"/>
    <w:rsid w:val="009D7074"/>
    <w:rsid w:val="009E28D8"/>
    <w:rsid w:val="009E3031"/>
    <w:rsid w:val="009E6153"/>
    <w:rsid w:val="009E644D"/>
    <w:rsid w:val="009F0494"/>
    <w:rsid w:val="00A003FE"/>
    <w:rsid w:val="00A046D4"/>
    <w:rsid w:val="00A05DE7"/>
    <w:rsid w:val="00A15CBC"/>
    <w:rsid w:val="00A17B9C"/>
    <w:rsid w:val="00A24B92"/>
    <w:rsid w:val="00A25922"/>
    <w:rsid w:val="00A260FA"/>
    <w:rsid w:val="00A34B54"/>
    <w:rsid w:val="00A415D5"/>
    <w:rsid w:val="00A4315B"/>
    <w:rsid w:val="00A44966"/>
    <w:rsid w:val="00A45CDA"/>
    <w:rsid w:val="00A52C16"/>
    <w:rsid w:val="00A62B21"/>
    <w:rsid w:val="00A64439"/>
    <w:rsid w:val="00A72C9D"/>
    <w:rsid w:val="00A81983"/>
    <w:rsid w:val="00A81E72"/>
    <w:rsid w:val="00A8354D"/>
    <w:rsid w:val="00A928F8"/>
    <w:rsid w:val="00A94543"/>
    <w:rsid w:val="00A9599B"/>
    <w:rsid w:val="00AA40F4"/>
    <w:rsid w:val="00AA55E1"/>
    <w:rsid w:val="00AB06D0"/>
    <w:rsid w:val="00AB0F10"/>
    <w:rsid w:val="00AB4AFC"/>
    <w:rsid w:val="00AC1C62"/>
    <w:rsid w:val="00AC67AC"/>
    <w:rsid w:val="00AD084A"/>
    <w:rsid w:val="00AD109B"/>
    <w:rsid w:val="00AD194D"/>
    <w:rsid w:val="00AD3674"/>
    <w:rsid w:val="00AD46C7"/>
    <w:rsid w:val="00AF0346"/>
    <w:rsid w:val="00AF1B9C"/>
    <w:rsid w:val="00AF1CB4"/>
    <w:rsid w:val="00AF35B9"/>
    <w:rsid w:val="00AF57E1"/>
    <w:rsid w:val="00B020AD"/>
    <w:rsid w:val="00B0222F"/>
    <w:rsid w:val="00B0502A"/>
    <w:rsid w:val="00B11EA5"/>
    <w:rsid w:val="00B1218F"/>
    <w:rsid w:val="00B14EB8"/>
    <w:rsid w:val="00B176F0"/>
    <w:rsid w:val="00B20342"/>
    <w:rsid w:val="00B21459"/>
    <w:rsid w:val="00B24134"/>
    <w:rsid w:val="00B257BD"/>
    <w:rsid w:val="00B270ED"/>
    <w:rsid w:val="00B30713"/>
    <w:rsid w:val="00B30B3F"/>
    <w:rsid w:val="00B317A5"/>
    <w:rsid w:val="00B351BA"/>
    <w:rsid w:val="00B363EF"/>
    <w:rsid w:val="00B42647"/>
    <w:rsid w:val="00B42A28"/>
    <w:rsid w:val="00B43A0B"/>
    <w:rsid w:val="00B4565C"/>
    <w:rsid w:val="00B541A5"/>
    <w:rsid w:val="00B5568E"/>
    <w:rsid w:val="00B57AA1"/>
    <w:rsid w:val="00B661C0"/>
    <w:rsid w:val="00B67A48"/>
    <w:rsid w:val="00B70299"/>
    <w:rsid w:val="00B7219F"/>
    <w:rsid w:val="00B72EDB"/>
    <w:rsid w:val="00B86CD8"/>
    <w:rsid w:val="00B942D4"/>
    <w:rsid w:val="00BA4CFD"/>
    <w:rsid w:val="00BB1906"/>
    <w:rsid w:val="00BB1D67"/>
    <w:rsid w:val="00BB4E33"/>
    <w:rsid w:val="00BB5E6A"/>
    <w:rsid w:val="00BC541C"/>
    <w:rsid w:val="00BC5614"/>
    <w:rsid w:val="00BC5AEF"/>
    <w:rsid w:val="00BC7B24"/>
    <w:rsid w:val="00BD3370"/>
    <w:rsid w:val="00BD718B"/>
    <w:rsid w:val="00BD7A69"/>
    <w:rsid w:val="00BE0738"/>
    <w:rsid w:val="00BE30DB"/>
    <w:rsid w:val="00BF02FD"/>
    <w:rsid w:val="00BF1759"/>
    <w:rsid w:val="00BF2271"/>
    <w:rsid w:val="00BF2435"/>
    <w:rsid w:val="00C035A6"/>
    <w:rsid w:val="00C03949"/>
    <w:rsid w:val="00C13332"/>
    <w:rsid w:val="00C13BAF"/>
    <w:rsid w:val="00C15112"/>
    <w:rsid w:val="00C24A88"/>
    <w:rsid w:val="00C27260"/>
    <w:rsid w:val="00C40E91"/>
    <w:rsid w:val="00C43F97"/>
    <w:rsid w:val="00C55569"/>
    <w:rsid w:val="00C60D90"/>
    <w:rsid w:val="00C616D1"/>
    <w:rsid w:val="00C62E5F"/>
    <w:rsid w:val="00C6355E"/>
    <w:rsid w:val="00C7101A"/>
    <w:rsid w:val="00C73291"/>
    <w:rsid w:val="00C73EDC"/>
    <w:rsid w:val="00C8239C"/>
    <w:rsid w:val="00C87653"/>
    <w:rsid w:val="00C91DD5"/>
    <w:rsid w:val="00C94BC2"/>
    <w:rsid w:val="00CB477B"/>
    <w:rsid w:val="00CB61F4"/>
    <w:rsid w:val="00CC029E"/>
    <w:rsid w:val="00CC3AA1"/>
    <w:rsid w:val="00CC44B7"/>
    <w:rsid w:val="00CC4903"/>
    <w:rsid w:val="00CD1599"/>
    <w:rsid w:val="00CD3127"/>
    <w:rsid w:val="00CD3191"/>
    <w:rsid w:val="00CD3920"/>
    <w:rsid w:val="00CD6A00"/>
    <w:rsid w:val="00CD7E76"/>
    <w:rsid w:val="00CE1FC9"/>
    <w:rsid w:val="00CE3D7B"/>
    <w:rsid w:val="00CE4784"/>
    <w:rsid w:val="00CE6238"/>
    <w:rsid w:val="00CE6B5F"/>
    <w:rsid w:val="00CE7AE7"/>
    <w:rsid w:val="00CF5D40"/>
    <w:rsid w:val="00CF70FB"/>
    <w:rsid w:val="00CF7923"/>
    <w:rsid w:val="00D01328"/>
    <w:rsid w:val="00D01713"/>
    <w:rsid w:val="00D04235"/>
    <w:rsid w:val="00D15732"/>
    <w:rsid w:val="00D2173C"/>
    <w:rsid w:val="00D25467"/>
    <w:rsid w:val="00D332F1"/>
    <w:rsid w:val="00D33D98"/>
    <w:rsid w:val="00D34484"/>
    <w:rsid w:val="00D353F5"/>
    <w:rsid w:val="00D46F5F"/>
    <w:rsid w:val="00D536FE"/>
    <w:rsid w:val="00D53A91"/>
    <w:rsid w:val="00D53F0C"/>
    <w:rsid w:val="00D6001A"/>
    <w:rsid w:val="00D60B3A"/>
    <w:rsid w:val="00D664B9"/>
    <w:rsid w:val="00D7107C"/>
    <w:rsid w:val="00D92D2C"/>
    <w:rsid w:val="00D9310A"/>
    <w:rsid w:val="00DA3BF9"/>
    <w:rsid w:val="00DA513A"/>
    <w:rsid w:val="00DA78AA"/>
    <w:rsid w:val="00DB1A71"/>
    <w:rsid w:val="00DB7467"/>
    <w:rsid w:val="00DC7718"/>
    <w:rsid w:val="00DD4681"/>
    <w:rsid w:val="00DD7DE6"/>
    <w:rsid w:val="00DE585B"/>
    <w:rsid w:val="00DE5E86"/>
    <w:rsid w:val="00DE6DDA"/>
    <w:rsid w:val="00DE76F7"/>
    <w:rsid w:val="00DE7B91"/>
    <w:rsid w:val="00DF240B"/>
    <w:rsid w:val="00DF2581"/>
    <w:rsid w:val="00DF5209"/>
    <w:rsid w:val="00DF68E1"/>
    <w:rsid w:val="00DF7BAF"/>
    <w:rsid w:val="00E01367"/>
    <w:rsid w:val="00E10EEA"/>
    <w:rsid w:val="00E11F1D"/>
    <w:rsid w:val="00E13D87"/>
    <w:rsid w:val="00E20C47"/>
    <w:rsid w:val="00E23711"/>
    <w:rsid w:val="00E31F8E"/>
    <w:rsid w:val="00E33774"/>
    <w:rsid w:val="00E33D7C"/>
    <w:rsid w:val="00E34962"/>
    <w:rsid w:val="00E3602B"/>
    <w:rsid w:val="00E36B36"/>
    <w:rsid w:val="00E37105"/>
    <w:rsid w:val="00E37292"/>
    <w:rsid w:val="00E44C71"/>
    <w:rsid w:val="00E4558F"/>
    <w:rsid w:val="00E47138"/>
    <w:rsid w:val="00E60520"/>
    <w:rsid w:val="00E66FC8"/>
    <w:rsid w:val="00E717EC"/>
    <w:rsid w:val="00E71955"/>
    <w:rsid w:val="00E721DD"/>
    <w:rsid w:val="00E72DF9"/>
    <w:rsid w:val="00E73F7C"/>
    <w:rsid w:val="00E7586C"/>
    <w:rsid w:val="00E82E09"/>
    <w:rsid w:val="00E91814"/>
    <w:rsid w:val="00E97BE8"/>
    <w:rsid w:val="00EA197E"/>
    <w:rsid w:val="00EA4365"/>
    <w:rsid w:val="00EB03E0"/>
    <w:rsid w:val="00EB4D43"/>
    <w:rsid w:val="00EC2007"/>
    <w:rsid w:val="00EC2C85"/>
    <w:rsid w:val="00EC4C71"/>
    <w:rsid w:val="00ED58BB"/>
    <w:rsid w:val="00ED662A"/>
    <w:rsid w:val="00ED7288"/>
    <w:rsid w:val="00EE3F3F"/>
    <w:rsid w:val="00EE4D9F"/>
    <w:rsid w:val="00EF15DF"/>
    <w:rsid w:val="00EF3605"/>
    <w:rsid w:val="00EF4B91"/>
    <w:rsid w:val="00EF4E59"/>
    <w:rsid w:val="00EF5FC2"/>
    <w:rsid w:val="00F05654"/>
    <w:rsid w:val="00F1074E"/>
    <w:rsid w:val="00F1762B"/>
    <w:rsid w:val="00F22CD6"/>
    <w:rsid w:val="00F2323C"/>
    <w:rsid w:val="00F26E0A"/>
    <w:rsid w:val="00F31239"/>
    <w:rsid w:val="00F355B1"/>
    <w:rsid w:val="00F35E3A"/>
    <w:rsid w:val="00F60C18"/>
    <w:rsid w:val="00F61BC7"/>
    <w:rsid w:val="00F65931"/>
    <w:rsid w:val="00F65BB7"/>
    <w:rsid w:val="00F661EC"/>
    <w:rsid w:val="00F84D67"/>
    <w:rsid w:val="00F854AA"/>
    <w:rsid w:val="00F90DBC"/>
    <w:rsid w:val="00F910E8"/>
    <w:rsid w:val="00F95C24"/>
    <w:rsid w:val="00F973EC"/>
    <w:rsid w:val="00F977E4"/>
    <w:rsid w:val="00FA39ED"/>
    <w:rsid w:val="00FA4539"/>
    <w:rsid w:val="00FB20C0"/>
    <w:rsid w:val="00FB2FED"/>
    <w:rsid w:val="00FB531F"/>
    <w:rsid w:val="00FD1E35"/>
    <w:rsid w:val="00FD25C0"/>
    <w:rsid w:val="00FD29E1"/>
    <w:rsid w:val="00FD6E1D"/>
    <w:rsid w:val="00FE08EC"/>
    <w:rsid w:val="00FE1286"/>
    <w:rsid w:val="00FE397F"/>
    <w:rsid w:val="00FE40A4"/>
    <w:rsid w:val="00FF029B"/>
    <w:rsid w:val="00FF4273"/>
    <w:rsid w:val="00FF48EB"/>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E53F06"/>
  <w15:docId w15:val="{7DF6BDCD-4C82-4999-896D-C45D921F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11"/>
    <w:pPr>
      <w:spacing w:after="240"/>
      <w:jc w:val="both"/>
    </w:pPr>
    <w:rPr>
      <w:sz w:val="24"/>
      <w:lang w:val="en-GB"/>
    </w:rPr>
  </w:style>
  <w:style w:type="paragraph" w:styleId="Heading1">
    <w:name w:val="heading 1"/>
    <w:basedOn w:val="Normal"/>
    <w:next w:val="Normal"/>
    <w:rsid w:val="00244711"/>
    <w:pPr>
      <w:keepNext/>
      <w:spacing w:before="360" w:line="280" w:lineRule="exact"/>
      <w:outlineLvl w:val="0"/>
    </w:pPr>
    <w:rPr>
      <w:b/>
      <w:caps/>
      <w:kern w:val="28"/>
      <w:sz w:val="28"/>
    </w:rPr>
  </w:style>
  <w:style w:type="paragraph" w:styleId="Heading2">
    <w:name w:val="heading 2"/>
    <w:basedOn w:val="Normal"/>
    <w:next w:val="Normal"/>
    <w:rsid w:val="00244711"/>
    <w:pPr>
      <w:keepNext/>
      <w:spacing w:before="240" w:after="120" w:line="280" w:lineRule="exact"/>
      <w:outlineLvl w:val="1"/>
    </w:pPr>
    <w:rPr>
      <w:b/>
    </w:rPr>
  </w:style>
  <w:style w:type="paragraph" w:styleId="Heading3">
    <w:name w:val="heading 3"/>
    <w:basedOn w:val="Normal"/>
    <w:next w:val="Normal"/>
    <w:rsid w:val="00244711"/>
    <w:pPr>
      <w:keepNext/>
      <w:spacing w:before="120" w:after="120"/>
      <w:outlineLvl w:val="2"/>
    </w:pPr>
    <w:rPr>
      <w:b/>
      <w:i/>
      <w:iCs/>
    </w:rPr>
  </w:style>
  <w:style w:type="paragraph" w:styleId="Heading4">
    <w:name w:val="heading 4"/>
    <w:basedOn w:val="Normal"/>
    <w:next w:val="Normal"/>
    <w:link w:val="Heading4Char"/>
    <w:rsid w:val="00244711"/>
    <w:pPr>
      <w:keepNext/>
      <w:outlineLvl w:val="3"/>
    </w:pPr>
    <w:rPr>
      <w:i/>
      <w:iCs/>
    </w:rPr>
  </w:style>
  <w:style w:type="paragraph" w:styleId="Heading5">
    <w:name w:val="heading 5"/>
    <w:basedOn w:val="Normal"/>
    <w:next w:val="Normal"/>
    <w:rsid w:val="00244711"/>
    <w:pPr>
      <w:spacing w:before="240" w:after="60"/>
      <w:outlineLvl w:val="4"/>
    </w:pPr>
    <w:rPr>
      <w:b/>
      <w:bCs/>
      <w:i/>
      <w:iCs/>
      <w:sz w:val="26"/>
      <w:szCs w:val="26"/>
    </w:rPr>
  </w:style>
  <w:style w:type="paragraph" w:styleId="Heading6">
    <w:name w:val="heading 6"/>
    <w:basedOn w:val="Normal"/>
    <w:next w:val="Normal"/>
    <w:rsid w:val="00945BCB"/>
    <w:pPr>
      <w:keepNext/>
      <w:outlineLvl w:val="5"/>
    </w:pPr>
    <w:rPr>
      <w:rFonts w:ascii="Times" w:hAnsi="Times"/>
      <w:b/>
      <w:color w:val="3366FF"/>
      <w:sz w:val="22"/>
      <w:u w:val="double"/>
    </w:rPr>
  </w:style>
  <w:style w:type="paragraph" w:styleId="Heading7">
    <w:name w:val="heading 7"/>
    <w:basedOn w:val="Normal"/>
    <w:next w:val="Normal"/>
    <w:rsid w:val="00945BCB"/>
    <w:pPr>
      <w:keepNext/>
      <w:outlineLvl w:val="6"/>
    </w:pPr>
    <w:rPr>
      <w:rFonts w:ascii="Times" w:hAnsi="Times"/>
      <w:bCs/>
      <w:color w:val="3366FF"/>
      <w:sz w:val="22"/>
      <w:u w:val="double"/>
    </w:rPr>
  </w:style>
  <w:style w:type="paragraph" w:styleId="Heading8">
    <w:name w:val="heading 8"/>
    <w:basedOn w:val="Normal"/>
    <w:next w:val="Normal"/>
    <w:rsid w:val="00945BCB"/>
    <w:pPr>
      <w:keepNext/>
      <w:outlineLvl w:val="7"/>
    </w:pPr>
    <w:rPr>
      <w:b/>
      <w:sz w:val="22"/>
    </w:rPr>
  </w:style>
  <w:style w:type="paragraph" w:styleId="Heading9">
    <w:name w:val="heading 9"/>
    <w:basedOn w:val="Normal"/>
    <w:next w:val="Normal"/>
    <w:rsid w:val="00945BCB"/>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243A31"/>
  </w:style>
  <w:style w:type="paragraph" w:customStyle="1" w:styleId="CLDBulletList">
    <w:name w:val="CLD Bullet List"/>
    <w:basedOn w:val="CLDNormal"/>
    <w:rsid w:val="00BD7A69"/>
    <w:pPr>
      <w:numPr>
        <w:numId w:val="23"/>
      </w:numPr>
      <w:spacing w:before="20" w:after="20"/>
    </w:pPr>
  </w:style>
  <w:style w:type="paragraph" w:customStyle="1" w:styleId="Figure">
    <w:name w:val="Figure"/>
    <w:basedOn w:val="Normal"/>
    <w:next w:val="Normal"/>
    <w:semiHidden/>
    <w:rsid w:val="00244711"/>
    <w:pPr>
      <w:spacing w:before="240" w:after="360"/>
    </w:pPr>
    <w:rPr>
      <w:color w:val="000000"/>
    </w:rPr>
  </w:style>
  <w:style w:type="paragraph" w:customStyle="1" w:styleId="CLDFigure">
    <w:name w:val="CLD Figure"/>
    <w:basedOn w:val="Figure"/>
    <w:uiPriority w:val="7"/>
    <w:qFormat/>
    <w:rsid w:val="00244711"/>
  </w:style>
  <w:style w:type="paragraph" w:styleId="Footer">
    <w:name w:val="footer"/>
    <w:basedOn w:val="Normal"/>
    <w:link w:val="FooterChar"/>
    <w:rsid w:val="00244711"/>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244711"/>
    <w:rPr>
      <w:lang w:val="en-GB"/>
    </w:rPr>
  </w:style>
  <w:style w:type="paragraph" w:customStyle="1" w:styleId="CLDFooter">
    <w:name w:val="CLD Footer"/>
    <w:basedOn w:val="Footer"/>
    <w:uiPriority w:val="7"/>
    <w:qFormat/>
    <w:rsid w:val="00244711"/>
    <w:pPr>
      <w:tabs>
        <w:tab w:val="clear" w:pos="9923"/>
        <w:tab w:val="right" w:pos="8800"/>
      </w:tabs>
      <w:spacing w:line="240" w:lineRule="auto"/>
    </w:pPr>
  </w:style>
  <w:style w:type="paragraph" w:customStyle="1" w:styleId="CLDHeading1">
    <w:name w:val="CLD Heading 1"/>
    <w:basedOn w:val="Heading1"/>
    <w:uiPriority w:val="2"/>
    <w:qFormat/>
    <w:rsid w:val="00643055"/>
    <w:pPr>
      <w:spacing w:line="240" w:lineRule="auto"/>
      <w:ind w:left="426" w:hanging="426"/>
    </w:pPr>
  </w:style>
  <w:style w:type="paragraph" w:customStyle="1" w:styleId="CLDHeading2">
    <w:name w:val="CLD Heading 2"/>
    <w:basedOn w:val="Heading2"/>
    <w:uiPriority w:val="3"/>
    <w:qFormat/>
    <w:rsid w:val="00755FFF"/>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Heading3"/>
    <w:uiPriority w:val="4"/>
    <w:qFormat/>
    <w:rsid w:val="001B38CA"/>
    <w:pPr>
      <w:spacing w:before="240"/>
    </w:pPr>
    <w:rPr>
      <w:i w:val="0"/>
    </w:rPr>
  </w:style>
  <w:style w:type="paragraph" w:customStyle="1" w:styleId="CLDHeading4">
    <w:name w:val="CLD Heading 4"/>
    <w:basedOn w:val="Heading4"/>
    <w:uiPriority w:val="5"/>
    <w:qFormat/>
    <w:rsid w:val="00B57AA1"/>
    <w:pPr>
      <w:spacing w:before="120" w:after="120"/>
    </w:pPr>
    <w:rPr>
      <w:rFonts w:ascii="Times New Roman Bold" w:hAnsi="Times New Roman Bold"/>
      <w:b/>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4"/>
      </w:numPr>
    </w:pPr>
  </w:style>
  <w:style w:type="character" w:customStyle="1" w:styleId="Heading4Char">
    <w:name w:val="Heading 4 Char"/>
    <w:link w:val="Heading4"/>
    <w:rsid w:val="00EB4D43"/>
    <w:rPr>
      <w:i/>
      <w:iCs/>
      <w:sz w:val="24"/>
      <w:lang w:val="en-GB"/>
    </w:rPr>
  </w:style>
  <w:style w:type="paragraph" w:customStyle="1" w:styleId="FigureFootnote">
    <w:name w:val="Figure Footnote"/>
    <w:basedOn w:val="Normal"/>
    <w:next w:val="Normal"/>
    <w:semiHidden/>
    <w:rsid w:val="00244711"/>
    <w:pPr>
      <w:spacing w:before="240" w:after="360"/>
    </w:pPr>
    <w:rPr>
      <w:color w:val="000000"/>
    </w:rPr>
  </w:style>
  <w:style w:type="paragraph" w:customStyle="1" w:styleId="TableFootnote">
    <w:name w:val="Table Footnote"/>
    <w:basedOn w:val="FigureFootnote"/>
    <w:next w:val="Normal"/>
    <w:semiHidden/>
    <w:rsid w:val="00244711"/>
    <w:pPr>
      <w:spacing w:before="0" w:after="0"/>
      <w:jc w:val="left"/>
    </w:pPr>
    <w:rPr>
      <w:sz w:val="20"/>
      <w:szCs w:val="24"/>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spacing w:before="0" w:after="480"/>
      <w:jc w:val="left"/>
    </w:pPr>
    <w:rPr>
      <w:szCs w:val="24"/>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spacing w:before="0" w:after="0"/>
      <w:jc w:val="left"/>
    </w:pPr>
    <w:rPr>
      <w:snapToGrid w:val="0"/>
      <w:szCs w:val="24"/>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spacing w:before="360"/>
    </w:pPr>
    <w:rPr>
      <w:b/>
      <w:color w:val="000000"/>
    </w:rPr>
  </w:style>
  <w:style w:type="paragraph" w:customStyle="1" w:styleId="TableTitle">
    <w:name w:val="Table Title"/>
    <w:basedOn w:val="FigureTitle"/>
    <w:next w:val="TableText"/>
    <w:semiHidden/>
    <w:rsid w:val="00244711"/>
    <w:pPr>
      <w:spacing w:after="0"/>
      <w:jc w:val="left"/>
    </w:pPr>
    <w:rPr>
      <w:szCs w:val="24"/>
    </w:rPr>
  </w:style>
  <w:style w:type="paragraph" w:customStyle="1" w:styleId="CLDTableTitle">
    <w:name w:val="CLD Table Title"/>
    <w:basedOn w:val="TableTitle"/>
    <w:uiPriority w:val="7"/>
    <w:qFormat/>
    <w:rsid w:val="00244711"/>
    <w:pPr>
      <w:keepLines/>
      <w:spacing w:before="120"/>
    </w:pPr>
  </w:style>
  <w:style w:type="paragraph" w:customStyle="1" w:styleId="CLDTITLE">
    <w:name w:val="CLD TITLE"/>
    <w:basedOn w:val="Normal"/>
    <w:qFormat/>
    <w:rsid w:val="00D01328"/>
    <w:pPr>
      <w:outlineLvl w:val="0"/>
    </w:pPr>
    <w:rPr>
      <w:b/>
      <w:kern w:val="28"/>
      <w:sz w:val="40"/>
    </w:rPr>
  </w:style>
  <w:style w:type="character" w:customStyle="1" w:styleId="CLDTradename">
    <w:name w:val="CLD Tradename"/>
    <w:rsid w:val="00244711"/>
    <w:rPr>
      <w:b/>
      <w:sz w:val="32"/>
      <w:lang w:val="en-GB" w:eastAsia="en-US"/>
    </w:rPr>
  </w:style>
  <w:style w:type="character" w:styleId="CommentReference">
    <w:name w:val="annotation reference"/>
    <w:uiPriority w:val="99"/>
    <w:rsid w:val="00244711"/>
    <w:rPr>
      <w:sz w:val="16"/>
      <w:szCs w:val="16"/>
    </w:rPr>
  </w:style>
  <w:style w:type="character" w:styleId="PageNumber">
    <w:name w:val="page number"/>
    <w:rsid w:val="00244711"/>
  </w:style>
  <w:style w:type="table" w:styleId="TableGrid">
    <w:name w:val="Table Grid"/>
    <w:basedOn w:val="TableNormal"/>
    <w:uiPriority w:val="59"/>
    <w:rsid w:val="002447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basedOn w:val="Normal"/>
    <w:link w:val="CommentTextChar"/>
    <w:uiPriority w:val="99"/>
    <w:rsid w:val="00D01713"/>
    <w:rPr>
      <w:sz w:val="20"/>
    </w:rPr>
  </w:style>
  <w:style w:type="character" w:customStyle="1" w:styleId="CommentTextChar">
    <w:name w:val="Comment Text Char"/>
    <w:basedOn w:val="DefaultParagraphFont"/>
    <w:link w:val="CommentText"/>
    <w:uiPriority w:val="99"/>
    <w:rsid w:val="00D01713"/>
    <w:rPr>
      <w:lang w:val="en-GB"/>
    </w:rPr>
  </w:style>
  <w:style w:type="paragraph" w:styleId="CommentSubject">
    <w:name w:val="annotation subject"/>
    <w:basedOn w:val="CommentText"/>
    <w:next w:val="CommentText"/>
    <w:link w:val="CommentSubjectChar"/>
    <w:rsid w:val="00D01713"/>
    <w:rPr>
      <w:b/>
      <w:bCs/>
    </w:rPr>
  </w:style>
  <w:style w:type="character" w:customStyle="1" w:styleId="CommentSubjectChar">
    <w:name w:val="Comment Subject Char"/>
    <w:basedOn w:val="CommentTextChar"/>
    <w:link w:val="CommentSubject"/>
    <w:rsid w:val="00D01713"/>
    <w:rPr>
      <w:b/>
      <w:bCs/>
      <w:lang w:val="en-GB"/>
    </w:rPr>
  </w:style>
  <w:style w:type="character" w:styleId="Hyperlink">
    <w:name w:val="Hyperlink"/>
    <w:basedOn w:val="DefaultParagraphFont"/>
    <w:uiPriority w:val="99"/>
    <w:rsid w:val="00BF02FD"/>
    <w:rPr>
      <w:color w:val="0000FF" w:themeColor="hyperlink"/>
      <w:u w:val="single"/>
    </w:rPr>
  </w:style>
  <w:style w:type="character" w:styleId="FollowedHyperlink">
    <w:name w:val="FollowedHyperlink"/>
    <w:basedOn w:val="DefaultParagraphFont"/>
    <w:rsid w:val="00FD6E1D"/>
    <w:rPr>
      <w:color w:val="800080" w:themeColor="followedHyperlink"/>
      <w:u w:val="single"/>
    </w:rPr>
  </w:style>
  <w:style w:type="paragraph" w:styleId="BalloonText">
    <w:name w:val="Balloon Text"/>
    <w:basedOn w:val="Normal"/>
    <w:link w:val="BalloonTextChar"/>
    <w:rsid w:val="00643055"/>
    <w:pPr>
      <w:spacing w:after="0"/>
    </w:pPr>
    <w:rPr>
      <w:rFonts w:ascii="Tahoma" w:hAnsi="Tahoma" w:cs="Tahoma"/>
      <w:sz w:val="16"/>
      <w:szCs w:val="16"/>
    </w:rPr>
  </w:style>
  <w:style w:type="character" w:customStyle="1" w:styleId="BalloonTextChar">
    <w:name w:val="Balloon Text Char"/>
    <w:basedOn w:val="DefaultParagraphFont"/>
    <w:link w:val="BalloonText"/>
    <w:rsid w:val="00643055"/>
    <w:rPr>
      <w:rFonts w:ascii="Tahoma" w:hAnsi="Tahoma" w:cs="Tahoma"/>
      <w:sz w:val="16"/>
      <w:szCs w:val="16"/>
      <w:lang w:val="en-GB"/>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030516"/>
    <w:pPr>
      <w:tabs>
        <w:tab w:val="center" w:pos="4513"/>
        <w:tab w:val="right" w:pos="9026"/>
      </w:tabs>
      <w:spacing w:after="0"/>
    </w:pPr>
  </w:style>
  <w:style w:type="character" w:customStyle="1" w:styleId="HeaderChar">
    <w:name w:val="Header Char"/>
    <w:basedOn w:val="DefaultParagraphFont"/>
    <w:link w:val="Header"/>
    <w:rsid w:val="00030516"/>
    <w:rPr>
      <w:sz w:val="24"/>
      <w:lang w:val="en-GB"/>
    </w:rPr>
  </w:style>
  <w:style w:type="paragraph" w:customStyle="1" w:styleId="Paragraph">
    <w:name w:val="Paragraph"/>
    <w:link w:val="ParagraphChar"/>
    <w:qFormat/>
    <w:rsid w:val="005D4607"/>
    <w:pPr>
      <w:spacing w:after="240"/>
    </w:pPr>
    <w:rPr>
      <w:sz w:val="24"/>
      <w:szCs w:val="24"/>
    </w:rPr>
  </w:style>
  <w:style w:type="character" w:customStyle="1" w:styleId="ParagraphChar">
    <w:name w:val="Paragraph Char"/>
    <w:link w:val="Paragraph"/>
    <w:rsid w:val="005D4607"/>
    <w:rPr>
      <w:sz w:val="24"/>
      <w:szCs w:val="24"/>
    </w:rPr>
  </w:style>
  <w:style w:type="character" w:customStyle="1" w:styleId="Instructions">
    <w:name w:val="Instructions"/>
    <w:rsid w:val="008260CF"/>
    <w:rPr>
      <w:i/>
      <w:iCs/>
      <w:color w:val="008000"/>
    </w:rPr>
  </w:style>
  <w:style w:type="character" w:customStyle="1" w:styleId="BlueText">
    <w:name w:val="Blue Text"/>
    <w:rsid w:val="00FE1286"/>
    <w:rPr>
      <w:color w:val="0000FF"/>
    </w:rPr>
  </w:style>
  <w:style w:type="paragraph" w:customStyle="1" w:styleId="TableText0">
    <w:name w:val="TableText"/>
    <w:link w:val="TableTextChar"/>
    <w:rsid w:val="00633E2B"/>
    <w:rPr>
      <w:rFonts w:cs="Arial"/>
    </w:rPr>
  </w:style>
  <w:style w:type="character" w:customStyle="1" w:styleId="TableTextChar">
    <w:name w:val="TableText Char"/>
    <w:link w:val="TableText0"/>
    <w:rsid w:val="00633E2B"/>
    <w:rPr>
      <w:rFonts w:cs="Arial"/>
    </w:rPr>
  </w:style>
  <w:style w:type="paragraph" w:styleId="ListBullet">
    <w:name w:val="List Bullet"/>
    <w:rsid w:val="00633E2B"/>
    <w:pPr>
      <w:tabs>
        <w:tab w:val="num" w:pos="560"/>
      </w:tabs>
      <w:ind w:left="560" w:hanging="560"/>
    </w:pPr>
    <w:rPr>
      <w:sz w:val="22"/>
      <w:szCs w:val="22"/>
    </w:rPr>
  </w:style>
  <w:style w:type="paragraph" w:customStyle="1" w:styleId="FoldRxBodyTest">
    <w:name w:val="FoldRx Body Test"/>
    <w:basedOn w:val="Paragraph"/>
    <w:link w:val="FoldRxBodyTestChar"/>
    <w:qFormat/>
    <w:rsid w:val="00633E2B"/>
  </w:style>
  <w:style w:type="character" w:customStyle="1" w:styleId="FoldRxBodyTestChar">
    <w:name w:val="FoldRx Body Test Char"/>
    <w:link w:val="FoldRxBodyTest"/>
    <w:rsid w:val="00633E2B"/>
    <w:rPr>
      <w:sz w:val="24"/>
      <w:szCs w:val="24"/>
    </w:rPr>
  </w:style>
  <w:style w:type="paragraph" w:styleId="BodyText">
    <w:name w:val="Body Text"/>
    <w:basedOn w:val="Normal"/>
    <w:link w:val="BodyTextChar"/>
    <w:rsid w:val="0093083D"/>
    <w:pPr>
      <w:spacing w:after="120"/>
      <w:jc w:val="left"/>
    </w:pPr>
    <w:rPr>
      <w:szCs w:val="24"/>
      <w:lang w:val="x-none" w:eastAsia="x-none"/>
    </w:rPr>
  </w:style>
  <w:style w:type="character" w:customStyle="1" w:styleId="BodyTextChar">
    <w:name w:val="Body Text Char"/>
    <w:basedOn w:val="DefaultParagraphFont"/>
    <w:link w:val="BodyText"/>
    <w:rsid w:val="0093083D"/>
    <w:rPr>
      <w:sz w:val="24"/>
      <w:szCs w:val="24"/>
      <w:lang w:val="x-none" w:eastAsia="x-none"/>
    </w:rPr>
  </w:style>
  <w:style w:type="paragraph" w:styleId="NormalWeb">
    <w:name w:val="Normal (Web)"/>
    <w:basedOn w:val="Normal"/>
    <w:uiPriority w:val="99"/>
    <w:rsid w:val="0093083D"/>
    <w:pPr>
      <w:spacing w:after="0"/>
      <w:jc w:val="left"/>
    </w:pPr>
    <w:rPr>
      <w:sz w:val="22"/>
      <w:szCs w:val="24"/>
    </w:rPr>
  </w:style>
  <w:style w:type="character" w:customStyle="1" w:styleId="paragraph-h1">
    <w:name w:val="paragraph-h1"/>
    <w:rsid w:val="0093083D"/>
    <w:rPr>
      <w:rFonts w:ascii="Times New Roman" w:hAnsi="Times New Roman" w:cs="Times New Roman" w:hint="default"/>
    </w:rPr>
  </w:style>
  <w:style w:type="paragraph" w:customStyle="1" w:styleId="TableTextColHead">
    <w:name w:val="TableText Col Head"/>
    <w:link w:val="TableTextColHeadChar"/>
    <w:rsid w:val="00875D32"/>
    <w:pPr>
      <w:jc w:val="center"/>
    </w:pPr>
    <w:rPr>
      <w:rFonts w:eastAsia="SimSun"/>
      <w:b/>
    </w:rPr>
  </w:style>
  <w:style w:type="character" w:customStyle="1" w:styleId="TableTextColHeadChar">
    <w:name w:val="TableText Col Head Char"/>
    <w:link w:val="TableTextColHead"/>
    <w:locked/>
    <w:rsid w:val="00875D32"/>
    <w:rPr>
      <w:rFonts w:eastAsia="SimSun"/>
      <w:b/>
    </w:rPr>
  </w:style>
  <w:style w:type="paragraph" w:styleId="TOC4">
    <w:name w:val="toc 4"/>
    <w:basedOn w:val="Paragraph"/>
    <w:next w:val="Paragraph"/>
    <w:autoRedefine/>
    <w:rsid w:val="00854722"/>
    <w:pPr>
      <w:keepLines/>
      <w:tabs>
        <w:tab w:val="left" w:pos="2160"/>
        <w:tab w:val="right" w:leader="dot" w:pos="9360"/>
      </w:tabs>
      <w:spacing w:after="120"/>
      <w:ind w:left="2880" w:right="576" w:hanging="864"/>
    </w:pPr>
    <w:rPr>
      <w:color w:val="0000FF"/>
    </w:rPr>
  </w:style>
  <w:style w:type="paragraph" w:customStyle="1" w:styleId="TableTextCentered">
    <w:name w:val="TableText Centered"/>
    <w:rsid w:val="00E13D87"/>
    <w:pPr>
      <w:jc w:val="center"/>
    </w:pPr>
  </w:style>
  <w:style w:type="character" w:customStyle="1" w:styleId="TableText12">
    <w:name w:val="TableText 12"/>
    <w:rsid w:val="00E13D87"/>
    <w:rPr>
      <w:rFonts w:ascii="Times New Roman" w:hAnsi="Times New Roman"/>
      <w:sz w:val="24"/>
    </w:rPr>
  </w:style>
  <w:style w:type="character" w:customStyle="1" w:styleId="C-BodyTextChar1">
    <w:name w:val="C-Body Text Char1"/>
    <w:basedOn w:val="DefaultParagraphFont"/>
    <w:rsid w:val="00882436"/>
  </w:style>
  <w:style w:type="paragraph" w:styleId="Caption">
    <w:name w:val="caption"/>
    <w:basedOn w:val="Normal"/>
    <w:next w:val="Normal"/>
    <w:unhideWhenUsed/>
    <w:qFormat/>
    <w:rsid w:val="00515162"/>
    <w:pPr>
      <w:spacing w:after="200"/>
    </w:pPr>
    <w:rPr>
      <w:b/>
      <w:bCs/>
      <w:color w:val="4F81BD" w:themeColor="accent1"/>
      <w:sz w:val="18"/>
      <w:szCs w:val="18"/>
    </w:rPr>
  </w:style>
  <w:style w:type="character" w:customStyle="1" w:styleId="UnresolvedMention">
    <w:name w:val="Unresolved Mention"/>
    <w:basedOn w:val="DefaultParagraphFont"/>
    <w:uiPriority w:val="99"/>
    <w:semiHidden/>
    <w:unhideWhenUsed/>
    <w:rsid w:val="00795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265">
      <w:bodyDiv w:val="1"/>
      <w:marLeft w:val="0"/>
      <w:marRight w:val="0"/>
      <w:marTop w:val="0"/>
      <w:marBottom w:val="0"/>
      <w:divBdr>
        <w:top w:val="none" w:sz="0" w:space="0" w:color="auto"/>
        <w:left w:val="none" w:sz="0" w:space="0" w:color="auto"/>
        <w:bottom w:val="none" w:sz="0" w:space="0" w:color="auto"/>
        <w:right w:val="none" w:sz="0" w:space="0" w:color="auto"/>
      </w:divBdr>
    </w:div>
    <w:div w:id="59257506">
      <w:bodyDiv w:val="1"/>
      <w:marLeft w:val="0"/>
      <w:marRight w:val="0"/>
      <w:marTop w:val="0"/>
      <w:marBottom w:val="0"/>
      <w:divBdr>
        <w:top w:val="none" w:sz="0" w:space="0" w:color="auto"/>
        <w:left w:val="none" w:sz="0" w:space="0" w:color="auto"/>
        <w:bottom w:val="none" w:sz="0" w:space="0" w:color="auto"/>
        <w:right w:val="none" w:sz="0" w:space="0" w:color="auto"/>
      </w:divBdr>
    </w:div>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714893326">
      <w:bodyDiv w:val="1"/>
      <w:marLeft w:val="0"/>
      <w:marRight w:val="0"/>
      <w:marTop w:val="0"/>
      <w:marBottom w:val="0"/>
      <w:divBdr>
        <w:top w:val="none" w:sz="0" w:space="0" w:color="auto"/>
        <w:left w:val="none" w:sz="0" w:space="0" w:color="auto"/>
        <w:bottom w:val="none" w:sz="0" w:space="0" w:color="auto"/>
        <w:right w:val="none" w:sz="0" w:space="0" w:color="auto"/>
      </w:divBdr>
    </w:div>
    <w:div w:id="842403131">
      <w:bodyDiv w:val="1"/>
      <w:marLeft w:val="0"/>
      <w:marRight w:val="0"/>
      <w:marTop w:val="0"/>
      <w:marBottom w:val="0"/>
      <w:divBdr>
        <w:top w:val="none" w:sz="0" w:space="0" w:color="auto"/>
        <w:left w:val="none" w:sz="0" w:space="0" w:color="auto"/>
        <w:bottom w:val="none" w:sz="0" w:space="0" w:color="auto"/>
        <w:right w:val="none" w:sz="0" w:space="0" w:color="auto"/>
      </w:divBdr>
    </w:div>
    <w:div w:id="948899155">
      <w:bodyDiv w:val="1"/>
      <w:marLeft w:val="0"/>
      <w:marRight w:val="0"/>
      <w:marTop w:val="0"/>
      <w:marBottom w:val="0"/>
      <w:divBdr>
        <w:top w:val="none" w:sz="0" w:space="0" w:color="auto"/>
        <w:left w:val="none" w:sz="0" w:space="0" w:color="auto"/>
        <w:bottom w:val="none" w:sz="0" w:space="0" w:color="auto"/>
        <w:right w:val="none" w:sz="0" w:space="0" w:color="auto"/>
      </w:divBdr>
    </w:div>
    <w:div w:id="1210728717">
      <w:bodyDiv w:val="1"/>
      <w:marLeft w:val="0"/>
      <w:marRight w:val="0"/>
      <w:marTop w:val="0"/>
      <w:marBottom w:val="0"/>
      <w:divBdr>
        <w:top w:val="none" w:sz="0" w:space="0" w:color="auto"/>
        <w:left w:val="none" w:sz="0" w:space="0" w:color="auto"/>
        <w:bottom w:val="none" w:sz="0" w:space="0" w:color="auto"/>
        <w:right w:val="none" w:sz="0" w:space="0" w:color="auto"/>
      </w:divBdr>
    </w:div>
    <w:div w:id="1260875439">
      <w:bodyDiv w:val="1"/>
      <w:marLeft w:val="0"/>
      <w:marRight w:val="0"/>
      <w:marTop w:val="0"/>
      <w:marBottom w:val="0"/>
      <w:divBdr>
        <w:top w:val="none" w:sz="0" w:space="0" w:color="auto"/>
        <w:left w:val="none" w:sz="0" w:space="0" w:color="auto"/>
        <w:bottom w:val="none" w:sz="0" w:space="0" w:color="auto"/>
        <w:right w:val="none" w:sz="0" w:space="0" w:color="auto"/>
      </w:divBdr>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 w:id="1546868687">
      <w:bodyDiv w:val="1"/>
      <w:marLeft w:val="0"/>
      <w:marRight w:val="0"/>
      <w:marTop w:val="0"/>
      <w:marBottom w:val="0"/>
      <w:divBdr>
        <w:top w:val="none" w:sz="0" w:space="0" w:color="auto"/>
        <w:left w:val="none" w:sz="0" w:space="0" w:color="auto"/>
        <w:bottom w:val="none" w:sz="0" w:space="0" w:color="auto"/>
        <w:right w:val="none" w:sz="0" w:space="0" w:color="auto"/>
      </w:divBdr>
    </w:div>
    <w:div w:id="200195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image" Target="cid:image003.jpg@01D5E7FB.00C7CF8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pfizer.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0ff93743-7fc6-41d8-bce7-25e7a24fd4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943AA0D36B544B7848D8A7440ECBC" ma:contentTypeVersion="1" ma:contentTypeDescription="Create a new document." ma:contentTypeScope="" ma:versionID="5d14258014e16152000cd21a524a6870">
  <xsd:schema xmlns:xsd="http://www.w3.org/2001/XMLSchema" xmlns:xs="http://www.w3.org/2001/XMLSchema" xmlns:p="http://schemas.microsoft.com/office/2006/metadata/properties" xmlns:ns2="0ff93743-7fc6-41d8-bce7-25e7a24fd47b" targetNamespace="http://schemas.microsoft.com/office/2006/metadata/properties" ma:root="true" ma:fieldsID="2a5d46b639ad32acc0961db284908e7f" ns2:_="">
    <xsd:import namespace="0ff93743-7fc6-41d8-bce7-25e7a24fd47b"/>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93743-7fc6-41d8-bce7-25e7a24fd47b"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03078-3F3F-4D2F-B2B5-D5EE4A9F9F67}">
  <ds:schemaRefs>
    <ds:schemaRef ds:uri="http://schemas.microsoft.com/office/2006/metadata/properties"/>
    <ds:schemaRef ds:uri="http://purl.org/dc/terms/"/>
    <ds:schemaRef ds:uri="0ff93743-7fc6-41d8-bce7-25e7a24fd47b"/>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BE6DB27-7D8E-43E8-B9B3-A860174D3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93743-7fc6-41d8-bce7-25e7a24f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4.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5.xml><?xml version="1.0" encoding="utf-8"?>
<ds:datastoreItem xmlns:ds="http://schemas.openxmlformats.org/officeDocument/2006/customXml" ds:itemID="{B565A462-05C5-4691-B7DA-D3381BDB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5350</Words>
  <Characters>32384</Characters>
  <Application>Microsoft Office Word</Application>
  <DocSecurity>0</DocSecurity>
  <Lines>789</Lines>
  <Paragraphs>503</Paragraphs>
  <ScaleCrop>false</ScaleCrop>
  <HeadingPairs>
    <vt:vector size="2" baseType="variant">
      <vt:variant>
        <vt:lpstr>Title</vt:lpstr>
      </vt:variant>
      <vt:variant>
        <vt:i4>1</vt:i4>
      </vt:variant>
    </vt:vector>
  </HeadingPairs>
  <TitlesOfParts>
    <vt:vector size="1" baseType="lpstr">
      <vt:lpstr>AusPAR - VYNDAMAX and VYNDAQEL - tafamidis and tafamidis meglumine - Pfizer Australia Pty Ltd -</vt:lpstr>
    </vt:vector>
  </TitlesOfParts>
  <Company/>
  <LinksUpToDate>false</LinksUpToDate>
  <CharactersWithSpaces>37231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 VYNDAMAX and VYNDAQEL - tafamidis and tafamidis meglumine - Pfizer Australia Pty Ltd -</dc:title>
  <dc:subject>Prescription medicines</dc:subject>
  <dc:creator>Pfizer Australia Pty Ltd</dc:creator>
  <cp:keywords>AusPARs</cp:keywords>
  <dc:description/>
  <cp:lastPrinted>2015-03-11T01:11:00Z</cp:lastPrinted>
  <dcterms:created xsi:type="dcterms:W3CDTF">2020-03-24T00:58:00Z</dcterms:created>
  <dcterms:modified xsi:type="dcterms:W3CDTF">2020-09-10T02:33:00Z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0x0101003E1943AA0D36B544B7848D8A7440ECBC</vt:lpwstr>
  </property>
</Properties>
</file>