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40D" w:rsidRPr="00920DAF" w:rsidRDefault="00C5140D" w:rsidP="005A3058">
      <w:pPr>
        <w:ind w:right="-1017"/>
        <w:jc w:val="center"/>
        <w:rPr>
          <w:b/>
          <w:caps/>
          <w:szCs w:val="24"/>
        </w:rPr>
      </w:pPr>
      <w:r w:rsidRPr="00920DAF">
        <w:rPr>
          <w:b/>
          <w:caps/>
          <w:szCs w:val="24"/>
        </w:rPr>
        <w:t>PRODUCT INFORMATION</w:t>
      </w:r>
    </w:p>
    <w:p w:rsidR="00B42BB3" w:rsidRPr="00920DAF" w:rsidRDefault="00B42BB3" w:rsidP="005A3058">
      <w:pPr>
        <w:ind w:right="-1017"/>
        <w:jc w:val="center"/>
        <w:rPr>
          <w:b/>
          <w:caps/>
          <w:szCs w:val="24"/>
        </w:rPr>
      </w:pPr>
    </w:p>
    <w:p w:rsidR="00BC3C33" w:rsidRPr="00BC3C33" w:rsidRDefault="000B54E3" w:rsidP="00BC3C33">
      <w:pPr>
        <w:ind w:right="-1017"/>
        <w:jc w:val="center"/>
        <w:rPr>
          <w:b/>
          <w:szCs w:val="24"/>
          <w:lang w:val="en-US"/>
        </w:rPr>
      </w:pPr>
      <w:proofErr w:type="spellStart"/>
      <w:r>
        <w:rPr>
          <w:b/>
          <w:szCs w:val="24"/>
          <w:lang w:val="en-US"/>
        </w:rPr>
        <w:t>Velphoro</w:t>
      </w:r>
      <w:proofErr w:type="spellEnd"/>
      <w:r w:rsidR="0067054B" w:rsidRPr="0067054B">
        <w:rPr>
          <w:b/>
          <w:szCs w:val="24"/>
          <w:vertAlign w:val="superscript"/>
          <w:lang w:val="en-US"/>
        </w:rPr>
        <w:t>®</w:t>
      </w:r>
    </w:p>
    <w:p w:rsidR="00C5140D" w:rsidRPr="00920DAF" w:rsidRDefault="00C5140D">
      <w:pPr>
        <w:rPr>
          <w:b/>
          <w:caps/>
          <w:szCs w:val="24"/>
        </w:rPr>
      </w:pPr>
    </w:p>
    <w:p w:rsidR="005A3058" w:rsidRPr="00920DAF" w:rsidRDefault="005A3058">
      <w:pPr>
        <w:rPr>
          <w:b/>
          <w:caps/>
          <w:szCs w:val="24"/>
        </w:rPr>
      </w:pPr>
    </w:p>
    <w:p w:rsidR="00C5140D" w:rsidRPr="00920DAF" w:rsidRDefault="00C5140D" w:rsidP="00912339">
      <w:pPr>
        <w:jc w:val="both"/>
        <w:rPr>
          <w:b/>
          <w:caps/>
          <w:szCs w:val="24"/>
        </w:rPr>
      </w:pPr>
      <w:r w:rsidRPr="00920DAF">
        <w:rPr>
          <w:b/>
          <w:caps/>
          <w:szCs w:val="24"/>
        </w:rPr>
        <w:t>Name of the MEDICINE</w:t>
      </w:r>
    </w:p>
    <w:p w:rsidR="00C5140D" w:rsidRDefault="00C5140D" w:rsidP="00836176">
      <w:pPr>
        <w:keepNext/>
        <w:rPr>
          <w:szCs w:val="24"/>
        </w:rPr>
      </w:pPr>
    </w:p>
    <w:p w:rsidR="00033395" w:rsidRPr="00920DAF" w:rsidRDefault="00033395" w:rsidP="00FC7C6E">
      <w:pPr>
        <w:jc w:val="both"/>
        <w:rPr>
          <w:szCs w:val="24"/>
        </w:rPr>
      </w:pPr>
      <w:r>
        <w:rPr>
          <w:szCs w:val="24"/>
        </w:rPr>
        <w:t>VELPHORO</w:t>
      </w:r>
    </w:p>
    <w:p w:rsidR="00C5140D" w:rsidRPr="00920DAF" w:rsidRDefault="00FC7C6E" w:rsidP="00912339">
      <w:pPr>
        <w:ind w:right="-1017"/>
        <w:jc w:val="both"/>
        <w:rPr>
          <w:szCs w:val="24"/>
          <w:lang w:val="en-US"/>
        </w:rPr>
      </w:pPr>
      <w:proofErr w:type="spellStart"/>
      <w:r>
        <w:rPr>
          <w:szCs w:val="24"/>
          <w:lang w:val="en-US"/>
        </w:rPr>
        <w:t>Sucroferric</w:t>
      </w:r>
      <w:proofErr w:type="spellEnd"/>
      <w:r>
        <w:rPr>
          <w:szCs w:val="24"/>
          <w:lang w:val="en-US"/>
        </w:rPr>
        <w:t xml:space="preserve"> </w:t>
      </w:r>
      <w:proofErr w:type="spellStart"/>
      <w:r w:rsidR="00033395">
        <w:rPr>
          <w:szCs w:val="24"/>
          <w:lang w:val="en-US"/>
        </w:rPr>
        <w:t>oxyhydroxide</w:t>
      </w:r>
      <w:proofErr w:type="spellEnd"/>
      <w:r w:rsidR="00EB7325">
        <w:rPr>
          <w:szCs w:val="24"/>
          <w:lang w:val="en-US"/>
        </w:rPr>
        <w:t xml:space="preserve"> </w:t>
      </w:r>
    </w:p>
    <w:p w:rsidR="00200ACC" w:rsidRPr="00920DAF" w:rsidRDefault="00200ACC" w:rsidP="00912339">
      <w:pPr>
        <w:ind w:right="-1017"/>
        <w:jc w:val="both"/>
        <w:rPr>
          <w:szCs w:val="24"/>
        </w:rPr>
      </w:pPr>
    </w:p>
    <w:p w:rsidR="00EC27A5" w:rsidRPr="00920DAF" w:rsidRDefault="00EC27A5" w:rsidP="001A776D">
      <w:pPr>
        <w:pStyle w:val="Heading2"/>
      </w:pPr>
      <w:r w:rsidRPr="00920DAF">
        <w:t>Chemical structure</w:t>
      </w:r>
    </w:p>
    <w:p w:rsidR="00F72BC2" w:rsidRPr="002B5C01" w:rsidRDefault="00077BA8" w:rsidP="002B5C01">
      <w:pPr>
        <w:rPr>
          <w:szCs w:val="24"/>
        </w:rPr>
      </w:pPr>
      <w:r w:rsidRPr="002B5C01">
        <w:rPr>
          <w:szCs w:val="24"/>
        </w:rPr>
        <w:t xml:space="preserve">Mixture of </w:t>
      </w:r>
      <w:proofErr w:type="spellStart"/>
      <w:r w:rsidR="006468C2" w:rsidRPr="002B5C01">
        <w:rPr>
          <w:szCs w:val="24"/>
        </w:rPr>
        <w:t>polynuclear</w:t>
      </w:r>
      <w:proofErr w:type="spellEnd"/>
      <w:r w:rsidR="006468C2" w:rsidRPr="002B5C01">
        <w:rPr>
          <w:szCs w:val="24"/>
        </w:rPr>
        <w:t xml:space="preserve"> </w:t>
      </w:r>
      <w:proofErr w:type="gramStart"/>
      <w:r w:rsidRPr="002B5C01">
        <w:rPr>
          <w:szCs w:val="24"/>
        </w:rPr>
        <w:t>iron(</w:t>
      </w:r>
      <w:proofErr w:type="gramEnd"/>
      <w:r w:rsidRPr="002B5C01">
        <w:rPr>
          <w:szCs w:val="24"/>
        </w:rPr>
        <w:t>III)-</w:t>
      </w:r>
      <w:proofErr w:type="spellStart"/>
      <w:r w:rsidRPr="002B5C01">
        <w:rPr>
          <w:szCs w:val="24"/>
        </w:rPr>
        <w:t>oxyhydroxide</w:t>
      </w:r>
      <w:proofErr w:type="spellEnd"/>
      <w:r w:rsidRPr="002B5C01">
        <w:rPr>
          <w:szCs w:val="24"/>
        </w:rPr>
        <w:t xml:space="preserve">, sucrose, </w:t>
      </w:r>
      <w:proofErr w:type="spellStart"/>
      <w:r w:rsidR="00E56666" w:rsidRPr="002B5C01">
        <w:rPr>
          <w:lang w:eastAsia="en-AU"/>
        </w:rPr>
        <w:t>pregelatinised</w:t>
      </w:r>
      <w:proofErr w:type="spellEnd"/>
      <w:r w:rsidR="00E56666" w:rsidRPr="002B5C01">
        <w:rPr>
          <w:lang w:eastAsia="en-AU"/>
        </w:rPr>
        <w:t xml:space="preserve"> maize starch and potato starch</w:t>
      </w:r>
    </w:p>
    <w:p w:rsidR="00BC3C33" w:rsidRPr="002B5C01" w:rsidRDefault="00BC3C33" w:rsidP="002B5C01">
      <w:pPr>
        <w:rPr>
          <w:szCs w:val="24"/>
        </w:rPr>
      </w:pPr>
    </w:p>
    <w:p w:rsidR="009F31B9" w:rsidRPr="00EE07B3" w:rsidRDefault="009F31B9" w:rsidP="002B5C01">
      <w:pPr>
        <w:rPr>
          <w:lang w:val="en-US" w:eastAsia="en-AU"/>
        </w:rPr>
      </w:pPr>
    </w:p>
    <w:p w:rsidR="000A57D9" w:rsidRPr="002C0EDA" w:rsidRDefault="002C0EDA" w:rsidP="002B5C01">
      <w:pPr>
        <w:rPr>
          <w:u w:val="single"/>
          <w:lang w:val="pt-PT"/>
        </w:rPr>
      </w:pPr>
      <w:r w:rsidRPr="00F72BC2">
        <w:rPr>
          <w:lang w:val="pt-PT" w:eastAsia="en-AU"/>
        </w:rPr>
        <w:t>Molecular formula: pn-FeOOH + x C</w:t>
      </w:r>
      <w:r w:rsidRPr="00F72BC2">
        <w:rPr>
          <w:vertAlign w:val="subscript"/>
          <w:lang w:val="pt-PT" w:eastAsia="en-AU"/>
        </w:rPr>
        <w:t>12</w:t>
      </w:r>
      <w:r w:rsidRPr="00F72BC2">
        <w:rPr>
          <w:lang w:val="pt-PT" w:eastAsia="en-AU"/>
        </w:rPr>
        <w:t>H</w:t>
      </w:r>
      <w:r w:rsidRPr="00F72BC2">
        <w:rPr>
          <w:vertAlign w:val="subscript"/>
          <w:lang w:val="pt-PT" w:eastAsia="en-AU"/>
        </w:rPr>
        <w:t>22</w:t>
      </w:r>
      <w:r w:rsidRPr="00F72BC2">
        <w:rPr>
          <w:lang w:val="pt-PT" w:eastAsia="en-AU"/>
        </w:rPr>
        <w:t>O</w:t>
      </w:r>
      <w:r w:rsidRPr="00F72BC2">
        <w:rPr>
          <w:vertAlign w:val="subscript"/>
          <w:lang w:val="pt-PT" w:eastAsia="en-AU"/>
        </w:rPr>
        <w:t xml:space="preserve">11 </w:t>
      </w:r>
      <w:r w:rsidRPr="00F72BC2">
        <w:rPr>
          <w:lang w:val="pt-PT" w:eastAsia="en-AU"/>
        </w:rPr>
        <w:t xml:space="preserve">+ </w:t>
      </w:r>
      <w:r>
        <w:rPr>
          <w:lang w:val="pt-PT" w:eastAsia="en-AU"/>
        </w:rPr>
        <w:t>y (C</w:t>
      </w:r>
      <w:r w:rsidRPr="00527945">
        <w:rPr>
          <w:vertAlign w:val="subscript"/>
          <w:lang w:val="pt-PT" w:eastAsia="en-AU"/>
        </w:rPr>
        <w:t>6</w:t>
      </w:r>
      <w:r>
        <w:rPr>
          <w:lang w:val="pt-PT" w:eastAsia="en-AU"/>
        </w:rPr>
        <w:t>H</w:t>
      </w:r>
      <w:r w:rsidRPr="00527945">
        <w:rPr>
          <w:vertAlign w:val="subscript"/>
          <w:lang w:val="pt-PT" w:eastAsia="en-AU"/>
        </w:rPr>
        <w:t>10</w:t>
      </w:r>
      <w:r>
        <w:rPr>
          <w:lang w:val="pt-PT" w:eastAsia="en-AU"/>
        </w:rPr>
        <w:t>O</w:t>
      </w:r>
      <w:r w:rsidRPr="00527945">
        <w:rPr>
          <w:vertAlign w:val="subscript"/>
          <w:lang w:val="pt-PT" w:eastAsia="en-AU"/>
        </w:rPr>
        <w:t>5</w:t>
      </w:r>
      <w:r>
        <w:rPr>
          <w:lang w:val="pt-PT" w:eastAsia="en-AU"/>
        </w:rPr>
        <w:t>)</w:t>
      </w:r>
      <w:r w:rsidRPr="00527945">
        <w:rPr>
          <w:vertAlign w:val="subscript"/>
          <w:lang w:val="pt-PT" w:eastAsia="en-AU"/>
        </w:rPr>
        <w:t>n</w:t>
      </w:r>
    </w:p>
    <w:p w:rsidR="00EC27A5" w:rsidRDefault="00EC27A5" w:rsidP="002B5C01">
      <w:pPr>
        <w:rPr>
          <w:lang w:val="pt-PT"/>
        </w:rPr>
      </w:pPr>
    </w:p>
    <w:p w:rsidR="000F626F" w:rsidRPr="002C0EDA" w:rsidRDefault="000F626F" w:rsidP="002B5C01">
      <w:pPr>
        <w:rPr>
          <w:lang w:val="pt-PT"/>
        </w:rPr>
      </w:pPr>
    </w:p>
    <w:p w:rsidR="00EC27A5" w:rsidRPr="00920DAF" w:rsidRDefault="00EC27A5" w:rsidP="006B788F">
      <w:pPr>
        <w:pStyle w:val="Heading1"/>
      </w:pPr>
      <w:r w:rsidRPr="00920DAF">
        <w:t>DESCRIPTION</w:t>
      </w:r>
    </w:p>
    <w:p w:rsidR="00EC27A5" w:rsidRPr="00920DAF" w:rsidRDefault="00EC27A5" w:rsidP="00836176">
      <w:pPr>
        <w:keepNext/>
        <w:rPr>
          <w:szCs w:val="24"/>
        </w:rPr>
      </w:pPr>
    </w:p>
    <w:p w:rsidR="00077BA8" w:rsidRPr="00E56666" w:rsidRDefault="00077BA8" w:rsidP="00E56666">
      <w:pPr>
        <w:autoSpaceDE w:val="0"/>
        <w:autoSpaceDN w:val="0"/>
        <w:adjustRightInd w:val="0"/>
        <w:rPr>
          <w:szCs w:val="24"/>
        </w:rPr>
      </w:pPr>
      <w:proofErr w:type="spellStart"/>
      <w:r w:rsidRPr="00E56666">
        <w:rPr>
          <w:szCs w:val="24"/>
        </w:rPr>
        <w:t>Sucroferric</w:t>
      </w:r>
      <w:proofErr w:type="spellEnd"/>
      <w:r w:rsidRPr="00E56666">
        <w:rPr>
          <w:szCs w:val="24"/>
        </w:rPr>
        <w:t xml:space="preserve"> </w:t>
      </w:r>
      <w:proofErr w:type="spellStart"/>
      <w:r w:rsidR="00EB7325" w:rsidRPr="00E56666">
        <w:rPr>
          <w:szCs w:val="24"/>
        </w:rPr>
        <w:t>oxyhydroxide</w:t>
      </w:r>
      <w:proofErr w:type="spellEnd"/>
      <w:r w:rsidR="00EB7325" w:rsidRPr="00E56666">
        <w:rPr>
          <w:szCs w:val="24"/>
        </w:rPr>
        <w:t xml:space="preserve"> </w:t>
      </w:r>
      <w:r w:rsidRPr="00E56666">
        <w:rPr>
          <w:szCs w:val="24"/>
        </w:rPr>
        <w:t>is a brown amo</w:t>
      </w:r>
      <w:r w:rsidR="000E5208" w:rsidRPr="00E56666">
        <w:rPr>
          <w:szCs w:val="24"/>
        </w:rPr>
        <w:t>r</w:t>
      </w:r>
      <w:r w:rsidRPr="00E56666">
        <w:rPr>
          <w:szCs w:val="24"/>
        </w:rPr>
        <w:t>phou</w:t>
      </w:r>
      <w:r w:rsidR="00FC7C6E" w:rsidRPr="00E56666">
        <w:rPr>
          <w:szCs w:val="24"/>
        </w:rPr>
        <w:t>s</w:t>
      </w:r>
      <w:r w:rsidRPr="00E56666">
        <w:rPr>
          <w:szCs w:val="24"/>
        </w:rPr>
        <w:t xml:space="preserve"> powder, which is odourless, slightly sweet and practically insoluble in water. </w:t>
      </w:r>
    </w:p>
    <w:p w:rsidR="00077BA8" w:rsidRPr="00E56666" w:rsidRDefault="00077BA8" w:rsidP="00E56666">
      <w:pPr>
        <w:autoSpaceDE w:val="0"/>
        <w:autoSpaceDN w:val="0"/>
        <w:adjustRightInd w:val="0"/>
        <w:rPr>
          <w:szCs w:val="24"/>
        </w:rPr>
      </w:pPr>
    </w:p>
    <w:p w:rsidR="001208C1" w:rsidRPr="00E56666" w:rsidRDefault="00033395" w:rsidP="00E56666">
      <w:pPr>
        <w:autoSpaceDE w:val="0"/>
        <w:autoSpaceDN w:val="0"/>
        <w:adjustRightInd w:val="0"/>
        <w:rPr>
          <w:szCs w:val="24"/>
        </w:rPr>
      </w:pPr>
      <w:proofErr w:type="spellStart"/>
      <w:r w:rsidRPr="00E56666">
        <w:rPr>
          <w:szCs w:val="24"/>
        </w:rPr>
        <w:t>Velphoro</w:t>
      </w:r>
      <w:proofErr w:type="spellEnd"/>
      <w:r w:rsidRPr="00E56666">
        <w:rPr>
          <w:szCs w:val="24"/>
        </w:rPr>
        <w:t xml:space="preserve"> tablets are b</w:t>
      </w:r>
      <w:r w:rsidR="00F60D89" w:rsidRPr="00E56666">
        <w:rPr>
          <w:szCs w:val="24"/>
        </w:rPr>
        <w:t xml:space="preserve">rown, </w:t>
      </w:r>
      <w:r w:rsidRPr="00E56666">
        <w:rPr>
          <w:szCs w:val="24"/>
        </w:rPr>
        <w:t>round, flat-faced, chewable</w:t>
      </w:r>
      <w:r w:rsidR="00F60D89" w:rsidRPr="00E56666">
        <w:rPr>
          <w:szCs w:val="24"/>
        </w:rPr>
        <w:t xml:space="preserve"> tablets embossed with PA500 on one side</w:t>
      </w:r>
      <w:r w:rsidRPr="00E56666">
        <w:rPr>
          <w:szCs w:val="24"/>
        </w:rPr>
        <w:t>.</w:t>
      </w:r>
      <w:r w:rsidR="00077BA8" w:rsidRPr="00E56666">
        <w:rPr>
          <w:szCs w:val="24"/>
        </w:rPr>
        <w:t xml:space="preserve"> The </w:t>
      </w:r>
      <w:r w:rsidRPr="00E56666">
        <w:rPr>
          <w:szCs w:val="24"/>
        </w:rPr>
        <w:t>tablets contain</w:t>
      </w:r>
      <w:r w:rsidR="00D64678" w:rsidRPr="00E56666">
        <w:rPr>
          <w:szCs w:val="24"/>
        </w:rPr>
        <w:t xml:space="preserve"> </w:t>
      </w:r>
      <w:r w:rsidR="00AE2E1B" w:rsidRPr="00E56666">
        <w:rPr>
          <w:szCs w:val="24"/>
        </w:rPr>
        <w:t>2.5 g</w:t>
      </w:r>
      <w:r w:rsidR="00D64678" w:rsidRPr="00E56666">
        <w:rPr>
          <w:szCs w:val="24"/>
        </w:rPr>
        <w:t xml:space="preserve"> </w:t>
      </w:r>
      <w:proofErr w:type="spellStart"/>
      <w:r w:rsidR="00D64678" w:rsidRPr="00E56666">
        <w:rPr>
          <w:szCs w:val="24"/>
        </w:rPr>
        <w:t>sucroferric</w:t>
      </w:r>
      <w:proofErr w:type="spellEnd"/>
      <w:r w:rsidR="00D64678" w:rsidRPr="00E56666">
        <w:rPr>
          <w:szCs w:val="24"/>
        </w:rPr>
        <w:t xml:space="preserve"> </w:t>
      </w:r>
      <w:proofErr w:type="spellStart"/>
      <w:r w:rsidR="00EB7325" w:rsidRPr="00E56666">
        <w:rPr>
          <w:szCs w:val="24"/>
        </w:rPr>
        <w:t>oxyhydroxide</w:t>
      </w:r>
      <w:proofErr w:type="spellEnd"/>
      <w:r w:rsidR="00D64678" w:rsidRPr="00E56666">
        <w:rPr>
          <w:szCs w:val="24"/>
        </w:rPr>
        <w:t xml:space="preserve">, equivalent to 500 mg iron. The tablets also contain the following inactive ingredients; </w:t>
      </w:r>
      <w:proofErr w:type="spellStart"/>
      <w:r w:rsidR="00077BA8" w:rsidRPr="00E56666">
        <w:rPr>
          <w:szCs w:val="24"/>
        </w:rPr>
        <w:t>w</w:t>
      </w:r>
      <w:r w:rsidR="001208C1" w:rsidRPr="00E56666">
        <w:rPr>
          <w:szCs w:val="24"/>
        </w:rPr>
        <w:t>oodberry</w:t>
      </w:r>
      <w:proofErr w:type="spellEnd"/>
      <w:r w:rsidR="001208C1" w:rsidRPr="00E56666">
        <w:rPr>
          <w:szCs w:val="24"/>
        </w:rPr>
        <w:t xml:space="preserve"> flavour</w:t>
      </w:r>
      <w:r w:rsidR="00D64678" w:rsidRPr="00E56666">
        <w:rPr>
          <w:szCs w:val="24"/>
        </w:rPr>
        <w:t xml:space="preserve">, </w:t>
      </w:r>
      <w:proofErr w:type="spellStart"/>
      <w:r w:rsidR="00EB7325" w:rsidRPr="00E56666">
        <w:rPr>
          <w:szCs w:val="24"/>
        </w:rPr>
        <w:t>neohesperidin</w:t>
      </w:r>
      <w:r w:rsidR="00EF16B6" w:rsidRPr="00E56666">
        <w:rPr>
          <w:szCs w:val="24"/>
        </w:rPr>
        <w:t>-</w:t>
      </w:r>
      <w:r w:rsidR="001208C1" w:rsidRPr="00E56666">
        <w:rPr>
          <w:szCs w:val="24"/>
        </w:rPr>
        <w:t>dihydrochalcone</w:t>
      </w:r>
      <w:proofErr w:type="spellEnd"/>
      <w:r w:rsidR="00D64678" w:rsidRPr="00E56666">
        <w:rPr>
          <w:szCs w:val="24"/>
        </w:rPr>
        <w:t xml:space="preserve">, </w:t>
      </w:r>
      <w:r w:rsidR="00077BA8" w:rsidRPr="00E56666">
        <w:rPr>
          <w:szCs w:val="24"/>
        </w:rPr>
        <w:t>m</w:t>
      </w:r>
      <w:r w:rsidR="001208C1" w:rsidRPr="00E56666">
        <w:rPr>
          <w:szCs w:val="24"/>
        </w:rPr>
        <w:t>agnesium stearate</w:t>
      </w:r>
      <w:r w:rsidR="00D64678" w:rsidRPr="00E56666">
        <w:rPr>
          <w:szCs w:val="24"/>
        </w:rPr>
        <w:t xml:space="preserve"> and </w:t>
      </w:r>
      <w:r w:rsidR="006C223B" w:rsidRPr="00E56666">
        <w:rPr>
          <w:szCs w:val="24"/>
        </w:rPr>
        <w:t>-</w:t>
      </w:r>
      <w:r w:rsidR="001208C1" w:rsidRPr="00E56666">
        <w:rPr>
          <w:szCs w:val="24"/>
        </w:rPr>
        <w:t xml:space="preserve"> anhydrous</w:t>
      </w:r>
      <w:r w:rsidR="00EF16B6" w:rsidRPr="00E56666">
        <w:rPr>
          <w:szCs w:val="24"/>
        </w:rPr>
        <w:t xml:space="preserve"> colloidal silica</w:t>
      </w:r>
      <w:r w:rsidR="00077BA8" w:rsidRPr="00E56666">
        <w:rPr>
          <w:szCs w:val="24"/>
        </w:rPr>
        <w:t>.</w:t>
      </w:r>
      <w:r w:rsidR="009377DF">
        <w:rPr>
          <w:szCs w:val="24"/>
        </w:rPr>
        <w:t xml:space="preserve"> </w:t>
      </w:r>
    </w:p>
    <w:p w:rsidR="009377DF" w:rsidRDefault="009377DF" w:rsidP="009377DF">
      <w:pPr>
        <w:autoSpaceDE w:val="0"/>
        <w:autoSpaceDN w:val="0"/>
        <w:adjustRightInd w:val="0"/>
        <w:rPr>
          <w:szCs w:val="24"/>
        </w:rPr>
      </w:pPr>
    </w:p>
    <w:p w:rsidR="009377DF" w:rsidRDefault="009377DF" w:rsidP="009377DF">
      <w:pPr>
        <w:autoSpaceDE w:val="0"/>
        <w:autoSpaceDN w:val="0"/>
        <w:adjustRightInd w:val="0"/>
        <w:rPr>
          <w:szCs w:val="24"/>
        </w:rPr>
      </w:pPr>
      <w:r>
        <w:rPr>
          <w:szCs w:val="24"/>
        </w:rPr>
        <w:t xml:space="preserve">The active ingredient </w:t>
      </w:r>
      <w:proofErr w:type="spellStart"/>
      <w:r>
        <w:rPr>
          <w:szCs w:val="24"/>
        </w:rPr>
        <w:t>sucroferric</w:t>
      </w:r>
      <w:proofErr w:type="spellEnd"/>
      <w:r>
        <w:rPr>
          <w:szCs w:val="24"/>
        </w:rPr>
        <w:t xml:space="preserve"> </w:t>
      </w:r>
      <w:proofErr w:type="spellStart"/>
      <w:r>
        <w:rPr>
          <w:szCs w:val="24"/>
        </w:rPr>
        <w:t>oxyhydroxide</w:t>
      </w:r>
      <w:proofErr w:type="spellEnd"/>
      <w:r>
        <w:rPr>
          <w:szCs w:val="24"/>
        </w:rPr>
        <w:t xml:space="preserve"> contains 750 mg sucrose and 700 mg starches. </w:t>
      </w:r>
    </w:p>
    <w:p w:rsidR="001E333B" w:rsidRDefault="001E333B" w:rsidP="001E333B"/>
    <w:p w:rsidR="000F626F" w:rsidRPr="001E333B" w:rsidRDefault="000F626F" w:rsidP="001E333B"/>
    <w:p w:rsidR="00C5140D" w:rsidRPr="00920DAF" w:rsidRDefault="00C5140D" w:rsidP="006B788F">
      <w:pPr>
        <w:pStyle w:val="Heading1"/>
      </w:pPr>
      <w:r w:rsidRPr="00920DAF">
        <w:t>PHARMACOLOGY</w:t>
      </w:r>
    </w:p>
    <w:p w:rsidR="00C5140D" w:rsidRPr="00920DAF" w:rsidRDefault="00C5140D" w:rsidP="00836176">
      <w:pPr>
        <w:keepNext/>
        <w:rPr>
          <w:szCs w:val="24"/>
        </w:rPr>
      </w:pPr>
    </w:p>
    <w:p w:rsidR="00920DAF" w:rsidRDefault="00920DAF" w:rsidP="001A776D">
      <w:pPr>
        <w:pStyle w:val="Heading2"/>
      </w:pPr>
      <w:r>
        <w:t>Pharmacodynamic Properties</w:t>
      </w:r>
    </w:p>
    <w:p w:rsidR="00920DAF" w:rsidRDefault="00920DAF" w:rsidP="00920DAF">
      <w:pPr>
        <w:keepNext/>
        <w:rPr>
          <w:noProof/>
        </w:rPr>
      </w:pPr>
    </w:p>
    <w:p w:rsidR="00920DAF" w:rsidRPr="006B788F" w:rsidRDefault="00920DAF" w:rsidP="006B788F">
      <w:pPr>
        <w:pStyle w:val="Heading3"/>
      </w:pPr>
      <w:r w:rsidRPr="006B788F">
        <w:t>Mechanism of Action</w:t>
      </w:r>
    </w:p>
    <w:p w:rsidR="00920DAF" w:rsidRDefault="00920DAF" w:rsidP="00920DAF">
      <w:pPr>
        <w:keepNext/>
        <w:rPr>
          <w:noProof/>
        </w:rPr>
      </w:pPr>
    </w:p>
    <w:p w:rsidR="00920DAF" w:rsidRDefault="0064062C" w:rsidP="00920DAF">
      <w:pPr>
        <w:rPr>
          <w:noProof/>
        </w:rPr>
      </w:pPr>
      <w:r>
        <w:rPr>
          <w:noProof/>
        </w:rPr>
        <w:t>Velphoro</w:t>
      </w:r>
      <w:r w:rsidR="007B60B9">
        <w:rPr>
          <w:noProof/>
        </w:rPr>
        <w:t xml:space="preserve"> contains </w:t>
      </w:r>
      <w:r w:rsidR="00F16C08">
        <w:rPr>
          <w:noProof/>
        </w:rPr>
        <w:t>a mixture of</w:t>
      </w:r>
      <w:r w:rsidR="00D64678">
        <w:rPr>
          <w:noProof/>
        </w:rPr>
        <w:t xml:space="preserve"> </w:t>
      </w:r>
      <w:r w:rsidR="000E5208">
        <w:rPr>
          <w:noProof/>
        </w:rPr>
        <w:t>polynuclear iron(III)-</w:t>
      </w:r>
      <w:r w:rsidR="00EB7325" w:rsidRPr="00EB7325">
        <w:rPr>
          <w:noProof/>
        </w:rPr>
        <w:t>oxyhydroxide</w:t>
      </w:r>
      <w:r w:rsidR="00920DAF">
        <w:rPr>
          <w:noProof/>
        </w:rPr>
        <w:t xml:space="preserve">, sucrose, and starches. </w:t>
      </w:r>
      <w:r w:rsidR="007B60B9">
        <w:rPr>
          <w:noProof/>
        </w:rPr>
        <w:t>P</w:t>
      </w:r>
      <w:r w:rsidR="00920DAF">
        <w:rPr>
          <w:noProof/>
        </w:rPr>
        <w:t>hosphate binding takes place by ligand exchange between hydroxyl groups and/or water and the phosphate ions</w:t>
      </w:r>
      <w:r w:rsidR="007B60B9">
        <w:rPr>
          <w:noProof/>
        </w:rPr>
        <w:t xml:space="preserve"> throughout the physiological pH range of the gastrointestinal tract</w:t>
      </w:r>
      <w:r w:rsidR="00920DAF">
        <w:rPr>
          <w:noProof/>
        </w:rPr>
        <w:t>.</w:t>
      </w:r>
    </w:p>
    <w:p w:rsidR="00920DAF" w:rsidRDefault="00920DAF" w:rsidP="00920DAF">
      <w:pPr>
        <w:rPr>
          <w:noProof/>
        </w:rPr>
      </w:pPr>
    </w:p>
    <w:p w:rsidR="00920DAF" w:rsidRDefault="007B60B9" w:rsidP="00920DAF">
      <w:pPr>
        <w:rPr>
          <w:noProof/>
        </w:rPr>
      </w:pPr>
      <w:r>
        <w:rPr>
          <w:noProof/>
        </w:rPr>
        <w:t>S</w:t>
      </w:r>
      <w:r w:rsidR="00920DAF">
        <w:rPr>
          <w:noProof/>
        </w:rPr>
        <w:t>erum phosphorus levels are reduced as a consequence of the reduced dietary phosphate absorption.</w:t>
      </w:r>
    </w:p>
    <w:p w:rsidR="00920DAF" w:rsidRDefault="00920DAF" w:rsidP="00920DAF">
      <w:pPr>
        <w:rPr>
          <w:noProof/>
        </w:rPr>
      </w:pPr>
    </w:p>
    <w:p w:rsidR="00D64678" w:rsidRDefault="00D64678" w:rsidP="001A776D">
      <w:pPr>
        <w:pStyle w:val="Heading2"/>
      </w:pPr>
      <w:r w:rsidRPr="004868E5">
        <w:t>Pharmacokinetic Properties</w:t>
      </w:r>
    </w:p>
    <w:p w:rsidR="00D64678" w:rsidRPr="004868E5" w:rsidRDefault="00D64678" w:rsidP="00D64678">
      <w:pPr>
        <w:keepNext/>
        <w:rPr>
          <w:noProof/>
        </w:rPr>
      </w:pPr>
    </w:p>
    <w:p w:rsidR="00D64678" w:rsidRPr="004868E5" w:rsidRDefault="00D64678" w:rsidP="00D64678">
      <w:pPr>
        <w:rPr>
          <w:noProof/>
        </w:rPr>
      </w:pPr>
      <w:r>
        <w:rPr>
          <w:noProof/>
        </w:rPr>
        <w:t>Velphoro</w:t>
      </w:r>
      <w:r w:rsidRPr="004868E5">
        <w:rPr>
          <w:noProof/>
        </w:rPr>
        <w:t xml:space="preserve"> works by binding phosphate in the GI tract and thus the serum concentration is not relevant for its efficacy. Due to the insolubility and degradation characteristics of </w:t>
      </w:r>
      <w:r>
        <w:rPr>
          <w:noProof/>
        </w:rPr>
        <w:t>Velphoro</w:t>
      </w:r>
      <w:r w:rsidRPr="004868E5">
        <w:rPr>
          <w:noProof/>
        </w:rPr>
        <w:t xml:space="preserve">, </w:t>
      </w:r>
      <w:r w:rsidRPr="004868E5">
        <w:rPr>
          <w:noProof/>
        </w:rPr>
        <w:lastRenderedPageBreak/>
        <w:t>no classical pharmacokinetic s</w:t>
      </w:r>
      <w:r>
        <w:rPr>
          <w:noProof/>
        </w:rPr>
        <w:t xml:space="preserve">tudies can be carried out, e.g. </w:t>
      </w:r>
      <w:r w:rsidRPr="004868E5">
        <w:rPr>
          <w:noProof/>
        </w:rPr>
        <w:t>determination of the distribution volume, area under the curve, mean residence time, etc.</w:t>
      </w:r>
    </w:p>
    <w:p w:rsidR="00D64678" w:rsidRPr="004868E5" w:rsidRDefault="00D64678" w:rsidP="00D64678">
      <w:pPr>
        <w:rPr>
          <w:noProof/>
        </w:rPr>
      </w:pPr>
    </w:p>
    <w:p w:rsidR="00D64678" w:rsidRPr="007A2162" w:rsidRDefault="00D64678" w:rsidP="007A2162">
      <w:pPr>
        <w:autoSpaceDE w:val="0"/>
        <w:autoSpaceDN w:val="0"/>
        <w:adjustRightInd w:val="0"/>
        <w:rPr>
          <w:iCs/>
          <w:color w:val="auto"/>
          <w:szCs w:val="24"/>
          <w:lang w:val="en-US" w:eastAsia="en-AU"/>
        </w:rPr>
      </w:pPr>
      <w:r>
        <w:rPr>
          <w:noProof/>
        </w:rPr>
        <w:t xml:space="preserve">In two Phase </w:t>
      </w:r>
      <w:r w:rsidRPr="004868E5">
        <w:rPr>
          <w:noProof/>
        </w:rPr>
        <w:t>1 studies, it was concluded that the potential for iron overload is minimal and no dose</w:t>
      </w:r>
      <w:r w:rsidRPr="004868E5">
        <w:rPr>
          <w:noProof/>
        </w:rPr>
        <w:noBreakHyphen/>
        <w:t>dependent effects were observed in healthy volunteers</w:t>
      </w:r>
      <w:r w:rsidRPr="007A2162">
        <w:rPr>
          <w:noProof/>
          <w:szCs w:val="24"/>
        </w:rPr>
        <w:t>.</w:t>
      </w:r>
      <w:r w:rsidR="00D40F54" w:rsidRPr="007A2162">
        <w:rPr>
          <w:noProof/>
          <w:szCs w:val="24"/>
        </w:rPr>
        <w:t xml:space="preserve"> </w:t>
      </w:r>
      <w:r w:rsidR="00D40F54" w:rsidRPr="007A2162">
        <w:rPr>
          <w:iCs/>
          <w:color w:val="auto"/>
          <w:szCs w:val="24"/>
          <w:lang w:val="en-US" w:eastAsia="en-AU"/>
        </w:rPr>
        <w:t xml:space="preserve">The sucrose and starch components of </w:t>
      </w:r>
      <w:proofErr w:type="spellStart"/>
      <w:r w:rsidR="00D40F54" w:rsidRPr="007A2162">
        <w:rPr>
          <w:iCs/>
          <w:color w:val="auto"/>
          <w:szCs w:val="24"/>
          <w:lang w:val="en-US" w:eastAsia="en-AU"/>
        </w:rPr>
        <w:t>Velphoro</w:t>
      </w:r>
      <w:proofErr w:type="spellEnd"/>
      <w:r w:rsidR="00D40F54" w:rsidRPr="007A2162">
        <w:rPr>
          <w:iCs/>
          <w:color w:val="auto"/>
          <w:szCs w:val="24"/>
          <w:lang w:val="en-US" w:eastAsia="en-AU"/>
        </w:rPr>
        <w:t xml:space="preserve"> can be digested to glucose and fructose, and maltose and glucose, respectively. These compounds can be absorbed in the blood. One tablet is equivalent to 1.4 g of carbohydrates.</w:t>
      </w:r>
    </w:p>
    <w:p w:rsidR="00D64678" w:rsidRPr="007A2162" w:rsidRDefault="00D64678" w:rsidP="00D64678">
      <w:pPr>
        <w:rPr>
          <w:noProof/>
          <w:szCs w:val="24"/>
        </w:rPr>
      </w:pPr>
    </w:p>
    <w:p w:rsidR="00D64678" w:rsidRPr="004868E5" w:rsidRDefault="00D64678" w:rsidP="006B788F">
      <w:pPr>
        <w:pStyle w:val="Heading3"/>
        <w:rPr>
          <w:noProof/>
        </w:rPr>
      </w:pPr>
      <w:r w:rsidRPr="004868E5">
        <w:rPr>
          <w:noProof/>
        </w:rPr>
        <w:t>Absorption</w:t>
      </w:r>
    </w:p>
    <w:p w:rsidR="00D64678" w:rsidRDefault="00D64678" w:rsidP="00D64678">
      <w:pPr>
        <w:keepNext/>
        <w:rPr>
          <w:noProof/>
        </w:rPr>
      </w:pPr>
    </w:p>
    <w:p w:rsidR="00D64678" w:rsidRDefault="00D64678" w:rsidP="00D64678">
      <w:pPr>
        <w:rPr>
          <w:noProof/>
        </w:rPr>
      </w:pPr>
      <w:r w:rsidRPr="004868E5">
        <w:rPr>
          <w:noProof/>
        </w:rPr>
        <w:t xml:space="preserve">The active moiety of </w:t>
      </w:r>
      <w:r>
        <w:rPr>
          <w:noProof/>
        </w:rPr>
        <w:t>Velphoro</w:t>
      </w:r>
      <w:r w:rsidRPr="004868E5">
        <w:rPr>
          <w:noProof/>
        </w:rPr>
        <w:t xml:space="preserve">, pn-FeOOH, is practically insoluble and therefore not </w:t>
      </w:r>
    </w:p>
    <w:p w:rsidR="00D64678" w:rsidRDefault="00D64678" w:rsidP="00D64678">
      <w:pPr>
        <w:rPr>
          <w:noProof/>
        </w:rPr>
      </w:pPr>
      <w:r w:rsidRPr="004868E5">
        <w:rPr>
          <w:noProof/>
        </w:rPr>
        <w:t>absorbed. Its degradation product, mononuclear iron species, can however be released from the surface of pn</w:t>
      </w:r>
      <w:r w:rsidRPr="004868E5">
        <w:rPr>
          <w:noProof/>
        </w:rPr>
        <w:noBreakHyphen/>
        <w:t>FeOOH and be absorbed.</w:t>
      </w:r>
    </w:p>
    <w:p w:rsidR="00D64678" w:rsidRDefault="00D64678" w:rsidP="00D64678">
      <w:pPr>
        <w:rPr>
          <w:noProof/>
        </w:rPr>
      </w:pPr>
    </w:p>
    <w:p w:rsidR="00D64678" w:rsidRPr="004868E5" w:rsidRDefault="00D64678" w:rsidP="00D64678">
      <w:pPr>
        <w:rPr>
          <w:noProof/>
        </w:rPr>
      </w:pPr>
      <w:r w:rsidRPr="004868E5">
        <w:rPr>
          <w:noProof/>
        </w:rPr>
        <w:t xml:space="preserve">The iron uptake from radiolabelled </w:t>
      </w:r>
      <w:r>
        <w:rPr>
          <w:noProof/>
        </w:rPr>
        <w:t>Velphoro</w:t>
      </w:r>
      <w:r w:rsidRPr="004868E5">
        <w:rPr>
          <w:noProof/>
        </w:rPr>
        <w:t xml:space="preserve"> drug substance, 2,000 mg in 1 day was investigated in 16</w:t>
      </w:r>
      <w:r>
        <w:rPr>
          <w:noProof/>
        </w:rPr>
        <w:t xml:space="preserve"> CKD</w:t>
      </w:r>
      <w:r w:rsidRPr="004868E5">
        <w:rPr>
          <w:noProof/>
        </w:rPr>
        <w:t xml:space="preserve"> patients (8 pre-dialysis and 8 haemodialysis patients) and 8 healthy volunteers with low iron stores (serum ferritin &lt;100 mcg/L). In healthy subjects, the median uptake of radiolabelled iro</w:t>
      </w:r>
      <w:r>
        <w:rPr>
          <w:noProof/>
        </w:rPr>
        <w:t xml:space="preserve">n in the blood was 0.43% on Day </w:t>
      </w:r>
      <w:r w:rsidRPr="004868E5">
        <w:rPr>
          <w:noProof/>
        </w:rPr>
        <w:t>21. In chronic kidney disease patients, the median u</w:t>
      </w:r>
      <w:r>
        <w:rPr>
          <w:noProof/>
        </w:rPr>
        <w:t xml:space="preserve">ptake was minimal, 0.04% on Day </w:t>
      </w:r>
      <w:r w:rsidRPr="004868E5">
        <w:rPr>
          <w:noProof/>
        </w:rPr>
        <w:t>21. Blood levels of radiolabelled iron were very low and confined to the erythrocytes.</w:t>
      </w:r>
    </w:p>
    <w:p w:rsidR="00D64678" w:rsidRPr="004868E5" w:rsidRDefault="00D64678" w:rsidP="00D64678">
      <w:pPr>
        <w:rPr>
          <w:noProof/>
        </w:rPr>
      </w:pPr>
    </w:p>
    <w:p w:rsidR="00D64678" w:rsidRPr="004868E5" w:rsidRDefault="00D64678" w:rsidP="006B788F">
      <w:pPr>
        <w:pStyle w:val="Heading3"/>
        <w:rPr>
          <w:noProof/>
        </w:rPr>
      </w:pPr>
      <w:r w:rsidRPr="004868E5">
        <w:rPr>
          <w:noProof/>
        </w:rPr>
        <w:t>Distribution</w:t>
      </w:r>
    </w:p>
    <w:p w:rsidR="00D64678" w:rsidRPr="004868E5" w:rsidRDefault="00D64678" w:rsidP="00D64678">
      <w:pPr>
        <w:keepNext/>
        <w:rPr>
          <w:noProof/>
        </w:rPr>
      </w:pPr>
    </w:p>
    <w:p w:rsidR="00D64678" w:rsidRDefault="00D64678" w:rsidP="00D64678">
      <w:pPr>
        <w:rPr>
          <w:noProof/>
        </w:rPr>
      </w:pPr>
      <w:r w:rsidRPr="004868E5">
        <w:rPr>
          <w:noProof/>
        </w:rPr>
        <w:t xml:space="preserve">Due to the insolubility and degradation characteristics of </w:t>
      </w:r>
      <w:r>
        <w:rPr>
          <w:noProof/>
        </w:rPr>
        <w:t>Velphoro</w:t>
      </w:r>
      <w:r w:rsidRPr="004868E5">
        <w:rPr>
          <w:noProof/>
        </w:rPr>
        <w:t>, no classical pharmacokinetic studies can be carried out. Therefore, there is no data to determine the distribution of the drug.</w:t>
      </w:r>
    </w:p>
    <w:p w:rsidR="00D64678" w:rsidRDefault="00D64678" w:rsidP="00D64678">
      <w:pPr>
        <w:rPr>
          <w:noProof/>
        </w:rPr>
      </w:pPr>
    </w:p>
    <w:p w:rsidR="00D64678" w:rsidRPr="004868E5" w:rsidRDefault="00D64678" w:rsidP="006B788F">
      <w:pPr>
        <w:pStyle w:val="Heading3"/>
        <w:rPr>
          <w:noProof/>
        </w:rPr>
      </w:pPr>
      <w:r w:rsidRPr="004868E5">
        <w:rPr>
          <w:noProof/>
        </w:rPr>
        <w:t>Biotransformation</w:t>
      </w:r>
    </w:p>
    <w:p w:rsidR="00D64678" w:rsidRPr="004868E5" w:rsidRDefault="00D64678" w:rsidP="00D64678">
      <w:pPr>
        <w:keepNext/>
        <w:rPr>
          <w:noProof/>
        </w:rPr>
      </w:pPr>
    </w:p>
    <w:p w:rsidR="00D64678" w:rsidRPr="004868E5" w:rsidRDefault="00D64678" w:rsidP="00D64678">
      <w:pPr>
        <w:rPr>
          <w:noProof/>
        </w:rPr>
      </w:pPr>
      <w:r w:rsidRPr="004868E5">
        <w:rPr>
          <w:noProof/>
        </w:rPr>
        <w:t>The active moiety</w:t>
      </w:r>
      <w:r w:rsidRPr="004868E5" w:rsidDel="00EE29F9">
        <w:rPr>
          <w:noProof/>
        </w:rPr>
        <w:t xml:space="preserve"> </w:t>
      </w:r>
      <w:r w:rsidRPr="004868E5">
        <w:rPr>
          <w:noProof/>
        </w:rPr>
        <w:t xml:space="preserve">of </w:t>
      </w:r>
      <w:r>
        <w:rPr>
          <w:noProof/>
        </w:rPr>
        <w:t>Velphoro</w:t>
      </w:r>
      <w:r w:rsidRPr="004868E5">
        <w:rPr>
          <w:noProof/>
        </w:rPr>
        <w:t xml:space="preserve">, pn-FeOOH, is not metabolised. However, the degradation product of </w:t>
      </w:r>
      <w:r>
        <w:rPr>
          <w:noProof/>
        </w:rPr>
        <w:t>Velphoro</w:t>
      </w:r>
      <w:r w:rsidRPr="004868E5">
        <w:rPr>
          <w:noProof/>
        </w:rPr>
        <w:t>, mononuclear iron species, can be released from the surface of polynuclear iron(III)</w:t>
      </w:r>
      <w:r w:rsidRPr="004868E5">
        <w:rPr>
          <w:noProof/>
        </w:rPr>
        <w:noBreakHyphen/>
        <w:t xml:space="preserve">oxyhydroxide and be absorbed. Clinical studies have demonstrated that the systemic absorption of iron from </w:t>
      </w:r>
      <w:r>
        <w:rPr>
          <w:noProof/>
        </w:rPr>
        <w:t>Velphoro</w:t>
      </w:r>
      <w:r w:rsidRPr="004868E5">
        <w:rPr>
          <w:noProof/>
        </w:rPr>
        <w:t xml:space="preserve"> is low.</w:t>
      </w:r>
    </w:p>
    <w:p w:rsidR="00D64678" w:rsidRPr="004868E5" w:rsidRDefault="00D64678" w:rsidP="00D64678">
      <w:pPr>
        <w:rPr>
          <w:noProof/>
        </w:rPr>
      </w:pPr>
    </w:p>
    <w:p w:rsidR="00D64678" w:rsidRDefault="00D64678" w:rsidP="00D64678">
      <w:pPr>
        <w:rPr>
          <w:noProof/>
        </w:rPr>
      </w:pPr>
      <w:r w:rsidRPr="00360F38">
        <w:rPr>
          <w:i/>
          <w:noProof/>
        </w:rPr>
        <w:t>In vitro</w:t>
      </w:r>
      <w:r w:rsidRPr="004868E5">
        <w:rPr>
          <w:noProof/>
        </w:rPr>
        <w:t xml:space="preserve"> data suggest that the sucrose and starch components of the drug substance can be digested to glucose and fructose, and maltose and glucose, respectively. These compounds can be absorbed in the blood.</w:t>
      </w:r>
    </w:p>
    <w:p w:rsidR="00D64678" w:rsidRPr="004868E5" w:rsidRDefault="00D64678" w:rsidP="00D64678">
      <w:pPr>
        <w:rPr>
          <w:noProof/>
        </w:rPr>
      </w:pPr>
    </w:p>
    <w:p w:rsidR="00D64678" w:rsidRDefault="0096785F" w:rsidP="006B788F">
      <w:pPr>
        <w:pStyle w:val="Heading3"/>
        <w:rPr>
          <w:noProof/>
        </w:rPr>
      </w:pPr>
      <w:r>
        <w:rPr>
          <w:noProof/>
        </w:rPr>
        <w:t>Excretion</w:t>
      </w:r>
    </w:p>
    <w:p w:rsidR="00D64678" w:rsidRPr="004868E5" w:rsidRDefault="00D64678" w:rsidP="00D64678">
      <w:pPr>
        <w:keepNext/>
        <w:rPr>
          <w:noProof/>
        </w:rPr>
      </w:pPr>
    </w:p>
    <w:p w:rsidR="00D64678" w:rsidRDefault="00D64678" w:rsidP="00D64678">
      <w:pPr>
        <w:rPr>
          <w:noProof/>
        </w:rPr>
      </w:pPr>
      <w:r w:rsidRPr="004868E5">
        <w:rPr>
          <w:noProof/>
        </w:rPr>
        <w:t xml:space="preserve">In animal studies with rats and dogs administered </w:t>
      </w:r>
      <w:r w:rsidRPr="00741C87">
        <w:rPr>
          <w:noProof/>
          <w:vertAlign w:val="superscript"/>
        </w:rPr>
        <w:t>59</w:t>
      </w:r>
      <w:r w:rsidRPr="004868E5">
        <w:rPr>
          <w:noProof/>
        </w:rPr>
        <w:t>Fe-</w:t>
      </w:r>
      <w:r>
        <w:rPr>
          <w:noProof/>
        </w:rPr>
        <w:t>Velphoro</w:t>
      </w:r>
      <w:r w:rsidRPr="004868E5">
        <w:rPr>
          <w:noProof/>
        </w:rPr>
        <w:t xml:space="preserve"> drug substance orally, radiolabelled iron was recovered in the faeces but not the urine.</w:t>
      </w:r>
    </w:p>
    <w:p w:rsidR="00E53160" w:rsidRDefault="00E53160" w:rsidP="00D64678">
      <w:pPr>
        <w:rPr>
          <w:noProof/>
        </w:rPr>
      </w:pPr>
    </w:p>
    <w:p w:rsidR="000F626F" w:rsidRDefault="000F626F" w:rsidP="00D64678">
      <w:pPr>
        <w:rPr>
          <w:noProof/>
        </w:rPr>
      </w:pPr>
    </w:p>
    <w:p w:rsidR="00E53160" w:rsidRPr="00920DAF" w:rsidRDefault="00E53160" w:rsidP="006B788F">
      <w:pPr>
        <w:pStyle w:val="Heading1"/>
      </w:pPr>
      <w:r w:rsidRPr="00AE2E1B">
        <w:t>CLINICAL TRIALS</w:t>
      </w:r>
    </w:p>
    <w:p w:rsidR="00920DAF" w:rsidRDefault="00920DAF" w:rsidP="00920DAF">
      <w:pPr>
        <w:keepNext/>
        <w:rPr>
          <w:noProof/>
        </w:rPr>
      </w:pPr>
    </w:p>
    <w:p w:rsidR="00512182" w:rsidRDefault="00512182" w:rsidP="00111C1C">
      <w:pPr>
        <w:jc w:val="both"/>
      </w:pPr>
      <w:r w:rsidRPr="009941B5">
        <w:t>A randomised, open-</w:t>
      </w:r>
      <w:r w:rsidRPr="00E52103">
        <w:t>label</w:t>
      </w:r>
      <w:r w:rsidRPr="009941B5">
        <w:t>, active</w:t>
      </w:r>
      <w:r>
        <w:t>-</w:t>
      </w:r>
      <w:r w:rsidRPr="009941B5">
        <w:t xml:space="preserve">controlled dose-ranging </w:t>
      </w:r>
      <w:r>
        <w:t>P</w:t>
      </w:r>
      <w:r w:rsidRPr="009941B5">
        <w:t>hase 2 study over 6 weeks was performed in 15</w:t>
      </w:r>
      <w:r>
        <w:t>4</w:t>
      </w:r>
      <w:r w:rsidRPr="009941B5">
        <w:t xml:space="preserve"> patients on haemodialysis. Out of th</w:t>
      </w:r>
      <w:r>
        <w:t>ese</w:t>
      </w:r>
      <w:r w:rsidRPr="009941B5">
        <w:t>, 12</w:t>
      </w:r>
      <w:r>
        <w:t>8 </w:t>
      </w:r>
      <w:r w:rsidRPr="009941B5">
        <w:t xml:space="preserve">patients received fixed </w:t>
      </w:r>
      <w:r w:rsidRPr="009941B5">
        <w:lastRenderedPageBreak/>
        <w:t>dosages of</w:t>
      </w:r>
      <w:r>
        <w:t xml:space="preserve"> </w:t>
      </w:r>
      <w:proofErr w:type="spellStart"/>
      <w:r w:rsidR="002C0EDA">
        <w:t>Velphoro</w:t>
      </w:r>
      <w:proofErr w:type="spellEnd"/>
      <w:r w:rsidRPr="009941B5">
        <w:t>, whereas 26 patients were on the comparator drug (</w:t>
      </w:r>
      <w:proofErr w:type="spellStart"/>
      <w:r w:rsidRPr="009941B5">
        <w:t>sevelamer</w:t>
      </w:r>
      <w:proofErr w:type="spellEnd"/>
      <w:r w:rsidRPr="009941B5">
        <w:t xml:space="preserve"> hydrochloride). </w:t>
      </w:r>
      <w:proofErr w:type="spellStart"/>
      <w:r w:rsidR="002C0EDA">
        <w:t>Velphoro</w:t>
      </w:r>
      <w:proofErr w:type="spellEnd"/>
      <w:r>
        <w:t xml:space="preserve"> </w:t>
      </w:r>
      <w:r w:rsidRPr="009941B5">
        <w:t xml:space="preserve">was shown to be pharmacologically active from </w:t>
      </w:r>
      <w:r>
        <w:t>1,</w:t>
      </w:r>
      <w:r w:rsidRPr="009941B5">
        <w:t xml:space="preserve">000 mg/day to </w:t>
      </w:r>
      <w:r>
        <w:t>2,</w:t>
      </w:r>
      <w:r w:rsidRPr="009941B5">
        <w:t>500 mg/day with significant dose</w:t>
      </w:r>
      <w:r>
        <w:t>-</w:t>
      </w:r>
      <w:r w:rsidRPr="009941B5">
        <w:t xml:space="preserve">dependent serum </w:t>
      </w:r>
      <w:r>
        <w:t>phosphorus</w:t>
      </w:r>
      <w:r w:rsidRPr="009941B5">
        <w:t xml:space="preserve"> lowering effects. </w:t>
      </w:r>
      <w:r>
        <w:t xml:space="preserve">The 250 mg/day dose was ineffective. </w:t>
      </w:r>
      <w:proofErr w:type="spellStart"/>
      <w:r w:rsidR="002C0EDA">
        <w:t>Velphoro</w:t>
      </w:r>
      <w:proofErr w:type="spellEnd"/>
      <w:r>
        <w:t xml:space="preserve"> </w:t>
      </w:r>
      <w:r w:rsidRPr="009941B5">
        <w:t xml:space="preserve">doses of </w:t>
      </w:r>
      <w:r>
        <w:t>1,</w:t>
      </w:r>
      <w:r w:rsidRPr="009941B5">
        <w:t xml:space="preserve">000 or </w:t>
      </w:r>
      <w:r>
        <w:t>1,</w:t>
      </w:r>
      <w:r w:rsidRPr="009941B5">
        <w:t xml:space="preserve">500 mg/day appeared to be comparable to </w:t>
      </w:r>
      <w:proofErr w:type="spellStart"/>
      <w:r w:rsidRPr="009941B5">
        <w:t>sevelamer</w:t>
      </w:r>
      <w:proofErr w:type="spellEnd"/>
      <w:r w:rsidRPr="009941B5">
        <w:t xml:space="preserve"> hydrochloride 4</w:t>
      </w:r>
      <w:r>
        <w:t>,</w:t>
      </w:r>
      <w:r w:rsidRPr="009941B5">
        <w:t xml:space="preserve">800 mg/day in lowering serum </w:t>
      </w:r>
      <w:r>
        <w:t>phosphorus</w:t>
      </w:r>
      <w:r w:rsidRPr="009941B5">
        <w:t>.</w:t>
      </w:r>
      <w:r>
        <w:t xml:space="preserve"> There were </w:t>
      </w:r>
      <w:r w:rsidRPr="00EF415F">
        <w:t xml:space="preserve">no patient-reported dose limiting treatment emergent </w:t>
      </w:r>
      <w:r>
        <w:t>adverse events (</w:t>
      </w:r>
      <w:r w:rsidRPr="00EF415F">
        <w:t>AEs</w:t>
      </w:r>
      <w:r w:rsidRPr="005425D2">
        <w:t>)</w:t>
      </w:r>
      <w:r w:rsidR="000C6FFA">
        <w:t xml:space="preserve">. </w:t>
      </w:r>
      <w:r w:rsidRPr="004149B3">
        <w:t>Mean changes in iron parameters</w:t>
      </w:r>
      <w:r>
        <w:t xml:space="preserve"> (ferritin, TSAT and transferrin) and</w:t>
      </w:r>
      <w:r w:rsidRPr="004149B3">
        <w:t xml:space="preserve"> vitamins </w:t>
      </w:r>
      <w:r>
        <w:t xml:space="preserve">(A, D, E and K) </w:t>
      </w:r>
      <w:r w:rsidRPr="004149B3">
        <w:t xml:space="preserve">were generally not </w:t>
      </w:r>
      <w:r>
        <w:t>clinically meaningful</w:t>
      </w:r>
      <w:r w:rsidRPr="004149B3">
        <w:t xml:space="preserve"> </w:t>
      </w:r>
      <w:r w:rsidRPr="00716426">
        <w:t>and showed no apparent trends across the treatment groups.</w:t>
      </w:r>
      <w:r w:rsidR="000C6FFA">
        <w:t xml:space="preserve"> </w:t>
      </w:r>
      <w:proofErr w:type="spellStart"/>
      <w:r w:rsidR="002C0EDA">
        <w:t>Velphoro</w:t>
      </w:r>
      <w:proofErr w:type="spellEnd"/>
      <w:r w:rsidRPr="00F1369D">
        <w:t xml:space="preserve"> </w:t>
      </w:r>
      <w:r>
        <w:t xml:space="preserve">had </w:t>
      </w:r>
      <w:r w:rsidRPr="00F1369D">
        <w:t xml:space="preserve">a similar gastrointestinal AE profile to </w:t>
      </w:r>
      <w:proofErr w:type="spellStart"/>
      <w:r w:rsidRPr="00F1369D">
        <w:t>sevelamer</w:t>
      </w:r>
      <w:proofErr w:type="spellEnd"/>
      <w:r w:rsidRPr="00F1369D">
        <w:t xml:space="preserve"> hydrochloride and no dose-dependent trend in gastro</w:t>
      </w:r>
      <w:r w:rsidR="00111C1C">
        <w:t>intestinal events was observed.</w:t>
      </w:r>
    </w:p>
    <w:p w:rsidR="00111C1C" w:rsidRDefault="00111C1C" w:rsidP="00111C1C">
      <w:pPr>
        <w:jc w:val="both"/>
      </w:pPr>
    </w:p>
    <w:p w:rsidR="00A64D49" w:rsidRDefault="00751D35" w:rsidP="009F31B9">
      <w:pPr>
        <w:jc w:val="both"/>
        <w:rPr>
          <w:noProof/>
        </w:rPr>
      </w:pPr>
      <w:r>
        <w:rPr>
          <w:noProof/>
        </w:rPr>
        <w:t xml:space="preserve">One phase 3 clinical study has been performed in patients with </w:t>
      </w:r>
      <w:r w:rsidR="00A64D49">
        <w:rPr>
          <w:noProof/>
        </w:rPr>
        <w:t>chronic kidney d</w:t>
      </w:r>
      <w:r w:rsidR="00EC3B46">
        <w:rPr>
          <w:noProof/>
        </w:rPr>
        <w:t>i</w:t>
      </w:r>
      <w:r w:rsidR="00A64D49">
        <w:rPr>
          <w:noProof/>
        </w:rPr>
        <w:t xml:space="preserve">sease </w:t>
      </w:r>
      <w:r w:rsidR="009F31B9">
        <w:rPr>
          <w:noProof/>
        </w:rPr>
        <w:t>(</w:t>
      </w:r>
      <w:r>
        <w:rPr>
          <w:noProof/>
        </w:rPr>
        <w:t>CKD</w:t>
      </w:r>
      <w:r w:rsidR="009F31B9">
        <w:rPr>
          <w:noProof/>
        </w:rPr>
        <w:t>)</w:t>
      </w:r>
      <w:r>
        <w:rPr>
          <w:noProof/>
        </w:rPr>
        <w:t xml:space="preserve"> on dialysis to investigate the efficacy and safety of Velphoro in this population. </w:t>
      </w:r>
      <w:r w:rsidR="00EB4419">
        <w:rPr>
          <w:noProof/>
        </w:rPr>
        <w:t>This study was an open-label, randomised, active-controlled (sevelamer carbonate), parallel group study for up to 55 weeks and included 1,055 patients. Adult patients with hyperphosphataemia (serum p</w:t>
      </w:r>
      <w:r w:rsidR="00F00CA4">
        <w:rPr>
          <w:noProof/>
        </w:rPr>
        <w:t>hosphorus levels ≥1.94 mmol/L</w:t>
      </w:r>
      <w:r w:rsidR="00EB4419">
        <w:rPr>
          <w:noProof/>
        </w:rPr>
        <w:t xml:space="preserve">) were treated with Velphoro at a starting </w:t>
      </w:r>
      <w:r w:rsidR="00A351AC">
        <w:rPr>
          <w:noProof/>
        </w:rPr>
        <w:t xml:space="preserve">dose </w:t>
      </w:r>
      <w:r w:rsidR="00EB4419">
        <w:rPr>
          <w:noProof/>
        </w:rPr>
        <w:t>of 1,000 mg iron/day followed by an 8-week dose titration period. Non-inferiority to sevelamer carbonate was determined at week 12. Subjects were continued on their study medication from week 12 to week 55. From week 12 to 24, dose titrations were allowed for both tolerability and efficacy reasons.</w:t>
      </w:r>
    </w:p>
    <w:p w:rsidR="00111C1C" w:rsidRDefault="00111C1C" w:rsidP="009F31B9">
      <w:pPr>
        <w:jc w:val="both"/>
        <w:rPr>
          <w:noProof/>
        </w:rPr>
      </w:pPr>
    </w:p>
    <w:p w:rsidR="007B60B9" w:rsidRPr="000152B4" w:rsidRDefault="00A64D49" w:rsidP="009F31B9">
      <w:pPr>
        <w:jc w:val="both"/>
        <w:rPr>
          <w:noProof/>
          <w:color w:val="auto"/>
        </w:rPr>
      </w:pPr>
      <w:r w:rsidRPr="000152B4">
        <w:rPr>
          <w:noProof/>
          <w:color w:val="auto"/>
        </w:rPr>
        <w:t>In a subpopulation of 93 haemodialysis patients</w:t>
      </w:r>
      <w:r w:rsidR="00DF1FD9" w:rsidRPr="000152B4">
        <w:rPr>
          <w:noProof/>
          <w:color w:val="auto"/>
        </w:rPr>
        <w:t>,</w:t>
      </w:r>
      <w:r w:rsidRPr="000152B4">
        <w:rPr>
          <w:noProof/>
          <w:color w:val="auto"/>
        </w:rPr>
        <w:t xml:space="preserve"> the Velphoro </w:t>
      </w:r>
      <w:r w:rsidR="00EB4419" w:rsidRPr="000152B4">
        <w:rPr>
          <w:noProof/>
          <w:color w:val="auto"/>
        </w:rPr>
        <w:t xml:space="preserve">maintenance dose (1,000 to 3,000 mg iron/day) </w:t>
      </w:r>
      <w:r w:rsidRPr="000152B4">
        <w:rPr>
          <w:color w:val="auto"/>
        </w:rPr>
        <w:t>was statistically significantly superior in sustaining the phosphorus lowering effect at Week 27 (p&lt;0.001) compared with the non-effective low dose (250 mg/day) from Week 24 to Week 27 (see Table 1 below).</w:t>
      </w:r>
    </w:p>
    <w:p w:rsidR="00EB4419" w:rsidRDefault="00EB4419" w:rsidP="009F31B9">
      <w:pPr>
        <w:jc w:val="both"/>
        <w:rPr>
          <w:noProof/>
        </w:rPr>
      </w:pPr>
    </w:p>
    <w:p w:rsidR="00A64D49" w:rsidRPr="000152B4" w:rsidRDefault="00A64D49" w:rsidP="001A776D">
      <w:pPr>
        <w:keepNext/>
        <w:autoSpaceDE w:val="0"/>
        <w:autoSpaceDN w:val="0"/>
        <w:adjustRightInd w:val="0"/>
        <w:jc w:val="both"/>
        <w:rPr>
          <w:color w:val="auto"/>
          <w:szCs w:val="24"/>
          <w:lang w:val="en-US" w:eastAsia="en-AU"/>
        </w:rPr>
      </w:pPr>
      <w:r w:rsidRPr="000152B4">
        <w:rPr>
          <w:color w:val="auto"/>
          <w:szCs w:val="24"/>
          <w:lang w:val="en-US" w:eastAsia="en-AU"/>
        </w:rPr>
        <w:t xml:space="preserve">Table </w:t>
      </w:r>
      <w:proofErr w:type="gramStart"/>
      <w:r w:rsidRPr="000152B4">
        <w:rPr>
          <w:color w:val="auto"/>
          <w:szCs w:val="24"/>
          <w:lang w:val="en-US" w:eastAsia="en-AU"/>
        </w:rPr>
        <w:t>1 :</w:t>
      </w:r>
      <w:proofErr w:type="gramEnd"/>
    </w:p>
    <w:p w:rsidR="00A64D49" w:rsidRPr="000152B4" w:rsidRDefault="00A64D49" w:rsidP="000152B4">
      <w:pPr>
        <w:keepNext/>
        <w:autoSpaceDE w:val="0"/>
        <w:autoSpaceDN w:val="0"/>
        <w:adjustRightInd w:val="0"/>
        <w:ind w:firstLine="720"/>
        <w:jc w:val="both"/>
        <w:rPr>
          <w:color w:val="auto"/>
          <w:szCs w:val="24"/>
          <w:lang w:val="en-US" w:eastAsia="en-AU"/>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1"/>
        <w:gridCol w:w="2852"/>
        <w:gridCol w:w="2852"/>
      </w:tblGrid>
      <w:tr w:rsidR="000152B4" w:rsidRPr="000152B4" w:rsidTr="009F31B9">
        <w:tc>
          <w:tcPr>
            <w:tcW w:w="8555" w:type="dxa"/>
            <w:gridSpan w:val="3"/>
            <w:tcBorders>
              <w:top w:val="single" w:sz="4" w:space="0" w:color="auto"/>
              <w:bottom w:val="single" w:sz="4" w:space="0" w:color="auto"/>
            </w:tcBorders>
          </w:tcPr>
          <w:p w:rsidR="00A64D49" w:rsidRPr="000152B4" w:rsidRDefault="00A64D49" w:rsidP="001A776D">
            <w:pPr>
              <w:keepNext/>
              <w:autoSpaceDE w:val="0"/>
              <w:autoSpaceDN w:val="0"/>
              <w:adjustRightInd w:val="0"/>
              <w:jc w:val="center"/>
              <w:rPr>
                <w:color w:val="auto"/>
                <w:szCs w:val="24"/>
                <w:lang w:val="en-US" w:eastAsia="en-US"/>
              </w:rPr>
            </w:pPr>
            <w:r w:rsidRPr="000152B4">
              <w:rPr>
                <w:color w:val="auto"/>
                <w:szCs w:val="24"/>
                <w:lang w:val="en-US" w:eastAsia="en-US"/>
              </w:rPr>
              <w:t xml:space="preserve">Mean (SD) Serum Phosphorus and </w:t>
            </w:r>
            <w:r w:rsidR="009F31B9" w:rsidRPr="000152B4">
              <w:rPr>
                <w:color w:val="auto"/>
                <w:szCs w:val="24"/>
                <w:lang w:val="en-US" w:eastAsia="en-US"/>
              </w:rPr>
              <w:t>C</w:t>
            </w:r>
            <w:r w:rsidRPr="000152B4">
              <w:rPr>
                <w:color w:val="auto"/>
                <w:szCs w:val="24"/>
                <w:lang w:val="en-US" w:eastAsia="en-US"/>
              </w:rPr>
              <w:t>hang</w:t>
            </w:r>
            <w:r w:rsidR="009F31B9" w:rsidRPr="000152B4">
              <w:rPr>
                <w:color w:val="auto"/>
                <w:szCs w:val="24"/>
                <w:lang w:val="en-US" w:eastAsia="en-US"/>
              </w:rPr>
              <w:t>e from Baseline to End of Treat</w:t>
            </w:r>
            <w:r w:rsidRPr="000152B4">
              <w:rPr>
                <w:color w:val="auto"/>
                <w:szCs w:val="24"/>
                <w:lang w:val="en-US" w:eastAsia="en-US"/>
              </w:rPr>
              <w:t>ment. PES (N=93)</w:t>
            </w:r>
          </w:p>
        </w:tc>
      </w:tr>
      <w:tr w:rsidR="000152B4" w:rsidRPr="000152B4" w:rsidTr="009F31B9">
        <w:tc>
          <w:tcPr>
            <w:tcW w:w="2851" w:type="dxa"/>
            <w:tcBorders>
              <w:top w:val="single" w:sz="4" w:space="0" w:color="auto"/>
              <w:bottom w:val="single" w:sz="4" w:space="0" w:color="auto"/>
            </w:tcBorders>
          </w:tcPr>
          <w:p w:rsidR="00A64D49" w:rsidRPr="000152B4" w:rsidRDefault="00A64D49" w:rsidP="001A776D">
            <w:pPr>
              <w:keepNext/>
              <w:autoSpaceDE w:val="0"/>
              <w:autoSpaceDN w:val="0"/>
              <w:adjustRightInd w:val="0"/>
              <w:jc w:val="both"/>
              <w:rPr>
                <w:color w:val="auto"/>
                <w:szCs w:val="24"/>
                <w:lang w:val="en-US" w:eastAsia="en-US"/>
              </w:rPr>
            </w:pPr>
          </w:p>
        </w:tc>
        <w:tc>
          <w:tcPr>
            <w:tcW w:w="5704" w:type="dxa"/>
            <w:gridSpan w:val="2"/>
            <w:tcBorders>
              <w:top w:val="single" w:sz="4" w:space="0" w:color="auto"/>
              <w:bottom w:val="single" w:sz="4" w:space="0" w:color="auto"/>
            </w:tcBorders>
          </w:tcPr>
          <w:p w:rsidR="00A64D49" w:rsidRPr="000152B4" w:rsidRDefault="00A64D49" w:rsidP="00A64D49">
            <w:pPr>
              <w:autoSpaceDE w:val="0"/>
              <w:autoSpaceDN w:val="0"/>
              <w:adjustRightInd w:val="0"/>
              <w:jc w:val="both"/>
              <w:rPr>
                <w:color w:val="auto"/>
                <w:szCs w:val="24"/>
                <w:lang w:val="en-US" w:eastAsia="en-US"/>
              </w:rPr>
            </w:pPr>
            <w:r w:rsidRPr="000152B4">
              <w:rPr>
                <w:color w:val="auto"/>
                <w:szCs w:val="24"/>
                <w:lang w:val="en-US" w:eastAsia="en-US"/>
              </w:rPr>
              <w:t xml:space="preserve">Mean (SD) </w:t>
            </w:r>
            <w:proofErr w:type="spellStart"/>
            <w:r w:rsidRPr="000152B4">
              <w:rPr>
                <w:color w:val="auto"/>
                <w:szCs w:val="24"/>
                <w:lang w:val="en-US" w:eastAsia="en-US"/>
              </w:rPr>
              <w:t>Serm</w:t>
            </w:r>
            <w:proofErr w:type="spellEnd"/>
            <w:r w:rsidRPr="000152B4">
              <w:rPr>
                <w:color w:val="auto"/>
                <w:szCs w:val="24"/>
                <w:lang w:val="en-US" w:eastAsia="en-US"/>
              </w:rPr>
              <w:t xml:space="preserve"> Phosphorus (</w:t>
            </w:r>
            <w:proofErr w:type="spellStart"/>
            <w:r w:rsidRPr="000152B4">
              <w:rPr>
                <w:color w:val="auto"/>
                <w:szCs w:val="24"/>
                <w:lang w:val="en-US" w:eastAsia="en-US"/>
              </w:rPr>
              <w:t>mmol</w:t>
            </w:r>
            <w:proofErr w:type="spellEnd"/>
            <w:r w:rsidRPr="000152B4">
              <w:rPr>
                <w:color w:val="auto"/>
                <w:szCs w:val="24"/>
                <w:lang w:val="en-US" w:eastAsia="en-US"/>
              </w:rPr>
              <w:t>/L)</w:t>
            </w:r>
          </w:p>
        </w:tc>
      </w:tr>
      <w:tr w:rsidR="000152B4" w:rsidRPr="000152B4" w:rsidTr="009F31B9">
        <w:tc>
          <w:tcPr>
            <w:tcW w:w="2851" w:type="dxa"/>
            <w:tcBorders>
              <w:top w:val="single" w:sz="4" w:space="0" w:color="auto"/>
              <w:bottom w:val="single" w:sz="4" w:space="0" w:color="auto"/>
            </w:tcBorders>
          </w:tcPr>
          <w:p w:rsidR="00A64D49" w:rsidRPr="000152B4" w:rsidRDefault="00A64D49" w:rsidP="001A776D">
            <w:pPr>
              <w:keepNext/>
              <w:autoSpaceDE w:val="0"/>
              <w:autoSpaceDN w:val="0"/>
              <w:adjustRightInd w:val="0"/>
              <w:jc w:val="both"/>
              <w:rPr>
                <w:color w:val="auto"/>
                <w:szCs w:val="24"/>
                <w:lang w:val="en-US" w:eastAsia="en-US"/>
              </w:rPr>
            </w:pPr>
          </w:p>
        </w:tc>
        <w:tc>
          <w:tcPr>
            <w:tcW w:w="2852" w:type="dxa"/>
            <w:tcBorders>
              <w:top w:val="single" w:sz="4" w:space="0" w:color="auto"/>
              <w:bottom w:val="single" w:sz="4" w:space="0" w:color="auto"/>
            </w:tcBorders>
          </w:tcPr>
          <w:p w:rsidR="00A64D49" w:rsidRPr="000152B4" w:rsidRDefault="00A64D49" w:rsidP="00A64D49">
            <w:pPr>
              <w:autoSpaceDE w:val="0"/>
              <w:autoSpaceDN w:val="0"/>
              <w:adjustRightInd w:val="0"/>
              <w:jc w:val="center"/>
              <w:rPr>
                <w:color w:val="auto"/>
                <w:szCs w:val="24"/>
                <w:lang w:val="en-US" w:eastAsia="en-US"/>
              </w:rPr>
            </w:pPr>
            <w:proofErr w:type="spellStart"/>
            <w:r w:rsidRPr="000152B4">
              <w:rPr>
                <w:color w:val="auto"/>
                <w:szCs w:val="24"/>
                <w:lang w:val="en-US" w:eastAsia="en-US"/>
              </w:rPr>
              <w:t>Velphoro</w:t>
            </w:r>
            <w:proofErr w:type="spellEnd"/>
            <w:r w:rsidRPr="000152B4">
              <w:rPr>
                <w:color w:val="auto"/>
                <w:szCs w:val="24"/>
                <w:lang w:val="en-US" w:eastAsia="en-US"/>
              </w:rPr>
              <w:t xml:space="preserve"> Maintenance Dose (1,000 to 3,000 mg/day) (N=44)</w:t>
            </w:r>
          </w:p>
        </w:tc>
        <w:tc>
          <w:tcPr>
            <w:tcW w:w="2852" w:type="dxa"/>
            <w:tcBorders>
              <w:top w:val="single" w:sz="4" w:space="0" w:color="auto"/>
              <w:bottom w:val="single" w:sz="4" w:space="0" w:color="auto"/>
            </w:tcBorders>
          </w:tcPr>
          <w:p w:rsidR="00A64D49" w:rsidRPr="000152B4" w:rsidRDefault="00A64D49" w:rsidP="00A64D49">
            <w:pPr>
              <w:autoSpaceDE w:val="0"/>
              <w:autoSpaceDN w:val="0"/>
              <w:adjustRightInd w:val="0"/>
              <w:jc w:val="center"/>
              <w:rPr>
                <w:color w:val="auto"/>
                <w:szCs w:val="24"/>
                <w:lang w:val="en-US" w:eastAsia="en-US"/>
              </w:rPr>
            </w:pPr>
            <w:proofErr w:type="spellStart"/>
            <w:r w:rsidRPr="000152B4">
              <w:rPr>
                <w:color w:val="auto"/>
                <w:szCs w:val="24"/>
                <w:lang w:val="en-US" w:eastAsia="en-US"/>
              </w:rPr>
              <w:t>Velphoro</w:t>
            </w:r>
            <w:proofErr w:type="spellEnd"/>
            <w:r w:rsidRPr="000152B4">
              <w:rPr>
                <w:color w:val="auto"/>
                <w:szCs w:val="24"/>
                <w:lang w:val="en-US" w:eastAsia="en-US"/>
              </w:rPr>
              <w:t xml:space="preserve"> Low Dose</w:t>
            </w:r>
          </w:p>
          <w:p w:rsidR="00A64D49" w:rsidRPr="000152B4" w:rsidRDefault="00A64D49" w:rsidP="00A64D49">
            <w:pPr>
              <w:autoSpaceDE w:val="0"/>
              <w:autoSpaceDN w:val="0"/>
              <w:adjustRightInd w:val="0"/>
              <w:jc w:val="center"/>
              <w:rPr>
                <w:color w:val="auto"/>
                <w:szCs w:val="24"/>
                <w:lang w:val="en-US" w:eastAsia="en-US"/>
              </w:rPr>
            </w:pPr>
            <w:r w:rsidRPr="000152B4">
              <w:rPr>
                <w:color w:val="auto"/>
                <w:szCs w:val="24"/>
                <w:lang w:val="en-US" w:eastAsia="en-US"/>
              </w:rPr>
              <w:t>(250 mg/Day)</w:t>
            </w:r>
          </w:p>
          <w:p w:rsidR="00A64D49" w:rsidRPr="000152B4" w:rsidRDefault="00A64D49" w:rsidP="00A64D49">
            <w:pPr>
              <w:autoSpaceDE w:val="0"/>
              <w:autoSpaceDN w:val="0"/>
              <w:adjustRightInd w:val="0"/>
              <w:jc w:val="center"/>
              <w:rPr>
                <w:color w:val="auto"/>
                <w:szCs w:val="24"/>
                <w:lang w:val="en-US" w:eastAsia="en-US"/>
              </w:rPr>
            </w:pPr>
            <w:r w:rsidRPr="000152B4">
              <w:rPr>
                <w:color w:val="auto"/>
                <w:szCs w:val="24"/>
                <w:lang w:val="en-US" w:eastAsia="en-US"/>
              </w:rPr>
              <w:t>(N=39)</w:t>
            </w:r>
          </w:p>
        </w:tc>
      </w:tr>
      <w:tr w:rsidR="000152B4" w:rsidRPr="000152B4" w:rsidTr="009F31B9">
        <w:tc>
          <w:tcPr>
            <w:tcW w:w="2851" w:type="dxa"/>
            <w:tcBorders>
              <w:top w:val="single" w:sz="4" w:space="0" w:color="auto"/>
            </w:tcBorders>
          </w:tcPr>
          <w:p w:rsidR="00A64D49" w:rsidRPr="000152B4" w:rsidRDefault="00A64D49" w:rsidP="001A776D">
            <w:pPr>
              <w:keepNext/>
              <w:autoSpaceDE w:val="0"/>
              <w:autoSpaceDN w:val="0"/>
              <w:adjustRightInd w:val="0"/>
              <w:jc w:val="both"/>
              <w:rPr>
                <w:color w:val="auto"/>
                <w:szCs w:val="24"/>
                <w:lang w:val="en-US" w:eastAsia="en-US"/>
              </w:rPr>
            </w:pPr>
            <w:r w:rsidRPr="000152B4">
              <w:rPr>
                <w:color w:val="auto"/>
                <w:szCs w:val="24"/>
                <w:lang w:val="en-US" w:eastAsia="en-US"/>
              </w:rPr>
              <w:t>Week 24 (BL)</w:t>
            </w:r>
          </w:p>
        </w:tc>
        <w:tc>
          <w:tcPr>
            <w:tcW w:w="2852" w:type="dxa"/>
            <w:tcBorders>
              <w:top w:val="single" w:sz="4" w:space="0" w:color="auto"/>
            </w:tcBorders>
          </w:tcPr>
          <w:p w:rsidR="00A64D49" w:rsidRPr="000152B4" w:rsidRDefault="00A64D49" w:rsidP="00A64D49">
            <w:pPr>
              <w:autoSpaceDE w:val="0"/>
              <w:autoSpaceDN w:val="0"/>
              <w:adjustRightInd w:val="0"/>
              <w:jc w:val="center"/>
              <w:rPr>
                <w:color w:val="auto"/>
                <w:szCs w:val="24"/>
                <w:lang w:val="en-US" w:eastAsia="en-US"/>
              </w:rPr>
            </w:pPr>
            <w:r w:rsidRPr="000152B4">
              <w:rPr>
                <w:color w:val="auto"/>
                <w:szCs w:val="24"/>
                <w:lang w:val="en-US" w:eastAsia="en-US"/>
              </w:rPr>
              <w:t>1.5 (0.33)</w:t>
            </w:r>
          </w:p>
        </w:tc>
        <w:tc>
          <w:tcPr>
            <w:tcW w:w="2852" w:type="dxa"/>
            <w:tcBorders>
              <w:top w:val="single" w:sz="4" w:space="0" w:color="auto"/>
            </w:tcBorders>
          </w:tcPr>
          <w:p w:rsidR="00A64D49" w:rsidRPr="000152B4" w:rsidRDefault="00A64D49" w:rsidP="00A64D49">
            <w:pPr>
              <w:autoSpaceDE w:val="0"/>
              <w:autoSpaceDN w:val="0"/>
              <w:adjustRightInd w:val="0"/>
              <w:jc w:val="center"/>
              <w:rPr>
                <w:color w:val="auto"/>
                <w:szCs w:val="24"/>
                <w:lang w:val="en-US" w:eastAsia="en-US"/>
              </w:rPr>
            </w:pPr>
            <w:r w:rsidRPr="000152B4">
              <w:rPr>
                <w:color w:val="auto"/>
                <w:szCs w:val="24"/>
                <w:lang w:val="en-US" w:eastAsia="en-US"/>
              </w:rPr>
              <w:t>1.6 (0.37)</w:t>
            </w:r>
          </w:p>
        </w:tc>
      </w:tr>
      <w:tr w:rsidR="000152B4" w:rsidRPr="000152B4" w:rsidTr="009F31B9">
        <w:tc>
          <w:tcPr>
            <w:tcW w:w="2851" w:type="dxa"/>
          </w:tcPr>
          <w:p w:rsidR="00A64D49" w:rsidRPr="000152B4" w:rsidRDefault="00A64D49" w:rsidP="001A776D">
            <w:pPr>
              <w:keepNext/>
              <w:autoSpaceDE w:val="0"/>
              <w:autoSpaceDN w:val="0"/>
              <w:adjustRightInd w:val="0"/>
              <w:jc w:val="both"/>
              <w:rPr>
                <w:color w:val="auto"/>
                <w:szCs w:val="24"/>
                <w:lang w:val="en-US" w:eastAsia="en-US"/>
              </w:rPr>
            </w:pPr>
            <w:r w:rsidRPr="000152B4">
              <w:rPr>
                <w:color w:val="auto"/>
                <w:szCs w:val="24"/>
                <w:lang w:val="en-US" w:eastAsia="en-US"/>
              </w:rPr>
              <w:t>Week 25</w:t>
            </w:r>
          </w:p>
        </w:tc>
        <w:tc>
          <w:tcPr>
            <w:tcW w:w="2852" w:type="dxa"/>
          </w:tcPr>
          <w:p w:rsidR="00A64D49" w:rsidRPr="000152B4" w:rsidRDefault="00A64D49" w:rsidP="00A64D49">
            <w:pPr>
              <w:autoSpaceDE w:val="0"/>
              <w:autoSpaceDN w:val="0"/>
              <w:adjustRightInd w:val="0"/>
              <w:jc w:val="center"/>
              <w:rPr>
                <w:color w:val="auto"/>
                <w:szCs w:val="24"/>
                <w:lang w:val="en-US" w:eastAsia="en-US"/>
              </w:rPr>
            </w:pPr>
            <w:r w:rsidRPr="000152B4">
              <w:rPr>
                <w:color w:val="auto"/>
                <w:szCs w:val="24"/>
                <w:lang w:val="en-US" w:eastAsia="en-US"/>
              </w:rPr>
              <w:t>1.5 (0.30)</w:t>
            </w:r>
          </w:p>
        </w:tc>
        <w:tc>
          <w:tcPr>
            <w:tcW w:w="2852" w:type="dxa"/>
          </w:tcPr>
          <w:p w:rsidR="00A64D49" w:rsidRPr="000152B4" w:rsidRDefault="00A64D49" w:rsidP="00A64D49">
            <w:pPr>
              <w:autoSpaceDE w:val="0"/>
              <w:autoSpaceDN w:val="0"/>
              <w:adjustRightInd w:val="0"/>
              <w:jc w:val="center"/>
              <w:rPr>
                <w:color w:val="auto"/>
                <w:szCs w:val="24"/>
                <w:lang w:val="en-US" w:eastAsia="en-US"/>
              </w:rPr>
            </w:pPr>
            <w:r w:rsidRPr="000152B4">
              <w:rPr>
                <w:color w:val="auto"/>
                <w:szCs w:val="24"/>
                <w:lang w:val="en-US" w:eastAsia="en-US"/>
              </w:rPr>
              <w:t>2.0 (0.46)</w:t>
            </w:r>
          </w:p>
        </w:tc>
      </w:tr>
      <w:tr w:rsidR="000152B4" w:rsidRPr="000152B4" w:rsidTr="009F31B9">
        <w:tc>
          <w:tcPr>
            <w:tcW w:w="2851" w:type="dxa"/>
          </w:tcPr>
          <w:p w:rsidR="00A64D49" w:rsidRPr="000152B4" w:rsidRDefault="00A64D49" w:rsidP="001A776D">
            <w:pPr>
              <w:keepNext/>
              <w:autoSpaceDE w:val="0"/>
              <w:autoSpaceDN w:val="0"/>
              <w:adjustRightInd w:val="0"/>
              <w:jc w:val="both"/>
              <w:rPr>
                <w:color w:val="auto"/>
                <w:szCs w:val="24"/>
                <w:lang w:val="en-US" w:eastAsia="en-US"/>
              </w:rPr>
            </w:pPr>
            <w:r w:rsidRPr="000152B4">
              <w:rPr>
                <w:color w:val="auto"/>
                <w:szCs w:val="24"/>
                <w:lang w:val="en-US" w:eastAsia="en-US"/>
              </w:rPr>
              <w:t>Week 26</w:t>
            </w:r>
          </w:p>
        </w:tc>
        <w:tc>
          <w:tcPr>
            <w:tcW w:w="2852" w:type="dxa"/>
          </w:tcPr>
          <w:p w:rsidR="00A64D49" w:rsidRPr="000152B4" w:rsidRDefault="00A64D49" w:rsidP="00A64D49">
            <w:pPr>
              <w:autoSpaceDE w:val="0"/>
              <w:autoSpaceDN w:val="0"/>
              <w:adjustRightInd w:val="0"/>
              <w:jc w:val="center"/>
              <w:rPr>
                <w:color w:val="auto"/>
                <w:szCs w:val="24"/>
                <w:lang w:val="en-US" w:eastAsia="en-US"/>
              </w:rPr>
            </w:pPr>
            <w:r w:rsidRPr="000152B4">
              <w:rPr>
                <w:color w:val="auto"/>
                <w:szCs w:val="24"/>
                <w:lang w:val="en-US" w:eastAsia="en-US"/>
              </w:rPr>
              <w:t>1.5 (0.39)</w:t>
            </w:r>
          </w:p>
        </w:tc>
        <w:tc>
          <w:tcPr>
            <w:tcW w:w="2852" w:type="dxa"/>
          </w:tcPr>
          <w:p w:rsidR="00A64D49" w:rsidRPr="000152B4" w:rsidRDefault="00A64D49" w:rsidP="00A64D49">
            <w:pPr>
              <w:autoSpaceDE w:val="0"/>
              <w:autoSpaceDN w:val="0"/>
              <w:adjustRightInd w:val="0"/>
              <w:jc w:val="center"/>
              <w:rPr>
                <w:color w:val="auto"/>
                <w:szCs w:val="24"/>
                <w:lang w:val="en-US" w:eastAsia="en-US"/>
              </w:rPr>
            </w:pPr>
            <w:r w:rsidRPr="000152B4">
              <w:rPr>
                <w:color w:val="auto"/>
                <w:szCs w:val="24"/>
                <w:lang w:val="en-US" w:eastAsia="en-US"/>
              </w:rPr>
              <w:t>2.1 (0.62)</w:t>
            </w:r>
          </w:p>
        </w:tc>
      </w:tr>
      <w:tr w:rsidR="000152B4" w:rsidRPr="000152B4" w:rsidTr="009F31B9">
        <w:tc>
          <w:tcPr>
            <w:tcW w:w="2851" w:type="dxa"/>
          </w:tcPr>
          <w:p w:rsidR="00A64D49" w:rsidRPr="000152B4" w:rsidRDefault="00A64D49" w:rsidP="001A776D">
            <w:pPr>
              <w:keepNext/>
              <w:autoSpaceDE w:val="0"/>
              <w:autoSpaceDN w:val="0"/>
              <w:adjustRightInd w:val="0"/>
              <w:jc w:val="both"/>
              <w:rPr>
                <w:color w:val="auto"/>
                <w:szCs w:val="24"/>
                <w:lang w:val="en-US" w:eastAsia="en-US"/>
              </w:rPr>
            </w:pPr>
            <w:r w:rsidRPr="000152B4">
              <w:rPr>
                <w:color w:val="auto"/>
                <w:szCs w:val="24"/>
                <w:lang w:val="en-US" w:eastAsia="en-US"/>
              </w:rPr>
              <w:t>Week 27/End of Treatment</w:t>
            </w:r>
          </w:p>
        </w:tc>
        <w:tc>
          <w:tcPr>
            <w:tcW w:w="2852" w:type="dxa"/>
          </w:tcPr>
          <w:p w:rsidR="00A64D49" w:rsidRPr="000152B4" w:rsidRDefault="00A64D49" w:rsidP="00A64D49">
            <w:pPr>
              <w:autoSpaceDE w:val="0"/>
              <w:autoSpaceDN w:val="0"/>
              <w:adjustRightInd w:val="0"/>
              <w:jc w:val="center"/>
              <w:rPr>
                <w:color w:val="auto"/>
                <w:szCs w:val="24"/>
                <w:lang w:val="en-US" w:eastAsia="en-US"/>
              </w:rPr>
            </w:pPr>
            <w:r w:rsidRPr="000152B4">
              <w:rPr>
                <w:color w:val="auto"/>
                <w:szCs w:val="24"/>
                <w:lang w:val="en-US" w:eastAsia="en-US"/>
              </w:rPr>
              <w:t>1.6 (0.35)</w:t>
            </w:r>
          </w:p>
        </w:tc>
        <w:tc>
          <w:tcPr>
            <w:tcW w:w="2852" w:type="dxa"/>
          </w:tcPr>
          <w:p w:rsidR="00A64D49" w:rsidRPr="000152B4" w:rsidRDefault="00A64D49" w:rsidP="00A64D49">
            <w:pPr>
              <w:autoSpaceDE w:val="0"/>
              <w:autoSpaceDN w:val="0"/>
              <w:adjustRightInd w:val="0"/>
              <w:jc w:val="center"/>
              <w:rPr>
                <w:color w:val="auto"/>
                <w:szCs w:val="24"/>
                <w:lang w:val="en-US" w:eastAsia="en-US"/>
              </w:rPr>
            </w:pPr>
            <w:r w:rsidRPr="000152B4">
              <w:rPr>
                <w:color w:val="auto"/>
                <w:szCs w:val="24"/>
                <w:lang w:val="en-US" w:eastAsia="en-US"/>
              </w:rPr>
              <w:t>2.2 (0.53)</w:t>
            </w:r>
          </w:p>
        </w:tc>
      </w:tr>
      <w:tr w:rsidR="000152B4" w:rsidRPr="000152B4" w:rsidTr="009F31B9">
        <w:tc>
          <w:tcPr>
            <w:tcW w:w="2851" w:type="dxa"/>
            <w:tcBorders>
              <w:bottom w:val="single" w:sz="4" w:space="0" w:color="auto"/>
            </w:tcBorders>
          </w:tcPr>
          <w:p w:rsidR="00A64D49" w:rsidRPr="000152B4" w:rsidRDefault="00A64D49" w:rsidP="001A776D">
            <w:pPr>
              <w:keepNext/>
              <w:autoSpaceDE w:val="0"/>
              <w:autoSpaceDN w:val="0"/>
              <w:adjustRightInd w:val="0"/>
              <w:jc w:val="both"/>
              <w:rPr>
                <w:color w:val="auto"/>
                <w:szCs w:val="24"/>
                <w:lang w:val="en-US" w:eastAsia="en-US"/>
              </w:rPr>
            </w:pPr>
            <w:r w:rsidRPr="000152B4">
              <w:rPr>
                <w:color w:val="auto"/>
                <w:szCs w:val="24"/>
                <w:lang w:val="en-US" w:eastAsia="en-US"/>
              </w:rPr>
              <w:t>Change from BL to End of Treatment</w:t>
            </w:r>
          </w:p>
        </w:tc>
        <w:tc>
          <w:tcPr>
            <w:tcW w:w="2852" w:type="dxa"/>
            <w:tcBorders>
              <w:bottom w:val="single" w:sz="4" w:space="0" w:color="auto"/>
            </w:tcBorders>
          </w:tcPr>
          <w:p w:rsidR="00A64D49" w:rsidRPr="000152B4" w:rsidRDefault="00A64D49" w:rsidP="00A64D49">
            <w:pPr>
              <w:autoSpaceDE w:val="0"/>
              <w:autoSpaceDN w:val="0"/>
              <w:adjustRightInd w:val="0"/>
              <w:jc w:val="center"/>
              <w:rPr>
                <w:color w:val="auto"/>
                <w:szCs w:val="24"/>
                <w:lang w:val="en-US" w:eastAsia="en-US"/>
              </w:rPr>
            </w:pPr>
            <w:r w:rsidRPr="000152B4">
              <w:rPr>
                <w:color w:val="auto"/>
                <w:szCs w:val="24"/>
                <w:lang w:val="en-US" w:eastAsia="en-US"/>
              </w:rPr>
              <w:t>0.1 (0.40)</w:t>
            </w:r>
            <w:r w:rsidRPr="000152B4">
              <w:rPr>
                <w:color w:val="auto"/>
                <w:szCs w:val="24"/>
                <w:vertAlign w:val="superscript"/>
                <w:lang w:val="en-US" w:eastAsia="en-US"/>
              </w:rPr>
              <w:t>(1)</w:t>
            </w:r>
          </w:p>
        </w:tc>
        <w:tc>
          <w:tcPr>
            <w:tcW w:w="2852" w:type="dxa"/>
            <w:tcBorders>
              <w:bottom w:val="single" w:sz="4" w:space="0" w:color="auto"/>
            </w:tcBorders>
          </w:tcPr>
          <w:p w:rsidR="00A64D49" w:rsidRPr="000152B4" w:rsidRDefault="00A64D49" w:rsidP="00A64D49">
            <w:pPr>
              <w:autoSpaceDE w:val="0"/>
              <w:autoSpaceDN w:val="0"/>
              <w:adjustRightInd w:val="0"/>
              <w:jc w:val="center"/>
              <w:rPr>
                <w:color w:val="auto"/>
                <w:szCs w:val="24"/>
                <w:lang w:val="en-US" w:eastAsia="en-US"/>
              </w:rPr>
            </w:pPr>
            <w:r w:rsidRPr="000152B4">
              <w:rPr>
                <w:color w:val="auto"/>
                <w:szCs w:val="24"/>
                <w:lang w:val="en-US" w:eastAsia="en-US"/>
              </w:rPr>
              <w:t>0.6 (0.47)</w:t>
            </w:r>
          </w:p>
        </w:tc>
      </w:tr>
      <w:tr w:rsidR="000152B4" w:rsidRPr="000152B4" w:rsidTr="009F31B9">
        <w:tc>
          <w:tcPr>
            <w:tcW w:w="8555" w:type="dxa"/>
            <w:gridSpan w:val="3"/>
            <w:tcBorders>
              <w:top w:val="single" w:sz="4" w:space="0" w:color="auto"/>
              <w:bottom w:val="single" w:sz="4" w:space="0" w:color="auto"/>
            </w:tcBorders>
          </w:tcPr>
          <w:p w:rsidR="00A64D49" w:rsidRPr="000152B4" w:rsidRDefault="00A64D49" w:rsidP="001A776D">
            <w:pPr>
              <w:keepNext/>
              <w:autoSpaceDE w:val="0"/>
              <w:autoSpaceDN w:val="0"/>
              <w:adjustRightInd w:val="0"/>
              <w:rPr>
                <w:color w:val="auto"/>
                <w:sz w:val="20"/>
                <w:szCs w:val="20"/>
                <w:lang w:val="en-US" w:eastAsia="en-US"/>
              </w:rPr>
            </w:pPr>
            <w:r w:rsidRPr="000152B4">
              <w:rPr>
                <w:color w:val="auto"/>
                <w:sz w:val="20"/>
                <w:szCs w:val="20"/>
                <w:vertAlign w:val="superscript"/>
                <w:lang w:val="en-US" w:eastAsia="en-US"/>
              </w:rPr>
              <w:t>1</w:t>
            </w:r>
            <w:r w:rsidRPr="000152B4">
              <w:rPr>
                <w:color w:val="auto"/>
                <w:sz w:val="20"/>
                <w:szCs w:val="20"/>
                <w:lang w:val="en-US" w:eastAsia="en-US"/>
              </w:rPr>
              <w:t xml:space="preserve">p&lt;0.001 for the difference in least square means of the change from BL to Week 27/End of Treatment (LOCF principle) between </w:t>
            </w:r>
            <w:proofErr w:type="spellStart"/>
            <w:r w:rsidRPr="000152B4">
              <w:rPr>
                <w:color w:val="auto"/>
                <w:sz w:val="20"/>
                <w:szCs w:val="20"/>
                <w:lang w:val="en-US" w:eastAsia="en-US"/>
              </w:rPr>
              <w:t>Velphoro</w:t>
            </w:r>
            <w:proofErr w:type="spellEnd"/>
            <w:r w:rsidRPr="000152B4">
              <w:rPr>
                <w:color w:val="auto"/>
                <w:sz w:val="20"/>
                <w:szCs w:val="20"/>
                <w:lang w:val="en-US" w:eastAsia="en-US"/>
              </w:rPr>
              <w:t xml:space="preserve"> maintenance dose and low dose using a covariance analysis (MIXED Model).</w:t>
            </w:r>
          </w:p>
          <w:p w:rsidR="00A64D49" w:rsidRPr="000152B4" w:rsidRDefault="00A64D49" w:rsidP="001A776D">
            <w:pPr>
              <w:keepNext/>
              <w:autoSpaceDE w:val="0"/>
              <w:autoSpaceDN w:val="0"/>
              <w:adjustRightInd w:val="0"/>
              <w:rPr>
                <w:color w:val="auto"/>
                <w:sz w:val="20"/>
                <w:szCs w:val="20"/>
                <w:lang w:val="en-US" w:eastAsia="en-US"/>
              </w:rPr>
            </w:pPr>
            <w:r w:rsidRPr="000152B4">
              <w:rPr>
                <w:color w:val="auto"/>
                <w:sz w:val="20"/>
                <w:szCs w:val="20"/>
                <w:lang w:val="en-US" w:eastAsia="en-US"/>
              </w:rPr>
              <w:t xml:space="preserve">Notes   BL is Week 24 or latest value available before Week 24 when Week 24 result is missing; End of </w:t>
            </w:r>
            <w:proofErr w:type="spellStart"/>
            <w:r w:rsidRPr="000152B4">
              <w:rPr>
                <w:color w:val="auto"/>
                <w:sz w:val="20"/>
                <w:szCs w:val="20"/>
                <w:lang w:val="en-US" w:eastAsia="en-US"/>
              </w:rPr>
              <w:t>Teatment</w:t>
            </w:r>
            <w:proofErr w:type="spellEnd"/>
            <w:r w:rsidRPr="000152B4">
              <w:rPr>
                <w:color w:val="auto"/>
                <w:sz w:val="20"/>
                <w:szCs w:val="20"/>
                <w:lang w:val="en-US" w:eastAsia="en-US"/>
              </w:rPr>
              <w:t xml:space="preserve"> is Week 27 value or includes the latest evaluable measurement after Week 24 (i.e., LOCF).</w:t>
            </w:r>
          </w:p>
          <w:p w:rsidR="00A64D49" w:rsidRPr="000152B4" w:rsidRDefault="00A64D49" w:rsidP="001A776D">
            <w:pPr>
              <w:keepNext/>
              <w:autoSpaceDE w:val="0"/>
              <w:autoSpaceDN w:val="0"/>
              <w:adjustRightInd w:val="0"/>
              <w:rPr>
                <w:color w:val="auto"/>
                <w:szCs w:val="24"/>
                <w:lang w:val="en-US" w:eastAsia="en-US"/>
              </w:rPr>
            </w:pPr>
            <w:r w:rsidRPr="000152B4">
              <w:rPr>
                <w:color w:val="auto"/>
                <w:sz w:val="20"/>
                <w:szCs w:val="20"/>
                <w:lang w:val="en-US" w:eastAsia="en-US"/>
              </w:rPr>
              <w:t xml:space="preserve">         </w:t>
            </w:r>
            <w:proofErr w:type="spellStart"/>
            <w:r w:rsidRPr="000152B4">
              <w:rPr>
                <w:color w:val="auto"/>
                <w:sz w:val="20"/>
                <w:szCs w:val="20"/>
                <w:lang w:val="en-US" w:eastAsia="en-US"/>
              </w:rPr>
              <w:t>Bl</w:t>
            </w:r>
            <w:proofErr w:type="spellEnd"/>
            <w:r w:rsidRPr="000152B4">
              <w:rPr>
                <w:color w:val="auto"/>
                <w:sz w:val="20"/>
                <w:szCs w:val="20"/>
                <w:lang w:val="en-US" w:eastAsia="en-US"/>
              </w:rPr>
              <w:t xml:space="preserve"> = Baseline; LOCF = Last obse</w:t>
            </w:r>
            <w:r w:rsidR="009F31B9" w:rsidRPr="000152B4">
              <w:rPr>
                <w:color w:val="auto"/>
                <w:sz w:val="20"/>
                <w:szCs w:val="20"/>
                <w:lang w:val="en-US" w:eastAsia="en-US"/>
              </w:rPr>
              <w:t>rvation carried forward: PES = P</w:t>
            </w:r>
            <w:r w:rsidRPr="000152B4">
              <w:rPr>
                <w:color w:val="auto"/>
                <w:sz w:val="20"/>
                <w:szCs w:val="20"/>
                <w:lang w:val="en-US" w:eastAsia="en-US"/>
              </w:rPr>
              <w:t xml:space="preserve">rimary efficacy set; SD = Standard </w:t>
            </w:r>
            <w:r w:rsidR="009F31B9" w:rsidRPr="000152B4">
              <w:rPr>
                <w:color w:val="auto"/>
                <w:sz w:val="20"/>
                <w:szCs w:val="20"/>
                <w:lang w:val="en-US" w:eastAsia="en-US"/>
              </w:rPr>
              <w:t>d</w:t>
            </w:r>
            <w:r w:rsidRPr="000152B4">
              <w:rPr>
                <w:color w:val="auto"/>
                <w:sz w:val="20"/>
                <w:szCs w:val="20"/>
                <w:lang w:val="en-US" w:eastAsia="en-US"/>
              </w:rPr>
              <w:t>eviation</w:t>
            </w:r>
          </w:p>
        </w:tc>
      </w:tr>
    </w:tbl>
    <w:p w:rsidR="00A64D49" w:rsidRDefault="00A64D49" w:rsidP="00920DAF">
      <w:pPr>
        <w:rPr>
          <w:noProof/>
        </w:rPr>
      </w:pPr>
    </w:p>
    <w:p w:rsidR="00EB4419" w:rsidRDefault="00EB4419" w:rsidP="00920DAF">
      <w:pPr>
        <w:rPr>
          <w:noProof/>
        </w:rPr>
      </w:pPr>
      <w:r>
        <w:rPr>
          <w:noProof/>
        </w:rPr>
        <w:t>Mean serum phosphorus levels were 2.5 mmol</w:t>
      </w:r>
      <w:r w:rsidR="00F16C08">
        <w:rPr>
          <w:noProof/>
        </w:rPr>
        <w:t>/L</w:t>
      </w:r>
      <w:r>
        <w:rPr>
          <w:noProof/>
        </w:rPr>
        <w:t xml:space="preserve"> at baseline and 1.8 mmol/L at week 12 for Velphoro (reduction by 0.7 mmol/L). Corresponding levels for sevelamer carbonate at </w:t>
      </w:r>
      <w:r>
        <w:rPr>
          <w:noProof/>
        </w:rPr>
        <w:lastRenderedPageBreak/>
        <w:t>baseline were 2.4 mmol</w:t>
      </w:r>
      <w:r w:rsidR="00F16C08">
        <w:rPr>
          <w:noProof/>
        </w:rPr>
        <w:t>/L</w:t>
      </w:r>
      <w:r>
        <w:rPr>
          <w:noProof/>
        </w:rPr>
        <w:t xml:space="preserve"> and 1.7 mmol/L at week 12 (reduction by 0.7 mmol/L), respectively.</w:t>
      </w:r>
    </w:p>
    <w:p w:rsidR="00EB4419" w:rsidRDefault="00EB4419" w:rsidP="00920DAF">
      <w:pPr>
        <w:rPr>
          <w:noProof/>
        </w:rPr>
      </w:pPr>
    </w:p>
    <w:p w:rsidR="00EB4419" w:rsidRDefault="00EB4419" w:rsidP="00920DAF">
      <w:pPr>
        <w:rPr>
          <w:noProof/>
        </w:rPr>
      </w:pPr>
      <w:r>
        <w:rPr>
          <w:noProof/>
        </w:rPr>
        <w:t xml:space="preserve">The serum phosphorus reduction was maintained over </w:t>
      </w:r>
      <w:r w:rsidR="0031456C">
        <w:rPr>
          <w:noProof/>
        </w:rPr>
        <w:t xml:space="preserve">52 </w:t>
      </w:r>
      <w:r>
        <w:rPr>
          <w:noProof/>
        </w:rPr>
        <w:t xml:space="preserve">weeks. Serum </w:t>
      </w:r>
      <w:r w:rsidR="00A351AC">
        <w:rPr>
          <w:noProof/>
        </w:rPr>
        <w:t xml:space="preserve">phosphorus </w:t>
      </w:r>
      <w:r>
        <w:rPr>
          <w:noProof/>
        </w:rPr>
        <w:t>levels and calcium-phosphorus product levels were reduced as a consequence of the reduced dietary phosphate absorption.</w:t>
      </w:r>
    </w:p>
    <w:p w:rsidR="00BB2BBF" w:rsidRDefault="00BB2BBF" w:rsidP="00920DAF">
      <w:pPr>
        <w:rPr>
          <w:noProof/>
        </w:rPr>
      </w:pPr>
    </w:p>
    <w:p w:rsidR="00BA5A85" w:rsidRDefault="00BB2BBF" w:rsidP="00920DAF">
      <w:pPr>
        <w:rPr>
          <w:noProof/>
        </w:rPr>
      </w:pPr>
      <w:r>
        <w:rPr>
          <w:noProof/>
        </w:rPr>
        <w:t xml:space="preserve">The mean daily dose of Velphoro over </w:t>
      </w:r>
      <w:r w:rsidR="0031456C">
        <w:rPr>
          <w:noProof/>
        </w:rPr>
        <w:t xml:space="preserve">52 </w:t>
      </w:r>
      <w:r>
        <w:rPr>
          <w:noProof/>
        </w:rPr>
        <w:t>weeks of treatment was 1,650 mg iron (3.3 tablets) and the mean daily dose of sevelamer carbonate was 6,960 mg (8.7 tablets).</w:t>
      </w:r>
      <w:r w:rsidR="00BA5A85">
        <w:rPr>
          <w:noProof/>
        </w:rPr>
        <w:t>The age, gender, race, or dialysis did not affect the efficacy of Velphoro.</w:t>
      </w:r>
    </w:p>
    <w:p w:rsidR="00EB4419" w:rsidRDefault="00EB4419" w:rsidP="00920DAF">
      <w:pPr>
        <w:rPr>
          <w:noProof/>
        </w:rPr>
      </w:pPr>
    </w:p>
    <w:p w:rsidR="00F17DF1" w:rsidRPr="004F3618" w:rsidRDefault="00F17DF1" w:rsidP="001A776D">
      <w:pPr>
        <w:pStyle w:val="Body10"/>
        <w:keepNext/>
      </w:pPr>
      <w:r>
        <w:rPr>
          <w:noProof/>
          <w:lang w:val="en-AU" w:eastAsia="en-AU"/>
        </w:rPr>
        <w:drawing>
          <wp:inline distT="0" distB="0" distL="0" distR="0">
            <wp:extent cx="4923155" cy="2948305"/>
            <wp:effectExtent l="0" t="0" r="0" b="4445"/>
            <wp:docPr id="2" name="Picture 2" descr="Figure 1 Mean (SEM) Change from Baseline in Serum Phosphorus over Time in Study PA CL 05A and Extension Study PA CL 05B"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t="4218" b="9105"/>
                    <a:stretch>
                      <a:fillRect/>
                    </a:stretch>
                  </pic:blipFill>
                  <pic:spPr bwMode="auto">
                    <a:xfrm>
                      <a:off x="0" y="0"/>
                      <a:ext cx="4923155" cy="2948305"/>
                    </a:xfrm>
                    <a:prstGeom prst="rect">
                      <a:avLst/>
                    </a:prstGeom>
                    <a:noFill/>
                    <a:ln>
                      <a:noFill/>
                    </a:ln>
                  </pic:spPr>
                </pic:pic>
              </a:graphicData>
            </a:graphic>
          </wp:inline>
        </w:drawing>
      </w:r>
    </w:p>
    <w:p w:rsidR="00F17DF1" w:rsidRPr="004F3618" w:rsidRDefault="00F17DF1" w:rsidP="001A776D">
      <w:pPr>
        <w:pStyle w:val="TableNotes"/>
        <w:keepNext/>
        <w:ind w:left="547" w:hanging="547"/>
      </w:pPr>
      <w:r w:rsidRPr="004F3618">
        <w:t>Notes:</w:t>
      </w:r>
      <w:r w:rsidRPr="004F3618">
        <w:tab/>
      </w:r>
      <w:r>
        <w:t>The Week 24 to Week 27 maintenance dose versus low dose period is not shown in the figure.</w:t>
      </w:r>
    </w:p>
    <w:p w:rsidR="00F17DF1" w:rsidRPr="004F3618" w:rsidRDefault="00F17DF1" w:rsidP="001A776D">
      <w:pPr>
        <w:pStyle w:val="TableNotes"/>
        <w:keepNext/>
        <w:ind w:left="547" w:hanging="547"/>
      </w:pPr>
      <w:r w:rsidRPr="004F3618">
        <w:tab/>
        <w:t>SEM = Standard error of the mean.</w:t>
      </w:r>
    </w:p>
    <w:p w:rsidR="00F17DF1" w:rsidRPr="004F3618" w:rsidRDefault="00F17DF1" w:rsidP="001A776D">
      <w:pPr>
        <w:pStyle w:val="TableNotes"/>
        <w:keepNext/>
        <w:ind w:left="547" w:hanging="547"/>
      </w:pPr>
    </w:p>
    <w:p w:rsidR="00F17DF1" w:rsidRPr="004F3618" w:rsidRDefault="00F17DF1" w:rsidP="00F17DF1">
      <w:pPr>
        <w:pStyle w:val="Caption"/>
      </w:pPr>
      <w:bookmarkStart w:id="0" w:name="_Ref342907072"/>
      <w:r w:rsidRPr="004F3618">
        <w:t xml:space="preserve">Figure </w:t>
      </w:r>
      <w:r w:rsidR="00E55611" w:rsidRPr="004F3618">
        <w:fldChar w:fldCharType="begin"/>
      </w:r>
      <w:r w:rsidRPr="004F3618">
        <w:instrText xml:space="preserve"> SEQ Figure \* ARABIC </w:instrText>
      </w:r>
      <w:r w:rsidR="00E55611" w:rsidRPr="004F3618">
        <w:fldChar w:fldCharType="separate"/>
      </w:r>
      <w:r w:rsidR="00125C05">
        <w:rPr>
          <w:noProof/>
        </w:rPr>
        <w:t>1</w:t>
      </w:r>
      <w:r w:rsidR="00E55611" w:rsidRPr="004F3618">
        <w:fldChar w:fldCharType="end"/>
      </w:r>
      <w:bookmarkEnd w:id="0"/>
      <w:r w:rsidRPr="004F3618">
        <w:tab/>
        <w:t>Mean (SEM) Change from Baseline in Serum Phosphorus over Time in Study PA</w:t>
      </w:r>
      <w:r>
        <w:noBreakHyphen/>
      </w:r>
      <w:r w:rsidRPr="004F3618">
        <w:t>CL</w:t>
      </w:r>
      <w:r>
        <w:noBreakHyphen/>
      </w:r>
      <w:r w:rsidRPr="004F3618">
        <w:t xml:space="preserve">05A </w:t>
      </w:r>
      <w:r w:rsidRPr="00C67203">
        <w:t>and Extension Study</w:t>
      </w:r>
      <w:r>
        <w:t xml:space="preserve"> </w:t>
      </w:r>
      <w:r w:rsidRPr="00C67203">
        <w:t>PA</w:t>
      </w:r>
      <w:r>
        <w:noBreakHyphen/>
      </w:r>
      <w:r w:rsidRPr="00C67203">
        <w:t>CL</w:t>
      </w:r>
      <w:r>
        <w:noBreakHyphen/>
      </w:r>
      <w:r w:rsidRPr="00C67203">
        <w:t>05B</w:t>
      </w:r>
    </w:p>
    <w:p w:rsidR="00F17DF1" w:rsidRDefault="00F17DF1" w:rsidP="00920DAF">
      <w:pPr>
        <w:rPr>
          <w:noProof/>
        </w:rPr>
      </w:pPr>
    </w:p>
    <w:p w:rsidR="000F626F" w:rsidRDefault="000F626F" w:rsidP="00920DAF">
      <w:pPr>
        <w:rPr>
          <w:noProof/>
        </w:rPr>
      </w:pPr>
    </w:p>
    <w:p w:rsidR="00E53160" w:rsidRDefault="00E53160" w:rsidP="006B788F">
      <w:pPr>
        <w:pStyle w:val="Heading1"/>
      </w:pPr>
      <w:r w:rsidRPr="00920DAF">
        <w:t>INDICATIONS</w:t>
      </w:r>
    </w:p>
    <w:p w:rsidR="006B788F" w:rsidRPr="006B788F" w:rsidRDefault="006B788F" w:rsidP="00836176">
      <w:pPr>
        <w:keepNext/>
      </w:pPr>
    </w:p>
    <w:p w:rsidR="00E53160" w:rsidRPr="008C5B14" w:rsidRDefault="008C5B14" w:rsidP="001A776D">
      <w:pPr>
        <w:keepNext/>
        <w:rPr>
          <w:rFonts w:eastAsiaTheme="minorHAnsi"/>
          <w:szCs w:val="22"/>
          <w:lang w:val="en-US" w:eastAsia="en-US"/>
        </w:rPr>
      </w:pPr>
      <w:r w:rsidRPr="001A776D">
        <w:rPr>
          <w:noProof/>
        </w:rPr>
        <w:t>Velphoro</w:t>
      </w:r>
      <w:r>
        <w:rPr>
          <w:rFonts w:eastAsiaTheme="minorHAnsi"/>
          <w:szCs w:val="22"/>
          <w:lang w:val="en-US" w:eastAsia="en-US"/>
        </w:rPr>
        <w:t xml:space="preserve"> is i</w:t>
      </w:r>
      <w:r w:rsidRPr="00C62EE2">
        <w:rPr>
          <w:rFonts w:eastAsiaTheme="minorHAnsi"/>
          <w:szCs w:val="22"/>
          <w:lang w:val="en-US" w:eastAsia="en-US"/>
        </w:rPr>
        <w:t xml:space="preserve">ndicated for the control of serum phosphorus levels in </w:t>
      </w:r>
      <w:r w:rsidR="00921971">
        <w:rPr>
          <w:rFonts w:eastAsiaTheme="minorHAnsi"/>
          <w:szCs w:val="22"/>
          <w:lang w:val="en-US" w:eastAsia="en-US"/>
        </w:rPr>
        <w:t xml:space="preserve">adult </w:t>
      </w:r>
      <w:r w:rsidRPr="00C62EE2">
        <w:rPr>
          <w:rFonts w:eastAsiaTheme="minorHAnsi"/>
          <w:szCs w:val="22"/>
          <w:lang w:val="en-US" w:eastAsia="en-US"/>
        </w:rPr>
        <w:t xml:space="preserve">patients with </w:t>
      </w:r>
      <w:r w:rsidR="008D482A">
        <w:rPr>
          <w:rFonts w:eastAsiaTheme="minorHAnsi"/>
          <w:szCs w:val="22"/>
          <w:lang w:val="en-US" w:eastAsia="en-US"/>
        </w:rPr>
        <w:t>chronic kidney disease</w:t>
      </w:r>
      <w:r>
        <w:rPr>
          <w:rFonts w:eastAsiaTheme="minorHAnsi"/>
          <w:szCs w:val="22"/>
          <w:lang w:val="en-US" w:eastAsia="en-US"/>
        </w:rPr>
        <w:t xml:space="preserve"> (</w:t>
      </w:r>
      <w:r w:rsidR="008D482A">
        <w:rPr>
          <w:rFonts w:eastAsiaTheme="minorHAnsi"/>
          <w:szCs w:val="22"/>
          <w:lang w:val="en-US" w:eastAsia="en-US"/>
        </w:rPr>
        <w:t>CKD</w:t>
      </w:r>
      <w:r>
        <w:rPr>
          <w:rFonts w:eastAsiaTheme="minorHAnsi"/>
          <w:szCs w:val="22"/>
          <w:lang w:val="en-US" w:eastAsia="en-US"/>
        </w:rPr>
        <w:t>)</w:t>
      </w:r>
      <w:r w:rsidR="00921971">
        <w:rPr>
          <w:rFonts w:eastAsiaTheme="minorHAnsi"/>
          <w:szCs w:val="22"/>
          <w:lang w:val="en-US" w:eastAsia="en-US"/>
        </w:rPr>
        <w:t xml:space="preserve"> on dialysis</w:t>
      </w:r>
      <w:r>
        <w:rPr>
          <w:rFonts w:eastAsiaTheme="minorHAnsi"/>
          <w:szCs w:val="22"/>
          <w:lang w:val="en-US" w:eastAsia="en-US"/>
        </w:rPr>
        <w:t>.</w:t>
      </w:r>
    </w:p>
    <w:p w:rsidR="00920DAF" w:rsidRDefault="00920DAF" w:rsidP="00920DAF">
      <w:pPr>
        <w:rPr>
          <w:noProof/>
          <w:lang w:val="en-US"/>
        </w:rPr>
      </w:pPr>
    </w:p>
    <w:p w:rsidR="000F626F" w:rsidRPr="008C5B14" w:rsidRDefault="000F626F" w:rsidP="00920DAF">
      <w:pPr>
        <w:rPr>
          <w:noProof/>
          <w:lang w:val="en-US"/>
        </w:rPr>
      </w:pPr>
    </w:p>
    <w:p w:rsidR="00E53160" w:rsidRPr="00920DAF" w:rsidRDefault="00E53160" w:rsidP="006B788F">
      <w:pPr>
        <w:pStyle w:val="Heading1"/>
      </w:pPr>
      <w:r w:rsidRPr="00920DAF">
        <w:t>CONTRAINDICATIONS</w:t>
      </w:r>
    </w:p>
    <w:p w:rsidR="00E53160" w:rsidRPr="00920DAF" w:rsidRDefault="00E53160" w:rsidP="00836176">
      <w:pPr>
        <w:keepNext/>
        <w:rPr>
          <w:szCs w:val="24"/>
        </w:rPr>
      </w:pPr>
    </w:p>
    <w:p w:rsidR="00E53160" w:rsidRDefault="00E53160" w:rsidP="00E53160">
      <w:pPr>
        <w:keepNext/>
        <w:rPr>
          <w:noProof/>
        </w:rPr>
      </w:pPr>
      <w:r>
        <w:rPr>
          <w:noProof/>
        </w:rPr>
        <w:t>The use of the drug is contraindicated in patients with:</w:t>
      </w:r>
    </w:p>
    <w:p w:rsidR="00E53160" w:rsidRDefault="00E53160" w:rsidP="00E53160">
      <w:pPr>
        <w:keepNext/>
        <w:rPr>
          <w:noProof/>
        </w:rPr>
      </w:pPr>
    </w:p>
    <w:p w:rsidR="00E05950" w:rsidRDefault="00E53160">
      <w:pPr>
        <w:pStyle w:val="ListParagraph"/>
        <w:numPr>
          <w:ilvl w:val="0"/>
          <w:numId w:val="27"/>
        </w:numPr>
        <w:rPr>
          <w:szCs w:val="24"/>
        </w:rPr>
      </w:pPr>
      <w:r>
        <w:rPr>
          <w:noProof/>
        </w:rPr>
        <w:t xml:space="preserve">Hypersensitivity to the active substance or to any of the excipients listed in </w:t>
      </w:r>
      <w:r w:rsidR="00143F11" w:rsidRPr="00143F11">
        <w:rPr>
          <w:b/>
          <w:caps/>
          <w:noProof/>
        </w:rPr>
        <w:t>Description</w:t>
      </w:r>
      <w:r w:rsidRPr="00712155">
        <w:rPr>
          <w:b/>
          <w:noProof/>
        </w:rPr>
        <w:t xml:space="preserve"> </w:t>
      </w:r>
      <w:r>
        <w:rPr>
          <w:noProof/>
        </w:rPr>
        <w:t>above.</w:t>
      </w:r>
    </w:p>
    <w:p w:rsidR="00E05950" w:rsidRDefault="00E53160">
      <w:pPr>
        <w:pStyle w:val="ListParagraph"/>
        <w:numPr>
          <w:ilvl w:val="0"/>
          <w:numId w:val="27"/>
        </w:numPr>
        <w:rPr>
          <w:szCs w:val="24"/>
        </w:rPr>
      </w:pPr>
      <w:r>
        <w:rPr>
          <w:noProof/>
        </w:rPr>
        <w:t>Haemochromatosis and any other iron accumulation disorders.</w:t>
      </w:r>
    </w:p>
    <w:p w:rsidR="00E53160" w:rsidRDefault="00E53160" w:rsidP="00E53160">
      <w:pPr>
        <w:ind w:right="-1017"/>
        <w:jc w:val="both"/>
        <w:rPr>
          <w:szCs w:val="24"/>
        </w:rPr>
      </w:pPr>
    </w:p>
    <w:p w:rsidR="000F626F" w:rsidRPr="00920DAF" w:rsidRDefault="000F626F" w:rsidP="00E53160">
      <w:pPr>
        <w:ind w:right="-1017"/>
        <w:jc w:val="both"/>
        <w:rPr>
          <w:szCs w:val="24"/>
        </w:rPr>
      </w:pPr>
    </w:p>
    <w:p w:rsidR="00E53160" w:rsidRPr="00920DAF" w:rsidRDefault="00E53160" w:rsidP="006B788F">
      <w:pPr>
        <w:pStyle w:val="Heading1"/>
      </w:pPr>
      <w:r w:rsidRPr="00920DAF">
        <w:lastRenderedPageBreak/>
        <w:t>PRECAUTIONS</w:t>
      </w:r>
    </w:p>
    <w:p w:rsidR="00E53160" w:rsidRPr="00920DAF" w:rsidRDefault="00E53160" w:rsidP="00836176">
      <w:pPr>
        <w:keepNext/>
        <w:rPr>
          <w:b/>
          <w:szCs w:val="24"/>
        </w:rPr>
      </w:pPr>
    </w:p>
    <w:p w:rsidR="00E53160" w:rsidRDefault="00E53160" w:rsidP="00E53160">
      <w:pPr>
        <w:rPr>
          <w:noProof/>
        </w:rPr>
      </w:pPr>
      <w:r w:rsidRPr="000C62B6">
        <w:rPr>
          <w:noProof/>
        </w:rPr>
        <w:t xml:space="preserve">Patients with </w:t>
      </w:r>
      <w:r>
        <w:rPr>
          <w:noProof/>
        </w:rPr>
        <w:t xml:space="preserve">a recent history (of 3 months) of </w:t>
      </w:r>
      <w:r w:rsidRPr="000C62B6">
        <w:rPr>
          <w:noProof/>
        </w:rPr>
        <w:t xml:space="preserve">peritonitis, significant gastric or hepatic disorders, </w:t>
      </w:r>
      <w:r>
        <w:rPr>
          <w:noProof/>
        </w:rPr>
        <w:t xml:space="preserve">and patients with </w:t>
      </w:r>
      <w:r w:rsidRPr="000C62B6">
        <w:rPr>
          <w:noProof/>
        </w:rPr>
        <w:t xml:space="preserve">major gastrointestinal surgery have not been included in clinical studies with </w:t>
      </w:r>
      <w:r>
        <w:rPr>
          <w:noProof/>
        </w:rPr>
        <w:t>Velphoro</w:t>
      </w:r>
      <w:r w:rsidRPr="000C62B6">
        <w:rPr>
          <w:noProof/>
        </w:rPr>
        <w:t xml:space="preserve">. </w:t>
      </w:r>
      <w:r>
        <w:rPr>
          <w:noProof/>
        </w:rPr>
        <w:t>Velphoro</w:t>
      </w:r>
      <w:r w:rsidRPr="000C62B6">
        <w:rPr>
          <w:noProof/>
        </w:rPr>
        <w:t xml:space="preserve"> should only be used in these patients following careful assessment of benefit/risk.</w:t>
      </w:r>
    </w:p>
    <w:p w:rsidR="002C0EDA" w:rsidRDefault="002C0EDA" w:rsidP="002C0EDA">
      <w:pPr>
        <w:rPr>
          <w:noProof/>
        </w:rPr>
      </w:pPr>
    </w:p>
    <w:p w:rsidR="002C0EDA" w:rsidRPr="002C0EDA" w:rsidRDefault="002C0EDA" w:rsidP="002C0EDA">
      <w:pPr>
        <w:rPr>
          <w:noProof/>
        </w:rPr>
      </w:pPr>
      <w:r w:rsidRPr="002C0EDA">
        <w:rPr>
          <w:noProof/>
        </w:rPr>
        <w:t>Patients with rare hereditary problems of fructose intolerance, glucose</w:t>
      </w:r>
      <w:r w:rsidRPr="002C0EDA">
        <w:rPr>
          <w:noProof/>
        </w:rPr>
        <w:noBreakHyphen/>
        <w:t>galactose malabsorption or sucrase-isomaltase insufficiency should not take this medicine.</w:t>
      </w:r>
    </w:p>
    <w:p w:rsidR="005331BD" w:rsidRDefault="005331BD" w:rsidP="00E53160">
      <w:pPr>
        <w:rPr>
          <w:noProof/>
        </w:rPr>
      </w:pPr>
    </w:p>
    <w:p w:rsidR="00E53160" w:rsidRDefault="00E53160" w:rsidP="001A776D">
      <w:pPr>
        <w:pStyle w:val="Heading2"/>
      </w:pPr>
      <w:r>
        <w:t xml:space="preserve">Use in Pregnancy (Category </w:t>
      </w:r>
      <w:r w:rsidRPr="00925F5D">
        <w:t>B</w:t>
      </w:r>
      <w:r w:rsidR="00565CE2">
        <w:t>3</w:t>
      </w:r>
      <w:r>
        <w:t>)</w:t>
      </w:r>
    </w:p>
    <w:p w:rsidR="00E53160" w:rsidRPr="00DF1328" w:rsidRDefault="00E53160" w:rsidP="00E53160">
      <w:pPr>
        <w:rPr>
          <w:noProof/>
        </w:rPr>
      </w:pPr>
      <w:r w:rsidRPr="00DF1328">
        <w:rPr>
          <w:noProof/>
        </w:rPr>
        <w:t xml:space="preserve">There are no available clinical data from the use of </w:t>
      </w:r>
      <w:r>
        <w:rPr>
          <w:noProof/>
        </w:rPr>
        <w:t>Velphoro</w:t>
      </w:r>
      <w:r w:rsidRPr="00DF1328">
        <w:rPr>
          <w:noProof/>
        </w:rPr>
        <w:t xml:space="preserve"> on exposed human pregnancies.</w:t>
      </w:r>
    </w:p>
    <w:p w:rsidR="00E53160" w:rsidRPr="00DF1328" w:rsidRDefault="00E53160" w:rsidP="00E53160">
      <w:pPr>
        <w:rPr>
          <w:noProof/>
        </w:rPr>
      </w:pPr>
    </w:p>
    <w:p w:rsidR="00565CE2" w:rsidRPr="00565CE2" w:rsidRDefault="00E53160" w:rsidP="00565CE2">
      <w:pPr>
        <w:autoSpaceDE w:val="0"/>
        <w:autoSpaceDN w:val="0"/>
        <w:adjustRightInd w:val="0"/>
        <w:rPr>
          <w:color w:val="231F20"/>
          <w:szCs w:val="24"/>
          <w:lang w:val="en-US" w:eastAsia="en-AU"/>
        </w:rPr>
      </w:pPr>
      <w:r w:rsidRPr="00565CE2">
        <w:rPr>
          <w:noProof/>
          <w:szCs w:val="24"/>
        </w:rPr>
        <w:t xml:space="preserve">Reproductive and developmental toxicity studies in animals revealed no risk with respect to pregnancy, parturition or postnatal development. </w:t>
      </w:r>
      <w:r w:rsidR="00565CE2" w:rsidRPr="00565CE2">
        <w:rPr>
          <w:color w:val="231F20"/>
          <w:szCs w:val="24"/>
          <w:lang w:val="en-US" w:eastAsia="en-AU"/>
        </w:rPr>
        <w:t xml:space="preserve">However, a </w:t>
      </w:r>
      <w:proofErr w:type="spellStart"/>
      <w:r w:rsidR="00565CE2" w:rsidRPr="00565CE2">
        <w:rPr>
          <w:color w:val="231F20"/>
          <w:szCs w:val="24"/>
          <w:lang w:val="en-US" w:eastAsia="en-AU"/>
        </w:rPr>
        <w:t>maternotoxic</w:t>
      </w:r>
      <w:proofErr w:type="spellEnd"/>
      <w:r w:rsidR="00565CE2" w:rsidRPr="00565CE2">
        <w:rPr>
          <w:color w:val="231F20"/>
          <w:szCs w:val="24"/>
          <w:lang w:val="en-US" w:eastAsia="en-AU"/>
        </w:rPr>
        <w:t xml:space="preserve"> dose of </w:t>
      </w:r>
      <w:proofErr w:type="spellStart"/>
      <w:r w:rsidR="00565CE2" w:rsidRPr="00565CE2">
        <w:rPr>
          <w:color w:val="231F20"/>
          <w:szCs w:val="24"/>
          <w:lang w:val="en-US" w:eastAsia="en-AU"/>
        </w:rPr>
        <w:t>Velphoro</w:t>
      </w:r>
      <w:proofErr w:type="spellEnd"/>
      <w:r w:rsidR="00565CE2" w:rsidRPr="00565CE2">
        <w:rPr>
          <w:color w:val="231F20"/>
          <w:szCs w:val="24"/>
          <w:lang w:val="en-US" w:eastAsia="en-AU"/>
        </w:rPr>
        <w:t xml:space="preserve"> at 5 times the maximum clinical dose was associated with reduced fetal weight and delayed ossification in a rabbit </w:t>
      </w:r>
      <w:proofErr w:type="spellStart"/>
      <w:r w:rsidR="00565CE2" w:rsidRPr="00565CE2">
        <w:rPr>
          <w:color w:val="231F20"/>
          <w:szCs w:val="24"/>
          <w:lang w:val="en-US" w:eastAsia="en-AU"/>
        </w:rPr>
        <w:t>embryofetal</w:t>
      </w:r>
      <w:proofErr w:type="spellEnd"/>
      <w:r w:rsidR="00565CE2" w:rsidRPr="00565CE2">
        <w:rPr>
          <w:color w:val="231F20"/>
          <w:szCs w:val="24"/>
          <w:lang w:val="en-US" w:eastAsia="en-AU"/>
        </w:rPr>
        <w:t xml:space="preserve"> development study. A No-Effect Level was established at 2.5 times the maximum clinical dose.</w:t>
      </w:r>
    </w:p>
    <w:p w:rsidR="001A776D" w:rsidRDefault="001A776D" w:rsidP="00565CE2">
      <w:pPr>
        <w:rPr>
          <w:noProof/>
        </w:rPr>
      </w:pPr>
    </w:p>
    <w:p w:rsidR="00E53160" w:rsidRDefault="00E53160" w:rsidP="00565CE2">
      <w:pPr>
        <w:rPr>
          <w:noProof/>
        </w:rPr>
      </w:pPr>
      <w:r>
        <w:rPr>
          <w:noProof/>
        </w:rPr>
        <w:t xml:space="preserve">Velphoro should only be used by pregnant women if clearly needed following careful assessment of benefit/risk. </w:t>
      </w:r>
    </w:p>
    <w:p w:rsidR="00E53160" w:rsidRPr="00DF1328" w:rsidRDefault="00E53160" w:rsidP="00E53160">
      <w:pPr>
        <w:rPr>
          <w:noProof/>
        </w:rPr>
      </w:pPr>
    </w:p>
    <w:p w:rsidR="00E53160" w:rsidRPr="00FC7C6E" w:rsidRDefault="00E53160" w:rsidP="001A776D">
      <w:pPr>
        <w:pStyle w:val="Heading2"/>
      </w:pPr>
      <w:r w:rsidRPr="00FC7C6E">
        <w:t>Use in Lactation</w:t>
      </w:r>
    </w:p>
    <w:p w:rsidR="00FF4ED7" w:rsidRDefault="00E53160" w:rsidP="00E53160">
      <w:pPr>
        <w:rPr>
          <w:noProof/>
        </w:rPr>
      </w:pPr>
      <w:r w:rsidRPr="00DF1328">
        <w:rPr>
          <w:noProof/>
        </w:rPr>
        <w:t>There are no</w:t>
      </w:r>
      <w:r w:rsidR="00D5698C">
        <w:rPr>
          <w:noProof/>
        </w:rPr>
        <w:t xml:space="preserve"> </w:t>
      </w:r>
      <w:r>
        <w:rPr>
          <w:noProof/>
        </w:rPr>
        <w:t xml:space="preserve">available clinical </w:t>
      </w:r>
      <w:r w:rsidRPr="00DF1328">
        <w:rPr>
          <w:noProof/>
        </w:rPr>
        <w:t xml:space="preserve">data </w:t>
      </w:r>
      <w:r>
        <w:rPr>
          <w:noProof/>
        </w:rPr>
        <w:t xml:space="preserve">from </w:t>
      </w:r>
      <w:r w:rsidRPr="00DF1328">
        <w:rPr>
          <w:noProof/>
        </w:rPr>
        <w:t xml:space="preserve">the use of </w:t>
      </w:r>
      <w:r>
        <w:rPr>
          <w:noProof/>
        </w:rPr>
        <w:t>Velphoro</w:t>
      </w:r>
      <w:r w:rsidRPr="00DF1328">
        <w:rPr>
          <w:noProof/>
        </w:rPr>
        <w:t xml:space="preserve"> in lactating women. </w:t>
      </w:r>
    </w:p>
    <w:p w:rsidR="00FF4ED7" w:rsidRDefault="00FF4ED7" w:rsidP="00E53160">
      <w:pPr>
        <w:rPr>
          <w:noProof/>
        </w:rPr>
      </w:pPr>
    </w:p>
    <w:p w:rsidR="00E53160" w:rsidRDefault="00E53160" w:rsidP="00E53160">
      <w:pPr>
        <w:rPr>
          <w:noProof/>
        </w:rPr>
      </w:pPr>
      <w:r w:rsidRPr="00DF1328">
        <w:rPr>
          <w:noProof/>
        </w:rPr>
        <w:t xml:space="preserve">Since absorption of iron from </w:t>
      </w:r>
      <w:r>
        <w:rPr>
          <w:noProof/>
        </w:rPr>
        <w:t>Velphoro</w:t>
      </w:r>
      <w:r w:rsidRPr="00DF1328">
        <w:rPr>
          <w:noProof/>
        </w:rPr>
        <w:t xml:space="preserve"> is minimal (see </w:t>
      </w:r>
      <w:r w:rsidRPr="008D1E77">
        <w:rPr>
          <w:b/>
          <w:noProof/>
        </w:rPr>
        <w:t>Pharmacokinetic Properties</w:t>
      </w:r>
      <w:r w:rsidRPr="00DF1328">
        <w:rPr>
          <w:noProof/>
        </w:rPr>
        <w:t xml:space="preserve">), excretion of iron from </w:t>
      </w:r>
      <w:r>
        <w:rPr>
          <w:noProof/>
        </w:rPr>
        <w:t>Velphoro</w:t>
      </w:r>
      <w:r w:rsidRPr="00DF1328">
        <w:rPr>
          <w:noProof/>
        </w:rPr>
        <w:t xml:space="preserve"> in breast milk is unlikely. A decision on whether to continue breast-feeding or to continue therapy with </w:t>
      </w:r>
      <w:r>
        <w:rPr>
          <w:noProof/>
        </w:rPr>
        <w:t>Velphoro</w:t>
      </w:r>
      <w:r w:rsidRPr="00DF1328">
        <w:rPr>
          <w:noProof/>
        </w:rPr>
        <w:t xml:space="preserve"> should be made taking into account the benefit of breast-feeding to the child and the benefit of </w:t>
      </w:r>
      <w:r>
        <w:rPr>
          <w:noProof/>
        </w:rPr>
        <w:t>Velphoro</w:t>
      </w:r>
      <w:r w:rsidRPr="00DF1328">
        <w:rPr>
          <w:noProof/>
        </w:rPr>
        <w:t xml:space="preserve"> therapy to the mother.</w:t>
      </w:r>
    </w:p>
    <w:p w:rsidR="00E53160" w:rsidRDefault="00E53160" w:rsidP="00E53160">
      <w:pPr>
        <w:rPr>
          <w:noProof/>
        </w:rPr>
      </w:pPr>
    </w:p>
    <w:p w:rsidR="00E53160" w:rsidRPr="00FC7C6E" w:rsidRDefault="00E53160" w:rsidP="001A776D">
      <w:pPr>
        <w:pStyle w:val="Heading2"/>
      </w:pPr>
      <w:r w:rsidRPr="00FC7C6E">
        <w:t>Paediatric Use</w:t>
      </w:r>
    </w:p>
    <w:p w:rsidR="006C223B" w:rsidRDefault="006C223B" w:rsidP="006C223B">
      <w:pPr>
        <w:rPr>
          <w:noProof/>
        </w:rPr>
      </w:pPr>
      <w:r w:rsidRPr="00110012">
        <w:rPr>
          <w:noProof/>
        </w:rPr>
        <w:t xml:space="preserve">The safety and efficacy of </w:t>
      </w:r>
      <w:r>
        <w:rPr>
          <w:noProof/>
        </w:rPr>
        <w:t>Velphoro</w:t>
      </w:r>
      <w:r w:rsidRPr="00110012">
        <w:rPr>
          <w:noProof/>
        </w:rPr>
        <w:t xml:space="preserve"> in children below the age</w:t>
      </w:r>
      <w:r w:rsidR="00925F5D">
        <w:rPr>
          <w:noProof/>
        </w:rPr>
        <w:t xml:space="preserve"> of 18 </w:t>
      </w:r>
      <w:r w:rsidRPr="00110012">
        <w:rPr>
          <w:noProof/>
        </w:rPr>
        <w:t>years has not yet been established</w:t>
      </w:r>
      <w:r>
        <w:rPr>
          <w:noProof/>
        </w:rPr>
        <w:t>. No data are available.</w:t>
      </w:r>
    </w:p>
    <w:p w:rsidR="00E53160" w:rsidRPr="00DF1328" w:rsidRDefault="00E53160" w:rsidP="00E53160">
      <w:pPr>
        <w:rPr>
          <w:noProof/>
        </w:rPr>
      </w:pPr>
    </w:p>
    <w:p w:rsidR="00E53160" w:rsidRDefault="00565CE2" w:rsidP="001A776D">
      <w:pPr>
        <w:pStyle w:val="Heading2"/>
      </w:pPr>
      <w:r>
        <w:t>Effects on f</w:t>
      </w:r>
      <w:r w:rsidR="00E53160" w:rsidRPr="00FC7C6E">
        <w:t>ertility</w:t>
      </w:r>
    </w:p>
    <w:p w:rsidR="00E53160" w:rsidRDefault="00E53160" w:rsidP="00E53160">
      <w:pPr>
        <w:rPr>
          <w:noProof/>
        </w:rPr>
      </w:pPr>
      <w:r w:rsidRPr="00DF1328">
        <w:rPr>
          <w:noProof/>
        </w:rPr>
        <w:t xml:space="preserve">There are no data on the effect of </w:t>
      </w:r>
      <w:r>
        <w:rPr>
          <w:noProof/>
        </w:rPr>
        <w:t>Velphoro</w:t>
      </w:r>
      <w:r w:rsidRPr="00DF1328">
        <w:rPr>
          <w:noProof/>
        </w:rPr>
        <w:t xml:space="preserve"> on fertility in humans. </w:t>
      </w:r>
      <w:r w:rsidR="00565CE2">
        <w:rPr>
          <w:noProof/>
        </w:rPr>
        <w:t xml:space="preserve">No </w:t>
      </w:r>
      <w:r w:rsidRPr="00DF1328">
        <w:rPr>
          <w:noProof/>
        </w:rPr>
        <w:t xml:space="preserve">adverse effects on mating performance, fertility, and litter parameters </w:t>
      </w:r>
      <w:r w:rsidR="00565CE2">
        <w:rPr>
          <w:noProof/>
        </w:rPr>
        <w:t xml:space="preserve">were noted </w:t>
      </w:r>
      <w:r w:rsidRPr="00DF1328">
        <w:rPr>
          <w:noProof/>
        </w:rPr>
        <w:t>following treatment</w:t>
      </w:r>
      <w:r w:rsidR="00565CE2">
        <w:rPr>
          <w:noProof/>
        </w:rPr>
        <w:t xml:space="preserve"> of rats</w:t>
      </w:r>
      <w:r w:rsidRPr="00DF1328">
        <w:rPr>
          <w:noProof/>
        </w:rPr>
        <w:t xml:space="preserve"> with </w:t>
      </w:r>
      <w:r>
        <w:rPr>
          <w:noProof/>
        </w:rPr>
        <w:t>Velphoro</w:t>
      </w:r>
      <w:r w:rsidR="00565CE2">
        <w:rPr>
          <w:noProof/>
        </w:rPr>
        <w:t xml:space="preserve"> at up to 20 times the maximum clinical dose</w:t>
      </w:r>
      <w:r w:rsidRPr="00DF1328">
        <w:rPr>
          <w:noProof/>
        </w:rPr>
        <w:t>.</w:t>
      </w:r>
    </w:p>
    <w:p w:rsidR="00E53160" w:rsidRDefault="00E53160" w:rsidP="00E53160">
      <w:pPr>
        <w:rPr>
          <w:noProof/>
        </w:rPr>
      </w:pPr>
    </w:p>
    <w:p w:rsidR="00C9138D" w:rsidRDefault="00C9138D" w:rsidP="001A776D">
      <w:pPr>
        <w:pStyle w:val="Heading2"/>
      </w:pPr>
      <w:r>
        <w:t>Genotoxicity</w:t>
      </w:r>
    </w:p>
    <w:p w:rsidR="00C9138D" w:rsidRDefault="001B627B" w:rsidP="00E53160">
      <w:pPr>
        <w:rPr>
          <w:noProof/>
          <w:lang w:val="en-US"/>
        </w:rPr>
      </w:pPr>
      <w:r w:rsidRPr="0067054B">
        <w:rPr>
          <w:noProof/>
          <w:lang w:val="en-US"/>
        </w:rPr>
        <w:t>Nonclinical data reveal no special hazard for humans based on conventional studies of genotoxicity</w:t>
      </w:r>
      <w:r>
        <w:rPr>
          <w:noProof/>
          <w:lang w:val="en-US"/>
        </w:rPr>
        <w:t>.</w:t>
      </w:r>
    </w:p>
    <w:p w:rsidR="0067054B" w:rsidRDefault="0067054B" w:rsidP="00E53160">
      <w:pPr>
        <w:rPr>
          <w:noProof/>
        </w:rPr>
      </w:pPr>
    </w:p>
    <w:p w:rsidR="00E53160" w:rsidRPr="00FC7C6E" w:rsidRDefault="00E53160" w:rsidP="001A776D">
      <w:pPr>
        <w:pStyle w:val="Heading2"/>
      </w:pPr>
      <w:r w:rsidRPr="00FC7C6E">
        <w:t>Carcinogenicity</w:t>
      </w:r>
    </w:p>
    <w:p w:rsidR="00E53160" w:rsidRPr="004868E5" w:rsidRDefault="00E53160" w:rsidP="00E53160">
      <w:pPr>
        <w:rPr>
          <w:noProof/>
        </w:rPr>
      </w:pPr>
      <w:r w:rsidRPr="004868E5">
        <w:rPr>
          <w:noProof/>
        </w:rPr>
        <w:t xml:space="preserve">Carcinogenicity studies were performed in mice and rats. </w:t>
      </w:r>
      <w:r w:rsidR="001C38CF" w:rsidRPr="00A447C8">
        <w:rPr>
          <w:noProof/>
        </w:rPr>
        <w:t>There was no clear evidence of a carcinogenic effect in mice</w:t>
      </w:r>
      <w:r w:rsidR="001C38CF">
        <w:rPr>
          <w:noProof/>
        </w:rPr>
        <w:t xml:space="preserve">. Mucosal hyperplasia, </w:t>
      </w:r>
      <w:r w:rsidR="001C38CF" w:rsidRPr="00A447C8">
        <w:rPr>
          <w:noProof/>
        </w:rPr>
        <w:t>with diverticulum/cyst formation was observed in the colon and caecum of mice after 2 years treatment, but</w:t>
      </w:r>
      <w:r w:rsidR="004C3CA1">
        <w:rPr>
          <w:noProof/>
        </w:rPr>
        <w:t xml:space="preserve"> </w:t>
      </w:r>
      <w:r w:rsidR="001C38CF" w:rsidRPr="00A447C8">
        <w:rPr>
          <w:noProof/>
        </w:rPr>
        <w:t xml:space="preserve">no diverticula/cystes </w:t>
      </w:r>
      <w:r w:rsidR="00A64D49">
        <w:rPr>
          <w:noProof/>
        </w:rPr>
        <w:t xml:space="preserve">were </w:t>
      </w:r>
      <w:r w:rsidR="001C38CF" w:rsidRPr="00A447C8">
        <w:rPr>
          <w:noProof/>
        </w:rPr>
        <w:t>seen in long term studies in rats or dogs</w:t>
      </w:r>
      <w:r w:rsidR="0027234A">
        <w:rPr>
          <w:noProof/>
        </w:rPr>
        <w:t xml:space="preserve">. </w:t>
      </w:r>
    </w:p>
    <w:p w:rsidR="00E53160" w:rsidRPr="004868E5" w:rsidRDefault="00E53160" w:rsidP="00E53160">
      <w:pPr>
        <w:rPr>
          <w:noProof/>
        </w:rPr>
      </w:pPr>
    </w:p>
    <w:p w:rsidR="00E53160" w:rsidRDefault="00E53160" w:rsidP="00E53160">
      <w:pPr>
        <w:rPr>
          <w:noProof/>
        </w:rPr>
      </w:pPr>
      <w:r w:rsidRPr="004868E5">
        <w:rPr>
          <w:noProof/>
        </w:rPr>
        <w:lastRenderedPageBreak/>
        <w:t>In rats</w:t>
      </w:r>
      <w:r w:rsidR="004C3CA1">
        <w:rPr>
          <w:noProof/>
        </w:rPr>
        <w:t xml:space="preserve"> </w:t>
      </w:r>
      <w:r w:rsidR="00A64D49" w:rsidRPr="00A64D49">
        <w:rPr>
          <w:noProof/>
        </w:rPr>
        <w:t xml:space="preserve">only mucosal hyperplasia in the large intestine was seen. </w:t>
      </w:r>
      <w:r w:rsidR="00A64D49">
        <w:rPr>
          <w:noProof/>
        </w:rPr>
        <w:t>T</w:t>
      </w:r>
      <w:r w:rsidR="001C38CF">
        <w:rPr>
          <w:noProof/>
        </w:rPr>
        <w:t>here</w:t>
      </w:r>
      <w:r>
        <w:rPr>
          <w:noProof/>
        </w:rPr>
        <w:t xml:space="preserve"> was </w:t>
      </w:r>
      <w:r w:rsidRPr="004868E5">
        <w:rPr>
          <w:noProof/>
        </w:rPr>
        <w:t xml:space="preserve">a slightly increased incidence of benign C-cell adenoma in the thyroid of male </w:t>
      </w:r>
      <w:r>
        <w:rPr>
          <w:noProof/>
        </w:rPr>
        <w:t>rats</w:t>
      </w:r>
      <w:r w:rsidR="00672708">
        <w:rPr>
          <w:noProof/>
        </w:rPr>
        <w:t xml:space="preserve"> </w:t>
      </w:r>
      <w:r w:rsidR="00976732">
        <w:rPr>
          <w:noProof/>
        </w:rPr>
        <w:t xml:space="preserve">at 12 times the maximum clinical dose that is </w:t>
      </w:r>
      <w:r w:rsidRPr="004868E5">
        <w:rPr>
          <w:noProof/>
        </w:rPr>
        <w:t xml:space="preserve">most likely an adaptive response to the pharmacological effect of </w:t>
      </w:r>
      <w:r>
        <w:rPr>
          <w:noProof/>
        </w:rPr>
        <w:t>Velphoro</w:t>
      </w:r>
    </w:p>
    <w:p w:rsidR="00E53160" w:rsidRPr="00DF1328" w:rsidRDefault="00E53160" w:rsidP="00E53160">
      <w:pPr>
        <w:rPr>
          <w:noProof/>
        </w:rPr>
      </w:pPr>
    </w:p>
    <w:p w:rsidR="00E53160" w:rsidRDefault="00E53160" w:rsidP="001A776D">
      <w:pPr>
        <w:pStyle w:val="Heading2"/>
      </w:pPr>
      <w:r>
        <w:t>Effects on Ability to Drive and Use Machines</w:t>
      </w:r>
    </w:p>
    <w:p w:rsidR="00E53160" w:rsidRDefault="00E53160" w:rsidP="00E53160">
      <w:pPr>
        <w:rPr>
          <w:noProof/>
        </w:rPr>
      </w:pPr>
      <w:r w:rsidRPr="00467730">
        <w:rPr>
          <w:noProof/>
        </w:rPr>
        <w:t>No studies on the effects on ability to drive and use machines have been performed.</w:t>
      </w:r>
    </w:p>
    <w:p w:rsidR="00E53160" w:rsidRDefault="00E53160" w:rsidP="00E53160">
      <w:pPr>
        <w:ind w:right="-1017"/>
        <w:jc w:val="both"/>
        <w:rPr>
          <w:szCs w:val="24"/>
          <w:lang w:val="en-US"/>
        </w:rPr>
      </w:pPr>
    </w:p>
    <w:p w:rsidR="000F626F" w:rsidRPr="00920DAF" w:rsidRDefault="000F626F" w:rsidP="00E53160">
      <w:pPr>
        <w:ind w:right="-1017"/>
        <w:jc w:val="both"/>
        <w:rPr>
          <w:szCs w:val="24"/>
          <w:lang w:val="en-US"/>
        </w:rPr>
      </w:pPr>
    </w:p>
    <w:p w:rsidR="00E53160" w:rsidRPr="006B788F" w:rsidRDefault="00E53160" w:rsidP="006B788F">
      <w:pPr>
        <w:pStyle w:val="Heading1"/>
      </w:pPr>
      <w:r w:rsidRPr="006B788F">
        <w:t>INTERACTIONS WITH OTHER MEDICINES</w:t>
      </w:r>
    </w:p>
    <w:p w:rsidR="00E53160" w:rsidRDefault="00E53160" w:rsidP="00836176">
      <w:pPr>
        <w:keepNext/>
        <w:rPr>
          <w:noProof/>
        </w:rPr>
      </w:pPr>
    </w:p>
    <w:p w:rsidR="00E53160" w:rsidRDefault="00687D5C" w:rsidP="00E53160">
      <w:pPr>
        <w:rPr>
          <w:noProof/>
        </w:rPr>
      </w:pPr>
      <w:r>
        <w:rPr>
          <w:szCs w:val="24"/>
          <w:lang w:val="en-US"/>
        </w:rPr>
        <w:t>D</w:t>
      </w:r>
      <w:r w:rsidRPr="003B616A">
        <w:rPr>
          <w:szCs w:val="24"/>
          <w:lang w:val="en-US"/>
        </w:rPr>
        <w:t>rug-drug interaction studies ha</w:t>
      </w:r>
      <w:r>
        <w:rPr>
          <w:szCs w:val="24"/>
          <w:lang w:val="en-US"/>
        </w:rPr>
        <w:t>ve</w:t>
      </w:r>
      <w:r w:rsidRPr="003B616A">
        <w:rPr>
          <w:szCs w:val="24"/>
          <w:lang w:val="en-US"/>
        </w:rPr>
        <w:t xml:space="preserve"> been </w:t>
      </w:r>
      <w:r>
        <w:rPr>
          <w:szCs w:val="24"/>
          <w:lang w:val="en-US"/>
        </w:rPr>
        <w:t>conducted</w:t>
      </w:r>
      <w:r w:rsidRPr="003B616A">
        <w:rPr>
          <w:szCs w:val="24"/>
          <w:lang w:val="en-US"/>
        </w:rPr>
        <w:t xml:space="preserve"> in </w:t>
      </w:r>
      <w:r>
        <w:rPr>
          <w:szCs w:val="24"/>
          <w:lang w:val="en-US"/>
        </w:rPr>
        <w:t>healthy male and female subjects</w:t>
      </w:r>
      <w:r w:rsidRPr="003B616A">
        <w:rPr>
          <w:szCs w:val="24"/>
          <w:lang w:val="en-US"/>
        </w:rPr>
        <w:t xml:space="preserve"> with losartan, furosemide, digoxin, warfarin, and omeprazole.</w:t>
      </w:r>
      <w:r>
        <w:rPr>
          <w:szCs w:val="24"/>
          <w:lang w:val="en-US"/>
        </w:rPr>
        <w:t xml:space="preserve"> Concomitant administration of </w:t>
      </w:r>
      <w:proofErr w:type="spellStart"/>
      <w:r w:rsidR="002C0EDA">
        <w:rPr>
          <w:szCs w:val="24"/>
          <w:lang w:val="en-US"/>
        </w:rPr>
        <w:t>Velphoro</w:t>
      </w:r>
      <w:proofErr w:type="spellEnd"/>
      <w:r>
        <w:rPr>
          <w:szCs w:val="24"/>
          <w:lang w:val="en-US"/>
        </w:rPr>
        <w:t xml:space="preserve"> did not affect the bioavailability of these drugs as measured by the area under the curve (AUC).</w:t>
      </w:r>
    </w:p>
    <w:p w:rsidR="00E53160" w:rsidRDefault="00E53160" w:rsidP="00E53160">
      <w:pPr>
        <w:rPr>
          <w:noProof/>
        </w:rPr>
      </w:pPr>
    </w:p>
    <w:p w:rsidR="00A64D49" w:rsidRDefault="00E53160" w:rsidP="00E53160">
      <w:pPr>
        <w:rPr>
          <w:noProof/>
        </w:rPr>
      </w:pPr>
      <w:r>
        <w:rPr>
          <w:noProof/>
        </w:rPr>
        <w:t>Data from clinical studies have shown that Velphoro does not affect the lipid lowering effects of HMG-CoA reductase inhibitors (e.g. atorvastatin and simvastatin).</w:t>
      </w:r>
    </w:p>
    <w:p w:rsidR="00A64D49" w:rsidRDefault="00A64D49" w:rsidP="00E53160">
      <w:pPr>
        <w:rPr>
          <w:noProof/>
        </w:rPr>
      </w:pPr>
    </w:p>
    <w:p w:rsidR="00E53160" w:rsidRDefault="00A64D49" w:rsidP="00E53160">
      <w:pPr>
        <w:rPr>
          <w:noProof/>
        </w:rPr>
      </w:pPr>
      <w:r w:rsidRPr="005577AB">
        <w:rPr>
          <w:i/>
          <w:noProof/>
        </w:rPr>
        <w:t>In vitro</w:t>
      </w:r>
      <w:r w:rsidRPr="00A64D49">
        <w:rPr>
          <w:noProof/>
        </w:rPr>
        <w:t xml:space="preserve"> studies showed significant drug interaction (adsorption by V</w:t>
      </w:r>
      <w:r w:rsidR="005577AB">
        <w:rPr>
          <w:noProof/>
        </w:rPr>
        <w:t>elphoro</w:t>
      </w:r>
      <w:r w:rsidRPr="00A64D49">
        <w:rPr>
          <w:noProof/>
        </w:rPr>
        <w:t xml:space="preserve">) with paricalcitol and doxercalciferol. However, data from  </w:t>
      </w:r>
      <w:r w:rsidR="002C0EDA" w:rsidRPr="002C0EDA">
        <w:rPr>
          <w:noProof/>
        </w:rPr>
        <w:t xml:space="preserve">clinical studies demonstrated no impact of Velphoro on iPTH lowering effect of oral Vitamin D analogues. </w:t>
      </w:r>
      <w:r>
        <w:rPr>
          <w:noProof/>
        </w:rPr>
        <w:t>Serum v</w:t>
      </w:r>
      <w:r w:rsidR="00E53160">
        <w:rPr>
          <w:noProof/>
        </w:rPr>
        <w:t>itamin D and 1,25-dihydroxy Vitamin D levels remained unchanged.</w:t>
      </w:r>
    </w:p>
    <w:p w:rsidR="00E53160" w:rsidRDefault="00E53160" w:rsidP="00E53160">
      <w:pPr>
        <w:rPr>
          <w:noProof/>
        </w:rPr>
      </w:pPr>
    </w:p>
    <w:p w:rsidR="005577AB" w:rsidDel="00F5551D" w:rsidRDefault="005577AB" w:rsidP="00E53160">
      <w:pPr>
        <w:rPr>
          <w:noProof/>
        </w:rPr>
      </w:pPr>
      <w:r w:rsidRPr="008D1E77" w:rsidDel="00F5551D">
        <w:rPr>
          <w:i/>
          <w:noProof/>
        </w:rPr>
        <w:t>In</w:t>
      </w:r>
      <w:r w:rsidRPr="00653D9F" w:rsidDel="00F5551D">
        <w:rPr>
          <w:i/>
          <w:noProof/>
        </w:rPr>
        <w:t xml:space="preserve"> vitro</w:t>
      </w:r>
      <w:r w:rsidDel="00F5551D">
        <w:rPr>
          <w:noProof/>
        </w:rPr>
        <w:t xml:space="preserve"> studies showed </w:t>
      </w:r>
      <w:r>
        <w:rPr>
          <w:noProof/>
        </w:rPr>
        <w:t>significant drug</w:t>
      </w:r>
      <w:r w:rsidDel="00F5551D">
        <w:rPr>
          <w:noProof/>
        </w:rPr>
        <w:t xml:space="preserve"> interaction</w:t>
      </w:r>
      <w:r>
        <w:rPr>
          <w:noProof/>
        </w:rPr>
        <w:t xml:space="preserve"> (adsorption by Velphoro) with</w:t>
      </w:r>
      <w:r w:rsidDel="00F5551D">
        <w:rPr>
          <w:noProof/>
        </w:rPr>
        <w:t xml:space="preserve"> alendronate, </w:t>
      </w:r>
      <w:r>
        <w:rPr>
          <w:noProof/>
        </w:rPr>
        <w:t xml:space="preserve">cephalexin, </w:t>
      </w:r>
      <w:r w:rsidDel="00F5551D">
        <w:rPr>
          <w:noProof/>
        </w:rPr>
        <w:t>doxycycline</w:t>
      </w:r>
      <w:r>
        <w:rPr>
          <w:noProof/>
        </w:rPr>
        <w:t xml:space="preserve"> and</w:t>
      </w:r>
      <w:r w:rsidDel="00F5551D">
        <w:rPr>
          <w:noProof/>
        </w:rPr>
        <w:t xml:space="preserve"> levothyroxine.</w:t>
      </w:r>
      <w:r>
        <w:rPr>
          <w:noProof/>
        </w:rPr>
        <w:t xml:space="preserve"> </w:t>
      </w:r>
      <w:r w:rsidRPr="000152B4">
        <w:rPr>
          <w:color w:val="auto"/>
          <w:szCs w:val="24"/>
          <w:lang w:val="en-US"/>
        </w:rPr>
        <w:t xml:space="preserve">No clinical data is available at present. It is recommended that these drugs should be administrated at least 1 hour before or at least 2 hours after intake of </w:t>
      </w:r>
      <w:proofErr w:type="spellStart"/>
      <w:r w:rsidRPr="000152B4">
        <w:rPr>
          <w:color w:val="auto"/>
          <w:szCs w:val="24"/>
          <w:lang w:val="en-US"/>
        </w:rPr>
        <w:t>Velphoro</w:t>
      </w:r>
      <w:proofErr w:type="spellEnd"/>
      <w:r w:rsidRPr="000152B4">
        <w:rPr>
          <w:color w:val="auto"/>
          <w:szCs w:val="24"/>
          <w:lang w:val="en-US"/>
        </w:rPr>
        <w:t>.</w:t>
      </w:r>
    </w:p>
    <w:p w:rsidR="005577AB" w:rsidRDefault="005577AB"/>
    <w:p w:rsidR="00E53160" w:rsidRDefault="00E53160" w:rsidP="00E53160">
      <w:pPr>
        <w:rPr>
          <w:noProof/>
        </w:rPr>
      </w:pPr>
      <w:r w:rsidRPr="00653D9F">
        <w:rPr>
          <w:i/>
          <w:noProof/>
        </w:rPr>
        <w:t>In vitro</w:t>
      </w:r>
      <w:r>
        <w:rPr>
          <w:noProof/>
        </w:rPr>
        <w:t xml:space="preserve"> studies with the following drugs did not show any relevant interaction: cinacalcet, ciprofloxacin,clopidogrel, enalapril, hydrochlorothiazide, metformin, metoprolol, nifedipine, pioglitazone and quinidine.</w:t>
      </w:r>
      <w:r w:rsidR="00A64D49">
        <w:rPr>
          <w:noProof/>
        </w:rPr>
        <w:t xml:space="preserve"> However, clinical data are not available at present.</w:t>
      </w:r>
    </w:p>
    <w:p w:rsidR="00E53160" w:rsidRDefault="00E53160" w:rsidP="00E53160">
      <w:pPr>
        <w:rPr>
          <w:noProof/>
        </w:rPr>
      </w:pPr>
    </w:p>
    <w:p w:rsidR="00E53160" w:rsidRDefault="00507BA1" w:rsidP="00E53160">
      <w:pPr>
        <w:rPr>
          <w:noProof/>
        </w:rPr>
      </w:pPr>
      <w:r w:rsidRPr="00507BA1">
        <w:rPr>
          <w:noProof/>
        </w:rPr>
        <w:t xml:space="preserve">Velphoro can cause discoloured (black) stool. Discoloured (black) stool may visually mask gastrointestinal (GI) bleeding. However, </w:t>
      </w:r>
      <w:r w:rsidR="00E53160">
        <w:rPr>
          <w:noProof/>
        </w:rPr>
        <w:t>Velphoro does not affect guaiac based (H</w:t>
      </w:r>
      <w:r w:rsidR="00687D5C">
        <w:rPr>
          <w:noProof/>
        </w:rPr>
        <w:t>e</w:t>
      </w:r>
      <w:r w:rsidR="00E53160">
        <w:rPr>
          <w:noProof/>
        </w:rPr>
        <w:t>mo</w:t>
      </w:r>
      <w:r w:rsidR="00687D5C">
        <w:rPr>
          <w:noProof/>
        </w:rPr>
        <w:t>c</w:t>
      </w:r>
      <w:r w:rsidR="00E53160">
        <w:rPr>
          <w:noProof/>
        </w:rPr>
        <w:t>cult) or immunological based (iColo Rectal and Hexagon O</w:t>
      </w:r>
      <w:r w:rsidR="00687D5C">
        <w:rPr>
          <w:noProof/>
        </w:rPr>
        <w:t>b</w:t>
      </w:r>
      <w:r w:rsidR="00E53160">
        <w:rPr>
          <w:noProof/>
        </w:rPr>
        <w:t>ti) faecal occult blood tests.</w:t>
      </w:r>
    </w:p>
    <w:p w:rsidR="00982EB6" w:rsidRDefault="00982EB6" w:rsidP="008E1F1D">
      <w:pPr>
        <w:autoSpaceDE w:val="0"/>
        <w:autoSpaceDN w:val="0"/>
        <w:adjustRightInd w:val="0"/>
        <w:rPr>
          <w:noProof/>
        </w:rPr>
      </w:pPr>
    </w:p>
    <w:p w:rsidR="00AF5589" w:rsidRPr="008E1F1D" w:rsidRDefault="00AF5589" w:rsidP="003965CA">
      <w:pPr>
        <w:autoSpaceDE w:val="0"/>
        <w:autoSpaceDN w:val="0"/>
        <w:adjustRightInd w:val="0"/>
        <w:rPr>
          <w:noProof/>
        </w:rPr>
      </w:pPr>
      <w:r w:rsidRPr="008E1F1D">
        <w:rPr>
          <w:noProof/>
        </w:rPr>
        <w:t>Concomitant treatment with antacids containing aluminium, magnesium or calcium and oral iron therapies as well as phosphate binders has not been investigated.</w:t>
      </w:r>
    </w:p>
    <w:p w:rsidR="009F0DE2" w:rsidRDefault="009F0DE2" w:rsidP="003965CA">
      <w:pPr>
        <w:autoSpaceDE w:val="0"/>
        <w:autoSpaceDN w:val="0"/>
        <w:adjustRightInd w:val="0"/>
        <w:rPr>
          <w:noProof/>
        </w:rPr>
      </w:pPr>
    </w:p>
    <w:p w:rsidR="00982EB6" w:rsidRDefault="00982EB6" w:rsidP="003965CA">
      <w:pPr>
        <w:autoSpaceDE w:val="0"/>
        <w:autoSpaceDN w:val="0"/>
        <w:adjustRightInd w:val="0"/>
        <w:rPr>
          <w:noProof/>
        </w:rPr>
      </w:pPr>
      <w:r>
        <w:rPr>
          <w:noProof/>
        </w:rPr>
        <w:t>When administering any medicinal product that is known to interact with iron, the medicinal product should be administered at least one hour before or two hours after Velphoro.</w:t>
      </w:r>
      <w:r w:rsidR="00AF5589">
        <w:rPr>
          <w:noProof/>
        </w:rPr>
        <w:t xml:space="preserve"> </w:t>
      </w:r>
    </w:p>
    <w:p w:rsidR="006C223B" w:rsidRDefault="006C223B" w:rsidP="004F11FF">
      <w:pPr>
        <w:ind w:right="-1017"/>
        <w:jc w:val="both"/>
        <w:rPr>
          <w:b/>
          <w:szCs w:val="24"/>
        </w:rPr>
      </w:pPr>
    </w:p>
    <w:p w:rsidR="000F626F" w:rsidRDefault="000F626F" w:rsidP="004F11FF">
      <w:pPr>
        <w:ind w:right="-1017"/>
        <w:jc w:val="both"/>
        <w:rPr>
          <w:b/>
          <w:szCs w:val="24"/>
        </w:rPr>
      </w:pPr>
    </w:p>
    <w:p w:rsidR="004F11FF" w:rsidRPr="00920DAF" w:rsidRDefault="004F11FF" w:rsidP="006B788F">
      <w:pPr>
        <w:pStyle w:val="Heading1"/>
      </w:pPr>
      <w:r w:rsidRPr="00920DAF">
        <w:t>ADVERSE EFFECTS</w:t>
      </w:r>
    </w:p>
    <w:p w:rsidR="004F11FF" w:rsidRPr="00920DAF" w:rsidRDefault="004F11FF" w:rsidP="00836176">
      <w:pPr>
        <w:keepNext/>
        <w:rPr>
          <w:b/>
          <w:szCs w:val="24"/>
        </w:rPr>
      </w:pPr>
    </w:p>
    <w:p w:rsidR="004F11FF" w:rsidRPr="00B72A16" w:rsidRDefault="004F11FF" w:rsidP="004F11FF">
      <w:pPr>
        <w:rPr>
          <w:noProof/>
        </w:rPr>
      </w:pPr>
      <w:r w:rsidRPr="00B72A16">
        <w:rPr>
          <w:noProof/>
        </w:rPr>
        <w:t xml:space="preserve">The safety of </w:t>
      </w:r>
      <w:r>
        <w:rPr>
          <w:noProof/>
        </w:rPr>
        <w:t>Velphoro</w:t>
      </w:r>
      <w:r w:rsidRPr="00B72A16">
        <w:rPr>
          <w:noProof/>
        </w:rPr>
        <w:t xml:space="preserve"> has been investigated in 2 </w:t>
      </w:r>
      <w:r>
        <w:rPr>
          <w:noProof/>
        </w:rPr>
        <w:t xml:space="preserve">active controlled </w:t>
      </w:r>
      <w:r w:rsidRPr="00B72A16">
        <w:rPr>
          <w:noProof/>
        </w:rPr>
        <w:t>clinical studies</w:t>
      </w:r>
      <w:r>
        <w:rPr>
          <w:noProof/>
        </w:rPr>
        <w:t xml:space="preserve">: a 6-week dose finding study and a safety and efficacy study of up to 55 weeks. </w:t>
      </w:r>
      <w:r w:rsidRPr="00B72A16">
        <w:rPr>
          <w:noProof/>
        </w:rPr>
        <w:t xml:space="preserve"> </w:t>
      </w:r>
      <w:r>
        <w:rPr>
          <w:noProof/>
        </w:rPr>
        <w:t>A</w:t>
      </w:r>
      <w:r w:rsidRPr="00B72A16">
        <w:rPr>
          <w:noProof/>
        </w:rPr>
        <w:t xml:space="preserve"> total of 778</w:t>
      </w:r>
      <w:r>
        <w:rPr>
          <w:noProof/>
        </w:rPr>
        <w:t> </w:t>
      </w:r>
      <w:r w:rsidRPr="00B72A16">
        <w:rPr>
          <w:noProof/>
        </w:rPr>
        <w:t>patients on haemodialysis</w:t>
      </w:r>
      <w:r>
        <w:rPr>
          <w:noProof/>
        </w:rPr>
        <w:t xml:space="preserve"> and 57 patients on peritoneal dialysis were treated</w:t>
      </w:r>
      <w:r w:rsidRPr="00B72A16">
        <w:rPr>
          <w:noProof/>
        </w:rPr>
        <w:t xml:space="preserve"> with treatment duration </w:t>
      </w:r>
      <w:r w:rsidRPr="00B72A16">
        <w:rPr>
          <w:noProof/>
        </w:rPr>
        <w:lastRenderedPageBreak/>
        <w:t xml:space="preserve">of up to </w:t>
      </w:r>
      <w:r>
        <w:rPr>
          <w:noProof/>
        </w:rPr>
        <w:t>55 weeks</w:t>
      </w:r>
      <w:r w:rsidRPr="00B72A16">
        <w:rPr>
          <w:noProof/>
        </w:rPr>
        <w:t>.</w:t>
      </w:r>
      <w:r>
        <w:rPr>
          <w:noProof/>
        </w:rPr>
        <w:t xml:space="preserve"> Velphoro had a similar adverse drug reaction (ADR) profile to sevelamer and no dose-dependent trends were observed.</w:t>
      </w:r>
    </w:p>
    <w:p w:rsidR="004F11FF" w:rsidRPr="00B72A16" w:rsidRDefault="004F11FF" w:rsidP="004F11FF">
      <w:pPr>
        <w:rPr>
          <w:noProof/>
        </w:rPr>
      </w:pPr>
    </w:p>
    <w:p w:rsidR="00A62C74" w:rsidRPr="00A62C74" w:rsidRDefault="00A62C74" w:rsidP="00A62C74">
      <w:pPr>
        <w:autoSpaceDE w:val="0"/>
        <w:autoSpaceDN w:val="0"/>
        <w:adjustRightInd w:val="0"/>
        <w:rPr>
          <w:color w:val="auto"/>
          <w:szCs w:val="24"/>
          <w:lang w:val="en-AU" w:eastAsia="en-AU"/>
        </w:rPr>
      </w:pPr>
      <w:r w:rsidRPr="00A62C74">
        <w:rPr>
          <w:noProof/>
          <w:szCs w:val="24"/>
        </w:rPr>
        <w:t xml:space="preserve">Table </w:t>
      </w:r>
      <w:r w:rsidR="009D2014">
        <w:rPr>
          <w:noProof/>
          <w:szCs w:val="24"/>
        </w:rPr>
        <w:t>2</w:t>
      </w:r>
      <w:r w:rsidRPr="00A62C74">
        <w:rPr>
          <w:noProof/>
          <w:szCs w:val="24"/>
        </w:rPr>
        <w:t xml:space="preserve"> </w:t>
      </w:r>
      <w:r w:rsidRPr="00A62C74">
        <w:rPr>
          <w:color w:val="auto"/>
          <w:szCs w:val="24"/>
          <w:lang w:val="en-AU" w:eastAsia="en-AU"/>
        </w:rPr>
        <w:t xml:space="preserve">below reports the most common adverse events occurring in at least </w:t>
      </w:r>
      <w:r>
        <w:rPr>
          <w:color w:val="auto"/>
          <w:szCs w:val="24"/>
          <w:lang w:val="en-AU" w:eastAsia="en-AU"/>
        </w:rPr>
        <w:t>5</w:t>
      </w:r>
      <w:r w:rsidRPr="00A62C74">
        <w:rPr>
          <w:color w:val="auto"/>
          <w:szCs w:val="24"/>
          <w:lang w:val="en-AU" w:eastAsia="en-AU"/>
        </w:rPr>
        <w:t>%</w:t>
      </w:r>
    </w:p>
    <w:p w:rsidR="00A62C74" w:rsidRDefault="00A62C74" w:rsidP="00A62C74">
      <w:pPr>
        <w:rPr>
          <w:color w:val="auto"/>
          <w:szCs w:val="24"/>
          <w:lang w:val="en-AU" w:eastAsia="en-AU"/>
        </w:rPr>
      </w:pPr>
      <w:proofErr w:type="gramStart"/>
      <w:r w:rsidRPr="00A62C74">
        <w:rPr>
          <w:color w:val="auto"/>
          <w:szCs w:val="24"/>
          <w:lang w:val="en-AU" w:eastAsia="en-AU"/>
        </w:rPr>
        <w:t>of</w:t>
      </w:r>
      <w:proofErr w:type="gramEnd"/>
      <w:r w:rsidRPr="00A62C74">
        <w:rPr>
          <w:color w:val="auto"/>
          <w:szCs w:val="24"/>
          <w:lang w:val="en-AU" w:eastAsia="en-AU"/>
        </w:rPr>
        <w:t xml:space="preserve"> patients in either group.</w:t>
      </w:r>
    </w:p>
    <w:p w:rsidR="00A62C74" w:rsidRDefault="00A62C74" w:rsidP="00A62C74">
      <w:pPr>
        <w:rPr>
          <w:color w:val="auto"/>
          <w:szCs w:val="24"/>
          <w:lang w:val="en-AU" w:eastAsia="en-AU"/>
        </w:rPr>
      </w:pPr>
    </w:p>
    <w:p w:rsidR="008D41C4" w:rsidRDefault="008D41C4" w:rsidP="008D41C4">
      <w:pPr>
        <w:keepNext/>
        <w:tabs>
          <w:tab w:val="left" w:pos="1134"/>
        </w:tabs>
        <w:ind w:left="1134" w:hanging="1134"/>
        <w:rPr>
          <w:b/>
          <w:noProof/>
        </w:rPr>
      </w:pPr>
      <w:r w:rsidRPr="006B61A1">
        <w:rPr>
          <w:b/>
          <w:noProof/>
        </w:rPr>
        <w:t xml:space="preserve">Table </w:t>
      </w:r>
      <w:r w:rsidR="009D2014">
        <w:rPr>
          <w:b/>
          <w:noProof/>
        </w:rPr>
        <w:t>2</w:t>
      </w:r>
      <w:r w:rsidRPr="006B61A1">
        <w:rPr>
          <w:b/>
          <w:noProof/>
        </w:rPr>
        <w:tab/>
      </w:r>
      <w:r>
        <w:rPr>
          <w:b/>
          <w:noProof/>
        </w:rPr>
        <w:t xml:space="preserve">Frequency of </w:t>
      </w:r>
      <w:r w:rsidRPr="006B61A1">
        <w:rPr>
          <w:b/>
          <w:noProof/>
        </w:rPr>
        <w:t xml:space="preserve">Adverse Events </w:t>
      </w:r>
      <w:r>
        <w:rPr>
          <w:b/>
          <w:noProof/>
        </w:rPr>
        <w:t xml:space="preserve">&gt;5% </w:t>
      </w:r>
      <w:r w:rsidRPr="006B61A1">
        <w:rPr>
          <w:b/>
          <w:noProof/>
        </w:rPr>
        <w:t xml:space="preserve">in </w:t>
      </w:r>
      <w:r>
        <w:rPr>
          <w:b/>
          <w:noProof/>
        </w:rPr>
        <w:t xml:space="preserve">the </w:t>
      </w:r>
      <w:r w:rsidRPr="006B61A1">
        <w:rPr>
          <w:b/>
          <w:noProof/>
        </w:rPr>
        <w:t>Clinical Trials</w:t>
      </w:r>
      <w:r>
        <w:rPr>
          <w:b/>
          <w:noProof/>
        </w:rPr>
        <w:t xml:space="preserve"> </w:t>
      </w:r>
    </w:p>
    <w:p w:rsidR="008D41C4" w:rsidRDefault="008D41C4" w:rsidP="00836176">
      <w:pPr>
        <w:keepNext/>
        <w:rPr>
          <w:b/>
          <w:noProof/>
        </w:rPr>
      </w:pPr>
    </w:p>
    <w:tbl>
      <w:tblPr>
        <w:tblStyle w:val="TableGrid"/>
        <w:tblW w:w="5000" w:type="pct"/>
        <w:tblLook w:val="04A0" w:firstRow="1" w:lastRow="0" w:firstColumn="1" w:lastColumn="0" w:noHBand="0" w:noVBand="1"/>
      </w:tblPr>
      <w:tblGrid>
        <w:gridCol w:w="3105"/>
        <w:gridCol w:w="1462"/>
        <w:gridCol w:w="1608"/>
        <w:gridCol w:w="1462"/>
        <w:gridCol w:w="1608"/>
      </w:tblGrid>
      <w:tr w:rsidR="008D41C4" w:rsidRPr="000F399D" w:rsidTr="000F626F">
        <w:tc>
          <w:tcPr>
            <w:tcW w:w="2598" w:type="dxa"/>
          </w:tcPr>
          <w:p w:rsidR="008D41C4" w:rsidRPr="000C69FD" w:rsidRDefault="008D41C4" w:rsidP="00193DC0">
            <w:pPr>
              <w:keepNext/>
              <w:tabs>
                <w:tab w:val="left" w:pos="1134"/>
              </w:tabs>
              <w:rPr>
                <w:rFonts w:cs="Times New Roman"/>
                <w:b/>
                <w:noProof/>
              </w:rPr>
            </w:pPr>
          </w:p>
        </w:tc>
        <w:tc>
          <w:tcPr>
            <w:tcW w:w="2570" w:type="dxa"/>
            <w:gridSpan w:val="2"/>
          </w:tcPr>
          <w:p w:rsidR="008D41C4" w:rsidRPr="000C69FD" w:rsidRDefault="008D41C4" w:rsidP="00193DC0">
            <w:pPr>
              <w:keepNext/>
              <w:tabs>
                <w:tab w:val="left" w:pos="1134"/>
              </w:tabs>
              <w:jc w:val="center"/>
              <w:rPr>
                <w:rFonts w:cs="Times New Roman"/>
                <w:b/>
                <w:sz w:val="20"/>
                <w:szCs w:val="20"/>
              </w:rPr>
            </w:pPr>
            <w:r w:rsidRPr="000C69FD">
              <w:rPr>
                <w:rFonts w:cs="Times New Roman"/>
                <w:b/>
                <w:sz w:val="20"/>
                <w:szCs w:val="20"/>
              </w:rPr>
              <w:t xml:space="preserve">PA-CL-03A     </w:t>
            </w:r>
          </w:p>
          <w:p w:rsidR="008D41C4" w:rsidRPr="000C69FD" w:rsidRDefault="008D41C4" w:rsidP="00193DC0">
            <w:pPr>
              <w:keepNext/>
              <w:tabs>
                <w:tab w:val="left" w:pos="1134"/>
              </w:tabs>
              <w:jc w:val="center"/>
              <w:rPr>
                <w:rFonts w:cs="Times New Roman"/>
                <w:b/>
                <w:noProof/>
              </w:rPr>
            </w:pPr>
            <w:r w:rsidRPr="000C69FD">
              <w:rPr>
                <w:rFonts w:cs="Times New Roman"/>
                <w:b/>
                <w:sz w:val="20"/>
                <w:szCs w:val="20"/>
              </w:rPr>
              <w:t>(N=154)</w:t>
            </w:r>
          </w:p>
        </w:tc>
        <w:tc>
          <w:tcPr>
            <w:tcW w:w="2570" w:type="dxa"/>
            <w:gridSpan w:val="2"/>
          </w:tcPr>
          <w:p w:rsidR="008D41C4" w:rsidRPr="008E1F1D" w:rsidRDefault="008D41C4" w:rsidP="00193DC0">
            <w:pPr>
              <w:keepNext/>
              <w:tabs>
                <w:tab w:val="left" w:pos="1134"/>
              </w:tabs>
              <w:jc w:val="center"/>
              <w:rPr>
                <w:rFonts w:cs="Times New Roman"/>
                <w:b/>
                <w:sz w:val="20"/>
                <w:szCs w:val="20"/>
                <w:lang w:val="pt-PT"/>
              </w:rPr>
            </w:pPr>
            <w:r w:rsidRPr="008E1F1D">
              <w:rPr>
                <w:b/>
                <w:sz w:val="20"/>
                <w:lang w:val="pt-PT"/>
              </w:rPr>
              <w:t xml:space="preserve">PA-CL-05A/PA-CL-05B           </w:t>
            </w:r>
          </w:p>
          <w:p w:rsidR="008D41C4" w:rsidRPr="008E1F1D" w:rsidRDefault="008D41C4" w:rsidP="00193DC0">
            <w:pPr>
              <w:keepNext/>
              <w:tabs>
                <w:tab w:val="left" w:pos="1134"/>
              </w:tabs>
              <w:jc w:val="center"/>
              <w:rPr>
                <w:rFonts w:cs="Times New Roman"/>
                <w:b/>
                <w:noProof/>
                <w:lang w:val="pt-PT"/>
              </w:rPr>
            </w:pPr>
            <w:r w:rsidRPr="008E1F1D">
              <w:rPr>
                <w:rFonts w:cs="Times New Roman"/>
                <w:b/>
                <w:sz w:val="20"/>
                <w:szCs w:val="20"/>
                <w:lang w:val="pt-PT"/>
              </w:rPr>
              <w:t>(N=1055)</w:t>
            </w:r>
          </w:p>
        </w:tc>
      </w:tr>
      <w:tr w:rsidR="001320A3" w:rsidRPr="000C69FD" w:rsidTr="000F626F">
        <w:tc>
          <w:tcPr>
            <w:tcW w:w="2598" w:type="dxa"/>
          </w:tcPr>
          <w:p w:rsidR="008D41C4" w:rsidRPr="000C69FD" w:rsidRDefault="008D41C4" w:rsidP="00193DC0">
            <w:pPr>
              <w:keepNext/>
              <w:tabs>
                <w:tab w:val="left" w:pos="1134"/>
              </w:tabs>
              <w:rPr>
                <w:rFonts w:cs="Times New Roman"/>
                <w:b/>
                <w:noProof/>
              </w:rPr>
            </w:pPr>
            <w:r w:rsidRPr="008E1F1D">
              <w:rPr>
                <w:rFonts w:cs="Times New Roman"/>
                <w:b/>
                <w:sz w:val="20"/>
                <w:szCs w:val="20"/>
                <w:lang w:val="pt-PT"/>
              </w:rPr>
              <w:t xml:space="preserve">  </w:t>
            </w:r>
            <w:proofErr w:type="spellStart"/>
            <w:r w:rsidRPr="000C69FD">
              <w:rPr>
                <w:rFonts w:cs="Times New Roman"/>
                <w:b/>
                <w:sz w:val="20"/>
                <w:szCs w:val="20"/>
              </w:rPr>
              <w:t>MedDRA</w:t>
            </w:r>
            <w:proofErr w:type="spellEnd"/>
            <w:r w:rsidRPr="000C69FD">
              <w:rPr>
                <w:rFonts w:cs="Times New Roman"/>
                <w:b/>
                <w:sz w:val="20"/>
                <w:szCs w:val="20"/>
              </w:rPr>
              <w:t xml:space="preserve"> Preferred Term               </w:t>
            </w:r>
          </w:p>
        </w:tc>
        <w:tc>
          <w:tcPr>
            <w:tcW w:w="1224" w:type="dxa"/>
          </w:tcPr>
          <w:p w:rsidR="008D41C4" w:rsidRPr="000C69FD" w:rsidRDefault="002C0EDA" w:rsidP="002C0EDA">
            <w:pPr>
              <w:keepNext/>
              <w:tabs>
                <w:tab w:val="left" w:pos="1134"/>
              </w:tabs>
              <w:jc w:val="center"/>
              <w:rPr>
                <w:rFonts w:cs="Times New Roman"/>
                <w:b/>
                <w:noProof/>
              </w:rPr>
            </w:pPr>
            <w:proofErr w:type="spellStart"/>
            <w:r>
              <w:rPr>
                <w:rFonts w:cs="Times New Roman"/>
                <w:b/>
                <w:sz w:val="20"/>
                <w:szCs w:val="20"/>
              </w:rPr>
              <w:t>Velphoro</w:t>
            </w:r>
            <w:proofErr w:type="spellEnd"/>
            <w:r w:rsidR="008D41C4" w:rsidRPr="000C69FD">
              <w:rPr>
                <w:rFonts w:cs="Times New Roman"/>
                <w:b/>
                <w:sz w:val="20"/>
                <w:szCs w:val="20"/>
              </w:rPr>
              <w:t xml:space="preserve">  (N=128)      %</w:t>
            </w:r>
          </w:p>
        </w:tc>
        <w:tc>
          <w:tcPr>
            <w:tcW w:w="1346" w:type="dxa"/>
          </w:tcPr>
          <w:p w:rsidR="001320A3" w:rsidRDefault="008D41C4" w:rsidP="00193DC0">
            <w:pPr>
              <w:keepNext/>
              <w:tabs>
                <w:tab w:val="left" w:pos="1134"/>
              </w:tabs>
              <w:jc w:val="center"/>
              <w:rPr>
                <w:rFonts w:cs="Times New Roman"/>
                <w:b/>
                <w:sz w:val="20"/>
                <w:szCs w:val="20"/>
              </w:rPr>
            </w:pPr>
            <w:proofErr w:type="spellStart"/>
            <w:r w:rsidRPr="000C69FD">
              <w:rPr>
                <w:rFonts w:cs="Times New Roman"/>
                <w:b/>
                <w:sz w:val="20"/>
                <w:szCs w:val="20"/>
              </w:rPr>
              <w:t>Sevelamer</w:t>
            </w:r>
            <w:proofErr w:type="spellEnd"/>
            <w:r w:rsidRPr="000C69FD">
              <w:rPr>
                <w:rFonts w:cs="Times New Roman"/>
                <w:b/>
                <w:sz w:val="20"/>
                <w:szCs w:val="20"/>
              </w:rPr>
              <w:t xml:space="preserve">  (N=26)    </w:t>
            </w:r>
          </w:p>
          <w:p w:rsidR="008D41C4" w:rsidRPr="000C69FD" w:rsidRDefault="008D41C4" w:rsidP="00193DC0">
            <w:pPr>
              <w:keepNext/>
              <w:tabs>
                <w:tab w:val="left" w:pos="1134"/>
              </w:tabs>
              <w:jc w:val="center"/>
              <w:rPr>
                <w:rFonts w:cs="Times New Roman"/>
                <w:b/>
                <w:noProof/>
              </w:rPr>
            </w:pPr>
            <w:r w:rsidRPr="000C69FD">
              <w:rPr>
                <w:rFonts w:cs="Times New Roman"/>
                <w:b/>
                <w:sz w:val="20"/>
                <w:szCs w:val="20"/>
              </w:rPr>
              <w:t>%</w:t>
            </w:r>
          </w:p>
        </w:tc>
        <w:tc>
          <w:tcPr>
            <w:tcW w:w="1224" w:type="dxa"/>
          </w:tcPr>
          <w:p w:rsidR="008D41C4" w:rsidRPr="000C69FD" w:rsidRDefault="002C0EDA" w:rsidP="00193DC0">
            <w:pPr>
              <w:keepNext/>
              <w:tabs>
                <w:tab w:val="left" w:pos="1134"/>
              </w:tabs>
              <w:jc w:val="center"/>
              <w:rPr>
                <w:rFonts w:cs="Times New Roman"/>
                <w:b/>
                <w:sz w:val="20"/>
                <w:szCs w:val="20"/>
              </w:rPr>
            </w:pPr>
            <w:proofErr w:type="spellStart"/>
            <w:r>
              <w:rPr>
                <w:rFonts w:cs="Times New Roman"/>
                <w:b/>
                <w:sz w:val="20"/>
                <w:szCs w:val="20"/>
              </w:rPr>
              <w:t>Velphoro</w:t>
            </w:r>
            <w:proofErr w:type="spellEnd"/>
            <w:r w:rsidR="008D41C4" w:rsidRPr="000C69FD">
              <w:rPr>
                <w:rFonts w:cs="Times New Roman"/>
                <w:b/>
                <w:sz w:val="20"/>
                <w:szCs w:val="20"/>
              </w:rPr>
              <w:t xml:space="preserve"> (N=707)</w:t>
            </w:r>
          </w:p>
          <w:p w:rsidR="008D41C4" w:rsidRPr="000C69FD" w:rsidRDefault="008D41C4" w:rsidP="00193DC0">
            <w:pPr>
              <w:keepNext/>
              <w:tabs>
                <w:tab w:val="left" w:pos="1134"/>
              </w:tabs>
              <w:jc w:val="center"/>
              <w:rPr>
                <w:rFonts w:cs="Times New Roman"/>
                <w:b/>
                <w:noProof/>
              </w:rPr>
            </w:pPr>
            <w:r w:rsidRPr="000C69FD">
              <w:rPr>
                <w:rFonts w:cs="Times New Roman"/>
                <w:b/>
                <w:sz w:val="20"/>
                <w:szCs w:val="20"/>
              </w:rPr>
              <w:t>%</w:t>
            </w:r>
          </w:p>
        </w:tc>
        <w:tc>
          <w:tcPr>
            <w:tcW w:w="1346" w:type="dxa"/>
          </w:tcPr>
          <w:p w:rsidR="001320A3" w:rsidRDefault="008D41C4" w:rsidP="00193DC0">
            <w:pPr>
              <w:keepNext/>
              <w:tabs>
                <w:tab w:val="left" w:pos="1134"/>
              </w:tabs>
              <w:jc w:val="center"/>
              <w:rPr>
                <w:rFonts w:cs="Times New Roman"/>
                <w:b/>
                <w:sz w:val="20"/>
                <w:szCs w:val="20"/>
              </w:rPr>
            </w:pPr>
            <w:proofErr w:type="spellStart"/>
            <w:r w:rsidRPr="000C69FD">
              <w:rPr>
                <w:rFonts w:cs="Times New Roman"/>
                <w:b/>
                <w:sz w:val="20"/>
                <w:szCs w:val="20"/>
              </w:rPr>
              <w:t>Sevelamer</w:t>
            </w:r>
            <w:proofErr w:type="spellEnd"/>
            <w:r w:rsidRPr="000C69FD">
              <w:rPr>
                <w:rFonts w:cs="Times New Roman"/>
                <w:b/>
                <w:sz w:val="20"/>
                <w:szCs w:val="20"/>
              </w:rPr>
              <w:t xml:space="preserve"> (N=348) </w:t>
            </w:r>
          </w:p>
          <w:p w:rsidR="008D41C4" w:rsidRPr="000C69FD" w:rsidRDefault="008D41C4" w:rsidP="00193DC0">
            <w:pPr>
              <w:keepNext/>
              <w:tabs>
                <w:tab w:val="left" w:pos="1134"/>
              </w:tabs>
              <w:jc w:val="center"/>
              <w:rPr>
                <w:rFonts w:cs="Times New Roman"/>
                <w:b/>
                <w:noProof/>
              </w:rPr>
            </w:pPr>
            <w:r w:rsidRPr="000C69FD">
              <w:rPr>
                <w:rFonts w:cs="Times New Roman"/>
                <w:b/>
                <w:sz w:val="20"/>
                <w:szCs w:val="20"/>
              </w:rPr>
              <w:t>%</w:t>
            </w:r>
          </w:p>
        </w:tc>
      </w:tr>
      <w:tr w:rsidR="008D41C4" w:rsidTr="000F626F">
        <w:tc>
          <w:tcPr>
            <w:tcW w:w="2598" w:type="dxa"/>
            <w:tcBorders>
              <w:right w:val="nil"/>
            </w:tcBorders>
          </w:tcPr>
          <w:p w:rsidR="008D41C4" w:rsidRDefault="008D41C4" w:rsidP="00193DC0">
            <w:pPr>
              <w:keepNext/>
              <w:tabs>
                <w:tab w:val="left" w:pos="1134"/>
              </w:tabs>
              <w:rPr>
                <w:rFonts w:cs="Times New Roman"/>
                <w:b/>
                <w:noProof/>
              </w:rPr>
            </w:pPr>
            <w:r w:rsidRPr="006B61A1">
              <w:rPr>
                <w:rFonts w:cs="Times New Roman"/>
                <w:sz w:val="20"/>
                <w:szCs w:val="20"/>
              </w:rPr>
              <w:t xml:space="preserve">Gastrointestinal disorders           </w:t>
            </w:r>
          </w:p>
        </w:tc>
        <w:tc>
          <w:tcPr>
            <w:tcW w:w="1224" w:type="dxa"/>
            <w:tcBorders>
              <w:left w:val="nil"/>
              <w:right w:val="nil"/>
            </w:tcBorders>
          </w:tcPr>
          <w:p w:rsidR="008D41C4" w:rsidRDefault="008D41C4" w:rsidP="00193DC0">
            <w:pPr>
              <w:keepNext/>
              <w:tabs>
                <w:tab w:val="left" w:pos="1134"/>
              </w:tabs>
              <w:jc w:val="center"/>
              <w:rPr>
                <w:rFonts w:cs="Times New Roman"/>
                <w:b/>
                <w:noProof/>
              </w:rPr>
            </w:pPr>
          </w:p>
        </w:tc>
        <w:tc>
          <w:tcPr>
            <w:tcW w:w="1346" w:type="dxa"/>
            <w:tcBorders>
              <w:left w:val="nil"/>
              <w:right w:val="nil"/>
            </w:tcBorders>
          </w:tcPr>
          <w:p w:rsidR="008D41C4" w:rsidRDefault="008D41C4" w:rsidP="00193DC0">
            <w:pPr>
              <w:keepNext/>
              <w:tabs>
                <w:tab w:val="left" w:pos="1134"/>
              </w:tabs>
              <w:jc w:val="center"/>
              <w:rPr>
                <w:rFonts w:cs="Times New Roman"/>
                <w:b/>
                <w:noProof/>
              </w:rPr>
            </w:pPr>
          </w:p>
        </w:tc>
        <w:tc>
          <w:tcPr>
            <w:tcW w:w="1224" w:type="dxa"/>
            <w:tcBorders>
              <w:left w:val="nil"/>
              <w:right w:val="nil"/>
            </w:tcBorders>
          </w:tcPr>
          <w:p w:rsidR="008D41C4" w:rsidRDefault="008D41C4" w:rsidP="00193DC0">
            <w:pPr>
              <w:keepNext/>
              <w:tabs>
                <w:tab w:val="left" w:pos="1134"/>
              </w:tabs>
              <w:jc w:val="center"/>
              <w:rPr>
                <w:rFonts w:cs="Times New Roman"/>
                <w:b/>
                <w:noProof/>
              </w:rPr>
            </w:pPr>
          </w:p>
        </w:tc>
        <w:tc>
          <w:tcPr>
            <w:tcW w:w="1346" w:type="dxa"/>
            <w:tcBorders>
              <w:left w:val="nil"/>
            </w:tcBorders>
          </w:tcPr>
          <w:p w:rsidR="008D41C4" w:rsidRDefault="008D41C4" w:rsidP="00193DC0">
            <w:pPr>
              <w:keepNext/>
              <w:tabs>
                <w:tab w:val="left" w:pos="1134"/>
              </w:tabs>
              <w:jc w:val="center"/>
              <w:rPr>
                <w:rFonts w:cs="Times New Roman"/>
                <w:b/>
                <w:noProof/>
              </w:rPr>
            </w:pPr>
          </w:p>
        </w:tc>
      </w:tr>
      <w:tr w:rsidR="001320A3" w:rsidTr="000F626F">
        <w:tc>
          <w:tcPr>
            <w:tcW w:w="2598" w:type="dxa"/>
          </w:tcPr>
          <w:p w:rsidR="008D41C4" w:rsidRDefault="008D41C4" w:rsidP="00193DC0">
            <w:pPr>
              <w:keepNext/>
              <w:tabs>
                <w:tab w:val="left" w:pos="263"/>
                <w:tab w:val="left" w:pos="1134"/>
              </w:tabs>
              <w:rPr>
                <w:rFonts w:cs="Times New Roman"/>
                <w:b/>
                <w:noProof/>
              </w:rPr>
            </w:pPr>
            <w:r>
              <w:rPr>
                <w:rFonts w:cs="Times New Roman"/>
                <w:sz w:val="20"/>
                <w:szCs w:val="20"/>
              </w:rPr>
              <w:tab/>
            </w:r>
            <w:r w:rsidRPr="006B61A1">
              <w:rPr>
                <w:rFonts w:cs="Times New Roman"/>
                <w:sz w:val="20"/>
                <w:szCs w:val="20"/>
              </w:rPr>
              <w:t>Diarrhoea</w:t>
            </w:r>
          </w:p>
        </w:tc>
        <w:tc>
          <w:tcPr>
            <w:tcW w:w="1224" w:type="dxa"/>
          </w:tcPr>
          <w:p w:rsidR="008D41C4" w:rsidRDefault="008D41C4" w:rsidP="00193DC0">
            <w:pPr>
              <w:keepNext/>
              <w:tabs>
                <w:tab w:val="left" w:pos="1134"/>
              </w:tabs>
              <w:jc w:val="center"/>
              <w:rPr>
                <w:rFonts w:cs="Times New Roman"/>
                <w:b/>
                <w:noProof/>
              </w:rPr>
            </w:pPr>
            <w:r w:rsidRPr="006B61A1">
              <w:rPr>
                <w:rFonts w:cs="Times New Roman"/>
                <w:sz w:val="20"/>
                <w:szCs w:val="20"/>
              </w:rPr>
              <w:t>5.5%</w:t>
            </w:r>
          </w:p>
        </w:tc>
        <w:tc>
          <w:tcPr>
            <w:tcW w:w="1346" w:type="dxa"/>
          </w:tcPr>
          <w:p w:rsidR="008D41C4" w:rsidRDefault="008D41C4" w:rsidP="00193DC0">
            <w:pPr>
              <w:keepNext/>
              <w:tabs>
                <w:tab w:val="left" w:pos="1134"/>
              </w:tabs>
              <w:jc w:val="center"/>
              <w:rPr>
                <w:rFonts w:cs="Times New Roman"/>
                <w:b/>
                <w:noProof/>
              </w:rPr>
            </w:pPr>
            <w:r w:rsidRPr="006B61A1">
              <w:rPr>
                <w:rFonts w:cs="Times New Roman"/>
                <w:sz w:val="20"/>
                <w:szCs w:val="20"/>
              </w:rPr>
              <w:t>11.5%</w:t>
            </w:r>
          </w:p>
        </w:tc>
        <w:tc>
          <w:tcPr>
            <w:tcW w:w="1224" w:type="dxa"/>
          </w:tcPr>
          <w:p w:rsidR="008D41C4" w:rsidRDefault="008D41C4" w:rsidP="00193DC0">
            <w:pPr>
              <w:keepNext/>
              <w:tabs>
                <w:tab w:val="left" w:pos="1134"/>
              </w:tabs>
              <w:jc w:val="center"/>
              <w:rPr>
                <w:rFonts w:cs="Times New Roman"/>
                <w:b/>
                <w:noProof/>
              </w:rPr>
            </w:pPr>
            <w:r w:rsidRPr="006B61A1">
              <w:rPr>
                <w:rFonts w:cs="Times New Roman"/>
                <w:sz w:val="20"/>
                <w:szCs w:val="20"/>
              </w:rPr>
              <w:t>23.6%</w:t>
            </w:r>
          </w:p>
        </w:tc>
        <w:tc>
          <w:tcPr>
            <w:tcW w:w="1346" w:type="dxa"/>
          </w:tcPr>
          <w:p w:rsidR="008D41C4" w:rsidRDefault="008D41C4" w:rsidP="00193DC0">
            <w:pPr>
              <w:keepNext/>
              <w:tabs>
                <w:tab w:val="left" w:pos="1134"/>
              </w:tabs>
              <w:jc w:val="center"/>
              <w:rPr>
                <w:rFonts w:cs="Times New Roman"/>
                <w:b/>
                <w:noProof/>
              </w:rPr>
            </w:pPr>
            <w:r w:rsidRPr="006B61A1">
              <w:rPr>
                <w:rFonts w:cs="Times New Roman"/>
                <w:sz w:val="20"/>
                <w:szCs w:val="20"/>
              </w:rPr>
              <w:t>11.5%</w:t>
            </w:r>
          </w:p>
        </w:tc>
      </w:tr>
      <w:tr w:rsidR="001320A3" w:rsidTr="000F626F">
        <w:tc>
          <w:tcPr>
            <w:tcW w:w="2598" w:type="dxa"/>
          </w:tcPr>
          <w:p w:rsidR="008D41C4" w:rsidRPr="000C69FD" w:rsidRDefault="008D41C4" w:rsidP="00193DC0">
            <w:pPr>
              <w:keepNext/>
              <w:tabs>
                <w:tab w:val="left" w:pos="263"/>
                <w:tab w:val="left" w:pos="1134"/>
              </w:tabs>
              <w:rPr>
                <w:rFonts w:cs="Times New Roman"/>
                <w:sz w:val="20"/>
                <w:szCs w:val="20"/>
              </w:rPr>
            </w:pPr>
            <w:r>
              <w:rPr>
                <w:rFonts w:cs="Times New Roman"/>
                <w:sz w:val="20"/>
                <w:szCs w:val="20"/>
              </w:rPr>
              <w:tab/>
            </w:r>
            <w:r w:rsidRPr="006B61A1">
              <w:rPr>
                <w:rFonts w:cs="Times New Roman"/>
                <w:sz w:val="20"/>
                <w:szCs w:val="20"/>
              </w:rPr>
              <w:t xml:space="preserve">Faeces discoloured                  </w:t>
            </w:r>
          </w:p>
        </w:tc>
        <w:tc>
          <w:tcPr>
            <w:tcW w:w="1224" w:type="dxa"/>
          </w:tcPr>
          <w:p w:rsidR="008D41C4" w:rsidRDefault="008D41C4" w:rsidP="00193DC0">
            <w:pPr>
              <w:keepNext/>
              <w:tabs>
                <w:tab w:val="left" w:pos="1134"/>
              </w:tabs>
              <w:jc w:val="center"/>
              <w:rPr>
                <w:rFonts w:cs="Times New Roman"/>
                <w:b/>
                <w:noProof/>
              </w:rPr>
            </w:pPr>
            <w:r w:rsidRPr="006B61A1">
              <w:rPr>
                <w:rFonts w:cs="Times New Roman"/>
                <w:sz w:val="20"/>
                <w:szCs w:val="20"/>
              </w:rPr>
              <w:t>11.7%</w:t>
            </w:r>
          </w:p>
        </w:tc>
        <w:tc>
          <w:tcPr>
            <w:tcW w:w="1346" w:type="dxa"/>
          </w:tcPr>
          <w:p w:rsidR="008D41C4" w:rsidRDefault="008D41C4" w:rsidP="00193DC0">
            <w:pPr>
              <w:keepNext/>
              <w:tabs>
                <w:tab w:val="left" w:pos="1134"/>
              </w:tabs>
              <w:jc w:val="center"/>
              <w:rPr>
                <w:rFonts w:cs="Times New Roman"/>
                <w:b/>
                <w:noProof/>
              </w:rPr>
            </w:pPr>
            <w:r w:rsidRPr="006B61A1">
              <w:rPr>
                <w:rFonts w:cs="Times New Roman"/>
                <w:sz w:val="20"/>
                <w:szCs w:val="20"/>
              </w:rPr>
              <w:t>0.0%</w:t>
            </w:r>
          </w:p>
        </w:tc>
        <w:tc>
          <w:tcPr>
            <w:tcW w:w="1224" w:type="dxa"/>
          </w:tcPr>
          <w:p w:rsidR="008D41C4" w:rsidRDefault="008D41C4" w:rsidP="00193DC0">
            <w:pPr>
              <w:keepNext/>
              <w:tabs>
                <w:tab w:val="left" w:pos="1134"/>
              </w:tabs>
              <w:jc w:val="center"/>
              <w:rPr>
                <w:rFonts w:cs="Times New Roman"/>
                <w:b/>
                <w:noProof/>
              </w:rPr>
            </w:pPr>
            <w:r w:rsidRPr="006B61A1">
              <w:rPr>
                <w:rFonts w:cs="Times New Roman"/>
                <w:sz w:val="20"/>
                <w:szCs w:val="20"/>
              </w:rPr>
              <w:t>16.1%</w:t>
            </w:r>
          </w:p>
        </w:tc>
        <w:tc>
          <w:tcPr>
            <w:tcW w:w="1346" w:type="dxa"/>
          </w:tcPr>
          <w:p w:rsidR="008D41C4" w:rsidRDefault="008D41C4" w:rsidP="00193DC0">
            <w:pPr>
              <w:keepNext/>
              <w:tabs>
                <w:tab w:val="left" w:pos="1134"/>
              </w:tabs>
              <w:jc w:val="center"/>
              <w:rPr>
                <w:rFonts w:cs="Times New Roman"/>
                <w:b/>
                <w:noProof/>
              </w:rPr>
            </w:pPr>
            <w:r w:rsidRPr="006B61A1">
              <w:rPr>
                <w:rFonts w:cs="Times New Roman"/>
                <w:sz w:val="20"/>
                <w:szCs w:val="20"/>
              </w:rPr>
              <w:t>0.3%</w:t>
            </w:r>
          </w:p>
        </w:tc>
      </w:tr>
      <w:tr w:rsidR="001320A3" w:rsidTr="000F626F">
        <w:tc>
          <w:tcPr>
            <w:tcW w:w="2598" w:type="dxa"/>
          </w:tcPr>
          <w:p w:rsidR="008D41C4" w:rsidRPr="000C69FD" w:rsidRDefault="008D41C4" w:rsidP="00193DC0">
            <w:pPr>
              <w:keepNext/>
              <w:tabs>
                <w:tab w:val="left" w:pos="263"/>
                <w:tab w:val="left" w:pos="1134"/>
              </w:tabs>
              <w:rPr>
                <w:rFonts w:cs="Times New Roman"/>
                <w:sz w:val="20"/>
                <w:szCs w:val="20"/>
              </w:rPr>
            </w:pPr>
            <w:r>
              <w:rPr>
                <w:rFonts w:cs="Times New Roman"/>
                <w:sz w:val="20"/>
                <w:szCs w:val="20"/>
              </w:rPr>
              <w:t xml:space="preserve"> </w:t>
            </w:r>
            <w:r>
              <w:rPr>
                <w:rFonts w:cs="Times New Roman"/>
                <w:sz w:val="20"/>
                <w:szCs w:val="20"/>
              </w:rPr>
              <w:tab/>
            </w:r>
            <w:r w:rsidRPr="006B61A1">
              <w:rPr>
                <w:rFonts w:cs="Times New Roman"/>
                <w:sz w:val="20"/>
                <w:szCs w:val="20"/>
              </w:rPr>
              <w:t xml:space="preserve">Nausea                              </w:t>
            </w:r>
          </w:p>
        </w:tc>
        <w:tc>
          <w:tcPr>
            <w:tcW w:w="1224" w:type="dxa"/>
          </w:tcPr>
          <w:p w:rsidR="008D41C4" w:rsidRDefault="008D41C4" w:rsidP="00193DC0">
            <w:pPr>
              <w:keepNext/>
              <w:tabs>
                <w:tab w:val="left" w:pos="1134"/>
              </w:tabs>
              <w:jc w:val="center"/>
              <w:rPr>
                <w:rFonts w:cs="Times New Roman"/>
                <w:b/>
                <w:noProof/>
              </w:rPr>
            </w:pPr>
            <w:r>
              <w:rPr>
                <w:rFonts w:cs="Times New Roman"/>
                <w:sz w:val="20"/>
                <w:szCs w:val="20"/>
              </w:rPr>
              <w:t>0.8%</w:t>
            </w:r>
          </w:p>
        </w:tc>
        <w:tc>
          <w:tcPr>
            <w:tcW w:w="1346" w:type="dxa"/>
          </w:tcPr>
          <w:p w:rsidR="008D41C4" w:rsidRDefault="008D41C4" w:rsidP="00193DC0">
            <w:pPr>
              <w:keepNext/>
              <w:tabs>
                <w:tab w:val="left" w:pos="1134"/>
              </w:tabs>
              <w:jc w:val="center"/>
              <w:rPr>
                <w:rFonts w:cs="Times New Roman"/>
                <w:b/>
                <w:noProof/>
              </w:rPr>
            </w:pPr>
            <w:r w:rsidRPr="006B61A1">
              <w:rPr>
                <w:rFonts w:cs="Times New Roman"/>
                <w:sz w:val="20"/>
                <w:szCs w:val="20"/>
              </w:rPr>
              <w:t>3.8%</w:t>
            </w:r>
          </w:p>
        </w:tc>
        <w:tc>
          <w:tcPr>
            <w:tcW w:w="1224" w:type="dxa"/>
          </w:tcPr>
          <w:p w:rsidR="008D41C4" w:rsidRDefault="008D41C4" w:rsidP="00193DC0">
            <w:pPr>
              <w:keepNext/>
              <w:tabs>
                <w:tab w:val="left" w:pos="1134"/>
              </w:tabs>
              <w:jc w:val="center"/>
              <w:rPr>
                <w:rFonts w:cs="Times New Roman"/>
                <w:b/>
                <w:noProof/>
              </w:rPr>
            </w:pPr>
            <w:r w:rsidRPr="006B61A1">
              <w:rPr>
                <w:rFonts w:cs="Times New Roman"/>
                <w:sz w:val="20"/>
                <w:szCs w:val="20"/>
              </w:rPr>
              <w:t>9.8%</w:t>
            </w:r>
          </w:p>
        </w:tc>
        <w:tc>
          <w:tcPr>
            <w:tcW w:w="1346" w:type="dxa"/>
          </w:tcPr>
          <w:p w:rsidR="008D41C4" w:rsidRDefault="008D41C4" w:rsidP="00193DC0">
            <w:pPr>
              <w:keepNext/>
              <w:tabs>
                <w:tab w:val="left" w:pos="1134"/>
              </w:tabs>
              <w:jc w:val="center"/>
              <w:rPr>
                <w:rFonts w:cs="Times New Roman"/>
                <w:b/>
                <w:noProof/>
              </w:rPr>
            </w:pPr>
            <w:r w:rsidRPr="006B61A1">
              <w:rPr>
                <w:rFonts w:cs="Times New Roman"/>
                <w:sz w:val="20"/>
                <w:szCs w:val="20"/>
              </w:rPr>
              <w:t>14.4%</w:t>
            </w:r>
          </w:p>
        </w:tc>
      </w:tr>
      <w:tr w:rsidR="001320A3" w:rsidTr="000F626F">
        <w:tc>
          <w:tcPr>
            <w:tcW w:w="2598" w:type="dxa"/>
          </w:tcPr>
          <w:p w:rsidR="008D41C4" w:rsidRPr="000C69FD" w:rsidRDefault="008D41C4" w:rsidP="00193DC0">
            <w:pPr>
              <w:keepNext/>
              <w:tabs>
                <w:tab w:val="left" w:pos="263"/>
                <w:tab w:val="left" w:pos="1134"/>
              </w:tabs>
              <w:rPr>
                <w:rFonts w:cs="Times New Roman"/>
                <w:sz w:val="20"/>
                <w:szCs w:val="20"/>
              </w:rPr>
            </w:pPr>
            <w:r>
              <w:rPr>
                <w:rFonts w:cs="Times New Roman"/>
                <w:sz w:val="20"/>
                <w:szCs w:val="20"/>
              </w:rPr>
              <w:tab/>
            </w:r>
            <w:r w:rsidRPr="006B61A1">
              <w:rPr>
                <w:rFonts w:cs="Times New Roman"/>
                <w:sz w:val="20"/>
                <w:szCs w:val="20"/>
              </w:rPr>
              <w:t xml:space="preserve">Vomiting  </w:t>
            </w:r>
          </w:p>
        </w:tc>
        <w:tc>
          <w:tcPr>
            <w:tcW w:w="1224" w:type="dxa"/>
          </w:tcPr>
          <w:p w:rsidR="008D41C4" w:rsidRDefault="008D41C4" w:rsidP="00193DC0">
            <w:pPr>
              <w:keepNext/>
              <w:tabs>
                <w:tab w:val="left" w:pos="1134"/>
              </w:tabs>
              <w:jc w:val="center"/>
              <w:rPr>
                <w:rFonts w:cs="Times New Roman"/>
                <w:b/>
                <w:noProof/>
              </w:rPr>
            </w:pPr>
            <w:r w:rsidRPr="006B61A1">
              <w:rPr>
                <w:rFonts w:cs="Times New Roman"/>
                <w:sz w:val="20"/>
                <w:szCs w:val="20"/>
              </w:rPr>
              <w:t>2.3%</w:t>
            </w:r>
          </w:p>
        </w:tc>
        <w:tc>
          <w:tcPr>
            <w:tcW w:w="1346" w:type="dxa"/>
          </w:tcPr>
          <w:p w:rsidR="008D41C4" w:rsidRDefault="008D41C4" w:rsidP="00193DC0">
            <w:pPr>
              <w:keepNext/>
              <w:tabs>
                <w:tab w:val="left" w:pos="1134"/>
              </w:tabs>
              <w:jc w:val="center"/>
              <w:rPr>
                <w:rFonts w:cs="Times New Roman"/>
                <w:b/>
                <w:noProof/>
              </w:rPr>
            </w:pPr>
            <w:r w:rsidRPr="006B61A1">
              <w:rPr>
                <w:rFonts w:cs="Times New Roman"/>
                <w:sz w:val="20"/>
                <w:szCs w:val="20"/>
              </w:rPr>
              <w:t>3.8%</w:t>
            </w:r>
          </w:p>
        </w:tc>
        <w:tc>
          <w:tcPr>
            <w:tcW w:w="1224" w:type="dxa"/>
          </w:tcPr>
          <w:p w:rsidR="008D41C4" w:rsidRDefault="008D41C4" w:rsidP="00193DC0">
            <w:pPr>
              <w:keepNext/>
              <w:tabs>
                <w:tab w:val="left" w:pos="1134"/>
              </w:tabs>
              <w:jc w:val="center"/>
              <w:rPr>
                <w:rFonts w:cs="Times New Roman"/>
                <w:b/>
                <w:noProof/>
              </w:rPr>
            </w:pPr>
            <w:r w:rsidRPr="006B61A1">
              <w:rPr>
                <w:rFonts w:cs="Times New Roman"/>
                <w:sz w:val="20"/>
                <w:szCs w:val="20"/>
              </w:rPr>
              <w:t>5.9%</w:t>
            </w:r>
          </w:p>
        </w:tc>
        <w:tc>
          <w:tcPr>
            <w:tcW w:w="1346" w:type="dxa"/>
          </w:tcPr>
          <w:p w:rsidR="008D41C4" w:rsidRDefault="008D41C4" w:rsidP="00193DC0">
            <w:pPr>
              <w:keepNext/>
              <w:tabs>
                <w:tab w:val="left" w:pos="1134"/>
              </w:tabs>
              <w:jc w:val="center"/>
              <w:rPr>
                <w:rFonts w:cs="Times New Roman"/>
                <w:b/>
                <w:noProof/>
              </w:rPr>
            </w:pPr>
            <w:r w:rsidRPr="006B61A1">
              <w:rPr>
                <w:rFonts w:cs="Times New Roman"/>
                <w:sz w:val="20"/>
                <w:szCs w:val="20"/>
              </w:rPr>
              <w:t>9.2%</w:t>
            </w:r>
          </w:p>
        </w:tc>
      </w:tr>
      <w:tr w:rsidR="001320A3" w:rsidTr="000F626F">
        <w:tc>
          <w:tcPr>
            <w:tcW w:w="2598" w:type="dxa"/>
          </w:tcPr>
          <w:p w:rsidR="008D41C4" w:rsidRPr="000C69FD" w:rsidRDefault="008D41C4" w:rsidP="00193DC0">
            <w:pPr>
              <w:keepNext/>
              <w:tabs>
                <w:tab w:val="left" w:pos="263"/>
                <w:tab w:val="left" w:pos="1134"/>
              </w:tabs>
              <w:rPr>
                <w:rFonts w:cs="Times New Roman"/>
                <w:sz w:val="20"/>
                <w:szCs w:val="20"/>
              </w:rPr>
            </w:pPr>
            <w:r>
              <w:rPr>
                <w:rFonts w:cs="Times New Roman"/>
                <w:sz w:val="20"/>
                <w:szCs w:val="20"/>
              </w:rPr>
              <w:tab/>
            </w:r>
            <w:r w:rsidRPr="006B61A1">
              <w:rPr>
                <w:rFonts w:cs="Times New Roman"/>
                <w:sz w:val="20"/>
                <w:szCs w:val="20"/>
              </w:rPr>
              <w:t>Constipation</w:t>
            </w:r>
          </w:p>
        </w:tc>
        <w:tc>
          <w:tcPr>
            <w:tcW w:w="1224" w:type="dxa"/>
          </w:tcPr>
          <w:p w:rsidR="008D41C4" w:rsidRDefault="008D41C4" w:rsidP="00193DC0">
            <w:pPr>
              <w:keepNext/>
              <w:tabs>
                <w:tab w:val="left" w:pos="1134"/>
              </w:tabs>
              <w:jc w:val="center"/>
              <w:rPr>
                <w:rFonts w:cs="Times New Roman"/>
                <w:b/>
                <w:noProof/>
              </w:rPr>
            </w:pPr>
            <w:r w:rsidRPr="006B61A1">
              <w:rPr>
                <w:rFonts w:cs="Times New Roman"/>
                <w:sz w:val="20"/>
                <w:szCs w:val="20"/>
              </w:rPr>
              <w:t>3.1%</w:t>
            </w:r>
          </w:p>
        </w:tc>
        <w:tc>
          <w:tcPr>
            <w:tcW w:w="1346" w:type="dxa"/>
          </w:tcPr>
          <w:p w:rsidR="008D41C4" w:rsidRDefault="008D41C4" w:rsidP="00193DC0">
            <w:pPr>
              <w:keepNext/>
              <w:tabs>
                <w:tab w:val="left" w:pos="1134"/>
              </w:tabs>
              <w:jc w:val="center"/>
              <w:rPr>
                <w:rFonts w:cs="Times New Roman"/>
                <w:b/>
                <w:noProof/>
              </w:rPr>
            </w:pPr>
            <w:r w:rsidRPr="006B61A1">
              <w:rPr>
                <w:rFonts w:cs="Times New Roman"/>
                <w:sz w:val="20"/>
                <w:szCs w:val="20"/>
              </w:rPr>
              <w:t>0.0%</w:t>
            </w:r>
          </w:p>
        </w:tc>
        <w:tc>
          <w:tcPr>
            <w:tcW w:w="1224" w:type="dxa"/>
          </w:tcPr>
          <w:p w:rsidR="008D41C4" w:rsidRDefault="008D41C4" w:rsidP="00193DC0">
            <w:pPr>
              <w:keepNext/>
              <w:tabs>
                <w:tab w:val="left" w:pos="1134"/>
              </w:tabs>
              <w:jc w:val="center"/>
              <w:rPr>
                <w:rFonts w:cs="Times New Roman"/>
                <w:b/>
                <w:noProof/>
              </w:rPr>
            </w:pPr>
            <w:r w:rsidRPr="006B61A1">
              <w:rPr>
                <w:rFonts w:cs="Times New Roman"/>
                <w:sz w:val="20"/>
                <w:szCs w:val="20"/>
              </w:rPr>
              <w:t>5.1%</w:t>
            </w:r>
          </w:p>
        </w:tc>
        <w:tc>
          <w:tcPr>
            <w:tcW w:w="1346" w:type="dxa"/>
          </w:tcPr>
          <w:p w:rsidR="008D41C4" w:rsidRDefault="008D41C4" w:rsidP="00193DC0">
            <w:pPr>
              <w:keepNext/>
              <w:tabs>
                <w:tab w:val="left" w:pos="1134"/>
              </w:tabs>
              <w:jc w:val="center"/>
              <w:rPr>
                <w:rFonts w:cs="Times New Roman"/>
                <w:b/>
                <w:noProof/>
              </w:rPr>
            </w:pPr>
            <w:r w:rsidRPr="006B61A1">
              <w:rPr>
                <w:rFonts w:cs="Times New Roman"/>
                <w:sz w:val="20"/>
                <w:szCs w:val="20"/>
              </w:rPr>
              <w:t>8.3%</w:t>
            </w:r>
          </w:p>
        </w:tc>
      </w:tr>
      <w:tr w:rsidR="008D41C4" w:rsidTr="000F626F">
        <w:tc>
          <w:tcPr>
            <w:tcW w:w="7738" w:type="dxa"/>
            <w:gridSpan w:val="5"/>
          </w:tcPr>
          <w:p w:rsidR="008D41C4" w:rsidRPr="006B61A1" w:rsidRDefault="008D41C4" w:rsidP="00193DC0">
            <w:pPr>
              <w:keepNext/>
              <w:tabs>
                <w:tab w:val="left" w:pos="1134"/>
              </w:tabs>
              <w:rPr>
                <w:rFonts w:cs="Times New Roman"/>
                <w:sz w:val="20"/>
                <w:szCs w:val="20"/>
              </w:rPr>
            </w:pPr>
            <w:r w:rsidRPr="006B61A1">
              <w:rPr>
                <w:rFonts w:cs="Times New Roman"/>
                <w:sz w:val="20"/>
                <w:szCs w:val="20"/>
              </w:rPr>
              <w:t xml:space="preserve">Metabolism and nutrition disorders   </w:t>
            </w:r>
          </w:p>
        </w:tc>
      </w:tr>
      <w:tr w:rsidR="001320A3" w:rsidTr="000F626F">
        <w:tc>
          <w:tcPr>
            <w:tcW w:w="2598" w:type="dxa"/>
          </w:tcPr>
          <w:p w:rsidR="008D41C4" w:rsidRPr="000C69FD" w:rsidRDefault="008D41C4" w:rsidP="00193DC0">
            <w:pPr>
              <w:keepNext/>
              <w:tabs>
                <w:tab w:val="left" w:pos="263"/>
                <w:tab w:val="left" w:pos="1134"/>
              </w:tabs>
              <w:rPr>
                <w:rFonts w:cs="Times New Roman"/>
                <w:sz w:val="20"/>
                <w:szCs w:val="20"/>
              </w:rPr>
            </w:pPr>
            <w:r>
              <w:rPr>
                <w:rFonts w:cs="Times New Roman"/>
                <w:sz w:val="20"/>
                <w:szCs w:val="20"/>
              </w:rPr>
              <w:tab/>
            </w:r>
            <w:proofErr w:type="spellStart"/>
            <w:r w:rsidRPr="006B61A1">
              <w:rPr>
                <w:rFonts w:cs="Times New Roman"/>
                <w:sz w:val="20"/>
                <w:szCs w:val="20"/>
              </w:rPr>
              <w:t>Hyperphosphataemia</w:t>
            </w:r>
            <w:proofErr w:type="spellEnd"/>
          </w:p>
        </w:tc>
        <w:tc>
          <w:tcPr>
            <w:tcW w:w="1224"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7.8%</w:t>
            </w:r>
          </w:p>
        </w:tc>
        <w:tc>
          <w:tcPr>
            <w:tcW w:w="1346"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7.7%</w:t>
            </w:r>
          </w:p>
        </w:tc>
        <w:tc>
          <w:tcPr>
            <w:tcW w:w="1224"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16.0%</w:t>
            </w:r>
          </w:p>
        </w:tc>
        <w:tc>
          <w:tcPr>
            <w:tcW w:w="1346"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12.6%</w:t>
            </w:r>
          </w:p>
        </w:tc>
      </w:tr>
      <w:tr w:rsidR="001320A3" w:rsidTr="000F626F">
        <w:tc>
          <w:tcPr>
            <w:tcW w:w="2598" w:type="dxa"/>
          </w:tcPr>
          <w:p w:rsidR="008D41C4" w:rsidRPr="000C69FD" w:rsidRDefault="008D41C4" w:rsidP="00193DC0">
            <w:pPr>
              <w:keepNext/>
              <w:tabs>
                <w:tab w:val="left" w:pos="263"/>
                <w:tab w:val="left" w:pos="1134"/>
              </w:tabs>
              <w:rPr>
                <w:rFonts w:cs="Times New Roman"/>
                <w:sz w:val="20"/>
                <w:szCs w:val="20"/>
              </w:rPr>
            </w:pPr>
            <w:r>
              <w:rPr>
                <w:rFonts w:cs="Times New Roman"/>
                <w:sz w:val="20"/>
                <w:szCs w:val="20"/>
              </w:rPr>
              <w:tab/>
            </w:r>
            <w:proofErr w:type="spellStart"/>
            <w:r w:rsidRPr="006B61A1">
              <w:rPr>
                <w:rFonts w:cs="Times New Roman"/>
                <w:sz w:val="20"/>
                <w:szCs w:val="20"/>
              </w:rPr>
              <w:t>Hypophosphataemia</w:t>
            </w:r>
            <w:proofErr w:type="spellEnd"/>
            <w:r w:rsidRPr="006B61A1">
              <w:rPr>
                <w:rFonts w:cs="Times New Roman"/>
                <w:sz w:val="20"/>
                <w:szCs w:val="20"/>
              </w:rPr>
              <w:t xml:space="preserve">  </w:t>
            </w:r>
          </w:p>
        </w:tc>
        <w:tc>
          <w:tcPr>
            <w:tcW w:w="1224"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18.0%</w:t>
            </w:r>
          </w:p>
        </w:tc>
        <w:tc>
          <w:tcPr>
            <w:tcW w:w="1346"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11.5%</w:t>
            </w:r>
          </w:p>
        </w:tc>
        <w:tc>
          <w:tcPr>
            <w:tcW w:w="1224"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5.7%</w:t>
            </w:r>
          </w:p>
        </w:tc>
        <w:tc>
          <w:tcPr>
            <w:tcW w:w="1346"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8.3%</w:t>
            </w:r>
          </w:p>
        </w:tc>
      </w:tr>
      <w:tr w:rsidR="001320A3" w:rsidTr="000F626F">
        <w:tc>
          <w:tcPr>
            <w:tcW w:w="2598" w:type="dxa"/>
          </w:tcPr>
          <w:p w:rsidR="008D41C4" w:rsidRPr="000C69FD" w:rsidRDefault="008D41C4" w:rsidP="00193DC0">
            <w:pPr>
              <w:keepNext/>
              <w:tabs>
                <w:tab w:val="left" w:pos="263"/>
                <w:tab w:val="left" w:pos="1134"/>
              </w:tabs>
              <w:rPr>
                <w:rFonts w:cs="Times New Roman"/>
                <w:sz w:val="20"/>
                <w:szCs w:val="20"/>
              </w:rPr>
            </w:pPr>
            <w:r>
              <w:rPr>
                <w:rFonts w:cs="Times New Roman"/>
                <w:sz w:val="20"/>
                <w:szCs w:val="20"/>
              </w:rPr>
              <w:tab/>
            </w:r>
            <w:r w:rsidRPr="006B61A1">
              <w:rPr>
                <w:rFonts w:cs="Times New Roman"/>
                <w:sz w:val="20"/>
                <w:szCs w:val="20"/>
              </w:rPr>
              <w:t xml:space="preserve">Hyperkalaemia   </w:t>
            </w:r>
          </w:p>
        </w:tc>
        <w:tc>
          <w:tcPr>
            <w:tcW w:w="1224"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0.8%</w:t>
            </w:r>
          </w:p>
        </w:tc>
        <w:tc>
          <w:tcPr>
            <w:tcW w:w="1346"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0.0%</w:t>
            </w:r>
          </w:p>
        </w:tc>
        <w:tc>
          <w:tcPr>
            <w:tcW w:w="1224"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5.4%</w:t>
            </w:r>
          </w:p>
        </w:tc>
        <w:tc>
          <w:tcPr>
            <w:tcW w:w="1346"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7.2%</w:t>
            </w:r>
          </w:p>
        </w:tc>
      </w:tr>
      <w:tr w:rsidR="001320A3" w:rsidTr="000F626F">
        <w:tc>
          <w:tcPr>
            <w:tcW w:w="2598" w:type="dxa"/>
          </w:tcPr>
          <w:p w:rsidR="008D41C4" w:rsidRPr="000C69FD" w:rsidRDefault="008D41C4" w:rsidP="00193DC0">
            <w:pPr>
              <w:keepNext/>
              <w:tabs>
                <w:tab w:val="left" w:pos="263"/>
                <w:tab w:val="left" w:pos="1134"/>
              </w:tabs>
              <w:rPr>
                <w:rFonts w:cs="Times New Roman"/>
                <w:sz w:val="20"/>
                <w:szCs w:val="20"/>
              </w:rPr>
            </w:pPr>
            <w:r>
              <w:rPr>
                <w:rFonts w:cs="Times New Roman"/>
                <w:sz w:val="20"/>
                <w:szCs w:val="20"/>
              </w:rPr>
              <w:tab/>
            </w:r>
            <w:r w:rsidRPr="006B61A1">
              <w:rPr>
                <w:rFonts w:cs="Times New Roman"/>
                <w:sz w:val="20"/>
                <w:szCs w:val="20"/>
              </w:rPr>
              <w:t xml:space="preserve">Hypocalcaemia                       </w:t>
            </w:r>
          </w:p>
        </w:tc>
        <w:tc>
          <w:tcPr>
            <w:tcW w:w="1224"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0.0%</w:t>
            </w:r>
          </w:p>
        </w:tc>
        <w:tc>
          <w:tcPr>
            <w:tcW w:w="1346"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0.0%</w:t>
            </w:r>
          </w:p>
        </w:tc>
        <w:tc>
          <w:tcPr>
            <w:tcW w:w="1224"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4.7%</w:t>
            </w:r>
          </w:p>
        </w:tc>
        <w:tc>
          <w:tcPr>
            <w:tcW w:w="1346"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6.3%</w:t>
            </w:r>
          </w:p>
        </w:tc>
      </w:tr>
      <w:tr w:rsidR="001320A3" w:rsidTr="000F626F">
        <w:tc>
          <w:tcPr>
            <w:tcW w:w="2598" w:type="dxa"/>
          </w:tcPr>
          <w:p w:rsidR="008D41C4" w:rsidRPr="000C69FD" w:rsidRDefault="008D41C4" w:rsidP="00193DC0">
            <w:pPr>
              <w:keepNext/>
              <w:tabs>
                <w:tab w:val="left" w:pos="263"/>
                <w:tab w:val="left" w:pos="1134"/>
              </w:tabs>
              <w:rPr>
                <w:rFonts w:cs="Times New Roman"/>
                <w:sz w:val="20"/>
                <w:szCs w:val="20"/>
              </w:rPr>
            </w:pPr>
            <w:r>
              <w:rPr>
                <w:rFonts w:cs="Times New Roman"/>
                <w:sz w:val="20"/>
                <w:szCs w:val="20"/>
              </w:rPr>
              <w:tab/>
            </w:r>
            <w:proofErr w:type="spellStart"/>
            <w:r w:rsidRPr="006B61A1">
              <w:rPr>
                <w:rFonts w:cs="Times New Roman"/>
                <w:sz w:val="20"/>
                <w:szCs w:val="20"/>
              </w:rPr>
              <w:t>Hypercalcaemia</w:t>
            </w:r>
            <w:proofErr w:type="spellEnd"/>
            <w:r w:rsidRPr="006B61A1">
              <w:rPr>
                <w:rFonts w:cs="Times New Roman"/>
                <w:sz w:val="20"/>
                <w:szCs w:val="20"/>
              </w:rPr>
              <w:t xml:space="preserve">                      </w:t>
            </w:r>
          </w:p>
        </w:tc>
        <w:tc>
          <w:tcPr>
            <w:tcW w:w="1224"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5.5%</w:t>
            </w:r>
          </w:p>
        </w:tc>
        <w:tc>
          <w:tcPr>
            <w:tcW w:w="1346"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7.7%</w:t>
            </w:r>
          </w:p>
        </w:tc>
        <w:tc>
          <w:tcPr>
            <w:tcW w:w="1224"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3.8%</w:t>
            </w:r>
          </w:p>
        </w:tc>
        <w:tc>
          <w:tcPr>
            <w:tcW w:w="1346"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2.9%</w:t>
            </w:r>
          </w:p>
        </w:tc>
      </w:tr>
      <w:tr w:rsidR="008D41C4" w:rsidTr="000F626F">
        <w:tc>
          <w:tcPr>
            <w:tcW w:w="7738" w:type="dxa"/>
            <w:gridSpan w:val="5"/>
          </w:tcPr>
          <w:p w:rsidR="008D41C4" w:rsidRPr="006B61A1" w:rsidRDefault="008D41C4" w:rsidP="00193DC0">
            <w:pPr>
              <w:keepNext/>
              <w:tabs>
                <w:tab w:val="left" w:pos="1134"/>
              </w:tabs>
              <w:rPr>
                <w:rFonts w:cs="Times New Roman"/>
                <w:sz w:val="20"/>
                <w:szCs w:val="20"/>
              </w:rPr>
            </w:pPr>
            <w:r w:rsidRPr="006B61A1">
              <w:rPr>
                <w:rFonts w:cs="Times New Roman"/>
                <w:sz w:val="20"/>
                <w:szCs w:val="20"/>
              </w:rPr>
              <w:t xml:space="preserve">Infections and infestations           </w:t>
            </w:r>
          </w:p>
        </w:tc>
      </w:tr>
      <w:tr w:rsidR="001320A3" w:rsidTr="000F626F">
        <w:tc>
          <w:tcPr>
            <w:tcW w:w="2598" w:type="dxa"/>
          </w:tcPr>
          <w:p w:rsidR="008D41C4" w:rsidRPr="000C69FD" w:rsidRDefault="008D41C4" w:rsidP="00193DC0">
            <w:pPr>
              <w:keepNext/>
              <w:tabs>
                <w:tab w:val="left" w:pos="263"/>
                <w:tab w:val="left" w:pos="1134"/>
              </w:tabs>
              <w:rPr>
                <w:rFonts w:cs="Times New Roman"/>
                <w:sz w:val="20"/>
                <w:szCs w:val="20"/>
              </w:rPr>
            </w:pPr>
            <w:r>
              <w:rPr>
                <w:rFonts w:cs="Times New Roman"/>
                <w:sz w:val="20"/>
                <w:szCs w:val="20"/>
              </w:rPr>
              <w:tab/>
            </w:r>
            <w:proofErr w:type="spellStart"/>
            <w:r w:rsidRPr="006B61A1">
              <w:rPr>
                <w:rFonts w:cs="Times New Roman"/>
                <w:sz w:val="20"/>
                <w:szCs w:val="20"/>
              </w:rPr>
              <w:t>Nasopharyngitis</w:t>
            </w:r>
            <w:proofErr w:type="spellEnd"/>
          </w:p>
        </w:tc>
        <w:tc>
          <w:tcPr>
            <w:tcW w:w="1224"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1.6%</w:t>
            </w:r>
          </w:p>
        </w:tc>
        <w:tc>
          <w:tcPr>
            <w:tcW w:w="1346"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0.0%</w:t>
            </w:r>
          </w:p>
        </w:tc>
        <w:tc>
          <w:tcPr>
            <w:tcW w:w="1224"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4.1%</w:t>
            </w:r>
          </w:p>
        </w:tc>
        <w:tc>
          <w:tcPr>
            <w:tcW w:w="1346" w:type="dxa"/>
          </w:tcPr>
          <w:p w:rsidR="008D41C4" w:rsidRPr="006B61A1" w:rsidRDefault="008D41C4" w:rsidP="00193DC0">
            <w:pPr>
              <w:keepNext/>
              <w:tabs>
                <w:tab w:val="left" w:pos="1134"/>
              </w:tabs>
              <w:jc w:val="center"/>
              <w:rPr>
                <w:rFonts w:cs="Times New Roman"/>
                <w:sz w:val="20"/>
                <w:szCs w:val="20"/>
              </w:rPr>
            </w:pPr>
            <w:r>
              <w:rPr>
                <w:rFonts w:cs="Times New Roman"/>
                <w:sz w:val="20"/>
                <w:szCs w:val="20"/>
              </w:rPr>
              <w:t>5.7%</w:t>
            </w:r>
          </w:p>
        </w:tc>
      </w:tr>
      <w:tr w:rsidR="00455F4E" w:rsidTr="000F626F">
        <w:tc>
          <w:tcPr>
            <w:tcW w:w="2598" w:type="dxa"/>
          </w:tcPr>
          <w:p w:rsidR="00455F4E" w:rsidRDefault="00455F4E" w:rsidP="00193DC0">
            <w:pPr>
              <w:keepNext/>
              <w:tabs>
                <w:tab w:val="left" w:pos="263"/>
                <w:tab w:val="left" w:pos="1134"/>
              </w:tabs>
              <w:rPr>
                <w:sz w:val="20"/>
              </w:rPr>
            </w:pPr>
            <w:r>
              <w:rPr>
                <w:sz w:val="20"/>
              </w:rPr>
              <w:tab/>
              <w:t xml:space="preserve">Upper respiratory tract </w:t>
            </w:r>
            <w:r>
              <w:rPr>
                <w:sz w:val="20"/>
              </w:rPr>
              <w:tab/>
              <w:t>infection</w:t>
            </w:r>
          </w:p>
        </w:tc>
        <w:tc>
          <w:tcPr>
            <w:tcW w:w="1224" w:type="dxa"/>
          </w:tcPr>
          <w:p w:rsidR="00455F4E" w:rsidRPr="006B61A1" w:rsidRDefault="00455F4E" w:rsidP="00193DC0">
            <w:pPr>
              <w:keepNext/>
              <w:tabs>
                <w:tab w:val="left" w:pos="1134"/>
              </w:tabs>
              <w:jc w:val="center"/>
              <w:rPr>
                <w:sz w:val="20"/>
              </w:rPr>
            </w:pPr>
            <w:r>
              <w:rPr>
                <w:sz w:val="20"/>
              </w:rPr>
              <w:t>0.0%</w:t>
            </w:r>
          </w:p>
        </w:tc>
        <w:tc>
          <w:tcPr>
            <w:tcW w:w="1346" w:type="dxa"/>
          </w:tcPr>
          <w:p w:rsidR="00455F4E" w:rsidRPr="006B61A1" w:rsidRDefault="00455F4E" w:rsidP="00193DC0">
            <w:pPr>
              <w:keepNext/>
              <w:tabs>
                <w:tab w:val="left" w:pos="1134"/>
              </w:tabs>
              <w:jc w:val="center"/>
              <w:rPr>
                <w:sz w:val="20"/>
              </w:rPr>
            </w:pPr>
            <w:r>
              <w:rPr>
                <w:sz w:val="20"/>
              </w:rPr>
              <w:t>0.0%</w:t>
            </w:r>
          </w:p>
        </w:tc>
        <w:tc>
          <w:tcPr>
            <w:tcW w:w="1224" w:type="dxa"/>
          </w:tcPr>
          <w:p w:rsidR="00455F4E" w:rsidRPr="006B61A1" w:rsidRDefault="00455F4E" w:rsidP="00193DC0">
            <w:pPr>
              <w:keepNext/>
              <w:tabs>
                <w:tab w:val="left" w:pos="1134"/>
              </w:tabs>
              <w:jc w:val="center"/>
              <w:rPr>
                <w:sz w:val="20"/>
              </w:rPr>
            </w:pPr>
            <w:r>
              <w:rPr>
                <w:sz w:val="20"/>
              </w:rPr>
              <w:t>3.5%</w:t>
            </w:r>
          </w:p>
        </w:tc>
        <w:tc>
          <w:tcPr>
            <w:tcW w:w="1346" w:type="dxa"/>
          </w:tcPr>
          <w:p w:rsidR="00455F4E" w:rsidRDefault="00455F4E" w:rsidP="00193DC0">
            <w:pPr>
              <w:keepNext/>
              <w:tabs>
                <w:tab w:val="left" w:pos="1134"/>
              </w:tabs>
              <w:jc w:val="center"/>
              <w:rPr>
                <w:sz w:val="20"/>
              </w:rPr>
            </w:pPr>
            <w:r>
              <w:rPr>
                <w:sz w:val="20"/>
              </w:rPr>
              <w:t>5.2%</w:t>
            </w:r>
          </w:p>
        </w:tc>
      </w:tr>
      <w:tr w:rsidR="008D41C4" w:rsidTr="000F626F">
        <w:tc>
          <w:tcPr>
            <w:tcW w:w="7738" w:type="dxa"/>
            <w:gridSpan w:val="5"/>
          </w:tcPr>
          <w:p w:rsidR="008D41C4" w:rsidRPr="006B61A1" w:rsidRDefault="008D41C4" w:rsidP="00193DC0">
            <w:pPr>
              <w:keepNext/>
              <w:tabs>
                <w:tab w:val="left" w:pos="1134"/>
              </w:tabs>
              <w:rPr>
                <w:rFonts w:cs="Times New Roman"/>
                <w:sz w:val="20"/>
                <w:szCs w:val="20"/>
              </w:rPr>
            </w:pPr>
            <w:r w:rsidRPr="006B61A1">
              <w:rPr>
                <w:rFonts w:cs="Times New Roman"/>
                <w:sz w:val="20"/>
                <w:szCs w:val="20"/>
              </w:rPr>
              <w:t xml:space="preserve">Vascular disorders             </w:t>
            </w:r>
          </w:p>
        </w:tc>
      </w:tr>
      <w:tr w:rsidR="001320A3" w:rsidTr="000F626F">
        <w:tc>
          <w:tcPr>
            <w:tcW w:w="2598" w:type="dxa"/>
          </w:tcPr>
          <w:p w:rsidR="008D41C4" w:rsidRPr="000C69FD" w:rsidRDefault="008D41C4" w:rsidP="00193DC0">
            <w:pPr>
              <w:keepNext/>
              <w:tabs>
                <w:tab w:val="left" w:pos="263"/>
                <w:tab w:val="left" w:pos="1134"/>
              </w:tabs>
              <w:rPr>
                <w:rFonts w:cs="Times New Roman"/>
                <w:sz w:val="20"/>
                <w:szCs w:val="20"/>
              </w:rPr>
            </w:pPr>
            <w:r>
              <w:rPr>
                <w:rFonts w:cs="Times New Roman"/>
                <w:sz w:val="20"/>
                <w:szCs w:val="20"/>
              </w:rPr>
              <w:tab/>
            </w:r>
            <w:r w:rsidRPr="006B61A1">
              <w:rPr>
                <w:rFonts w:cs="Times New Roman"/>
                <w:sz w:val="20"/>
                <w:szCs w:val="20"/>
              </w:rPr>
              <w:t xml:space="preserve">Hypertension  </w:t>
            </w:r>
          </w:p>
        </w:tc>
        <w:tc>
          <w:tcPr>
            <w:tcW w:w="1224" w:type="dxa"/>
          </w:tcPr>
          <w:p w:rsidR="008D41C4" w:rsidRPr="006B61A1" w:rsidRDefault="008D41C4" w:rsidP="00193DC0">
            <w:pPr>
              <w:keepNext/>
              <w:tabs>
                <w:tab w:val="left" w:pos="1134"/>
              </w:tabs>
              <w:jc w:val="center"/>
              <w:rPr>
                <w:rFonts w:cs="Times New Roman"/>
                <w:sz w:val="20"/>
                <w:szCs w:val="20"/>
              </w:rPr>
            </w:pPr>
            <w:r>
              <w:rPr>
                <w:rFonts w:cs="Times New Roman"/>
                <w:sz w:val="20"/>
                <w:szCs w:val="20"/>
              </w:rPr>
              <w:t>3.9%</w:t>
            </w:r>
          </w:p>
        </w:tc>
        <w:tc>
          <w:tcPr>
            <w:tcW w:w="1346"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3.8%</w:t>
            </w:r>
          </w:p>
        </w:tc>
        <w:tc>
          <w:tcPr>
            <w:tcW w:w="1224"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11.2%</w:t>
            </w:r>
          </w:p>
        </w:tc>
        <w:tc>
          <w:tcPr>
            <w:tcW w:w="1346"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11.8%</w:t>
            </w:r>
          </w:p>
        </w:tc>
      </w:tr>
      <w:tr w:rsidR="001320A3" w:rsidTr="000F626F">
        <w:tc>
          <w:tcPr>
            <w:tcW w:w="2598" w:type="dxa"/>
          </w:tcPr>
          <w:p w:rsidR="008D41C4" w:rsidRPr="000C69FD" w:rsidRDefault="008D41C4" w:rsidP="00193DC0">
            <w:pPr>
              <w:keepNext/>
              <w:tabs>
                <w:tab w:val="left" w:pos="263"/>
                <w:tab w:val="left" w:pos="1134"/>
              </w:tabs>
              <w:rPr>
                <w:rFonts w:cs="Times New Roman"/>
                <w:sz w:val="20"/>
                <w:szCs w:val="20"/>
              </w:rPr>
            </w:pPr>
            <w:r>
              <w:rPr>
                <w:rFonts w:cs="Times New Roman"/>
                <w:sz w:val="20"/>
                <w:szCs w:val="20"/>
              </w:rPr>
              <w:tab/>
            </w:r>
            <w:r w:rsidRPr="006B61A1">
              <w:rPr>
                <w:rFonts w:cs="Times New Roman"/>
                <w:sz w:val="20"/>
                <w:szCs w:val="20"/>
              </w:rPr>
              <w:t>Hypotension</w:t>
            </w:r>
          </w:p>
        </w:tc>
        <w:tc>
          <w:tcPr>
            <w:tcW w:w="1224"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0.8%</w:t>
            </w:r>
          </w:p>
        </w:tc>
        <w:tc>
          <w:tcPr>
            <w:tcW w:w="1346" w:type="dxa"/>
          </w:tcPr>
          <w:p w:rsidR="008D41C4" w:rsidRPr="006B61A1" w:rsidRDefault="008D41C4" w:rsidP="00193DC0">
            <w:pPr>
              <w:keepNext/>
              <w:tabs>
                <w:tab w:val="left" w:pos="1134"/>
              </w:tabs>
              <w:jc w:val="center"/>
              <w:rPr>
                <w:rFonts w:cs="Times New Roman"/>
                <w:sz w:val="20"/>
                <w:szCs w:val="20"/>
              </w:rPr>
            </w:pPr>
            <w:r>
              <w:rPr>
                <w:rFonts w:cs="Times New Roman"/>
                <w:sz w:val="20"/>
                <w:szCs w:val="20"/>
              </w:rPr>
              <w:t>11.5%</w:t>
            </w:r>
          </w:p>
        </w:tc>
        <w:tc>
          <w:tcPr>
            <w:tcW w:w="1224"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5.8%</w:t>
            </w:r>
          </w:p>
        </w:tc>
        <w:tc>
          <w:tcPr>
            <w:tcW w:w="1346" w:type="dxa"/>
          </w:tcPr>
          <w:p w:rsidR="008D41C4" w:rsidRPr="006B61A1" w:rsidRDefault="008D41C4" w:rsidP="00193DC0">
            <w:pPr>
              <w:keepNext/>
              <w:tabs>
                <w:tab w:val="left" w:pos="1134"/>
              </w:tabs>
              <w:jc w:val="center"/>
              <w:rPr>
                <w:rFonts w:cs="Times New Roman"/>
                <w:sz w:val="20"/>
                <w:szCs w:val="20"/>
              </w:rPr>
            </w:pPr>
            <w:r>
              <w:rPr>
                <w:rFonts w:cs="Times New Roman"/>
                <w:sz w:val="20"/>
                <w:szCs w:val="20"/>
              </w:rPr>
              <w:t>8.9%</w:t>
            </w:r>
          </w:p>
        </w:tc>
      </w:tr>
      <w:tr w:rsidR="008D41C4" w:rsidTr="000F626F">
        <w:tc>
          <w:tcPr>
            <w:tcW w:w="7738" w:type="dxa"/>
            <w:gridSpan w:val="5"/>
          </w:tcPr>
          <w:p w:rsidR="008D41C4" w:rsidRPr="006B61A1" w:rsidRDefault="008D41C4" w:rsidP="00193DC0">
            <w:pPr>
              <w:keepNext/>
              <w:tabs>
                <w:tab w:val="left" w:pos="1134"/>
              </w:tabs>
              <w:rPr>
                <w:rFonts w:cs="Times New Roman"/>
                <w:sz w:val="20"/>
                <w:szCs w:val="20"/>
              </w:rPr>
            </w:pPr>
            <w:r w:rsidRPr="006B61A1">
              <w:rPr>
                <w:rFonts w:cs="Times New Roman"/>
                <w:sz w:val="20"/>
                <w:szCs w:val="20"/>
              </w:rPr>
              <w:t>General disorders and administration site conditions</w:t>
            </w:r>
            <w:r>
              <w:rPr>
                <w:rFonts w:cs="Times New Roman"/>
                <w:sz w:val="20"/>
                <w:szCs w:val="20"/>
              </w:rPr>
              <w:tab/>
            </w:r>
          </w:p>
        </w:tc>
      </w:tr>
      <w:tr w:rsidR="001320A3" w:rsidTr="000F626F">
        <w:tc>
          <w:tcPr>
            <w:tcW w:w="2598" w:type="dxa"/>
          </w:tcPr>
          <w:p w:rsidR="008D41C4" w:rsidRPr="000C69FD" w:rsidRDefault="008D41C4" w:rsidP="00193DC0">
            <w:pPr>
              <w:keepNext/>
              <w:tabs>
                <w:tab w:val="left" w:pos="263"/>
                <w:tab w:val="left" w:pos="1134"/>
              </w:tabs>
              <w:rPr>
                <w:rFonts w:cs="Times New Roman"/>
                <w:sz w:val="20"/>
                <w:szCs w:val="20"/>
              </w:rPr>
            </w:pPr>
            <w:r>
              <w:rPr>
                <w:rFonts w:cs="Times New Roman"/>
                <w:sz w:val="20"/>
                <w:szCs w:val="20"/>
              </w:rPr>
              <w:tab/>
            </w:r>
            <w:r w:rsidRPr="006B61A1">
              <w:rPr>
                <w:rFonts w:cs="Times New Roman"/>
                <w:sz w:val="20"/>
                <w:szCs w:val="20"/>
              </w:rPr>
              <w:t>Pyrexia</w:t>
            </w:r>
          </w:p>
        </w:tc>
        <w:tc>
          <w:tcPr>
            <w:tcW w:w="1224"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1.6%</w:t>
            </w:r>
          </w:p>
        </w:tc>
        <w:tc>
          <w:tcPr>
            <w:tcW w:w="1346"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3.8%</w:t>
            </w:r>
          </w:p>
        </w:tc>
        <w:tc>
          <w:tcPr>
            <w:tcW w:w="1224"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4.5%</w:t>
            </w:r>
          </w:p>
        </w:tc>
        <w:tc>
          <w:tcPr>
            <w:tcW w:w="1346"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5.5%</w:t>
            </w:r>
          </w:p>
        </w:tc>
      </w:tr>
      <w:tr w:rsidR="001320A3" w:rsidTr="000F626F">
        <w:tc>
          <w:tcPr>
            <w:tcW w:w="2598" w:type="dxa"/>
          </w:tcPr>
          <w:p w:rsidR="008D41C4" w:rsidRPr="000C69FD" w:rsidRDefault="008D41C4" w:rsidP="00193DC0">
            <w:pPr>
              <w:keepNext/>
              <w:tabs>
                <w:tab w:val="left" w:pos="263"/>
                <w:tab w:val="left" w:pos="1134"/>
              </w:tabs>
              <w:rPr>
                <w:rFonts w:cs="Times New Roman"/>
                <w:sz w:val="20"/>
                <w:szCs w:val="20"/>
              </w:rPr>
            </w:pPr>
            <w:r>
              <w:rPr>
                <w:rFonts w:cs="Times New Roman"/>
                <w:sz w:val="20"/>
                <w:szCs w:val="20"/>
              </w:rPr>
              <w:tab/>
            </w:r>
            <w:r w:rsidRPr="006B61A1">
              <w:rPr>
                <w:rFonts w:cs="Times New Roman"/>
                <w:sz w:val="20"/>
                <w:szCs w:val="20"/>
              </w:rPr>
              <w:t xml:space="preserve">Chest pain                           </w:t>
            </w:r>
          </w:p>
        </w:tc>
        <w:tc>
          <w:tcPr>
            <w:tcW w:w="1224"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0.0%</w:t>
            </w:r>
          </w:p>
        </w:tc>
        <w:tc>
          <w:tcPr>
            <w:tcW w:w="1346"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0.0%</w:t>
            </w:r>
          </w:p>
        </w:tc>
        <w:tc>
          <w:tcPr>
            <w:tcW w:w="1224"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3.3%</w:t>
            </w:r>
          </w:p>
        </w:tc>
        <w:tc>
          <w:tcPr>
            <w:tcW w:w="1346"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5.7%</w:t>
            </w:r>
          </w:p>
        </w:tc>
      </w:tr>
      <w:tr w:rsidR="008D41C4" w:rsidTr="000F626F">
        <w:tc>
          <w:tcPr>
            <w:tcW w:w="7738" w:type="dxa"/>
            <w:gridSpan w:val="5"/>
          </w:tcPr>
          <w:p w:rsidR="008D41C4" w:rsidRPr="006B61A1" w:rsidRDefault="008D41C4" w:rsidP="00193DC0">
            <w:pPr>
              <w:keepNext/>
              <w:tabs>
                <w:tab w:val="left" w:pos="1134"/>
              </w:tabs>
              <w:rPr>
                <w:rFonts w:cs="Times New Roman"/>
                <w:sz w:val="20"/>
                <w:szCs w:val="20"/>
              </w:rPr>
            </w:pPr>
            <w:r w:rsidRPr="006B61A1">
              <w:rPr>
                <w:rFonts w:cs="Times New Roman"/>
                <w:sz w:val="20"/>
                <w:szCs w:val="20"/>
              </w:rPr>
              <w:t>Musculoskeletal and connective tissue disorders</w:t>
            </w:r>
          </w:p>
        </w:tc>
      </w:tr>
      <w:tr w:rsidR="001320A3" w:rsidTr="000F626F">
        <w:tc>
          <w:tcPr>
            <w:tcW w:w="2598" w:type="dxa"/>
          </w:tcPr>
          <w:p w:rsidR="008D41C4" w:rsidRDefault="008D41C4" w:rsidP="00193DC0">
            <w:pPr>
              <w:keepNext/>
              <w:tabs>
                <w:tab w:val="left" w:pos="263"/>
                <w:tab w:val="left" w:pos="1134"/>
              </w:tabs>
              <w:rPr>
                <w:rFonts w:cs="Times New Roman"/>
                <w:b/>
                <w:noProof/>
              </w:rPr>
            </w:pPr>
            <w:r>
              <w:rPr>
                <w:rFonts w:cs="Times New Roman"/>
                <w:sz w:val="20"/>
                <w:szCs w:val="20"/>
              </w:rPr>
              <w:tab/>
            </w:r>
            <w:r w:rsidRPr="006B61A1">
              <w:rPr>
                <w:rFonts w:cs="Times New Roman"/>
                <w:sz w:val="20"/>
                <w:szCs w:val="20"/>
              </w:rPr>
              <w:t xml:space="preserve">Muscle spasms                        </w:t>
            </w:r>
          </w:p>
        </w:tc>
        <w:tc>
          <w:tcPr>
            <w:tcW w:w="1224"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6.3%</w:t>
            </w:r>
          </w:p>
        </w:tc>
        <w:tc>
          <w:tcPr>
            <w:tcW w:w="1346"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0.0%</w:t>
            </w:r>
          </w:p>
        </w:tc>
        <w:tc>
          <w:tcPr>
            <w:tcW w:w="1224"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6.8%</w:t>
            </w:r>
          </w:p>
        </w:tc>
        <w:tc>
          <w:tcPr>
            <w:tcW w:w="1346"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7.8%</w:t>
            </w:r>
          </w:p>
        </w:tc>
      </w:tr>
      <w:tr w:rsidR="008D41C4" w:rsidTr="000F626F">
        <w:tc>
          <w:tcPr>
            <w:tcW w:w="7738" w:type="dxa"/>
            <w:gridSpan w:val="5"/>
          </w:tcPr>
          <w:p w:rsidR="008D41C4" w:rsidRPr="006B61A1" w:rsidRDefault="008D41C4" w:rsidP="00193DC0">
            <w:pPr>
              <w:keepNext/>
              <w:tabs>
                <w:tab w:val="left" w:pos="1134"/>
              </w:tabs>
              <w:rPr>
                <w:rFonts w:cs="Times New Roman"/>
                <w:sz w:val="20"/>
                <w:szCs w:val="20"/>
              </w:rPr>
            </w:pPr>
            <w:r w:rsidRPr="006B61A1">
              <w:rPr>
                <w:rFonts w:cs="Times New Roman"/>
                <w:sz w:val="20"/>
                <w:szCs w:val="20"/>
              </w:rPr>
              <w:t>Injur</w:t>
            </w:r>
            <w:r>
              <w:rPr>
                <w:rFonts w:cs="Times New Roman"/>
                <w:sz w:val="20"/>
                <w:szCs w:val="20"/>
              </w:rPr>
              <w:t xml:space="preserve">y, poisoning and procedural </w:t>
            </w:r>
            <w:r w:rsidRPr="006B61A1">
              <w:rPr>
                <w:rFonts w:cs="Times New Roman"/>
                <w:sz w:val="20"/>
                <w:szCs w:val="20"/>
              </w:rPr>
              <w:t xml:space="preserve">complications  </w:t>
            </w:r>
          </w:p>
        </w:tc>
      </w:tr>
      <w:tr w:rsidR="001320A3" w:rsidTr="000F626F">
        <w:tc>
          <w:tcPr>
            <w:tcW w:w="2598" w:type="dxa"/>
          </w:tcPr>
          <w:p w:rsidR="008D41C4" w:rsidRDefault="008D41C4" w:rsidP="00193DC0">
            <w:pPr>
              <w:keepNext/>
              <w:tabs>
                <w:tab w:val="left" w:pos="263"/>
                <w:tab w:val="left" w:pos="1134"/>
              </w:tabs>
              <w:rPr>
                <w:rFonts w:cs="Times New Roman"/>
                <w:b/>
                <w:noProof/>
              </w:rPr>
            </w:pPr>
            <w:r>
              <w:rPr>
                <w:rFonts w:cs="Times New Roman"/>
                <w:sz w:val="20"/>
                <w:szCs w:val="20"/>
              </w:rPr>
              <w:tab/>
            </w:r>
            <w:r w:rsidRPr="006B61A1">
              <w:rPr>
                <w:rFonts w:cs="Times New Roman"/>
                <w:sz w:val="20"/>
                <w:szCs w:val="20"/>
              </w:rPr>
              <w:t xml:space="preserve">Arteriovenous fistula site </w:t>
            </w:r>
            <w:r>
              <w:rPr>
                <w:rFonts w:cs="Times New Roman"/>
                <w:sz w:val="20"/>
                <w:szCs w:val="20"/>
              </w:rPr>
              <w:t>c</w:t>
            </w:r>
            <w:r w:rsidRPr="006B61A1">
              <w:rPr>
                <w:rFonts w:cs="Times New Roman"/>
                <w:sz w:val="20"/>
                <w:szCs w:val="20"/>
              </w:rPr>
              <w:t>omplication</w:t>
            </w:r>
          </w:p>
        </w:tc>
        <w:tc>
          <w:tcPr>
            <w:tcW w:w="1224" w:type="dxa"/>
          </w:tcPr>
          <w:p w:rsidR="008D41C4" w:rsidRPr="006B61A1" w:rsidRDefault="008D41C4" w:rsidP="00193DC0">
            <w:pPr>
              <w:keepNext/>
              <w:tabs>
                <w:tab w:val="left" w:pos="1134"/>
              </w:tabs>
              <w:jc w:val="center"/>
              <w:rPr>
                <w:rFonts w:cs="Times New Roman"/>
                <w:sz w:val="20"/>
                <w:szCs w:val="20"/>
              </w:rPr>
            </w:pPr>
            <w:r>
              <w:rPr>
                <w:rFonts w:cs="Times New Roman"/>
                <w:sz w:val="20"/>
                <w:szCs w:val="20"/>
              </w:rPr>
              <w:t>0.8%</w:t>
            </w:r>
          </w:p>
        </w:tc>
        <w:tc>
          <w:tcPr>
            <w:tcW w:w="1346"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0.0%</w:t>
            </w:r>
          </w:p>
        </w:tc>
        <w:tc>
          <w:tcPr>
            <w:tcW w:w="1224"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4.5%</w:t>
            </w:r>
          </w:p>
        </w:tc>
        <w:tc>
          <w:tcPr>
            <w:tcW w:w="1346"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7.5%</w:t>
            </w:r>
          </w:p>
        </w:tc>
      </w:tr>
      <w:tr w:rsidR="008D41C4" w:rsidTr="000F626F">
        <w:tc>
          <w:tcPr>
            <w:tcW w:w="7738" w:type="dxa"/>
            <w:gridSpan w:val="5"/>
          </w:tcPr>
          <w:p w:rsidR="008D41C4" w:rsidRPr="006B61A1" w:rsidRDefault="008D41C4" w:rsidP="00193DC0">
            <w:pPr>
              <w:keepNext/>
              <w:tabs>
                <w:tab w:val="left" w:pos="1134"/>
              </w:tabs>
              <w:rPr>
                <w:rFonts w:cs="Times New Roman"/>
                <w:sz w:val="20"/>
                <w:szCs w:val="20"/>
              </w:rPr>
            </w:pPr>
            <w:r w:rsidRPr="006B61A1">
              <w:rPr>
                <w:rFonts w:cs="Times New Roman"/>
                <w:sz w:val="20"/>
                <w:szCs w:val="20"/>
              </w:rPr>
              <w:t xml:space="preserve">Nervous system disorders        </w:t>
            </w:r>
          </w:p>
        </w:tc>
      </w:tr>
      <w:tr w:rsidR="001320A3" w:rsidTr="000F626F">
        <w:tc>
          <w:tcPr>
            <w:tcW w:w="2598" w:type="dxa"/>
          </w:tcPr>
          <w:p w:rsidR="008D41C4" w:rsidRDefault="008D41C4" w:rsidP="00193DC0">
            <w:pPr>
              <w:keepNext/>
              <w:tabs>
                <w:tab w:val="left" w:pos="263"/>
                <w:tab w:val="left" w:pos="1134"/>
              </w:tabs>
              <w:rPr>
                <w:rFonts w:cs="Times New Roman"/>
                <w:b/>
                <w:noProof/>
              </w:rPr>
            </w:pPr>
            <w:r>
              <w:rPr>
                <w:rFonts w:cs="Times New Roman"/>
                <w:sz w:val="20"/>
                <w:szCs w:val="20"/>
              </w:rPr>
              <w:tab/>
            </w:r>
            <w:r w:rsidRPr="006B61A1">
              <w:rPr>
                <w:rFonts w:cs="Times New Roman"/>
                <w:sz w:val="20"/>
                <w:szCs w:val="20"/>
              </w:rPr>
              <w:t xml:space="preserve">Headache   </w:t>
            </w:r>
          </w:p>
        </w:tc>
        <w:tc>
          <w:tcPr>
            <w:tcW w:w="1224"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1.6%</w:t>
            </w:r>
          </w:p>
        </w:tc>
        <w:tc>
          <w:tcPr>
            <w:tcW w:w="1346"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0.0%</w:t>
            </w:r>
          </w:p>
        </w:tc>
        <w:tc>
          <w:tcPr>
            <w:tcW w:w="1224"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6.1%</w:t>
            </w:r>
          </w:p>
        </w:tc>
        <w:tc>
          <w:tcPr>
            <w:tcW w:w="1346"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5.7%</w:t>
            </w:r>
          </w:p>
        </w:tc>
      </w:tr>
      <w:tr w:rsidR="008D41C4" w:rsidTr="000F626F">
        <w:tc>
          <w:tcPr>
            <w:tcW w:w="7738" w:type="dxa"/>
            <w:gridSpan w:val="5"/>
          </w:tcPr>
          <w:p w:rsidR="008D41C4" w:rsidRPr="006B61A1" w:rsidRDefault="008D41C4" w:rsidP="00193DC0">
            <w:pPr>
              <w:keepNext/>
              <w:tabs>
                <w:tab w:val="left" w:pos="1134"/>
              </w:tabs>
              <w:rPr>
                <w:rFonts w:cs="Times New Roman"/>
                <w:sz w:val="20"/>
                <w:szCs w:val="20"/>
              </w:rPr>
            </w:pPr>
            <w:r w:rsidRPr="006B61A1">
              <w:rPr>
                <w:rFonts w:cs="Times New Roman"/>
                <w:sz w:val="20"/>
                <w:szCs w:val="20"/>
              </w:rPr>
              <w:t>Respiratory, thoracic and mediastinal disorders</w:t>
            </w:r>
          </w:p>
        </w:tc>
      </w:tr>
      <w:tr w:rsidR="001320A3" w:rsidTr="000F626F">
        <w:tc>
          <w:tcPr>
            <w:tcW w:w="2598" w:type="dxa"/>
          </w:tcPr>
          <w:p w:rsidR="008D41C4" w:rsidRPr="006B61A1" w:rsidRDefault="008D41C4" w:rsidP="00193DC0">
            <w:pPr>
              <w:keepNext/>
              <w:tabs>
                <w:tab w:val="left" w:pos="263"/>
                <w:tab w:val="left" w:pos="1134"/>
              </w:tabs>
              <w:rPr>
                <w:rFonts w:cs="Times New Roman"/>
                <w:sz w:val="20"/>
                <w:szCs w:val="20"/>
              </w:rPr>
            </w:pPr>
            <w:r>
              <w:rPr>
                <w:rFonts w:cs="Times New Roman"/>
                <w:sz w:val="20"/>
                <w:szCs w:val="20"/>
              </w:rPr>
              <w:tab/>
            </w:r>
            <w:r w:rsidRPr="006B61A1">
              <w:rPr>
                <w:rFonts w:cs="Times New Roman"/>
                <w:sz w:val="20"/>
                <w:szCs w:val="20"/>
              </w:rPr>
              <w:t>Dyspnoea</w:t>
            </w:r>
          </w:p>
        </w:tc>
        <w:tc>
          <w:tcPr>
            <w:tcW w:w="1224"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0.8%</w:t>
            </w:r>
          </w:p>
        </w:tc>
        <w:tc>
          <w:tcPr>
            <w:tcW w:w="1346"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0.0%</w:t>
            </w:r>
          </w:p>
        </w:tc>
        <w:tc>
          <w:tcPr>
            <w:tcW w:w="1224"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4.0%</w:t>
            </w:r>
          </w:p>
        </w:tc>
        <w:tc>
          <w:tcPr>
            <w:tcW w:w="1346"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5.5%</w:t>
            </w:r>
          </w:p>
        </w:tc>
      </w:tr>
      <w:tr w:rsidR="008D41C4" w:rsidTr="000F626F">
        <w:tc>
          <w:tcPr>
            <w:tcW w:w="7738" w:type="dxa"/>
            <w:gridSpan w:val="5"/>
          </w:tcPr>
          <w:p w:rsidR="008D41C4" w:rsidRPr="006B61A1" w:rsidRDefault="008D41C4" w:rsidP="00193DC0">
            <w:pPr>
              <w:keepNext/>
              <w:tabs>
                <w:tab w:val="left" w:pos="1134"/>
              </w:tabs>
              <w:rPr>
                <w:rFonts w:cs="Times New Roman"/>
                <w:sz w:val="20"/>
                <w:szCs w:val="20"/>
              </w:rPr>
            </w:pPr>
            <w:r w:rsidRPr="006B61A1">
              <w:rPr>
                <w:rFonts w:cs="Times New Roman"/>
                <w:sz w:val="20"/>
                <w:szCs w:val="20"/>
              </w:rPr>
              <w:t xml:space="preserve">Blood and lymphatic system disorders       </w:t>
            </w:r>
          </w:p>
        </w:tc>
      </w:tr>
      <w:tr w:rsidR="001320A3" w:rsidTr="000F626F">
        <w:tc>
          <w:tcPr>
            <w:tcW w:w="2598" w:type="dxa"/>
          </w:tcPr>
          <w:p w:rsidR="008D41C4" w:rsidRPr="006B61A1" w:rsidRDefault="008D41C4" w:rsidP="00193DC0">
            <w:pPr>
              <w:keepNext/>
              <w:tabs>
                <w:tab w:val="left" w:pos="263"/>
                <w:tab w:val="left" w:pos="1134"/>
              </w:tabs>
              <w:rPr>
                <w:rFonts w:cs="Times New Roman"/>
                <w:sz w:val="20"/>
                <w:szCs w:val="20"/>
              </w:rPr>
            </w:pPr>
            <w:r>
              <w:rPr>
                <w:rFonts w:cs="Times New Roman"/>
                <w:sz w:val="20"/>
                <w:szCs w:val="20"/>
              </w:rPr>
              <w:tab/>
            </w:r>
            <w:r w:rsidRPr="006B61A1">
              <w:rPr>
                <w:rFonts w:cs="Times New Roman"/>
                <w:sz w:val="20"/>
                <w:szCs w:val="20"/>
              </w:rPr>
              <w:t xml:space="preserve">Anaemia                              </w:t>
            </w:r>
          </w:p>
        </w:tc>
        <w:tc>
          <w:tcPr>
            <w:tcW w:w="1224" w:type="dxa"/>
          </w:tcPr>
          <w:p w:rsidR="008D41C4" w:rsidRPr="006B61A1" w:rsidRDefault="00583BF9" w:rsidP="00583BF9">
            <w:pPr>
              <w:keepNext/>
              <w:tabs>
                <w:tab w:val="left" w:pos="1134"/>
              </w:tabs>
              <w:jc w:val="center"/>
              <w:rPr>
                <w:rFonts w:cs="Times New Roman"/>
                <w:sz w:val="20"/>
                <w:szCs w:val="20"/>
              </w:rPr>
            </w:pPr>
            <w:r w:rsidRPr="006B61A1">
              <w:rPr>
                <w:rFonts w:cs="Times New Roman"/>
                <w:sz w:val="20"/>
                <w:szCs w:val="20"/>
              </w:rPr>
              <w:t>2.3%</w:t>
            </w:r>
          </w:p>
        </w:tc>
        <w:tc>
          <w:tcPr>
            <w:tcW w:w="1346" w:type="dxa"/>
          </w:tcPr>
          <w:p w:rsidR="008D41C4" w:rsidRPr="006B61A1" w:rsidRDefault="00583BF9" w:rsidP="00583BF9">
            <w:pPr>
              <w:keepNext/>
              <w:tabs>
                <w:tab w:val="left" w:pos="1134"/>
              </w:tabs>
              <w:jc w:val="center"/>
              <w:rPr>
                <w:rFonts w:cs="Times New Roman"/>
                <w:sz w:val="20"/>
                <w:szCs w:val="20"/>
              </w:rPr>
            </w:pPr>
            <w:r w:rsidRPr="006B61A1">
              <w:rPr>
                <w:rFonts w:cs="Times New Roman"/>
                <w:sz w:val="20"/>
                <w:szCs w:val="20"/>
              </w:rPr>
              <w:t>0.0%</w:t>
            </w:r>
          </w:p>
        </w:tc>
        <w:tc>
          <w:tcPr>
            <w:tcW w:w="1224" w:type="dxa"/>
          </w:tcPr>
          <w:p w:rsidR="008D41C4" w:rsidRPr="006B61A1" w:rsidRDefault="00583BF9" w:rsidP="00583BF9">
            <w:pPr>
              <w:keepNext/>
              <w:tabs>
                <w:tab w:val="left" w:pos="1134"/>
              </w:tabs>
              <w:jc w:val="center"/>
              <w:rPr>
                <w:rFonts w:cs="Times New Roman"/>
                <w:sz w:val="20"/>
                <w:szCs w:val="20"/>
              </w:rPr>
            </w:pPr>
            <w:r w:rsidRPr="006B61A1">
              <w:rPr>
                <w:rFonts w:cs="Times New Roman"/>
                <w:sz w:val="20"/>
                <w:szCs w:val="20"/>
              </w:rPr>
              <w:t>4.0%</w:t>
            </w:r>
          </w:p>
        </w:tc>
        <w:tc>
          <w:tcPr>
            <w:tcW w:w="1346" w:type="dxa"/>
          </w:tcPr>
          <w:p w:rsidR="008D41C4" w:rsidRPr="006B61A1" w:rsidRDefault="00583BF9" w:rsidP="00193DC0">
            <w:pPr>
              <w:keepNext/>
              <w:tabs>
                <w:tab w:val="left" w:pos="1134"/>
              </w:tabs>
              <w:jc w:val="center"/>
              <w:rPr>
                <w:rFonts w:cs="Times New Roman"/>
                <w:sz w:val="20"/>
                <w:szCs w:val="20"/>
              </w:rPr>
            </w:pPr>
            <w:r w:rsidRPr="006B61A1">
              <w:rPr>
                <w:rFonts w:cs="Times New Roman"/>
                <w:sz w:val="20"/>
                <w:szCs w:val="20"/>
              </w:rPr>
              <w:t>8.3%</w:t>
            </w:r>
          </w:p>
        </w:tc>
      </w:tr>
      <w:tr w:rsidR="008D41C4" w:rsidTr="000F626F">
        <w:tc>
          <w:tcPr>
            <w:tcW w:w="7738" w:type="dxa"/>
            <w:gridSpan w:val="5"/>
          </w:tcPr>
          <w:p w:rsidR="008D41C4" w:rsidRPr="006B61A1" w:rsidRDefault="008D41C4" w:rsidP="00193DC0">
            <w:pPr>
              <w:keepNext/>
              <w:tabs>
                <w:tab w:val="left" w:pos="1134"/>
              </w:tabs>
              <w:rPr>
                <w:rFonts w:cs="Times New Roman"/>
                <w:sz w:val="20"/>
                <w:szCs w:val="20"/>
              </w:rPr>
            </w:pPr>
            <w:r w:rsidRPr="006B61A1">
              <w:rPr>
                <w:rFonts w:cs="Times New Roman"/>
                <w:sz w:val="20"/>
                <w:szCs w:val="20"/>
              </w:rPr>
              <w:t xml:space="preserve">Endocrine disorders                </w:t>
            </w:r>
          </w:p>
        </w:tc>
      </w:tr>
      <w:tr w:rsidR="008D41C4" w:rsidTr="000F626F">
        <w:tc>
          <w:tcPr>
            <w:tcW w:w="2598" w:type="dxa"/>
          </w:tcPr>
          <w:p w:rsidR="008D41C4" w:rsidRPr="006B61A1" w:rsidRDefault="008D41C4" w:rsidP="00193DC0">
            <w:pPr>
              <w:keepNext/>
              <w:tabs>
                <w:tab w:val="left" w:pos="263"/>
                <w:tab w:val="left" w:pos="1134"/>
              </w:tabs>
              <w:rPr>
                <w:rFonts w:cs="Times New Roman"/>
                <w:sz w:val="20"/>
                <w:szCs w:val="20"/>
              </w:rPr>
            </w:pPr>
            <w:r>
              <w:rPr>
                <w:rFonts w:cs="Times New Roman"/>
                <w:sz w:val="20"/>
                <w:szCs w:val="20"/>
              </w:rPr>
              <w:tab/>
            </w:r>
            <w:r w:rsidRPr="006B61A1">
              <w:rPr>
                <w:rFonts w:cs="Times New Roman"/>
                <w:sz w:val="20"/>
                <w:szCs w:val="20"/>
              </w:rPr>
              <w:t xml:space="preserve">Hyperparathyroidism secondary    </w:t>
            </w:r>
          </w:p>
        </w:tc>
        <w:tc>
          <w:tcPr>
            <w:tcW w:w="1224"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0.0%</w:t>
            </w:r>
          </w:p>
        </w:tc>
        <w:tc>
          <w:tcPr>
            <w:tcW w:w="1346"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0.0%</w:t>
            </w:r>
          </w:p>
        </w:tc>
        <w:tc>
          <w:tcPr>
            <w:tcW w:w="1224"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4.2%</w:t>
            </w:r>
          </w:p>
        </w:tc>
        <w:tc>
          <w:tcPr>
            <w:tcW w:w="1346" w:type="dxa"/>
          </w:tcPr>
          <w:p w:rsidR="008D41C4" w:rsidRPr="006B61A1" w:rsidRDefault="008D41C4" w:rsidP="00193DC0">
            <w:pPr>
              <w:keepNext/>
              <w:tabs>
                <w:tab w:val="left" w:pos="1134"/>
              </w:tabs>
              <w:jc w:val="center"/>
              <w:rPr>
                <w:rFonts w:cs="Times New Roman"/>
                <w:sz w:val="20"/>
                <w:szCs w:val="20"/>
              </w:rPr>
            </w:pPr>
            <w:r w:rsidRPr="006B61A1">
              <w:rPr>
                <w:rFonts w:cs="Times New Roman"/>
                <w:sz w:val="20"/>
                <w:szCs w:val="20"/>
              </w:rPr>
              <w:t>8.9%</w:t>
            </w:r>
          </w:p>
        </w:tc>
      </w:tr>
    </w:tbl>
    <w:p w:rsidR="008D41C4" w:rsidRPr="006B61A1" w:rsidRDefault="008D41C4" w:rsidP="008D41C4">
      <w:pPr>
        <w:pStyle w:val="PlainText"/>
        <w:rPr>
          <w:rFonts w:ascii="Times New Roman" w:hAnsi="Times New Roman" w:cs="Times New Roman"/>
          <w:sz w:val="20"/>
          <w:szCs w:val="20"/>
        </w:rPr>
      </w:pPr>
    </w:p>
    <w:p w:rsidR="008D41C4" w:rsidRPr="006B61A1" w:rsidRDefault="000F626F" w:rsidP="000F626F">
      <w:pPr>
        <w:pStyle w:val="PlainText"/>
        <w:ind w:left="630" w:hanging="630"/>
        <w:rPr>
          <w:rFonts w:ascii="Times New Roman" w:hAnsi="Times New Roman" w:cs="Times New Roman"/>
          <w:sz w:val="20"/>
          <w:szCs w:val="20"/>
        </w:rPr>
      </w:pPr>
      <w:r>
        <w:rPr>
          <w:rFonts w:ascii="Times New Roman" w:hAnsi="Times New Roman" w:cs="Times New Roman"/>
          <w:sz w:val="20"/>
          <w:szCs w:val="20"/>
        </w:rPr>
        <w:t>Notes:</w:t>
      </w:r>
      <w:r w:rsidR="008D41C4" w:rsidRPr="006B61A1">
        <w:rPr>
          <w:rFonts w:ascii="Times New Roman" w:hAnsi="Times New Roman" w:cs="Times New Roman"/>
          <w:sz w:val="20"/>
          <w:szCs w:val="20"/>
        </w:rPr>
        <w:tab/>
      </w:r>
      <w:proofErr w:type="spellStart"/>
      <w:r w:rsidR="002C0EDA">
        <w:rPr>
          <w:rFonts w:ascii="Times New Roman" w:hAnsi="Times New Roman" w:cs="Times New Roman"/>
          <w:sz w:val="20"/>
          <w:szCs w:val="20"/>
        </w:rPr>
        <w:t>Velphoro</w:t>
      </w:r>
      <w:proofErr w:type="spellEnd"/>
      <w:r w:rsidR="008D41C4" w:rsidRPr="006B61A1">
        <w:rPr>
          <w:rFonts w:ascii="Times New Roman" w:hAnsi="Times New Roman" w:cs="Times New Roman"/>
          <w:sz w:val="20"/>
          <w:szCs w:val="20"/>
        </w:rPr>
        <w:t xml:space="preserve"> treatment group in PA-CL-05A/PA-CL-05B also includes adverse events occurring in PA-CL-05A Stage 2.</w:t>
      </w:r>
    </w:p>
    <w:p w:rsidR="008D41C4" w:rsidRPr="006B61A1" w:rsidRDefault="008D41C4" w:rsidP="000F626F">
      <w:pPr>
        <w:pStyle w:val="PlainText"/>
        <w:ind w:left="630" w:hanging="630"/>
        <w:rPr>
          <w:rFonts w:ascii="Times New Roman" w:hAnsi="Times New Roman" w:cs="Times New Roman"/>
          <w:sz w:val="20"/>
          <w:szCs w:val="20"/>
        </w:rPr>
      </w:pPr>
      <w:r>
        <w:rPr>
          <w:rFonts w:ascii="Times New Roman" w:hAnsi="Times New Roman" w:cs="Times New Roman"/>
          <w:sz w:val="20"/>
          <w:szCs w:val="20"/>
        </w:rPr>
        <w:tab/>
      </w:r>
      <w:r w:rsidRPr="006B61A1">
        <w:rPr>
          <w:rFonts w:ascii="Times New Roman" w:hAnsi="Times New Roman" w:cs="Times New Roman"/>
          <w:sz w:val="20"/>
          <w:szCs w:val="20"/>
        </w:rPr>
        <w:t xml:space="preserve">Presentation is by decreasing frequency in </w:t>
      </w:r>
      <w:proofErr w:type="spellStart"/>
      <w:r w:rsidR="002C0EDA">
        <w:rPr>
          <w:rFonts w:ascii="Times New Roman" w:hAnsi="Times New Roman" w:cs="Times New Roman"/>
          <w:sz w:val="20"/>
          <w:szCs w:val="20"/>
        </w:rPr>
        <w:t>Velphoro</w:t>
      </w:r>
      <w:proofErr w:type="spellEnd"/>
      <w:r w:rsidRPr="006B61A1">
        <w:rPr>
          <w:rFonts w:ascii="Times New Roman" w:hAnsi="Times New Roman" w:cs="Times New Roman"/>
          <w:sz w:val="20"/>
          <w:szCs w:val="20"/>
        </w:rPr>
        <w:t xml:space="preserve"> in PA-CL-05A/PA-CL-05B followed by PA</w:t>
      </w:r>
      <w:r w:rsidR="000F626F">
        <w:rPr>
          <w:rFonts w:ascii="Times New Roman" w:hAnsi="Times New Roman" w:cs="Times New Roman"/>
          <w:sz w:val="20"/>
          <w:szCs w:val="20"/>
        </w:rPr>
        <w:noBreakHyphen/>
      </w:r>
      <w:r w:rsidRPr="006B61A1">
        <w:rPr>
          <w:rFonts w:ascii="Times New Roman" w:hAnsi="Times New Roman" w:cs="Times New Roman"/>
          <w:sz w:val="20"/>
          <w:szCs w:val="20"/>
        </w:rPr>
        <w:t>CL</w:t>
      </w:r>
      <w:r w:rsidR="000F626F">
        <w:rPr>
          <w:rFonts w:ascii="Times New Roman" w:hAnsi="Times New Roman" w:cs="Times New Roman"/>
          <w:sz w:val="20"/>
          <w:szCs w:val="20"/>
        </w:rPr>
        <w:noBreakHyphen/>
      </w:r>
      <w:r w:rsidRPr="006B61A1">
        <w:rPr>
          <w:rFonts w:ascii="Times New Roman" w:hAnsi="Times New Roman" w:cs="Times New Roman"/>
          <w:sz w:val="20"/>
          <w:szCs w:val="20"/>
        </w:rPr>
        <w:t>03A.</w:t>
      </w:r>
    </w:p>
    <w:p w:rsidR="008D41C4" w:rsidRPr="006B61A1" w:rsidRDefault="008D41C4" w:rsidP="000F626F">
      <w:pPr>
        <w:pStyle w:val="PlainText"/>
        <w:ind w:left="630" w:hanging="630"/>
        <w:rPr>
          <w:rFonts w:ascii="Times New Roman" w:hAnsi="Times New Roman" w:cs="Times New Roman"/>
          <w:sz w:val="20"/>
          <w:szCs w:val="20"/>
        </w:rPr>
      </w:pPr>
      <w:r>
        <w:rPr>
          <w:rFonts w:ascii="Times New Roman" w:hAnsi="Times New Roman" w:cs="Times New Roman"/>
          <w:sz w:val="20"/>
          <w:szCs w:val="20"/>
        </w:rPr>
        <w:tab/>
      </w:r>
      <w:r w:rsidRPr="006B61A1">
        <w:rPr>
          <w:rFonts w:ascii="Times New Roman" w:hAnsi="Times New Roman" w:cs="Times New Roman"/>
          <w:sz w:val="20"/>
          <w:szCs w:val="20"/>
        </w:rPr>
        <w:t>N is the number of subjects, each subject counts only once for each adverse event.</w:t>
      </w:r>
    </w:p>
    <w:p w:rsidR="00A62C74" w:rsidRDefault="00A62C74" w:rsidP="00A62C74">
      <w:pPr>
        <w:rPr>
          <w:color w:val="auto"/>
          <w:szCs w:val="24"/>
          <w:lang w:val="en-AU" w:eastAsia="en-AU"/>
        </w:rPr>
      </w:pPr>
    </w:p>
    <w:p w:rsidR="004F11FF" w:rsidRDefault="004F11FF" w:rsidP="00A62C74">
      <w:pPr>
        <w:rPr>
          <w:noProof/>
        </w:rPr>
      </w:pPr>
      <w:r w:rsidRPr="00B72A16">
        <w:rPr>
          <w:noProof/>
        </w:rPr>
        <w:lastRenderedPageBreak/>
        <w:t>Adverse drug reactions reported from</w:t>
      </w:r>
      <w:r>
        <w:rPr>
          <w:noProof/>
        </w:rPr>
        <w:t xml:space="preserve"> the</w:t>
      </w:r>
      <w:r w:rsidRPr="00B72A16">
        <w:rPr>
          <w:noProof/>
        </w:rPr>
        <w:t xml:space="preserve"> use of </w:t>
      </w:r>
      <w:r>
        <w:rPr>
          <w:noProof/>
        </w:rPr>
        <w:t>Velphoro</w:t>
      </w:r>
      <w:r w:rsidRPr="00B72A16">
        <w:rPr>
          <w:noProof/>
        </w:rPr>
        <w:t xml:space="preserve"> </w:t>
      </w:r>
      <w:r>
        <w:rPr>
          <w:noProof/>
        </w:rPr>
        <w:t xml:space="preserve">at </w:t>
      </w:r>
      <w:r w:rsidR="00D94F4B">
        <w:rPr>
          <w:noProof/>
        </w:rPr>
        <w:t xml:space="preserve">doses </w:t>
      </w:r>
      <w:r>
        <w:rPr>
          <w:noProof/>
        </w:rPr>
        <w:t xml:space="preserve">from 250 mg iron/day to 3,000 mg iron/day </w:t>
      </w:r>
      <w:r w:rsidRPr="00B72A16">
        <w:rPr>
          <w:noProof/>
        </w:rPr>
        <w:t xml:space="preserve">in </w:t>
      </w:r>
      <w:r>
        <w:rPr>
          <w:noProof/>
        </w:rPr>
        <w:t xml:space="preserve">these </w:t>
      </w:r>
      <w:r w:rsidRPr="00B72A16">
        <w:rPr>
          <w:noProof/>
        </w:rPr>
        <w:t xml:space="preserve">patients (n=835) </w:t>
      </w:r>
      <w:r>
        <w:rPr>
          <w:noProof/>
        </w:rPr>
        <w:t xml:space="preserve">are summarised in Table </w:t>
      </w:r>
      <w:r w:rsidR="009D2014">
        <w:rPr>
          <w:noProof/>
        </w:rPr>
        <w:t>3</w:t>
      </w:r>
      <w:r w:rsidRPr="00B72A16">
        <w:rPr>
          <w:noProof/>
        </w:rPr>
        <w:t>.</w:t>
      </w:r>
    </w:p>
    <w:p w:rsidR="00200ACC" w:rsidRPr="00920DAF" w:rsidRDefault="00200ACC" w:rsidP="00912339">
      <w:pPr>
        <w:ind w:right="-1017"/>
        <w:jc w:val="both"/>
        <w:rPr>
          <w:bCs/>
          <w:szCs w:val="24"/>
        </w:rPr>
      </w:pPr>
    </w:p>
    <w:p w:rsidR="001208C1" w:rsidRPr="000F626F" w:rsidRDefault="00712155" w:rsidP="001208C1">
      <w:pPr>
        <w:keepNext/>
        <w:tabs>
          <w:tab w:val="left" w:pos="1134"/>
        </w:tabs>
        <w:ind w:left="1134" w:hanging="1134"/>
        <w:rPr>
          <w:b/>
          <w:noProof/>
          <w:szCs w:val="24"/>
        </w:rPr>
      </w:pPr>
      <w:r w:rsidRPr="000F626F">
        <w:rPr>
          <w:b/>
          <w:noProof/>
          <w:szCs w:val="24"/>
        </w:rPr>
        <w:t xml:space="preserve">Table </w:t>
      </w:r>
      <w:r w:rsidR="009D2014">
        <w:rPr>
          <w:b/>
          <w:noProof/>
          <w:szCs w:val="24"/>
        </w:rPr>
        <w:t>3</w:t>
      </w:r>
      <w:r w:rsidR="001208C1" w:rsidRPr="000F626F">
        <w:rPr>
          <w:b/>
          <w:noProof/>
          <w:szCs w:val="24"/>
        </w:rPr>
        <w:tab/>
        <w:t>Adverse Drug Reactions Detected in Clinical Trials</w:t>
      </w:r>
    </w:p>
    <w:p w:rsidR="000F626F" w:rsidRPr="000F626F" w:rsidRDefault="000F626F" w:rsidP="000F626F">
      <w:pPr>
        <w:keepNext/>
        <w:rPr>
          <w:noProof/>
        </w:rPr>
      </w:pPr>
    </w:p>
    <w:tbl>
      <w:tblPr>
        <w:tblW w:w="5000" w:type="pct"/>
        <w:tblBorders>
          <w:top w:val="single" w:sz="4" w:space="0" w:color="auto"/>
          <w:bottom w:val="single" w:sz="4" w:space="0" w:color="auto"/>
        </w:tblBorders>
        <w:tblLayout w:type="fixed"/>
        <w:tblCellMar>
          <w:top w:w="57" w:type="dxa"/>
          <w:left w:w="115" w:type="dxa"/>
          <w:bottom w:w="57" w:type="dxa"/>
          <w:right w:w="115" w:type="dxa"/>
        </w:tblCellMar>
        <w:tblLook w:val="04A0" w:firstRow="1" w:lastRow="0" w:firstColumn="1" w:lastColumn="0" w:noHBand="0" w:noVBand="1"/>
      </w:tblPr>
      <w:tblGrid>
        <w:gridCol w:w="2654"/>
        <w:gridCol w:w="1835"/>
        <w:gridCol w:w="2314"/>
        <w:gridCol w:w="2456"/>
      </w:tblGrid>
      <w:tr w:rsidR="000F626F" w:rsidRPr="000F626F" w:rsidTr="004C3CA1">
        <w:trPr>
          <w:cantSplit/>
        </w:trPr>
        <w:tc>
          <w:tcPr>
            <w:tcW w:w="2667" w:type="dxa"/>
            <w:tcBorders>
              <w:top w:val="single" w:sz="4" w:space="0" w:color="auto"/>
              <w:bottom w:val="single" w:sz="4" w:space="0" w:color="auto"/>
            </w:tcBorders>
            <w:hideMark/>
          </w:tcPr>
          <w:p w:rsidR="000F626F" w:rsidRPr="000F626F" w:rsidRDefault="000F626F" w:rsidP="004C3CA1">
            <w:pPr>
              <w:keepNext/>
              <w:rPr>
                <w:b/>
                <w:noProof/>
                <w:sz w:val="20"/>
              </w:rPr>
            </w:pPr>
            <w:r w:rsidRPr="000F626F">
              <w:rPr>
                <w:b/>
                <w:noProof/>
                <w:sz w:val="20"/>
              </w:rPr>
              <w:t>System Organ Class</w:t>
            </w:r>
          </w:p>
        </w:tc>
        <w:tc>
          <w:tcPr>
            <w:tcW w:w="1843" w:type="dxa"/>
            <w:tcBorders>
              <w:top w:val="single" w:sz="4" w:space="0" w:color="auto"/>
              <w:bottom w:val="single" w:sz="4" w:space="0" w:color="auto"/>
            </w:tcBorders>
            <w:hideMark/>
          </w:tcPr>
          <w:p w:rsidR="000F626F" w:rsidRPr="000F626F" w:rsidRDefault="000F626F" w:rsidP="004C3CA1">
            <w:pPr>
              <w:jc w:val="center"/>
              <w:rPr>
                <w:b/>
                <w:noProof/>
                <w:sz w:val="20"/>
              </w:rPr>
            </w:pPr>
            <w:r w:rsidRPr="000F626F">
              <w:rPr>
                <w:b/>
                <w:noProof/>
                <w:sz w:val="20"/>
              </w:rPr>
              <w:t>Very Common</w:t>
            </w:r>
          </w:p>
          <w:p w:rsidR="000F626F" w:rsidRPr="000F626F" w:rsidRDefault="000F626F" w:rsidP="004C3CA1">
            <w:pPr>
              <w:jc w:val="center"/>
              <w:rPr>
                <w:b/>
                <w:noProof/>
                <w:sz w:val="20"/>
              </w:rPr>
            </w:pPr>
            <w:r w:rsidRPr="000F626F">
              <w:rPr>
                <w:b/>
                <w:noProof/>
                <w:sz w:val="20"/>
              </w:rPr>
              <w:t>(≥1/10)</w:t>
            </w:r>
          </w:p>
        </w:tc>
        <w:tc>
          <w:tcPr>
            <w:tcW w:w="2324" w:type="dxa"/>
            <w:tcBorders>
              <w:top w:val="single" w:sz="4" w:space="0" w:color="auto"/>
              <w:bottom w:val="single" w:sz="4" w:space="0" w:color="auto"/>
            </w:tcBorders>
            <w:hideMark/>
          </w:tcPr>
          <w:p w:rsidR="000F626F" w:rsidRPr="000F626F" w:rsidRDefault="000F626F" w:rsidP="004C3CA1">
            <w:pPr>
              <w:jc w:val="center"/>
              <w:rPr>
                <w:b/>
                <w:noProof/>
                <w:sz w:val="20"/>
              </w:rPr>
            </w:pPr>
            <w:r w:rsidRPr="000F626F">
              <w:rPr>
                <w:b/>
                <w:noProof/>
                <w:sz w:val="20"/>
              </w:rPr>
              <w:t>Common</w:t>
            </w:r>
          </w:p>
          <w:p w:rsidR="000F626F" w:rsidRPr="000F626F" w:rsidRDefault="000F626F" w:rsidP="004C3CA1">
            <w:pPr>
              <w:jc w:val="center"/>
              <w:rPr>
                <w:b/>
                <w:noProof/>
                <w:sz w:val="20"/>
              </w:rPr>
            </w:pPr>
            <w:r w:rsidRPr="000F626F">
              <w:rPr>
                <w:b/>
                <w:noProof/>
                <w:sz w:val="20"/>
              </w:rPr>
              <w:t>(≥1/100, &lt;1/10)</w:t>
            </w:r>
          </w:p>
        </w:tc>
        <w:tc>
          <w:tcPr>
            <w:tcW w:w="2467" w:type="dxa"/>
            <w:tcBorders>
              <w:top w:val="single" w:sz="4" w:space="0" w:color="auto"/>
              <w:bottom w:val="single" w:sz="4" w:space="0" w:color="auto"/>
            </w:tcBorders>
            <w:hideMark/>
          </w:tcPr>
          <w:p w:rsidR="000F626F" w:rsidRPr="000F626F" w:rsidRDefault="000F626F" w:rsidP="004C3CA1">
            <w:pPr>
              <w:jc w:val="center"/>
              <w:rPr>
                <w:b/>
                <w:noProof/>
                <w:sz w:val="20"/>
              </w:rPr>
            </w:pPr>
            <w:r w:rsidRPr="000F626F">
              <w:rPr>
                <w:b/>
                <w:noProof/>
                <w:sz w:val="20"/>
              </w:rPr>
              <w:t>Uncommon</w:t>
            </w:r>
          </w:p>
          <w:p w:rsidR="000F626F" w:rsidRPr="000F626F" w:rsidRDefault="000F626F" w:rsidP="004C3CA1">
            <w:pPr>
              <w:jc w:val="center"/>
              <w:rPr>
                <w:b/>
                <w:noProof/>
                <w:sz w:val="20"/>
              </w:rPr>
            </w:pPr>
            <w:r w:rsidRPr="000F626F">
              <w:rPr>
                <w:b/>
                <w:noProof/>
                <w:sz w:val="20"/>
              </w:rPr>
              <w:t>(≥1/1,000, &lt;1/100)</w:t>
            </w:r>
          </w:p>
        </w:tc>
      </w:tr>
      <w:tr w:rsidR="000F626F" w:rsidRPr="0044574E" w:rsidTr="004C3CA1">
        <w:trPr>
          <w:cantSplit/>
        </w:trPr>
        <w:tc>
          <w:tcPr>
            <w:tcW w:w="2667" w:type="dxa"/>
            <w:tcBorders>
              <w:top w:val="single" w:sz="4" w:space="0" w:color="auto"/>
            </w:tcBorders>
            <w:hideMark/>
          </w:tcPr>
          <w:p w:rsidR="000F626F" w:rsidRPr="000F626F" w:rsidRDefault="000F626F" w:rsidP="004C3CA1">
            <w:pPr>
              <w:keepNext/>
              <w:rPr>
                <w:noProof/>
                <w:sz w:val="20"/>
              </w:rPr>
            </w:pPr>
            <w:r w:rsidRPr="000F626F">
              <w:rPr>
                <w:noProof/>
                <w:sz w:val="20"/>
              </w:rPr>
              <w:t>Gastrointestinal Disorders</w:t>
            </w:r>
          </w:p>
        </w:tc>
        <w:tc>
          <w:tcPr>
            <w:tcW w:w="1843" w:type="dxa"/>
            <w:tcBorders>
              <w:top w:val="single" w:sz="4" w:space="0" w:color="auto"/>
            </w:tcBorders>
          </w:tcPr>
          <w:p w:rsidR="000F626F" w:rsidRPr="000F626F" w:rsidRDefault="000F626F" w:rsidP="004C3CA1">
            <w:pPr>
              <w:jc w:val="center"/>
              <w:rPr>
                <w:noProof/>
                <w:sz w:val="20"/>
              </w:rPr>
            </w:pPr>
            <w:r w:rsidRPr="000F626F">
              <w:rPr>
                <w:noProof/>
                <w:sz w:val="20"/>
              </w:rPr>
              <w:t>Diarrhoea*</w:t>
            </w:r>
          </w:p>
          <w:p w:rsidR="000F626F" w:rsidRPr="000F626F" w:rsidRDefault="000F626F" w:rsidP="004C3CA1">
            <w:pPr>
              <w:jc w:val="center"/>
              <w:rPr>
                <w:noProof/>
                <w:sz w:val="20"/>
              </w:rPr>
            </w:pPr>
            <w:r w:rsidRPr="000F626F">
              <w:rPr>
                <w:noProof/>
                <w:sz w:val="20"/>
              </w:rPr>
              <w:t>Discoloured faeces **</w:t>
            </w:r>
          </w:p>
        </w:tc>
        <w:tc>
          <w:tcPr>
            <w:tcW w:w="2324" w:type="dxa"/>
            <w:tcBorders>
              <w:top w:val="single" w:sz="4" w:space="0" w:color="auto"/>
            </w:tcBorders>
            <w:hideMark/>
          </w:tcPr>
          <w:p w:rsidR="000F626F" w:rsidRPr="000F626F" w:rsidRDefault="000F626F" w:rsidP="004C3CA1">
            <w:pPr>
              <w:jc w:val="center"/>
              <w:rPr>
                <w:noProof/>
                <w:sz w:val="20"/>
              </w:rPr>
            </w:pPr>
            <w:r w:rsidRPr="000F626F">
              <w:rPr>
                <w:noProof/>
                <w:sz w:val="20"/>
              </w:rPr>
              <w:t>Nausea</w:t>
            </w:r>
          </w:p>
          <w:p w:rsidR="000F626F" w:rsidRPr="000F626F" w:rsidRDefault="000F626F" w:rsidP="004C3CA1">
            <w:pPr>
              <w:jc w:val="center"/>
              <w:rPr>
                <w:noProof/>
                <w:sz w:val="20"/>
              </w:rPr>
            </w:pPr>
            <w:r w:rsidRPr="000F626F">
              <w:rPr>
                <w:noProof/>
                <w:sz w:val="20"/>
              </w:rPr>
              <w:t>Constipation</w:t>
            </w:r>
          </w:p>
          <w:p w:rsidR="000F626F" w:rsidRPr="000F626F" w:rsidRDefault="000F626F" w:rsidP="004C3CA1">
            <w:pPr>
              <w:jc w:val="center"/>
              <w:rPr>
                <w:noProof/>
                <w:sz w:val="20"/>
              </w:rPr>
            </w:pPr>
            <w:r w:rsidRPr="000F626F">
              <w:rPr>
                <w:noProof/>
                <w:sz w:val="20"/>
              </w:rPr>
              <w:t>Vomiting</w:t>
            </w:r>
          </w:p>
          <w:p w:rsidR="000F626F" w:rsidRPr="000F626F" w:rsidRDefault="000F626F" w:rsidP="004C3CA1">
            <w:pPr>
              <w:jc w:val="center"/>
              <w:rPr>
                <w:noProof/>
                <w:sz w:val="20"/>
              </w:rPr>
            </w:pPr>
            <w:r w:rsidRPr="000F626F">
              <w:rPr>
                <w:noProof/>
                <w:sz w:val="20"/>
              </w:rPr>
              <w:t>Dyspepsia</w:t>
            </w:r>
          </w:p>
          <w:p w:rsidR="000F626F" w:rsidRPr="000F626F" w:rsidRDefault="000F626F" w:rsidP="004C3CA1">
            <w:pPr>
              <w:jc w:val="center"/>
              <w:rPr>
                <w:noProof/>
                <w:sz w:val="20"/>
              </w:rPr>
            </w:pPr>
            <w:r w:rsidRPr="000F626F">
              <w:rPr>
                <w:noProof/>
                <w:sz w:val="20"/>
              </w:rPr>
              <w:t>Abdominal pain</w:t>
            </w:r>
          </w:p>
          <w:p w:rsidR="000F626F" w:rsidRPr="000F626F" w:rsidRDefault="000F626F" w:rsidP="004C3CA1">
            <w:pPr>
              <w:jc w:val="center"/>
              <w:rPr>
                <w:noProof/>
                <w:sz w:val="20"/>
              </w:rPr>
            </w:pPr>
            <w:r w:rsidRPr="000F626F">
              <w:rPr>
                <w:noProof/>
                <w:sz w:val="20"/>
              </w:rPr>
              <w:t>Flatulence</w:t>
            </w:r>
          </w:p>
          <w:p w:rsidR="000F626F" w:rsidRPr="000F626F" w:rsidRDefault="000F626F" w:rsidP="004C3CA1">
            <w:pPr>
              <w:jc w:val="center"/>
              <w:rPr>
                <w:noProof/>
                <w:sz w:val="20"/>
              </w:rPr>
            </w:pPr>
            <w:r w:rsidRPr="000F626F">
              <w:rPr>
                <w:noProof/>
                <w:sz w:val="20"/>
              </w:rPr>
              <w:t>Tooth dicolouration***</w:t>
            </w:r>
          </w:p>
        </w:tc>
        <w:tc>
          <w:tcPr>
            <w:tcW w:w="2467" w:type="dxa"/>
            <w:tcBorders>
              <w:top w:val="single" w:sz="4" w:space="0" w:color="auto"/>
            </w:tcBorders>
            <w:hideMark/>
          </w:tcPr>
          <w:p w:rsidR="000F626F" w:rsidRPr="006C6478" w:rsidRDefault="000F626F" w:rsidP="004C3CA1">
            <w:pPr>
              <w:jc w:val="center"/>
              <w:rPr>
                <w:noProof/>
                <w:sz w:val="20"/>
                <w:lang w:val="fr-CH"/>
              </w:rPr>
            </w:pPr>
            <w:r w:rsidRPr="006C6478">
              <w:rPr>
                <w:noProof/>
                <w:sz w:val="20"/>
                <w:lang w:val="fr-CH"/>
              </w:rPr>
              <w:t>Abdominal distension</w:t>
            </w:r>
          </w:p>
          <w:p w:rsidR="000F626F" w:rsidRPr="006C6478" w:rsidRDefault="000F626F" w:rsidP="004C3CA1">
            <w:pPr>
              <w:jc w:val="center"/>
              <w:rPr>
                <w:noProof/>
                <w:sz w:val="20"/>
                <w:lang w:val="fr-CH"/>
              </w:rPr>
            </w:pPr>
            <w:r w:rsidRPr="006C6478">
              <w:rPr>
                <w:noProof/>
                <w:sz w:val="20"/>
                <w:lang w:val="fr-CH"/>
              </w:rPr>
              <w:t>Gastritis</w:t>
            </w:r>
          </w:p>
          <w:p w:rsidR="000F626F" w:rsidRPr="006C6478" w:rsidRDefault="000F626F" w:rsidP="004C3CA1">
            <w:pPr>
              <w:jc w:val="center"/>
              <w:rPr>
                <w:noProof/>
                <w:sz w:val="20"/>
                <w:lang w:val="fr-CH"/>
              </w:rPr>
            </w:pPr>
            <w:r w:rsidRPr="006C6478">
              <w:rPr>
                <w:noProof/>
                <w:sz w:val="20"/>
                <w:lang w:val="fr-CH"/>
              </w:rPr>
              <w:t>Abdominal discomfort</w:t>
            </w:r>
          </w:p>
          <w:p w:rsidR="000F626F" w:rsidRPr="006C6478" w:rsidRDefault="000F626F" w:rsidP="004C3CA1">
            <w:pPr>
              <w:jc w:val="center"/>
              <w:rPr>
                <w:noProof/>
                <w:sz w:val="20"/>
                <w:lang w:val="fr-CH"/>
              </w:rPr>
            </w:pPr>
            <w:r w:rsidRPr="006C6478">
              <w:rPr>
                <w:noProof/>
                <w:sz w:val="20"/>
                <w:lang w:val="fr-CH"/>
              </w:rPr>
              <w:t>Dysphagia</w:t>
            </w:r>
          </w:p>
          <w:p w:rsidR="000F626F" w:rsidRPr="006C6478" w:rsidRDefault="000F626F" w:rsidP="004C3CA1">
            <w:pPr>
              <w:jc w:val="center"/>
              <w:rPr>
                <w:noProof/>
                <w:sz w:val="20"/>
                <w:lang w:val="fr-CH"/>
              </w:rPr>
            </w:pPr>
            <w:r w:rsidRPr="006C6478">
              <w:rPr>
                <w:noProof/>
                <w:sz w:val="20"/>
                <w:lang w:val="fr-CH"/>
              </w:rPr>
              <w:t>Gastro-oesophageal reflux disease</w:t>
            </w:r>
          </w:p>
          <w:p w:rsidR="000F626F" w:rsidRPr="006C6478" w:rsidRDefault="000F626F" w:rsidP="004C3CA1">
            <w:pPr>
              <w:jc w:val="center"/>
              <w:rPr>
                <w:noProof/>
                <w:sz w:val="20"/>
                <w:lang w:val="fr-CH"/>
              </w:rPr>
            </w:pPr>
            <w:r w:rsidRPr="006C6478">
              <w:rPr>
                <w:noProof/>
                <w:sz w:val="20"/>
                <w:lang w:val="fr-CH"/>
              </w:rPr>
              <w:t>Tongue discolouration***</w:t>
            </w:r>
          </w:p>
        </w:tc>
      </w:tr>
      <w:tr w:rsidR="000F626F" w:rsidRPr="000F626F" w:rsidTr="004C3CA1">
        <w:trPr>
          <w:cantSplit/>
        </w:trPr>
        <w:tc>
          <w:tcPr>
            <w:tcW w:w="2667" w:type="dxa"/>
          </w:tcPr>
          <w:p w:rsidR="000F626F" w:rsidRPr="000F626F" w:rsidRDefault="000F626F" w:rsidP="004C3CA1">
            <w:pPr>
              <w:keepNext/>
              <w:rPr>
                <w:noProof/>
                <w:sz w:val="20"/>
              </w:rPr>
            </w:pPr>
            <w:r w:rsidRPr="000F626F">
              <w:rPr>
                <w:noProof/>
                <w:sz w:val="20"/>
              </w:rPr>
              <w:t>Metabolism and Nutrition Disorders</w:t>
            </w:r>
          </w:p>
        </w:tc>
        <w:tc>
          <w:tcPr>
            <w:tcW w:w="1843" w:type="dxa"/>
          </w:tcPr>
          <w:p w:rsidR="000F626F" w:rsidRPr="000F626F" w:rsidRDefault="000F626F" w:rsidP="004C3CA1">
            <w:pPr>
              <w:jc w:val="center"/>
              <w:rPr>
                <w:noProof/>
                <w:sz w:val="20"/>
              </w:rPr>
            </w:pPr>
          </w:p>
        </w:tc>
        <w:tc>
          <w:tcPr>
            <w:tcW w:w="2324" w:type="dxa"/>
          </w:tcPr>
          <w:p w:rsidR="000F626F" w:rsidRPr="000F626F" w:rsidRDefault="000F626F" w:rsidP="004C3CA1">
            <w:pPr>
              <w:jc w:val="center"/>
              <w:rPr>
                <w:noProof/>
                <w:sz w:val="20"/>
              </w:rPr>
            </w:pPr>
          </w:p>
        </w:tc>
        <w:tc>
          <w:tcPr>
            <w:tcW w:w="2467" w:type="dxa"/>
          </w:tcPr>
          <w:p w:rsidR="000F626F" w:rsidRPr="000F626F" w:rsidRDefault="000F626F" w:rsidP="004C3CA1">
            <w:pPr>
              <w:jc w:val="center"/>
              <w:rPr>
                <w:noProof/>
                <w:sz w:val="20"/>
              </w:rPr>
            </w:pPr>
            <w:r w:rsidRPr="000F626F">
              <w:rPr>
                <w:noProof/>
                <w:sz w:val="20"/>
              </w:rPr>
              <w:t>Hypercalcaemia Hypocalcaemia</w:t>
            </w:r>
          </w:p>
        </w:tc>
      </w:tr>
      <w:tr w:rsidR="000F626F" w:rsidRPr="000F626F" w:rsidTr="004C3CA1">
        <w:trPr>
          <w:cantSplit/>
        </w:trPr>
        <w:tc>
          <w:tcPr>
            <w:tcW w:w="2667" w:type="dxa"/>
            <w:hideMark/>
          </w:tcPr>
          <w:p w:rsidR="000F626F" w:rsidRPr="000F626F" w:rsidRDefault="000F626F" w:rsidP="004C3CA1">
            <w:pPr>
              <w:keepNext/>
              <w:rPr>
                <w:noProof/>
                <w:sz w:val="20"/>
              </w:rPr>
            </w:pPr>
            <w:r w:rsidRPr="000F626F">
              <w:rPr>
                <w:noProof/>
                <w:sz w:val="20"/>
              </w:rPr>
              <w:t>General Disorders and Administration Site Conditions</w:t>
            </w:r>
          </w:p>
        </w:tc>
        <w:tc>
          <w:tcPr>
            <w:tcW w:w="1843" w:type="dxa"/>
          </w:tcPr>
          <w:p w:rsidR="000F626F" w:rsidRPr="000F626F" w:rsidRDefault="000F626F" w:rsidP="004C3CA1">
            <w:pPr>
              <w:jc w:val="center"/>
              <w:rPr>
                <w:noProof/>
                <w:sz w:val="20"/>
              </w:rPr>
            </w:pPr>
          </w:p>
        </w:tc>
        <w:tc>
          <w:tcPr>
            <w:tcW w:w="2324" w:type="dxa"/>
            <w:hideMark/>
          </w:tcPr>
          <w:p w:rsidR="000F626F" w:rsidRPr="000F626F" w:rsidRDefault="000F626F" w:rsidP="004C3CA1">
            <w:pPr>
              <w:jc w:val="center"/>
              <w:rPr>
                <w:noProof/>
                <w:sz w:val="20"/>
              </w:rPr>
            </w:pPr>
            <w:r w:rsidRPr="000F626F">
              <w:rPr>
                <w:noProof/>
                <w:sz w:val="20"/>
              </w:rPr>
              <w:t>Product taste abnormal</w:t>
            </w:r>
          </w:p>
        </w:tc>
        <w:tc>
          <w:tcPr>
            <w:tcW w:w="2467" w:type="dxa"/>
            <w:hideMark/>
          </w:tcPr>
          <w:p w:rsidR="000F626F" w:rsidRPr="000F626F" w:rsidRDefault="000F626F" w:rsidP="004C3CA1">
            <w:pPr>
              <w:jc w:val="center"/>
              <w:rPr>
                <w:noProof/>
                <w:sz w:val="20"/>
              </w:rPr>
            </w:pPr>
            <w:r w:rsidRPr="000F626F">
              <w:rPr>
                <w:noProof/>
                <w:sz w:val="20"/>
              </w:rPr>
              <w:t>Fatigue</w:t>
            </w:r>
          </w:p>
        </w:tc>
      </w:tr>
      <w:tr w:rsidR="000F626F" w:rsidRPr="000F626F" w:rsidTr="004C3CA1">
        <w:trPr>
          <w:cantSplit/>
        </w:trPr>
        <w:tc>
          <w:tcPr>
            <w:tcW w:w="2667" w:type="dxa"/>
          </w:tcPr>
          <w:p w:rsidR="000F626F" w:rsidRPr="000F626F" w:rsidRDefault="000F626F" w:rsidP="004C3CA1">
            <w:pPr>
              <w:keepNext/>
              <w:rPr>
                <w:noProof/>
                <w:sz w:val="20"/>
              </w:rPr>
            </w:pPr>
            <w:r w:rsidRPr="000F626F">
              <w:rPr>
                <w:noProof/>
                <w:sz w:val="20"/>
              </w:rPr>
              <w:t>Skin and Subcutaneous Tissue Disorders</w:t>
            </w:r>
          </w:p>
        </w:tc>
        <w:tc>
          <w:tcPr>
            <w:tcW w:w="1843" w:type="dxa"/>
          </w:tcPr>
          <w:p w:rsidR="000F626F" w:rsidRPr="000F626F" w:rsidRDefault="000F626F" w:rsidP="004C3CA1">
            <w:pPr>
              <w:jc w:val="center"/>
              <w:rPr>
                <w:noProof/>
                <w:sz w:val="20"/>
              </w:rPr>
            </w:pPr>
          </w:p>
        </w:tc>
        <w:tc>
          <w:tcPr>
            <w:tcW w:w="2324" w:type="dxa"/>
          </w:tcPr>
          <w:p w:rsidR="000F626F" w:rsidRPr="000F626F" w:rsidRDefault="000F626F" w:rsidP="004C3CA1">
            <w:pPr>
              <w:jc w:val="center"/>
              <w:rPr>
                <w:noProof/>
                <w:sz w:val="20"/>
              </w:rPr>
            </w:pPr>
          </w:p>
        </w:tc>
        <w:tc>
          <w:tcPr>
            <w:tcW w:w="2467" w:type="dxa"/>
          </w:tcPr>
          <w:p w:rsidR="000F626F" w:rsidRPr="000F626F" w:rsidRDefault="000F626F" w:rsidP="004C3CA1">
            <w:pPr>
              <w:jc w:val="center"/>
              <w:rPr>
                <w:noProof/>
                <w:sz w:val="20"/>
              </w:rPr>
            </w:pPr>
            <w:r w:rsidRPr="000F626F">
              <w:rPr>
                <w:noProof/>
                <w:sz w:val="20"/>
              </w:rPr>
              <w:t>Pruritus</w:t>
            </w:r>
          </w:p>
          <w:p w:rsidR="000F626F" w:rsidRPr="000F626F" w:rsidRDefault="000F626F" w:rsidP="004C3CA1">
            <w:pPr>
              <w:jc w:val="center"/>
              <w:rPr>
                <w:noProof/>
                <w:sz w:val="20"/>
              </w:rPr>
            </w:pPr>
            <w:r w:rsidRPr="000F626F">
              <w:rPr>
                <w:noProof/>
                <w:sz w:val="20"/>
              </w:rPr>
              <w:t>Rash</w:t>
            </w:r>
          </w:p>
        </w:tc>
      </w:tr>
      <w:tr w:rsidR="000F626F" w:rsidRPr="000F626F" w:rsidTr="004C3CA1">
        <w:trPr>
          <w:cantSplit/>
        </w:trPr>
        <w:tc>
          <w:tcPr>
            <w:tcW w:w="2667" w:type="dxa"/>
          </w:tcPr>
          <w:p w:rsidR="000F626F" w:rsidRPr="000F626F" w:rsidRDefault="000F626F" w:rsidP="004C3CA1">
            <w:pPr>
              <w:keepNext/>
              <w:rPr>
                <w:noProof/>
                <w:sz w:val="20"/>
              </w:rPr>
            </w:pPr>
            <w:r w:rsidRPr="000F626F">
              <w:rPr>
                <w:noProof/>
                <w:sz w:val="20"/>
              </w:rPr>
              <w:t>Nervous System Disorders</w:t>
            </w:r>
          </w:p>
        </w:tc>
        <w:tc>
          <w:tcPr>
            <w:tcW w:w="1843" w:type="dxa"/>
          </w:tcPr>
          <w:p w:rsidR="000F626F" w:rsidRPr="000F626F" w:rsidRDefault="000F626F" w:rsidP="004C3CA1">
            <w:pPr>
              <w:jc w:val="center"/>
              <w:rPr>
                <w:noProof/>
                <w:sz w:val="20"/>
              </w:rPr>
            </w:pPr>
          </w:p>
        </w:tc>
        <w:tc>
          <w:tcPr>
            <w:tcW w:w="2324" w:type="dxa"/>
          </w:tcPr>
          <w:p w:rsidR="000F626F" w:rsidRPr="000F626F" w:rsidRDefault="000F626F" w:rsidP="004C3CA1">
            <w:pPr>
              <w:jc w:val="center"/>
              <w:rPr>
                <w:noProof/>
                <w:sz w:val="20"/>
              </w:rPr>
            </w:pPr>
          </w:p>
        </w:tc>
        <w:tc>
          <w:tcPr>
            <w:tcW w:w="2467" w:type="dxa"/>
          </w:tcPr>
          <w:p w:rsidR="000F626F" w:rsidRPr="000F626F" w:rsidRDefault="000F626F" w:rsidP="004C3CA1">
            <w:pPr>
              <w:jc w:val="center"/>
              <w:rPr>
                <w:noProof/>
                <w:sz w:val="20"/>
              </w:rPr>
            </w:pPr>
            <w:r w:rsidRPr="000F626F">
              <w:rPr>
                <w:noProof/>
                <w:sz w:val="20"/>
              </w:rPr>
              <w:t>Headache</w:t>
            </w:r>
          </w:p>
        </w:tc>
      </w:tr>
      <w:tr w:rsidR="000F626F" w:rsidRPr="000F626F" w:rsidTr="004C3CA1">
        <w:trPr>
          <w:cantSplit/>
        </w:trPr>
        <w:tc>
          <w:tcPr>
            <w:tcW w:w="2667" w:type="dxa"/>
          </w:tcPr>
          <w:p w:rsidR="000F626F" w:rsidRPr="000F626F" w:rsidRDefault="000F626F" w:rsidP="004C3CA1">
            <w:pPr>
              <w:keepNext/>
              <w:rPr>
                <w:noProof/>
                <w:sz w:val="20"/>
              </w:rPr>
            </w:pPr>
            <w:r w:rsidRPr="000F626F">
              <w:rPr>
                <w:noProof/>
                <w:sz w:val="20"/>
              </w:rPr>
              <w:t>Respiratory, Thoracic and Mediastinal Disorders</w:t>
            </w:r>
          </w:p>
        </w:tc>
        <w:tc>
          <w:tcPr>
            <w:tcW w:w="1843" w:type="dxa"/>
          </w:tcPr>
          <w:p w:rsidR="000F626F" w:rsidRPr="000F626F" w:rsidRDefault="000F626F" w:rsidP="004C3CA1">
            <w:pPr>
              <w:jc w:val="center"/>
              <w:rPr>
                <w:noProof/>
                <w:sz w:val="20"/>
              </w:rPr>
            </w:pPr>
          </w:p>
        </w:tc>
        <w:tc>
          <w:tcPr>
            <w:tcW w:w="2324" w:type="dxa"/>
          </w:tcPr>
          <w:p w:rsidR="000F626F" w:rsidRPr="000F626F" w:rsidRDefault="000F626F" w:rsidP="004C3CA1">
            <w:pPr>
              <w:jc w:val="center"/>
              <w:rPr>
                <w:noProof/>
                <w:sz w:val="20"/>
              </w:rPr>
            </w:pPr>
          </w:p>
        </w:tc>
        <w:tc>
          <w:tcPr>
            <w:tcW w:w="2467" w:type="dxa"/>
          </w:tcPr>
          <w:p w:rsidR="000F626F" w:rsidRPr="000F626F" w:rsidRDefault="000F626F" w:rsidP="004C3CA1">
            <w:pPr>
              <w:jc w:val="center"/>
              <w:rPr>
                <w:noProof/>
                <w:sz w:val="20"/>
              </w:rPr>
            </w:pPr>
            <w:r w:rsidRPr="000F626F">
              <w:rPr>
                <w:noProof/>
                <w:sz w:val="20"/>
              </w:rPr>
              <w:t>Dyspnoea</w:t>
            </w:r>
          </w:p>
        </w:tc>
      </w:tr>
    </w:tbl>
    <w:p w:rsidR="000F626F" w:rsidRPr="00836176" w:rsidRDefault="000F626F" w:rsidP="000F626F">
      <w:pPr>
        <w:rPr>
          <w:noProof/>
          <w:sz w:val="20"/>
        </w:rPr>
      </w:pPr>
    </w:p>
    <w:p w:rsidR="001208C1" w:rsidRDefault="001208C1" w:rsidP="004F11FF">
      <w:pPr>
        <w:ind w:left="284" w:hanging="284"/>
        <w:rPr>
          <w:noProof/>
          <w:sz w:val="20"/>
        </w:rPr>
      </w:pPr>
      <w:r>
        <w:rPr>
          <w:noProof/>
        </w:rPr>
        <w:t>*</w:t>
      </w:r>
      <w:r w:rsidRPr="001208C1">
        <w:rPr>
          <w:noProof/>
          <w:sz w:val="20"/>
        </w:rPr>
        <w:tab/>
      </w:r>
      <w:r w:rsidR="00196638">
        <w:rPr>
          <w:noProof/>
          <w:sz w:val="20"/>
        </w:rPr>
        <w:t>Diarrhoea occurred in 11.6% of patients in clinical trials. In the 55 weeks long term studies, t</w:t>
      </w:r>
      <w:r w:rsidRPr="001208C1">
        <w:rPr>
          <w:noProof/>
          <w:sz w:val="20"/>
        </w:rPr>
        <w:t xml:space="preserve">he majority of </w:t>
      </w:r>
      <w:r w:rsidR="00196638">
        <w:rPr>
          <w:noProof/>
          <w:sz w:val="20"/>
        </w:rPr>
        <w:t xml:space="preserve">these treatment-related </w:t>
      </w:r>
      <w:r w:rsidRPr="001208C1">
        <w:rPr>
          <w:noProof/>
          <w:sz w:val="20"/>
        </w:rPr>
        <w:t xml:space="preserve">diarrhoea adverse events were mild and transient, occurred early during treatment initiation and led to treatment discontinuation in only </w:t>
      </w:r>
      <w:r w:rsidR="00196638">
        <w:rPr>
          <w:noProof/>
          <w:sz w:val="20"/>
        </w:rPr>
        <w:t>3.1</w:t>
      </w:r>
      <w:r w:rsidRPr="001208C1">
        <w:rPr>
          <w:noProof/>
          <w:sz w:val="20"/>
        </w:rPr>
        <w:t>% of the patients.</w:t>
      </w:r>
    </w:p>
    <w:p w:rsidR="00196638" w:rsidRDefault="00196638" w:rsidP="004F11FF">
      <w:pPr>
        <w:ind w:left="284" w:hanging="284"/>
        <w:rPr>
          <w:noProof/>
          <w:sz w:val="20"/>
        </w:rPr>
      </w:pPr>
      <w:r>
        <w:rPr>
          <w:noProof/>
          <w:sz w:val="20"/>
        </w:rPr>
        <w:t>**</w:t>
      </w:r>
      <w:r w:rsidR="004F11FF">
        <w:rPr>
          <w:noProof/>
          <w:sz w:val="20"/>
        </w:rPr>
        <w:tab/>
      </w:r>
      <w:r>
        <w:rPr>
          <w:noProof/>
          <w:sz w:val="20"/>
        </w:rPr>
        <w:t xml:space="preserve">Discoloured faeces were also very </w:t>
      </w:r>
      <w:r w:rsidR="001208C1" w:rsidRPr="001208C1">
        <w:rPr>
          <w:noProof/>
          <w:sz w:val="20"/>
        </w:rPr>
        <w:t xml:space="preserve"> commonly seen </w:t>
      </w:r>
      <w:r>
        <w:rPr>
          <w:noProof/>
          <w:sz w:val="20"/>
        </w:rPr>
        <w:t xml:space="preserve">(15% of patients) as expected </w:t>
      </w:r>
      <w:r w:rsidR="001208C1" w:rsidRPr="001208C1">
        <w:rPr>
          <w:noProof/>
          <w:sz w:val="20"/>
        </w:rPr>
        <w:t>with oral preparations containing iron</w:t>
      </w:r>
      <w:r>
        <w:rPr>
          <w:noProof/>
          <w:sz w:val="20"/>
        </w:rPr>
        <w:t>.</w:t>
      </w:r>
    </w:p>
    <w:p w:rsidR="001208C1" w:rsidRPr="001208C1" w:rsidRDefault="00196638" w:rsidP="004F11FF">
      <w:pPr>
        <w:ind w:left="284" w:hanging="284"/>
        <w:rPr>
          <w:noProof/>
          <w:sz w:val="20"/>
        </w:rPr>
      </w:pPr>
      <w:r>
        <w:rPr>
          <w:noProof/>
          <w:sz w:val="20"/>
        </w:rPr>
        <w:t>***</w:t>
      </w:r>
      <w:r w:rsidR="001208C1" w:rsidRPr="001208C1">
        <w:rPr>
          <w:noProof/>
          <w:sz w:val="20"/>
        </w:rPr>
        <w:t>Some</w:t>
      </w:r>
      <w:r>
        <w:rPr>
          <w:noProof/>
          <w:sz w:val="20"/>
        </w:rPr>
        <w:t xml:space="preserve"> </w:t>
      </w:r>
      <w:r w:rsidR="001208C1" w:rsidRPr="001208C1">
        <w:rPr>
          <w:noProof/>
          <w:sz w:val="20"/>
        </w:rPr>
        <w:t>cases of temporary discoloration of tooth and tongue were also seen.</w:t>
      </w:r>
    </w:p>
    <w:p w:rsidR="00200ACC" w:rsidRPr="00920DAF" w:rsidRDefault="00200ACC" w:rsidP="00912339">
      <w:pPr>
        <w:pStyle w:val="BodyText"/>
        <w:ind w:right="-1015"/>
        <w:jc w:val="both"/>
        <w:rPr>
          <w:rFonts w:ascii="Times New Roman" w:hAnsi="Times New Roman" w:cs="Times New Roman"/>
          <w:b/>
          <w:i w:val="0"/>
        </w:rPr>
      </w:pPr>
    </w:p>
    <w:p w:rsidR="00E74444" w:rsidRPr="00920DAF" w:rsidRDefault="00E74444" w:rsidP="001A776D">
      <w:pPr>
        <w:pStyle w:val="Heading2"/>
        <w:rPr>
          <w:lang w:val="en-US"/>
        </w:rPr>
      </w:pPr>
      <w:r w:rsidRPr="00920DAF">
        <w:rPr>
          <w:lang w:val="en-US"/>
        </w:rPr>
        <w:t>Post marketing experience</w:t>
      </w:r>
    </w:p>
    <w:p w:rsidR="001208C1" w:rsidRDefault="001208C1" w:rsidP="001208C1">
      <w:pPr>
        <w:rPr>
          <w:noProof/>
        </w:rPr>
      </w:pPr>
      <w:r>
        <w:rPr>
          <w:noProof/>
        </w:rPr>
        <w:t>No post-marketing experience to date.</w:t>
      </w:r>
    </w:p>
    <w:p w:rsidR="00200ACC" w:rsidRDefault="00200ACC" w:rsidP="00E74444">
      <w:pPr>
        <w:rPr>
          <w:szCs w:val="24"/>
          <w:lang w:val="en-US"/>
        </w:rPr>
      </w:pPr>
    </w:p>
    <w:p w:rsidR="000F626F" w:rsidRPr="00920DAF" w:rsidRDefault="000F626F" w:rsidP="00E74444">
      <w:pPr>
        <w:rPr>
          <w:szCs w:val="24"/>
          <w:lang w:val="en-US"/>
        </w:rPr>
      </w:pPr>
    </w:p>
    <w:p w:rsidR="00C5140D" w:rsidRPr="00920DAF" w:rsidRDefault="00C5140D" w:rsidP="006B788F">
      <w:pPr>
        <w:pStyle w:val="Heading1"/>
      </w:pPr>
      <w:r w:rsidRPr="00920DAF">
        <w:t>DOSAGE AND ADMINISTRATION</w:t>
      </w:r>
    </w:p>
    <w:p w:rsidR="00C5140D" w:rsidRPr="00920DAF" w:rsidRDefault="00C5140D" w:rsidP="00836176">
      <w:pPr>
        <w:keepNext/>
        <w:rPr>
          <w:szCs w:val="24"/>
        </w:rPr>
      </w:pPr>
    </w:p>
    <w:p w:rsidR="001208C1" w:rsidRDefault="001208C1" w:rsidP="00D17B21">
      <w:pPr>
        <w:rPr>
          <w:b/>
          <w:szCs w:val="22"/>
        </w:rPr>
      </w:pPr>
      <w:r w:rsidRPr="009A458A">
        <w:t xml:space="preserve">Tablets must be taken with </w:t>
      </w:r>
      <w:r w:rsidR="00495BBA">
        <w:t>meals</w:t>
      </w:r>
      <w:r w:rsidRPr="009A458A">
        <w:t>, chewed and not swallowed whole.</w:t>
      </w:r>
      <w:r w:rsidR="00D17B21" w:rsidRPr="00D17B21">
        <w:t xml:space="preserve"> </w:t>
      </w:r>
      <w:r w:rsidR="00D17B21">
        <w:t xml:space="preserve">The tablets may be crushed as an aid to chewing. </w:t>
      </w:r>
    </w:p>
    <w:p w:rsidR="001208C1" w:rsidRDefault="001208C1" w:rsidP="001208C1"/>
    <w:p w:rsidR="00495BBA" w:rsidRDefault="00495BBA" w:rsidP="001208C1">
      <w:r>
        <w:t xml:space="preserve">Patients receiving </w:t>
      </w:r>
      <w:proofErr w:type="spellStart"/>
      <w:r>
        <w:t>Velphoro</w:t>
      </w:r>
      <w:proofErr w:type="spellEnd"/>
      <w:r>
        <w:t xml:space="preserve"> should adhere to their prescribed diets.</w:t>
      </w:r>
    </w:p>
    <w:p w:rsidR="00495BBA" w:rsidRPr="00833302" w:rsidRDefault="00495BBA" w:rsidP="001208C1"/>
    <w:p w:rsidR="001208C1" w:rsidRPr="00FC7C6E" w:rsidRDefault="001208C1" w:rsidP="001A776D">
      <w:pPr>
        <w:pStyle w:val="Heading2"/>
      </w:pPr>
      <w:r w:rsidRPr="00FC7C6E">
        <w:t>Starting Dose</w:t>
      </w:r>
    </w:p>
    <w:p w:rsidR="001208C1" w:rsidRPr="00833302" w:rsidRDefault="001208C1" w:rsidP="001208C1">
      <w:pPr>
        <w:rPr>
          <w:noProof/>
        </w:rPr>
      </w:pPr>
      <w:r w:rsidRPr="00DA063F">
        <w:rPr>
          <w:noProof/>
        </w:rPr>
        <w:t xml:space="preserve">The recommended starting dose of </w:t>
      </w:r>
      <w:r w:rsidR="0064062C">
        <w:rPr>
          <w:noProof/>
        </w:rPr>
        <w:t>Velphoro</w:t>
      </w:r>
      <w:r w:rsidRPr="00DA063F">
        <w:rPr>
          <w:noProof/>
        </w:rPr>
        <w:t xml:space="preserve"> is </w:t>
      </w:r>
      <w:r>
        <w:rPr>
          <w:noProof/>
        </w:rPr>
        <w:t>1,500 </w:t>
      </w:r>
      <w:r w:rsidRPr="00DA063F">
        <w:rPr>
          <w:noProof/>
        </w:rPr>
        <w:t>mg</w:t>
      </w:r>
      <w:r w:rsidR="00495BBA">
        <w:rPr>
          <w:noProof/>
        </w:rPr>
        <w:t xml:space="preserve"> iron</w:t>
      </w:r>
      <w:r>
        <w:rPr>
          <w:noProof/>
        </w:rPr>
        <w:t xml:space="preserve"> </w:t>
      </w:r>
      <w:r w:rsidRPr="00DA063F">
        <w:rPr>
          <w:noProof/>
        </w:rPr>
        <w:t>per day (</w:t>
      </w:r>
      <w:r>
        <w:rPr>
          <w:noProof/>
        </w:rPr>
        <w:t>3 </w:t>
      </w:r>
      <w:r w:rsidRPr="00DA063F">
        <w:rPr>
          <w:noProof/>
        </w:rPr>
        <w:t xml:space="preserve">tablets). </w:t>
      </w:r>
      <w:r w:rsidR="0064062C">
        <w:rPr>
          <w:noProof/>
        </w:rPr>
        <w:t>Velphoro</w:t>
      </w:r>
      <w:r w:rsidRPr="00DA063F">
        <w:rPr>
          <w:noProof/>
        </w:rPr>
        <w:t xml:space="preserve"> is for oral administration only and must be taken with meals.</w:t>
      </w:r>
    </w:p>
    <w:p w:rsidR="001208C1" w:rsidRDefault="001208C1" w:rsidP="001208C1">
      <w:pPr>
        <w:rPr>
          <w:noProof/>
        </w:rPr>
      </w:pPr>
    </w:p>
    <w:p w:rsidR="001208C1" w:rsidRPr="00FC7C6E" w:rsidRDefault="001208C1" w:rsidP="001A776D">
      <w:pPr>
        <w:pStyle w:val="Heading2"/>
      </w:pPr>
      <w:r w:rsidRPr="00FC7C6E">
        <w:lastRenderedPageBreak/>
        <w:t>Titration and Maintenance</w:t>
      </w:r>
    </w:p>
    <w:p w:rsidR="001208C1" w:rsidRPr="00110012" w:rsidRDefault="001208C1" w:rsidP="001208C1">
      <w:pPr>
        <w:rPr>
          <w:noProof/>
        </w:rPr>
      </w:pPr>
      <w:r w:rsidRPr="00110012">
        <w:rPr>
          <w:noProof/>
        </w:rPr>
        <w:t xml:space="preserve">Serum phosphorus levels must be monitored and the dose of </w:t>
      </w:r>
      <w:r w:rsidR="0064062C">
        <w:rPr>
          <w:noProof/>
        </w:rPr>
        <w:t>Velphoro</w:t>
      </w:r>
      <w:r w:rsidRPr="00110012">
        <w:rPr>
          <w:noProof/>
        </w:rPr>
        <w:t xml:space="preserve"> up or down titrated in increments of 500 mg (1 tablet) per day every 2-4 weeks until an acceptable serum phosphorus level is reached, with regular monitoring afterwards.</w:t>
      </w:r>
    </w:p>
    <w:p w:rsidR="001208C1" w:rsidRPr="00110012" w:rsidRDefault="001208C1" w:rsidP="001208C1">
      <w:pPr>
        <w:rPr>
          <w:noProof/>
        </w:rPr>
      </w:pPr>
    </w:p>
    <w:p w:rsidR="001208C1" w:rsidRDefault="001208C1" w:rsidP="001208C1">
      <w:pPr>
        <w:rPr>
          <w:noProof/>
        </w:rPr>
      </w:pPr>
      <w:r w:rsidRPr="00110012">
        <w:rPr>
          <w:noProof/>
        </w:rPr>
        <w:t xml:space="preserve">In clinical practice, treatment will be based on the need to control serum phosphorus levels, though patients who respond to </w:t>
      </w:r>
      <w:r w:rsidR="0064062C">
        <w:rPr>
          <w:noProof/>
        </w:rPr>
        <w:t>Velphoro</w:t>
      </w:r>
      <w:r w:rsidRPr="00110012">
        <w:rPr>
          <w:noProof/>
        </w:rPr>
        <w:t xml:space="preserve"> therapy usually achieve optimal serum phosphorus levels at doses of 1,500 mg-2,000 mg </w:t>
      </w:r>
      <w:r w:rsidR="00495BBA">
        <w:rPr>
          <w:noProof/>
        </w:rPr>
        <w:t xml:space="preserve">iron </w:t>
      </w:r>
      <w:r w:rsidRPr="00110012">
        <w:rPr>
          <w:noProof/>
        </w:rPr>
        <w:t>per day (3 to 4 tablets).</w:t>
      </w:r>
    </w:p>
    <w:p w:rsidR="001208C1" w:rsidRPr="00110012" w:rsidRDefault="001208C1" w:rsidP="001208C1">
      <w:pPr>
        <w:rPr>
          <w:noProof/>
        </w:rPr>
      </w:pPr>
    </w:p>
    <w:p w:rsidR="001208C1" w:rsidRPr="00FC7C6E" w:rsidRDefault="001208C1" w:rsidP="001A776D">
      <w:pPr>
        <w:pStyle w:val="Heading2"/>
      </w:pPr>
      <w:r w:rsidRPr="00FC7C6E">
        <w:t xml:space="preserve">Maximum Tolerated </w:t>
      </w:r>
      <w:r w:rsidR="00687D5C">
        <w:t>Daily</w:t>
      </w:r>
      <w:r w:rsidR="00687D5C" w:rsidRPr="00FC7C6E">
        <w:t xml:space="preserve"> </w:t>
      </w:r>
      <w:r w:rsidRPr="00FC7C6E">
        <w:t>Dose</w:t>
      </w:r>
    </w:p>
    <w:p w:rsidR="001208C1" w:rsidRPr="00110012" w:rsidRDefault="001208C1" w:rsidP="001208C1">
      <w:pPr>
        <w:rPr>
          <w:noProof/>
        </w:rPr>
      </w:pPr>
      <w:r w:rsidRPr="00110012">
        <w:rPr>
          <w:noProof/>
        </w:rPr>
        <w:t>The maximum recommended dose is 3,000 mg</w:t>
      </w:r>
      <w:r w:rsidR="00495BBA">
        <w:rPr>
          <w:noProof/>
        </w:rPr>
        <w:t xml:space="preserve"> iron</w:t>
      </w:r>
      <w:r w:rsidRPr="00110012">
        <w:rPr>
          <w:noProof/>
        </w:rPr>
        <w:t xml:space="preserve"> (6 tablets) per day.</w:t>
      </w:r>
    </w:p>
    <w:p w:rsidR="001208C1" w:rsidRDefault="001208C1" w:rsidP="001208C1">
      <w:pPr>
        <w:rPr>
          <w:noProof/>
        </w:rPr>
      </w:pPr>
    </w:p>
    <w:p w:rsidR="001208C1" w:rsidRPr="00FC7C6E" w:rsidRDefault="001208C1" w:rsidP="001A776D">
      <w:pPr>
        <w:pStyle w:val="Heading2"/>
      </w:pPr>
      <w:r w:rsidRPr="00FC7C6E">
        <w:t>Paediatric Population</w:t>
      </w:r>
    </w:p>
    <w:p w:rsidR="001208C1" w:rsidRDefault="001208C1" w:rsidP="001208C1">
      <w:pPr>
        <w:rPr>
          <w:noProof/>
        </w:rPr>
      </w:pPr>
      <w:r w:rsidRPr="00110012">
        <w:rPr>
          <w:noProof/>
        </w:rPr>
        <w:t xml:space="preserve">The safety and efficacy of </w:t>
      </w:r>
      <w:r w:rsidR="0064062C">
        <w:rPr>
          <w:noProof/>
        </w:rPr>
        <w:t>Velphoro</w:t>
      </w:r>
      <w:r w:rsidRPr="00110012">
        <w:rPr>
          <w:noProof/>
        </w:rPr>
        <w:t xml:space="preserve"> in children below the age of 18 years has not yet been established</w:t>
      </w:r>
      <w:r w:rsidR="00495BBA">
        <w:rPr>
          <w:noProof/>
        </w:rPr>
        <w:t>. No data are available.</w:t>
      </w:r>
    </w:p>
    <w:p w:rsidR="00495BBA" w:rsidRDefault="00495BBA" w:rsidP="001208C1">
      <w:pPr>
        <w:rPr>
          <w:noProof/>
        </w:rPr>
      </w:pPr>
    </w:p>
    <w:p w:rsidR="00495BBA" w:rsidRPr="00FC7C6E" w:rsidRDefault="006C223B" w:rsidP="001A776D">
      <w:pPr>
        <w:pStyle w:val="Heading2"/>
      </w:pPr>
      <w:r>
        <w:t>Elderly</w:t>
      </w:r>
    </w:p>
    <w:p w:rsidR="00495BBA" w:rsidRDefault="00495BBA" w:rsidP="001208C1">
      <w:pPr>
        <w:rPr>
          <w:noProof/>
        </w:rPr>
      </w:pPr>
      <w:r>
        <w:rPr>
          <w:noProof/>
        </w:rPr>
        <w:t>Velphoro has been administered to over 245 seniors (≥65 years of age) according to the approved dosing regimen. Of the total number of subjects in clinical studies of Velphoro, 29.7 % were aged 65 and over, while 8.7% were aged 75 and over. No special dosage and administration guidelines were applied to seni</w:t>
      </w:r>
      <w:r w:rsidR="004F11FF">
        <w:rPr>
          <w:noProof/>
        </w:rPr>
        <w:t>or</w:t>
      </w:r>
      <w:r>
        <w:rPr>
          <w:noProof/>
        </w:rPr>
        <w:t>s in these s</w:t>
      </w:r>
      <w:r w:rsidR="004F11FF">
        <w:rPr>
          <w:noProof/>
        </w:rPr>
        <w:t>t</w:t>
      </w:r>
      <w:r>
        <w:rPr>
          <w:noProof/>
        </w:rPr>
        <w:t>udies and the dosing schedules were not associated with any significant concerns.</w:t>
      </w:r>
    </w:p>
    <w:p w:rsidR="00495BBA" w:rsidRDefault="00495BBA" w:rsidP="001208C1">
      <w:pPr>
        <w:rPr>
          <w:noProof/>
        </w:rPr>
      </w:pPr>
    </w:p>
    <w:p w:rsidR="00495BBA" w:rsidRPr="00FC7C6E" w:rsidRDefault="00495BBA" w:rsidP="001A776D">
      <w:pPr>
        <w:pStyle w:val="Heading2"/>
      </w:pPr>
      <w:r w:rsidRPr="00FC7C6E">
        <w:t>Renal Impairment</w:t>
      </w:r>
    </w:p>
    <w:p w:rsidR="00495BBA" w:rsidRDefault="00495BBA" w:rsidP="001208C1">
      <w:pPr>
        <w:rPr>
          <w:noProof/>
        </w:rPr>
      </w:pPr>
      <w:r>
        <w:rPr>
          <w:noProof/>
        </w:rPr>
        <w:t xml:space="preserve">Velphoro is indicated for the control of serum phosphorus levels in patients </w:t>
      </w:r>
      <w:r w:rsidR="00687D5C">
        <w:rPr>
          <w:noProof/>
        </w:rPr>
        <w:t>with</w:t>
      </w:r>
      <w:r w:rsidR="008D482A">
        <w:rPr>
          <w:noProof/>
        </w:rPr>
        <w:t>chronic kidney disease</w:t>
      </w:r>
      <w:r w:rsidR="00EC3B46">
        <w:rPr>
          <w:noProof/>
        </w:rPr>
        <w:t xml:space="preserve"> on dialysis</w:t>
      </w:r>
      <w:r>
        <w:rPr>
          <w:noProof/>
        </w:rPr>
        <w:t>. There is no clinical data available with Velphoro in patients with earlier stage of renal impairment.</w:t>
      </w:r>
    </w:p>
    <w:p w:rsidR="00495BBA" w:rsidRDefault="00495BBA" w:rsidP="001208C1">
      <w:pPr>
        <w:rPr>
          <w:noProof/>
        </w:rPr>
      </w:pPr>
    </w:p>
    <w:p w:rsidR="00495BBA" w:rsidRPr="00FC7C6E" w:rsidRDefault="00495BBA" w:rsidP="001A776D">
      <w:pPr>
        <w:pStyle w:val="Heading2"/>
      </w:pPr>
      <w:r w:rsidRPr="00FC7C6E">
        <w:t>Hepatic Impairment</w:t>
      </w:r>
    </w:p>
    <w:p w:rsidR="00495BBA" w:rsidRPr="00495BBA" w:rsidRDefault="00495BBA" w:rsidP="001208C1">
      <w:pPr>
        <w:rPr>
          <w:noProof/>
        </w:rPr>
      </w:pPr>
      <w:r>
        <w:rPr>
          <w:noProof/>
        </w:rPr>
        <w:t>Generally, patients with severe hepatic impairment were excluded from participating in clincal studies with Velphoro. However, no evidence of hepatic impairment or significant alteration of hepatic enzymes were observed in the clinical studies with Velphoro.</w:t>
      </w:r>
    </w:p>
    <w:p w:rsidR="001208C1" w:rsidRPr="00110012" w:rsidRDefault="001208C1" w:rsidP="001208C1">
      <w:pPr>
        <w:rPr>
          <w:noProof/>
        </w:rPr>
      </w:pPr>
    </w:p>
    <w:p w:rsidR="001208C1" w:rsidRPr="00FC7C6E" w:rsidRDefault="001208C1" w:rsidP="001A776D">
      <w:pPr>
        <w:pStyle w:val="Heading2"/>
      </w:pPr>
      <w:r w:rsidRPr="00FC7C6E">
        <w:t>Method of Administration</w:t>
      </w:r>
    </w:p>
    <w:p w:rsidR="001208C1" w:rsidRPr="00BE1691" w:rsidRDefault="0064062C" w:rsidP="001208C1">
      <w:pPr>
        <w:autoSpaceDE w:val="0"/>
        <w:autoSpaceDN w:val="0"/>
        <w:adjustRightInd w:val="0"/>
        <w:jc w:val="both"/>
      </w:pPr>
      <w:proofErr w:type="spellStart"/>
      <w:r>
        <w:t>Velphoro</w:t>
      </w:r>
      <w:proofErr w:type="spellEnd"/>
      <w:r w:rsidR="001208C1" w:rsidRPr="00BE1691">
        <w:t xml:space="preserve"> is a chewable tablet that must be taken with meals. In order to maximise the adsorption of dietary phosphate, the total daily dose should be divided across the meals of the day. Patients are not required to drink more fluid than they normally would. Tablets must be chewed and not swallowed whole. </w:t>
      </w:r>
      <w:r w:rsidR="00495BBA">
        <w:t>T</w:t>
      </w:r>
      <w:r w:rsidR="001208C1" w:rsidRPr="00BE1691">
        <w:t>ablets may be crushed.</w:t>
      </w:r>
    </w:p>
    <w:p w:rsidR="001208C1" w:rsidRPr="00BE1691" w:rsidRDefault="001208C1" w:rsidP="001208C1">
      <w:pPr>
        <w:autoSpaceDE w:val="0"/>
        <w:autoSpaceDN w:val="0"/>
        <w:adjustRightInd w:val="0"/>
        <w:jc w:val="both"/>
      </w:pPr>
    </w:p>
    <w:p w:rsidR="001208C1" w:rsidRDefault="001208C1" w:rsidP="001208C1">
      <w:pPr>
        <w:autoSpaceDE w:val="0"/>
        <w:autoSpaceDN w:val="0"/>
        <w:adjustRightInd w:val="0"/>
        <w:jc w:val="both"/>
      </w:pPr>
      <w:r w:rsidRPr="00BE1691">
        <w:t>If one or more doses are missed, the normal dose of the medication should be resumed with the next meal.</w:t>
      </w:r>
    </w:p>
    <w:p w:rsidR="00C5140D" w:rsidRDefault="00C5140D" w:rsidP="00912339">
      <w:pPr>
        <w:ind w:right="-1017"/>
        <w:jc w:val="both"/>
        <w:rPr>
          <w:szCs w:val="24"/>
        </w:rPr>
      </w:pPr>
    </w:p>
    <w:p w:rsidR="00092174" w:rsidRPr="00920DAF" w:rsidRDefault="00092174" w:rsidP="00912339">
      <w:pPr>
        <w:ind w:right="-1017"/>
        <w:jc w:val="both"/>
        <w:rPr>
          <w:szCs w:val="24"/>
        </w:rPr>
      </w:pPr>
    </w:p>
    <w:p w:rsidR="00C5140D" w:rsidRPr="00920DAF" w:rsidRDefault="00C5140D" w:rsidP="006B788F">
      <w:pPr>
        <w:pStyle w:val="Heading1"/>
      </w:pPr>
      <w:r w:rsidRPr="00920DAF">
        <w:t>OVERDOSAGE</w:t>
      </w:r>
    </w:p>
    <w:p w:rsidR="00C5140D" w:rsidRPr="00920DAF" w:rsidRDefault="00C5140D" w:rsidP="00836176">
      <w:pPr>
        <w:keepNext/>
        <w:rPr>
          <w:szCs w:val="24"/>
        </w:rPr>
      </w:pPr>
    </w:p>
    <w:p w:rsidR="000A7674" w:rsidRPr="00920DAF" w:rsidRDefault="0067054B" w:rsidP="002B2D5E">
      <w:pPr>
        <w:rPr>
          <w:szCs w:val="24"/>
        </w:rPr>
      </w:pPr>
      <w:r w:rsidRPr="005264AA">
        <w:rPr>
          <w:noProof/>
        </w:rPr>
        <w:t xml:space="preserve">No case of overdose with </w:t>
      </w:r>
      <w:r>
        <w:rPr>
          <w:noProof/>
        </w:rPr>
        <w:t>Velphoro</w:t>
      </w:r>
      <w:r w:rsidRPr="005264AA">
        <w:rPr>
          <w:noProof/>
        </w:rPr>
        <w:t xml:space="preserve"> has been reported. Since the absorption of iron from </w:t>
      </w:r>
      <w:r>
        <w:rPr>
          <w:noProof/>
        </w:rPr>
        <w:t>Velphoro</w:t>
      </w:r>
      <w:r w:rsidRPr="005264AA">
        <w:rPr>
          <w:noProof/>
        </w:rPr>
        <w:t xml:space="preserve"> is low, the risk of systemic iron toxicity is negligible. Any instances of </w:t>
      </w:r>
      <w:r w:rsidR="00DD10AA">
        <w:rPr>
          <w:noProof/>
        </w:rPr>
        <w:t xml:space="preserve">overdose (eg, </w:t>
      </w:r>
      <w:r w:rsidRPr="005264AA">
        <w:rPr>
          <w:noProof/>
        </w:rPr>
        <w:t>hypophosphatemia</w:t>
      </w:r>
      <w:r w:rsidR="00DD10AA">
        <w:rPr>
          <w:noProof/>
        </w:rPr>
        <w:t>)</w:t>
      </w:r>
      <w:r w:rsidRPr="005264AA">
        <w:rPr>
          <w:noProof/>
        </w:rPr>
        <w:t xml:space="preserve"> due to phosphate binder overdose should be treated by standard clinical practice.</w:t>
      </w:r>
    </w:p>
    <w:p w:rsidR="00C5140D" w:rsidRPr="00920DAF" w:rsidRDefault="00C5140D" w:rsidP="006B788F">
      <w:pPr>
        <w:pStyle w:val="Heading1"/>
      </w:pPr>
      <w:r w:rsidRPr="00920DAF">
        <w:lastRenderedPageBreak/>
        <w:t>PRESENTATION AND STORAGE CONDITIONS</w:t>
      </w:r>
    </w:p>
    <w:p w:rsidR="0067054B" w:rsidRDefault="0067054B" w:rsidP="00092174">
      <w:pPr>
        <w:keepNext/>
        <w:rPr>
          <w:b/>
          <w:noProof/>
        </w:rPr>
      </w:pPr>
    </w:p>
    <w:p w:rsidR="00F60D89" w:rsidRPr="00FC7C6E" w:rsidRDefault="00F60D89" w:rsidP="001A776D">
      <w:pPr>
        <w:pStyle w:val="Heading2"/>
      </w:pPr>
      <w:r w:rsidRPr="00FC7C6E">
        <w:t>Presentations</w:t>
      </w:r>
    </w:p>
    <w:p w:rsidR="006C223B" w:rsidRDefault="006C223B" w:rsidP="00F60D89">
      <w:pPr>
        <w:rPr>
          <w:noProof/>
        </w:rPr>
      </w:pPr>
      <w:r w:rsidRPr="005264AA">
        <w:rPr>
          <w:noProof/>
        </w:rPr>
        <w:t>Ea</w:t>
      </w:r>
      <w:r w:rsidR="001162D7" w:rsidRPr="005264AA">
        <w:rPr>
          <w:noProof/>
        </w:rPr>
        <w:t>c</w:t>
      </w:r>
      <w:r w:rsidRPr="005264AA">
        <w:rPr>
          <w:noProof/>
        </w:rPr>
        <w:t xml:space="preserve">h Velphoro chewable tablet contains 2,500 mg of </w:t>
      </w:r>
      <w:r w:rsidR="005264AA" w:rsidRPr="005264AA">
        <w:rPr>
          <w:noProof/>
        </w:rPr>
        <w:t xml:space="preserve">sucroferric </w:t>
      </w:r>
      <w:r w:rsidR="0033520B" w:rsidRPr="005264AA">
        <w:rPr>
          <w:noProof/>
        </w:rPr>
        <w:t>oxyhydroxide</w:t>
      </w:r>
      <w:r w:rsidR="0033520B" w:rsidRPr="005264AA" w:rsidDel="0033520B">
        <w:rPr>
          <w:noProof/>
        </w:rPr>
        <w:t xml:space="preserve"> </w:t>
      </w:r>
      <w:r w:rsidRPr="005264AA">
        <w:rPr>
          <w:noProof/>
        </w:rPr>
        <w:t>(equivalent to 500 mg iron).</w:t>
      </w:r>
    </w:p>
    <w:p w:rsidR="006C223B" w:rsidRDefault="006C223B" w:rsidP="00F60D89">
      <w:pPr>
        <w:rPr>
          <w:noProof/>
        </w:rPr>
      </w:pPr>
    </w:p>
    <w:p w:rsidR="00F60D89" w:rsidRPr="00BE7DA6" w:rsidRDefault="006C223B" w:rsidP="00F60D89">
      <w:pPr>
        <w:rPr>
          <w:noProof/>
        </w:rPr>
      </w:pPr>
      <w:r>
        <w:rPr>
          <w:noProof/>
        </w:rPr>
        <w:t xml:space="preserve">The tablets are supplied in </w:t>
      </w:r>
      <w:r w:rsidR="00ED0470">
        <w:rPr>
          <w:noProof/>
        </w:rPr>
        <w:t>h</w:t>
      </w:r>
      <w:r w:rsidR="00F60D89" w:rsidRPr="00BE7DA6">
        <w:rPr>
          <w:noProof/>
        </w:rPr>
        <w:t>igh density polyethylene (HDPE) bottle with child-resistant closure and foil induction seal, containing a molecular sieve desiccant and cotton. Pack sizes of 30 or 90 chewable tablets.</w:t>
      </w:r>
    </w:p>
    <w:p w:rsidR="00F60D89" w:rsidRPr="00BE7DA6" w:rsidRDefault="00F60D89" w:rsidP="00F60D89">
      <w:pPr>
        <w:rPr>
          <w:noProof/>
        </w:rPr>
      </w:pPr>
    </w:p>
    <w:p w:rsidR="00F60D89" w:rsidRPr="00BE7DA6" w:rsidRDefault="006C223B" w:rsidP="00F60D89">
      <w:pPr>
        <w:rPr>
          <w:noProof/>
        </w:rPr>
      </w:pPr>
      <w:r>
        <w:rPr>
          <w:noProof/>
        </w:rPr>
        <w:t>The tablets are supplied in</w:t>
      </w:r>
      <w:r w:rsidR="00F60D89" w:rsidRPr="00BE7DA6">
        <w:rPr>
          <w:noProof/>
        </w:rPr>
        <w:t xml:space="preserve"> blister, each blister containing 6 chewable tablets. Pack sizes of 30 or 90 chewable tablets.</w:t>
      </w:r>
    </w:p>
    <w:p w:rsidR="00F60D89" w:rsidRPr="00BE7DA6" w:rsidRDefault="00F60D89" w:rsidP="00F60D89">
      <w:pPr>
        <w:rPr>
          <w:noProof/>
        </w:rPr>
      </w:pPr>
    </w:p>
    <w:p w:rsidR="00F60D89" w:rsidRPr="00BE7DA6" w:rsidRDefault="00F60D89" w:rsidP="00F60D89">
      <w:pPr>
        <w:rPr>
          <w:noProof/>
        </w:rPr>
      </w:pPr>
      <w:r w:rsidRPr="00BE7DA6">
        <w:rPr>
          <w:noProof/>
        </w:rPr>
        <w:t>Not all pack sizes may be marketed.</w:t>
      </w:r>
    </w:p>
    <w:p w:rsidR="00F60D89" w:rsidRDefault="00F60D89" w:rsidP="00F60D89">
      <w:pPr>
        <w:rPr>
          <w:noProof/>
          <w:u w:val="single"/>
        </w:rPr>
      </w:pPr>
    </w:p>
    <w:p w:rsidR="00F60D89" w:rsidRPr="00FC7C6E" w:rsidRDefault="00F60D89" w:rsidP="001A776D">
      <w:pPr>
        <w:pStyle w:val="Heading2"/>
      </w:pPr>
      <w:r w:rsidRPr="00FC7C6E">
        <w:t>Storage conditions</w:t>
      </w:r>
    </w:p>
    <w:p w:rsidR="00F60D89" w:rsidRPr="005742D9" w:rsidRDefault="003203B6" w:rsidP="00F60D89">
      <w:pPr>
        <w:rPr>
          <w:noProof/>
        </w:rPr>
      </w:pPr>
      <w:r>
        <w:rPr>
          <w:noProof/>
        </w:rPr>
        <w:t xml:space="preserve">Store below </w:t>
      </w:r>
      <w:r w:rsidR="006C223B">
        <w:rPr>
          <w:noProof/>
        </w:rPr>
        <w:t>30</w:t>
      </w:r>
      <w:r w:rsidR="006C223B" w:rsidRPr="00FC7C6E">
        <w:rPr>
          <w:noProof/>
          <w:vertAlign w:val="superscript"/>
        </w:rPr>
        <w:t>o</w:t>
      </w:r>
      <w:r w:rsidR="006C223B" w:rsidRPr="00FC7C6E">
        <w:rPr>
          <w:noProof/>
        </w:rPr>
        <w:t>C</w:t>
      </w:r>
    </w:p>
    <w:p w:rsidR="00F60D89" w:rsidRPr="005742D9" w:rsidRDefault="00F60D89" w:rsidP="00F60D89">
      <w:pPr>
        <w:rPr>
          <w:noProof/>
        </w:rPr>
      </w:pPr>
    </w:p>
    <w:p w:rsidR="00F60D89" w:rsidRDefault="00F60D89" w:rsidP="00F60D89">
      <w:pPr>
        <w:rPr>
          <w:noProof/>
        </w:rPr>
      </w:pPr>
      <w:r w:rsidRPr="005742D9">
        <w:rPr>
          <w:noProof/>
        </w:rPr>
        <w:t>Store in the original package</w:t>
      </w:r>
      <w:r w:rsidR="008608BB">
        <w:rPr>
          <w:noProof/>
        </w:rPr>
        <w:t xml:space="preserve"> in order to protect from moisture</w:t>
      </w:r>
      <w:r w:rsidRPr="005742D9">
        <w:rPr>
          <w:noProof/>
        </w:rPr>
        <w:t>.</w:t>
      </w:r>
    </w:p>
    <w:p w:rsidR="00F60D89" w:rsidRDefault="00F60D89" w:rsidP="00F60D89">
      <w:pPr>
        <w:rPr>
          <w:noProof/>
        </w:rPr>
      </w:pPr>
    </w:p>
    <w:p w:rsidR="00092174" w:rsidRDefault="00092174" w:rsidP="00F60D89">
      <w:pPr>
        <w:rPr>
          <w:noProof/>
        </w:rPr>
      </w:pPr>
    </w:p>
    <w:p w:rsidR="00C5140D" w:rsidRPr="008C1774" w:rsidRDefault="008C1774" w:rsidP="008C1774">
      <w:pPr>
        <w:pStyle w:val="Heading1"/>
      </w:pPr>
      <w:bookmarkStart w:id="1" w:name="Handling"/>
      <w:bookmarkEnd w:id="1"/>
      <w:r w:rsidRPr="008C1774">
        <w:t>NAME AND ADDRESS OF THE SPONSOR</w:t>
      </w:r>
    </w:p>
    <w:p w:rsidR="00C5140D" w:rsidRPr="00920DAF" w:rsidRDefault="00C5140D" w:rsidP="00836176">
      <w:pPr>
        <w:keepNext/>
        <w:rPr>
          <w:szCs w:val="24"/>
        </w:rPr>
      </w:pPr>
    </w:p>
    <w:p w:rsidR="00E74444" w:rsidRPr="00920DAF" w:rsidRDefault="00E74444" w:rsidP="00E74444">
      <w:pPr>
        <w:rPr>
          <w:szCs w:val="24"/>
          <w:lang w:val="en-US"/>
        </w:rPr>
      </w:pPr>
      <w:r w:rsidRPr="00920DAF">
        <w:rPr>
          <w:bCs/>
          <w:szCs w:val="24"/>
          <w:lang w:val="en-US"/>
        </w:rPr>
        <w:t>Vifor Pharma Pty Ltd</w:t>
      </w:r>
    </w:p>
    <w:p w:rsidR="00E74444" w:rsidRPr="00920DAF" w:rsidRDefault="00E74444" w:rsidP="00E74444">
      <w:pPr>
        <w:rPr>
          <w:szCs w:val="24"/>
          <w:lang w:val="en-US"/>
        </w:rPr>
      </w:pPr>
      <w:r w:rsidRPr="00920DAF">
        <w:rPr>
          <w:szCs w:val="24"/>
          <w:lang w:val="en-US"/>
        </w:rPr>
        <w:t>Level 8, 80 Dorcas Street</w:t>
      </w:r>
    </w:p>
    <w:p w:rsidR="00E74444" w:rsidRPr="00920DAF" w:rsidRDefault="00E74444" w:rsidP="00E74444">
      <w:pPr>
        <w:rPr>
          <w:szCs w:val="24"/>
          <w:lang w:val="en-US"/>
        </w:rPr>
      </w:pPr>
      <w:r w:rsidRPr="00920DAF">
        <w:rPr>
          <w:szCs w:val="24"/>
          <w:lang w:val="en-US"/>
        </w:rPr>
        <w:t>South Bank, Melbourne VIC 3006</w:t>
      </w:r>
    </w:p>
    <w:p w:rsidR="00E74444" w:rsidRPr="00920DAF" w:rsidRDefault="00E74444" w:rsidP="00E74444">
      <w:pPr>
        <w:rPr>
          <w:szCs w:val="24"/>
          <w:lang w:val="en-US"/>
        </w:rPr>
      </w:pPr>
      <w:r w:rsidRPr="00920DAF">
        <w:rPr>
          <w:szCs w:val="24"/>
          <w:lang w:val="en-US"/>
        </w:rPr>
        <w:t>Australia</w:t>
      </w:r>
    </w:p>
    <w:p w:rsidR="00C5140D" w:rsidRPr="00920DAF" w:rsidRDefault="00C5140D" w:rsidP="00912339">
      <w:pPr>
        <w:ind w:right="-1017"/>
        <w:jc w:val="both"/>
        <w:rPr>
          <w:color w:val="auto"/>
          <w:szCs w:val="24"/>
        </w:rPr>
      </w:pPr>
    </w:p>
    <w:p w:rsidR="009109E0" w:rsidRPr="00920DAF" w:rsidRDefault="009109E0" w:rsidP="00912339">
      <w:pPr>
        <w:ind w:right="-1017"/>
        <w:jc w:val="both"/>
        <w:rPr>
          <w:color w:val="auto"/>
          <w:szCs w:val="24"/>
        </w:rPr>
      </w:pPr>
    </w:p>
    <w:p w:rsidR="00C5140D" w:rsidRPr="008C1774" w:rsidRDefault="00C5140D" w:rsidP="008C1774">
      <w:pPr>
        <w:pStyle w:val="Heading1"/>
      </w:pPr>
      <w:r w:rsidRPr="008C1774">
        <w:t>POISON SCHEDULE OF THE MEDICINE</w:t>
      </w:r>
    </w:p>
    <w:p w:rsidR="00AE2E1B" w:rsidRPr="00920DAF" w:rsidRDefault="00AE2E1B" w:rsidP="00836176">
      <w:pPr>
        <w:keepNext/>
        <w:rPr>
          <w:b/>
          <w:bCs/>
          <w:szCs w:val="24"/>
        </w:rPr>
      </w:pPr>
    </w:p>
    <w:p w:rsidR="00383872" w:rsidRPr="00920DAF" w:rsidRDefault="005216CA" w:rsidP="00912339">
      <w:pPr>
        <w:ind w:right="-1017"/>
        <w:jc w:val="both"/>
        <w:rPr>
          <w:szCs w:val="24"/>
        </w:rPr>
      </w:pPr>
      <w:r w:rsidRPr="00920DAF">
        <w:rPr>
          <w:szCs w:val="24"/>
        </w:rPr>
        <w:t>S4</w:t>
      </w:r>
    </w:p>
    <w:p w:rsidR="000A7674" w:rsidRDefault="000A7674" w:rsidP="00912339">
      <w:pPr>
        <w:ind w:right="-1017"/>
        <w:jc w:val="both"/>
        <w:rPr>
          <w:szCs w:val="24"/>
        </w:rPr>
      </w:pPr>
    </w:p>
    <w:p w:rsidR="00092174" w:rsidRPr="00920DAF" w:rsidRDefault="00092174" w:rsidP="00912339">
      <w:pPr>
        <w:ind w:right="-1017"/>
        <w:jc w:val="both"/>
        <w:rPr>
          <w:szCs w:val="24"/>
        </w:rPr>
      </w:pPr>
    </w:p>
    <w:p w:rsidR="00200ACC" w:rsidRPr="006B788F" w:rsidRDefault="00200ACC" w:rsidP="006B788F">
      <w:pPr>
        <w:pStyle w:val="Heading1"/>
      </w:pPr>
      <w:r w:rsidRPr="006B788F">
        <w:t>DATE OF FIRST INCLUSION IN THE AUSTRALIAN REGISTER OF THERAPEUTIC GOODS (THE ARTG):</w:t>
      </w:r>
    </w:p>
    <w:p w:rsidR="00200ACC" w:rsidRPr="00920DAF" w:rsidRDefault="00200ACC" w:rsidP="00836176">
      <w:pPr>
        <w:keepNext/>
        <w:rPr>
          <w:szCs w:val="24"/>
        </w:rPr>
      </w:pPr>
    </w:p>
    <w:p w:rsidR="00C5140D" w:rsidRPr="002B2D5E" w:rsidRDefault="003025C8" w:rsidP="002B2D5E">
      <w:pPr>
        <w:rPr>
          <w:szCs w:val="24"/>
        </w:rPr>
      </w:pPr>
      <w:r>
        <w:rPr>
          <w:szCs w:val="24"/>
        </w:rPr>
        <w:t>27</w:t>
      </w:r>
      <w:r w:rsidR="00200ACC" w:rsidRPr="00920DAF">
        <w:rPr>
          <w:szCs w:val="24"/>
        </w:rPr>
        <w:t>/</w:t>
      </w:r>
      <w:r>
        <w:rPr>
          <w:szCs w:val="24"/>
        </w:rPr>
        <w:t>11</w:t>
      </w:r>
      <w:r w:rsidR="00200ACC" w:rsidRPr="00920DAF">
        <w:rPr>
          <w:szCs w:val="24"/>
        </w:rPr>
        <w:t>/</w:t>
      </w:r>
      <w:r>
        <w:rPr>
          <w:szCs w:val="24"/>
        </w:rPr>
        <w:t>2014</w:t>
      </w:r>
      <w:bookmarkStart w:id="2" w:name="_GoBack"/>
      <w:bookmarkEnd w:id="2"/>
    </w:p>
    <w:sectPr w:rsidR="00C5140D" w:rsidRPr="002B2D5E" w:rsidSect="00F80F92">
      <w:headerReference w:type="even" r:id="rId10"/>
      <w:headerReference w:type="default" r:id="rId11"/>
      <w:footerReference w:type="default" r:id="rId12"/>
      <w:headerReference w:type="first" r:id="rId13"/>
      <w:footerReference w:type="first" r:id="rId14"/>
      <w:pgSz w:w="11909" w:h="16834"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8B4" w:rsidRDefault="006C58B4">
      <w:r>
        <w:separator/>
      </w:r>
    </w:p>
    <w:p w:rsidR="009B4E66" w:rsidRDefault="009B4E66"/>
  </w:endnote>
  <w:endnote w:type="continuationSeparator" w:id="0">
    <w:p w:rsidR="006C58B4" w:rsidRDefault="006C58B4">
      <w:r>
        <w:continuationSeparator/>
      </w:r>
    </w:p>
    <w:p w:rsidR="009B4E66" w:rsidRDefault="009B4E66"/>
  </w:endnote>
  <w:endnote w:type="continuationNotice" w:id="1">
    <w:p w:rsidR="006C58B4" w:rsidRDefault="006C58B4"/>
    <w:p w:rsidR="009B4E66" w:rsidRDefault="009B4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nePrinter">
    <w:panose1 w:val="00000000000000000000"/>
    <w:charset w:val="00"/>
    <w:family w:val="modern"/>
    <w:notTrueType/>
    <w:pitch w:val="fixed"/>
    <w:sig w:usb0="00000003" w:usb1="00000000" w:usb2="00000000" w:usb3="00000000" w:csb0="00000001" w:csb1="00000000"/>
  </w:font>
  <w:font w:name="CG Omega">
    <w:altName w:val="Malgun Gothic"/>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8B4" w:rsidRDefault="006C58B4" w:rsidP="000F626F">
    <w:pPr>
      <w:pStyle w:val="Footer"/>
      <w:tabs>
        <w:tab w:val="clear" w:pos="4153"/>
        <w:tab w:val="clear" w:pos="8306"/>
        <w:tab w:val="center" w:pos="4500"/>
        <w:tab w:val="right" w:pos="9000"/>
      </w:tabs>
      <w:rPr>
        <w:bCs/>
        <w:i/>
        <w:sz w:val="20"/>
        <w:lang w:val="pt-PT"/>
      </w:rPr>
    </w:pPr>
    <w:r>
      <w:rPr>
        <w:bCs/>
        <w:i/>
        <w:sz w:val="20"/>
        <w:lang w:val="pt-PT"/>
      </w:rPr>
      <w:t xml:space="preserve">Velphoro </w:t>
    </w:r>
    <w:r w:rsidRPr="0067054B">
      <w:rPr>
        <w:bCs/>
        <w:i/>
        <w:sz w:val="20"/>
        <w:vertAlign w:val="superscript"/>
        <w:lang w:val="pt-PT"/>
      </w:rPr>
      <w:t>®</w:t>
    </w:r>
    <w:r>
      <w:rPr>
        <w:bCs/>
        <w:i/>
        <w:sz w:val="20"/>
        <w:lang w:val="pt-PT"/>
      </w:rPr>
      <w:tab/>
    </w:r>
    <w:r>
      <w:rPr>
        <w:bCs/>
        <w:i/>
        <w:sz w:val="20"/>
        <w:lang w:val="pt-PT"/>
      </w:rPr>
      <w:tab/>
    </w:r>
    <w:r w:rsidR="000152B4">
      <w:rPr>
        <w:bCs/>
        <w:i/>
        <w:sz w:val="20"/>
        <w:lang w:val="pt-PT"/>
      </w:rPr>
      <w:t xml:space="preserve">27 </w:t>
    </w:r>
    <w:r w:rsidR="003025C8">
      <w:rPr>
        <w:bCs/>
        <w:i/>
        <w:sz w:val="20"/>
        <w:lang w:val="pt-PT"/>
      </w:rPr>
      <w:t xml:space="preserve">November </w:t>
    </w:r>
    <w:r>
      <w:rPr>
        <w:bCs/>
        <w:i/>
        <w:sz w:val="20"/>
        <w:lang w:val="pt-PT"/>
      </w:rPr>
      <w:t xml:space="preserve">2014 </w:t>
    </w:r>
  </w:p>
  <w:p w:rsidR="009B4E66" w:rsidRPr="002B2D5E" w:rsidRDefault="006C58B4" w:rsidP="002B2D5E">
    <w:pPr>
      <w:pStyle w:val="Footer"/>
      <w:jc w:val="right"/>
      <w:rPr>
        <w:i/>
        <w:sz w:val="20"/>
      </w:rPr>
    </w:pPr>
    <w:r w:rsidRPr="00C901BF">
      <w:rPr>
        <w:bCs/>
        <w:i/>
        <w:sz w:val="20"/>
        <w:lang w:val="pt-PT"/>
      </w:rPr>
      <w:t xml:space="preserve">Page </w:t>
    </w:r>
    <w:r w:rsidR="00E55611" w:rsidRPr="00C901BF">
      <w:rPr>
        <w:rStyle w:val="PageNumber"/>
        <w:bCs/>
        <w:i/>
        <w:sz w:val="20"/>
      </w:rPr>
      <w:fldChar w:fldCharType="begin"/>
    </w:r>
    <w:r w:rsidRPr="00C901BF">
      <w:rPr>
        <w:rStyle w:val="PageNumber"/>
        <w:bCs/>
        <w:i/>
        <w:sz w:val="20"/>
        <w:lang w:val="pt-PT"/>
      </w:rPr>
      <w:instrText xml:space="preserve"> PAGE </w:instrText>
    </w:r>
    <w:r w:rsidR="00E55611" w:rsidRPr="00C901BF">
      <w:rPr>
        <w:rStyle w:val="PageNumber"/>
        <w:bCs/>
        <w:i/>
        <w:sz w:val="20"/>
      </w:rPr>
      <w:fldChar w:fldCharType="separate"/>
    </w:r>
    <w:r w:rsidR="002B2D5E">
      <w:rPr>
        <w:rStyle w:val="PageNumber"/>
        <w:bCs/>
        <w:i/>
        <w:noProof/>
        <w:sz w:val="20"/>
        <w:lang w:val="pt-PT"/>
      </w:rPr>
      <w:t>9</w:t>
    </w:r>
    <w:r w:rsidR="00E55611" w:rsidRPr="00C901BF">
      <w:rPr>
        <w:rStyle w:val="PageNumber"/>
        <w:bCs/>
        <w:i/>
        <w:sz w:val="20"/>
      </w:rPr>
      <w:fldChar w:fldCharType="end"/>
    </w:r>
    <w:r w:rsidRPr="00C901BF">
      <w:rPr>
        <w:rStyle w:val="PageNumber"/>
        <w:bCs/>
        <w:i/>
        <w:sz w:val="20"/>
        <w:lang w:val="pt-PT"/>
      </w:rPr>
      <w:t>/</w:t>
    </w:r>
    <w:r w:rsidR="00E55611" w:rsidRPr="00C901BF">
      <w:rPr>
        <w:rStyle w:val="PageNumber"/>
        <w:bCs/>
        <w:i/>
        <w:sz w:val="20"/>
      </w:rPr>
      <w:fldChar w:fldCharType="begin"/>
    </w:r>
    <w:r w:rsidRPr="00C901BF">
      <w:rPr>
        <w:rStyle w:val="PageNumber"/>
        <w:bCs/>
        <w:i/>
        <w:sz w:val="20"/>
        <w:lang w:val="pt-PT"/>
      </w:rPr>
      <w:instrText xml:space="preserve"> NUMPAGES </w:instrText>
    </w:r>
    <w:r w:rsidR="00E55611" w:rsidRPr="00C901BF">
      <w:rPr>
        <w:rStyle w:val="PageNumber"/>
        <w:bCs/>
        <w:i/>
        <w:sz w:val="20"/>
      </w:rPr>
      <w:fldChar w:fldCharType="separate"/>
    </w:r>
    <w:r w:rsidR="002B2D5E">
      <w:rPr>
        <w:rStyle w:val="PageNumber"/>
        <w:bCs/>
        <w:i/>
        <w:noProof/>
        <w:sz w:val="20"/>
        <w:lang w:val="pt-PT"/>
      </w:rPr>
      <w:t>10</w:t>
    </w:r>
    <w:r w:rsidR="00E55611" w:rsidRPr="00C901BF">
      <w:rPr>
        <w:rStyle w:val="PageNumber"/>
        <w:bCs/>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8B4" w:rsidRDefault="006C58B4" w:rsidP="00F80F92">
    <w:pPr>
      <w:pStyle w:val="Footer"/>
      <w:tabs>
        <w:tab w:val="clear" w:pos="4153"/>
        <w:tab w:val="clear" w:pos="8306"/>
        <w:tab w:val="center" w:pos="4500"/>
        <w:tab w:val="right" w:pos="9000"/>
      </w:tabs>
      <w:rPr>
        <w:bCs/>
        <w:i/>
        <w:sz w:val="20"/>
        <w:lang w:val="pt-PT"/>
      </w:rPr>
    </w:pPr>
    <w:r>
      <w:rPr>
        <w:bCs/>
        <w:i/>
        <w:sz w:val="20"/>
        <w:lang w:val="pt-PT"/>
      </w:rPr>
      <w:t xml:space="preserve">Velphoro </w:t>
    </w:r>
    <w:r w:rsidRPr="0067054B">
      <w:rPr>
        <w:bCs/>
        <w:i/>
        <w:sz w:val="20"/>
        <w:vertAlign w:val="superscript"/>
        <w:lang w:val="pt-PT"/>
      </w:rPr>
      <w:t>®</w:t>
    </w:r>
    <w:r>
      <w:rPr>
        <w:bCs/>
        <w:i/>
        <w:sz w:val="20"/>
        <w:vertAlign w:val="superscript"/>
        <w:lang w:val="pt-PT"/>
      </w:rPr>
      <w:tab/>
    </w:r>
    <w:r>
      <w:rPr>
        <w:bCs/>
        <w:i/>
        <w:sz w:val="20"/>
        <w:vertAlign w:val="superscript"/>
        <w:lang w:val="pt-PT"/>
      </w:rPr>
      <w:tab/>
    </w:r>
    <w:r w:rsidR="000152B4">
      <w:rPr>
        <w:bCs/>
        <w:i/>
        <w:sz w:val="20"/>
        <w:lang w:val="pt-PT"/>
      </w:rPr>
      <w:t xml:space="preserve">27 October </w:t>
    </w:r>
    <w:r>
      <w:rPr>
        <w:bCs/>
        <w:i/>
        <w:sz w:val="20"/>
        <w:lang w:val="pt-PT"/>
      </w:rPr>
      <w:t xml:space="preserve">2014 </w:t>
    </w:r>
  </w:p>
  <w:p w:rsidR="009B4E66" w:rsidRPr="002B2D5E" w:rsidRDefault="006C58B4" w:rsidP="002B2D5E">
    <w:pPr>
      <w:pStyle w:val="Footer"/>
      <w:jc w:val="right"/>
      <w:rPr>
        <w:i/>
        <w:sz w:val="20"/>
      </w:rPr>
    </w:pPr>
    <w:r w:rsidRPr="00C901BF">
      <w:rPr>
        <w:bCs/>
        <w:i/>
        <w:sz w:val="20"/>
        <w:lang w:val="pt-PT"/>
      </w:rPr>
      <w:t xml:space="preserve">Page </w:t>
    </w:r>
    <w:r w:rsidR="00E55611" w:rsidRPr="00C901BF">
      <w:rPr>
        <w:rStyle w:val="PageNumber"/>
        <w:bCs/>
        <w:i/>
        <w:sz w:val="20"/>
      </w:rPr>
      <w:fldChar w:fldCharType="begin"/>
    </w:r>
    <w:r w:rsidRPr="00C901BF">
      <w:rPr>
        <w:rStyle w:val="PageNumber"/>
        <w:bCs/>
        <w:i/>
        <w:sz w:val="20"/>
        <w:lang w:val="pt-PT"/>
      </w:rPr>
      <w:instrText xml:space="preserve"> PAGE </w:instrText>
    </w:r>
    <w:r w:rsidR="00E55611" w:rsidRPr="00C901BF">
      <w:rPr>
        <w:rStyle w:val="PageNumber"/>
        <w:bCs/>
        <w:i/>
        <w:sz w:val="20"/>
      </w:rPr>
      <w:fldChar w:fldCharType="separate"/>
    </w:r>
    <w:r w:rsidR="002B2D5E">
      <w:rPr>
        <w:rStyle w:val="PageNumber"/>
        <w:bCs/>
        <w:i/>
        <w:noProof/>
        <w:sz w:val="20"/>
        <w:lang w:val="pt-PT"/>
      </w:rPr>
      <w:t>1</w:t>
    </w:r>
    <w:r w:rsidR="00E55611" w:rsidRPr="00C901BF">
      <w:rPr>
        <w:rStyle w:val="PageNumber"/>
        <w:bCs/>
        <w:i/>
        <w:sz w:val="20"/>
      </w:rPr>
      <w:fldChar w:fldCharType="end"/>
    </w:r>
    <w:r w:rsidRPr="00C901BF">
      <w:rPr>
        <w:rStyle w:val="PageNumber"/>
        <w:bCs/>
        <w:i/>
        <w:sz w:val="20"/>
        <w:lang w:val="pt-PT"/>
      </w:rPr>
      <w:t>/</w:t>
    </w:r>
    <w:r w:rsidR="00E55611" w:rsidRPr="00C901BF">
      <w:rPr>
        <w:rStyle w:val="PageNumber"/>
        <w:bCs/>
        <w:i/>
        <w:sz w:val="20"/>
      </w:rPr>
      <w:fldChar w:fldCharType="begin"/>
    </w:r>
    <w:r w:rsidRPr="00C901BF">
      <w:rPr>
        <w:rStyle w:val="PageNumber"/>
        <w:bCs/>
        <w:i/>
        <w:sz w:val="20"/>
        <w:lang w:val="pt-PT"/>
      </w:rPr>
      <w:instrText xml:space="preserve"> NUMPAGES </w:instrText>
    </w:r>
    <w:r w:rsidR="00E55611" w:rsidRPr="00C901BF">
      <w:rPr>
        <w:rStyle w:val="PageNumber"/>
        <w:bCs/>
        <w:i/>
        <w:sz w:val="20"/>
      </w:rPr>
      <w:fldChar w:fldCharType="separate"/>
    </w:r>
    <w:r w:rsidR="002B2D5E">
      <w:rPr>
        <w:rStyle w:val="PageNumber"/>
        <w:bCs/>
        <w:i/>
        <w:noProof/>
        <w:sz w:val="20"/>
        <w:lang w:val="pt-PT"/>
      </w:rPr>
      <w:t>10</w:t>
    </w:r>
    <w:r w:rsidR="00E55611" w:rsidRPr="00C901BF">
      <w:rPr>
        <w:rStyle w:val="PageNumber"/>
        <w:bCs/>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8B4" w:rsidRDefault="006C58B4">
      <w:r>
        <w:separator/>
      </w:r>
    </w:p>
    <w:p w:rsidR="009B4E66" w:rsidRDefault="009B4E66"/>
  </w:footnote>
  <w:footnote w:type="continuationSeparator" w:id="0">
    <w:p w:rsidR="006C58B4" w:rsidRDefault="006C58B4">
      <w:r>
        <w:continuationSeparator/>
      </w:r>
    </w:p>
    <w:p w:rsidR="009B4E66" w:rsidRDefault="009B4E66"/>
  </w:footnote>
  <w:footnote w:type="continuationNotice" w:id="1">
    <w:p w:rsidR="006C58B4" w:rsidRDefault="006C58B4"/>
    <w:p w:rsidR="009B4E66" w:rsidRDefault="009B4E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8B4" w:rsidRDefault="006C58B4">
    <w:pPr>
      <w:pStyle w:val="Header"/>
    </w:pPr>
  </w:p>
  <w:p w:rsidR="009B4E66" w:rsidRDefault="009B4E6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2B2D5E" w:rsidTr="00D016E8">
      <w:tc>
        <w:tcPr>
          <w:tcW w:w="8720" w:type="dxa"/>
          <w:shd w:val="clear" w:color="auto" w:fill="E4F2E0"/>
        </w:tcPr>
        <w:p w:rsidR="002B2D5E" w:rsidRPr="002B2D5E" w:rsidRDefault="002B2D5E" w:rsidP="00D016E8">
          <w:pPr>
            <w:spacing w:before="40" w:after="40"/>
            <w:rPr>
              <w:rFonts w:ascii="Cambria" w:hAnsi="Cambria"/>
              <w:b/>
              <w:sz w:val="20"/>
              <w:szCs w:val="20"/>
            </w:rPr>
          </w:pPr>
          <w:r w:rsidRPr="002B2D5E">
            <w:rPr>
              <w:rFonts w:ascii="Cambria" w:hAnsi="Cambria"/>
              <w:b/>
              <w:sz w:val="20"/>
              <w:szCs w:val="20"/>
            </w:rPr>
            <w:t xml:space="preserve">Attachment 1: Product information for </w:t>
          </w:r>
          <w:proofErr w:type="spellStart"/>
          <w:r w:rsidRPr="002B2D5E">
            <w:rPr>
              <w:rFonts w:ascii="Cambria" w:hAnsi="Cambria"/>
              <w:b/>
              <w:sz w:val="20"/>
              <w:szCs w:val="20"/>
            </w:rPr>
            <w:t>AusPAR</w:t>
          </w:r>
          <w:proofErr w:type="spellEnd"/>
          <w:r w:rsidRPr="002B2D5E">
            <w:rPr>
              <w:rFonts w:ascii="Cambria" w:hAnsi="Cambria"/>
              <w:b/>
              <w:sz w:val="20"/>
              <w:szCs w:val="20"/>
            </w:rPr>
            <w:t xml:space="preserve"> </w:t>
          </w:r>
          <w:proofErr w:type="spellStart"/>
          <w:r w:rsidRPr="002B2D5E">
            <w:rPr>
              <w:rFonts w:ascii="Cambria" w:hAnsi="Cambria"/>
              <w:b/>
              <w:sz w:val="20"/>
              <w:szCs w:val="20"/>
            </w:rPr>
            <w:t>Velphoro</w:t>
          </w:r>
          <w:proofErr w:type="spellEnd"/>
          <w:r w:rsidRPr="002B2D5E">
            <w:rPr>
              <w:rFonts w:ascii="Cambria" w:hAnsi="Cambria"/>
              <w:b/>
              <w:sz w:val="20"/>
              <w:szCs w:val="20"/>
            </w:rPr>
            <w:t xml:space="preserve"> </w:t>
          </w:r>
          <w:proofErr w:type="spellStart"/>
          <w:r w:rsidRPr="002B2D5E">
            <w:rPr>
              <w:rFonts w:ascii="Cambria" w:hAnsi="Cambria"/>
              <w:b/>
              <w:sz w:val="20"/>
              <w:szCs w:val="20"/>
            </w:rPr>
            <w:t>Sucroferric</w:t>
          </w:r>
          <w:proofErr w:type="spellEnd"/>
          <w:r w:rsidRPr="002B2D5E">
            <w:rPr>
              <w:rFonts w:ascii="Cambria" w:hAnsi="Cambria"/>
              <w:b/>
              <w:sz w:val="20"/>
              <w:szCs w:val="20"/>
            </w:rPr>
            <w:t xml:space="preserve"> </w:t>
          </w:r>
          <w:proofErr w:type="spellStart"/>
          <w:r w:rsidRPr="002B2D5E">
            <w:rPr>
              <w:rFonts w:ascii="Cambria" w:hAnsi="Cambria"/>
              <w:b/>
              <w:sz w:val="20"/>
              <w:szCs w:val="20"/>
            </w:rPr>
            <w:t>oxyhydroxide</w:t>
          </w:r>
          <w:proofErr w:type="spellEnd"/>
          <w:r w:rsidRPr="002B2D5E">
            <w:rPr>
              <w:rFonts w:ascii="Cambria" w:hAnsi="Cambria"/>
              <w:b/>
              <w:sz w:val="20"/>
              <w:szCs w:val="20"/>
            </w:rPr>
            <w:t xml:space="preserve"> </w:t>
          </w:r>
          <w:proofErr w:type="spellStart"/>
          <w:r w:rsidRPr="002B2D5E">
            <w:rPr>
              <w:rFonts w:ascii="Cambria" w:hAnsi="Cambria"/>
              <w:b/>
              <w:sz w:val="20"/>
              <w:szCs w:val="20"/>
            </w:rPr>
            <w:t>Vifor</w:t>
          </w:r>
          <w:proofErr w:type="spellEnd"/>
          <w:r w:rsidRPr="002B2D5E">
            <w:rPr>
              <w:rFonts w:ascii="Cambria" w:hAnsi="Cambria"/>
              <w:b/>
              <w:sz w:val="20"/>
              <w:szCs w:val="20"/>
            </w:rPr>
            <w:t xml:space="preserve"> </w:t>
          </w:r>
          <w:proofErr w:type="spellStart"/>
          <w:r w:rsidRPr="002B2D5E">
            <w:rPr>
              <w:rFonts w:ascii="Cambria" w:hAnsi="Cambria"/>
              <w:b/>
              <w:sz w:val="20"/>
              <w:szCs w:val="20"/>
            </w:rPr>
            <w:t>Pharma</w:t>
          </w:r>
          <w:proofErr w:type="spellEnd"/>
          <w:r w:rsidRPr="002B2D5E">
            <w:rPr>
              <w:rFonts w:ascii="Cambria" w:hAnsi="Cambria"/>
              <w:b/>
              <w:sz w:val="20"/>
              <w:szCs w:val="20"/>
            </w:rPr>
            <w:t xml:space="preserve"> Pty Ltd PM-2013-03249-1-3 Date of Finalisation 19 February 2015. This Product Information was approved at the time this </w:t>
          </w:r>
          <w:proofErr w:type="spellStart"/>
          <w:r w:rsidRPr="002B2D5E">
            <w:rPr>
              <w:rFonts w:ascii="Cambria" w:hAnsi="Cambria"/>
              <w:b/>
              <w:sz w:val="20"/>
              <w:szCs w:val="20"/>
            </w:rPr>
            <w:t>AusPAR</w:t>
          </w:r>
          <w:proofErr w:type="spellEnd"/>
          <w:r w:rsidRPr="002B2D5E">
            <w:rPr>
              <w:rFonts w:ascii="Cambria" w:hAnsi="Cambria"/>
              <w:b/>
              <w:sz w:val="20"/>
              <w:szCs w:val="20"/>
            </w:rPr>
            <w:t xml:space="preserve"> was published.</w:t>
          </w:r>
        </w:p>
      </w:tc>
    </w:tr>
  </w:tbl>
  <w:p w:rsidR="009B4E66" w:rsidRDefault="009B4E6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2B2D5E" w:rsidTr="002B2D5E">
      <w:tc>
        <w:tcPr>
          <w:tcW w:w="8720" w:type="dxa"/>
          <w:shd w:val="clear" w:color="auto" w:fill="E4F2E0"/>
        </w:tcPr>
        <w:p w:rsidR="002B2D5E" w:rsidRPr="002B2D5E" w:rsidRDefault="002B2D5E" w:rsidP="00D016E8">
          <w:pPr>
            <w:spacing w:before="40" w:after="40"/>
            <w:rPr>
              <w:rFonts w:ascii="Cambria" w:hAnsi="Cambria"/>
              <w:b/>
              <w:sz w:val="20"/>
              <w:szCs w:val="20"/>
            </w:rPr>
          </w:pPr>
          <w:r w:rsidRPr="002B2D5E">
            <w:rPr>
              <w:rFonts w:ascii="Cambria" w:hAnsi="Cambria"/>
              <w:b/>
              <w:sz w:val="20"/>
              <w:szCs w:val="20"/>
            </w:rPr>
            <w:t xml:space="preserve">Attachment 1: Product information for </w:t>
          </w:r>
          <w:proofErr w:type="spellStart"/>
          <w:r w:rsidRPr="002B2D5E">
            <w:rPr>
              <w:rFonts w:ascii="Cambria" w:hAnsi="Cambria"/>
              <w:b/>
              <w:sz w:val="20"/>
              <w:szCs w:val="20"/>
            </w:rPr>
            <w:t>AusPAR</w:t>
          </w:r>
          <w:proofErr w:type="spellEnd"/>
          <w:r w:rsidRPr="002B2D5E">
            <w:rPr>
              <w:rFonts w:ascii="Cambria" w:hAnsi="Cambria"/>
              <w:b/>
              <w:sz w:val="20"/>
              <w:szCs w:val="20"/>
            </w:rPr>
            <w:t xml:space="preserve"> </w:t>
          </w:r>
          <w:proofErr w:type="spellStart"/>
          <w:r w:rsidRPr="002B2D5E">
            <w:rPr>
              <w:rFonts w:ascii="Cambria" w:hAnsi="Cambria"/>
              <w:b/>
              <w:sz w:val="20"/>
              <w:szCs w:val="20"/>
            </w:rPr>
            <w:t>Velphoro</w:t>
          </w:r>
          <w:proofErr w:type="spellEnd"/>
          <w:r w:rsidRPr="002B2D5E">
            <w:rPr>
              <w:rFonts w:ascii="Cambria" w:hAnsi="Cambria"/>
              <w:b/>
              <w:sz w:val="20"/>
              <w:szCs w:val="20"/>
            </w:rPr>
            <w:t xml:space="preserve"> </w:t>
          </w:r>
          <w:proofErr w:type="spellStart"/>
          <w:r w:rsidRPr="002B2D5E">
            <w:rPr>
              <w:rFonts w:ascii="Cambria" w:hAnsi="Cambria"/>
              <w:b/>
              <w:sz w:val="20"/>
              <w:szCs w:val="20"/>
            </w:rPr>
            <w:t>Sucroferric</w:t>
          </w:r>
          <w:proofErr w:type="spellEnd"/>
          <w:r w:rsidRPr="002B2D5E">
            <w:rPr>
              <w:rFonts w:ascii="Cambria" w:hAnsi="Cambria"/>
              <w:b/>
              <w:sz w:val="20"/>
              <w:szCs w:val="20"/>
            </w:rPr>
            <w:t xml:space="preserve"> </w:t>
          </w:r>
          <w:proofErr w:type="spellStart"/>
          <w:r w:rsidRPr="002B2D5E">
            <w:rPr>
              <w:rFonts w:ascii="Cambria" w:hAnsi="Cambria"/>
              <w:b/>
              <w:sz w:val="20"/>
              <w:szCs w:val="20"/>
            </w:rPr>
            <w:t>oxyhydroxide</w:t>
          </w:r>
          <w:proofErr w:type="spellEnd"/>
          <w:r w:rsidRPr="002B2D5E">
            <w:rPr>
              <w:rFonts w:ascii="Cambria" w:hAnsi="Cambria"/>
              <w:b/>
              <w:sz w:val="20"/>
              <w:szCs w:val="20"/>
            </w:rPr>
            <w:t xml:space="preserve"> </w:t>
          </w:r>
          <w:proofErr w:type="spellStart"/>
          <w:r w:rsidRPr="002B2D5E">
            <w:rPr>
              <w:rFonts w:ascii="Cambria" w:hAnsi="Cambria"/>
              <w:b/>
              <w:sz w:val="20"/>
              <w:szCs w:val="20"/>
            </w:rPr>
            <w:t>Vifor</w:t>
          </w:r>
          <w:proofErr w:type="spellEnd"/>
          <w:r w:rsidRPr="002B2D5E">
            <w:rPr>
              <w:rFonts w:ascii="Cambria" w:hAnsi="Cambria"/>
              <w:b/>
              <w:sz w:val="20"/>
              <w:szCs w:val="20"/>
            </w:rPr>
            <w:t xml:space="preserve"> </w:t>
          </w:r>
          <w:proofErr w:type="spellStart"/>
          <w:r w:rsidRPr="002B2D5E">
            <w:rPr>
              <w:rFonts w:ascii="Cambria" w:hAnsi="Cambria"/>
              <w:b/>
              <w:sz w:val="20"/>
              <w:szCs w:val="20"/>
            </w:rPr>
            <w:t>Pharma</w:t>
          </w:r>
          <w:proofErr w:type="spellEnd"/>
          <w:r w:rsidRPr="002B2D5E">
            <w:rPr>
              <w:rFonts w:ascii="Cambria" w:hAnsi="Cambria"/>
              <w:b/>
              <w:sz w:val="20"/>
              <w:szCs w:val="20"/>
            </w:rPr>
            <w:t xml:space="preserve"> Pty Ltd PM-2013-03249-1-3 Date of Finalisation 19 February 2015. This Product Information was approved at the time this </w:t>
          </w:r>
          <w:proofErr w:type="spellStart"/>
          <w:r w:rsidRPr="002B2D5E">
            <w:rPr>
              <w:rFonts w:ascii="Cambria" w:hAnsi="Cambria"/>
              <w:b/>
              <w:sz w:val="20"/>
              <w:szCs w:val="20"/>
            </w:rPr>
            <w:t>AusPAR</w:t>
          </w:r>
          <w:proofErr w:type="spellEnd"/>
          <w:r w:rsidRPr="002B2D5E">
            <w:rPr>
              <w:rFonts w:ascii="Cambria" w:hAnsi="Cambria"/>
              <w:b/>
              <w:sz w:val="20"/>
              <w:szCs w:val="20"/>
            </w:rPr>
            <w:t xml:space="preserve"> was published.</w:t>
          </w:r>
        </w:p>
      </w:tc>
    </w:tr>
  </w:tbl>
  <w:p w:rsidR="009B4E66" w:rsidRDefault="009B4E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1194"/>
    <w:multiLevelType w:val="multilevel"/>
    <w:tmpl w:val="FB7EC494"/>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4556F7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nsid w:val="09314913"/>
    <w:multiLevelType w:val="singleLevel"/>
    <w:tmpl w:val="340870BE"/>
    <w:lvl w:ilvl="0">
      <w:start w:val="1"/>
      <w:numFmt w:val="bullet"/>
      <w:lvlText w:val=""/>
      <w:lvlJc w:val="left"/>
      <w:pPr>
        <w:tabs>
          <w:tab w:val="num" w:pos="357"/>
        </w:tabs>
        <w:ind w:left="357" w:hanging="357"/>
      </w:pPr>
      <w:rPr>
        <w:rFonts w:ascii="Symbol" w:hAnsi="Symbol" w:hint="default"/>
      </w:rPr>
    </w:lvl>
  </w:abstractNum>
  <w:abstractNum w:abstractNumId="3">
    <w:nsid w:val="0A7E2365"/>
    <w:multiLevelType w:val="hybridMultilevel"/>
    <w:tmpl w:val="DAAA39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0B404823"/>
    <w:multiLevelType w:val="hybridMultilevel"/>
    <w:tmpl w:val="6F2AFC78"/>
    <w:lvl w:ilvl="0" w:tplc="04070001">
      <w:start w:val="1"/>
      <w:numFmt w:val="bullet"/>
      <w:lvlText w:val=""/>
      <w:lvlJc w:val="left"/>
      <w:pPr>
        <w:tabs>
          <w:tab w:val="num" w:pos="2149"/>
        </w:tabs>
        <w:ind w:left="2149"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5">
    <w:nsid w:val="0E6266A2"/>
    <w:multiLevelType w:val="hybridMultilevel"/>
    <w:tmpl w:val="21566470"/>
    <w:lvl w:ilvl="0" w:tplc="41EC52BA">
      <w:start w:val="3"/>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11286A87"/>
    <w:multiLevelType w:val="multilevel"/>
    <w:tmpl w:val="F2F2E0D6"/>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1424B7D"/>
    <w:multiLevelType w:val="hybridMultilevel"/>
    <w:tmpl w:val="FA482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19C5005"/>
    <w:multiLevelType w:val="hybridMultilevel"/>
    <w:tmpl w:val="21A4DB3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16213675"/>
    <w:multiLevelType w:val="hybridMultilevel"/>
    <w:tmpl w:val="78105B2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0">
    <w:nsid w:val="1B9B4BA1"/>
    <w:multiLevelType w:val="singleLevel"/>
    <w:tmpl w:val="340870BE"/>
    <w:lvl w:ilvl="0">
      <w:start w:val="1"/>
      <w:numFmt w:val="bullet"/>
      <w:lvlText w:val=""/>
      <w:lvlJc w:val="left"/>
      <w:pPr>
        <w:tabs>
          <w:tab w:val="num" w:pos="357"/>
        </w:tabs>
        <w:ind w:left="357" w:hanging="357"/>
      </w:pPr>
      <w:rPr>
        <w:rFonts w:ascii="Symbol" w:hAnsi="Symbol" w:hint="default"/>
      </w:rPr>
    </w:lvl>
  </w:abstractNum>
  <w:abstractNum w:abstractNumId="11">
    <w:nsid w:val="1C163E5E"/>
    <w:multiLevelType w:val="hybridMultilevel"/>
    <w:tmpl w:val="D8BAF3D6"/>
    <w:lvl w:ilvl="0" w:tplc="04070001">
      <w:start w:val="1"/>
      <w:numFmt w:val="bullet"/>
      <w:lvlText w:val=""/>
      <w:lvlJc w:val="left"/>
      <w:pPr>
        <w:tabs>
          <w:tab w:val="num" w:pos="2847"/>
        </w:tabs>
        <w:ind w:left="2847" w:hanging="360"/>
      </w:pPr>
      <w:rPr>
        <w:rFonts w:ascii="Symbol" w:hAnsi="Symbol" w:hint="default"/>
      </w:rPr>
    </w:lvl>
    <w:lvl w:ilvl="1" w:tplc="04070003" w:tentative="1">
      <w:start w:val="1"/>
      <w:numFmt w:val="bullet"/>
      <w:lvlText w:val="o"/>
      <w:lvlJc w:val="left"/>
      <w:pPr>
        <w:tabs>
          <w:tab w:val="num" w:pos="2858"/>
        </w:tabs>
        <w:ind w:left="2858" w:hanging="360"/>
      </w:pPr>
      <w:rPr>
        <w:rFonts w:ascii="Courier New" w:hAnsi="Courier New" w:hint="default"/>
      </w:rPr>
    </w:lvl>
    <w:lvl w:ilvl="2" w:tplc="04070005" w:tentative="1">
      <w:start w:val="1"/>
      <w:numFmt w:val="bullet"/>
      <w:lvlText w:val=""/>
      <w:lvlJc w:val="left"/>
      <w:pPr>
        <w:tabs>
          <w:tab w:val="num" w:pos="3578"/>
        </w:tabs>
        <w:ind w:left="3578" w:hanging="360"/>
      </w:pPr>
      <w:rPr>
        <w:rFonts w:ascii="Wingdings" w:hAnsi="Wingdings" w:hint="default"/>
      </w:rPr>
    </w:lvl>
    <w:lvl w:ilvl="3" w:tplc="04070001" w:tentative="1">
      <w:start w:val="1"/>
      <w:numFmt w:val="bullet"/>
      <w:lvlText w:val=""/>
      <w:lvlJc w:val="left"/>
      <w:pPr>
        <w:tabs>
          <w:tab w:val="num" w:pos="4298"/>
        </w:tabs>
        <w:ind w:left="4298" w:hanging="360"/>
      </w:pPr>
      <w:rPr>
        <w:rFonts w:ascii="Symbol" w:hAnsi="Symbol" w:hint="default"/>
      </w:rPr>
    </w:lvl>
    <w:lvl w:ilvl="4" w:tplc="04070003" w:tentative="1">
      <w:start w:val="1"/>
      <w:numFmt w:val="bullet"/>
      <w:lvlText w:val="o"/>
      <w:lvlJc w:val="left"/>
      <w:pPr>
        <w:tabs>
          <w:tab w:val="num" w:pos="5018"/>
        </w:tabs>
        <w:ind w:left="5018" w:hanging="360"/>
      </w:pPr>
      <w:rPr>
        <w:rFonts w:ascii="Courier New" w:hAnsi="Courier New" w:hint="default"/>
      </w:rPr>
    </w:lvl>
    <w:lvl w:ilvl="5" w:tplc="04070005" w:tentative="1">
      <w:start w:val="1"/>
      <w:numFmt w:val="bullet"/>
      <w:lvlText w:val=""/>
      <w:lvlJc w:val="left"/>
      <w:pPr>
        <w:tabs>
          <w:tab w:val="num" w:pos="5738"/>
        </w:tabs>
        <w:ind w:left="5738" w:hanging="360"/>
      </w:pPr>
      <w:rPr>
        <w:rFonts w:ascii="Wingdings" w:hAnsi="Wingdings" w:hint="default"/>
      </w:rPr>
    </w:lvl>
    <w:lvl w:ilvl="6" w:tplc="04070001" w:tentative="1">
      <w:start w:val="1"/>
      <w:numFmt w:val="bullet"/>
      <w:lvlText w:val=""/>
      <w:lvlJc w:val="left"/>
      <w:pPr>
        <w:tabs>
          <w:tab w:val="num" w:pos="6458"/>
        </w:tabs>
        <w:ind w:left="6458" w:hanging="360"/>
      </w:pPr>
      <w:rPr>
        <w:rFonts w:ascii="Symbol" w:hAnsi="Symbol" w:hint="default"/>
      </w:rPr>
    </w:lvl>
    <w:lvl w:ilvl="7" w:tplc="04070003" w:tentative="1">
      <w:start w:val="1"/>
      <w:numFmt w:val="bullet"/>
      <w:lvlText w:val="o"/>
      <w:lvlJc w:val="left"/>
      <w:pPr>
        <w:tabs>
          <w:tab w:val="num" w:pos="7178"/>
        </w:tabs>
        <w:ind w:left="7178" w:hanging="360"/>
      </w:pPr>
      <w:rPr>
        <w:rFonts w:ascii="Courier New" w:hAnsi="Courier New" w:hint="default"/>
      </w:rPr>
    </w:lvl>
    <w:lvl w:ilvl="8" w:tplc="04070005" w:tentative="1">
      <w:start w:val="1"/>
      <w:numFmt w:val="bullet"/>
      <w:lvlText w:val=""/>
      <w:lvlJc w:val="left"/>
      <w:pPr>
        <w:tabs>
          <w:tab w:val="num" w:pos="7898"/>
        </w:tabs>
        <w:ind w:left="7898" w:hanging="360"/>
      </w:pPr>
      <w:rPr>
        <w:rFonts w:ascii="Wingdings" w:hAnsi="Wingdings" w:hint="default"/>
      </w:rPr>
    </w:lvl>
  </w:abstractNum>
  <w:abstractNum w:abstractNumId="12">
    <w:nsid w:val="20941697"/>
    <w:multiLevelType w:val="hybridMultilevel"/>
    <w:tmpl w:val="8B221A2C"/>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2CBE337C"/>
    <w:multiLevelType w:val="singleLevel"/>
    <w:tmpl w:val="340870BE"/>
    <w:lvl w:ilvl="0">
      <w:start w:val="1"/>
      <w:numFmt w:val="bullet"/>
      <w:lvlText w:val=""/>
      <w:lvlJc w:val="left"/>
      <w:pPr>
        <w:tabs>
          <w:tab w:val="num" w:pos="357"/>
        </w:tabs>
        <w:ind w:left="357" w:hanging="357"/>
      </w:pPr>
      <w:rPr>
        <w:rFonts w:ascii="Symbol" w:hAnsi="Symbol" w:hint="default"/>
      </w:rPr>
    </w:lvl>
  </w:abstractNum>
  <w:abstractNum w:abstractNumId="14">
    <w:nsid w:val="2E9C4177"/>
    <w:multiLevelType w:val="singleLevel"/>
    <w:tmpl w:val="340870BE"/>
    <w:lvl w:ilvl="0">
      <w:start w:val="1"/>
      <w:numFmt w:val="bullet"/>
      <w:lvlText w:val=""/>
      <w:lvlJc w:val="left"/>
      <w:pPr>
        <w:tabs>
          <w:tab w:val="num" w:pos="357"/>
        </w:tabs>
        <w:ind w:left="357" w:hanging="357"/>
      </w:pPr>
      <w:rPr>
        <w:rFonts w:ascii="Symbol" w:hAnsi="Symbol" w:hint="default"/>
      </w:rPr>
    </w:lvl>
  </w:abstractNum>
  <w:abstractNum w:abstractNumId="15">
    <w:nsid w:val="2F2567A4"/>
    <w:multiLevelType w:val="singleLevel"/>
    <w:tmpl w:val="340870BE"/>
    <w:lvl w:ilvl="0">
      <w:start w:val="1"/>
      <w:numFmt w:val="bullet"/>
      <w:lvlText w:val=""/>
      <w:lvlJc w:val="left"/>
      <w:pPr>
        <w:tabs>
          <w:tab w:val="num" w:pos="357"/>
        </w:tabs>
        <w:ind w:left="357" w:hanging="357"/>
      </w:pPr>
      <w:rPr>
        <w:rFonts w:ascii="Symbol" w:hAnsi="Symbol" w:hint="default"/>
      </w:rPr>
    </w:lvl>
  </w:abstractNum>
  <w:abstractNum w:abstractNumId="16">
    <w:nsid w:val="2FF75293"/>
    <w:multiLevelType w:val="hybridMultilevel"/>
    <w:tmpl w:val="E6502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0F60C36"/>
    <w:multiLevelType w:val="hybridMultilevel"/>
    <w:tmpl w:val="BE54192E"/>
    <w:lvl w:ilvl="0" w:tplc="0FD6DE0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0734FB"/>
    <w:multiLevelType w:val="hybridMultilevel"/>
    <w:tmpl w:val="78105B2E"/>
    <w:lvl w:ilvl="0" w:tplc="0407000B">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9">
    <w:nsid w:val="39BC1E30"/>
    <w:multiLevelType w:val="hybridMultilevel"/>
    <w:tmpl w:val="9AE264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3B5D2159"/>
    <w:multiLevelType w:val="hybridMultilevel"/>
    <w:tmpl w:val="78105B2E"/>
    <w:lvl w:ilvl="0" w:tplc="04070003">
      <w:start w:val="1"/>
      <w:numFmt w:val="bullet"/>
      <w:lvlText w:val="o"/>
      <w:lvlJc w:val="left"/>
      <w:pPr>
        <w:tabs>
          <w:tab w:val="num" w:pos="1854"/>
        </w:tabs>
        <w:ind w:left="1854" w:hanging="360"/>
      </w:pPr>
      <w:rPr>
        <w:rFonts w:ascii="Courier New" w:hAnsi="Courier New" w:hint="default"/>
      </w:rPr>
    </w:lvl>
    <w:lvl w:ilvl="1" w:tplc="04070003">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1">
    <w:nsid w:val="3B817DCB"/>
    <w:multiLevelType w:val="singleLevel"/>
    <w:tmpl w:val="340870BE"/>
    <w:lvl w:ilvl="0">
      <w:start w:val="1"/>
      <w:numFmt w:val="bullet"/>
      <w:lvlText w:val=""/>
      <w:lvlJc w:val="left"/>
      <w:pPr>
        <w:tabs>
          <w:tab w:val="num" w:pos="357"/>
        </w:tabs>
        <w:ind w:left="357" w:hanging="357"/>
      </w:pPr>
      <w:rPr>
        <w:rFonts w:ascii="Symbol" w:hAnsi="Symbol" w:hint="default"/>
      </w:rPr>
    </w:lvl>
  </w:abstractNum>
  <w:abstractNum w:abstractNumId="22">
    <w:nsid w:val="47B06744"/>
    <w:multiLevelType w:val="hybridMultilevel"/>
    <w:tmpl w:val="F1FAAD48"/>
    <w:lvl w:ilvl="0" w:tplc="15F493E6">
      <w:start w:val="1"/>
      <w:numFmt w:val="upperRoman"/>
      <w:lvlText w:val="%1."/>
      <w:lvlJc w:val="right"/>
      <w:pPr>
        <w:tabs>
          <w:tab w:val="num" w:pos="720"/>
        </w:tabs>
        <w:ind w:left="720" w:hanging="360"/>
      </w:pPr>
    </w:lvl>
    <w:lvl w:ilvl="1" w:tplc="56C666FC">
      <w:start w:val="1"/>
      <w:numFmt w:val="upperLetter"/>
      <w:lvlText w:val="%2."/>
      <w:lvlJc w:val="right"/>
      <w:pPr>
        <w:tabs>
          <w:tab w:val="num" w:pos="1440"/>
        </w:tabs>
        <w:ind w:left="1440" w:hanging="360"/>
      </w:pPr>
    </w:lvl>
    <w:lvl w:ilvl="2" w:tplc="61463BE2">
      <w:start w:val="1"/>
      <w:numFmt w:val="decimal"/>
      <w:lvlText w:val="%3."/>
      <w:lvlJc w:val="right"/>
      <w:pPr>
        <w:tabs>
          <w:tab w:val="num" w:pos="2160"/>
        </w:tabs>
        <w:ind w:left="2160" w:hanging="360"/>
      </w:pPr>
    </w:lvl>
    <w:lvl w:ilvl="3" w:tplc="9A2C32E0">
      <w:start w:val="1"/>
      <w:numFmt w:val="lowerLetter"/>
      <w:lvlText w:val="%4."/>
      <w:lvlJc w:val="right"/>
      <w:pPr>
        <w:tabs>
          <w:tab w:val="num" w:pos="2880"/>
        </w:tabs>
        <w:ind w:left="2880" w:hanging="360"/>
      </w:pPr>
    </w:lvl>
    <w:lvl w:ilvl="4" w:tplc="0CAA24F2" w:tentative="1">
      <w:start w:val="1"/>
      <w:numFmt w:val="upperRoman"/>
      <w:lvlText w:val="%5."/>
      <w:lvlJc w:val="right"/>
      <w:pPr>
        <w:tabs>
          <w:tab w:val="num" w:pos="3600"/>
        </w:tabs>
        <w:ind w:left="3600" w:hanging="360"/>
      </w:pPr>
    </w:lvl>
    <w:lvl w:ilvl="5" w:tplc="E13A2634" w:tentative="1">
      <w:start w:val="1"/>
      <w:numFmt w:val="upperRoman"/>
      <w:lvlText w:val="%6."/>
      <w:lvlJc w:val="right"/>
      <w:pPr>
        <w:tabs>
          <w:tab w:val="num" w:pos="4320"/>
        </w:tabs>
        <w:ind w:left="4320" w:hanging="360"/>
      </w:pPr>
    </w:lvl>
    <w:lvl w:ilvl="6" w:tplc="EABA82E8" w:tentative="1">
      <w:start w:val="1"/>
      <w:numFmt w:val="upperRoman"/>
      <w:lvlText w:val="%7."/>
      <w:lvlJc w:val="right"/>
      <w:pPr>
        <w:tabs>
          <w:tab w:val="num" w:pos="5040"/>
        </w:tabs>
        <w:ind w:left="5040" w:hanging="360"/>
      </w:pPr>
    </w:lvl>
    <w:lvl w:ilvl="7" w:tplc="7ABE3286" w:tentative="1">
      <w:start w:val="1"/>
      <w:numFmt w:val="upperRoman"/>
      <w:lvlText w:val="%8."/>
      <w:lvlJc w:val="right"/>
      <w:pPr>
        <w:tabs>
          <w:tab w:val="num" w:pos="5760"/>
        </w:tabs>
        <w:ind w:left="5760" w:hanging="360"/>
      </w:pPr>
    </w:lvl>
    <w:lvl w:ilvl="8" w:tplc="A98A9C48" w:tentative="1">
      <w:start w:val="1"/>
      <w:numFmt w:val="upperRoman"/>
      <w:lvlText w:val="%9."/>
      <w:lvlJc w:val="right"/>
      <w:pPr>
        <w:tabs>
          <w:tab w:val="num" w:pos="6480"/>
        </w:tabs>
        <w:ind w:left="6480" w:hanging="360"/>
      </w:pPr>
    </w:lvl>
  </w:abstractNum>
  <w:abstractNum w:abstractNumId="23">
    <w:nsid w:val="51A617E0"/>
    <w:multiLevelType w:val="hybridMultilevel"/>
    <w:tmpl w:val="55982464"/>
    <w:lvl w:ilvl="0" w:tplc="04070001">
      <w:start w:val="1"/>
      <w:numFmt w:val="bullet"/>
      <w:lvlText w:val=""/>
      <w:lvlJc w:val="left"/>
      <w:pPr>
        <w:tabs>
          <w:tab w:val="num" w:pos="1429"/>
        </w:tabs>
        <w:ind w:left="1429" w:hanging="360"/>
      </w:pPr>
      <w:rPr>
        <w:rFonts w:ascii="Symbol" w:hAnsi="Symbol" w:hint="default"/>
      </w:rPr>
    </w:lvl>
    <w:lvl w:ilvl="1" w:tplc="04070003" w:tentative="1">
      <w:start w:val="1"/>
      <w:numFmt w:val="bullet"/>
      <w:lvlText w:val="o"/>
      <w:lvlJc w:val="left"/>
      <w:pPr>
        <w:tabs>
          <w:tab w:val="num" w:pos="2149"/>
        </w:tabs>
        <w:ind w:left="2149" w:hanging="360"/>
      </w:pPr>
      <w:rPr>
        <w:rFonts w:ascii="Courier New" w:hAnsi="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24">
    <w:nsid w:val="539537B9"/>
    <w:multiLevelType w:val="hybridMultilevel"/>
    <w:tmpl w:val="CAAA8E5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5">
    <w:nsid w:val="55C354DC"/>
    <w:multiLevelType w:val="hybridMultilevel"/>
    <w:tmpl w:val="939C4CCE"/>
    <w:lvl w:ilvl="0" w:tplc="0407000B">
      <w:start w:val="1"/>
      <w:numFmt w:val="bullet"/>
      <w:lvlText w:val=""/>
      <w:lvlJc w:val="left"/>
      <w:pPr>
        <w:tabs>
          <w:tab w:val="num" w:pos="1429"/>
        </w:tabs>
        <w:ind w:left="1429" w:hanging="360"/>
      </w:pPr>
      <w:rPr>
        <w:rFonts w:ascii="Wingdings" w:hAnsi="Wingdings" w:hint="default"/>
      </w:rPr>
    </w:lvl>
    <w:lvl w:ilvl="1" w:tplc="04070003" w:tentative="1">
      <w:start w:val="1"/>
      <w:numFmt w:val="bullet"/>
      <w:lvlText w:val="o"/>
      <w:lvlJc w:val="left"/>
      <w:pPr>
        <w:tabs>
          <w:tab w:val="num" w:pos="2149"/>
        </w:tabs>
        <w:ind w:left="2149" w:hanging="360"/>
      </w:pPr>
      <w:rPr>
        <w:rFonts w:ascii="Courier New" w:hAnsi="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26">
    <w:nsid w:val="59EF7F94"/>
    <w:multiLevelType w:val="hybridMultilevel"/>
    <w:tmpl w:val="E390AF50"/>
    <w:lvl w:ilvl="0" w:tplc="B8FAC11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872A55"/>
    <w:multiLevelType w:val="hybridMultilevel"/>
    <w:tmpl w:val="8E34E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924476A"/>
    <w:multiLevelType w:val="hybridMultilevel"/>
    <w:tmpl w:val="DAAA39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nsid w:val="77EF5F34"/>
    <w:multiLevelType w:val="singleLevel"/>
    <w:tmpl w:val="5F7699A6"/>
    <w:lvl w:ilvl="0">
      <w:start w:val="1"/>
      <w:numFmt w:val="lowerLetter"/>
      <w:lvlText w:val="%1)"/>
      <w:lvlJc w:val="left"/>
      <w:pPr>
        <w:tabs>
          <w:tab w:val="num" w:pos="360"/>
        </w:tabs>
        <w:ind w:left="360" w:hanging="360"/>
      </w:pPr>
      <w:rPr>
        <w:rFonts w:ascii="Tahoma" w:hAnsi="Tahoma" w:hint="default"/>
        <w:b w:val="0"/>
        <w:i w:val="0"/>
        <w:sz w:val="20"/>
        <w:u w:val="none"/>
      </w:rPr>
    </w:lvl>
  </w:abstractNum>
  <w:abstractNum w:abstractNumId="30">
    <w:nsid w:val="7F8B5C48"/>
    <w:multiLevelType w:val="hybridMultilevel"/>
    <w:tmpl w:val="F930516A"/>
    <w:lvl w:ilvl="0" w:tplc="E7122C96">
      <w:start w:val="1"/>
      <w:numFmt w:val="bullet"/>
      <w:lvlText w:val=""/>
      <w:lvlJc w:val="left"/>
      <w:pPr>
        <w:tabs>
          <w:tab w:val="num" w:pos="1429"/>
        </w:tabs>
        <w:ind w:left="1429" w:hanging="360"/>
      </w:pPr>
      <w:rPr>
        <w:rFonts w:ascii="Symbol" w:hAnsi="Symbol" w:hint="default"/>
        <w:sz w:val="20"/>
      </w:rPr>
    </w:lvl>
    <w:lvl w:ilvl="1" w:tplc="04070003" w:tentative="1">
      <w:start w:val="1"/>
      <w:numFmt w:val="bullet"/>
      <w:lvlText w:val="o"/>
      <w:lvlJc w:val="left"/>
      <w:pPr>
        <w:tabs>
          <w:tab w:val="num" w:pos="2149"/>
        </w:tabs>
        <w:ind w:left="2149" w:hanging="360"/>
      </w:pPr>
      <w:rPr>
        <w:rFonts w:ascii="Courier New" w:hAnsi="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14"/>
  </w:num>
  <w:num w:numId="3">
    <w:abstractNumId w:val="15"/>
  </w:num>
  <w:num w:numId="4">
    <w:abstractNumId w:val="21"/>
  </w:num>
  <w:num w:numId="5">
    <w:abstractNumId w:val="10"/>
  </w:num>
  <w:num w:numId="6">
    <w:abstractNumId w:val="13"/>
  </w:num>
  <w:num w:numId="7">
    <w:abstractNumId w:val="1"/>
  </w:num>
  <w:num w:numId="8">
    <w:abstractNumId w:val="25"/>
  </w:num>
  <w:num w:numId="9">
    <w:abstractNumId w:val="22"/>
  </w:num>
  <w:num w:numId="10">
    <w:abstractNumId w:val="18"/>
  </w:num>
  <w:num w:numId="11">
    <w:abstractNumId w:val="20"/>
  </w:num>
  <w:num w:numId="12">
    <w:abstractNumId w:val="9"/>
  </w:num>
  <w:num w:numId="13">
    <w:abstractNumId w:val="28"/>
  </w:num>
  <w:num w:numId="14">
    <w:abstractNumId w:val="3"/>
  </w:num>
  <w:num w:numId="15">
    <w:abstractNumId w:val="8"/>
  </w:num>
  <w:num w:numId="16">
    <w:abstractNumId w:val="29"/>
  </w:num>
  <w:num w:numId="17">
    <w:abstractNumId w:val="12"/>
  </w:num>
  <w:num w:numId="18">
    <w:abstractNumId w:val="19"/>
  </w:num>
  <w:num w:numId="19">
    <w:abstractNumId w:val="23"/>
  </w:num>
  <w:num w:numId="20">
    <w:abstractNumId w:val="11"/>
  </w:num>
  <w:num w:numId="21">
    <w:abstractNumId w:val="4"/>
  </w:num>
  <w:num w:numId="22">
    <w:abstractNumId w:val="30"/>
  </w:num>
  <w:num w:numId="23">
    <w:abstractNumId w:val="24"/>
  </w:num>
  <w:num w:numId="24">
    <w:abstractNumId w:val="0"/>
  </w:num>
  <w:num w:numId="25">
    <w:abstractNumId w:val="6"/>
  </w:num>
  <w:num w:numId="26">
    <w:abstractNumId w:val="5"/>
  </w:num>
  <w:num w:numId="27">
    <w:abstractNumId w:val="16"/>
  </w:num>
  <w:num w:numId="28">
    <w:abstractNumId w:val="26"/>
  </w:num>
  <w:num w:numId="29">
    <w:abstractNumId w:val="17"/>
  </w:num>
  <w:num w:numId="30">
    <w:abstractNumId w:val="7"/>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hideSpellingErrors/>
  <w:hideGrammaticalErrors/>
  <w:proofState w:spelling="clean" w:grammar="clean"/>
  <w:defaultTabStop w:val="720"/>
  <w:hyphenationZone w:val="0"/>
  <w:doNotHyphenateCaps/>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827"/>
    <w:rsid w:val="00001613"/>
    <w:rsid w:val="00005C32"/>
    <w:rsid w:val="000152B4"/>
    <w:rsid w:val="000225E6"/>
    <w:rsid w:val="00022793"/>
    <w:rsid w:val="0002368E"/>
    <w:rsid w:val="00027802"/>
    <w:rsid w:val="0003092E"/>
    <w:rsid w:val="00033395"/>
    <w:rsid w:val="00033DE8"/>
    <w:rsid w:val="00034D6C"/>
    <w:rsid w:val="00044906"/>
    <w:rsid w:val="00054F3D"/>
    <w:rsid w:val="00056154"/>
    <w:rsid w:val="000638DF"/>
    <w:rsid w:val="00077BA8"/>
    <w:rsid w:val="000918E5"/>
    <w:rsid w:val="00092174"/>
    <w:rsid w:val="00096C61"/>
    <w:rsid w:val="000A0320"/>
    <w:rsid w:val="000A0D9F"/>
    <w:rsid w:val="000A57D9"/>
    <w:rsid w:val="000A7674"/>
    <w:rsid w:val="000B54E3"/>
    <w:rsid w:val="000B6C46"/>
    <w:rsid w:val="000B758B"/>
    <w:rsid w:val="000C111D"/>
    <w:rsid w:val="000C55B9"/>
    <w:rsid w:val="000C6FFA"/>
    <w:rsid w:val="000E5208"/>
    <w:rsid w:val="000F0936"/>
    <w:rsid w:val="000F399D"/>
    <w:rsid w:val="000F626F"/>
    <w:rsid w:val="001042E0"/>
    <w:rsid w:val="0011180A"/>
    <w:rsid w:val="00111C1C"/>
    <w:rsid w:val="001162D7"/>
    <w:rsid w:val="001208C1"/>
    <w:rsid w:val="00125C05"/>
    <w:rsid w:val="001269C0"/>
    <w:rsid w:val="00130DA1"/>
    <w:rsid w:val="001320A3"/>
    <w:rsid w:val="001355DF"/>
    <w:rsid w:val="00137E1C"/>
    <w:rsid w:val="001425F9"/>
    <w:rsid w:val="00142BD3"/>
    <w:rsid w:val="00143F11"/>
    <w:rsid w:val="00170827"/>
    <w:rsid w:val="001715AD"/>
    <w:rsid w:val="00172304"/>
    <w:rsid w:val="00175980"/>
    <w:rsid w:val="0017740D"/>
    <w:rsid w:val="00190621"/>
    <w:rsid w:val="001930A1"/>
    <w:rsid w:val="00193DC0"/>
    <w:rsid w:val="00196638"/>
    <w:rsid w:val="00197DB4"/>
    <w:rsid w:val="001A3D6E"/>
    <w:rsid w:val="001A6FD7"/>
    <w:rsid w:val="001A776D"/>
    <w:rsid w:val="001B2A23"/>
    <w:rsid w:val="001B3ED7"/>
    <w:rsid w:val="001B627B"/>
    <w:rsid w:val="001C01CC"/>
    <w:rsid w:val="001C2829"/>
    <w:rsid w:val="001C38CF"/>
    <w:rsid w:val="001D38D8"/>
    <w:rsid w:val="001D39E6"/>
    <w:rsid w:val="001D7302"/>
    <w:rsid w:val="001E333B"/>
    <w:rsid w:val="001E5D26"/>
    <w:rsid w:val="001E74C6"/>
    <w:rsid w:val="001F4483"/>
    <w:rsid w:val="001F66AB"/>
    <w:rsid w:val="00200A05"/>
    <w:rsid w:val="00200ACC"/>
    <w:rsid w:val="00202558"/>
    <w:rsid w:val="002049EB"/>
    <w:rsid w:val="002151E8"/>
    <w:rsid w:val="002167AB"/>
    <w:rsid w:val="0021697C"/>
    <w:rsid w:val="002263D9"/>
    <w:rsid w:val="00233BC1"/>
    <w:rsid w:val="002357FB"/>
    <w:rsid w:val="002444E1"/>
    <w:rsid w:val="00250800"/>
    <w:rsid w:val="00254EE2"/>
    <w:rsid w:val="0027234A"/>
    <w:rsid w:val="00272527"/>
    <w:rsid w:val="002756D3"/>
    <w:rsid w:val="002765DD"/>
    <w:rsid w:val="00277B96"/>
    <w:rsid w:val="00280CFD"/>
    <w:rsid w:val="00282EAE"/>
    <w:rsid w:val="00293FF4"/>
    <w:rsid w:val="002A5708"/>
    <w:rsid w:val="002A75F6"/>
    <w:rsid w:val="002B2D5E"/>
    <w:rsid w:val="002B4230"/>
    <w:rsid w:val="002B5C01"/>
    <w:rsid w:val="002C0EDA"/>
    <w:rsid w:val="002C122A"/>
    <w:rsid w:val="002C3D07"/>
    <w:rsid w:val="002C551F"/>
    <w:rsid w:val="002D664E"/>
    <w:rsid w:val="002F5D7B"/>
    <w:rsid w:val="002F7DA9"/>
    <w:rsid w:val="003025C8"/>
    <w:rsid w:val="003033A8"/>
    <w:rsid w:val="0031456C"/>
    <w:rsid w:val="003159BD"/>
    <w:rsid w:val="003203B6"/>
    <w:rsid w:val="0032656C"/>
    <w:rsid w:val="00333913"/>
    <w:rsid w:val="0033520B"/>
    <w:rsid w:val="00352062"/>
    <w:rsid w:val="00353F9F"/>
    <w:rsid w:val="00357238"/>
    <w:rsid w:val="0036126E"/>
    <w:rsid w:val="003639EC"/>
    <w:rsid w:val="00366523"/>
    <w:rsid w:val="00372004"/>
    <w:rsid w:val="00383872"/>
    <w:rsid w:val="003839AF"/>
    <w:rsid w:val="003965CA"/>
    <w:rsid w:val="00396872"/>
    <w:rsid w:val="003B0901"/>
    <w:rsid w:val="003C387F"/>
    <w:rsid w:val="003C468D"/>
    <w:rsid w:val="00414503"/>
    <w:rsid w:val="00414D3C"/>
    <w:rsid w:val="00417360"/>
    <w:rsid w:val="00430A44"/>
    <w:rsid w:val="004442E0"/>
    <w:rsid w:val="0044574E"/>
    <w:rsid w:val="00445943"/>
    <w:rsid w:val="00451C11"/>
    <w:rsid w:val="00455F4E"/>
    <w:rsid w:val="004760A2"/>
    <w:rsid w:val="00476C04"/>
    <w:rsid w:val="00477138"/>
    <w:rsid w:val="00495BBA"/>
    <w:rsid w:val="004A5EB6"/>
    <w:rsid w:val="004C3CA1"/>
    <w:rsid w:val="004D776D"/>
    <w:rsid w:val="004E43F7"/>
    <w:rsid w:val="004E4E2D"/>
    <w:rsid w:val="004F0A1A"/>
    <w:rsid w:val="004F11FF"/>
    <w:rsid w:val="004F4527"/>
    <w:rsid w:val="004F4BB9"/>
    <w:rsid w:val="005027D0"/>
    <w:rsid w:val="00507BA1"/>
    <w:rsid w:val="00512182"/>
    <w:rsid w:val="005215CC"/>
    <w:rsid w:val="005216CA"/>
    <w:rsid w:val="005264AA"/>
    <w:rsid w:val="005277D0"/>
    <w:rsid w:val="00527945"/>
    <w:rsid w:val="00530F52"/>
    <w:rsid w:val="005330A0"/>
    <w:rsid w:val="005331BD"/>
    <w:rsid w:val="005343A6"/>
    <w:rsid w:val="00536259"/>
    <w:rsid w:val="00542F6F"/>
    <w:rsid w:val="00546EE1"/>
    <w:rsid w:val="0055186F"/>
    <w:rsid w:val="0055531F"/>
    <w:rsid w:val="005577AB"/>
    <w:rsid w:val="00565CE2"/>
    <w:rsid w:val="00567688"/>
    <w:rsid w:val="00576711"/>
    <w:rsid w:val="00580C07"/>
    <w:rsid w:val="00583BF9"/>
    <w:rsid w:val="00586C7E"/>
    <w:rsid w:val="005A3058"/>
    <w:rsid w:val="005A4648"/>
    <w:rsid w:val="005A6ED2"/>
    <w:rsid w:val="005B013E"/>
    <w:rsid w:val="005D5847"/>
    <w:rsid w:val="005D5929"/>
    <w:rsid w:val="005E21C7"/>
    <w:rsid w:val="005E5DAD"/>
    <w:rsid w:val="005E7574"/>
    <w:rsid w:val="005F1703"/>
    <w:rsid w:val="005F320D"/>
    <w:rsid w:val="005F5697"/>
    <w:rsid w:val="006026BA"/>
    <w:rsid w:val="00617374"/>
    <w:rsid w:val="006177C1"/>
    <w:rsid w:val="00617F5D"/>
    <w:rsid w:val="006237C6"/>
    <w:rsid w:val="00625EE6"/>
    <w:rsid w:val="006266E6"/>
    <w:rsid w:val="00633371"/>
    <w:rsid w:val="00637440"/>
    <w:rsid w:val="0064062C"/>
    <w:rsid w:val="0064459C"/>
    <w:rsid w:val="006468C2"/>
    <w:rsid w:val="006559C2"/>
    <w:rsid w:val="0065688F"/>
    <w:rsid w:val="00656BA6"/>
    <w:rsid w:val="006636C4"/>
    <w:rsid w:val="0067054B"/>
    <w:rsid w:val="006718A8"/>
    <w:rsid w:val="00672708"/>
    <w:rsid w:val="00674074"/>
    <w:rsid w:val="006746A6"/>
    <w:rsid w:val="00676805"/>
    <w:rsid w:val="00687D5C"/>
    <w:rsid w:val="00693818"/>
    <w:rsid w:val="006B17E6"/>
    <w:rsid w:val="006B4558"/>
    <w:rsid w:val="006B788F"/>
    <w:rsid w:val="006C1CED"/>
    <w:rsid w:val="006C223B"/>
    <w:rsid w:val="006C2585"/>
    <w:rsid w:val="006C4461"/>
    <w:rsid w:val="006C58B4"/>
    <w:rsid w:val="006C6478"/>
    <w:rsid w:val="006D4AC8"/>
    <w:rsid w:val="006E13E5"/>
    <w:rsid w:val="006E1A6A"/>
    <w:rsid w:val="006F1C74"/>
    <w:rsid w:val="00703024"/>
    <w:rsid w:val="007102ED"/>
    <w:rsid w:val="00712155"/>
    <w:rsid w:val="0071504D"/>
    <w:rsid w:val="007150CD"/>
    <w:rsid w:val="00720DB8"/>
    <w:rsid w:val="00721148"/>
    <w:rsid w:val="00724F9C"/>
    <w:rsid w:val="00730654"/>
    <w:rsid w:val="007318BD"/>
    <w:rsid w:val="00746493"/>
    <w:rsid w:val="00751D35"/>
    <w:rsid w:val="007534B8"/>
    <w:rsid w:val="00756225"/>
    <w:rsid w:val="00761DDF"/>
    <w:rsid w:val="007632F6"/>
    <w:rsid w:val="00763788"/>
    <w:rsid w:val="00767CA5"/>
    <w:rsid w:val="0077322B"/>
    <w:rsid w:val="0077559A"/>
    <w:rsid w:val="007A1CA9"/>
    <w:rsid w:val="007A2162"/>
    <w:rsid w:val="007A64EC"/>
    <w:rsid w:val="007B60B9"/>
    <w:rsid w:val="007B6264"/>
    <w:rsid w:val="007C056F"/>
    <w:rsid w:val="007C34F4"/>
    <w:rsid w:val="007C66CB"/>
    <w:rsid w:val="007D393B"/>
    <w:rsid w:val="007D54E1"/>
    <w:rsid w:val="007E3E0A"/>
    <w:rsid w:val="00803359"/>
    <w:rsid w:val="008251C6"/>
    <w:rsid w:val="00827023"/>
    <w:rsid w:val="00836176"/>
    <w:rsid w:val="008608BB"/>
    <w:rsid w:val="0086282C"/>
    <w:rsid w:val="00864B82"/>
    <w:rsid w:val="008651BD"/>
    <w:rsid w:val="00870744"/>
    <w:rsid w:val="00873CCB"/>
    <w:rsid w:val="00875681"/>
    <w:rsid w:val="008830B6"/>
    <w:rsid w:val="008866B8"/>
    <w:rsid w:val="0089264E"/>
    <w:rsid w:val="00896DC0"/>
    <w:rsid w:val="008A3347"/>
    <w:rsid w:val="008B183A"/>
    <w:rsid w:val="008C1774"/>
    <w:rsid w:val="008C5B14"/>
    <w:rsid w:val="008D41C4"/>
    <w:rsid w:val="008D482A"/>
    <w:rsid w:val="008E1F1D"/>
    <w:rsid w:val="00900A10"/>
    <w:rsid w:val="00910985"/>
    <w:rsid w:val="009109E0"/>
    <w:rsid w:val="00912339"/>
    <w:rsid w:val="009134B1"/>
    <w:rsid w:val="00920DAF"/>
    <w:rsid w:val="00921971"/>
    <w:rsid w:val="009245E8"/>
    <w:rsid w:val="009256C7"/>
    <w:rsid w:val="00925F5D"/>
    <w:rsid w:val="00926399"/>
    <w:rsid w:val="009377DF"/>
    <w:rsid w:val="00937F1F"/>
    <w:rsid w:val="009409F1"/>
    <w:rsid w:val="00947F62"/>
    <w:rsid w:val="0096785F"/>
    <w:rsid w:val="00972712"/>
    <w:rsid w:val="009735D2"/>
    <w:rsid w:val="00976732"/>
    <w:rsid w:val="00976BF3"/>
    <w:rsid w:val="009808DE"/>
    <w:rsid w:val="009814A9"/>
    <w:rsid w:val="009817B8"/>
    <w:rsid w:val="0098268B"/>
    <w:rsid w:val="00982BDC"/>
    <w:rsid w:val="00982EB6"/>
    <w:rsid w:val="00983840"/>
    <w:rsid w:val="00985696"/>
    <w:rsid w:val="00991115"/>
    <w:rsid w:val="00991BA8"/>
    <w:rsid w:val="00992642"/>
    <w:rsid w:val="00993AE8"/>
    <w:rsid w:val="009A0681"/>
    <w:rsid w:val="009A2A89"/>
    <w:rsid w:val="009A5D70"/>
    <w:rsid w:val="009A6E54"/>
    <w:rsid w:val="009A7BDB"/>
    <w:rsid w:val="009B4E66"/>
    <w:rsid w:val="009B5200"/>
    <w:rsid w:val="009D0EBD"/>
    <w:rsid w:val="009D1CCE"/>
    <w:rsid w:val="009D2014"/>
    <w:rsid w:val="009D290F"/>
    <w:rsid w:val="009D3E44"/>
    <w:rsid w:val="009D5875"/>
    <w:rsid w:val="009E28B2"/>
    <w:rsid w:val="009E2AE4"/>
    <w:rsid w:val="009E7BE1"/>
    <w:rsid w:val="009F0DE2"/>
    <w:rsid w:val="009F31B9"/>
    <w:rsid w:val="00A22458"/>
    <w:rsid w:val="00A2378C"/>
    <w:rsid w:val="00A30A32"/>
    <w:rsid w:val="00A351AC"/>
    <w:rsid w:val="00A43C08"/>
    <w:rsid w:val="00A46981"/>
    <w:rsid w:val="00A528D2"/>
    <w:rsid w:val="00A54A42"/>
    <w:rsid w:val="00A55AC3"/>
    <w:rsid w:val="00A60790"/>
    <w:rsid w:val="00A62C74"/>
    <w:rsid w:val="00A630D4"/>
    <w:rsid w:val="00A64D49"/>
    <w:rsid w:val="00A73174"/>
    <w:rsid w:val="00A75D24"/>
    <w:rsid w:val="00A8565F"/>
    <w:rsid w:val="00A87114"/>
    <w:rsid w:val="00A87F75"/>
    <w:rsid w:val="00A973FB"/>
    <w:rsid w:val="00AA00A5"/>
    <w:rsid w:val="00AB7844"/>
    <w:rsid w:val="00AC059F"/>
    <w:rsid w:val="00AC6BAB"/>
    <w:rsid w:val="00AD74BC"/>
    <w:rsid w:val="00AD7895"/>
    <w:rsid w:val="00AE23E0"/>
    <w:rsid w:val="00AE2E1B"/>
    <w:rsid w:val="00AE4A52"/>
    <w:rsid w:val="00AE748D"/>
    <w:rsid w:val="00AF5589"/>
    <w:rsid w:val="00B00F5F"/>
    <w:rsid w:val="00B10EDB"/>
    <w:rsid w:val="00B12981"/>
    <w:rsid w:val="00B15F35"/>
    <w:rsid w:val="00B20A22"/>
    <w:rsid w:val="00B24981"/>
    <w:rsid w:val="00B27DC2"/>
    <w:rsid w:val="00B33E80"/>
    <w:rsid w:val="00B343F5"/>
    <w:rsid w:val="00B42A90"/>
    <w:rsid w:val="00B42BB3"/>
    <w:rsid w:val="00B45239"/>
    <w:rsid w:val="00B624C1"/>
    <w:rsid w:val="00B635BA"/>
    <w:rsid w:val="00B65B41"/>
    <w:rsid w:val="00B65CE1"/>
    <w:rsid w:val="00B71178"/>
    <w:rsid w:val="00B73D7F"/>
    <w:rsid w:val="00B771E5"/>
    <w:rsid w:val="00B82772"/>
    <w:rsid w:val="00BA1245"/>
    <w:rsid w:val="00BA2B22"/>
    <w:rsid w:val="00BA4D0B"/>
    <w:rsid w:val="00BA5A85"/>
    <w:rsid w:val="00BB2BBF"/>
    <w:rsid w:val="00BC1D50"/>
    <w:rsid w:val="00BC229F"/>
    <w:rsid w:val="00BC3C33"/>
    <w:rsid w:val="00BC63E5"/>
    <w:rsid w:val="00BD2B2D"/>
    <w:rsid w:val="00BD7EB0"/>
    <w:rsid w:val="00BE110A"/>
    <w:rsid w:val="00BE27D9"/>
    <w:rsid w:val="00BE47D1"/>
    <w:rsid w:val="00BE55BD"/>
    <w:rsid w:val="00BF2F53"/>
    <w:rsid w:val="00BF78CB"/>
    <w:rsid w:val="00C14B21"/>
    <w:rsid w:val="00C249F3"/>
    <w:rsid w:val="00C25D50"/>
    <w:rsid w:val="00C30F12"/>
    <w:rsid w:val="00C44DEE"/>
    <w:rsid w:val="00C451D4"/>
    <w:rsid w:val="00C5140D"/>
    <w:rsid w:val="00C5387C"/>
    <w:rsid w:val="00C61E8B"/>
    <w:rsid w:val="00C63167"/>
    <w:rsid w:val="00C6356B"/>
    <w:rsid w:val="00C67D45"/>
    <w:rsid w:val="00C76D15"/>
    <w:rsid w:val="00C81843"/>
    <w:rsid w:val="00C848EB"/>
    <w:rsid w:val="00C8527D"/>
    <w:rsid w:val="00C901BF"/>
    <w:rsid w:val="00C9138D"/>
    <w:rsid w:val="00C93E1E"/>
    <w:rsid w:val="00CB2A48"/>
    <w:rsid w:val="00CC2715"/>
    <w:rsid w:val="00CD28B4"/>
    <w:rsid w:val="00CD369F"/>
    <w:rsid w:val="00CD572C"/>
    <w:rsid w:val="00CD6F06"/>
    <w:rsid w:val="00CE0B0C"/>
    <w:rsid w:val="00CF5554"/>
    <w:rsid w:val="00CF59D7"/>
    <w:rsid w:val="00D02E2F"/>
    <w:rsid w:val="00D03961"/>
    <w:rsid w:val="00D05E06"/>
    <w:rsid w:val="00D10681"/>
    <w:rsid w:val="00D16824"/>
    <w:rsid w:val="00D17B21"/>
    <w:rsid w:val="00D27554"/>
    <w:rsid w:val="00D40F54"/>
    <w:rsid w:val="00D42782"/>
    <w:rsid w:val="00D427DA"/>
    <w:rsid w:val="00D534BC"/>
    <w:rsid w:val="00D5698C"/>
    <w:rsid w:val="00D57F84"/>
    <w:rsid w:val="00D64678"/>
    <w:rsid w:val="00D67A3C"/>
    <w:rsid w:val="00D71FA6"/>
    <w:rsid w:val="00D81395"/>
    <w:rsid w:val="00D831F8"/>
    <w:rsid w:val="00D94F4B"/>
    <w:rsid w:val="00D9787C"/>
    <w:rsid w:val="00DA136A"/>
    <w:rsid w:val="00DA337A"/>
    <w:rsid w:val="00DA43A5"/>
    <w:rsid w:val="00DA5138"/>
    <w:rsid w:val="00DB6E06"/>
    <w:rsid w:val="00DC117C"/>
    <w:rsid w:val="00DC318D"/>
    <w:rsid w:val="00DD04C0"/>
    <w:rsid w:val="00DD10AA"/>
    <w:rsid w:val="00DE5742"/>
    <w:rsid w:val="00DF1FD9"/>
    <w:rsid w:val="00E022E5"/>
    <w:rsid w:val="00E05950"/>
    <w:rsid w:val="00E07A74"/>
    <w:rsid w:val="00E22B07"/>
    <w:rsid w:val="00E377D8"/>
    <w:rsid w:val="00E40772"/>
    <w:rsid w:val="00E408EB"/>
    <w:rsid w:val="00E40927"/>
    <w:rsid w:val="00E44A2A"/>
    <w:rsid w:val="00E53160"/>
    <w:rsid w:val="00E532D1"/>
    <w:rsid w:val="00E55611"/>
    <w:rsid w:val="00E56666"/>
    <w:rsid w:val="00E62ABF"/>
    <w:rsid w:val="00E67FB9"/>
    <w:rsid w:val="00E72000"/>
    <w:rsid w:val="00E7241A"/>
    <w:rsid w:val="00E74444"/>
    <w:rsid w:val="00E74F6F"/>
    <w:rsid w:val="00E81C0D"/>
    <w:rsid w:val="00E843A9"/>
    <w:rsid w:val="00E851E8"/>
    <w:rsid w:val="00E8684E"/>
    <w:rsid w:val="00E902AE"/>
    <w:rsid w:val="00E94852"/>
    <w:rsid w:val="00E966E2"/>
    <w:rsid w:val="00EA1346"/>
    <w:rsid w:val="00EA6B22"/>
    <w:rsid w:val="00EB4419"/>
    <w:rsid w:val="00EB7325"/>
    <w:rsid w:val="00EC27A5"/>
    <w:rsid w:val="00EC36AF"/>
    <w:rsid w:val="00EC3B46"/>
    <w:rsid w:val="00EC6BF0"/>
    <w:rsid w:val="00ED0470"/>
    <w:rsid w:val="00EE07B3"/>
    <w:rsid w:val="00EE2DC4"/>
    <w:rsid w:val="00EE5ED0"/>
    <w:rsid w:val="00EE6EB9"/>
    <w:rsid w:val="00EE7B6E"/>
    <w:rsid w:val="00EF16B6"/>
    <w:rsid w:val="00EF3F2B"/>
    <w:rsid w:val="00EF410E"/>
    <w:rsid w:val="00EF57D0"/>
    <w:rsid w:val="00F00999"/>
    <w:rsid w:val="00F00BA9"/>
    <w:rsid w:val="00F00CA4"/>
    <w:rsid w:val="00F14BB5"/>
    <w:rsid w:val="00F16C08"/>
    <w:rsid w:val="00F17487"/>
    <w:rsid w:val="00F17DF1"/>
    <w:rsid w:val="00F23595"/>
    <w:rsid w:val="00F37C7C"/>
    <w:rsid w:val="00F427F2"/>
    <w:rsid w:val="00F42CB8"/>
    <w:rsid w:val="00F450D1"/>
    <w:rsid w:val="00F50287"/>
    <w:rsid w:val="00F50493"/>
    <w:rsid w:val="00F5551D"/>
    <w:rsid w:val="00F60D89"/>
    <w:rsid w:val="00F721E6"/>
    <w:rsid w:val="00F72BC2"/>
    <w:rsid w:val="00F73042"/>
    <w:rsid w:val="00F74578"/>
    <w:rsid w:val="00F76190"/>
    <w:rsid w:val="00F77BA1"/>
    <w:rsid w:val="00F80F92"/>
    <w:rsid w:val="00F83C28"/>
    <w:rsid w:val="00F95017"/>
    <w:rsid w:val="00FA1B8E"/>
    <w:rsid w:val="00FB4011"/>
    <w:rsid w:val="00FC7C6E"/>
    <w:rsid w:val="00FD1128"/>
    <w:rsid w:val="00FD38F5"/>
    <w:rsid w:val="00FE0F1D"/>
    <w:rsid w:val="00FF35A0"/>
    <w:rsid w:val="00FF4E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nePrinter" w:eastAsia="Times New Roman" w:hAnsi="LinePrinter"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2"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C33"/>
    <w:rPr>
      <w:rFonts w:ascii="Times New Roman" w:hAnsi="Times New Roman"/>
      <w:color w:val="000000"/>
      <w:sz w:val="24"/>
      <w:lang w:val="en-GB" w:eastAsia="de-DE"/>
    </w:rPr>
  </w:style>
  <w:style w:type="paragraph" w:styleId="Heading1">
    <w:name w:val="heading 1"/>
    <w:basedOn w:val="Normal"/>
    <w:next w:val="Normal"/>
    <w:qFormat/>
    <w:rsid w:val="006B788F"/>
    <w:pPr>
      <w:keepNext/>
      <w:outlineLvl w:val="0"/>
    </w:pPr>
    <w:rPr>
      <w:b/>
    </w:rPr>
  </w:style>
  <w:style w:type="paragraph" w:styleId="Heading2">
    <w:name w:val="heading 2"/>
    <w:basedOn w:val="Normal"/>
    <w:next w:val="Normal"/>
    <w:qFormat/>
    <w:rsid w:val="001A776D"/>
    <w:pPr>
      <w:keepNext/>
      <w:outlineLvl w:val="1"/>
    </w:pPr>
    <w:rPr>
      <w:b/>
      <w:noProof/>
    </w:rPr>
  </w:style>
  <w:style w:type="paragraph" w:styleId="Heading3">
    <w:name w:val="heading 3"/>
    <w:basedOn w:val="Normal"/>
    <w:next w:val="Normal"/>
    <w:qFormat/>
    <w:rsid w:val="006B788F"/>
    <w:pPr>
      <w:keepNext/>
      <w:outlineLvl w:val="2"/>
    </w:pPr>
    <w:rPr>
      <w:bCs/>
      <w:u w:val="single"/>
    </w:rPr>
  </w:style>
  <w:style w:type="paragraph" w:styleId="Heading4">
    <w:name w:val="heading 4"/>
    <w:basedOn w:val="Normal"/>
    <w:next w:val="Normal"/>
    <w:qFormat/>
    <w:rsid w:val="001269C0"/>
    <w:pPr>
      <w:keepNext/>
      <w:spacing w:before="240" w:after="60"/>
      <w:outlineLvl w:val="3"/>
    </w:pPr>
    <w:rPr>
      <w:b/>
      <w:i/>
    </w:rPr>
  </w:style>
  <w:style w:type="paragraph" w:styleId="Heading5">
    <w:name w:val="heading 5"/>
    <w:basedOn w:val="Heading4"/>
    <w:next w:val="Normal"/>
    <w:qFormat/>
    <w:rsid w:val="001269C0"/>
    <w:pPr>
      <w:ind w:left="1571" w:hanging="720"/>
      <w:outlineLvl w:val="4"/>
    </w:pPr>
    <w:rPr>
      <w:rFonts w:ascii="Arial" w:hAnsi="Arial"/>
      <w:color w:val="auto"/>
      <w:sz w:val="22"/>
    </w:rPr>
  </w:style>
  <w:style w:type="paragraph" w:styleId="Heading6">
    <w:name w:val="heading 6"/>
    <w:basedOn w:val="Normal"/>
    <w:next w:val="Normal"/>
    <w:qFormat/>
    <w:rsid w:val="001269C0"/>
    <w:pPr>
      <w:keepNext/>
      <w:ind w:left="709"/>
      <w:outlineLvl w:val="5"/>
    </w:pPr>
    <w:rPr>
      <w:rFonts w:ascii="Arial" w:hAnsi="Arial"/>
      <w:b/>
      <w:bCs/>
    </w:rPr>
  </w:style>
  <w:style w:type="paragraph" w:styleId="Heading7">
    <w:name w:val="heading 7"/>
    <w:basedOn w:val="Normal"/>
    <w:next w:val="Normal"/>
    <w:qFormat/>
    <w:rsid w:val="001269C0"/>
    <w:pPr>
      <w:keepNext/>
      <w:ind w:left="3600" w:right="-284" w:hanging="2891"/>
      <w:outlineLvl w:val="6"/>
    </w:pPr>
    <w:rPr>
      <w:rFonts w:ascii="Arial" w:hAnsi="Arial" w:cs="Arial"/>
      <w:b/>
      <w:bCs/>
      <w:sz w:val="20"/>
    </w:rPr>
  </w:style>
  <w:style w:type="paragraph" w:styleId="Heading8">
    <w:name w:val="heading 8"/>
    <w:basedOn w:val="Normal"/>
    <w:next w:val="Normal"/>
    <w:qFormat/>
    <w:rsid w:val="001269C0"/>
    <w:pPr>
      <w:keepNext/>
      <w:jc w:val="both"/>
      <w:outlineLvl w:val="7"/>
    </w:pPr>
    <w:rPr>
      <w:rFonts w:ascii="CG Omega" w:hAnsi="CG Omega"/>
      <w:b/>
      <w:color w:val="auto"/>
      <w:lang w:val="fr-FR"/>
    </w:rPr>
  </w:style>
  <w:style w:type="paragraph" w:styleId="Heading9">
    <w:name w:val="heading 9"/>
    <w:basedOn w:val="Normal"/>
    <w:next w:val="Normal"/>
    <w:qFormat/>
    <w:rsid w:val="001269C0"/>
    <w:pPr>
      <w:keepNext/>
      <w:jc w:val="both"/>
      <w:outlineLvl w:val="8"/>
    </w:pPr>
    <w:rPr>
      <w:rFonts w:ascii="CG Omega" w:hAnsi="CG Omega"/>
      <w:i/>
      <w:color w:val="auto"/>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1269C0"/>
    <w:pPr>
      <w:tabs>
        <w:tab w:val="center" w:pos="4153"/>
        <w:tab w:val="right" w:pos="8306"/>
      </w:tabs>
    </w:pPr>
  </w:style>
  <w:style w:type="paragraph" w:styleId="Header">
    <w:name w:val="header"/>
    <w:basedOn w:val="Normal"/>
    <w:semiHidden/>
    <w:rsid w:val="001269C0"/>
    <w:pPr>
      <w:tabs>
        <w:tab w:val="center" w:pos="4153"/>
        <w:tab w:val="right" w:pos="8306"/>
      </w:tabs>
    </w:pPr>
  </w:style>
  <w:style w:type="paragraph" w:customStyle="1" w:styleId="Heading1A">
    <w:name w:val="Heading 1A"/>
    <w:basedOn w:val="Normal"/>
    <w:next w:val="Normal"/>
    <w:rsid w:val="001269C0"/>
    <w:rPr>
      <w:rFonts w:ascii="Arial" w:hAnsi="Arial"/>
      <w:b/>
      <w:caps/>
      <w:color w:val="auto"/>
      <w:sz w:val="20"/>
    </w:rPr>
  </w:style>
  <w:style w:type="paragraph" w:customStyle="1" w:styleId="BodyText21">
    <w:name w:val="Body Text 21"/>
    <w:basedOn w:val="Normal"/>
    <w:rsid w:val="001269C0"/>
    <w:pPr>
      <w:ind w:left="709"/>
    </w:pPr>
    <w:rPr>
      <w:rFonts w:ascii="Arial" w:hAnsi="Arial"/>
    </w:rPr>
  </w:style>
  <w:style w:type="character" w:styleId="PageNumber">
    <w:name w:val="page number"/>
    <w:basedOn w:val="DefaultParagraphFont"/>
    <w:semiHidden/>
    <w:rsid w:val="001269C0"/>
  </w:style>
  <w:style w:type="paragraph" w:customStyle="1" w:styleId="toa">
    <w:name w:val="toa"/>
    <w:basedOn w:val="Normal"/>
    <w:rsid w:val="001269C0"/>
    <w:pPr>
      <w:tabs>
        <w:tab w:val="left" w:pos="9000"/>
        <w:tab w:val="right" w:pos="9360"/>
      </w:tabs>
      <w:suppressAutoHyphens/>
    </w:pPr>
    <w:rPr>
      <w:rFonts w:ascii="Courier New" w:hAnsi="Courier New"/>
      <w:color w:val="auto"/>
      <w:lang w:val="en-US"/>
    </w:rPr>
  </w:style>
  <w:style w:type="paragraph" w:styleId="BodyText3">
    <w:name w:val="Body Text 3"/>
    <w:basedOn w:val="Normal"/>
    <w:semiHidden/>
    <w:rsid w:val="001269C0"/>
    <w:rPr>
      <w:rFonts w:ascii="Arial" w:hAnsi="Arial"/>
      <w:color w:val="auto"/>
      <w:sz w:val="20"/>
    </w:rPr>
  </w:style>
  <w:style w:type="paragraph" w:styleId="BodyTextIndent">
    <w:name w:val="Body Text Indent"/>
    <w:basedOn w:val="Normal"/>
    <w:semiHidden/>
    <w:rsid w:val="001269C0"/>
    <w:pPr>
      <w:keepNext/>
      <w:ind w:left="709"/>
    </w:pPr>
    <w:rPr>
      <w:rFonts w:ascii="Arial" w:hAnsi="Arial"/>
      <w:b/>
      <w:i/>
    </w:rPr>
  </w:style>
  <w:style w:type="paragraph" w:styleId="BodyTextIndent2">
    <w:name w:val="Body Text Indent 2"/>
    <w:basedOn w:val="Normal"/>
    <w:semiHidden/>
    <w:rsid w:val="001269C0"/>
    <w:pPr>
      <w:ind w:left="284"/>
    </w:pPr>
    <w:rPr>
      <w:rFonts w:ascii="Arial" w:hAnsi="Arial"/>
      <w:color w:val="auto"/>
      <w:sz w:val="22"/>
      <w:lang w:val="en-US"/>
    </w:rPr>
  </w:style>
  <w:style w:type="paragraph" w:styleId="BodyTextIndent3">
    <w:name w:val="Body Text Indent 3"/>
    <w:basedOn w:val="Normal"/>
    <w:semiHidden/>
    <w:rsid w:val="001269C0"/>
    <w:pPr>
      <w:ind w:left="720"/>
    </w:pPr>
    <w:rPr>
      <w:rFonts w:ascii="Arial" w:hAnsi="Arial"/>
      <w:strike/>
    </w:rPr>
  </w:style>
  <w:style w:type="character" w:styleId="Strong">
    <w:name w:val="Strong"/>
    <w:basedOn w:val="DefaultParagraphFont"/>
    <w:qFormat/>
    <w:rsid w:val="001269C0"/>
    <w:rPr>
      <w:b/>
      <w:bCs/>
    </w:rPr>
  </w:style>
  <w:style w:type="character" w:styleId="Hyperlink">
    <w:name w:val="Hyperlink"/>
    <w:basedOn w:val="DefaultParagraphFont"/>
    <w:semiHidden/>
    <w:rsid w:val="001269C0"/>
    <w:rPr>
      <w:strike w:val="0"/>
      <w:dstrike w:val="0"/>
      <w:color w:val="0000FF"/>
      <w:u w:val="none"/>
      <w:effect w:val="none"/>
    </w:rPr>
  </w:style>
  <w:style w:type="character" w:styleId="FollowedHyperlink">
    <w:name w:val="FollowedHyperlink"/>
    <w:basedOn w:val="DefaultParagraphFont"/>
    <w:semiHidden/>
    <w:rsid w:val="001269C0"/>
    <w:rPr>
      <w:color w:val="800080"/>
      <w:u w:val="single"/>
    </w:rPr>
  </w:style>
  <w:style w:type="paragraph" w:styleId="BlockText">
    <w:name w:val="Block Text"/>
    <w:basedOn w:val="Normal"/>
    <w:semiHidden/>
    <w:rsid w:val="001269C0"/>
    <w:pPr>
      <w:tabs>
        <w:tab w:val="left" w:pos="709"/>
      </w:tabs>
      <w:ind w:left="709" w:right="-283"/>
    </w:pPr>
    <w:rPr>
      <w:rFonts w:ascii="Arial" w:hAnsi="Arial"/>
      <w:sz w:val="22"/>
    </w:rPr>
  </w:style>
  <w:style w:type="paragraph" w:styleId="Caption">
    <w:name w:val="caption"/>
    <w:basedOn w:val="Normal"/>
    <w:next w:val="Normal"/>
    <w:uiPriority w:val="2"/>
    <w:qFormat/>
    <w:rsid w:val="001269C0"/>
    <w:pPr>
      <w:ind w:left="709"/>
    </w:pPr>
    <w:rPr>
      <w:rFonts w:ascii="Arial" w:hAnsi="Arial" w:cs="Arial"/>
      <w:i/>
      <w:iCs/>
    </w:rPr>
  </w:style>
  <w:style w:type="paragraph" w:styleId="BodyText">
    <w:name w:val="Body Text"/>
    <w:basedOn w:val="Normal"/>
    <w:semiHidden/>
    <w:rsid w:val="001269C0"/>
    <w:rPr>
      <w:rFonts w:ascii="Arial" w:hAnsi="Arial" w:cs="Arial"/>
      <w:i/>
      <w:iCs/>
      <w:color w:val="auto"/>
      <w:szCs w:val="24"/>
      <w:lang w:eastAsia="en-US"/>
    </w:rPr>
  </w:style>
  <w:style w:type="paragraph" w:styleId="Title">
    <w:name w:val="Title"/>
    <w:basedOn w:val="Normal"/>
    <w:qFormat/>
    <w:rsid w:val="001269C0"/>
    <w:pPr>
      <w:jc w:val="center"/>
    </w:pPr>
    <w:rPr>
      <w:b/>
      <w:color w:val="auto"/>
      <w:sz w:val="22"/>
      <w:lang w:eastAsia="en-US"/>
    </w:rPr>
  </w:style>
  <w:style w:type="paragraph" w:customStyle="1" w:styleId="Subheading3">
    <w:name w:val="Subheading 3"/>
    <w:basedOn w:val="BodyText"/>
    <w:next w:val="BodyText"/>
    <w:rsid w:val="001269C0"/>
    <w:pPr>
      <w:keepNext/>
      <w:spacing w:before="120" w:after="120"/>
      <w:jc w:val="both"/>
    </w:pPr>
    <w:rPr>
      <w:rFonts w:ascii="Times New Roman" w:hAnsi="Times New Roman" w:cs="Times New Roman"/>
      <w:i w:val="0"/>
      <w:iCs w:val="0"/>
      <w:szCs w:val="20"/>
      <w:u w:val="single"/>
    </w:rPr>
  </w:style>
  <w:style w:type="paragraph" w:styleId="NormalWeb">
    <w:name w:val="Normal (Web)"/>
    <w:basedOn w:val="Normal"/>
    <w:semiHidden/>
    <w:rsid w:val="001269C0"/>
    <w:pPr>
      <w:spacing w:before="100" w:beforeAutospacing="1" w:after="100" w:afterAutospacing="1"/>
    </w:pPr>
    <w:rPr>
      <w:rFonts w:eastAsia="Arial Unicode MS"/>
      <w:color w:val="auto"/>
      <w:szCs w:val="24"/>
      <w:lang w:eastAsia="en-US"/>
    </w:rPr>
  </w:style>
  <w:style w:type="paragraph" w:styleId="BalloonText">
    <w:name w:val="Balloon Text"/>
    <w:basedOn w:val="Normal"/>
    <w:link w:val="BalloonTextChar"/>
    <w:uiPriority w:val="99"/>
    <w:semiHidden/>
    <w:unhideWhenUsed/>
    <w:rsid w:val="00170827"/>
    <w:rPr>
      <w:rFonts w:ascii="Tahoma" w:hAnsi="Tahoma" w:cs="Tahoma"/>
      <w:sz w:val="16"/>
      <w:szCs w:val="16"/>
    </w:rPr>
  </w:style>
  <w:style w:type="character" w:customStyle="1" w:styleId="BalloonTextChar">
    <w:name w:val="Balloon Text Char"/>
    <w:basedOn w:val="DefaultParagraphFont"/>
    <w:link w:val="BalloonText"/>
    <w:uiPriority w:val="99"/>
    <w:semiHidden/>
    <w:rsid w:val="00170827"/>
    <w:rPr>
      <w:rFonts w:ascii="Tahoma" w:hAnsi="Tahoma" w:cs="Tahoma"/>
      <w:color w:val="000000"/>
      <w:sz w:val="16"/>
      <w:szCs w:val="16"/>
      <w:lang w:val="en-GB" w:eastAsia="de-DE"/>
    </w:rPr>
  </w:style>
  <w:style w:type="character" w:styleId="CommentReference">
    <w:name w:val="annotation reference"/>
    <w:basedOn w:val="DefaultParagraphFont"/>
    <w:uiPriority w:val="99"/>
    <w:semiHidden/>
    <w:unhideWhenUsed/>
    <w:rsid w:val="005A3058"/>
    <w:rPr>
      <w:sz w:val="16"/>
      <w:szCs w:val="16"/>
    </w:rPr>
  </w:style>
  <w:style w:type="paragraph" w:styleId="CommentText">
    <w:name w:val="annotation text"/>
    <w:basedOn w:val="Normal"/>
    <w:link w:val="CommentTextChar"/>
    <w:uiPriority w:val="99"/>
    <w:unhideWhenUsed/>
    <w:rsid w:val="005A3058"/>
    <w:pPr>
      <w:spacing w:after="200"/>
    </w:pPr>
    <w:rPr>
      <w:rFonts w:ascii="Calibri" w:eastAsia="Calibri" w:hAnsi="Calibri"/>
      <w:color w:val="auto"/>
      <w:sz w:val="20"/>
      <w:lang w:val="en-US" w:eastAsia="en-US"/>
    </w:rPr>
  </w:style>
  <w:style w:type="character" w:customStyle="1" w:styleId="CommentTextChar">
    <w:name w:val="Comment Text Char"/>
    <w:basedOn w:val="DefaultParagraphFont"/>
    <w:link w:val="CommentText"/>
    <w:uiPriority w:val="99"/>
    <w:rsid w:val="005A3058"/>
    <w:rPr>
      <w:rFonts w:ascii="Calibri" w:eastAsia="Calibri" w:hAnsi="Calibri" w:cs="Times New Roman"/>
      <w:lang w:val="en-US" w:eastAsia="en-US"/>
    </w:rPr>
  </w:style>
  <w:style w:type="paragraph" w:styleId="CommentSubject">
    <w:name w:val="annotation subject"/>
    <w:basedOn w:val="CommentText"/>
    <w:next w:val="CommentText"/>
    <w:link w:val="CommentSubjectChar"/>
    <w:uiPriority w:val="99"/>
    <w:semiHidden/>
    <w:unhideWhenUsed/>
    <w:rsid w:val="00352062"/>
    <w:pPr>
      <w:spacing w:after="0"/>
    </w:pPr>
    <w:rPr>
      <w:rFonts w:ascii="Times New Roman" w:eastAsia="Times New Roman" w:hAnsi="Times New Roman"/>
      <w:b/>
      <w:bCs/>
      <w:color w:val="000000"/>
      <w:lang w:val="en-GB" w:eastAsia="de-DE"/>
    </w:rPr>
  </w:style>
  <w:style w:type="character" w:customStyle="1" w:styleId="CommentSubjectChar">
    <w:name w:val="Comment Subject Char"/>
    <w:basedOn w:val="CommentTextChar"/>
    <w:link w:val="CommentSubject"/>
    <w:uiPriority w:val="99"/>
    <w:semiHidden/>
    <w:rsid w:val="00352062"/>
    <w:rPr>
      <w:rFonts w:ascii="Times New Roman" w:eastAsia="Calibri" w:hAnsi="Times New Roman" w:cs="Times New Roman"/>
      <w:b/>
      <w:bCs/>
      <w:color w:val="000000"/>
      <w:lang w:val="en-GB" w:eastAsia="de-DE"/>
    </w:rPr>
  </w:style>
  <w:style w:type="paragraph" w:customStyle="1" w:styleId="Textkrper21">
    <w:name w:val="Textkörper 21"/>
    <w:basedOn w:val="Normal"/>
    <w:rsid w:val="004E4E2D"/>
    <w:pPr>
      <w:ind w:left="709"/>
    </w:pPr>
    <w:rPr>
      <w:rFonts w:ascii="Arial" w:hAnsi="Arial"/>
    </w:rPr>
  </w:style>
  <w:style w:type="character" w:customStyle="1" w:styleId="TextTi12Char">
    <w:name w:val="Text:Ti12 Char"/>
    <w:basedOn w:val="DefaultParagraphFont"/>
    <w:link w:val="TextTi12"/>
    <w:locked/>
    <w:rsid w:val="00E74444"/>
    <w:rPr>
      <w:rFonts w:ascii="Times New Roman" w:hAnsi="Times New Roman"/>
    </w:rPr>
  </w:style>
  <w:style w:type="paragraph" w:customStyle="1" w:styleId="TextTi12">
    <w:name w:val="Text:Ti12"/>
    <w:basedOn w:val="Normal"/>
    <w:link w:val="TextTi12Char"/>
    <w:rsid w:val="00E74444"/>
    <w:pPr>
      <w:spacing w:after="170" w:line="280" w:lineRule="atLeast"/>
      <w:jc w:val="both"/>
    </w:pPr>
    <w:rPr>
      <w:color w:val="auto"/>
      <w:sz w:val="20"/>
      <w:lang w:val="de-CH" w:eastAsia="de-CH"/>
    </w:rPr>
  </w:style>
  <w:style w:type="paragraph" w:styleId="ListParagraph">
    <w:name w:val="List Paragraph"/>
    <w:basedOn w:val="Normal"/>
    <w:uiPriority w:val="34"/>
    <w:qFormat/>
    <w:rsid w:val="00920DAF"/>
    <w:pPr>
      <w:ind w:left="720"/>
      <w:contextualSpacing/>
    </w:pPr>
  </w:style>
  <w:style w:type="character" w:customStyle="1" w:styleId="FooterChar">
    <w:name w:val="Footer Char"/>
    <w:basedOn w:val="DefaultParagraphFont"/>
    <w:link w:val="Footer"/>
    <w:semiHidden/>
    <w:rsid w:val="005F5697"/>
    <w:rPr>
      <w:rFonts w:ascii="Times New Roman" w:hAnsi="Times New Roman"/>
      <w:color w:val="000000"/>
      <w:sz w:val="24"/>
      <w:lang w:val="en-GB" w:eastAsia="de-DE"/>
    </w:rPr>
  </w:style>
  <w:style w:type="paragraph" w:styleId="Revision">
    <w:name w:val="Revision"/>
    <w:hidden/>
    <w:uiPriority w:val="99"/>
    <w:semiHidden/>
    <w:rsid w:val="001E74C6"/>
    <w:rPr>
      <w:rFonts w:ascii="Times New Roman" w:hAnsi="Times New Roman"/>
      <w:color w:val="000000"/>
      <w:sz w:val="24"/>
      <w:lang w:val="en-GB" w:eastAsia="de-DE"/>
    </w:rPr>
  </w:style>
  <w:style w:type="paragraph" w:customStyle="1" w:styleId="Body12">
    <w:name w:val="Body 12"/>
    <w:link w:val="Body12Char"/>
    <w:qFormat/>
    <w:rsid w:val="008C5B14"/>
    <w:pPr>
      <w:spacing w:after="240" w:line="264" w:lineRule="auto"/>
      <w:jc w:val="both"/>
    </w:pPr>
    <w:rPr>
      <w:rFonts w:ascii="Times New Roman" w:eastAsia="SimSun" w:hAnsi="Times New Roman"/>
      <w:sz w:val="24"/>
      <w:szCs w:val="32"/>
      <w:lang w:val="en-GB" w:eastAsia="en-CA"/>
    </w:rPr>
  </w:style>
  <w:style w:type="character" w:customStyle="1" w:styleId="Body12Char">
    <w:name w:val="Body 12 Char"/>
    <w:basedOn w:val="DefaultParagraphFont"/>
    <w:link w:val="Body12"/>
    <w:rsid w:val="008C5B14"/>
    <w:rPr>
      <w:rFonts w:ascii="Times New Roman" w:eastAsia="SimSun" w:hAnsi="Times New Roman"/>
      <w:sz w:val="24"/>
      <w:szCs w:val="32"/>
      <w:lang w:val="en-GB" w:eastAsia="en-CA"/>
    </w:rPr>
  </w:style>
  <w:style w:type="paragraph" w:customStyle="1" w:styleId="Body10">
    <w:name w:val="Body 10"/>
    <w:basedOn w:val="Body12"/>
    <w:uiPriority w:val="2"/>
    <w:qFormat/>
    <w:rsid w:val="00F17DF1"/>
    <w:pPr>
      <w:spacing w:after="0" w:line="240" w:lineRule="auto"/>
      <w:jc w:val="left"/>
    </w:pPr>
    <w:rPr>
      <w:sz w:val="20"/>
      <w:szCs w:val="20"/>
      <w:lang w:val="en-US"/>
    </w:rPr>
  </w:style>
  <w:style w:type="paragraph" w:customStyle="1" w:styleId="TableNotes">
    <w:name w:val="Table Notes"/>
    <w:basedOn w:val="Normal"/>
    <w:uiPriority w:val="2"/>
    <w:rsid w:val="00F17DF1"/>
    <w:pPr>
      <w:tabs>
        <w:tab w:val="left" w:pos="540"/>
      </w:tabs>
      <w:ind w:left="540" w:hanging="540"/>
    </w:pPr>
    <w:rPr>
      <w:rFonts w:eastAsia="SimSun"/>
      <w:color w:val="auto"/>
      <w:sz w:val="16"/>
      <w:szCs w:val="16"/>
      <w:lang w:val="en-US" w:eastAsia="en-CA"/>
    </w:rPr>
  </w:style>
  <w:style w:type="paragraph" w:styleId="PlainText">
    <w:name w:val="Plain Text"/>
    <w:basedOn w:val="Normal"/>
    <w:link w:val="PlainTextChar"/>
    <w:uiPriority w:val="99"/>
    <w:unhideWhenUsed/>
    <w:rsid w:val="008D41C4"/>
    <w:rPr>
      <w:rFonts w:ascii="Consolas" w:eastAsiaTheme="minorHAnsi" w:hAnsi="Consolas" w:cs="Consolas"/>
      <w:color w:val="auto"/>
      <w:sz w:val="21"/>
      <w:szCs w:val="21"/>
      <w:lang w:val="en-US" w:eastAsia="en-US"/>
    </w:rPr>
  </w:style>
  <w:style w:type="character" w:customStyle="1" w:styleId="PlainTextChar">
    <w:name w:val="Plain Text Char"/>
    <w:basedOn w:val="DefaultParagraphFont"/>
    <w:link w:val="PlainText"/>
    <w:uiPriority w:val="99"/>
    <w:rsid w:val="008D41C4"/>
    <w:rPr>
      <w:rFonts w:ascii="Consolas" w:eastAsiaTheme="minorHAnsi" w:hAnsi="Consolas" w:cs="Consolas"/>
      <w:sz w:val="21"/>
      <w:szCs w:val="21"/>
      <w:lang w:val="en-US" w:eastAsia="en-US"/>
    </w:rPr>
  </w:style>
  <w:style w:type="table" w:styleId="TableGrid">
    <w:name w:val="Table Grid"/>
    <w:basedOn w:val="TableNormal"/>
    <w:uiPriority w:val="59"/>
    <w:rsid w:val="008D41C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54EE2"/>
    <w:pPr>
      <w:autoSpaceDE w:val="0"/>
      <w:autoSpaceDN w:val="0"/>
      <w:adjustRightInd w:val="0"/>
    </w:pPr>
    <w:rPr>
      <w:rFonts w:ascii="Times New Roman" w:hAnsi="Times New Roman"/>
      <w:color w:val="000000"/>
      <w:sz w:val="24"/>
      <w:szCs w:val="24"/>
      <w:lang w:val="en-US"/>
    </w:rPr>
  </w:style>
  <w:style w:type="table" w:customStyle="1" w:styleId="TableGrid1">
    <w:name w:val="Table Grid1"/>
    <w:basedOn w:val="TableNormal"/>
    <w:next w:val="TableGrid"/>
    <w:uiPriority w:val="59"/>
    <w:rsid w:val="00A64D4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nePrinter" w:eastAsia="Times New Roman" w:hAnsi="LinePrinter"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2"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C33"/>
    <w:rPr>
      <w:rFonts w:ascii="Times New Roman" w:hAnsi="Times New Roman"/>
      <w:color w:val="000000"/>
      <w:sz w:val="24"/>
      <w:lang w:val="en-GB" w:eastAsia="de-DE"/>
    </w:rPr>
  </w:style>
  <w:style w:type="paragraph" w:styleId="Heading1">
    <w:name w:val="heading 1"/>
    <w:basedOn w:val="Normal"/>
    <w:next w:val="Normal"/>
    <w:qFormat/>
    <w:rsid w:val="006B788F"/>
    <w:pPr>
      <w:keepNext/>
      <w:outlineLvl w:val="0"/>
    </w:pPr>
    <w:rPr>
      <w:b/>
    </w:rPr>
  </w:style>
  <w:style w:type="paragraph" w:styleId="Heading2">
    <w:name w:val="heading 2"/>
    <w:basedOn w:val="Normal"/>
    <w:next w:val="Normal"/>
    <w:qFormat/>
    <w:rsid w:val="001A776D"/>
    <w:pPr>
      <w:keepNext/>
      <w:outlineLvl w:val="1"/>
    </w:pPr>
    <w:rPr>
      <w:b/>
      <w:noProof/>
    </w:rPr>
  </w:style>
  <w:style w:type="paragraph" w:styleId="Heading3">
    <w:name w:val="heading 3"/>
    <w:basedOn w:val="Normal"/>
    <w:next w:val="Normal"/>
    <w:qFormat/>
    <w:rsid w:val="006B788F"/>
    <w:pPr>
      <w:keepNext/>
      <w:outlineLvl w:val="2"/>
    </w:pPr>
    <w:rPr>
      <w:bCs/>
      <w:u w:val="single"/>
    </w:rPr>
  </w:style>
  <w:style w:type="paragraph" w:styleId="Heading4">
    <w:name w:val="heading 4"/>
    <w:basedOn w:val="Normal"/>
    <w:next w:val="Normal"/>
    <w:qFormat/>
    <w:rsid w:val="001269C0"/>
    <w:pPr>
      <w:keepNext/>
      <w:spacing w:before="240" w:after="60"/>
      <w:outlineLvl w:val="3"/>
    </w:pPr>
    <w:rPr>
      <w:b/>
      <w:i/>
    </w:rPr>
  </w:style>
  <w:style w:type="paragraph" w:styleId="Heading5">
    <w:name w:val="heading 5"/>
    <w:basedOn w:val="Heading4"/>
    <w:next w:val="Normal"/>
    <w:qFormat/>
    <w:rsid w:val="001269C0"/>
    <w:pPr>
      <w:ind w:left="1571" w:hanging="720"/>
      <w:outlineLvl w:val="4"/>
    </w:pPr>
    <w:rPr>
      <w:rFonts w:ascii="Arial" w:hAnsi="Arial"/>
      <w:color w:val="auto"/>
      <w:sz w:val="22"/>
    </w:rPr>
  </w:style>
  <w:style w:type="paragraph" w:styleId="Heading6">
    <w:name w:val="heading 6"/>
    <w:basedOn w:val="Normal"/>
    <w:next w:val="Normal"/>
    <w:qFormat/>
    <w:rsid w:val="001269C0"/>
    <w:pPr>
      <w:keepNext/>
      <w:ind w:left="709"/>
      <w:outlineLvl w:val="5"/>
    </w:pPr>
    <w:rPr>
      <w:rFonts w:ascii="Arial" w:hAnsi="Arial"/>
      <w:b/>
      <w:bCs/>
    </w:rPr>
  </w:style>
  <w:style w:type="paragraph" w:styleId="Heading7">
    <w:name w:val="heading 7"/>
    <w:basedOn w:val="Normal"/>
    <w:next w:val="Normal"/>
    <w:qFormat/>
    <w:rsid w:val="001269C0"/>
    <w:pPr>
      <w:keepNext/>
      <w:ind w:left="3600" w:right="-284" w:hanging="2891"/>
      <w:outlineLvl w:val="6"/>
    </w:pPr>
    <w:rPr>
      <w:rFonts w:ascii="Arial" w:hAnsi="Arial" w:cs="Arial"/>
      <w:b/>
      <w:bCs/>
      <w:sz w:val="20"/>
    </w:rPr>
  </w:style>
  <w:style w:type="paragraph" w:styleId="Heading8">
    <w:name w:val="heading 8"/>
    <w:basedOn w:val="Normal"/>
    <w:next w:val="Normal"/>
    <w:qFormat/>
    <w:rsid w:val="001269C0"/>
    <w:pPr>
      <w:keepNext/>
      <w:jc w:val="both"/>
      <w:outlineLvl w:val="7"/>
    </w:pPr>
    <w:rPr>
      <w:rFonts w:ascii="CG Omega" w:hAnsi="CG Omega"/>
      <w:b/>
      <w:color w:val="auto"/>
      <w:lang w:val="fr-FR"/>
    </w:rPr>
  </w:style>
  <w:style w:type="paragraph" w:styleId="Heading9">
    <w:name w:val="heading 9"/>
    <w:basedOn w:val="Normal"/>
    <w:next w:val="Normal"/>
    <w:qFormat/>
    <w:rsid w:val="001269C0"/>
    <w:pPr>
      <w:keepNext/>
      <w:jc w:val="both"/>
      <w:outlineLvl w:val="8"/>
    </w:pPr>
    <w:rPr>
      <w:rFonts w:ascii="CG Omega" w:hAnsi="CG Omega"/>
      <w:i/>
      <w:color w:val="auto"/>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1269C0"/>
    <w:pPr>
      <w:tabs>
        <w:tab w:val="center" w:pos="4153"/>
        <w:tab w:val="right" w:pos="8306"/>
      </w:tabs>
    </w:pPr>
  </w:style>
  <w:style w:type="paragraph" w:styleId="Header">
    <w:name w:val="header"/>
    <w:basedOn w:val="Normal"/>
    <w:semiHidden/>
    <w:rsid w:val="001269C0"/>
    <w:pPr>
      <w:tabs>
        <w:tab w:val="center" w:pos="4153"/>
        <w:tab w:val="right" w:pos="8306"/>
      </w:tabs>
    </w:pPr>
  </w:style>
  <w:style w:type="paragraph" w:customStyle="1" w:styleId="Heading1A">
    <w:name w:val="Heading 1A"/>
    <w:basedOn w:val="Normal"/>
    <w:next w:val="Normal"/>
    <w:rsid w:val="001269C0"/>
    <w:rPr>
      <w:rFonts w:ascii="Arial" w:hAnsi="Arial"/>
      <w:b/>
      <w:caps/>
      <w:color w:val="auto"/>
      <w:sz w:val="20"/>
    </w:rPr>
  </w:style>
  <w:style w:type="paragraph" w:customStyle="1" w:styleId="BodyText21">
    <w:name w:val="Body Text 21"/>
    <w:basedOn w:val="Normal"/>
    <w:rsid w:val="001269C0"/>
    <w:pPr>
      <w:ind w:left="709"/>
    </w:pPr>
    <w:rPr>
      <w:rFonts w:ascii="Arial" w:hAnsi="Arial"/>
    </w:rPr>
  </w:style>
  <w:style w:type="character" w:styleId="PageNumber">
    <w:name w:val="page number"/>
    <w:basedOn w:val="DefaultParagraphFont"/>
    <w:semiHidden/>
    <w:rsid w:val="001269C0"/>
  </w:style>
  <w:style w:type="paragraph" w:customStyle="1" w:styleId="toa">
    <w:name w:val="toa"/>
    <w:basedOn w:val="Normal"/>
    <w:rsid w:val="001269C0"/>
    <w:pPr>
      <w:tabs>
        <w:tab w:val="left" w:pos="9000"/>
        <w:tab w:val="right" w:pos="9360"/>
      </w:tabs>
      <w:suppressAutoHyphens/>
    </w:pPr>
    <w:rPr>
      <w:rFonts w:ascii="Courier New" w:hAnsi="Courier New"/>
      <w:color w:val="auto"/>
      <w:lang w:val="en-US"/>
    </w:rPr>
  </w:style>
  <w:style w:type="paragraph" w:styleId="BodyText3">
    <w:name w:val="Body Text 3"/>
    <w:basedOn w:val="Normal"/>
    <w:semiHidden/>
    <w:rsid w:val="001269C0"/>
    <w:rPr>
      <w:rFonts w:ascii="Arial" w:hAnsi="Arial"/>
      <w:color w:val="auto"/>
      <w:sz w:val="20"/>
    </w:rPr>
  </w:style>
  <w:style w:type="paragraph" w:styleId="BodyTextIndent">
    <w:name w:val="Body Text Indent"/>
    <w:basedOn w:val="Normal"/>
    <w:semiHidden/>
    <w:rsid w:val="001269C0"/>
    <w:pPr>
      <w:keepNext/>
      <w:ind w:left="709"/>
    </w:pPr>
    <w:rPr>
      <w:rFonts w:ascii="Arial" w:hAnsi="Arial"/>
      <w:b/>
      <w:i/>
    </w:rPr>
  </w:style>
  <w:style w:type="paragraph" w:styleId="BodyTextIndent2">
    <w:name w:val="Body Text Indent 2"/>
    <w:basedOn w:val="Normal"/>
    <w:semiHidden/>
    <w:rsid w:val="001269C0"/>
    <w:pPr>
      <w:ind w:left="284"/>
    </w:pPr>
    <w:rPr>
      <w:rFonts w:ascii="Arial" w:hAnsi="Arial"/>
      <w:color w:val="auto"/>
      <w:sz w:val="22"/>
      <w:lang w:val="en-US"/>
    </w:rPr>
  </w:style>
  <w:style w:type="paragraph" w:styleId="BodyTextIndent3">
    <w:name w:val="Body Text Indent 3"/>
    <w:basedOn w:val="Normal"/>
    <w:semiHidden/>
    <w:rsid w:val="001269C0"/>
    <w:pPr>
      <w:ind w:left="720"/>
    </w:pPr>
    <w:rPr>
      <w:rFonts w:ascii="Arial" w:hAnsi="Arial"/>
      <w:strike/>
    </w:rPr>
  </w:style>
  <w:style w:type="character" w:styleId="Strong">
    <w:name w:val="Strong"/>
    <w:basedOn w:val="DefaultParagraphFont"/>
    <w:qFormat/>
    <w:rsid w:val="001269C0"/>
    <w:rPr>
      <w:b/>
      <w:bCs/>
    </w:rPr>
  </w:style>
  <w:style w:type="character" w:styleId="Hyperlink">
    <w:name w:val="Hyperlink"/>
    <w:basedOn w:val="DefaultParagraphFont"/>
    <w:semiHidden/>
    <w:rsid w:val="001269C0"/>
    <w:rPr>
      <w:strike w:val="0"/>
      <w:dstrike w:val="0"/>
      <w:color w:val="0000FF"/>
      <w:u w:val="none"/>
      <w:effect w:val="none"/>
    </w:rPr>
  </w:style>
  <w:style w:type="character" w:styleId="FollowedHyperlink">
    <w:name w:val="FollowedHyperlink"/>
    <w:basedOn w:val="DefaultParagraphFont"/>
    <w:semiHidden/>
    <w:rsid w:val="001269C0"/>
    <w:rPr>
      <w:color w:val="800080"/>
      <w:u w:val="single"/>
    </w:rPr>
  </w:style>
  <w:style w:type="paragraph" w:styleId="BlockText">
    <w:name w:val="Block Text"/>
    <w:basedOn w:val="Normal"/>
    <w:semiHidden/>
    <w:rsid w:val="001269C0"/>
    <w:pPr>
      <w:tabs>
        <w:tab w:val="left" w:pos="709"/>
      </w:tabs>
      <w:ind w:left="709" w:right="-283"/>
    </w:pPr>
    <w:rPr>
      <w:rFonts w:ascii="Arial" w:hAnsi="Arial"/>
      <w:sz w:val="22"/>
    </w:rPr>
  </w:style>
  <w:style w:type="paragraph" w:styleId="Caption">
    <w:name w:val="caption"/>
    <w:basedOn w:val="Normal"/>
    <w:next w:val="Normal"/>
    <w:uiPriority w:val="2"/>
    <w:qFormat/>
    <w:rsid w:val="001269C0"/>
    <w:pPr>
      <w:ind w:left="709"/>
    </w:pPr>
    <w:rPr>
      <w:rFonts w:ascii="Arial" w:hAnsi="Arial" w:cs="Arial"/>
      <w:i/>
      <w:iCs/>
    </w:rPr>
  </w:style>
  <w:style w:type="paragraph" w:styleId="BodyText">
    <w:name w:val="Body Text"/>
    <w:basedOn w:val="Normal"/>
    <w:semiHidden/>
    <w:rsid w:val="001269C0"/>
    <w:rPr>
      <w:rFonts w:ascii="Arial" w:hAnsi="Arial" w:cs="Arial"/>
      <w:i/>
      <w:iCs/>
      <w:color w:val="auto"/>
      <w:szCs w:val="24"/>
      <w:lang w:eastAsia="en-US"/>
    </w:rPr>
  </w:style>
  <w:style w:type="paragraph" w:styleId="Title">
    <w:name w:val="Title"/>
    <w:basedOn w:val="Normal"/>
    <w:qFormat/>
    <w:rsid w:val="001269C0"/>
    <w:pPr>
      <w:jc w:val="center"/>
    </w:pPr>
    <w:rPr>
      <w:b/>
      <w:color w:val="auto"/>
      <w:sz w:val="22"/>
      <w:lang w:eastAsia="en-US"/>
    </w:rPr>
  </w:style>
  <w:style w:type="paragraph" w:customStyle="1" w:styleId="Subheading3">
    <w:name w:val="Subheading 3"/>
    <w:basedOn w:val="BodyText"/>
    <w:next w:val="BodyText"/>
    <w:rsid w:val="001269C0"/>
    <w:pPr>
      <w:keepNext/>
      <w:spacing w:before="120" w:after="120"/>
      <w:jc w:val="both"/>
    </w:pPr>
    <w:rPr>
      <w:rFonts w:ascii="Times New Roman" w:hAnsi="Times New Roman" w:cs="Times New Roman"/>
      <w:i w:val="0"/>
      <w:iCs w:val="0"/>
      <w:szCs w:val="20"/>
      <w:u w:val="single"/>
    </w:rPr>
  </w:style>
  <w:style w:type="paragraph" w:styleId="NormalWeb">
    <w:name w:val="Normal (Web)"/>
    <w:basedOn w:val="Normal"/>
    <w:semiHidden/>
    <w:rsid w:val="001269C0"/>
    <w:pPr>
      <w:spacing w:before="100" w:beforeAutospacing="1" w:after="100" w:afterAutospacing="1"/>
    </w:pPr>
    <w:rPr>
      <w:rFonts w:eastAsia="Arial Unicode MS"/>
      <w:color w:val="auto"/>
      <w:szCs w:val="24"/>
      <w:lang w:eastAsia="en-US"/>
    </w:rPr>
  </w:style>
  <w:style w:type="paragraph" w:styleId="BalloonText">
    <w:name w:val="Balloon Text"/>
    <w:basedOn w:val="Normal"/>
    <w:link w:val="BalloonTextChar"/>
    <w:uiPriority w:val="99"/>
    <w:semiHidden/>
    <w:unhideWhenUsed/>
    <w:rsid w:val="00170827"/>
    <w:rPr>
      <w:rFonts w:ascii="Tahoma" w:hAnsi="Tahoma" w:cs="Tahoma"/>
      <w:sz w:val="16"/>
      <w:szCs w:val="16"/>
    </w:rPr>
  </w:style>
  <w:style w:type="character" w:customStyle="1" w:styleId="BalloonTextChar">
    <w:name w:val="Balloon Text Char"/>
    <w:basedOn w:val="DefaultParagraphFont"/>
    <w:link w:val="BalloonText"/>
    <w:uiPriority w:val="99"/>
    <w:semiHidden/>
    <w:rsid w:val="00170827"/>
    <w:rPr>
      <w:rFonts w:ascii="Tahoma" w:hAnsi="Tahoma" w:cs="Tahoma"/>
      <w:color w:val="000000"/>
      <w:sz w:val="16"/>
      <w:szCs w:val="16"/>
      <w:lang w:val="en-GB" w:eastAsia="de-DE"/>
    </w:rPr>
  </w:style>
  <w:style w:type="character" w:styleId="CommentReference">
    <w:name w:val="annotation reference"/>
    <w:basedOn w:val="DefaultParagraphFont"/>
    <w:uiPriority w:val="99"/>
    <w:semiHidden/>
    <w:unhideWhenUsed/>
    <w:rsid w:val="005A3058"/>
    <w:rPr>
      <w:sz w:val="16"/>
      <w:szCs w:val="16"/>
    </w:rPr>
  </w:style>
  <w:style w:type="paragraph" w:styleId="CommentText">
    <w:name w:val="annotation text"/>
    <w:basedOn w:val="Normal"/>
    <w:link w:val="CommentTextChar"/>
    <w:uiPriority w:val="99"/>
    <w:unhideWhenUsed/>
    <w:rsid w:val="005A3058"/>
    <w:pPr>
      <w:spacing w:after="200"/>
    </w:pPr>
    <w:rPr>
      <w:rFonts w:ascii="Calibri" w:eastAsia="Calibri" w:hAnsi="Calibri"/>
      <w:color w:val="auto"/>
      <w:sz w:val="20"/>
      <w:lang w:val="en-US" w:eastAsia="en-US"/>
    </w:rPr>
  </w:style>
  <w:style w:type="character" w:customStyle="1" w:styleId="CommentTextChar">
    <w:name w:val="Comment Text Char"/>
    <w:basedOn w:val="DefaultParagraphFont"/>
    <w:link w:val="CommentText"/>
    <w:uiPriority w:val="99"/>
    <w:rsid w:val="005A3058"/>
    <w:rPr>
      <w:rFonts w:ascii="Calibri" w:eastAsia="Calibri" w:hAnsi="Calibri" w:cs="Times New Roman"/>
      <w:lang w:val="en-US" w:eastAsia="en-US"/>
    </w:rPr>
  </w:style>
  <w:style w:type="paragraph" w:styleId="CommentSubject">
    <w:name w:val="annotation subject"/>
    <w:basedOn w:val="CommentText"/>
    <w:next w:val="CommentText"/>
    <w:link w:val="CommentSubjectChar"/>
    <w:uiPriority w:val="99"/>
    <w:semiHidden/>
    <w:unhideWhenUsed/>
    <w:rsid w:val="00352062"/>
    <w:pPr>
      <w:spacing w:after="0"/>
    </w:pPr>
    <w:rPr>
      <w:rFonts w:ascii="Times New Roman" w:eastAsia="Times New Roman" w:hAnsi="Times New Roman"/>
      <w:b/>
      <w:bCs/>
      <w:color w:val="000000"/>
      <w:lang w:val="en-GB" w:eastAsia="de-DE"/>
    </w:rPr>
  </w:style>
  <w:style w:type="character" w:customStyle="1" w:styleId="CommentSubjectChar">
    <w:name w:val="Comment Subject Char"/>
    <w:basedOn w:val="CommentTextChar"/>
    <w:link w:val="CommentSubject"/>
    <w:uiPriority w:val="99"/>
    <w:semiHidden/>
    <w:rsid w:val="00352062"/>
    <w:rPr>
      <w:rFonts w:ascii="Times New Roman" w:eastAsia="Calibri" w:hAnsi="Times New Roman" w:cs="Times New Roman"/>
      <w:b/>
      <w:bCs/>
      <w:color w:val="000000"/>
      <w:lang w:val="en-GB" w:eastAsia="de-DE"/>
    </w:rPr>
  </w:style>
  <w:style w:type="paragraph" w:customStyle="1" w:styleId="Textkrper21">
    <w:name w:val="Textkörper 21"/>
    <w:basedOn w:val="Normal"/>
    <w:rsid w:val="004E4E2D"/>
    <w:pPr>
      <w:ind w:left="709"/>
    </w:pPr>
    <w:rPr>
      <w:rFonts w:ascii="Arial" w:hAnsi="Arial"/>
    </w:rPr>
  </w:style>
  <w:style w:type="character" w:customStyle="1" w:styleId="TextTi12Char">
    <w:name w:val="Text:Ti12 Char"/>
    <w:basedOn w:val="DefaultParagraphFont"/>
    <w:link w:val="TextTi12"/>
    <w:locked/>
    <w:rsid w:val="00E74444"/>
    <w:rPr>
      <w:rFonts w:ascii="Times New Roman" w:hAnsi="Times New Roman"/>
    </w:rPr>
  </w:style>
  <w:style w:type="paragraph" w:customStyle="1" w:styleId="TextTi12">
    <w:name w:val="Text:Ti12"/>
    <w:basedOn w:val="Normal"/>
    <w:link w:val="TextTi12Char"/>
    <w:rsid w:val="00E74444"/>
    <w:pPr>
      <w:spacing w:after="170" w:line="280" w:lineRule="atLeast"/>
      <w:jc w:val="both"/>
    </w:pPr>
    <w:rPr>
      <w:color w:val="auto"/>
      <w:sz w:val="20"/>
      <w:lang w:val="de-CH" w:eastAsia="de-CH"/>
    </w:rPr>
  </w:style>
  <w:style w:type="paragraph" w:styleId="ListParagraph">
    <w:name w:val="List Paragraph"/>
    <w:basedOn w:val="Normal"/>
    <w:uiPriority w:val="34"/>
    <w:qFormat/>
    <w:rsid w:val="00920DAF"/>
    <w:pPr>
      <w:ind w:left="720"/>
      <w:contextualSpacing/>
    </w:pPr>
  </w:style>
  <w:style w:type="character" w:customStyle="1" w:styleId="FooterChar">
    <w:name w:val="Footer Char"/>
    <w:basedOn w:val="DefaultParagraphFont"/>
    <w:link w:val="Footer"/>
    <w:semiHidden/>
    <w:rsid w:val="005F5697"/>
    <w:rPr>
      <w:rFonts w:ascii="Times New Roman" w:hAnsi="Times New Roman"/>
      <w:color w:val="000000"/>
      <w:sz w:val="24"/>
      <w:lang w:val="en-GB" w:eastAsia="de-DE"/>
    </w:rPr>
  </w:style>
  <w:style w:type="paragraph" w:styleId="Revision">
    <w:name w:val="Revision"/>
    <w:hidden/>
    <w:uiPriority w:val="99"/>
    <w:semiHidden/>
    <w:rsid w:val="001E74C6"/>
    <w:rPr>
      <w:rFonts w:ascii="Times New Roman" w:hAnsi="Times New Roman"/>
      <w:color w:val="000000"/>
      <w:sz w:val="24"/>
      <w:lang w:val="en-GB" w:eastAsia="de-DE"/>
    </w:rPr>
  </w:style>
  <w:style w:type="paragraph" w:customStyle="1" w:styleId="Body12">
    <w:name w:val="Body 12"/>
    <w:link w:val="Body12Char"/>
    <w:qFormat/>
    <w:rsid w:val="008C5B14"/>
    <w:pPr>
      <w:spacing w:after="240" w:line="264" w:lineRule="auto"/>
      <w:jc w:val="both"/>
    </w:pPr>
    <w:rPr>
      <w:rFonts w:ascii="Times New Roman" w:eastAsia="SimSun" w:hAnsi="Times New Roman"/>
      <w:sz w:val="24"/>
      <w:szCs w:val="32"/>
      <w:lang w:val="en-GB" w:eastAsia="en-CA"/>
    </w:rPr>
  </w:style>
  <w:style w:type="character" w:customStyle="1" w:styleId="Body12Char">
    <w:name w:val="Body 12 Char"/>
    <w:basedOn w:val="DefaultParagraphFont"/>
    <w:link w:val="Body12"/>
    <w:rsid w:val="008C5B14"/>
    <w:rPr>
      <w:rFonts w:ascii="Times New Roman" w:eastAsia="SimSun" w:hAnsi="Times New Roman"/>
      <w:sz w:val="24"/>
      <w:szCs w:val="32"/>
      <w:lang w:val="en-GB" w:eastAsia="en-CA"/>
    </w:rPr>
  </w:style>
  <w:style w:type="paragraph" w:customStyle="1" w:styleId="Body10">
    <w:name w:val="Body 10"/>
    <w:basedOn w:val="Body12"/>
    <w:uiPriority w:val="2"/>
    <w:qFormat/>
    <w:rsid w:val="00F17DF1"/>
    <w:pPr>
      <w:spacing w:after="0" w:line="240" w:lineRule="auto"/>
      <w:jc w:val="left"/>
    </w:pPr>
    <w:rPr>
      <w:sz w:val="20"/>
      <w:szCs w:val="20"/>
      <w:lang w:val="en-US"/>
    </w:rPr>
  </w:style>
  <w:style w:type="paragraph" w:customStyle="1" w:styleId="TableNotes">
    <w:name w:val="Table Notes"/>
    <w:basedOn w:val="Normal"/>
    <w:uiPriority w:val="2"/>
    <w:rsid w:val="00F17DF1"/>
    <w:pPr>
      <w:tabs>
        <w:tab w:val="left" w:pos="540"/>
      </w:tabs>
      <w:ind w:left="540" w:hanging="540"/>
    </w:pPr>
    <w:rPr>
      <w:rFonts w:eastAsia="SimSun"/>
      <w:color w:val="auto"/>
      <w:sz w:val="16"/>
      <w:szCs w:val="16"/>
      <w:lang w:val="en-US" w:eastAsia="en-CA"/>
    </w:rPr>
  </w:style>
  <w:style w:type="paragraph" w:styleId="PlainText">
    <w:name w:val="Plain Text"/>
    <w:basedOn w:val="Normal"/>
    <w:link w:val="PlainTextChar"/>
    <w:uiPriority w:val="99"/>
    <w:unhideWhenUsed/>
    <w:rsid w:val="008D41C4"/>
    <w:rPr>
      <w:rFonts w:ascii="Consolas" w:eastAsiaTheme="minorHAnsi" w:hAnsi="Consolas" w:cs="Consolas"/>
      <w:color w:val="auto"/>
      <w:sz w:val="21"/>
      <w:szCs w:val="21"/>
      <w:lang w:val="en-US" w:eastAsia="en-US"/>
    </w:rPr>
  </w:style>
  <w:style w:type="character" w:customStyle="1" w:styleId="PlainTextChar">
    <w:name w:val="Plain Text Char"/>
    <w:basedOn w:val="DefaultParagraphFont"/>
    <w:link w:val="PlainText"/>
    <w:uiPriority w:val="99"/>
    <w:rsid w:val="008D41C4"/>
    <w:rPr>
      <w:rFonts w:ascii="Consolas" w:eastAsiaTheme="minorHAnsi" w:hAnsi="Consolas" w:cs="Consolas"/>
      <w:sz w:val="21"/>
      <w:szCs w:val="21"/>
      <w:lang w:val="en-US" w:eastAsia="en-US"/>
    </w:rPr>
  </w:style>
  <w:style w:type="table" w:styleId="TableGrid">
    <w:name w:val="Table Grid"/>
    <w:basedOn w:val="TableNormal"/>
    <w:uiPriority w:val="59"/>
    <w:rsid w:val="008D41C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54EE2"/>
    <w:pPr>
      <w:autoSpaceDE w:val="0"/>
      <w:autoSpaceDN w:val="0"/>
      <w:adjustRightInd w:val="0"/>
    </w:pPr>
    <w:rPr>
      <w:rFonts w:ascii="Times New Roman" w:hAnsi="Times New Roman"/>
      <w:color w:val="000000"/>
      <w:sz w:val="24"/>
      <w:szCs w:val="24"/>
      <w:lang w:val="en-US"/>
    </w:rPr>
  </w:style>
  <w:style w:type="table" w:customStyle="1" w:styleId="TableGrid1">
    <w:name w:val="Table Grid1"/>
    <w:basedOn w:val="TableNormal"/>
    <w:next w:val="TableGrid"/>
    <w:uiPriority w:val="59"/>
    <w:rsid w:val="00A64D4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269339">
      <w:bodyDiv w:val="1"/>
      <w:marLeft w:val="0"/>
      <w:marRight w:val="0"/>
      <w:marTop w:val="0"/>
      <w:marBottom w:val="0"/>
      <w:divBdr>
        <w:top w:val="none" w:sz="0" w:space="0" w:color="auto"/>
        <w:left w:val="none" w:sz="0" w:space="0" w:color="auto"/>
        <w:bottom w:val="none" w:sz="0" w:space="0" w:color="auto"/>
        <w:right w:val="none" w:sz="0" w:space="0" w:color="auto"/>
      </w:divBdr>
    </w:div>
    <w:div w:id="1065953938">
      <w:bodyDiv w:val="1"/>
      <w:marLeft w:val="0"/>
      <w:marRight w:val="0"/>
      <w:marTop w:val="0"/>
      <w:marBottom w:val="0"/>
      <w:divBdr>
        <w:top w:val="none" w:sz="0" w:space="0" w:color="auto"/>
        <w:left w:val="none" w:sz="0" w:space="0" w:color="auto"/>
        <w:bottom w:val="none" w:sz="0" w:space="0" w:color="auto"/>
        <w:right w:val="none" w:sz="0" w:space="0" w:color="auto"/>
      </w:divBdr>
    </w:div>
    <w:div w:id="119203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8916-1A33-4A6C-81BB-E5E623A11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3007</Words>
  <Characters>17737</Characters>
  <Application>Microsoft Office Word</Application>
  <DocSecurity>0</DocSecurity>
  <Lines>147</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AusPAR Attachment 1: Product Information for Velphoro</vt:lpstr>
      <vt:lpstr>Summary of Product Characteristics</vt:lpstr>
    </vt:vector>
  </TitlesOfParts>
  <Company>Vifor Pharma Pty Ltd</Company>
  <LinksUpToDate>false</LinksUpToDate>
  <CharactersWithSpaces>20703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Velphoro</dc:title>
  <dc:subject>prescription medicine regulation</dc:subject>
  <dc:creator>Vifor Pharma Pty Ltd</dc:creator>
  <cp:keywords>product information, auspar, prescription, medicine, assessment, regulation, australia, sucroferric, oxyhydroxide, velphoro, vifor, pharma</cp:keywords>
  <cp:lastModifiedBy>Searson, Lisa</cp:lastModifiedBy>
  <cp:revision>3</cp:revision>
  <cp:lastPrinted>2014-10-21T07:33:00Z</cp:lastPrinted>
  <dcterms:created xsi:type="dcterms:W3CDTF">2014-12-23T07:03:00Z</dcterms:created>
  <dcterms:modified xsi:type="dcterms:W3CDTF">2015-03-03T23:36:00Z</dcterms:modified>
</cp:coreProperties>
</file>