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134868">
        <w:trPr>
          <w:trHeight w:val="1863"/>
        </w:trPr>
        <w:tc>
          <w:tcPr>
            <w:tcW w:w="4077" w:type="dxa"/>
            <w:tcBorders>
              <w:top w:val="nil"/>
              <w:left w:val="nil"/>
              <w:bottom w:val="nil"/>
              <w:right w:val="nil"/>
            </w:tcBorders>
          </w:tcPr>
          <w:p w:rsidR="008E7846" w:rsidRPr="00487162" w:rsidRDefault="003D1AE5" w:rsidP="00006DAE">
            <w:pPr>
              <w:rPr>
                <w:color w:val="006DA7"/>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7" type="#_x0000_t136" style="position:absolute;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C064D6">
              <w:rPr>
                <w:rFonts w:ascii="Arial" w:hAnsi="Arial" w:cs="Arial"/>
                <w:b/>
                <w:color w:val="002C47"/>
                <w:sz w:val="36"/>
                <w:szCs w:val="36"/>
              </w:rPr>
              <w:t>January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w:t>
            </w:r>
            <w:r w:rsidR="003173D7">
              <w:rPr>
                <w:color w:val="FFFFFF"/>
              </w:rPr>
              <w:t>ian Public Assessment Report for</w:t>
            </w:r>
            <w:r w:rsidR="00E34575">
              <w:rPr>
                <w:color w:val="FFFFFF"/>
              </w:rPr>
              <w:t xml:space="preserve"> </w:t>
            </w:r>
            <w:r w:rsidR="00E34575" w:rsidRPr="00E34575">
              <w:rPr>
                <w:color w:val="FFFFFF"/>
              </w:rPr>
              <w:t>strontium ranelate</w:t>
            </w:r>
          </w:p>
        </w:tc>
      </w:tr>
      <w:tr w:rsidR="0032583B" w:rsidRPr="00B64760" w:rsidTr="0032583B">
        <w:tc>
          <w:tcPr>
            <w:tcW w:w="9079" w:type="dxa"/>
          </w:tcPr>
          <w:p w:rsidR="0032583B" w:rsidRPr="008E7846" w:rsidRDefault="0032583B" w:rsidP="001D4D55">
            <w:pPr>
              <w:pStyle w:val="Subtitle"/>
              <w:ind w:left="0"/>
              <w:rPr>
                <w:color w:val="FFFFFF"/>
              </w:rPr>
            </w:pPr>
            <w:r w:rsidRPr="008E7846">
              <w:rPr>
                <w:color w:val="FFFFFF"/>
              </w:rPr>
              <w:t xml:space="preserve">Proprietary Product Name: </w:t>
            </w:r>
            <w:r w:rsidR="001D4D55">
              <w:rPr>
                <w:color w:val="FFFFFF"/>
              </w:rPr>
              <w:t>Protos</w:t>
            </w:r>
          </w:p>
        </w:tc>
      </w:tr>
      <w:tr w:rsidR="0032583B" w:rsidRPr="00B64760" w:rsidTr="0032583B">
        <w:trPr>
          <w:trHeight w:val="486"/>
        </w:trPr>
        <w:tc>
          <w:tcPr>
            <w:tcW w:w="9079" w:type="dxa"/>
          </w:tcPr>
          <w:p w:rsidR="0032583B" w:rsidRPr="008E7846" w:rsidRDefault="00E34575" w:rsidP="00973C1B">
            <w:pPr>
              <w:pStyle w:val="Subtitle"/>
              <w:ind w:left="0"/>
              <w:rPr>
                <w:color w:val="FFFFFF"/>
              </w:rPr>
            </w:pPr>
            <w:r>
              <w:rPr>
                <w:color w:val="FFFFFF"/>
              </w:rPr>
              <w:t xml:space="preserve">Sponsor: </w:t>
            </w:r>
            <w:r w:rsidRPr="00E34575">
              <w:rPr>
                <w:color w:val="FFFFFF"/>
              </w:rPr>
              <w:t>Servier Laboratories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E93F6D">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675DF3" w:rsidP="00E93F6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93F6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93F6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93F6D">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E93F6D">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E93F6D">
      <w:pPr>
        <w:pStyle w:val="ListBullet"/>
        <w:numPr>
          <w:ilvl w:val="0"/>
          <w:numId w:val="1"/>
        </w:numPr>
        <w:ind w:left="357" w:hanging="357"/>
      </w:pPr>
      <w:r>
        <w:t>AusPARs are prepared and published by the TGA.</w:t>
      </w:r>
    </w:p>
    <w:p w:rsidR="008E7846" w:rsidRDefault="008E7846" w:rsidP="00E93F6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93F6D">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E93F6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675DF3">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8E3F9E" w:rsidRDefault="003D1AE5">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45343170" w:history="1">
        <w:r w:rsidR="008E3F9E" w:rsidRPr="00DD7DA4">
          <w:rPr>
            <w:rStyle w:val="Hyperlink"/>
            <w:noProof/>
          </w:rPr>
          <w:t>I. Introduction to product submission</w:t>
        </w:r>
        <w:r w:rsidR="008E3F9E">
          <w:rPr>
            <w:noProof/>
            <w:webHidden/>
          </w:rPr>
          <w:tab/>
        </w:r>
        <w:r w:rsidR="008E3F9E">
          <w:rPr>
            <w:noProof/>
            <w:webHidden/>
          </w:rPr>
          <w:fldChar w:fldCharType="begin"/>
        </w:r>
        <w:r w:rsidR="008E3F9E">
          <w:rPr>
            <w:noProof/>
            <w:webHidden/>
          </w:rPr>
          <w:instrText xml:space="preserve"> PAGEREF _Toc345343170 \h </w:instrText>
        </w:r>
        <w:r w:rsidR="008E3F9E">
          <w:rPr>
            <w:noProof/>
            <w:webHidden/>
          </w:rPr>
        </w:r>
        <w:r w:rsidR="008E3F9E">
          <w:rPr>
            <w:noProof/>
            <w:webHidden/>
          </w:rPr>
          <w:fldChar w:fldCharType="separate"/>
        </w:r>
        <w:r w:rsidR="008E3F9E">
          <w:rPr>
            <w:noProof/>
            <w:webHidden/>
          </w:rPr>
          <w:t>4</w:t>
        </w:r>
        <w:r w:rsidR="008E3F9E">
          <w:rPr>
            <w:noProof/>
            <w:webHidden/>
          </w:rPr>
          <w:fldChar w:fldCharType="end"/>
        </w:r>
      </w:hyperlink>
    </w:p>
    <w:p w:rsidR="008E3F9E" w:rsidRDefault="008E3F9E">
      <w:pPr>
        <w:pStyle w:val="TOC3"/>
        <w:rPr>
          <w:rFonts w:ascii="Calibri" w:eastAsia="Times New Roman" w:hAnsi="Calibri"/>
          <w:noProof/>
          <w:lang w:eastAsia="en-AU"/>
        </w:rPr>
      </w:pPr>
      <w:hyperlink w:anchor="_Toc345343171" w:history="1">
        <w:r w:rsidRPr="00DD7DA4">
          <w:rPr>
            <w:rStyle w:val="Hyperlink"/>
            <w:noProof/>
            <w:lang w:eastAsia="en-AU"/>
          </w:rPr>
          <w:t>Submission details</w:t>
        </w:r>
        <w:r>
          <w:rPr>
            <w:noProof/>
            <w:webHidden/>
          </w:rPr>
          <w:tab/>
        </w:r>
        <w:r>
          <w:rPr>
            <w:noProof/>
            <w:webHidden/>
          </w:rPr>
          <w:fldChar w:fldCharType="begin"/>
        </w:r>
        <w:r>
          <w:rPr>
            <w:noProof/>
            <w:webHidden/>
          </w:rPr>
          <w:instrText xml:space="preserve"> PAGEREF _Toc345343171 \h </w:instrText>
        </w:r>
        <w:r>
          <w:rPr>
            <w:noProof/>
            <w:webHidden/>
          </w:rPr>
        </w:r>
        <w:r>
          <w:rPr>
            <w:noProof/>
            <w:webHidden/>
          </w:rPr>
          <w:fldChar w:fldCharType="separate"/>
        </w:r>
        <w:r>
          <w:rPr>
            <w:noProof/>
            <w:webHidden/>
          </w:rPr>
          <w:t>4</w:t>
        </w:r>
        <w:r>
          <w:rPr>
            <w:noProof/>
            <w:webHidden/>
          </w:rPr>
          <w:fldChar w:fldCharType="end"/>
        </w:r>
      </w:hyperlink>
    </w:p>
    <w:p w:rsidR="008E3F9E" w:rsidRDefault="008E3F9E">
      <w:pPr>
        <w:pStyle w:val="TOC3"/>
        <w:rPr>
          <w:rFonts w:ascii="Calibri" w:eastAsia="Times New Roman" w:hAnsi="Calibri"/>
          <w:noProof/>
          <w:lang w:eastAsia="en-AU"/>
        </w:rPr>
      </w:pPr>
      <w:hyperlink w:anchor="_Toc345343172" w:history="1">
        <w:r w:rsidRPr="00DD7DA4">
          <w:rPr>
            <w:rStyle w:val="Hyperlink"/>
            <w:noProof/>
          </w:rPr>
          <w:t>Product background</w:t>
        </w:r>
        <w:r>
          <w:rPr>
            <w:noProof/>
            <w:webHidden/>
          </w:rPr>
          <w:tab/>
        </w:r>
        <w:r>
          <w:rPr>
            <w:noProof/>
            <w:webHidden/>
          </w:rPr>
          <w:fldChar w:fldCharType="begin"/>
        </w:r>
        <w:r>
          <w:rPr>
            <w:noProof/>
            <w:webHidden/>
          </w:rPr>
          <w:instrText xml:space="preserve"> PAGEREF _Toc345343172 \h </w:instrText>
        </w:r>
        <w:r>
          <w:rPr>
            <w:noProof/>
            <w:webHidden/>
          </w:rPr>
        </w:r>
        <w:r>
          <w:rPr>
            <w:noProof/>
            <w:webHidden/>
          </w:rPr>
          <w:fldChar w:fldCharType="separate"/>
        </w:r>
        <w:r>
          <w:rPr>
            <w:noProof/>
            <w:webHidden/>
          </w:rPr>
          <w:t>4</w:t>
        </w:r>
        <w:r>
          <w:rPr>
            <w:noProof/>
            <w:webHidden/>
          </w:rPr>
          <w:fldChar w:fldCharType="end"/>
        </w:r>
      </w:hyperlink>
    </w:p>
    <w:p w:rsidR="008E3F9E" w:rsidRDefault="008E3F9E">
      <w:pPr>
        <w:pStyle w:val="TOC3"/>
        <w:rPr>
          <w:rFonts w:ascii="Calibri" w:eastAsia="Times New Roman" w:hAnsi="Calibri"/>
          <w:noProof/>
          <w:lang w:eastAsia="en-AU"/>
        </w:rPr>
      </w:pPr>
      <w:hyperlink w:anchor="_Toc345343173" w:history="1">
        <w:r w:rsidRPr="00DD7DA4">
          <w:rPr>
            <w:rStyle w:val="Hyperlink"/>
            <w:noProof/>
          </w:rPr>
          <w:t>Regulatory status</w:t>
        </w:r>
        <w:r>
          <w:rPr>
            <w:noProof/>
            <w:webHidden/>
          </w:rPr>
          <w:tab/>
        </w:r>
        <w:r>
          <w:rPr>
            <w:noProof/>
            <w:webHidden/>
          </w:rPr>
          <w:fldChar w:fldCharType="begin"/>
        </w:r>
        <w:r>
          <w:rPr>
            <w:noProof/>
            <w:webHidden/>
          </w:rPr>
          <w:instrText xml:space="preserve"> PAGEREF _Toc345343173 \h </w:instrText>
        </w:r>
        <w:r>
          <w:rPr>
            <w:noProof/>
            <w:webHidden/>
          </w:rPr>
        </w:r>
        <w:r>
          <w:rPr>
            <w:noProof/>
            <w:webHidden/>
          </w:rPr>
          <w:fldChar w:fldCharType="separate"/>
        </w:r>
        <w:r>
          <w:rPr>
            <w:noProof/>
            <w:webHidden/>
          </w:rPr>
          <w:t>5</w:t>
        </w:r>
        <w:r>
          <w:rPr>
            <w:noProof/>
            <w:webHidden/>
          </w:rPr>
          <w:fldChar w:fldCharType="end"/>
        </w:r>
      </w:hyperlink>
    </w:p>
    <w:p w:rsidR="008E3F9E" w:rsidRDefault="008E3F9E">
      <w:pPr>
        <w:pStyle w:val="TOC3"/>
        <w:rPr>
          <w:rFonts w:ascii="Calibri" w:eastAsia="Times New Roman" w:hAnsi="Calibri"/>
          <w:noProof/>
          <w:lang w:eastAsia="en-AU"/>
        </w:rPr>
      </w:pPr>
      <w:hyperlink w:anchor="_Toc345343174" w:history="1">
        <w:r w:rsidRPr="00DD7DA4">
          <w:rPr>
            <w:rStyle w:val="Hyperlink"/>
            <w:noProof/>
          </w:rPr>
          <w:t>Product Information</w:t>
        </w:r>
        <w:r>
          <w:rPr>
            <w:noProof/>
            <w:webHidden/>
          </w:rPr>
          <w:tab/>
        </w:r>
        <w:r>
          <w:rPr>
            <w:noProof/>
            <w:webHidden/>
          </w:rPr>
          <w:fldChar w:fldCharType="begin"/>
        </w:r>
        <w:r>
          <w:rPr>
            <w:noProof/>
            <w:webHidden/>
          </w:rPr>
          <w:instrText xml:space="preserve"> PAGEREF _Toc345343174 \h </w:instrText>
        </w:r>
        <w:r>
          <w:rPr>
            <w:noProof/>
            <w:webHidden/>
          </w:rPr>
        </w:r>
        <w:r>
          <w:rPr>
            <w:noProof/>
            <w:webHidden/>
          </w:rPr>
          <w:fldChar w:fldCharType="separate"/>
        </w:r>
        <w:r>
          <w:rPr>
            <w:noProof/>
            <w:webHidden/>
          </w:rPr>
          <w:t>5</w:t>
        </w:r>
        <w:r>
          <w:rPr>
            <w:noProof/>
            <w:webHidden/>
          </w:rPr>
          <w:fldChar w:fldCharType="end"/>
        </w:r>
      </w:hyperlink>
    </w:p>
    <w:p w:rsidR="008E3F9E" w:rsidRDefault="008E3F9E">
      <w:pPr>
        <w:pStyle w:val="TOC3"/>
        <w:rPr>
          <w:rFonts w:ascii="Calibri" w:eastAsia="Times New Roman" w:hAnsi="Calibri"/>
          <w:noProof/>
          <w:lang w:eastAsia="en-AU"/>
        </w:rPr>
      </w:pPr>
      <w:hyperlink w:anchor="_Toc345343175" w:history="1">
        <w:r w:rsidRPr="00DD7DA4">
          <w:rPr>
            <w:rStyle w:val="Hyperlink"/>
            <w:noProof/>
          </w:rPr>
          <w:t>List of abbreviations</w:t>
        </w:r>
        <w:r>
          <w:rPr>
            <w:noProof/>
            <w:webHidden/>
          </w:rPr>
          <w:tab/>
        </w:r>
        <w:r>
          <w:rPr>
            <w:noProof/>
            <w:webHidden/>
          </w:rPr>
          <w:fldChar w:fldCharType="begin"/>
        </w:r>
        <w:r>
          <w:rPr>
            <w:noProof/>
            <w:webHidden/>
          </w:rPr>
          <w:instrText xml:space="preserve"> PAGEREF _Toc345343175 \h </w:instrText>
        </w:r>
        <w:r>
          <w:rPr>
            <w:noProof/>
            <w:webHidden/>
          </w:rPr>
        </w:r>
        <w:r>
          <w:rPr>
            <w:noProof/>
            <w:webHidden/>
          </w:rPr>
          <w:fldChar w:fldCharType="separate"/>
        </w:r>
        <w:r>
          <w:rPr>
            <w:noProof/>
            <w:webHidden/>
          </w:rPr>
          <w:t>6</w:t>
        </w:r>
        <w:r>
          <w:rPr>
            <w:noProof/>
            <w:webHidden/>
          </w:rPr>
          <w:fldChar w:fldCharType="end"/>
        </w:r>
      </w:hyperlink>
    </w:p>
    <w:p w:rsidR="008E3F9E" w:rsidRDefault="008E3F9E">
      <w:pPr>
        <w:pStyle w:val="TOC2"/>
        <w:rPr>
          <w:rFonts w:ascii="Calibri" w:eastAsia="Times New Roman" w:hAnsi="Calibri"/>
          <w:b w:val="0"/>
          <w:noProof/>
          <w:sz w:val="22"/>
          <w:lang w:eastAsia="en-AU"/>
        </w:rPr>
      </w:pPr>
      <w:hyperlink w:anchor="_Toc345343176" w:history="1">
        <w:r w:rsidRPr="00DD7DA4">
          <w:rPr>
            <w:rStyle w:val="Hyperlink"/>
            <w:noProof/>
          </w:rPr>
          <w:t>II. Quality findings</w:t>
        </w:r>
        <w:r>
          <w:rPr>
            <w:noProof/>
            <w:webHidden/>
          </w:rPr>
          <w:tab/>
        </w:r>
        <w:r>
          <w:rPr>
            <w:noProof/>
            <w:webHidden/>
          </w:rPr>
          <w:fldChar w:fldCharType="begin"/>
        </w:r>
        <w:r>
          <w:rPr>
            <w:noProof/>
            <w:webHidden/>
          </w:rPr>
          <w:instrText xml:space="preserve"> PAGEREF _Toc345343176 \h </w:instrText>
        </w:r>
        <w:r>
          <w:rPr>
            <w:noProof/>
            <w:webHidden/>
          </w:rPr>
        </w:r>
        <w:r>
          <w:rPr>
            <w:noProof/>
            <w:webHidden/>
          </w:rPr>
          <w:fldChar w:fldCharType="separate"/>
        </w:r>
        <w:r>
          <w:rPr>
            <w:noProof/>
            <w:webHidden/>
          </w:rPr>
          <w:t>8</w:t>
        </w:r>
        <w:r>
          <w:rPr>
            <w:noProof/>
            <w:webHidden/>
          </w:rPr>
          <w:fldChar w:fldCharType="end"/>
        </w:r>
      </w:hyperlink>
    </w:p>
    <w:p w:rsidR="008E3F9E" w:rsidRDefault="008E3F9E">
      <w:pPr>
        <w:pStyle w:val="TOC2"/>
        <w:rPr>
          <w:rFonts w:ascii="Calibri" w:eastAsia="Times New Roman" w:hAnsi="Calibri"/>
          <w:b w:val="0"/>
          <w:noProof/>
          <w:sz w:val="22"/>
          <w:lang w:eastAsia="en-AU"/>
        </w:rPr>
      </w:pPr>
      <w:hyperlink w:anchor="_Toc345343177" w:history="1">
        <w:r w:rsidRPr="00DD7DA4">
          <w:rPr>
            <w:rStyle w:val="Hyperlink"/>
            <w:noProof/>
          </w:rPr>
          <w:t>III. Nonclinical findings</w:t>
        </w:r>
        <w:r>
          <w:rPr>
            <w:noProof/>
            <w:webHidden/>
          </w:rPr>
          <w:tab/>
        </w:r>
        <w:r>
          <w:rPr>
            <w:noProof/>
            <w:webHidden/>
          </w:rPr>
          <w:fldChar w:fldCharType="begin"/>
        </w:r>
        <w:r>
          <w:rPr>
            <w:noProof/>
            <w:webHidden/>
          </w:rPr>
          <w:instrText xml:space="preserve"> PAGEREF _Toc345343177 \h </w:instrText>
        </w:r>
        <w:r>
          <w:rPr>
            <w:noProof/>
            <w:webHidden/>
          </w:rPr>
        </w:r>
        <w:r>
          <w:rPr>
            <w:noProof/>
            <w:webHidden/>
          </w:rPr>
          <w:fldChar w:fldCharType="separate"/>
        </w:r>
        <w:r>
          <w:rPr>
            <w:noProof/>
            <w:webHidden/>
          </w:rPr>
          <w:t>8</w:t>
        </w:r>
        <w:r>
          <w:rPr>
            <w:noProof/>
            <w:webHidden/>
          </w:rPr>
          <w:fldChar w:fldCharType="end"/>
        </w:r>
      </w:hyperlink>
    </w:p>
    <w:p w:rsidR="008E3F9E" w:rsidRDefault="008E3F9E">
      <w:pPr>
        <w:pStyle w:val="TOC3"/>
        <w:rPr>
          <w:rFonts w:ascii="Calibri" w:eastAsia="Times New Roman" w:hAnsi="Calibri"/>
          <w:noProof/>
          <w:lang w:eastAsia="en-AU"/>
        </w:rPr>
      </w:pPr>
      <w:hyperlink w:anchor="_Toc345343178" w:history="1">
        <w:r w:rsidRPr="00DD7DA4">
          <w:rPr>
            <w:rStyle w:val="Hyperlink"/>
            <w:noProof/>
          </w:rPr>
          <w:t>Introduction</w:t>
        </w:r>
        <w:r>
          <w:rPr>
            <w:noProof/>
            <w:webHidden/>
          </w:rPr>
          <w:tab/>
        </w:r>
        <w:r>
          <w:rPr>
            <w:noProof/>
            <w:webHidden/>
          </w:rPr>
          <w:fldChar w:fldCharType="begin"/>
        </w:r>
        <w:r>
          <w:rPr>
            <w:noProof/>
            <w:webHidden/>
          </w:rPr>
          <w:instrText xml:space="preserve"> PAGEREF _Toc345343178 \h </w:instrText>
        </w:r>
        <w:r>
          <w:rPr>
            <w:noProof/>
            <w:webHidden/>
          </w:rPr>
        </w:r>
        <w:r>
          <w:rPr>
            <w:noProof/>
            <w:webHidden/>
          </w:rPr>
          <w:fldChar w:fldCharType="separate"/>
        </w:r>
        <w:r>
          <w:rPr>
            <w:noProof/>
            <w:webHidden/>
          </w:rPr>
          <w:t>8</w:t>
        </w:r>
        <w:r>
          <w:rPr>
            <w:noProof/>
            <w:webHidden/>
          </w:rPr>
          <w:fldChar w:fldCharType="end"/>
        </w:r>
      </w:hyperlink>
    </w:p>
    <w:p w:rsidR="008E3F9E" w:rsidRDefault="008E3F9E">
      <w:pPr>
        <w:pStyle w:val="TOC3"/>
        <w:rPr>
          <w:rFonts w:ascii="Calibri" w:eastAsia="Times New Roman" w:hAnsi="Calibri"/>
          <w:noProof/>
          <w:lang w:eastAsia="en-AU"/>
        </w:rPr>
      </w:pPr>
      <w:hyperlink w:anchor="_Toc345343179" w:history="1">
        <w:r w:rsidRPr="00DD7DA4">
          <w:rPr>
            <w:rStyle w:val="Hyperlink"/>
            <w:noProof/>
          </w:rPr>
          <w:t>Pharmacology</w:t>
        </w:r>
        <w:r>
          <w:rPr>
            <w:noProof/>
            <w:webHidden/>
          </w:rPr>
          <w:tab/>
        </w:r>
        <w:r>
          <w:rPr>
            <w:noProof/>
            <w:webHidden/>
          </w:rPr>
          <w:fldChar w:fldCharType="begin"/>
        </w:r>
        <w:r>
          <w:rPr>
            <w:noProof/>
            <w:webHidden/>
          </w:rPr>
          <w:instrText xml:space="preserve"> PAGEREF _Toc345343179 \h </w:instrText>
        </w:r>
        <w:r>
          <w:rPr>
            <w:noProof/>
            <w:webHidden/>
          </w:rPr>
        </w:r>
        <w:r>
          <w:rPr>
            <w:noProof/>
            <w:webHidden/>
          </w:rPr>
          <w:fldChar w:fldCharType="separate"/>
        </w:r>
        <w:r>
          <w:rPr>
            <w:noProof/>
            <w:webHidden/>
          </w:rPr>
          <w:t>8</w:t>
        </w:r>
        <w:r>
          <w:rPr>
            <w:noProof/>
            <w:webHidden/>
          </w:rPr>
          <w:fldChar w:fldCharType="end"/>
        </w:r>
      </w:hyperlink>
    </w:p>
    <w:p w:rsidR="008E3F9E" w:rsidRDefault="008E3F9E">
      <w:pPr>
        <w:pStyle w:val="TOC3"/>
        <w:rPr>
          <w:rFonts w:ascii="Calibri" w:eastAsia="Times New Roman" w:hAnsi="Calibri"/>
          <w:noProof/>
          <w:lang w:eastAsia="en-AU"/>
        </w:rPr>
      </w:pPr>
      <w:hyperlink w:anchor="_Toc345343180" w:history="1">
        <w:r w:rsidRPr="00DD7DA4">
          <w:rPr>
            <w:rStyle w:val="Hyperlink"/>
            <w:noProof/>
          </w:rPr>
          <w:t>Pharmacokinetics</w:t>
        </w:r>
        <w:r>
          <w:rPr>
            <w:noProof/>
            <w:webHidden/>
          </w:rPr>
          <w:tab/>
        </w:r>
        <w:r>
          <w:rPr>
            <w:noProof/>
            <w:webHidden/>
          </w:rPr>
          <w:fldChar w:fldCharType="begin"/>
        </w:r>
        <w:r>
          <w:rPr>
            <w:noProof/>
            <w:webHidden/>
          </w:rPr>
          <w:instrText xml:space="preserve"> PAGEREF _Toc345343180 \h </w:instrText>
        </w:r>
        <w:r>
          <w:rPr>
            <w:noProof/>
            <w:webHidden/>
          </w:rPr>
        </w:r>
        <w:r>
          <w:rPr>
            <w:noProof/>
            <w:webHidden/>
          </w:rPr>
          <w:fldChar w:fldCharType="separate"/>
        </w:r>
        <w:r>
          <w:rPr>
            <w:noProof/>
            <w:webHidden/>
          </w:rPr>
          <w:t>9</w:t>
        </w:r>
        <w:r>
          <w:rPr>
            <w:noProof/>
            <w:webHidden/>
          </w:rPr>
          <w:fldChar w:fldCharType="end"/>
        </w:r>
      </w:hyperlink>
    </w:p>
    <w:p w:rsidR="008E3F9E" w:rsidRDefault="008E3F9E">
      <w:pPr>
        <w:pStyle w:val="TOC3"/>
        <w:rPr>
          <w:rFonts w:ascii="Calibri" w:eastAsia="Times New Roman" w:hAnsi="Calibri"/>
          <w:noProof/>
          <w:lang w:eastAsia="en-AU"/>
        </w:rPr>
      </w:pPr>
      <w:hyperlink w:anchor="_Toc345343181" w:history="1">
        <w:r w:rsidRPr="00DD7DA4">
          <w:rPr>
            <w:rStyle w:val="Hyperlink"/>
            <w:noProof/>
          </w:rPr>
          <w:t>Toxicology</w:t>
        </w:r>
        <w:r>
          <w:rPr>
            <w:noProof/>
            <w:webHidden/>
          </w:rPr>
          <w:tab/>
        </w:r>
        <w:r>
          <w:rPr>
            <w:noProof/>
            <w:webHidden/>
          </w:rPr>
          <w:fldChar w:fldCharType="begin"/>
        </w:r>
        <w:r>
          <w:rPr>
            <w:noProof/>
            <w:webHidden/>
          </w:rPr>
          <w:instrText xml:space="preserve"> PAGEREF _Toc345343181 \h </w:instrText>
        </w:r>
        <w:r>
          <w:rPr>
            <w:noProof/>
            <w:webHidden/>
          </w:rPr>
        </w:r>
        <w:r>
          <w:rPr>
            <w:noProof/>
            <w:webHidden/>
          </w:rPr>
          <w:fldChar w:fldCharType="separate"/>
        </w:r>
        <w:r>
          <w:rPr>
            <w:noProof/>
            <w:webHidden/>
          </w:rPr>
          <w:t>9</w:t>
        </w:r>
        <w:r>
          <w:rPr>
            <w:noProof/>
            <w:webHidden/>
          </w:rPr>
          <w:fldChar w:fldCharType="end"/>
        </w:r>
      </w:hyperlink>
    </w:p>
    <w:p w:rsidR="008E3F9E" w:rsidRDefault="008E3F9E">
      <w:pPr>
        <w:pStyle w:val="TOC3"/>
        <w:rPr>
          <w:rFonts w:ascii="Calibri" w:eastAsia="Times New Roman" w:hAnsi="Calibri"/>
          <w:noProof/>
          <w:lang w:eastAsia="en-AU"/>
        </w:rPr>
      </w:pPr>
      <w:hyperlink w:anchor="_Toc345343182" w:history="1">
        <w:r w:rsidRPr="00DD7DA4">
          <w:rPr>
            <w:rStyle w:val="Hyperlink"/>
            <w:noProof/>
          </w:rPr>
          <w:t>Nonclinical summary and conclusions</w:t>
        </w:r>
        <w:r>
          <w:rPr>
            <w:noProof/>
            <w:webHidden/>
          </w:rPr>
          <w:tab/>
        </w:r>
        <w:r>
          <w:rPr>
            <w:noProof/>
            <w:webHidden/>
          </w:rPr>
          <w:fldChar w:fldCharType="begin"/>
        </w:r>
        <w:r>
          <w:rPr>
            <w:noProof/>
            <w:webHidden/>
          </w:rPr>
          <w:instrText xml:space="preserve"> PAGEREF _Toc345343182 \h </w:instrText>
        </w:r>
        <w:r>
          <w:rPr>
            <w:noProof/>
            <w:webHidden/>
          </w:rPr>
        </w:r>
        <w:r>
          <w:rPr>
            <w:noProof/>
            <w:webHidden/>
          </w:rPr>
          <w:fldChar w:fldCharType="separate"/>
        </w:r>
        <w:r>
          <w:rPr>
            <w:noProof/>
            <w:webHidden/>
          </w:rPr>
          <w:t>10</w:t>
        </w:r>
        <w:r>
          <w:rPr>
            <w:noProof/>
            <w:webHidden/>
          </w:rPr>
          <w:fldChar w:fldCharType="end"/>
        </w:r>
      </w:hyperlink>
    </w:p>
    <w:p w:rsidR="008E3F9E" w:rsidRDefault="008E3F9E">
      <w:pPr>
        <w:pStyle w:val="TOC2"/>
        <w:rPr>
          <w:rFonts w:ascii="Calibri" w:eastAsia="Times New Roman" w:hAnsi="Calibri"/>
          <w:b w:val="0"/>
          <w:noProof/>
          <w:sz w:val="22"/>
          <w:lang w:eastAsia="en-AU"/>
        </w:rPr>
      </w:pPr>
      <w:hyperlink w:anchor="_Toc345343183" w:history="1">
        <w:r w:rsidRPr="00DD7DA4">
          <w:rPr>
            <w:rStyle w:val="Hyperlink"/>
            <w:noProof/>
          </w:rPr>
          <w:t>IV. Clinical findings</w:t>
        </w:r>
        <w:r>
          <w:rPr>
            <w:noProof/>
            <w:webHidden/>
          </w:rPr>
          <w:tab/>
        </w:r>
        <w:r>
          <w:rPr>
            <w:noProof/>
            <w:webHidden/>
          </w:rPr>
          <w:fldChar w:fldCharType="begin"/>
        </w:r>
        <w:r>
          <w:rPr>
            <w:noProof/>
            <w:webHidden/>
          </w:rPr>
          <w:instrText xml:space="preserve"> PAGEREF _Toc345343183 \h </w:instrText>
        </w:r>
        <w:r>
          <w:rPr>
            <w:noProof/>
            <w:webHidden/>
          </w:rPr>
        </w:r>
        <w:r>
          <w:rPr>
            <w:noProof/>
            <w:webHidden/>
          </w:rPr>
          <w:fldChar w:fldCharType="separate"/>
        </w:r>
        <w:r>
          <w:rPr>
            <w:noProof/>
            <w:webHidden/>
          </w:rPr>
          <w:t>11</w:t>
        </w:r>
        <w:r>
          <w:rPr>
            <w:noProof/>
            <w:webHidden/>
          </w:rPr>
          <w:fldChar w:fldCharType="end"/>
        </w:r>
      </w:hyperlink>
    </w:p>
    <w:p w:rsidR="008E3F9E" w:rsidRDefault="008E3F9E">
      <w:pPr>
        <w:pStyle w:val="TOC3"/>
        <w:rPr>
          <w:rFonts w:ascii="Calibri" w:eastAsia="Times New Roman" w:hAnsi="Calibri"/>
          <w:noProof/>
          <w:lang w:eastAsia="en-AU"/>
        </w:rPr>
      </w:pPr>
      <w:hyperlink w:anchor="_Toc345343184" w:history="1">
        <w:r w:rsidRPr="00DD7DA4">
          <w:rPr>
            <w:rStyle w:val="Hyperlink"/>
            <w:noProof/>
          </w:rPr>
          <w:t>Introduction</w:t>
        </w:r>
        <w:r>
          <w:rPr>
            <w:noProof/>
            <w:webHidden/>
          </w:rPr>
          <w:tab/>
        </w:r>
        <w:r>
          <w:rPr>
            <w:noProof/>
            <w:webHidden/>
          </w:rPr>
          <w:fldChar w:fldCharType="begin"/>
        </w:r>
        <w:r>
          <w:rPr>
            <w:noProof/>
            <w:webHidden/>
          </w:rPr>
          <w:instrText xml:space="preserve"> PAGEREF _Toc345343184 \h </w:instrText>
        </w:r>
        <w:r>
          <w:rPr>
            <w:noProof/>
            <w:webHidden/>
          </w:rPr>
        </w:r>
        <w:r>
          <w:rPr>
            <w:noProof/>
            <w:webHidden/>
          </w:rPr>
          <w:fldChar w:fldCharType="separate"/>
        </w:r>
        <w:r>
          <w:rPr>
            <w:noProof/>
            <w:webHidden/>
          </w:rPr>
          <w:t>11</w:t>
        </w:r>
        <w:r>
          <w:rPr>
            <w:noProof/>
            <w:webHidden/>
          </w:rPr>
          <w:fldChar w:fldCharType="end"/>
        </w:r>
      </w:hyperlink>
    </w:p>
    <w:p w:rsidR="008E3F9E" w:rsidRDefault="008E3F9E">
      <w:pPr>
        <w:pStyle w:val="TOC3"/>
        <w:rPr>
          <w:rFonts w:ascii="Calibri" w:eastAsia="Times New Roman" w:hAnsi="Calibri"/>
          <w:noProof/>
          <w:lang w:eastAsia="en-AU"/>
        </w:rPr>
      </w:pPr>
      <w:hyperlink w:anchor="_Toc345343185" w:history="1">
        <w:r w:rsidRPr="00DD7DA4">
          <w:rPr>
            <w:rStyle w:val="Hyperlink"/>
            <w:noProof/>
          </w:rPr>
          <w:t>Pharmacokinetics</w:t>
        </w:r>
        <w:r>
          <w:rPr>
            <w:noProof/>
            <w:webHidden/>
          </w:rPr>
          <w:tab/>
        </w:r>
        <w:r>
          <w:rPr>
            <w:noProof/>
            <w:webHidden/>
          </w:rPr>
          <w:fldChar w:fldCharType="begin"/>
        </w:r>
        <w:r>
          <w:rPr>
            <w:noProof/>
            <w:webHidden/>
          </w:rPr>
          <w:instrText xml:space="preserve"> PAGEREF _Toc345343185 \h </w:instrText>
        </w:r>
        <w:r>
          <w:rPr>
            <w:noProof/>
            <w:webHidden/>
          </w:rPr>
        </w:r>
        <w:r>
          <w:rPr>
            <w:noProof/>
            <w:webHidden/>
          </w:rPr>
          <w:fldChar w:fldCharType="separate"/>
        </w:r>
        <w:r>
          <w:rPr>
            <w:noProof/>
            <w:webHidden/>
          </w:rPr>
          <w:t>13</w:t>
        </w:r>
        <w:r>
          <w:rPr>
            <w:noProof/>
            <w:webHidden/>
          </w:rPr>
          <w:fldChar w:fldCharType="end"/>
        </w:r>
      </w:hyperlink>
    </w:p>
    <w:p w:rsidR="008E3F9E" w:rsidRDefault="008E3F9E">
      <w:pPr>
        <w:pStyle w:val="TOC3"/>
        <w:rPr>
          <w:rFonts w:ascii="Calibri" w:eastAsia="Times New Roman" w:hAnsi="Calibri"/>
          <w:noProof/>
          <w:lang w:eastAsia="en-AU"/>
        </w:rPr>
      </w:pPr>
      <w:hyperlink w:anchor="_Toc345343186" w:history="1">
        <w:r w:rsidRPr="00DD7DA4">
          <w:rPr>
            <w:rStyle w:val="Hyperlink"/>
            <w:noProof/>
          </w:rPr>
          <w:t>Pharmacodynamics</w:t>
        </w:r>
        <w:r>
          <w:rPr>
            <w:noProof/>
            <w:webHidden/>
          </w:rPr>
          <w:tab/>
        </w:r>
        <w:r>
          <w:rPr>
            <w:noProof/>
            <w:webHidden/>
          </w:rPr>
          <w:fldChar w:fldCharType="begin"/>
        </w:r>
        <w:r>
          <w:rPr>
            <w:noProof/>
            <w:webHidden/>
          </w:rPr>
          <w:instrText xml:space="preserve"> PAGEREF _Toc345343186 \h </w:instrText>
        </w:r>
        <w:r>
          <w:rPr>
            <w:noProof/>
            <w:webHidden/>
          </w:rPr>
        </w:r>
        <w:r>
          <w:rPr>
            <w:noProof/>
            <w:webHidden/>
          </w:rPr>
          <w:fldChar w:fldCharType="separate"/>
        </w:r>
        <w:r>
          <w:rPr>
            <w:noProof/>
            <w:webHidden/>
          </w:rPr>
          <w:t>14</w:t>
        </w:r>
        <w:r>
          <w:rPr>
            <w:noProof/>
            <w:webHidden/>
          </w:rPr>
          <w:fldChar w:fldCharType="end"/>
        </w:r>
      </w:hyperlink>
    </w:p>
    <w:p w:rsidR="008E3F9E" w:rsidRDefault="008E3F9E">
      <w:pPr>
        <w:pStyle w:val="TOC3"/>
        <w:rPr>
          <w:rFonts w:ascii="Calibri" w:eastAsia="Times New Roman" w:hAnsi="Calibri"/>
          <w:noProof/>
          <w:lang w:eastAsia="en-AU"/>
        </w:rPr>
      </w:pPr>
      <w:hyperlink w:anchor="_Toc345343187" w:history="1">
        <w:r w:rsidRPr="00DD7DA4">
          <w:rPr>
            <w:rStyle w:val="Hyperlink"/>
            <w:noProof/>
          </w:rPr>
          <w:t>Dosage selection for the pivotal studies</w:t>
        </w:r>
        <w:r>
          <w:rPr>
            <w:noProof/>
            <w:webHidden/>
          </w:rPr>
          <w:tab/>
        </w:r>
        <w:r>
          <w:rPr>
            <w:noProof/>
            <w:webHidden/>
          </w:rPr>
          <w:fldChar w:fldCharType="begin"/>
        </w:r>
        <w:r>
          <w:rPr>
            <w:noProof/>
            <w:webHidden/>
          </w:rPr>
          <w:instrText xml:space="preserve"> PAGEREF _Toc345343187 \h </w:instrText>
        </w:r>
        <w:r>
          <w:rPr>
            <w:noProof/>
            <w:webHidden/>
          </w:rPr>
        </w:r>
        <w:r>
          <w:rPr>
            <w:noProof/>
            <w:webHidden/>
          </w:rPr>
          <w:fldChar w:fldCharType="separate"/>
        </w:r>
        <w:r>
          <w:rPr>
            <w:noProof/>
            <w:webHidden/>
          </w:rPr>
          <w:t>16</w:t>
        </w:r>
        <w:r>
          <w:rPr>
            <w:noProof/>
            <w:webHidden/>
          </w:rPr>
          <w:fldChar w:fldCharType="end"/>
        </w:r>
      </w:hyperlink>
    </w:p>
    <w:p w:rsidR="008E3F9E" w:rsidRDefault="008E3F9E">
      <w:pPr>
        <w:pStyle w:val="TOC3"/>
        <w:rPr>
          <w:rFonts w:ascii="Calibri" w:eastAsia="Times New Roman" w:hAnsi="Calibri"/>
          <w:noProof/>
          <w:lang w:eastAsia="en-AU"/>
        </w:rPr>
      </w:pPr>
      <w:hyperlink w:anchor="_Toc345343188" w:history="1">
        <w:r w:rsidRPr="00DD7DA4">
          <w:rPr>
            <w:rStyle w:val="Hyperlink"/>
            <w:noProof/>
          </w:rPr>
          <w:t>Efficacy</w:t>
        </w:r>
        <w:r>
          <w:rPr>
            <w:noProof/>
            <w:webHidden/>
          </w:rPr>
          <w:tab/>
        </w:r>
        <w:r>
          <w:rPr>
            <w:noProof/>
            <w:webHidden/>
          </w:rPr>
          <w:fldChar w:fldCharType="begin"/>
        </w:r>
        <w:r>
          <w:rPr>
            <w:noProof/>
            <w:webHidden/>
          </w:rPr>
          <w:instrText xml:space="preserve"> PAGEREF _Toc345343188 \h </w:instrText>
        </w:r>
        <w:r>
          <w:rPr>
            <w:noProof/>
            <w:webHidden/>
          </w:rPr>
        </w:r>
        <w:r>
          <w:rPr>
            <w:noProof/>
            <w:webHidden/>
          </w:rPr>
          <w:fldChar w:fldCharType="separate"/>
        </w:r>
        <w:r>
          <w:rPr>
            <w:noProof/>
            <w:webHidden/>
          </w:rPr>
          <w:t>16</w:t>
        </w:r>
        <w:r>
          <w:rPr>
            <w:noProof/>
            <w:webHidden/>
          </w:rPr>
          <w:fldChar w:fldCharType="end"/>
        </w:r>
      </w:hyperlink>
    </w:p>
    <w:p w:rsidR="008E3F9E" w:rsidRDefault="008E3F9E">
      <w:pPr>
        <w:pStyle w:val="TOC3"/>
        <w:rPr>
          <w:rFonts w:ascii="Calibri" w:eastAsia="Times New Roman" w:hAnsi="Calibri"/>
          <w:noProof/>
          <w:lang w:eastAsia="en-AU"/>
        </w:rPr>
      </w:pPr>
      <w:hyperlink w:anchor="_Toc345343189" w:history="1">
        <w:r w:rsidRPr="00DD7DA4">
          <w:rPr>
            <w:rStyle w:val="Hyperlink"/>
            <w:noProof/>
          </w:rPr>
          <w:t>Safety</w:t>
        </w:r>
        <w:r>
          <w:rPr>
            <w:noProof/>
            <w:webHidden/>
          </w:rPr>
          <w:tab/>
        </w:r>
        <w:r>
          <w:rPr>
            <w:noProof/>
            <w:webHidden/>
          </w:rPr>
          <w:fldChar w:fldCharType="begin"/>
        </w:r>
        <w:r>
          <w:rPr>
            <w:noProof/>
            <w:webHidden/>
          </w:rPr>
          <w:instrText xml:space="preserve"> PAGEREF _Toc345343189 \h </w:instrText>
        </w:r>
        <w:r>
          <w:rPr>
            <w:noProof/>
            <w:webHidden/>
          </w:rPr>
        </w:r>
        <w:r>
          <w:rPr>
            <w:noProof/>
            <w:webHidden/>
          </w:rPr>
          <w:fldChar w:fldCharType="separate"/>
        </w:r>
        <w:r>
          <w:rPr>
            <w:noProof/>
            <w:webHidden/>
          </w:rPr>
          <w:t>26</w:t>
        </w:r>
        <w:r>
          <w:rPr>
            <w:noProof/>
            <w:webHidden/>
          </w:rPr>
          <w:fldChar w:fldCharType="end"/>
        </w:r>
      </w:hyperlink>
    </w:p>
    <w:p w:rsidR="008E3F9E" w:rsidRDefault="008E3F9E">
      <w:pPr>
        <w:pStyle w:val="TOC3"/>
        <w:rPr>
          <w:rFonts w:ascii="Calibri" w:eastAsia="Times New Roman" w:hAnsi="Calibri"/>
          <w:noProof/>
          <w:lang w:eastAsia="en-AU"/>
        </w:rPr>
      </w:pPr>
      <w:hyperlink w:anchor="_Toc345343190" w:history="1">
        <w:r w:rsidRPr="00DD7DA4">
          <w:rPr>
            <w:rStyle w:val="Hyperlink"/>
            <w:noProof/>
          </w:rPr>
          <w:t>List of questions</w:t>
        </w:r>
        <w:r>
          <w:rPr>
            <w:noProof/>
            <w:webHidden/>
          </w:rPr>
          <w:tab/>
        </w:r>
        <w:r>
          <w:rPr>
            <w:noProof/>
            <w:webHidden/>
          </w:rPr>
          <w:fldChar w:fldCharType="begin"/>
        </w:r>
        <w:r>
          <w:rPr>
            <w:noProof/>
            <w:webHidden/>
          </w:rPr>
          <w:instrText xml:space="preserve"> PAGEREF _Toc345343190 \h </w:instrText>
        </w:r>
        <w:r>
          <w:rPr>
            <w:noProof/>
            <w:webHidden/>
          </w:rPr>
        </w:r>
        <w:r>
          <w:rPr>
            <w:noProof/>
            <w:webHidden/>
          </w:rPr>
          <w:fldChar w:fldCharType="separate"/>
        </w:r>
        <w:r>
          <w:rPr>
            <w:noProof/>
            <w:webHidden/>
          </w:rPr>
          <w:t>32</w:t>
        </w:r>
        <w:r>
          <w:rPr>
            <w:noProof/>
            <w:webHidden/>
          </w:rPr>
          <w:fldChar w:fldCharType="end"/>
        </w:r>
      </w:hyperlink>
    </w:p>
    <w:p w:rsidR="008E3F9E" w:rsidRDefault="008E3F9E">
      <w:pPr>
        <w:pStyle w:val="TOC2"/>
        <w:rPr>
          <w:rFonts w:ascii="Calibri" w:eastAsia="Times New Roman" w:hAnsi="Calibri"/>
          <w:b w:val="0"/>
          <w:noProof/>
          <w:sz w:val="22"/>
          <w:lang w:eastAsia="en-AU"/>
        </w:rPr>
      </w:pPr>
      <w:hyperlink w:anchor="_Toc345343191" w:history="1">
        <w:r w:rsidRPr="00DD7DA4">
          <w:rPr>
            <w:rStyle w:val="Hyperlink"/>
            <w:noProof/>
          </w:rPr>
          <w:t>V. Pharmacovigilance findings</w:t>
        </w:r>
        <w:r>
          <w:rPr>
            <w:noProof/>
            <w:webHidden/>
          </w:rPr>
          <w:tab/>
        </w:r>
        <w:r>
          <w:rPr>
            <w:noProof/>
            <w:webHidden/>
          </w:rPr>
          <w:fldChar w:fldCharType="begin"/>
        </w:r>
        <w:r>
          <w:rPr>
            <w:noProof/>
            <w:webHidden/>
          </w:rPr>
          <w:instrText xml:space="preserve"> PAGEREF _Toc345343191 \h </w:instrText>
        </w:r>
        <w:r>
          <w:rPr>
            <w:noProof/>
            <w:webHidden/>
          </w:rPr>
        </w:r>
        <w:r>
          <w:rPr>
            <w:noProof/>
            <w:webHidden/>
          </w:rPr>
          <w:fldChar w:fldCharType="separate"/>
        </w:r>
        <w:r>
          <w:rPr>
            <w:noProof/>
            <w:webHidden/>
          </w:rPr>
          <w:t>32</w:t>
        </w:r>
        <w:r>
          <w:rPr>
            <w:noProof/>
            <w:webHidden/>
          </w:rPr>
          <w:fldChar w:fldCharType="end"/>
        </w:r>
      </w:hyperlink>
    </w:p>
    <w:p w:rsidR="008E3F9E" w:rsidRDefault="008E3F9E">
      <w:pPr>
        <w:pStyle w:val="TOC3"/>
        <w:rPr>
          <w:rFonts w:ascii="Calibri" w:eastAsia="Times New Roman" w:hAnsi="Calibri"/>
          <w:noProof/>
          <w:lang w:eastAsia="en-AU"/>
        </w:rPr>
      </w:pPr>
      <w:hyperlink w:anchor="_Toc345343192" w:history="1">
        <w:r w:rsidRPr="00DD7DA4">
          <w:rPr>
            <w:rStyle w:val="Hyperlink"/>
            <w:noProof/>
            <w:lang w:eastAsia="en-AU"/>
          </w:rPr>
          <w:t>Risk management plan</w:t>
        </w:r>
        <w:r>
          <w:rPr>
            <w:noProof/>
            <w:webHidden/>
          </w:rPr>
          <w:tab/>
        </w:r>
        <w:r>
          <w:rPr>
            <w:noProof/>
            <w:webHidden/>
          </w:rPr>
          <w:fldChar w:fldCharType="begin"/>
        </w:r>
        <w:r>
          <w:rPr>
            <w:noProof/>
            <w:webHidden/>
          </w:rPr>
          <w:instrText xml:space="preserve"> PAGEREF _Toc345343192 \h </w:instrText>
        </w:r>
        <w:r>
          <w:rPr>
            <w:noProof/>
            <w:webHidden/>
          </w:rPr>
        </w:r>
        <w:r>
          <w:rPr>
            <w:noProof/>
            <w:webHidden/>
          </w:rPr>
          <w:fldChar w:fldCharType="separate"/>
        </w:r>
        <w:r>
          <w:rPr>
            <w:noProof/>
            <w:webHidden/>
          </w:rPr>
          <w:t>32</w:t>
        </w:r>
        <w:r>
          <w:rPr>
            <w:noProof/>
            <w:webHidden/>
          </w:rPr>
          <w:fldChar w:fldCharType="end"/>
        </w:r>
      </w:hyperlink>
    </w:p>
    <w:p w:rsidR="008E3F9E" w:rsidRDefault="008E3F9E">
      <w:pPr>
        <w:pStyle w:val="TOC2"/>
        <w:rPr>
          <w:rFonts w:ascii="Calibri" w:eastAsia="Times New Roman" w:hAnsi="Calibri"/>
          <w:b w:val="0"/>
          <w:noProof/>
          <w:sz w:val="22"/>
          <w:lang w:eastAsia="en-AU"/>
        </w:rPr>
      </w:pPr>
      <w:hyperlink w:anchor="_Toc345343193" w:history="1">
        <w:r w:rsidRPr="00DD7DA4">
          <w:rPr>
            <w:rStyle w:val="Hyperlink"/>
            <w:noProof/>
          </w:rPr>
          <w:t>VI. Overall conclusion and risk/benefit assessment</w:t>
        </w:r>
        <w:r>
          <w:rPr>
            <w:noProof/>
            <w:webHidden/>
          </w:rPr>
          <w:tab/>
        </w:r>
        <w:r>
          <w:rPr>
            <w:noProof/>
            <w:webHidden/>
          </w:rPr>
          <w:fldChar w:fldCharType="begin"/>
        </w:r>
        <w:r>
          <w:rPr>
            <w:noProof/>
            <w:webHidden/>
          </w:rPr>
          <w:instrText xml:space="preserve"> PAGEREF _Toc345343193 \h </w:instrText>
        </w:r>
        <w:r>
          <w:rPr>
            <w:noProof/>
            <w:webHidden/>
          </w:rPr>
        </w:r>
        <w:r>
          <w:rPr>
            <w:noProof/>
            <w:webHidden/>
          </w:rPr>
          <w:fldChar w:fldCharType="separate"/>
        </w:r>
        <w:r>
          <w:rPr>
            <w:noProof/>
            <w:webHidden/>
          </w:rPr>
          <w:t>37</w:t>
        </w:r>
        <w:r>
          <w:rPr>
            <w:noProof/>
            <w:webHidden/>
          </w:rPr>
          <w:fldChar w:fldCharType="end"/>
        </w:r>
      </w:hyperlink>
    </w:p>
    <w:p w:rsidR="008E3F9E" w:rsidRDefault="008E3F9E">
      <w:pPr>
        <w:pStyle w:val="TOC3"/>
        <w:rPr>
          <w:rFonts w:ascii="Calibri" w:eastAsia="Times New Roman" w:hAnsi="Calibri"/>
          <w:noProof/>
          <w:lang w:eastAsia="en-AU"/>
        </w:rPr>
      </w:pPr>
      <w:hyperlink w:anchor="_Toc345343194" w:history="1">
        <w:r w:rsidRPr="00DD7DA4">
          <w:rPr>
            <w:rStyle w:val="Hyperlink"/>
            <w:noProof/>
          </w:rPr>
          <w:t>Introduction</w:t>
        </w:r>
        <w:r>
          <w:rPr>
            <w:noProof/>
            <w:webHidden/>
          </w:rPr>
          <w:tab/>
        </w:r>
        <w:r>
          <w:rPr>
            <w:noProof/>
            <w:webHidden/>
          </w:rPr>
          <w:fldChar w:fldCharType="begin"/>
        </w:r>
        <w:r>
          <w:rPr>
            <w:noProof/>
            <w:webHidden/>
          </w:rPr>
          <w:instrText xml:space="preserve"> PAGEREF _Toc345343194 \h </w:instrText>
        </w:r>
        <w:r>
          <w:rPr>
            <w:noProof/>
            <w:webHidden/>
          </w:rPr>
        </w:r>
        <w:r>
          <w:rPr>
            <w:noProof/>
            <w:webHidden/>
          </w:rPr>
          <w:fldChar w:fldCharType="separate"/>
        </w:r>
        <w:r>
          <w:rPr>
            <w:noProof/>
            <w:webHidden/>
          </w:rPr>
          <w:t>37</w:t>
        </w:r>
        <w:r>
          <w:rPr>
            <w:noProof/>
            <w:webHidden/>
          </w:rPr>
          <w:fldChar w:fldCharType="end"/>
        </w:r>
      </w:hyperlink>
    </w:p>
    <w:p w:rsidR="008E3F9E" w:rsidRDefault="008E3F9E">
      <w:pPr>
        <w:pStyle w:val="TOC3"/>
        <w:rPr>
          <w:rFonts w:ascii="Calibri" w:eastAsia="Times New Roman" w:hAnsi="Calibri"/>
          <w:noProof/>
          <w:lang w:eastAsia="en-AU"/>
        </w:rPr>
      </w:pPr>
      <w:hyperlink w:anchor="_Toc345343195" w:history="1">
        <w:r w:rsidRPr="00DD7DA4">
          <w:rPr>
            <w:rStyle w:val="Hyperlink"/>
            <w:noProof/>
          </w:rPr>
          <w:t>Quality</w:t>
        </w:r>
        <w:r>
          <w:rPr>
            <w:noProof/>
            <w:webHidden/>
          </w:rPr>
          <w:tab/>
        </w:r>
        <w:r>
          <w:rPr>
            <w:noProof/>
            <w:webHidden/>
          </w:rPr>
          <w:fldChar w:fldCharType="begin"/>
        </w:r>
        <w:r>
          <w:rPr>
            <w:noProof/>
            <w:webHidden/>
          </w:rPr>
          <w:instrText xml:space="preserve"> PAGEREF _Toc345343195 \h </w:instrText>
        </w:r>
        <w:r>
          <w:rPr>
            <w:noProof/>
            <w:webHidden/>
          </w:rPr>
        </w:r>
        <w:r>
          <w:rPr>
            <w:noProof/>
            <w:webHidden/>
          </w:rPr>
          <w:fldChar w:fldCharType="separate"/>
        </w:r>
        <w:r>
          <w:rPr>
            <w:noProof/>
            <w:webHidden/>
          </w:rPr>
          <w:t>40</w:t>
        </w:r>
        <w:r>
          <w:rPr>
            <w:noProof/>
            <w:webHidden/>
          </w:rPr>
          <w:fldChar w:fldCharType="end"/>
        </w:r>
      </w:hyperlink>
    </w:p>
    <w:p w:rsidR="008E3F9E" w:rsidRDefault="008E3F9E">
      <w:pPr>
        <w:pStyle w:val="TOC3"/>
        <w:rPr>
          <w:rFonts w:ascii="Calibri" w:eastAsia="Times New Roman" w:hAnsi="Calibri"/>
          <w:noProof/>
          <w:lang w:eastAsia="en-AU"/>
        </w:rPr>
      </w:pPr>
      <w:hyperlink w:anchor="_Toc345343196" w:history="1">
        <w:r w:rsidRPr="00DD7DA4">
          <w:rPr>
            <w:rStyle w:val="Hyperlink"/>
            <w:noProof/>
          </w:rPr>
          <w:t>Nonclinical</w:t>
        </w:r>
        <w:r>
          <w:rPr>
            <w:noProof/>
            <w:webHidden/>
          </w:rPr>
          <w:tab/>
        </w:r>
        <w:r>
          <w:rPr>
            <w:noProof/>
            <w:webHidden/>
          </w:rPr>
          <w:fldChar w:fldCharType="begin"/>
        </w:r>
        <w:r>
          <w:rPr>
            <w:noProof/>
            <w:webHidden/>
          </w:rPr>
          <w:instrText xml:space="preserve"> PAGEREF _Toc345343196 \h </w:instrText>
        </w:r>
        <w:r>
          <w:rPr>
            <w:noProof/>
            <w:webHidden/>
          </w:rPr>
        </w:r>
        <w:r>
          <w:rPr>
            <w:noProof/>
            <w:webHidden/>
          </w:rPr>
          <w:fldChar w:fldCharType="separate"/>
        </w:r>
        <w:r>
          <w:rPr>
            <w:noProof/>
            <w:webHidden/>
          </w:rPr>
          <w:t>40</w:t>
        </w:r>
        <w:r>
          <w:rPr>
            <w:noProof/>
            <w:webHidden/>
          </w:rPr>
          <w:fldChar w:fldCharType="end"/>
        </w:r>
      </w:hyperlink>
    </w:p>
    <w:p w:rsidR="008E3F9E" w:rsidRDefault="008E3F9E">
      <w:pPr>
        <w:pStyle w:val="TOC3"/>
        <w:rPr>
          <w:rFonts w:ascii="Calibri" w:eastAsia="Times New Roman" w:hAnsi="Calibri"/>
          <w:noProof/>
          <w:lang w:eastAsia="en-AU"/>
        </w:rPr>
      </w:pPr>
      <w:hyperlink w:anchor="_Toc345343197" w:history="1">
        <w:r w:rsidRPr="00DD7DA4">
          <w:rPr>
            <w:rStyle w:val="Hyperlink"/>
            <w:noProof/>
          </w:rPr>
          <w:t>Clinical</w:t>
        </w:r>
        <w:r>
          <w:rPr>
            <w:noProof/>
            <w:webHidden/>
          </w:rPr>
          <w:tab/>
        </w:r>
        <w:r>
          <w:rPr>
            <w:noProof/>
            <w:webHidden/>
          </w:rPr>
          <w:fldChar w:fldCharType="begin"/>
        </w:r>
        <w:r>
          <w:rPr>
            <w:noProof/>
            <w:webHidden/>
          </w:rPr>
          <w:instrText xml:space="preserve"> PAGEREF _Toc345343197 \h </w:instrText>
        </w:r>
        <w:r>
          <w:rPr>
            <w:noProof/>
            <w:webHidden/>
          </w:rPr>
        </w:r>
        <w:r>
          <w:rPr>
            <w:noProof/>
            <w:webHidden/>
          </w:rPr>
          <w:fldChar w:fldCharType="separate"/>
        </w:r>
        <w:r>
          <w:rPr>
            <w:noProof/>
            <w:webHidden/>
          </w:rPr>
          <w:t>40</w:t>
        </w:r>
        <w:r>
          <w:rPr>
            <w:noProof/>
            <w:webHidden/>
          </w:rPr>
          <w:fldChar w:fldCharType="end"/>
        </w:r>
      </w:hyperlink>
    </w:p>
    <w:p w:rsidR="008E3F9E" w:rsidRDefault="008E3F9E">
      <w:pPr>
        <w:pStyle w:val="TOC3"/>
        <w:rPr>
          <w:rFonts w:ascii="Calibri" w:eastAsia="Times New Roman" w:hAnsi="Calibri"/>
          <w:noProof/>
          <w:lang w:eastAsia="en-AU"/>
        </w:rPr>
      </w:pPr>
      <w:hyperlink w:anchor="_Toc345343198" w:history="1">
        <w:r w:rsidRPr="00DD7DA4">
          <w:rPr>
            <w:rStyle w:val="Hyperlink"/>
            <w:noProof/>
            <w:lang w:eastAsia="en-AU"/>
          </w:rPr>
          <w:t>Risk management plan</w:t>
        </w:r>
        <w:r>
          <w:rPr>
            <w:noProof/>
            <w:webHidden/>
          </w:rPr>
          <w:tab/>
        </w:r>
        <w:r>
          <w:rPr>
            <w:noProof/>
            <w:webHidden/>
          </w:rPr>
          <w:fldChar w:fldCharType="begin"/>
        </w:r>
        <w:r>
          <w:rPr>
            <w:noProof/>
            <w:webHidden/>
          </w:rPr>
          <w:instrText xml:space="preserve"> PAGEREF _Toc345343198 \h </w:instrText>
        </w:r>
        <w:r>
          <w:rPr>
            <w:noProof/>
            <w:webHidden/>
          </w:rPr>
        </w:r>
        <w:r>
          <w:rPr>
            <w:noProof/>
            <w:webHidden/>
          </w:rPr>
          <w:fldChar w:fldCharType="separate"/>
        </w:r>
        <w:r>
          <w:rPr>
            <w:noProof/>
            <w:webHidden/>
          </w:rPr>
          <w:t>43</w:t>
        </w:r>
        <w:r>
          <w:rPr>
            <w:noProof/>
            <w:webHidden/>
          </w:rPr>
          <w:fldChar w:fldCharType="end"/>
        </w:r>
      </w:hyperlink>
    </w:p>
    <w:p w:rsidR="008E3F9E" w:rsidRDefault="008E3F9E">
      <w:pPr>
        <w:pStyle w:val="TOC3"/>
        <w:rPr>
          <w:rFonts w:ascii="Calibri" w:eastAsia="Times New Roman" w:hAnsi="Calibri"/>
          <w:noProof/>
          <w:lang w:eastAsia="en-AU"/>
        </w:rPr>
      </w:pPr>
      <w:hyperlink w:anchor="_Toc345343199" w:history="1">
        <w:r w:rsidRPr="00DD7DA4">
          <w:rPr>
            <w:rStyle w:val="Hyperlink"/>
            <w:noProof/>
          </w:rPr>
          <w:t>Risk-benefit analysis</w:t>
        </w:r>
        <w:r>
          <w:rPr>
            <w:noProof/>
            <w:webHidden/>
          </w:rPr>
          <w:tab/>
        </w:r>
        <w:r>
          <w:rPr>
            <w:noProof/>
            <w:webHidden/>
          </w:rPr>
          <w:fldChar w:fldCharType="begin"/>
        </w:r>
        <w:r>
          <w:rPr>
            <w:noProof/>
            <w:webHidden/>
          </w:rPr>
          <w:instrText xml:space="preserve"> PAGEREF _Toc345343199 \h </w:instrText>
        </w:r>
        <w:r>
          <w:rPr>
            <w:noProof/>
            <w:webHidden/>
          </w:rPr>
        </w:r>
        <w:r>
          <w:rPr>
            <w:noProof/>
            <w:webHidden/>
          </w:rPr>
          <w:fldChar w:fldCharType="separate"/>
        </w:r>
        <w:r>
          <w:rPr>
            <w:noProof/>
            <w:webHidden/>
          </w:rPr>
          <w:t>43</w:t>
        </w:r>
        <w:r>
          <w:rPr>
            <w:noProof/>
            <w:webHidden/>
          </w:rPr>
          <w:fldChar w:fldCharType="end"/>
        </w:r>
      </w:hyperlink>
    </w:p>
    <w:p w:rsidR="008E3F9E" w:rsidRDefault="008E3F9E">
      <w:pPr>
        <w:pStyle w:val="TOC3"/>
        <w:rPr>
          <w:rFonts w:ascii="Calibri" w:eastAsia="Times New Roman" w:hAnsi="Calibri"/>
          <w:noProof/>
          <w:lang w:eastAsia="en-AU"/>
        </w:rPr>
      </w:pPr>
      <w:hyperlink w:anchor="_Toc345343200" w:history="1">
        <w:r w:rsidRPr="00DD7DA4">
          <w:rPr>
            <w:rStyle w:val="Hyperlink"/>
            <w:noProof/>
          </w:rPr>
          <w:t>Outcome</w:t>
        </w:r>
        <w:r>
          <w:rPr>
            <w:noProof/>
            <w:webHidden/>
          </w:rPr>
          <w:tab/>
        </w:r>
        <w:r>
          <w:rPr>
            <w:noProof/>
            <w:webHidden/>
          </w:rPr>
          <w:fldChar w:fldCharType="begin"/>
        </w:r>
        <w:r>
          <w:rPr>
            <w:noProof/>
            <w:webHidden/>
          </w:rPr>
          <w:instrText xml:space="preserve"> PAGEREF _Toc345343200 \h </w:instrText>
        </w:r>
        <w:r>
          <w:rPr>
            <w:noProof/>
            <w:webHidden/>
          </w:rPr>
        </w:r>
        <w:r>
          <w:rPr>
            <w:noProof/>
            <w:webHidden/>
          </w:rPr>
          <w:fldChar w:fldCharType="separate"/>
        </w:r>
        <w:r>
          <w:rPr>
            <w:noProof/>
            <w:webHidden/>
          </w:rPr>
          <w:t>47</w:t>
        </w:r>
        <w:r>
          <w:rPr>
            <w:noProof/>
            <w:webHidden/>
          </w:rPr>
          <w:fldChar w:fldCharType="end"/>
        </w:r>
      </w:hyperlink>
    </w:p>
    <w:p w:rsidR="008E3F9E" w:rsidRDefault="008E3F9E">
      <w:pPr>
        <w:pStyle w:val="TOC2"/>
        <w:tabs>
          <w:tab w:val="left" w:pos="2448"/>
        </w:tabs>
        <w:rPr>
          <w:rFonts w:ascii="Calibri" w:eastAsia="Times New Roman" w:hAnsi="Calibri"/>
          <w:b w:val="0"/>
          <w:noProof/>
          <w:sz w:val="22"/>
          <w:lang w:eastAsia="en-AU"/>
        </w:rPr>
      </w:pPr>
      <w:hyperlink w:anchor="_Toc345343201" w:history="1">
        <w:r w:rsidRPr="00DD7DA4">
          <w:rPr>
            <w:rStyle w:val="Hyperlink"/>
            <w:noProof/>
          </w:rPr>
          <w:t>Attachment 1.</w:t>
        </w:r>
        <w:r>
          <w:rPr>
            <w:rFonts w:ascii="Calibri" w:eastAsia="Times New Roman" w:hAnsi="Calibri"/>
            <w:b w:val="0"/>
            <w:noProof/>
            <w:sz w:val="22"/>
            <w:lang w:eastAsia="en-AU"/>
          </w:rPr>
          <w:tab/>
        </w:r>
        <w:r w:rsidRPr="00DD7DA4">
          <w:rPr>
            <w:rStyle w:val="Hyperlink"/>
            <w:noProof/>
          </w:rPr>
          <w:t>Product Information</w:t>
        </w:r>
        <w:r>
          <w:rPr>
            <w:noProof/>
            <w:webHidden/>
          </w:rPr>
          <w:tab/>
        </w:r>
        <w:r>
          <w:rPr>
            <w:noProof/>
            <w:webHidden/>
          </w:rPr>
          <w:fldChar w:fldCharType="begin"/>
        </w:r>
        <w:r>
          <w:rPr>
            <w:noProof/>
            <w:webHidden/>
          </w:rPr>
          <w:instrText xml:space="preserve"> PAGEREF _Toc345343201 \h </w:instrText>
        </w:r>
        <w:r>
          <w:rPr>
            <w:noProof/>
            <w:webHidden/>
          </w:rPr>
        </w:r>
        <w:r>
          <w:rPr>
            <w:noProof/>
            <w:webHidden/>
          </w:rPr>
          <w:fldChar w:fldCharType="separate"/>
        </w:r>
        <w:r>
          <w:rPr>
            <w:noProof/>
            <w:webHidden/>
          </w:rPr>
          <w:t>47</w:t>
        </w:r>
        <w:r>
          <w:rPr>
            <w:noProof/>
            <w:webHidden/>
          </w:rPr>
          <w:fldChar w:fldCharType="end"/>
        </w:r>
      </w:hyperlink>
    </w:p>
    <w:p w:rsidR="003A7F6C" w:rsidRPr="00B811C6" w:rsidRDefault="003D1AE5" w:rsidP="00B811C6">
      <w:pPr>
        <w:pStyle w:val="TOC2"/>
      </w:pPr>
      <w:r>
        <w:fldChar w:fldCharType="end"/>
      </w:r>
      <w:bookmarkStart w:id="2" w:name="_Toc314842482"/>
    </w:p>
    <w:p w:rsidR="008E7846" w:rsidRDefault="00F53C07" w:rsidP="008E7846">
      <w:pPr>
        <w:pStyle w:val="Heading2"/>
      </w:pPr>
      <w:bookmarkStart w:id="3" w:name="_Toc345343170"/>
      <w:r>
        <w:lastRenderedPageBreak/>
        <w:t>I.</w:t>
      </w:r>
      <w:r w:rsidR="008E7846">
        <w:t xml:space="preserve"> Introduction to product submission</w:t>
      </w:r>
      <w:bookmarkEnd w:id="1"/>
      <w:bookmarkEnd w:id="2"/>
      <w:bookmarkEnd w:id="3"/>
    </w:p>
    <w:p w:rsidR="008E7846" w:rsidRDefault="008E7846" w:rsidP="008E7846">
      <w:pPr>
        <w:pStyle w:val="Heading3"/>
        <w:rPr>
          <w:lang w:eastAsia="en-AU"/>
        </w:rPr>
      </w:pPr>
      <w:bookmarkStart w:id="4" w:name="_Toc247691502"/>
      <w:bookmarkStart w:id="5" w:name="_Toc314842483"/>
      <w:bookmarkStart w:id="6" w:name="_Toc345343171"/>
      <w:r>
        <w:rPr>
          <w:lang w:eastAsia="en-AU"/>
        </w:rPr>
        <w:t>Submission details</w:t>
      </w:r>
      <w:bookmarkEnd w:id="4"/>
      <w:bookmarkEnd w:id="5"/>
      <w:bookmarkEnd w:id="6"/>
    </w:p>
    <w:tbl>
      <w:tblPr>
        <w:tblW w:w="8647" w:type="dxa"/>
        <w:tblInd w:w="108" w:type="dxa"/>
        <w:tblLook w:val="01E0"/>
      </w:tblPr>
      <w:tblGrid>
        <w:gridCol w:w="2907"/>
        <w:gridCol w:w="5740"/>
      </w:tblGrid>
      <w:tr w:rsidR="008E7846" w:rsidRPr="003D1E62" w:rsidTr="00BA7BC3">
        <w:trPr>
          <w:trHeight w:hRule="exact" w:val="454"/>
        </w:trPr>
        <w:tc>
          <w:tcPr>
            <w:tcW w:w="2907" w:type="dxa"/>
          </w:tcPr>
          <w:p w:rsidR="008E7846" w:rsidRPr="003D1E62" w:rsidRDefault="008E7846" w:rsidP="003D1E62">
            <w:pPr>
              <w:rPr>
                <w:i/>
              </w:rPr>
            </w:pPr>
            <w:r w:rsidRPr="003D1E62">
              <w:rPr>
                <w:i/>
              </w:rPr>
              <w:t>Type of Submission</w:t>
            </w:r>
          </w:p>
        </w:tc>
        <w:tc>
          <w:tcPr>
            <w:tcW w:w="5740" w:type="dxa"/>
          </w:tcPr>
          <w:p w:rsidR="008E7846" w:rsidRPr="003D1E62" w:rsidRDefault="006F64D2" w:rsidP="003D1E62">
            <w:r>
              <w:t>Extension of indications</w:t>
            </w:r>
          </w:p>
        </w:tc>
      </w:tr>
      <w:tr w:rsidR="008E7846" w:rsidRPr="003D1E62" w:rsidTr="00BA7BC3">
        <w:trPr>
          <w:trHeight w:hRule="exact" w:val="454"/>
        </w:trPr>
        <w:tc>
          <w:tcPr>
            <w:tcW w:w="2907" w:type="dxa"/>
          </w:tcPr>
          <w:p w:rsidR="008E7846" w:rsidRPr="003D1E62" w:rsidRDefault="008E7846" w:rsidP="003D1E62">
            <w:r w:rsidRPr="003D1E62">
              <w:rPr>
                <w:i/>
              </w:rPr>
              <w:t>Decision</w:t>
            </w:r>
            <w:r w:rsidRPr="003D1E62">
              <w:t>:</w:t>
            </w:r>
          </w:p>
        </w:tc>
        <w:tc>
          <w:tcPr>
            <w:tcW w:w="5740" w:type="dxa"/>
          </w:tcPr>
          <w:p w:rsidR="008E7846" w:rsidRPr="003D1E62" w:rsidRDefault="008E7846" w:rsidP="006F64D2">
            <w:r w:rsidRPr="003D1E62">
              <w:t>Approved</w:t>
            </w:r>
          </w:p>
        </w:tc>
      </w:tr>
      <w:tr w:rsidR="008E7846" w:rsidRPr="003D1E62" w:rsidTr="00BA7BC3">
        <w:trPr>
          <w:trHeight w:hRule="exact" w:val="454"/>
        </w:trPr>
        <w:tc>
          <w:tcPr>
            <w:tcW w:w="2907" w:type="dxa"/>
          </w:tcPr>
          <w:p w:rsidR="008E7846" w:rsidRPr="003D1E62" w:rsidRDefault="008E7846" w:rsidP="003D1E62">
            <w:pPr>
              <w:rPr>
                <w:i/>
              </w:rPr>
            </w:pPr>
            <w:r w:rsidRPr="003D1E62">
              <w:rPr>
                <w:i/>
              </w:rPr>
              <w:t>Date of Decision:</w:t>
            </w:r>
          </w:p>
        </w:tc>
        <w:tc>
          <w:tcPr>
            <w:tcW w:w="5740" w:type="dxa"/>
          </w:tcPr>
          <w:p w:rsidR="008E7846" w:rsidRPr="003D1E62" w:rsidRDefault="006F64D2" w:rsidP="003D1E62">
            <w:r>
              <w:t>4 May 2012</w:t>
            </w:r>
          </w:p>
        </w:tc>
      </w:tr>
      <w:tr w:rsidR="008E7846" w:rsidRPr="00487162" w:rsidTr="00BA7BC3">
        <w:tc>
          <w:tcPr>
            <w:tcW w:w="2907" w:type="dxa"/>
          </w:tcPr>
          <w:p w:rsidR="008E7846" w:rsidRPr="00487162" w:rsidRDefault="008E7846" w:rsidP="00E45619">
            <w:pPr>
              <w:rPr>
                <w:i/>
              </w:rPr>
            </w:pPr>
            <w:r w:rsidRPr="00487162">
              <w:rPr>
                <w:i/>
              </w:rPr>
              <w:t xml:space="preserve">Active ingredient(s): </w:t>
            </w:r>
          </w:p>
        </w:tc>
        <w:tc>
          <w:tcPr>
            <w:tcW w:w="5740" w:type="dxa"/>
          </w:tcPr>
          <w:p w:rsidR="008E7846" w:rsidRPr="00487162" w:rsidRDefault="00CA1708" w:rsidP="00E45619">
            <w:r>
              <w:t>S</w:t>
            </w:r>
            <w:r w:rsidRPr="00CA1708">
              <w:t>trontium ranelate</w:t>
            </w:r>
          </w:p>
        </w:tc>
      </w:tr>
      <w:tr w:rsidR="008E7846" w:rsidRPr="00487162" w:rsidTr="00BA7BC3">
        <w:tc>
          <w:tcPr>
            <w:tcW w:w="2907" w:type="dxa"/>
          </w:tcPr>
          <w:p w:rsidR="008E7846" w:rsidRPr="00487162" w:rsidRDefault="008E7846" w:rsidP="00E45619">
            <w:pPr>
              <w:rPr>
                <w:i/>
              </w:rPr>
            </w:pPr>
            <w:r w:rsidRPr="00487162">
              <w:rPr>
                <w:i/>
              </w:rPr>
              <w:t xml:space="preserve">Product Name(s): </w:t>
            </w:r>
          </w:p>
        </w:tc>
        <w:tc>
          <w:tcPr>
            <w:tcW w:w="5740" w:type="dxa"/>
          </w:tcPr>
          <w:p w:rsidR="008E7846" w:rsidRPr="00487162" w:rsidRDefault="00CA1708" w:rsidP="00E45619">
            <w:r>
              <w:t>Protos</w:t>
            </w:r>
          </w:p>
        </w:tc>
      </w:tr>
      <w:tr w:rsidR="008E7846" w:rsidRPr="00487162" w:rsidTr="00BA7BC3">
        <w:tc>
          <w:tcPr>
            <w:tcW w:w="2907" w:type="dxa"/>
          </w:tcPr>
          <w:p w:rsidR="008E7846" w:rsidRPr="00487162" w:rsidRDefault="008E7846" w:rsidP="00E45619">
            <w:pPr>
              <w:rPr>
                <w:i/>
              </w:rPr>
            </w:pPr>
            <w:r w:rsidRPr="00487162">
              <w:rPr>
                <w:i/>
              </w:rPr>
              <w:t>Sponsor’s Name and Address:</w:t>
            </w:r>
          </w:p>
        </w:tc>
        <w:tc>
          <w:tcPr>
            <w:tcW w:w="5740" w:type="dxa"/>
          </w:tcPr>
          <w:p w:rsidR="00204BF7" w:rsidRDefault="00204BF7" w:rsidP="00204BF7">
            <w:pPr>
              <w:ind w:right="-1964"/>
            </w:pPr>
            <w:r>
              <w:t>Servier Laboratories (Australia) Pty Ltd</w:t>
            </w:r>
          </w:p>
          <w:p w:rsidR="00204BF7" w:rsidRDefault="00204BF7" w:rsidP="00204BF7">
            <w:pPr>
              <w:ind w:right="-1964"/>
            </w:pPr>
            <w:r>
              <w:t>PO Box 196</w:t>
            </w:r>
          </w:p>
          <w:p w:rsidR="008E7846" w:rsidRPr="00487162" w:rsidRDefault="00204BF7" w:rsidP="00204BF7">
            <w:pPr>
              <w:ind w:right="-1964"/>
            </w:pPr>
            <w:r>
              <w:t>Hawthorn VIC 3122</w:t>
            </w:r>
          </w:p>
        </w:tc>
      </w:tr>
      <w:tr w:rsidR="008E7846" w:rsidRPr="00487162" w:rsidTr="00BA7BC3">
        <w:tc>
          <w:tcPr>
            <w:tcW w:w="2907" w:type="dxa"/>
          </w:tcPr>
          <w:p w:rsidR="008E7846" w:rsidRPr="00487162" w:rsidRDefault="008E7846" w:rsidP="00E45619">
            <w:pPr>
              <w:rPr>
                <w:i/>
              </w:rPr>
            </w:pPr>
            <w:r w:rsidRPr="00487162">
              <w:rPr>
                <w:i/>
              </w:rPr>
              <w:t xml:space="preserve">Dose form(s): </w:t>
            </w:r>
          </w:p>
        </w:tc>
        <w:tc>
          <w:tcPr>
            <w:tcW w:w="5740" w:type="dxa"/>
          </w:tcPr>
          <w:p w:rsidR="008E7846" w:rsidRPr="00487162" w:rsidRDefault="00432703" w:rsidP="00542D89">
            <w:r>
              <w:t>Powder</w:t>
            </w:r>
            <w:r w:rsidR="0037038F">
              <w:t xml:space="preserve"> for suspension</w:t>
            </w:r>
          </w:p>
        </w:tc>
      </w:tr>
      <w:tr w:rsidR="008E7846" w:rsidRPr="00487162" w:rsidTr="00BA7BC3">
        <w:tc>
          <w:tcPr>
            <w:tcW w:w="2907" w:type="dxa"/>
          </w:tcPr>
          <w:p w:rsidR="008E7846" w:rsidRPr="00487162" w:rsidRDefault="008E7846" w:rsidP="00E45619">
            <w:pPr>
              <w:rPr>
                <w:i/>
              </w:rPr>
            </w:pPr>
            <w:r w:rsidRPr="00487162">
              <w:rPr>
                <w:i/>
              </w:rPr>
              <w:t xml:space="preserve">Strength(s): </w:t>
            </w:r>
          </w:p>
        </w:tc>
        <w:tc>
          <w:tcPr>
            <w:tcW w:w="5740" w:type="dxa"/>
          </w:tcPr>
          <w:p w:rsidR="008E7846" w:rsidRPr="00487162" w:rsidRDefault="00432703" w:rsidP="00E45619">
            <w:r>
              <w:t>2 g sachets</w:t>
            </w:r>
          </w:p>
        </w:tc>
      </w:tr>
      <w:tr w:rsidR="008E7846" w:rsidRPr="00487162" w:rsidTr="00BA7BC3">
        <w:tc>
          <w:tcPr>
            <w:tcW w:w="2907" w:type="dxa"/>
          </w:tcPr>
          <w:p w:rsidR="008E7846" w:rsidRPr="00487162" w:rsidRDefault="008E7846" w:rsidP="00E45619">
            <w:pPr>
              <w:rPr>
                <w:i/>
              </w:rPr>
            </w:pPr>
            <w:r w:rsidRPr="00487162">
              <w:rPr>
                <w:i/>
              </w:rPr>
              <w:t>Container(s):</w:t>
            </w:r>
          </w:p>
        </w:tc>
        <w:tc>
          <w:tcPr>
            <w:tcW w:w="5740" w:type="dxa"/>
          </w:tcPr>
          <w:p w:rsidR="008E7846" w:rsidRPr="00487162" w:rsidRDefault="004D711D" w:rsidP="00E45619">
            <w:r>
              <w:t>Sachets</w:t>
            </w:r>
          </w:p>
        </w:tc>
      </w:tr>
      <w:tr w:rsidR="008E7846" w:rsidRPr="00487162" w:rsidTr="00BA7BC3">
        <w:tc>
          <w:tcPr>
            <w:tcW w:w="2907" w:type="dxa"/>
          </w:tcPr>
          <w:p w:rsidR="008E7846" w:rsidRPr="00487162" w:rsidRDefault="008E7846" w:rsidP="00E45619">
            <w:pPr>
              <w:rPr>
                <w:i/>
              </w:rPr>
            </w:pPr>
            <w:r w:rsidRPr="00487162">
              <w:rPr>
                <w:i/>
              </w:rPr>
              <w:t>Approved Therapeutic use:</w:t>
            </w:r>
          </w:p>
        </w:tc>
        <w:tc>
          <w:tcPr>
            <w:tcW w:w="5740" w:type="dxa"/>
          </w:tcPr>
          <w:p w:rsidR="008E7846" w:rsidRPr="00487162" w:rsidRDefault="00D95C47" w:rsidP="00E45619">
            <w:pPr>
              <w:rPr>
                <w:rFonts w:eastAsia="MS Mincho"/>
                <w:lang w:eastAsia="ja-JP"/>
              </w:rPr>
            </w:pPr>
            <w:r>
              <w:t>Treatment of osteoporosis in men at increased risk of fracture.</w:t>
            </w:r>
          </w:p>
        </w:tc>
      </w:tr>
      <w:tr w:rsidR="008E7846" w:rsidRPr="00487162" w:rsidTr="00BA7BC3">
        <w:tc>
          <w:tcPr>
            <w:tcW w:w="2907" w:type="dxa"/>
          </w:tcPr>
          <w:p w:rsidR="008E7846" w:rsidRPr="00487162" w:rsidRDefault="008E7846" w:rsidP="00E45619">
            <w:pPr>
              <w:rPr>
                <w:i/>
              </w:rPr>
            </w:pPr>
            <w:r w:rsidRPr="00487162">
              <w:rPr>
                <w:i/>
              </w:rPr>
              <w:t>Route(s) of administration:</w:t>
            </w:r>
          </w:p>
        </w:tc>
        <w:tc>
          <w:tcPr>
            <w:tcW w:w="5740" w:type="dxa"/>
          </w:tcPr>
          <w:p w:rsidR="008E7846" w:rsidRPr="00487162" w:rsidRDefault="00542D89" w:rsidP="00E45619">
            <w:r>
              <w:t>Oral</w:t>
            </w:r>
          </w:p>
        </w:tc>
      </w:tr>
      <w:tr w:rsidR="008E7846" w:rsidRPr="00487162" w:rsidTr="00BA7BC3">
        <w:tc>
          <w:tcPr>
            <w:tcW w:w="2907" w:type="dxa"/>
          </w:tcPr>
          <w:p w:rsidR="008E7846" w:rsidRPr="00487162" w:rsidRDefault="008E7846" w:rsidP="00E45619">
            <w:pPr>
              <w:rPr>
                <w:i/>
              </w:rPr>
            </w:pPr>
            <w:r w:rsidRPr="00487162">
              <w:rPr>
                <w:i/>
              </w:rPr>
              <w:t>Dosage:</w:t>
            </w:r>
          </w:p>
        </w:tc>
        <w:tc>
          <w:tcPr>
            <w:tcW w:w="5740" w:type="dxa"/>
          </w:tcPr>
          <w:p w:rsidR="008E7846" w:rsidRPr="00487162" w:rsidRDefault="0037038F" w:rsidP="00E45619">
            <w:r>
              <w:t>1 sachet daily</w:t>
            </w:r>
          </w:p>
        </w:tc>
      </w:tr>
      <w:tr w:rsidR="008E7846" w:rsidRPr="00487162" w:rsidTr="00BA7BC3">
        <w:tc>
          <w:tcPr>
            <w:tcW w:w="2907" w:type="dxa"/>
          </w:tcPr>
          <w:p w:rsidR="008E7846" w:rsidRPr="00487162" w:rsidRDefault="00DC4B73" w:rsidP="00E45619">
            <w:pPr>
              <w:rPr>
                <w:i/>
              </w:rPr>
            </w:pPr>
            <w:r>
              <w:rPr>
                <w:i/>
              </w:rPr>
              <w:t>ARTG Number</w:t>
            </w:r>
          </w:p>
        </w:tc>
        <w:tc>
          <w:tcPr>
            <w:tcW w:w="5740" w:type="dxa"/>
          </w:tcPr>
          <w:p w:rsidR="008E7846" w:rsidRPr="00487162" w:rsidRDefault="004D711D" w:rsidP="00E45619">
            <w:r>
              <w:t>99978</w:t>
            </w:r>
          </w:p>
        </w:tc>
      </w:tr>
    </w:tbl>
    <w:p w:rsidR="008E7846" w:rsidRDefault="008E7846" w:rsidP="008E7846">
      <w:pPr>
        <w:pStyle w:val="Heading3"/>
      </w:pPr>
      <w:bookmarkStart w:id="7" w:name="_Toc247691503"/>
      <w:bookmarkStart w:id="8" w:name="_Toc314842484"/>
      <w:bookmarkStart w:id="9" w:name="_Toc345343172"/>
      <w:r>
        <w:t>Product background</w:t>
      </w:r>
      <w:bookmarkEnd w:id="7"/>
      <w:bookmarkEnd w:id="8"/>
      <w:bookmarkEnd w:id="9"/>
    </w:p>
    <w:p w:rsidR="00D12DD1" w:rsidRDefault="00D95C47" w:rsidP="008E7846">
      <w:r>
        <w:t>This AusPAR describes an application by the sponsor, Servier Laboratories (Australia) Pty Ltd, to extend the indications of Protos (s</w:t>
      </w:r>
      <w:r w:rsidRPr="00CA1708">
        <w:t>trontium ranelate</w:t>
      </w:r>
      <w:r>
        <w:t>)</w:t>
      </w:r>
      <w:r w:rsidR="00D12DD1">
        <w:t xml:space="preserve">. The </w:t>
      </w:r>
      <w:r w:rsidR="00B623C3">
        <w:t xml:space="preserve">current </w:t>
      </w:r>
      <w:r w:rsidR="00D12DD1">
        <w:t>approved indication is:</w:t>
      </w:r>
    </w:p>
    <w:p w:rsidR="00D12DD1" w:rsidRPr="00D12DD1" w:rsidRDefault="00D12DD1" w:rsidP="00D12DD1">
      <w:pPr>
        <w:ind w:firstLine="720"/>
        <w:rPr>
          <w:i/>
        </w:rPr>
      </w:pPr>
      <w:r w:rsidRPr="00D12DD1">
        <w:rPr>
          <w:i/>
        </w:rPr>
        <w:t>“Treatment of postmenopausal osteoporosis to reduce the risk of frac</w:t>
      </w:r>
      <w:r w:rsidR="00B623C3">
        <w:rPr>
          <w:i/>
        </w:rPr>
        <w:t>ture.”</w:t>
      </w:r>
    </w:p>
    <w:p w:rsidR="00D12DD1" w:rsidRDefault="00D12DD1" w:rsidP="008E7846">
      <w:r w:rsidRPr="00D12DD1">
        <w:t>The pr</w:t>
      </w:r>
      <w:r>
        <w:t>oposed additional indication is:</w:t>
      </w:r>
    </w:p>
    <w:p w:rsidR="00D12DD1" w:rsidRPr="00D12DD1" w:rsidRDefault="00D12DD1" w:rsidP="00D12DD1">
      <w:pPr>
        <w:ind w:firstLine="720"/>
        <w:rPr>
          <w:i/>
        </w:rPr>
      </w:pPr>
      <w:r w:rsidRPr="00D12DD1">
        <w:rPr>
          <w:i/>
        </w:rPr>
        <w:t>“Treatment of osteoporosis in men at increased risk of fracture.”</w:t>
      </w:r>
    </w:p>
    <w:p w:rsidR="008E7846" w:rsidRDefault="00D12DD1" w:rsidP="008E7846">
      <w:r>
        <w:t>This application is thereby to</w:t>
      </w:r>
      <w:r w:rsidRPr="00D12DD1">
        <w:t xml:space="preserve"> extend the indication </w:t>
      </w:r>
      <w:r>
        <w:t>of s</w:t>
      </w:r>
      <w:r w:rsidRPr="00CA1708">
        <w:t>trontium ranelate</w:t>
      </w:r>
      <w:r w:rsidRPr="00D12DD1">
        <w:t xml:space="preserve"> to both sexes.</w:t>
      </w:r>
    </w:p>
    <w:p w:rsidR="002B72F0" w:rsidRDefault="002B72F0" w:rsidP="00AF6E6D">
      <w:r>
        <w:t>S</w:t>
      </w:r>
      <w:r w:rsidRPr="00CA1708">
        <w:t>trontium ranelate</w:t>
      </w:r>
      <w:r w:rsidRPr="00D12DD1">
        <w:t xml:space="preserve"> </w:t>
      </w:r>
      <w:r w:rsidRPr="002C5F5C">
        <w:t>is currently in a unique class</w:t>
      </w:r>
      <w:r w:rsidR="0078051D">
        <w:t xml:space="preserve"> of drug that </w:t>
      </w:r>
      <w:r w:rsidRPr="002C5F5C">
        <w:t>substitutes skeletal apatite crystalline calcium with strontium</w:t>
      </w:r>
      <w:r>
        <w:t xml:space="preserve"> or coats the crystal</w:t>
      </w:r>
      <w:r w:rsidRPr="002C5F5C">
        <w:t>. This results in claimed increases in bone formation by increasing osteoblast precursor replication and collagen synthesis, and reducing bone resorption by altering osteoclast ultrastructure.</w:t>
      </w:r>
      <w:r>
        <w:t xml:space="preserve"> S</w:t>
      </w:r>
      <w:r w:rsidRPr="002C5F5C">
        <w:t>trontium ranelate (S12911) is composed of two atoms of stable strontium and the organic ranelic acid as the anion representing 34% and 66% of the compound</w:t>
      </w:r>
      <w:r>
        <w:t>,</w:t>
      </w:r>
      <w:r w:rsidRPr="002C5F5C">
        <w:t xml:space="preserve"> respectively</w:t>
      </w:r>
      <w:r>
        <w:t xml:space="preserve"> (Figure 1).</w:t>
      </w:r>
    </w:p>
    <w:p w:rsidR="00AE5BF9" w:rsidRDefault="0078051D" w:rsidP="00AE5BF9">
      <w:pPr>
        <w:pStyle w:val="FigureTitle"/>
        <w:rPr>
          <w:lang w:val="en-GB"/>
        </w:rPr>
      </w:pPr>
      <w:r>
        <w:br w:type="page"/>
      </w:r>
      <w:r w:rsidR="00AE5BF9">
        <w:lastRenderedPageBreak/>
        <w:t>Figure</w:t>
      </w:r>
      <w:r w:rsidR="00AE5BF9" w:rsidRPr="004C5C28">
        <w:t xml:space="preserve"> 1</w:t>
      </w:r>
      <w:r w:rsidR="00AE5BF9">
        <w:t>:</w:t>
      </w:r>
      <w:r w:rsidR="00AE5BF9" w:rsidRPr="004C5C28">
        <w:t xml:space="preserve"> </w:t>
      </w:r>
      <w:r w:rsidR="002B72F0" w:rsidRPr="002B72F0">
        <w:t>Structure of strontium ranelate</w:t>
      </w:r>
      <w:r w:rsidR="00AE5BF9">
        <w:t>.</w:t>
      </w:r>
    </w:p>
    <w:p w:rsidR="00AE5BF9" w:rsidRDefault="00294DCE" w:rsidP="0078051D">
      <w:pPr>
        <w:jc w:val="center"/>
      </w:pPr>
      <w:r>
        <w:rPr>
          <w:noProof/>
          <w:lang w:eastAsia="en-AU"/>
        </w:rPr>
        <w:drawing>
          <wp:inline distT="0" distB="0" distL="0" distR="0">
            <wp:extent cx="3394075" cy="897255"/>
            <wp:effectExtent l="19050" t="0" r="0" b="0"/>
            <wp:docPr id="25" name="Picture 1" descr="Figure 1: Structure of strontium rane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tructure of strontium ranelate"/>
                    <pic:cNvPicPr>
                      <a:picLocks noChangeAspect="1" noChangeArrowheads="1"/>
                    </pic:cNvPicPr>
                  </pic:nvPicPr>
                  <pic:blipFill>
                    <a:blip r:embed="rId16" cstate="print"/>
                    <a:srcRect/>
                    <a:stretch>
                      <a:fillRect/>
                    </a:stretch>
                  </pic:blipFill>
                  <pic:spPr bwMode="auto">
                    <a:xfrm>
                      <a:off x="0" y="0"/>
                      <a:ext cx="3394075" cy="897255"/>
                    </a:xfrm>
                    <a:prstGeom prst="rect">
                      <a:avLst/>
                    </a:prstGeom>
                    <a:noFill/>
                    <a:ln w="9525">
                      <a:noFill/>
                      <a:miter lim="800000"/>
                      <a:headEnd/>
                      <a:tailEnd/>
                    </a:ln>
                  </pic:spPr>
                </pic:pic>
              </a:graphicData>
            </a:graphic>
          </wp:inline>
        </w:drawing>
      </w:r>
    </w:p>
    <w:p w:rsidR="008E7846" w:rsidRPr="003F31A2" w:rsidRDefault="00386150" w:rsidP="008E7846">
      <w:pPr>
        <w:pStyle w:val="Heading3"/>
      </w:pPr>
      <w:bookmarkStart w:id="10" w:name="_Toc314842485"/>
      <w:bookmarkStart w:id="11" w:name="_Toc247691504"/>
      <w:bookmarkStart w:id="12" w:name="_Toc345343173"/>
      <w:r>
        <w:t>Regulatory s</w:t>
      </w:r>
      <w:r w:rsidR="008E7846">
        <w:t>tatus</w:t>
      </w:r>
      <w:bookmarkEnd w:id="10"/>
      <w:bookmarkEnd w:id="12"/>
      <w:r w:rsidR="008E7846">
        <w:t xml:space="preserve"> </w:t>
      </w:r>
      <w:bookmarkEnd w:id="11"/>
    </w:p>
    <w:p w:rsidR="00FA6F2B" w:rsidRDefault="00FA6F2B" w:rsidP="00AF6E6D">
      <w:r>
        <w:t xml:space="preserve">In Australia, strontium ranelate was originally approved in 2005 for </w:t>
      </w:r>
      <w:r w:rsidRPr="00676E93">
        <w:t xml:space="preserve">postmenopausal </w:t>
      </w:r>
      <w:r w:rsidRPr="0078051D">
        <w:rPr>
          <w:b/>
        </w:rPr>
        <w:t>women</w:t>
      </w:r>
      <w:r>
        <w:t xml:space="preserve"> at high risk of osteoporotic fracture.</w:t>
      </w:r>
    </w:p>
    <w:p w:rsidR="00BE615C" w:rsidRDefault="00BE615C" w:rsidP="00AF6E6D">
      <w:r w:rsidRPr="00BE615C">
        <w:t>At the time of the review of this AusPAR, strontium ranelate was approved for the treatment of osteoporosis in men in Europe on 2</w:t>
      </w:r>
      <w:r>
        <w:t>7 June 2012 with the indication:</w:t>
      </w:r>
    </w:p>
    <w:p w:rsidR="00BE615C" w:rsidRPr="00BE615C" w:rsidRDefault="00BE615C" w:rsidP="004E2E65">
      <w:pPr>
        <w:rPr>
          <w:i/>
        </w:rPr>
      </w:pPr>
      <w:r w:rsidRPr="00BE615C">
        <w:rPr>
          <w:i/>
        </w:rPr>
        <w:tab/>
        <w:t>“Treatment of osteoporosis in adult men at increased risk of fracture.”</w:t>
      </w:r>
    </w:p>
    <w:p w:rsidR="008E7846" w:rsidRDefault="008E7846" w:rsidP="00AF6E6D">
      <w:pPr>
        <w:pStyle w:val="Heading3"/>
      </w:pPr>
      <w:bookmarkStart w:id="13" w:name="_Toc247691505"/>
      <w:bookmarkStart w:id="14" w:name="_Toc314842486"/>
      <w:bookmarkStart w:id="15" w:name="_Toc345343174"/>
      <w:r w:rsidRPr="00AF6E6D">
        <w:t>Product</w:t>
      </w:r>
      <w:r>
        <w:t xml:space="preserve"> Information</w:t>
      </w:r>
      <w:bookmarkEnd w:id="13"/>
      <w:bookmarkEnd w:id="14"/>
      <w:bookmarkEnd w:id="15"/>
    </w:p>
    <w:p w:rsidR="008E7846" w:rsidRDefault="008E7846" w:rsidP="00AF6E6D">
      <w:r>
        <w:t>The approved Product Information (PI) current at the time this AusPAR was prepared can be found as Attachment 1.</w:t>
      </w:r>
      <w:bookmarkStart w:id="16" w:name="_Toc247691506"/>
      <w:bookmarkStart w:id="17" w:name="_Toc314842487"/>
    </w:p>
    <w:p w:rsidR="004462A4" w:rsidRDefault="00E50FB9" w:rsidP="004462A4">
      <w:pPr>
        <w:pStyle w:val="Heading3"/>
      </w:pPr>
      <w:bookmarkStart w:id="18" w:name="_Toc340582906"/>
      <w:r>
        <w:br w:type="page"/>
      </w:r>
      <w:bookmarkStart w:id="19" w:name="_Toc345343175"/>
      <w:r w:rsidR="004462A4">
        <w:lastRenderedPageBreak/>
        <w:t>List of abbreviations</w:t>
      </w:r>
      <w:bookmarkEnd w:id="18"/>
      <w:bookmarkEnd w:id="19"/>
    </w:p>
    <w:p w:rsidR="004F6365" w:rsidRDefault="00AF6E6D" w:rsidP="00AF6E6D">
      <w:pPr>
        <w:tabs>
          <w:tab w:val="left" w:pos="1418"/>
        </w:tabs>
      </w:pPr>
      <w:r>
        <w:t>AE</w:t>
      </w:r>
      <w:r>
        <w:tab/>
      </w:r>
      <w:r w:rsidR="004F6365">
        <w:t>adverse event</w:t>
      </w:r>
    </w:p>
    <w:p w:rsidR="00BD187F" w:rsidRDefault="00AF6E6D" w:rsidP="00AF6E6D">
      <w:pPr>
        <w:tabs>
          <w:tab w:val="left" w:pos="1418"/>
        </w:tabs>
      </w:pPr>
      <w:r>
        <w:t>ALP</w:t>
      </w:r>
      <w:r w:rsidR="00BD187F">
        <w:tab/>
      </w:r>
      <w:r w:rsidR="00BD187F" w:rsidRPr="00F94D0A">
        <w:t xml:space="preserve">alkaline phosphatase </w:t>
      </w:r>
    </w:p>
    <w:p w:rsidR="00261AB8" w:rsidRDefault="0033189A" w:rsidP="00AF6E6D">
      <w:pPr>
        <w:tabs>
          <w:tab w:val="left" w:pos="1418"/>
        </w:tabs>
      </w:pPr>
      <w:r>
        <w:t>AUC</w:t>
      </w:r>
      <w:r>
        <w:tab/>
        <w:t xml:space="preserve">area under </w:t>
      </w:r>
      <w:r w:rsidRPr="0033189A">
        <w:t>the plasma concentration-time curve</w:t>
      </w:r>
    </w:p>
    <w:p w:rsidR="0033189A" w:rsidRDefault="0033189A" w:rsidP="00AF6E6D">
      <w:pPr>
        <w:tabs>
          <w:tab w:val="left" w:pos="1418"/>
        </w:tabs>
      </w:pPr>
      <w:r>
        <w:t>AUC</w:t>
      </w:r>
      <w:r w:rsidR="00783CE0" w:rsidRPr="00783CE0">
        <w:rPr>
          <w:vertAlign w:val="subscript"/>
        </w:rPr>
        <w:t>t1-t2</w:t>
      </w:r>
      <w:r w:rsidR="00AF6E6D">
        <w:tab/>
      </w:r>
      <w:r w:rsidR="00783CE0">
        <w:t>a</w:t>
      </w:r>
      <w:r w:rsidR="00783CE0" w:rsidRPr="00783CE0">
        <w:t>rea under the plasma concentration-time curve within time span t1 to t2</w:t>
      </w:r>
    </w:p>
    <w:p w:rsidR="00D44C7A" w:rsidRDefault="00D44C7A" w:rsidP="00AF6E6D">
      <w:pPr>
        <w:tabs>
          <w:tab w:val="left" w:pos="1418"/>
        </w:tabs>
      </w:pPr>
      <w:r>
        <w:t xml:space="preserve">bALP </w:t>
      </w:r>
      <w:r>
        <w:tab/>
        <w:t>bone specific alkaline phosphatase</w:t>
      </w:r>
    </w:p>
    <w:p w:rsidR="00D44C7A" w:rsidRDefault="00D44C7A" w:rsidP="00AF6E6D">
      <w:pPr>
        <w:tabs>
          <w:tab w:val="left" w:pos="1418"/>
        </w:tabs>
      </w:pPr>
      <w:r>
        <w:t>BMD</w:t>
      </w:r>
      <w:r>
        <w:tab/>
        <w:t>Bone Mineral Density</w:t>
      </w:r>
    </w:p>
    <w:p w:rsidR="00D44C7A" w:rsidRDefault="00D44C7A" w:rsidP="00AF6E6D">
      <w:pPr>
        <w:tabs>
          <w:tab w:val="left" w:pos="1418"/>
        </w:tabs>
      </w:pPr>
      <w:r>
        <w:t>BMI</w:t>
      </w:r>
      <w:r>
        <w:tab/>
        <w:t>Body Mass Index</w:t>
      </w:r>
    </w:p>
    <w:p w:rsidR="00164FAE" w:rsidRDefault="00164FAE" w:rsidP="00AF6E6D">
      <w:pPr>
        <w:tabs>
          <w:tab w:val="left" w:pos="1418"/>
        </w:tabs>
      </w:pPr>
      <w:r>
        <w:t>C</w:t>
      </w:r>
      <w:r w:rsidRPr="00164FAE">
        <w:rPr>
          <w:vertAlign w:val="subscript"/>
        </w:rPr>
        <w:t>max</w:t>
      </w:r>
      <w:r w:rsidR="00EA20F0">
        <w:tab/>
        <w:t>m</w:t>
      </w:r>
      <w:r w:rsidR="00EA20F0" w:rsidRPr="00EA20F0">
        <w:t>aximum (peak) plasma drug concentration</w:t>
      </w:r>
    </w:p>
    <w:p w:rsidR="00D44C7A" w:rsidRDefault="00D44C7A" w:rsidP="00AF6E6D">
      <w:pPr>
        <w:tabs>
          <w:tab w:val="left" w:pos="1418"/>
        </w:tabs>
      </w:pPr>
      <w:r>
        <w:t>Ca</w:t>
      </w:r>
      <w:r>
        <w:tab/>
        <w:t>calcium</w:t>
      </w:r>
    </w:p>
    <w:p w:rsidR="00D44C7A" w:rsidRDefault="00D44C7A" w:rsidP="00AF6E6D">
      <w:pPr>
        <w:tabs>
          <w:tab w:val="left" w:pos="1418"/>
        </w:tabs>
      </w:pPr>
      <w:r>
        <w:t>CHMP</w:t>
      </w:r>
      <w:r>
        <w:tab/>
        <w:t>Committee for Medicinal Products for Human Use</w:t>
      </w:r>
    </w:p>
    <w:p w:rsidR="00D44C7A" w:rsidRDefault="00D44C7A" w:rsidP="00AF6E6D">
      <w:pPr>
        <w:tabs>
          <w:tab w:val="left" w:pos="1418"/>
        </w:tabs>
      </w:pPr>
      <w:r>
        <w:t>CI</w:t>
      </w:r>
      <w:r>
        <w:tab/>
        <w:t>confidence interval</w:t>
      </w:r>
    </w:p>
    <w:p w:rsidR="001115E7" w:rsidRDefault="001115E7" w:rsidP="00AF6E6D">
      <w:pPr>
        <w:tabs>
          <w:tab w:val="left" w:pos="1418"/>
        </w:tabs>
        <w:rPr>
          <w:bCs/>
        </w:rPr>
      </w:pPr>
      <w:r>
        <w:t>CMI</w:t>
      </w:r>
      <w:r>
        <w:tab/>
      </w:r>
      <w:r>
        <w:rPr>
          <w:bCs/>
        </w:rPr>
        <w:t>Consumer Medicine Information</w:t>
      </w:r>
    </w:p>
    <w:p w:rsidR="00D44C7A" w:rsidRDefault="00D44C7A" w:rsidP="00AF6E6D">
      <w:pPr>
        <w:tabs>
          <w:tab w:val="left" w:pos="1418"/>
        </w:tabs>
      </w:pPr>
      <w:r>
        <w:t>CNS</w:t>
      </w:r>
      <w:r>
        <w:tab/>
        <w:t>central nervous system</w:t>
      </w:r>
    </w:p>
    <w:p w:rsidR="00D44C7A" w:rsidRDefault="00D44C7A" w:rsidP="00AF6E6D">
      <w:pPr>
        <w:tabs>
          <w:tab w:val="left" w:pos="1418"/>
        </w:tabs>
      </w:pPr>
      <w:r>
        <w:t>CPK</w:t>
      </w:r>
      <w:r>
        <w:tab/>
        <w:t>creatine phosphokinase</w:t>
      </w:r>
    </w:p>
    <w:p w:rsidR="00D44C7A" w:rsidRDefault="00D44C7A" w:rsidP="00AF6E6D">
      <w:pPr>
        <w:tabs>
          <w:tab w:val="left" w:pos="1418"/>
        </w:tabs>
      </w:pPr>
      <w:r>
        <w:t>DRESS</w:t>
      </w:r>
      <w:r>
        <w:tab/>
      </w:r>
      <w:r w:rsidR="00AF6E6D">
        <w:t>D</w:t>
      </w:r>
      <w:r>
        <w:t>rug Rash with Eosinophilia and Systemic Symptoms</w:t>
      </w:r>
    </w:p>
    <w:p w:rsidR="00D44C7A" w:rsidRDefault="00D44C7A" w:rsidP="00AF6E6D">
      <w:pPr>
        <w:tabs>
          <w:tab w:val="left" w:pos="1418"/>
        </w:tabs>
      </w:pPr>
      <w:r>
        <w:t>DXA</w:t>
      </w:r>
      <w:r>
        <w:tab/>
        <w:t>dual energy X</w:t>
      </w:r>
      <w:r w:rsidR="00B76361">
        <w:t xml:space="preserve"> </w:t>
      </w:r>
      <w:r>
        <w:t>ray absorptiometry</w:t>
      </w:r>
    </w:p>
    <w:p w:rsidR="00D44C7A" w:rsidRDefault="00D44C7A" w:rsidP="00AF6E6D">
      <w:pPr>
        <w:tabs>
          <w:tab w:val="left" w:pos="1418"/>
        </w:tabs>
      </w:pPr>
      <w:r>
        <w:t>E</w:t>
      </w:r>
      <w:r>
        <w:tab/>
        <w:t>estimate</w:t>
      </w:r>
    </w:p>
    <w:p w:rsidR="00D44C7A" w:rsidRDefault="00D44C7A" w:rsidP="00AF6E6D">
      <w:pPr>
        <w:tabs>
          <w:tab w:val="left" w:pos="1418"/>
        </w:tabs>
      </w:pPr>
      <w:r>
        <w:t>EAE</w:t>
      </w:r>
      <w:r>
        <w:tab/>
        <w:t>emergent adverse event</w:t>
      </w:r>
    </w:p>
    <w:p w:rsidR="00D44C7A" w:rsidRDefault="00D44C7A" w:rsidP="00AF6E6D">
      <w:pPr>
        <w:tabs>
          <w:tab w:val="left" w:pos="1418"/>
        </w:tabs>
      </w:pPr>
      <w:r>
        <w:t>ECG</w:t>
      </w:r>
      <w:r>
        <w:tab/>
        <w:t>electrocardiogram</w:t>
      </w:r>
    </w:p>
    <w:p w:rsidR="00D44C7A" w:rsidRDefault="00D44C7A" w:rsidP="00AF6E6D">
      <w:pPr>
        <w:tabs>
          <w:tab w:val="left" w:pos="1418"/>
        </w:tabs>
      </w:pPr>
      <w:r>
        <w:t>EMA/EMEA</w:t>
      </w:r>
      <w:r>
        <w:tab/>
      </w:r>
      <w:r w:rsidR="00AF6E6D">
        <w:t>E</w:t>
      </w:r>
      <w:r>
        <w:t>uropean Agency for the Evaluation of Medicinal Products</w:t>
      </w:r>
    </w:p>
    <w:p w:rsidR="00D44C7A" w:rsidRDefault="00D44C7A" w:rsidP="00AF6E6D">
      <w:pPr>
        <w:tabs>
          <w:tab w:val="left" w:pos="1418"/>
        </w:tabs>
      </w:pPr>
      <w:r>
        <w:t>FAS</w:t>
      </w:r>
      <w:r>
        <w:tab/>
      </w:r>
      <w:r w:rsidR="002C0294">
        <w:t>F</w:t>
      </w:r>
      <w:r>
        <w:t xml:space="preserve">ull </w:t>
      </w:r>
      <w:r w:rsidR="002C0294">
        <w:t>A</w:t>
      </w:r>
      <w:r>
        <w:t xml:space="preserve">nalysis </w:t>
      </w:r>
      <w:r w:rsidR="002C0294">
        <w:t>s</w:t>
      </w:r>
      <w:r>
        <w:t>et (according to Intent To Treat principle)</w:t>
      </w:r>
    </w:p>
    <w:p w:rsidR="00BE7F4D" w:rsidRDefault="00BE7F4D" w:rsidP="00AF6E6D">
      <w:pPr>
        <w:tabs>
          <w:tab w:val="left" w:pos="1418"/>
        </w:tabs>
      </w:pPr>
      <w:r>
        <w:t>G</w:t>
      </w:r>
      <w:r w:rsidR="004C085A">
        <w:t>C</w:t>
      </w:r>
      <w:r>
        <w:t>P</w:t>
      </w:r>
      <w:r>
        <w:tab/>
        <w:t>Good Clinical Practice</w:t>
      </w:r>
    </w:p>
    <w:p w:rsidR="00D44C7A" w:rsidRDefault="00D44C7A" w:rsidP="00AF6E6D">
      <w:pPr>
        <w:tabs>
          <w:tab w:val="left" w:pos="1418"/>
        </w:tabs>
      </w:pPr>
      <w:r>
        <w:t>GGT</w:t>
      </w:r>
      <w:r>
        <w:tab/>
        <w:t>gamma glutamyl transpeptidase</w:t>
      </w:r>
    </w:p>
    <w:p w:rsidR="00B15C10" w:rsidRDefault="00B15C10" w:rsidP="00AF6E6D">
      <w:pPr>
        <w:tabs>
          <w:tab w:val="left" w:pos="1418"/>
        </w:tabs>
      </w:pPr>
      <w:r>
        <w:t>GLP</w:t>
      </w:r>
      <w:r>
        <w:tab/>
        <w:t>Good Laboratory Practice</w:t>
      </w:r>
    </w:p>
    <w:p w:rsidR="00804AC6" w:rsidRDefault="00804AC6" w:rsidP="00AF6E6D">
      <w:pPr>
        <w:tabs>
          <w:tab w:val="left" w:pos="1418"/>
        </w:tabs>
      </w:pPr>
      <w:r>
        <w:t>HB</w:t>
      </w:r>
      <w:r>
        <w:tab/>
        <w:t>hepatitis B</w:t>
      </w:r>
    </w:p>
    <w:p w:rsidR="00804AC6" w:rsidRDefault="00804AC6" w:rsidP="00AF6E6D">
      <w:pPr>
        <w:tabs>
          <w:tab w:val="left" w:pos="1418"/>
        </w:tabs>
      </w:pPr>
      <w:r>
        <w:t>HCV</w:t>
      </w:r>
      <w:r>
        <w:tab/>
        <w:t>hepatitis C virus</w:t>
      </w:r>
    </w:p>
    <w:p w:rsidR="00804AC6" w:rsidRDefault="00804AC6" w:rsidP="00AF6E6D">
      <w:pPr>
        <w:tabs>
          <w:tab w:val="left" w:pos="1418"/>
        </w:tabs>
      </w:pPr>
      <w:r>
        <w:t>HIV</w:t>
      </w:r>
      <w:r>
        <w:tab/>
        <w:t>human immunodeficiency virus</w:t>
      </w:r>
    </w:p>
    <w:p w:rsidR="00D44C7A" w:rsidRDefault="00D44C7A" w:rsidP="00AF6E6D">
      <w:pPr>
        <w:tabs>
          <w:tab w:val="left" w:pos="1418"/>
        </w:tabs>
      </w:pPr>
      <w:r>
        <w:t>Hologic</w:t>
      </w:r>
      <w:r>
        <w:tab/>
        <w:t>a manufacturer of bone densitometer</w:t>
      </w:r>
    </w:p>
    <w:p w:rsidR="00D44C7A" w:rsidRDefault="00D44C7A" w:rsidP="00AF6E6D">
      <w:pPr>
        <w:tabs>
          <w:tab w:val="left" w:pos="1418"/>
        </w:tabs>
      </w:pPr>
      <w:r>
        <w:t>ICH</w:t>
      </w:r>
      <w:r>
        <w:tab/>
        <w:t>International Conference on Harmonisation</w:t>
      </w:r>
    </w:p>
    <w:p w:rsidR="00D44C7A" w:rsidRDefault="00D44C7A" w:rsidP="00AF6E6D">
      <w:pPr>
        <w:tabs>
          <w:tab w:val="left" w:pos="1418"/>
        </w:tabs>
      </w:pPr>
      <w:r>
        <w:t>IRIS</w:t>
      </w:r>
      <w:r>
        <w:tab/>
        <w:t>Institut de Recherches Internationales Servier</w:t>
      </w:r>
    </w:p>
    <w:p w:rsidR="00D44C7A" w:rsidRDefault="00D44C7A" w:rsidP="00AF6E6D">
      <w:pPr>
        <w:tabs>
          <w:tab w:val="left" w:pos="1418"/>
        </w:tabs>
      </w:pPr>
      <w:r>
        <w:t>IU</w:t>
      </w:r>
      <w:r>
        <w:tab/>
        <w:t>International Unit</w:t>
      </w:r>
    </w:p>
    <w:p w:rsidR="00D44C7A" w:rsidRDefault="00D44C7A" w:rsidP="00AF6E6D">
      <w:pPr>
        <w:tabs>
          <w:tab w:val="left" w:pos="1418"/>
        </w:tabs>
      </w:pPr>
      <w:r>
        <w:t>L2</w:t>
      </w:r>
      <w:r>
        <w:tab/>
      </w:r>
      <w:r w:rsidR="002A2F4D">
        <w:t>lumbar v</w:t>
      </w:r>
      <w:r w:rsidR="00906886">
        <w:t>ertebra number 2 (etc.</w:t>
      </w:r>
      <w:r>
        <w:t>)</w:t>
      </w:r>
    </w:p>
    <w:p w:rsidR="00D44C7A" w:rsidRDefault="00D44C7A" w:rsidP="00AF6E6D">
      <w:pPr>
        <w:tabs>
          <w:tab w:val="left" w:pos="1418"/>
        </w:tabs>
      </w:pPr>
      <w:r>
        <w:t>Lunar</w:t>
      </w:r>
      <w:r>
        <w:tab/>
        <w:t>a manufacturer of bone densitometer</w:t>
      </w:r>
    </w:p>
    <w:p w:rsidR="00D44C7A" w:rsidRDefault="00D44C7A" w:rsidP="00AF6E6D">
      <w:pPr>
        <w:tabs>
          <w:tab w:val="left" w:pos="1418"/>
        </w:tabs>
      </w:pPr>
      <w:r>
        <w:t>M</w:t>
      </w:r>
      <w:r>
        <w:tab/>
        <w:t>month</w:t>
      </w:r>
    </w:p>
    <w:p w:rsidR="00D44C7A" w:rsidRDefault="00D44C7A" w:rsidP="00AF6E6D">
      <w:pPr>
        <w:tabs>
          <w:tab w:val="left" w:pos="1418"/>
        </w:tabs>
      </w:pPr>
      <w:r>
        <w:t>NHANES</w:t>
      </w:r>
      <w:r>
        <w:tab/>
      </w:r>
      <w:r w:rsidR="00B83CF3">
        <w:t>N</w:t>
      </w:r>
      <w:r>
        <w:t>ational Health And Nutrition and Examination Survey</w:t>
      </w:r>
    </w:p>
    <w:p w:rsidR="00D44C7A" w:rsidRDefault="00B83CF3" w:rsidP="00AF6E6D">
      <w:pPr>
        <w:tabs>
          <w:tab w:val="left" w:pos="1418"/>
        </w:tabs>
      </w:pPr>
      <w:r>
        <w:lastRenderedPageBreak/>
        <w:t>ORX</w:t>
      </w:r>
      <w:r>
        <w:tab/>
      </w:r>
      <w:r w:rsidR="00D44C7A">
        <w:t>orchidectomised</w:t>
      </w:r>
    </w:p>
    <w:p w:rsidR="00D44C7A" w:rsidRDefault="00D44C7A" w:rsidP="00AF6E6D">
      <w:pPr>
        <w:tabs>
          <w:tab w:val="left" w:pos="1418"/>
        </w:tabs>
      </w:pPr>
      <w:r>
        <w:t>O</w:t>
      </w:r>
      <w:r w:rsidR="00E50FB9">
        <w:t>sseor</w:t>
      </w:r>
      <w:r w:rsidR="00E50FB9">
        <w:tab/>
      </w:r>
      <w:r>
        <w:t>European trade name of strontium ranelate</w:t>
      </w:r>
    </w:p>
    <w:p w:rsidR="00D44C7A" w:rsidRDefault="00D44C7A" w:rsidP="00AF6E6D">
      <w:pPr>
        <w:tabs>
          <w:tab w:val="left" w:pos="1418"/>
        </w:tabs>
      </w:pPr>
      <w:r>
        <w:t>OVX</w:t>
      </w:r>
      <w:r>
        <w:tab/>
        <w:t>ovariectomised</w:t>
      </w:r>
    </w:p>
    <w:p w:rsidR="00D44C7A" w:rsidRDefault="00D44C7A" w:rsidP="00AF6E6D">
      <w:pPr>
        <w:tabs>
          <w:tab w:val="left" w:pos="1418"/>
        </w:tabs>
      </w:pPr>
      <w:r>
        <w:t>PD</w:t>
      </w:r>
      <w:r>
        <w:tab/>
        <w:t>pharmacodynamic</w:t>
      </w:r>
      <w:r w:rsidR="00091BA8">
        <w:t>(s)</w:t>
      </w:r>
    </w:p>
    <w:p w:rsidR="00D44C7A" w:rsidRDefault="00D44C7A" w:rsidP="00AF6E6D">
      <w:pPr>
        <w:tabs>
          <w:tab w:val="left" w:pos="1418"/>
        </w:tabs>
      </w:pPr>
      <w:r>
        <w:t>PE</w:t>
      </w:r>
      <w:r>
        <w:tab/>
        <w:t>pulmonary embolism</w:t>
      </w:r>
    </w:p>
    <w:p w:rsidR="00D44C7A" w:rsidRDefault="00D44C7A" w:rsidP="00AF6E6D">
      <w:pPr>
        <w:tabs>
          <w:tab w:val="left" w:pos="1418"/>
        </w:tabs>
      </w:pPr>
      <w:r>
        <w:t>PK</w:t>
      </w:r>
      <w:r>
        <w:tab/>
        <w:t>pharmacokinetic</w:t>
      </w:r>
      <w:r w:rsidR="00091BA8">
        <w:t>(s)</w:t>
      </w:r>
    </w:p>
    <w:p w:rsidR="00D44C7A" w:rsidRDefault="00D44C7A" w:rsidP="00AF6E6D">
      <w:pPr>
        <w:tabs>
          <w:tab w:val="left" w:pos="1418"/>
        </w:tabs>
      </w:pPr>
      <w:r>
        <w:t>PI</w:t>
      </w:r>
      <w:r>
        <w:tab/>
        <w:t>Product information document</w:t>
      </w:r>
    </w:p>
    <w:p w:rsidR="00D44C7A" w:rsidRDefault="00D44C7A" w:rsidP="00AF6E6D">
      <w:pPr>
        <w:tabs>
          <w:tab w:val="left" w:pos="1418"/>
        </w:tabs>
      </w:pPr>
      <w:r>
        <w:t>PINP</w:t>
      </w:r>
      <w:r>
        <w:tab/>
        <w:t>serum procollagen I N-terminal propeptide</w:t>
      </w:r>
    </w:p>
    <w:p w:rsidR="00D44C7A" w:rsidRDefault="00D44C7A" w:rsidP="00AF6E6D">
      <w:pPr>
        <w:tabs>
          <w:tab w:val="left" w:pos="1418"/>
        </w:tabs>
      </w:pPr>
      <w:r>
        <w:t>PMO</w:t>
      </w:r>
      <w:r>
        <w:tab/>
        <w:t>post menopausal osteoporosis</w:t>
      </w:r>
    </w:p>
    <w:p w:rsidR="00C67EF7" w:rsidRDefault="00C67EF7" w:rsidP="00AF6E6D">
      <w:pPr>
        <w:tabs>
          <w:tab w:val="left" w:pos="1418"/>
        </w:tabs>
      </w:pPr>
      <w:r>
        <w:t>PO</w:t>
      </w:r>
      <w:r>
        <w:tab/>
        <w:t>o</w:t>
      </w:r>
      <w:r w:rsidRPr="00C67EF7">
        <w:t>ral administration (per os</w:t>
      </w:r>
      <w:r>
        <w:t>)</w:t>
      </w:r>
    </w:p>
    <w:p w:rsidR="00D44C7A" w:rsidRDefault="00D44C7A" w:rsidP="00AF6E6D">
      <w:pPr>
        <w:tabs>
          <w:tab w:val="left" w:pos="1418"/>
        </w:tabs>
      </w:pPr>
      <w:r>
        <w:t>PPS</w:t>
      </w:r>
      <w:r>
        <w:tab/>
        <w:t>Per Protocol set</w:t>
      </w:r>
    </w:p>
    <w:p w:rsidR="00D44C7A" w:rsidRDefault="00D44C7A" w:rsidP="00AF6E6D">
      <w:pPr>
        <w:tabs>
          <w:tab w:val="left" w:pos="1418"/>
        </w:tabs>
      </w:pPr>
      <w:r>
        <w:t xml:space="preserve">Protos </w:t>
      </w:r>
      <w:r>
        <w:tab/>
        <w:t>Australian trade name of strontium ranelate</w:t>
      </w:r>
    </w:p>
    <w:p w:rsidR="00D44C7A" w:rsidRDefault="00D44C7A" w:rsidP="00AF6E6D">
      <w:pPr>
        <w:tabs>
          <w:tab w:val="left" w:pos="1418"/>
        </w:tabs>
      </w:pPr>
      <w:r>
        <w:t>Protelos</w:t>
      </w:r>
      <w:r>
        <w:tab/>
      </w:r>
      <w:r w:rsidR="00B83CF3">
        <w:t>E</w:t>
      </w:r>
      <w:r>
        <w:t>uropean trade name of strontium ranelate</w:t>
      </w:r>
    </w:p>
    <w:p w:rsidR="00D4670C" w:rsidRDefault="00B83CF3" w:rsidP="00AF6E6D">
      <w:pPr>
        <w:tabs>
          <w:tab w:val="left" w:pos="1418"/>
        </w:tabs>
      </w:pPr>
      <w:r>
        <w:t xml:space="preserve">PSUR </w:t>
      </w:r>
      <w:r>
        <w:tab/>
      </w:r>
      <w:r w:rsidR="00D4670C" w:rsidRPr="00D4670C">
        <w:t xml:space="preserve">Periodic Safety Update Report </w:t>
      </w:r>
    </w:p>
    <w:p w:rsidR="00D44C7A" w:rsidRDefault="00D44C7A" w:rsidP="00AF6E6D">
      <w:pPr>
        <w:tabs>
          <w:tab w:val="left" w:pos="1418"/>
        </w:tabs>
      </w:pPr>
      <w:r>
        <w:t>PTH</w:t>
      </w:r>
      <w:r>
        <w:tab/>
        <w:t>parathormone</w:t>
      </w:r>
    </w:p>
    <w:p w:rsidR="00D44C7A" w:rsidRDefault="00D44C7A" w:rsidP="00AF6E6D">
      <w:pPr>
        <w:tabs>
          <w:tab w:val="left" w:pos="1418"/>
        </w:tabs>
      </w:pPr>
      <w:r>
        <w:t>QoL</w:t>
      </w:r>
      <w:r>
        <w:tab/>
        <w:t>Quality of Life</w:t>
      </w:r>
    </w:p>
    <w:p w:rsidR="00D45408" w:rsidRDefault="00D45408" w:rsidP="00AF6E6D">
      <w:pPr>
        <w:tabs>
          <w:tab w:val="left" w:pos="1418"/>
        </w:tabs>
      </w:pPr>
      <w:r>
        <w:t>RMP</w:t>
      </w:r>
      <w:r>
        <w:tab/>
        <w:t>Risk Management Plan</w:t>
      </w:r>
    </w:p>
    <w:p w:rsidR="00423CD6" w:rsidRDefault="00423CD6" w:rsidP="00AF6E6D">
      <w:pPr>
        <w:tabs>
          <w:tab w:val="left" w:pos="1418"/>
        </w:tabs>
      </w:pPr>
      <w:r>
        <w:t>RS</w:t>
      </w:r>
      <w:r>
        <w:tab/>
        <w:t>Randomised Set</w:t>
      </w:r>
    </w:p>
    <w:p w:rsidR="00D44C7A" w:rsidRDefault="00D44C7A" w:rsidP="00AF6E6D">
      <w:pPr>
        <w:tabs>
          <w:tab w:val="left" w:pos="1418"/>
        </w:tabs>
      </w:pPr>
      <w:r>
        <w:t>S12911</w:t>
      </w:r>
      <w:r>
        <w:tab/>
        <w:t>strontium ranelate</w:t>
      </w:r>
    </w:p>
    <w:p w:rsidR="004C7C6E" w:rsidRDefault="004C7C6E" w:rsidP="00AF6E6D">
      <w:pPr>
        <w:tabs>
          <w:tab w:val="left" w:pos="1418"/>
        </w:tabs>
      </w:pPr>
      <w:r>
        <w:t>sCTX</w:t>
      </w:r>
      <w:r>
        <w:tab/>
        <w:t>serum type I collagen C telopeptides cross links</w:t>
      </w:r>
    </w:p>
    <w:p w:rsidR="00720051" w:rsidRDefault="00720051" w:rsidP="00AF6E6D">
      <w:pPr>
        <w:tabs>
          <w:tab w:val="left" w:pos="1418"/>
        </w:tabs>
      </w:pPr>
      <w:r>
        <w:t>SAE</w:t>
      </w:r>
      <w:r>
        <w:tab/>
        <w:t>serious adverse event</w:t>
      </w:r>
    </w:p>
    <w:p w:rsidR="00D44C7A" w:rsidRDefault="00D44C7A" w:rsidP="00AF6E6D">
      <w:pPr>
        <w:tabs>
          <w:tab w:val="left" w:pos="1418"/>
        </w:tabs>
      </w:pPr>
      <w:r>
        <w:t>SD</w:t>
      </w:r>
      <w:r>
        <w:tab/>
        <w:t>standard deviation</w:t>
      </w:r>
    </w:p>
    <w:p w:rsidR="00D44C7A" w:rsidRDefault="00D44C7A" w:rsidP="00AF6E6D">
      <w:pPr>
        <w:tabs>
          <w:tab w:val="left" w:pos="1418"/>
        </w:tabs>
      </w:pPr>
      <w:r>
        <w:t>SE</w:t>
      </w:r>
      <w:r>
        <w:tab/>
        <w:t>standard error</w:t>
      </w:r>
    </w:p>
    <w:p w:rsidR="0046349B" w:rsidRDefault="0046349B" w:rsidP="00AF6E6D">
      <w:pPr>
        <w:tabs>
          <w:tab w:val="left" w:pos="1418"/>
        </w:tabs>
      </w:pPr>
      <w:r>
        <w:t>SJS</w:t>
      </w:r>
      <w:r>
        <w:tab/>
      </w:r>
      <w:r w:rsidRPr="00EC52DD">
        <w:t>Stevens-Johnson Syndrome</w:t>
      </w:r>
    </w:p>
    <w:p w:rsidR="00D44C7A" w:rsidRDefault="00D44C7A" w:rsidP="00AF6E6D">
      <w:pPr>
        <w:tabs>
          <w:tab w:val="left" w:pos="1418"/>
        </w:tabs>
      </w:pPr>
      <w:r>
        <w:t>SmPC</w:t>
      </w:r>
      <w:r>
        <w:tab/>
        <w:t>Summary of Product Characteristics</w:t>
      </w:r>
    </w:p>
    <w:p w:rsidR="00B37437" w:rsidRDefault="00B37437" w:rsidP="00AF6E6D">
      <w:pPr>
        <w:tabs>
          <w:tab w:val="left" w:pos="1418"/>
        </w:tabs>
      </w:pPr>
      <w:r>
        <w:t>SOC</w:t>
      </w:r>
      <w:r>
        <w:tab/>
        <w:t>System Organ Class</w:t>
      </w:r>
    </w:p>
    <w:p w:rsidR="00D44C7A" w:rsidRDefault="00B37437" w:rsidP="00AF6E6D">
      <w:pPr>
        <w:tabs>
          <w:tab w:val="left" w:pos="1418"/>
        </w:tabs>
      </w:pPr>
      <w:r>
        <w:t>s</w:t>
      </w:r>
      <w:r w:rsidR="00D44C7A">
        <w:t>OC</w:t>
      </w:r>
      <w:r>
        <w:t>N</w:t>
      </w:r>
      <w:r w:rsidR="00D44C7A">
        <w:tab/>
        <w:t>serum osteocalcin</w:t>
      </w:r>
    </w:p>
    <w:p w:rsidR="00D44C7A" w:rsidRDefault="00D44C7A" w:rsidP="00AF6E6D">
      <w:pPr>
        <w:tabs>
          <w:tab w:val="left" w:pos="1418"/>
        </w:tabs>
      </w:pPr>
      <w:r>
        <w:t>SOTI</w:t>
      </w:r>
      <w:r>
        <w:tab/>
        <w:t>Spinal Osteoporotic Therapeutic Intervention</w:t>
      </w:r>
    </w:p>
    <w:p w:rsidR="00D44C7A" w:rsidRDefault="00D44C7A" w:rsidP="00AF6E6D">
      <w:pPr>
        <w:tabs>
          <w:tab w:val="left" w:pos="1418"/>
        </w:tabs>
      </w:pPr>
      <w:r>
        <w:t>STRATOS</w:t>
      </w:r>
      <w:r>
        <w:tab/>
        <w:t>S12911 Phase 2 study in curative treatment of vertebral osteoporosis</w:t>
      </w:r>
    </w:p>
    <w:p w:rsidR="00D44C7A" w:rsidRDefault="00D44C7A" w:rsidP="00AF6E6D">
      <w:pPr>
        <w:tabs>
          <w:tab w:val="left" w:pos="1418"/>
        </w:tabs>
        <w:ind w:left="1440" w:hanging="1440"/>
      </w:pPr>
      <w:r>
        <w:t>T score</w:t>
      </w:r>
      <w:r>
        <w:tab/>
        <w:t xml:space="preserve">young normal </w:t>
      </w:r>
      <w:r w:rsidR="003175B7">
        <w:t>BMD</w:t>
      </w:r>
      <w:r>
        <w:t xml:space="preserve"> result expressed as standard deviations away </w:t>
      </w:r>
      <w:r w:rsidR="002506AC">
        <w:t>from mean</w:t>
      </w:r>
    </w:p>
    <w:p w:rsidR="007D7457" w:rsidRDefault="007D7457" w:rsidP="00AF6E6D">
      <w:pPr>
        <w:tabs>
          <w:tab w:val="left" w:pos="1418"/>
        </w:tabs>
        <w:ind w:left="1440" w:hanging="1440"/>
      </w:pPr>
      <w:r>
        <w:t>t</w:t>
      </w:r>
      <w:r w:rsidRPr="007D7457">
        <w:rPr>
          <w:vertAlign w:val="subscript"/>
        </w:rPr>
        <w:t>1/2</w:t>
      </w:r>
      <w:r>
        <w:tab/>
        <w:t>elimination half life</w:t>
      </w:r>
    </w:p>
    <w:p w:rsidR="00164FAE" w:rsidRDefault="00164FAE" w:rsidP="00AF6E6D">
      <w:pPr>
        <w:tabs>
          <w:tab w:val="left" w:pos="1418"/>
        </w:tabs>
        <w:ind w:left="1440" w:hanging="1440"/>
      </w:pPr>
      <w:r>
        <w:t>T</w:t>
      </w:r>
      <w:r w:rsidRPr="00164FAE">
        <w:rPr>
          <w:vertAlign w:val="subscript"/>
        </w:rPr>
        <w:t>max</w:t>
      </w:r>
      <w:r w:rsidR="00EA20F0">
        <w:tab/>
      </w:r>
      <w:r w:rsidR="00EE7D6F">
        <w:t>t</w:t>
      </w:r>
      <w:r w:rsidR="00EA20F0" w:rsidRPr="00EA20F0">
        <w:t>ime to reach maximum (peak) plas</w:t>
      </w:r>
      <w:r w:rsidR="00EA20F0">
        <w:t xml:space="preserve">ma concentration following drug </w:t>
      </w:r>
      <w:r w:rsidR="00EA20F0" w:rsidRPr="00EA20F0">
        <w:t>administration</w:t>
      </w:r>
    </w:p>
    <w:p w:rsidR="002506AC" w:rsidRDefault="002506AC" w:rsidP="00AF6E6D">
      <w:pPr>
        <w:tabs>
          <w:tab w:val="left" w:pos="1418"/>
        </w:tabs>
      </w:pPr>
      <w:r>
        <w:t>TEN</w:t>
      </w:r>
      <w:r>
        <w:tab/>
      </w:r>
      <w:r w:rsidRPr="002506AC">
        <w:t>toxic epidermal necrolysis</w:t>
      </w:r>
    </w:p>
    <w:p w:rsidR="00D44C7A" w:rsidRDefault="00D44C7A" w:rsidP="00AF6E6D">
      <w:pPr>
        <w:tabs>
          <w:tab w:val="left" w:pos="1418"/>
        </w:tabs>
      </w:pPr>
      <w:r>
        <w:t>TROPOS</w:t>
      </w:r>
      <w:r>
        <w:tab/>
        <w:t>treatment of peripheral osteoporosis</w:t>
      </w:r>
    </w:p>
    <w:p w:rsidR="004462A4" w:rsidRDefault="00D44C7A" w:rsidP="00AF6E6D">
      <w:pPr>
        <w:tabs>
          <w:tab w:val="left" w:pos="1418"/>
        </w:tabs>
      </w:pPr>
      <w:r>
        <w:t>ULN</w:t>
      </w:r>
      <w:r>
        <w:tab/>
        <w:t>Upper Limit of Normal</w:t>
      </w:r>
    </w:p>
    <w:p w:rsidR="0039505F" w:rsidRDefault="0039505F" w:rsidP="00AF6E6D">
      <w:pPr>
        <w:tabs>
          <w:tab w:val="left" w:pos="1418"/>
        </w:tabs>
      </w:pPr>
      <w:r>
        <w:t>VPC</w:t>
      </w:r>
      <w:r>
        <w:tab/>
        <w:t>visual predictive check</w:t>
      </w:r>
    </w:p>
    <w:p w:rsidR="008E7846" w:rsidRPr="003602A9" w:rsidRDefault="008E7846" w:rsidP="008E7846">
      <w:pPr>
        <w:pStyle w:val="Heading2"/>
        <w:ind w:left="-11"/>
      </w:pPr>
      <w:bookmarkStart w:id="20" w:name="_Toc345343176"/>
      <w:r>
        <w:lastRenderedPageBreak/>
        <w:t>II. Quality</w:t>
      </w:r>
      <w:bookmarkEnd w:id="0"/>
      <w:r>
        <w:t xml:space="preserve"> findings</w:t>
      </w:r>
      <w:bookmarkEnd w:id="16"/>
      <w:bookmarkEnd w:id="17"/>
      <w:bookmarkEnd w:id="20"/>
    </w:p>
    <w:p w:rsidR="008E7846" w:rsidRDefault="008E7846" w:rsidP="008E7846">
      <w:r>
        <w:t>There was no requirement for a quality evaluation in a submission of this type.</w:t>
      </w:r>
    </w:p>
    <w:p w:rsidR="008E7846" w:rsidRDefault="008E7846" w:rsidP="008E7846">
      <w:pPr>
        <w:pStyle w:val="Heading2"/>
      </w:pPr>
      <w:bookmarkStart w:id="21" w:name="_Toc196046439"/>
      <w:bookmarkStart w:id="22" w:name="_Toc247691510"/>
      <w:bookmarkStart w:id="23" w:name="_Toc314842494"/>
      <w:bookmarkStart w:id="24" w:name="_Toc345343177"/>
      <w:r>
        <w:t>III. Nonclinical</w:t>
      </w:r>
      <w:bookmarkEnd w:id="21"/>
      <w:r>
        <w:t xml:space="preserve"> findings</w:t>
      </w:r>
      <w:bookmarkEnd w:id="22"/>
      <w:bookmarkEnd w:id="23"/>
      <w:bookmarkEnd w:id="24"/>
    </w:p>
    <w:p w:rsidR="008E7846" w:rsidRDefault="008E7846" w:rsidP="008E7846">
      <w:pPr>
        <w:pStyle w:val="Heading3"/>
      </w:pPr>
      <w:bookmarkStart w:id="25" w:name="_Toc247691511"/>
      <w:bookmarkStart w:id="26" w:name="_Toc314842495"/>
      <w:bookmarkStart w:id="27" w:name="_Toc345343178"/>
      <w:r>
        <w:t>Introduction</w:t>
      </w:r>
      <w:bookmarkEnd w:id="25"/>
      <w:bookmarkEnd w:id="26"/>
      <w:bookmarkEnd w:id="27"/>
    </w:p>
    <w:p w:rsidR="00D45408" w:rsidRPr="009A74BE" w:rsidRDefault="00D45408" w:rsidP="00D45408">
      <w:pPr>
        <w:rPr>
          <w:kern w:val="2"/>
        </w:rPr>
      </w:pPr>
      <w:r w:rsidRPr="00D45408">
        <w:t>Strontium ranelate (Protos) is currently registered for the treatment of postmenopausal osteoporosis. The sponsor has now applied to extend the indications to include treatment of male osteoporosis. The nonclinical</w:t>
      </w:r>
      <w:r w:rsidR="00261AB8">
        <w:t xml:space="preserve"> dossier contained two new long </w:t>
      </w:r>
      <w:r w:rsidRPr="00D45408">
        <w:t xml:space="preserve">term </w:t>
      </w:r>
      <w:r w:rsidRPr="002C0294">
        <w:rPr>
          <w:i/>
        </w:rPr>
        <w:t>in vivo</w:t>
      </w:r>
      <w:r w:rsidRPr="00D45408">
        <w:t xml:space="preserve"> primary pharmacology studies conducted in an animal model of male osteoporosis, the orchidectomised rat. The studies were conducted according to GLP, and in keeping with EU guideline on the evaluation of medicinal products in the treatment of primary osteo</w:t>
      </w:r>
      <w:r w:rsidR="00854718">
        <w:t>porosis</w:t>
      </w:r>
      <w:r w:rsidR="00854718">
        <w:rPr>
          <w:rStyle w:val="FootnoteReference"/>
        </w:rPr>
        <w:footnoteReference w:id="1"/>
      </w:r>
      <w:r w:rsidR="00854718">
        <w:t xml:space="preserve"> </w:t>
      </w:r>
      <w:r w:rsidRPr="00D45408">
        <w:t>investigated effects of strontium ranelate on bone mass/density, architecture and strength in both long bones and vertebrae</w:t>
      </w:r>
      <w:r w:rsidRPr="009A74BE">
        <w:rPr>
          <w:kern w:val="2"/>
        </w:rPr>
        <w:t>.</w:t>
      </w:r>
    </w:p>
    <w:p w:rsidR="008E7846" w:rsidRDefault="008E7846" w:rsidP="008E7846">
      <w:pPr>
        <w:pStyle w:val="Heading3"/>
      </w:pPr>
      <w:bookmarkStart w:id="28" w:name="_Toc247691512"/>
      <w:bookmarkStart w:id="29" w:name="_Toc314842496"/>
      <w:bookmarkStart w:id="30" w:name="_Toc345343179"/>
      <w:r w:rsidRPr="00020030">
        <w:t>Pharmacology</w:t>
      </w:r>
      <w:bookmarkEnd w:id="28"/>
      <w:bookmarkEnd w:id="29"/>
      <w:bookmarkEnd w:id="30"/>
    </w:p>
    <w:p w:rsidR="00D45408" w:rsidRPr="00F94D0A" w:rsidRDefault="00D45408" w:rsidP="00E4730E">
      <w:r w:rsidRPr="00F94D0A">
        <w:t>As established in the original nonclinical evaluation of the application to register Protos, strontium is incorporated into the bone mi</w:t>
      </w:r>
      <w:r w:rsidR="00B27D35">
        <w:t>neral</w:t>
      </w:r>
      <w:r w:rsidRPr="00F94D0A">
        <w:t xml:space="preserve"> wher</w:t>
      </w:r>
      <w:r w:rsidR="00B27D35">
        <w:t>e it is able to replace calcium</w:t>
      </w:r>
      <w:r w:rsidRPr="00F94D0A">
        <w:t xml:space="preserve"> and impacts bone turnover by both enhancing bone formation and reducing bone resorption. Improvements in bone volume, architecture and strength were previously shown with strontium ranelate treatment in the ovariectomised rat, a model of postmenopausal osteoporosis.</w:t>
      </w:r>
    </w:p>
    <w:p w:rsidR="00D45408" w:rsidRPr="00F94D0A" w:rsidRDefault="00D45408" w:rsidP="00E4730E">
      <w:r w:rsidRPr="00F94D0A">
        <w:t>The orchidectomised rat is an establish</w:t>
      </w:r>
      <w:r w:rsidR="00B27D35">
        <w:t xml:space="preserve">ed animal model of hypogonadism </w:t>
      </w:r>
      <w:r w:rsidRPr="00F94D0A">
        <w:t>induced male osteoporosis. In the studies submitted here, gonadal resection in adult animals resulted in bone loss at predominantly trabecular sites in the spine, femur and tibia, with enhanced bone turnover indicated by increases in biochemical markers of bone formation (serum osteocalcin) and bone resorption (urinary deoxypyridinoline). Decreased cortical thickness and lack of periosteal expansion were observed. Although there was a reduction in bone density, biomechanical testing revealed no striking effect of orchidectomy on bone strength. Extrinsic strength parameters were mildly reduced in the femur (consistent with effects on bone geometry), but intrinsic strength parameters in the femur as well as the strength of the vertebral body were unaffected. Effects of orchidectomy on bone strength have been variably reported in the literature as either a reduction in strength or no effect</w:t>
      </w:r>
      <w:r w:rsidR="00B27D35">
        <w:t>.</w:t>
      </w:r>
      <w:r w:rsidR="00B27D35">
        <w:rPr>
          <w:rStyle w:val="FootnoteReference"/>
          <w:szCs w:val="23"/>
        </w:rPr>
        <w:footnoteReference w:id="2"/>
      </w:r>
    </w:p>
    <w:p w:rsidR="008E7846" w:rsidRPr="00B020A0" w:rsidRDefault="00D45408" w:rsidP="00E4730E">
      <w:pPr>
        <w:rPr>
          <w:kern w:val="22"/>
        </w:rPr>
      </w:pPr>
      <w:r w:rsidRPr="00F94D0A">
        <w:t>Male rats were treated with strontium ranelate by daily oral administration for 52 weeks commencing at the time of orchidectomy (preventative study; 250, 625 and 900 mg/kg/day), or</w:t>
      </w:r>
      <w:r>
        <w:t> </w:t>
      </w:r>
      <w:r w:rsidRPr="00F94D0A">
        <w:t xml:space="preserve">for 44 weeks commencing 8 weeks after orchidectomy (to induce initial bone depletion; curative study; 625 mg/kg/day). Trabecular and </w:t>
      </w:r>
      <w:r w:rsidRPr="00F94D0A">
        <w:lastRenderedPageBreak/>
        <w:t xml:space="preserve">cortical/subcortical </w:t>
      </w:r>
      <w:r w:rsidR="003175B7">
        <w:t xml:space="preserve"> BMD</w:t>
      </w:r>
      <w:r w:rsidRPr="00F94D0A">
        <w:t xml:space="preserve"> and content were significantly increased at all dose levels tested, with the two highest dose levels completely preventing the decreases induced by orchidectomy. Strontium ranelate’s activity to in</w:t>
      </w:r>
      <w:r w:rsidRPr="00E4730E">
        <w:t>hi</w:t>
      </w:r>
      <w:r w:rsidRPr="00F94D0A">
        <w:t xml:space="preserve">bit the increase in bone turnover induced by orchidectomy was indicated by decreases in serum osteocalcin and urinary deoxypyridinoline, and increased serum ALP indicated increased bone formation. Curative and preventative treatment increased </w:t>
      </w:r>
      <w:r w:rsidR="00626B61" w:rsidRPr="00F94D0A">
        <w:t xml:space="preserve">both </w:t>
      </w:r>
      <w:r w:rsidRPr="00F94D0A">
        <w:t>trabecular number and thickness, decreased trabecular separation</w:t>
      </w:r>
      <w:r w:rsidR="00232B7A">
        <w:t>,</w:t>
      </w:r>
      <w:r w:rsidRPr="00F94D0A">
        <w:t xml:space="preserve"> and increased bone volume. An increase in cortical thickness was observed at 900 mg/kg/day in the preventative study (this</w:t>
      </w:r>
      <w:r>
        <w:t> </w:t>
      </w:r>
      <w:r w:rsidRPr="00F94D0A">
        <w:t>dose was not assessed in the curative study). Notably, strontium ranelate did not affect trabecular or cortical bone strength in either study (neither positively nor adversely) at any dose</w:t>
      </w:r>
      <w:r>
        <w:t> </w:t>
      </w:r>
      <w:r w:rsidRPr="00F94D0A">
        <w:t>tested</w:t>
      </w:r>
      <w:r>
        <w:t>.</w:t>
      </w:r>
    </w:p>
    <w:p w:rsidR="008E7846" w:rsidRDefault="008E7846" w:rsidP="008E7846">
      <w:pPr>
        <w:pStyle w:val="Heading3"/>
      </w:pPr>
      <w:bookmarkStart w:id="31" w:name="_Toc247691513"/>
      <w:bookmarkStart w:id="32" w:name="_Toc314842497"/>
      <w:bookmarkStart w:id="33" w:name="_Toc345343180"/>
      <w:r>
        <w:t>Pharmacokinetics</w:t>
      </w:r>
      <w:bookmarkEnd w:id="31"/>
      <w:bookmarkEnd w:id="32"/>
      <w:bookmarkEnd w:id="33"/>
    </w:p>
    <w:p w:rsidR="00D45408" w:rsidRPr="009A74BE" w:rsidRDefault="00D45408" w:rsidP="00D45408">
      <w:r w:rsidRPr="00D45408">
        <w:t>Plasma and bone levels of strontium</w:t>
      </w:r>
      <w:r w:rsidR="00261AB8">
        <w:t xml:space="preserve"> in treated male rats were dose </w:t>
      </w:r>
      <w:r w:rsidRPr="00D45408">
        <w:t>dependent and comparable in the curative and preventative studies. Uptake of strontium was</w:t>
      </w:r>
      <w:r w:rsidR="00261AB8">
        <w:t xml:space="preserve"> greater in trabecular bone compared with </w:t>
      </w:r>
      <w:r w:rsidRPr="00D45408">
        <w:t>cortical bone; this was seen in female rats in previous studies and is consistent with the quicker turnover of trabecular bone</w:t>
      </w:r>
      <w:r w:rsidRPr="009A74BE">
        <w:t>.</w:t>
      </w:r>
    </w:p>
    <w:p w:rsidR="00D45408" w:rsidRDefault="00D45408" w:rsidP="00D45408">
      <w:r w:rsidRPr="009A74BE">
        <w:t>Exposure to strontium in male rats in the current studies was slightly greater than that seen previously in female animals at the same dose level, but the correlation between plasma and bone strontium concentration</w:t>
      </w:r>
      <w:r w:rsidR="00261AB8">
        <w:t>s was maintained. The o</w:t>
      </w:r>
      <w:r w:rsidRPr="009A74BE">
        <w:t xml:space="preserve">verview </w:t>
      </w:r>
      <w:r w:rsidR="00261AB8">
        <w:t xml:space="preserve">of the clinical evaluation report states </w:t>
      </w:r>
      <w:r w:rsidRPr="009A74BE">
        <w:t>that exposure to strontium was comparable in elderly men and postmenopausal women at the clinical dose. Plasma AUC</w:t>
      </w:r>
      <w:r w:rsidR="00261AB8">
        <w:rPr>
          <w:vertAlign w:val="subscript"/>
        </w:rPr>
        <w:t>0-</w:t>
      </w:r>
      <w:r w:rsidRPr="009A74BE">
        <w:rPr>
          <w:vertAlign w:val="subscript"/>
        </w:rPr>
        <w:t>24</w:t>
      </w:r>
      <w:r w:rsidRPr="009A74BE">
        <w:rPr>
          <w:w w:val="50"/>
          <w:vertAlign w:val="subscript"/>
        </w:rPr>
        <w:t> </w:t>
      </w:r>
      <w:r w:rsidRPr="009A74BE">
        <w:rPr>
          <w:vertAlign w:val="subscript"/>
        </w:rPr>
        <w:t>h</w:t>
      </w:r>
      <w:r w:rsidRPr="009A74BE">
        <w:t xml:space="preserve"> values for strontium in m</w:t>
      </w:r>
      <w:r w:rsidR="00261AB8">
        <w:t xml:space="preserve">ale rats were approximately 1.3-2.1 </w:t>
      </w:r>
      <w:r w:rsidRPr="009A74BE">
        <w:t>times higher</w:t>
      </w:r>
      <w:r w:rsidR="00C67EF7">
        <w:t xml:space="preserve"> at the dose levels tested here</w:t>
      </w:r>
      <w:r w:rsidRPr="009A74BE">
        <w:t xml:space="preserve"> </w:t>
      </w:r>
      <w:r w:rsidR="00C67EF7">
        <w:t xml:space="preserve">compared with </w:t>
      </w:r>
      <w:r w:rsidRPr="009A74BE">
        <w:t>in osteoporotic men treated at the proposed clinical dose (2 g/day; AUC</w:t>
      </w:r>
      <w:r w:rsidR="00261AB8">
        <w:rPr>
          <w:vertAlign w:val="subscript"/>
        </w:rPr>
        <w:t>0-</w:t>
      </w:r>
      <w:r w:rsidRPr="009A74BE">
        <w:rPr>
          <w:vertAlign w:val="subscript"/>
        </w:rPr>
        <w:t>24</w:t>
      </w:r>
      <w:r w:rsidRPr="009A74BE">
        <w:rPr>
          <w:w w:val="50"/>
          <w:vertAlign w:val="subscript"/>
        </w:rPr>
        <w:t> </w:t>
      </w:r>
      <w:r w:rsidRPr="009A74BE">
        <w:rPr>
          <w:vertAlign w:val="subscript"/>
        </w:rPr>
        <w:t>h</w:t>
      </w:r>
      <w:r w:rsidRPr="009A74BE">
        <w:t>, 288 </w:t>
      </w:r>
      <w:r w:rsidR="00E4730E">
        <w:t>µ</w:t>
      </w:r>
      <w:r w:rsidR="00C67EF7">
        <w:t>g∙h/mL</w:t>
      </w:r>
      <w:r w:rsidRPr="009A74BE">
        <w:t>). Bone str</w:t>
      </w:r>
      <w:r w:rsidR="00C67EF7">
        <w:t xml:space="preserve">ontium content ranged from 1.24-2.91% in treated male rats, </w:t>
      </w:r>
      <w:r w:rsidRPr="009A74BE">
        <w:t xml:space="preserve">which is below the level of 4% associated with bone and tooth abnormalities in mice and rats identified </w:t>
      </w:r>
      <w:r w:rsidR="00C67EF7">
        <w:t>in previously evaluated studies</w:t>
      </w:r>
      <w:r w:rsidRPr="009A74BE">
        <w:t>.</w:t>
      </w:r>
    </w:p>
    <w:p w:rsidR="008E7846" w:rsidRDefault="008E7846" w:rsidP="008E7846">
      <w:pPr>
        <w:pStyle w:val="Heading3"/>
      </w:pPr>
      <w:bookmarkStart w:id="34" w:name="_Toc247691514"/>
      <w:bookmarkStart w:id="35" w:name="_Toc314842498"/>
      <w:bookmarkStart w:id="36" w:name="_Toc345343181"/>
      <w:r>
        <w:t>Toxicology</w:t>
      </w:r>
      <w:bookmarkEnd w:id="34"/>
      <w:bookmarkEnd w:id="35"/>
      <w:bookmarkEnd w:id="36"/>
    </w:p>
    <w:p w:rsidR="008E7846" w:rsidRDefault="00D45408" w:rsidP="00E4730E">
      <w:r w:rsidRPr="009A74BE">
        <w:t>Male animals were included in the toxicity studies with strontium ranelate submitted and evaluated as part of the drug’s original registration. Of relevance to the current application,</w:t>
      </w:r>
      <w:r w:rsidR="00C67EF7">
        <w:t xml:space="preserve"> no effects </w:t>
      </w:r>
      <w:r w:rsidR="00C67EF7" w:rsidRPr="009A74BE">
        <w:t>were found</w:t>
      </w:r>
      <w:r w:rsidR="00C67EF7">
        <w:t xml:space="preserve"> particular to males</w:t>
      </w:r>
      <w:r w:rsidRPr="009A74BE">
        <w:t xml:space="preserve"> </w:t>
      </w:r>
      <w:r w:rsidR="00C67EF7">
        <w:t xml:space="preserve">compared with </w:t>
      </w:r>
      <w:r w:rsidRPr="009A74BE">
        <w:t xml:space="preserve">females, and the male reproductive tract was not identified as </w:t>
      </w:r>
      <w:r w:rsidR="00C67EF7">
        <w:t xml:space="preserve">a target for toxicity in repeat </w:t>
      </w:r>
      <w:r w:rsidRPr="009A74BE">
        <w:t>dose studies (conducted in mice, rats, dogs and monkeys). Furthermore, fertility and sperm parameters were unaffected in male rats treated with strontium ranelate at up to 1000 mg/kg/day PO</w:t>
      </w:r>
      <w:r>
        <w:t>.</w:t>
      </w:r>
    </w:p>
    <w:p w:rsidR="00D45408" w:rsidRPr="00D45408" w:rsidRDefault="004805E2" w:rsidP="00D45408">
      <w:pPr>
        <w:pStyle w:val="Heading4"/>
      </w:pPr>
      <w:r>
        <w:t xml:space="preserve">Comments </w:t>
      </w:r>
      <w:r w:rsidRPr="004805E2">
        <w:t>on the Safety Specification of the Risk Management Plan</w:t>
      </w:r>
    </w:p>
    <w:p w:rsidR="00D45408" w:rsidRPr="00D45408" w:rsidRDefault="00D45408" w:rsidP="00230C45">
      <w:pPr>
        <w:rPr>
          <w:kern w:val="22"/>
        </w:rPr>
      </w:pPr>
      <w:r w:rsidRPr="00230C45">
        <w:t>The no</w:t>
      </w:r>
      <w:r w:rsidR="0006182C">
        <w:t xml:space="preserve">nclinical safety specification </w:t>
      </w:r>
      <w:r w:rsidRPr="00230C45">
        <w:t xml:space="preserve">of the draft </w:t>
      </w:r>
      <w:r w:rsidR="0006182C">
        <w:t>RMP</w:t>
      </w:r>
      <w:r w:rsidRPr="00230C45">
        <w:t xml:space="preserve"> (version 7; submitted with the sponsor’s S</w:t>
      </w:r>
      <w:r w:rsidR="0006182C">
        <w:t xml:space="preserve">ection </w:t>
      </w:r>
      <w:r w:rsidRPr="00230C45">
        <w:t>31 response) is considered to be generally acceptable with the exce</w:t>
      </w:r>
      <w:r w:rsidR="00230C45">
        <w:t>ption of the following statement:</w:t>
      </w:r>
    </w:p>
    <w:p w:rsidR="00D45408" w:rsidRPr="00230C45" w:rsidRDefault="00D45408" w:rsidP="00230C45">
      <w:pPr>
        <w:ind w:firstLine="720"/>
        <w:rPr>
          <w:i/>
          <w:kern w:val="22"/>
        </w:rPr>
      </w:pPr>
      <w:r w:rsidRPr="00230C45">
        <w:rPr>
          <w:i/>
        </w:rPr>
        <w:t>“The safety margin is about 38 times the human therapeutic dose</w:t>
      </w:r>
      <w:r w:rsidRPr="00230C45">
        <w:rPr>
          <w:i/>
          <w:kern w:val="22"/>
        </w:rPr>
        <w:t>.”</w:t>
      </w:r>
    </w:p>
    <w:p w:rsidR="00D45408" w:rsidRPr="00D45408" w:rsidRDefault="00D45408" w:rsidP="00E4730E">
      <w:pPr>
        <w:rPr>
          <w:kern w:val="22"/>
        </w:rPr>
      </w:pPr>
      <w:r w:rsidRPr="00230C45">
        <w:t>The basis for this figure is not explained but it appears to be the ratio of the highest animal dose cited (1250 mg/kg/day in monkeys) and the human dose (2 g/day) in a 60 kg subject. Exposure margins based on plasma AUC, rather than ones based on direct animal:human mg/kg bodyweight doses, are considered to be more appropriate for the assessment of safety. Considering plasma AUC</w:t>
      </w:r>
      <w:r w:rsidR="00261AB8">
        <w:rPr>
          <w:vertAlign w:val="subscript"/>
        </w:rPr>
        <w:t>0-</w:t>
      </w:r>
      <w:r w:rsidR="0006182C">
        <w:rPr>
          <w:vertAlign w:val="subscript"/>
        </w:rPr>
        <w:t>24</w:t>
      </w:r>
      <w:r w:rsidRPr="0006182C">
        <w:rPr>
          <w:vertAlign w:val="subscript"/>
        </w:rPr>
        <w:t>h</w:t>
      </w:r>
      <w:r w:rsidRPr="00230C45">
        <w:t xml:space="preserve"> values cited in the original Nonclinic</w:t>
      </w:r>
      <w:r w:rsidR="00261AB8">
        <w:t>al Evaluation Report for Protos</w:t>
      </w:r>
      <w:r w:rsidRPr="00230C45">
        <w:t xml:space="preserve"> (672, 517 and 733 </w:t>
      </w:r>
      <w:r w:rsidR="00E4730E">
        <w:t>µ</w:t>
      </w:r>
      <w:r w:rsidRPr="00230C45">
        <w:t>g∙h/mL for male rats, dogs and monkeys</w:t>
      </w:r>
      <w:r w:rsidR="00A91F65">
        <w:t>, respectively,</w:t>
      </w:r>
      <w:r w:rsidRPr="00230C45">
        <w:t xml:space="preserve"> at the specified doses) and a clinical </w:t>
      </w:r>
      <w:r w:rsidR="0006182C" w:rsidRPr="00230C45">
        <w:t>AUC</w:t>
      </w:r>
      <w:r w:rsidR="00261AB8">
        <w:rPr>
          <w:vertAlign w:val="subscript"/>
        </w:rPr>
        <w:t>0-</w:t>
      </w:r>
      <w:r w:rsidR="0006182C">
        <w:rPr>
          <w:vertAlign w:val="subscript"/>
        </w:rPr>
        <w:t>24</w:t>
      </w:r>
      <w:r w:rsidR="0006182C" w:rsidRPr="0006182C">
        <w:rPr>
          <w:vertAlign w:val="subscript"/>
        </w:rPr>
        <w:t>h</w:t>
      </w:r>
      <w:r w:rsidR="0006182C" w:rsidRPr="00230C45">
        <w:t xml:space="preserve"> </w:t>
      </w:r>
      <w:r w:rsidRPr="00230C45">
        <w:t xml:space="preserve">of 288 </w:t>
      </w:r>
      <w:r w:rsidR="00E4730E">
        <w:t>µ</w:t>
      </w:r>
      <w:r w:rsidRPr="00230C45">
        <w:t xml:space="preserve">g∙h/mL in men, the statement should be </w:t>
      </w:r>
      <w:r w:rsidR="00230C45">
        <w:t>replaced with the following text:</w:t>
      </w:r>
    </w:p>
    <w:p w:rsidR="00D45408" w:rsidRPr="00230C45" w:rsidRDefault="00D45408" w:rsidP="00230C45">
      <w:pPr>
        <w:ind w:left="720"/>
        <w:rPr>
          <w:i/>
          <w:kern w:val="22"/>
        </w:rPr>
      </w:pPr>
      <w:r w:rsidRPr="00230C45">
        <w:rPr>
          <w:i/>
        </w:rPr>
        <w:lastRenderedPageBreak/>
        <w:t>“These doses are up to about 38 times the human therapeutic dose on a mg/kg body weight basis and yielded systemic exposure to strontium (plasma AUC) up to 2.5 times higher</w:t>
      </w:r>
      <w:r w:rsidRPr="00230C45">
        <w:rPr>
          <w:i/>
          <w:kern w:val="22"/>
        </w:rPr>
        <w:t>.”</w:t>
      </w:r>
    </w:p>
    <w:p w:rsidR="008E7846" w:rsidRDefault="008E7846" w:rsidP="008E7846">
      <w:pPr>
        <w:pStyle w:val="Heading3"/>
      </w:pPr>
      <w:bookmarkStart w:id="37" w:name="_Toc247691515"/>
      <w:bookmarkStart w:id="38" w:name="_Toc314842499"/>
      <w:bookmarkStart w:id="39" w:name="_Toc345343182"/>
      <w:r>
        <w:t>Nonclinical summary and conclusions</w:t>
      </w:r>
      <w:bookmarkEnd w:id="37"/>
      <w:bookmarkEnd w:id="38"/>
      <w:bookmarkEnd w:id="39"/>
    </w:p>
    <w:p w:rsidR="008E7846" w:rsidRDefault="00D45408" w:rsidP="00D45408">
      <w:pPr>
        <w:pStyle w:val="Heading4"/>
      </w:pPr>
      <w:r>
        <w:t>Summary</w:t>
      </w:r>
    </w:p>
    <w:p w:rsidR="00D45408" w:rsidRDefault="009C1098" w:rsidP="00E4730E">
      <w:pPr>
        <w:pStyle w:val="ListBullet"/>
      </w:pPr>
      <w:r>
        <w:t>The sponsor</w:t>
      </w:r>
      <w:r w:rsidR="00D45408">
        <w:t xml:space="preserve"> has applied to extend the indications for strontium ranelate (P</w:t>
      </w:r>
      <w:r w:rsidR="00A91F65">
        <w:t>rotos</w:t>
      </w:r>
      <w:r w:rsidR="00D45408">
        <w:t>) to include treatment of osteoporosis in men at increased risk of fracture. The product is currently registered for the treatment of postmenopausal osteoporosis. The dosing regimen (2 g PO once daily) to be used in men is the same as in women.</w:t>
      </w:r>
    </w:p>
    <w:p w:rsidR="00D45408" w:rsidRDefault="00D45408" w:rsidP="00E4730E">
      <w:pPr>
        <w:pStyle w:val="ListBullet"/>
      </w:pPr>
      <w:r>
        <w:t xml:space="preserve">Two new relevant nonclinical studies were submitted in </w:t>
      </w:r>
      <w:r w:rsidR="004805E2">
        <w:t>the nonclinical evaluation report</w:t>
      </w:r>
      <w:r w:rsidR="00727048">
        <w:t xml:space="preserve">. These were long </w:t>
      </w:r>
      <w:r>
        <w:t>term (44-52 week) primary pharmacology studies investigating the efficacy of strontium ranelate in orchidectomised rats, an</w:t>
      </w:r>
      <w:r w:rsidR="004805E2">
        <w:t xml:space="preserve"> accepted model of hypogonadism </w:t>
      </w:r>
      <w:r>
        <w:t>induced male osteoporosis. The studies were conducted according to GLP, used curative and preventative designs, and were in keeping with the relevant EU guideline on the development of medicinal products for the treatment of primary osteoporosis.</w:t>
      </w:r>
    </w:p>
    <w:p w:rsidR="00D45408" w:rsidRDefault="00D45408" w:rsidP="00E4730E">
      <w:pPr>
        <w:pStyle w:val="ListBullet"/>
      </w:pPr>
      <w:r>
        <w:t xml:space="preserve">Treatment with strontium ranelate (administered PO) increased trabecular and cortical/subcortical </w:t>
      </w:r>
      <w:r w:rsidR="003175B7">
        <w:t xml:space="preserve"> BMD</w:t>
      </w:r>
      <w:r>
        <w:t xml:space="preserve"> and content, and</w:t>
      </w:r>
      <w:r w:rsidR="004805E2">
        <w:t xml:space="preserve"> improved bone micro and macro </w:t>
      </w:r>
      <w:r>
        <w:t>architecture. Observed changes in biochemical markers indicated inhibition of the increase in bone turnover induced by orchidectomy and also increased bone formation. No change in trabecular and cortical bone strength was seen with drug treatment, but orchidectomy itself had no striking effect on strength parameters either.</w:t>
      </w:r>
    </w:p>
    <w:p w:rsidR="00D45408" w:rsidRDefault="00D45408" w:rsidP="00E4730E">
      <w:pPr>
        <w:pStyle w:val="ListBullet"/>
      </w:pPr>
      <w:r>
        <w:t>Plasma AUC values for strontium at the dose levels employed in the pharmacology studies in male rats were 1.3</w:t>
      </w:r>
      <w:r w:rsidR="004805E2">
        <w:t>-2.1 times higher compared with</w:t>
      </w:r>
      <w:r>
        <w:t xml:space="preserve"> at the clinical dose in osteoporotic men. Bone strontium content ranged from 1.24% to 2.91%. Slightly higher exposure to strontium was evident in male cf. female rats, but exposure is reported to be comparable between the sex</w:t>
      </w:r>
      <w:r w:rsidR="004805E2">
        <w:t>es in humans, according to the clinical o</w:t>
      </w:r>
      <w:r>
        <w:t>verview.</w:t>
      </w:r>
    </w:p>
    <w:p w:rsidR="00D45408" w:rsidRDefault="00D45408" w:rsidP="00E4730E">
      <w:pPr>
        <w:pStyle w:val="ListBullet"/>
      </w:pPr>
      <w:r>
        <w:t>Previously evaluated toxicity studies did not identify any effects specific to males (mice, rats, dogs and monkeys), nor were there adverse effects on male fertility (rats).</w:t>
      </w:r>
    </w:p>
    <w:p w:rsidR="00D45408" w:rsidRDefault="00D45408" w:rsidP="00D45408">
      <w:pPr>
        <w:pStyle w:val="Heading4"/>
      </w:pPr>
      <w:r>
        <w:t>Conclusions</w:t>
      </w:r>
    </w:p>
    <w:p w:rsidR="00D45408" w:rsidRDefault="00D45408" w:rsidP="00E4730E">
      <w:pPr>
        <w:pStyle w:val="ListBullet"/>
      </w:pPr>
      <w:r>
        <w:t>The nonclinical report was adequate in scope.</w:t>
      </w:r>
    </w:p>
    <w:p w:rsidR="00D45408" w:rsidRDefault="00D45408" w:rsidP="00E4730E">
      <w:pPr>
        <w:pStyle w:val="ListBullet"/>
      </w:pPr>
      <w:r>
        <w:t>While improvements in bone mass/density and architecture were shown in male animals treated with strontium ranelate in the submitted pharmacology studies, no enhancement of strength was able to be demonstrated. This may reflect a deficiency of the animal model though, given that orchidectomy did not lead to any significant reduction in bone strength. No completely satisfactory animal models of human osteoporosis exist.</w:t>
      </w:r>
    </w:p>
    <w:p w:rsidR="00D45408" w:rsidRDefault="00D45408" w:rsidP="007F50FC">
      <w:pPr>
        <w:pStyle w:val="ListBullet"/>
      </w:pPr>
      <w:r>
        <w:t xml:space="preserve">Previously evaluated toxicology studies identify no concerns particular to males </w:t>
      </w:r>
      <w:r w:rsidR="000F39DA">
        <w:t>compared with</w:t>
      </w:r>
      <w:r>
        <w:t xml:space="preserve"> females.</w:t>
      </w:r>
    </w:p>
    <w:p w:rsidR="00D45408" w:rsidRDefault="00D45408" w:rsidP="007F50FC">
      <w:pPr>
        <w:pStyle w:val="ListBullet"/>
      </w:pPr>
      <w:r>
        <w:t>There are no nonclinical objections to the extension of indications for P</w:t>
      </w:r>
      <w:r w:rsidR="004805E2">
        <w:t>rotos</w:t>
      </w:r>
      <w:r>
        <w:t xml:space="preserve"> to include use in men provided that efficacy in reducing fractures is adequately established from the clinical data set.</w:t>
      </w:r>
    </w:p>
    <w:p w:rsidR="00D45408" w:rsidRDefault="00D45408" w:rsidP="007F50FC">
      <w:pPr>
        <w:pStyle w:val="ListBullet"/>
      </w:pPr>
      <w:r>
        <w:lastRenderedPageBreak/>
        <w:t>The draft RMP and PI documents should be revised as outlined.</w:t>
      </w:r>
    </w:p>
    <w:p w:rsidR="008E7846" w:rsidRPr="00254787" w:rsidRDefault="008E7846" w:rsidP="008E7846">
      <w:pPr>
        <w:pStyle w:val="Heading2"/>
      </w:pPr>
      <w:bookmarkStart w:id="40" w:name="_Toc196046462"/>
      <w:bookmarkStart w:id="41" w:name="_Toc247691516"/>
      <w:bookmarkStart w:id="42" w:name="_Toc314842500"/>
      <w:bookmarkStart w:id="43" w:name="_Toc163441353"/>
      <w:bookmarkStart w:id="44" w:name="_Toc163441348"/>
      <w:bookmarkStart w:id="45" w:name="_Toc345343183"/>
      <w:r>
        <w:t xml:space="preserve">IV. </w:t>
      </w:r>
      <w:r w:rsidRPr="00254787">
        <w:t>Clinical</w:t>
      </w:r>
      <w:bookmarkEnd w:id="40"/>
      <w:r>
        <w:t xml:space="preserve"> </w:t>
      </w:r>
      <w:r w:rsidR="003A7F6C">
        <w:t>f</w:t>
      </w:r>
      <w:r>
        <w:t>indings</w:t>
      </w:r>
      <w:bookmarkEnd w:id="41"/>
      <w:bookmarkEnd w:id="42"/>
      <w:bookmarkEnd w:id="45"/>
    </w:p>
    <w:p w:rsidR="008E7846" w:rsidRDefault="008E7846" w:rsidP="008E7846">
      <w:pPr>
        <w:pStyle w:val="Heading3"/>
      </w:pPr>
      <w:bookmarkStart w:id="46" w:name="_Toc196046463"/>
      <w:bookmarkStart w:id="47" w:name="_Toc247691517"/>
      <w:bookmarkStart w:id="48" w:name="_Toc314842501"/>
      <w:bookmarkStart w:id="49" w:name="_Toc345343184"/>
      <w:r w:rsidRPr="00254787">
        <w:t>Introduction</w:t>
      </w:r>
      <w:bookmarkEnd w:id="46"/>
      <w:bookmarkEnd w:id="47"/>
      <w:bookmarkEnd w:id="48"/>
      <w:bookmarkEnd w:id="49"/>
    </w:p>
    <w:p w:rsidR="004869BD" w:rsidRDefault="002C0294" w:rsidP="007F50FC">
      <w:r>
        <w:t>This</w:t>
      </w:r>
      <w:r w:rsidR="004869BD">
        <w:t xml:space="preserve"> submission is for a drug which has the intended purpose of reducing the incidence of</w:t>
      </w:r>
      <w:r w:rsidR="002F7281">
        <w:t xml:space="preserve"> osteoporotic fractures in men.</w:t>
      </w:r>
      <w:r w:rsidR="002F7281">
        <w:rPr>
          <w:rStyle w:val="FootnoteReference"/>
        </w:rPr>
        <w:footnoteReference w:id="3"/>
      </w:r>
    </w:p>
    <w:p w:rsidR="004869BD" w:rsidRDefault="004869BD" w:rsidP="007F50FC">
      <w:r>
        <w:t>Osteoporotic fracture in men occurs less commonly than in women, but nevertheless accounts for approximately one third of all fractures in the elderly. Osteoporosis has been somewhat arbitrarily divided into primary osteoporosis and secondary osteoporosis (known causes); secondary osteoporosis is said to be more common in men.</w:t>
      </w:r>
    </w:p>
    <w:p w:rsidR="004869BD" w:rsidRDefault="004869BD" w:rsidP="007F50FC">
      <w:r>
        <w:t>Risk factors in male osteoporosis include: hypogonadism, smoking, alcohol consumption, low calcium intake, vitamin D deficiency, and inadequate level of physical exercise</w:t>
      </w:r>
    </w:p>
    <w:p w:rsidR="004869BD" w:rsidRDefault="004869BD" w:rsidP="007F50FC">
      <w:r>
        <w:t>Osteoporosis becomes an important issue only when a low impact fracture occurs. The prognosis after osteoporotic fractures, particularly of the hip, is poor with increased mortality (in men, there is greater aged matched mortality than in women</w:t>
      </w:r>
      <w:r w:rsidR="002F7281">
        <w:rPr>
          <w:rStyle w:val="FootnoteReference"/>
        </w:rPr>
        <w:footnoteReference w:id="4"/>
      </w:r>
      <w:r>
        <w:t>), but these fractures also are much more common in frail patients who have a poorer life expectancy from other contributing conditions.</w:t>
      </w:r>
    </w:p>
    <w:p w:rsidR="004869BD" w:rsidRDefault="003175B7" w:rsidP="007F50FC">
      <w:r>
        <w:t>BMD</w:t>
      </w:r>
      <w:r w:rsidR="004869BD">
        <w:t xml:space="preserve"> has a similar predicative value for subsequent fractures in both men and women.</w:t>
      </w:r>
      <w:r w:rsidR="002F7281">
        <w:rPr>
          <w:rStyle w:val="FootnoteReference"/>
        </w:rPr>
        <w:footnoteReference w:id="5"/>
      </w:r>
      <w:r w:rsidR="004869BD">
        <w:t xml:space="preserve"> The increased prevalence of vertebral fractures in women corresponding with their lower BMD at all ages.</w:t>
      </w:r>
      <w:r w:rsidR="002F7281">
        <w:rPr>
          <w:rStyle w:val="FootnoteReference"/>
        </w:rPr>
        <w:footnoteReference w:id="6"/>
      </w:r>
      <w:r w:rsidR="004869BD">
        <w:t xml:space="preserve"> Two other epidemiological studies have also shown that low BMD, increased bone resorption and prevalent vertebral fractures are independent risk factors for increased risk of vertebral fracture in men.</w:t>
      </w:r>
      <w:r w:rsidR="002F7281">
        <w:rPr>
          <w:rStyle w:val="FootnoteReference"/>
        </w:rPr>
        <w:footnoteReference w:id="7"/>
      </w:r>
    </w:p>
    <w:p w:rsidR="004869BD" w:rsidRDefault="004869BD" w:rsidP="00E37948">
      <w:r>
        <w:t>Hip BMD is more strongly associated with hip and peripheral fractures, and spine BMD more with spinal fractures.</w:t>
      </w:r>
      <w:r w:rsidR="002F7281">
        <w:rPr>
          <w:rStyle w:val="FootnoteReference"/>
        </w:rPr>
        <w:footnoteReference w:id="8"/>
      </w:r>
      <w:r>
        <w:t xml:space="preserve"> The usual definition of osteoporosis using sex specific reference ranges for BMD suggests the prevalence of osteoporosis to be between 4% and 17% in men aged over 50 years.</w:t>
      </w:r>
    </w:p>
    <w:p w:rsidR="004869BD" w:rsidRDefault="004869BD" w:rsidP="00E37948">
      <w:r>
        <w:t xml:space="preserve">Although biochemical estimates of bone turnover can assess bone formation and resorption and the effect of therapies, these are not a good discriminator of future </w:t>
      </w:r>
      <w:r>
        <w:lastRenderedPageBreak/>
        <w:t>fracture.</w:t>
      </w:r>
      <w:r w:rsidR="002F7281">
        <w:rPr>
          <w:rStyle w:val="FootnoteReference"/>
        </w:rPr>
        <w:footnoteReference w:id="9"/>
      </w:r>
      <w:r>
        <w:t xml:space="preserve"> Strontium </w:t>
      </w:r>
      <w:r w:rsidR="002C0294">
        <w:t>ranelate</w:t>
      </w:r>
      <w:r>
        <w:t xml:space="preserve"> shows biochemical changes of increased bone formation and decreased bone resorption in both sexes.</w:t>
      </w:r>
      <w:r w:rsidR="002F7281">
        <w:rPr>
          <w:rStyle w:val="FootnoteReference"/>
        </w:rPr>
        <w:footnoteReference w:id="10"/>
      </w:r>
    </w:p>
    <w:p w:rsidR="004869BD" w:rsidRDefault="004869BD" w:rsidP="00E37948">
      <w:r>
        <w:t>Once secondary causes have been excluded</w:t>
      </w:r>
      <w:r w:rsidR="002C0294">
        <w:t>,</w:t>
      </w:r>
      <w:r>
        <w:t xml:space="preserve"> the current Australian approved treatments for osteoporosis in men (with</w:t>
      </w:r>
      <w:r w:rsidR="002C0294">
        <w:t xml:space="preserve"> conditions for Pharmaceutical Benefits S</w:t>
      </w:r>
      <w:r>
        <w:t>cheme subsidy)</w:t>
      </w:r>
      <w:r w:rsidR="002C0294">
        <w:t xml:space="preserve"> </w:t>
      </w:r>
      <w:r>
        <w:t>include adequate calcium and vitamin D intake, improvement of lifestyle factors (exercise, alco</w:t>
      </w:r>
      <w:r w:rsidR="002C0294">
        <w:t>hol and tobacco intake), oral and IV bisphosphonates, and t</w:t>
      </w:r>
      <w:r w:rsidR="00BE615C">
        <w:t xml:space="preserve">eriparatide. Raloxifene, </w:t>
      </w:r>
      <w:r w:rsidR="002C0294">
        <w:t>d</w:t>
      </w:r>
      <w:r w:rsidR="00BE615C">
        <w:t xml:space="preserve">enusomab, and </w:t>
      </w:r>
      <w:r w:rsidR="002C0294">
        <w:t>s</w:t>
      </w:r>
      <w:r>
        <w:t xml:space="preserve">trontium </w:t>
      </w:r>
      <w:r w:rsidR="002C0294">
        <w:t>r</w:t>
      </w:r>
      <w:r>
        <w:t>anelate are not approved for use in men.</w:t>
      </w:r>
    </w:p>
    <w:p w:rsidR="004869BD" w:rsidRDefault="004869BD" w:rsidP="00E37948">
      <w:r>
        <w:t>The claimed rationale for the use of strontium ranelate is the assumption that the human male skeleton would not respond any differentl</w:t>
      </w:r>
      <w:r w:rsidR="006A6767">
        <w:t xml:space="preserve">y to the female skeleton to non </w:t>
      </w:r>
      <w:r>
        <w:t>hormonal anti osteoporotic treatments. PK data showed comparable results in men and women.</w:t>
      </w:r>
    </w:p>
    <w:p w:rsidR="004869BD" w:rsidRDefault="004869BD" w:rsidP="00E37948">
      <w:r>
        <w:t>The SOTI and TROPOS trials in women showed a reduction in fracture rate.</w:t>
      </w:r>
    </w:p>
    <w:p w:rsidR="004869BD" w:rsidRDefault="004869BD" w:rsidP="00E37948">
      <w:r>
        <w:t>The development program of strontium ranelate in male patients with osteoporosis was based on the European guideline.</w:t>
      </w:r>
      <w:r w:rsidR="002F7281">
        <w:rPr>
          <w:rStyle w:val="FootnoteReference"/>
        </w:rPr>
        <w:footnoteReference w:id="11"/>
      </w:r>
      <w:r w:rsidR="006A6767">
        <w:t xml:space="preserve"> </w:t>
      </w:r>
      <w:r>
        <w:t>The principal basis of the submission is that:</w:t>
      </w:r>
    </w:p>
    <w:p w:rsidR="004869BD" w:rsidRDefault="004869BD" w:rsidP="00E37948">
      <w:pPr>
        <w:pStyle w:val="ListBullet"/>
      </w:pPr>
      <w:r>
        <w:t xml:space="preserve">Strontium </w:t>
      </w:r>
      <w:r w:rsidR="006A6767">
        <w:t>r</w:t>
      </w:r>
      <w:r>
        <w:t xml:space="preserve">anelate has been shown to be safe and efficacious in preventing </w:t>
      </w:r>
      <w:r w:rsidR="00BE60BA">
        <w:t>osteoporotic fractures in women;</w:t>
      </w:r>
    </w:p>
    <w:p w:rsidR="004869BD" w:rsidRDefault="004869BD" w:rsidP="00E37948">
      <w:pPr>
        <w:pStyle w:val="ListBullet"/>
      </w:pPr>
      <w:r>
        <w:t xml:space="preserve">That the pivotal trial has shown </w:t>
      </w:r>
      <w:r w:rsidR="0039505F">
        <w:t xml:space="preserve">PK </w:t>
      </w:r>
      <w:r>
        <w:t>eq</w:t>
      </w:r>
      <w:r w:rsidR="00BE60BA">
        <w:t>uivalence between men and women;</w:t>
      </w:r>
    </w:p>
    <w:p w:rsidR="004869BD" w:rsidRDefault="004869BD" w:rsidP="00E37948">
      <w:pPr>
        <w:pStyle w:val="ListBullet"/>
      </w:pPr>
      <w:r>
        <w:t xml:space="preserve">That </w:t>
      </w:r>
      <w:r w:rsidR="006A6767">
        <w:t>PD</w:t>
      </w:r>
      <w:r>
        <w:t xml:space="preserve"> equivalence has been demonstrated between ovariectomised and orchidectomised rats</w:t>
      </w:r>
      <w:r w:rsidR="00BE60BA">
        <w:t>;</w:t>
      </w:r>
    </w:p>
    <w:p w:rsidR="004869BD" w:rsidRDefault="004869BD" w:rsidP="00E37948">
      <w:pPr>
        <w:pStyle w:val="ListBullet"/>
      </w:pPr>
      <w:r>
        <w:t xml:space="preserve">That </w:t>
      </w:r>
      <w:r w:rsidR="006A6767">
        <w:t>PD</w:t>
      </w:r>
      <w:r>
        <w:t xml:space="preserve"> equivalence (on the basis of </w:t>
      </w:r>
      <w:r w:rsidR="003175B7">
        <w:t>BMD</w:t>
      </w:r>
      <w:r>
        <w:t xml:space="preserve">, not subsequent fracture) has </w:t>
      </w:r>
      <w:r w:rsidR="00BE60BA">
        <w:t>been shown in the pivotal trial; and</w:t>
      </w:r>
    </w:p>
    <w:p w:rsidR="004869BD" w:rsidRDefault="004869BD" w:rsidP="00E37948">
      <w:pPr>
        <w:pStyle w:val="ListBullet"/>
      </w:pPr>
      <w:r>
        <w:t>That the side effect profile in the pivotal trial on men is similar to that of the more extensive experience in women.</w:t>
      </w:r>
    </w:p>
    <w:p w:rsidR="004869BD" w:rsidRDefault="004869BD" w:rsidP="00ED25BB">
      <w:r>
        <w:t>These principals are in accordance with the European guidelines for approval of treatment in osteoporosis in force in November 2006.</w:t>
      </w:r>
    </w:p>
    <w:p w:rsidR="008E7846" w:rsidRDefault="006A6767" w:rsidP="00ED25BB">
      <w:r>
        <w:t xml:space="preserve">The anti </w:t>
      </w:r>
      <w:r w:rsidR="004869BD">
        <w:t>fracture efficacy of strontium ranel</w:t>
      </w:r>
      <w:r>
        <w:t>ate was assessed in two placebo controlled pivotal</w:t>
      </w:r>
      <w:r w:rsidR="009834B4">
        <w:t xml:space="preserve"> 5</w:t>
      </w:r>
      <w:r>
        <w:t xml:space="preserve"> </w:t>
      </w:r>
      <w:r w:rsidR="004869BD">
        <w:t>year studies involving nearly 8,000</w:t>
      </w:r>
      <w:r>
        <w:t xml:space="preserve"> </w:t>
      </w:r>
      <w:r w:rsidR="004869BD">
        <w:t>post menopausal women with main a</w:t>
      </w:r>
      <w:r>
        <w:t>nalyses performed at 3 years</w:t>
      </w:r>
      <w:r w:rsidR="004869BD">
        <w:t>.</w:t>
      </w:r>
      <w:r w:rsidR="002F7281">
        <w:rPr>
          <w:rStyle w:val="FootnoteReference"/>
        </w:rPr>
        <w:footnoteReference w:id="12"/>
      </w:r>
      <w:r>
        <w:t xml:space="preserve"> </w:t>
      </w:r>
      <w:r w:rsidR="004869BD">
        <w:t>These results were completed with data obtained at 4 and 5 years (placebo controlled) and further up to 8 years (op</w:t>
      </w:r>
      <w:r w:rsidR="001D19B2">
        <w:t xml:space="preserve">en </w:t>
      </w:r>
      <w:r>
        <w:t>labelled extension study)</w:t>
      </w:r>
      <w:r w:rsidR="004869BD">
        <w:t>.</w:t>
      </w:r>
      <w:r w:rsidR="002F7281">
        <w:rPr>
          <w:rStyle w:val="FootnoteReference"/>
        </w:rPr>
        <w:footnoteReference w:id="13"/>
      </w:r>
    </w:p>
    <w:p w:rsidR="00505CE7" w:rsidRDefault="00505CE7" w:rsidP="00ED25BB">
      <w:r>
        <w:t>The submission contained the following clinical information:</w:t>
      </w:r>
    </w:p>
    <w:p w:rsidR="00505CE7" w:rsidRDefault="00505CE7" w:rsidP="00ED25BB">
      <w:pPr>
        <w:pStyle w:val="ListBullet"/>
      </w:pPr>
      <w:r>
        <w:lastRenderedPageBreak/>
        <w:t>One clinical pharmacology study that provided PK data in men (Study PKH-12911-012-FRA);</w:t>
      </w:r>
    </w:p>
    <w:p w:rsidR="00505CE7" w:rsidRDefault="00505CE7" w:rsidP="00ED25BB">
      <w:pPr>
        <w:pStyle w:val="ListBullet"/>
      </w:pPr>
      <w:r>
        <w:t>Two population PK analyses: one each in males (the pivotal Study CL3-12911-032) and females (Study CL3-12911-009/010);</w:t>
      </w:r>
    </w:p>
    <w:p w:rsidR="00505CE7" w:rsidRDefault="00505CE7" w:rsidP="00ED25BB">
      <w:pPr>
        <w:pStyle w:val="ListBullet"/>
      </w:pPr>
      <w:r>
        <w:t>Two population PD analyses: one each in males (the pivotal Study CL3-12911-032) and females (Study CL3-12911-009/010);</w:t>
      </w:r>
    </w:p>
    <w:p w:rsidR="00505CE7" w:rsidRDefault="00505CE7" w:rsidP="00ED25BB">
      <w:pPr>
        <w:pStyle w:val="ListBullet"/>
      </w:pPr>
      <w:r>
        <w:t>One pivotal efficacy/safety study (again the above Study CL3-12911-032)</w:t>
      </w:r>
      <w:r w:rsidR="00D86B85">
        <w:t>; and</w:t>
      </w:r>
    </w:p>
    <w:p w:rsidR="00505CE7" w:rsidRDefault="00326FF9" w:rsidP="00ED25BB">
      <w:pPr>
        <w:pStyle w:val="ListBullet"/>
      </w:pPr>
      <w:r>
        <w:t>Clini</w:t>
      </w:r>
      <w:r w:rsidR="00505CE7">
        <w:t>cal study reports including saf</w:t>
      </w:r>
      <w:r w:rsidR="00D86B85">
        <w:t>ety committee.</w:t>
      </w:r>
    </w:p>
    <w:p w:rsidR="00D86B85" w:rsidRDefault="00BE7F4D" w:rsidP="00ED25BB">
      <w:r w:rsidRPr="00BE7F4D">
        <w:t xml:space="preserve">The submission did not include paediatric data, which is not relevant for the proposed indication. The </w:t>
      </w:r>
      <w:r>
        <w:t>EMA</w:t>
      </w:r>
      <w:r w:rsidRPr="00BE7F4D">
        <w:t xml:space="preserve"> has waived the obligation to submit the results of studies with P</w:t>
      </w:r>
      <w:r>
        <w:t>rotelos</w:t>
      </w:r>
      <w:r w:rsidRPr="00BE7F4D">
        <w:t xml:space="preserve"> (the European trade name for </w:t>
      </w:r>
      <w:r>
        <w:t>s</w:t>
      </w:r>
      <w:r w:rsidRPr="00BE7F4D">
        <w:t xml:space="preserve">trontium </w:t>
      </w:r>
      <w:r>
        <w:t>r</w:t>
      </w:r>
      <w:r w:rsidRPr="00BE7F4D">
        <w:t>anelate) in all subsets of the paediatric population in osteoporosis.</w:t>
      </w:r>
    </w:p>
    <w:p w:rsidR="00BE7F4D" w:rsidRPr="0012425F" w:rsidRDefault="00BE7F4D" w:rsidP="00ED25BB">
      <w:r>
        <w:t>T</w:t>
      </w:r>
      <w:r w:rsidRPr="0012425F">
        <w:t xml:space="preserve">he </w:t>
      </w:r>
      <w:r>
        <w:t>aforementioned s</w:t>
      </w:r>
      <w:r w:rsidRPr="0012425F">
        <w:t xml:space="preserve">tudies complied </w:t>
      </w:r>
      <w:r w:rsidR="00035CC7">
        <w:t xml:space="preserve">with </w:t>
      </w:r>
      <w:r w:rsidR="00E2578B">
        <w:t xml:space="preserve">the </w:t>
      </w:r>
      <w:r w:rsidRPr="0012425F">
        <w:t xml:space="preserve">note for guidance on </w:t>
      </w:r>
      <w:r w:rsidR="00E2578B">
        <w:t>GCP</w:t>
      </w:r>
      <w:r w:rsidRPr="0012425F">
        <w:t xml:space="preserve"> (as annotated with TGA comments) including appropriate ethical standards.</w:t>
      </w:r>
    </w:p>
    <w:p w:rsidR="008E7846" w:rsidRPr="00254787" w:rsidRDefault="008E7846" w:rsidP="008E7846">
      <w:pPr>
        <w:pStyle w:val="Heading3"/>
      </w:pPr>
      <w:bookmarkStart w:id="50" w:name="_Toc196046464"/>
      <w:bookmarkStart w:id="51" w:name="_Toc247691518"/>
      <w:bookmarkStart w:id="52" w:name="_Toc314842502"/>
      <w:bookmarkStart w:id="53" w:name="_Toc345343185"/>
      <w:r w:rsidRPr="00254787">
        <w:t>Pharmacokinetics</w:t>
      </w:r>
      <w:bookmarkEnd w:id="43"/>
      <w:bookmarkEnd w:id="50"/>
      <w:bookmarkEnd w:id="51"/>
      <w:bookmarkEnd w:id="52"/>
      <w:bookmarkEnd w:id="53"/>
    </w:p>
    <w:p w:rsidR="00BD299F" w:rsidRDefault="00BD299F" w:rsidP="00ED25BB">
      <w:r>
        <w:t>The PK in healthy adults was assessed in Study PKH-12911-012-FRA</w:t>
      </w:r>
      <w:r w:rsidR="00BE60BA">
        <w:t>. B</w:t>
      </w:r>
      <w:r w:rsidR="0083588D">
        <w:t xml:space="preserve">ioequivalence, hepatic and renal impairment, and elderly subjects </w:t>
      </w:r>
      <w:r w:rsidR="00BE60BA">
        <w:t xml:space="preserve">were </w:t>
      </w:r>
      <w:r w:rsidR="0083588D">
        <w:t xml:space="preserve">assessed in Study CL3-12911-032. </w:t>
      </w:r>
      <w:r w:rsidR="00BE615C" w:rsidRPr="00BE615C">
        <w:t>Males versus females were compared in Studies CL3-12911-032 and CL3-12911-009/010.</w:t>
      </w:r>
      <w:r w:rsidR="00BE615C">
        <w:t xml:space="preserve"> </w:t>
      </w:r>
      <w:r w:rsidR="006C67B1">
        <w:t>Population PK analyses were examined in Study CL3-12911-032.</w:t>
      </w:r>
    </w:p>
    <w:p w:rsidR="008E7846" w:rsidRDefault="00C576AE" w:rsidP="00ED25BB">
      <w:r>
        <w:t>PK</w:t>
      </w:r>
      <w:r w:rsidR="000D440F" w:rsidRPr="0012425F">
        <w:t xml:space="preserve"> of strontium and ranelic acid were evaluated after single oral administration of 3 different doses of strontium ranelate in healthy elderly (&gt;65 years) male volunteers. Strontium </w:t>
      </w:r>
      <w:r>
        <w:t>PK</w:t>
      </w:r>
      <w:r w:rsidR="000D440F" w:rsidRPr="0012425F">
        <w:t xml:space="preserve"> and systemic exposure to strontium at steady</w:t>
      </w:r>
      <w:r w:rsidR="000D440F">
        <w:t xml:space="preserve"> </w:t>
      </w:r>
      <w:r w:rsidR="000D440F" w:rsidRPr="0012425F">
        <w:t xml:space="preserve">state were also assessed in the pivotal </w:t>
      </w:r>
      <w:r w:rsidR="00BE615C" w:rsidRPr="00BE615C">
        <w:t xml:space="preserve">Phase 3 Study CL3-12911-032 </w:t>
      </w:r>
      <w:r w:rsidR="000D440F" w:rsidRPr="0012425F">
        <w:t>involving osteoporotic men treated with 2</w:t>
      </w:r>
      <w:r w:rsidR="000C69BB">
        <w:t xml:space="preserve"> </w:t>
      </w:r>
      <w:r w:rsidR="00EB4A3F">
        <w:t xml:space="preserve">g per </w:t>
      </w:r>
      <w:r w:rsidR="000D440F" w:rsidRPr="0012425F">
        <w:t>day of strontium ranelate.</w:t>
      </w:r>
      <w:r w:rsidR="000C69BB">
        <w:t xml:space="preserve"> </w:t>
      </w:r>
      <w:r w:rsidR="000D440F" w:rsidRPr="0012425F">
        <w:t xml:space="preserve">Creatinine clearance, calcemia and phosphoremia have a negligible influence on the apparent clearance of strontium and therefore need not </w:t>
      </w:r>
      <w:r w:rsidR="000D440F">
        <w:t>be considered in dose selection.</w:t>
      </w:r>
    </w:p>
    <w:p w:rsidR="00B26398" w:rsidRPr="0012425F" w:rsidRDefault="00B26398" w:rsidP="00ED25BB">
      <w:r w:rsidRPr="0012425F">
        <w:t xml:space="preserve">None of the </w:t>
      </w:r>
      <w:r w:rsidR="0039505F">
        <w:t>PK</w:t>
      </w:r>
      <w:r w:rsidRPr="0012425F">
        <w:t xml:space="preserve"> studies had deficiencies that excluded their results from consideration.</w:t>
      </w:r>
    </w:p>
    <w:p w:rsidR="00326FF9" w:rsidRDefault="00326FF9" w:rsidP="00ED25BB">
      <w:r>
        <w:t>PK data was evaluated in the original approval. On this occasion, absorption, bioavailability, different dosage strength (in the clinical study), bioequivalence, food, bioavail</w:t>
      </w:r>
      <w:r w:rsidR="00646DFE">
        <w:t>ability after multiple dosing, t</w:t>
      </w:r>
      <w:r>
        <w:t xml:space="preserve">issue distribution (assumed by BMD data in </w:t>
      </w:r>
      <w:r w:rsidR="004C27C8">
        <w:t>PD</w:t>
      </w:r>
      <w:r>
        <w:t>), metabolism, intra individual variability, hepatic function, age, genetic factors</w:t>
      </w:r>
      <w:r w:rsidR="00646DFE">
        <w:t>,</w:t>
      </w:r>
      <w:r>
        <w:t xml:space="preserve"> and </w:t>
      </w:r>
      <w:r w:rsidR="00646DFE">
        <w:t>PK</w:t>
      </w:r>
      <w:r>
        <w:t xml:space="preserve"> interactions were not systematically addressed.</w:t>
      </w:r>
    </w:p>
    <w:p w:rsidR="00B26398" w:rsidRDefault="00326FF9" w:rsidP="00ED25BB">
      <w:r>
        <w:t>The supplied data shows no significant differences between the standard dosage form in men and women as evidenced by blood and urine assay. As the mechanism of action of this compound appears to be related to its retention in the skeleton, which is p</w:t>
      </w:r>
      <w:r w:rsidR="000C69BB">
        <w:t>resumably very long lasting,</w:t>
      </w:r>
      <w:r>
        <w:t xml:space="preserve"> no balance studies comparing retention with excretion have been performed in humans</w:t>
      </w:r>
      <w:r w:rsidR="000C69BB">
        <w:t xml:space="preserve"> (as far as can be determined). T</w:t>
      </w:r>
      <w:r>
        <w:t xml:space="preserve">he retention function </w:t>
      </w:r>
      <w:r w:rsidR="000C69BB">
        <w:t xml:space="preserve">thus </w:t>
      </w:r>
      <w:r>
        <w:t>seems to best estimated b</w:t>
      </w:r>
      <w:r w:rsidR="00E046AF">
        <w:t xml:space="preserve">y the BMD. The BMD </w:t>
      </w:r>
      <w:r>
        <w:t>for strontium ranelate</w:t>
      </w:r>
      <w:r w:rsidR="00E046AF">
        <w:t>,</w:t>
      </w:r>
      <w:r>
        <w:t xml:space="preserve"> unlike other activ</w:t>
      </w:r>
      <w:r w:rsidR="00E046AF">
        <w:t>e</w:t>
      </w:r>
      <w:r>
        <w:t xml:space="preserve"> anti osteoporotic treatments</w:t>
      </w:r>
      <w:r w:rsidR="00E046AF">
        <w:t>,</w:t>
      </w:r>
      <w:r>
        <w:t xml:space="preserve"> is directly affected by the retention of this metal ion (more attenuating than the calcium it replaces)</w:t>
      </w:r>
      <w:r w:rsidR="00E046AF">
        <w:t>,</w:t>
      </w:r>
      <w:r>
        <w:t xml:space="preserve"> as well as any increase in bone “quality”.</w:t>
      </w:r>
    </w:p>
    <w:p w:rsidR="00646DFE" w:rsidRDefault="00646DFE" w:rsidP="00646DFE">
      <w:pPr>
        <w:pStyle w:val="Heading4"/>
      </w:pPr>
      <w:r>
        <w:t>Overall conclusions on pharmacokinetics</w:t>
      </w:r>
    </w:p>
    <w:p w:rsidR="00E046AF" w:rsidRPr="00FB2770" w:rsidRDefault="004E75BE" w:rsidP="00ED25BB">
      <w:r w:rsidRPr="004E75BE">
        <w:t>The submission has satisfied the clinical evaluator that the PK of 2 g per day strontium ranelate is equivalent between the sexes in elderly subjects.</w:t>
      </w:r>
    </w:p>
    <w:p w:rsidR="008E7846" w:rsidRDefault="008E7846" w:rsidP="00ED25BB">
      <w:pPr>
        <w:pStyle w:val="Heading3"/>
      </w:pPr>
      <w:bookmarkStart w:id="54" w:name="_Toc196046481"/>
      <w:bookmarkStart w:id="55" w:name="_Toc247691520"/>
      <w:bookmarkStart w:id="56" w:name="_Toc314842503"/>
      <w:bookmarkStart w:id="57" w:name="_Toc345343186"/>
      <w:r w:rsidRPr="00254787">
        <w:lastRenderedPageBreak/>
        <w:t>Pharmacodynamics</w:t>
      </w:r>
      <w:bookmarkEnd w:id="44"/>
      <w:bookmarkEnd w:id="54"/>
      <w:bookmarkEnd w:id="55"/>
      <w:bookmarkEnd w:id="56"/>
      <w:bookmarkEnd w:id="57"/>
    </w:p>
    <w:p w:rsidR="00BE5954" w:rsidRDefault="00BE5954" w:rsidP="00ED25BB">
      <w:r w:rsidRPr="00BE5954">
        <w:t>PD studies were of primary pharmacology to examine the effect on BMD and safety in orchidectomised rats (Study PHA-12911-178) and the effect of gender in humans and other age related differences in PD (Study CL3-12911-032).</w:t>
      </w:r>
    </w:p>
    <w:p w:rsidR="00723C84" w:rsidRPr="0012425F" w:rsidRDefault="00A75F4E" w:rsidP="00ED25BB">
      <w:r>
        <w:t>T</w:t>
      </w:r>
      <w:r w:rsidR="00723C84">
        <w:t xml:space="preserve">he submitted rat PD data </w:t>
      </w:r>
      <w:r>
        <w:t xml:space="preserve">was included as no </w:t>
      </w:r>
      <w:r w:rsidRPr="002774BE">
        <w:rPr>
          <w:i/>
        </w:rPr>
        <w:t xml:space="preserve">in </w:t>
      </w:r>
      <w:r w:rsidR="00723C84" w:rsidRPr="002774BE">
        <w:rPr>
          <w:i/>
        </w:rPr>
        <w:t>vitro</w:t>
      </w:r>
      <w:r w:rsidR="00723C84">
        <w:t xml:space="preserve"> studies on bone concentration/str</w:t>
      </w:r>
      <w:r>
        <w:t xml:space="preserve">ength have been included in men. It is understood </w:t>
      </w:r>
      <w:r w:rsidR="00723C84">
        <w:t>that similar data in a small number of women was included in the original submission.</w:t>
      </w:r>
    </w:p>
    <w:p w:rsidR="00723C84" w:rsidRDefault="00723C84" w:rsidP="00ED25BB">
      <w:r w:rsidRPr="0012425F">
        <w:rPr>
          <w:rFonts w:cs="TimesNewRoman"/>
          <w:lang w:eastAsia="en-AU"/>
        </w:rPr>
        <w:t>There is no guideline for the male orchidectomi</w:t>
      </w:r>
      <w:r w:rsidR="00A75F4E">
        <w:rPr>
          <w:rFonts w:cs="TimesNewRoman"/>
          <w:lang w:eastAsia="en-AU"/>
        </w:rPr>
        <w:t>s</w:t>
      </w:r>
      <w:r w:rsidRPr="0012425F">
        <w:rPr>
          <w:rFonts w:cs="TimesNewRoman"/>
          <w:lang w:eastAsia="en-AU"/>
        </w:rPr>
        <w:t>ed rat model, hence the guideline for</w:t>
      </w:r>
      <w:r>
        <w:rPr>
          <w:rFonts w:cs="TimesNewRoman"/>
          <w:lang w:eastAsia="en-AU"/>
        </w:rPr>
        <w:t xml:space="preserve"> </w:t>
      </w:r>
      <w:r w:rsidRPr="0012425F">
        <w:rPr>
          <w:rFonts w:cs="TimesNewRoman"/>
          <w:lang w:eastAsia="en-AU"/>
        </w:rPr>
        <w:t>the female ovariectomi</w:t>
      </w:r>
      <w:r w:rsidR="0078125F">
        <w:rPr>
          <w:rFonts w:cs="TimesNewRoman"/>
          <w:lang w:eastAsia="en-AU"/>
        </w:rPr>
        <w:t>s</w:t>
      </w:r>
      <w:r w:rsidRPr="0012425F">
        <w:rPr>
          <w:rFonts w:cs="TimesNewRoman"/>
          <w:lang w:eastAsia="en-AU"/>
        </w:rPr>
        <w:t>ed rat was use</w:t>
      </w:r>
      <w:r w:rsidR="0078125F">
        <w:rPr>
          <w:rFonts w:cs="TimesNewRoman"/>
          <w:lang w:eastAsia="en-AU"/>
        </w:rPr>
        <w:t xml:space="preserve">d. </w:t>
      </w:r>
      <w:r w:rsidRPr="0012425F">
        <w:rPr>
          <w:rFonts w:cs="TimesNewRoman"/>
          <w:lang w:eastAsia="en-AU"/>
        </w:rPr>
        <w:t>This guideline request</w:t>
      </w:r>
      <w:r w:rsidR="0055230E">
        <w:rPr>
          <w:rFonts w:cs="TimesNewRoman"/>
          <w:lang w:eastAsia="en-AU"/>
        </w:rPr>
        <w:t>s</w:t>
      </w:r>
      <w:r w:rsidRPr="0012425F">
        <w:rPr>
          <w:rFonts w:cs="TimesNewRoman"/>
          <w:lang w:eastAsia="en-AU"/>
        </w:rPr>
        <w:t xml:space="preserve"> that </w:t>
      </w:r>
      <w:r w:rsidRPr="0078125F">
        <w:rPr>
          <w:rFonts w:cs="TimesNewRomanPS-ItalicMT"/>
          <w:i/>
          <w:iCs/>
          <w:lang w:eastAsia="en-AU"/>
        </w:rPr>
        <w:t>in vivo</w:t>
      </w:r>
      <w:r w:rsidRPr="0012425F">
        <w:rPr>
          <w:rFonts w:cs="TimesNewRomanPS-ItalicMT"/>
          <w:i/>
          <w:iCs/>
          <w:lang w:eastAsia="en-AU"/>
        </w:rPr>
        <w:t xml:space="preserve"> </w:t>
      </w:r>
      <w:r w:rsidRPr="0012425F">
        <w:rPr>
          <w:rFonts w:cs="TimesNewRoman"/>
          <w:lang w:eastAsia="en-AU"/>
        </w:rPr>
        <w:t>pharmacological studies include</w:t>
      </w:r>
      <w:r w:rsidR="0055230E">
        <w:rPr>
          <w:rFonts w:cs="TimesNewRoman"/>
          <w:lang w:eastAsia="en-AU"/>
        </w:rPr>
        <w:t>d</w:t>
      </w:r>
      <w:r w:rsidRPr="0012425F">
        <w:rPr>
          <w:rFonts w:cs="TimesNewRoman"/>
          <w:lang w:eastAsia="en-AU"/>
        </w:rPr>
        <w:t xml:space="preserve"> effects of drugs on bone quantity and quality</w:t>
      </w:r>
      <w:r>
        <w:rPr>
          <w:rFonts w:cs="TimesNewRoman"/>
          <w:lang w:eastAsia="en-AU"/>
        </w:rPr>
        <w:t xml:space="preserve"> </w:t>
      </w:r>
      <w:r w:rsidRPr="0012425F">
        <w:rPr>
          <w:rFonts w:cs="TimesNewRoman"/>
          <w:lang w:eastAsia="en-AU"/>
        </w:rPr>
        <w:t>parameters such as bone mass, bone architecture, bone strength and bone safety.</w:t>
      </w:r>
      <w:r w:rsidR="0055230E">
        <w:rPr>
          <w:rFonts w:cs="TimesNewRoman"/>
          <w:lang w:eastAsia="en-AU"/>
        </w:rPr>
        <w:t xml:space="preserve"> </w:t>
      </w:r>
      <w:r w:rsidRPr="0012425F">
        <w:t xml:space="preserve">None of the </w:t>
      </w:r>
      <w:r w:rsidR="0055230E">
        <w:t xml:space="preserve">PD </w:t>
      </w:r>
      <w:r w:rsidRPr="0012425F">
        <w:t>studies had deficiencies that</w:t>
      </w:r>
      <w:r>
        <w:t xml:space="preserve"> </w:t>
      </w:r>
      <w:r w:rsidRPr="0012425F">
        <w:t>excluded their results from consideration.</w:t>
      </w:r>
    </w:p>
    <w:p w:rsidR="00723C84" w:rsidRDefault="00723C84" w:rsidP="00723C84">
      <w:pPr>
        <w:pStyle w:val="Heading4"/>
      </w:pPr>
      <w:r>
        <w:t>Mechanism of action</w:t>
      </w:r>
    </w:p>
    <w:p w:rsidR="00280193" w:rsidRDefault="00280193" w:rsidP="00ED25BB">
      <w:r w:rsidRPr="001A032B">
        <w:t xml:space="preserve">The exact mechanism of action of </w:t>
      </w:r>
      <w:r>
        <w:t>s</w:t>
      </w:r>
      <w:r w:rsidRPr="001A032B">
        <w:t xml:space="preserve">trontium </w:t>
      </w:r>
      <w:r>
        <w:t>r</w:t>
      </w:r>
      <w:r w:rsidR="004D37EC">
        <w:t xml:space="preserve">anelate is unclear. </w:t>
      </w:r>
      <w:r w:rsidRPr="001A032B">
        <w:t xml:space="preserve">A considerable proportion of the drug (34% by weight) is </w:t>
      </w:r>
      <w:r>
        <w:t>s</w:t>
      </w:r>
      <w:r w:rsidRPr="001A032B">
        <w:t>trontium, which is in the periodic table an analogue of calcium. This strontium is claimed to be incorporated into the matrix of bone by adsorption onto the surface rather than incorporation</w:t>
      </w:r>
      <w:r w:rsidR="00E22047">
        <w:t xml:space="preserve"> into the crystalline structure. The end result is reduced</w:t>
      </w:r>
      <w:r w:rsidRPr="001A032B">
        <w:t xml:space="preserve"> bone resorption, increase</w:t>
      </w:r>
      <w:r w:rsidR="00E22047">
        <w:t>d</w:t>
      </w:r>
      <w:r w:rsidRPr="001A032B">
        <w:t xml:space="preserve"> bone formation, and in large tr</w:t>
      </w:r>
      <w:r w:rsidR="004D37EC">
        <w:t xml:space="preserve">ials on postmenopausal women </w:t>
      </w:r>
      <w:r w:rsidRPr="001A032B">
        <w:t>has been associated with reduced peripheral and spina</w:t>
      </w:r>
      <w:r w:rsidR="004D37EC">
        <w:t>l fracture risk.</w:t>
      </w:r>
    </w:p>
    <w:p w:rsidR="00F51FE8" w:rsidRDefault="00F51FE8" w:rsidP="00F51FE8">
      <w:pPr>
        <w:pStyle w:val="Heading4"/>
      </w:pPr>
      <w:r>
        <w:t>Pharmacodynamic effects</w:t>
      </w:r>
    </w:p>
    <w:p w:rsidR="008E2B39" w:rsidRDefault="00ED25BB" w:rsidP="008E2B39">
      <w:pPr>
        <w:pStyle w:val="Heading5"/>
      </w:pPr>
      <w:r>
        <w:t>Primary pharmacodynamic effects</w:t>
      </w:r>
    </w:p>
    <w:p w:rsidR="00BE5954" w:rsidRDefault="00BE5954" w:rsidP="00ED25BB">
      <w:r w:rsidRPr="00BE5954">
        <w:t>The claimed efficacy in this study is the surrogate end point for fracture, the lumbar spine (L2-L4) BMD change over time in placebo and strontium ranelate treated group in osteoporotic men. The submission investigates potential relationship between strontium exposure and lumbar spine BMD after repeated administration of strontium ranelate (2 g per day). This change is in part presumably the incorporation of strontium into bone. In itself, this results in the increased of measured BMD by DXA. Confounding with this is the favoured method of assessment of alteration in bone mineralisation as a surrogate for bone strength, which for other anti osteoporotic drugs is also BMD is a direct measurement of calcium and phosphorus metabolism (each of which element attenuates the X ray beam less than strontium). There is no practical, non invasive way of separating the effects of strontium versus calcium/phosphate on the measured BMD. In my BMD practice, the increased BMD is a sign of compliance.</w:t>
      </w:r>
    </w:p>
    <w:p w:rsidR="008E2B39" w:rsidRDefault="008E2B39" w:rsidP="008E2B39">
      <w:pPr>
        <w:pStyle w:val="Heading5"/>
      </w:pPr>
      <w:r>
        <w:t>Secondary pharmacodynamic effects</w:t>
      </w:r>
    </w:p>
    <w:p w:rsidR="008E2B39" w:rsidRDefault="008E2B39" w:rsidP="00ED25BB">
      <w:r>
        <w:t>A further exploration is the res</w:t>
      </w:r>
      <w:r w:rsidR="003B3A24">
        <w:t>ponse to strontium ranelate, that is,</w:t>
      </w:r>
      <w:r>
        <w:t xml:space="preserve"> the percentage change from baseline in BMD in both men </w:t>
      </w:r>
      <w:r w:rsidR="009A79F5">
        <w:t>and women through simulations (Fig</w:t>
      </w:r>
      <w:r w:rsidR="00F529BF">
        <w:t>ure</w:t>
      </w:r>
      <w:r w:rsidR="009A79F5">
        <w:t xml:space="preserve"> 1</w:t>
      </w:r>
      <w:r>
        <w:t>)</w:t>
      </w:r>
      <w:r w:rsidR="009A79F5">
        <w:t>.</w:t>
      </w:r>
    </w:p>
    <w:p w:rsidR="008E2B39" w:rsidRDefault="008E2B39" w:rsidP="008E2B39">
      <w:pPr>
        <w:pStyle w:val="FigureTitle"/>
        <w:rPr>
          <w:lang w:val="en-GB"/>
        </w:rPr>
      </w:pPr>
      <w:r>
        <w:lastRenderedPageBreak/>
        <w:t xml:space="preserve">Figure </w:t>
      </w:r>
      <w:r w:rsidRPr="004C5C28">
        <w:t>1</w:t>
      </w:r>
      <w:r>
        <w:t>:</w:t>
      </w:r>
      <w:r w:rsidRPr="004C5C28">
        <w:t xml:space="preserve"> </w:t>
      </w:r>
      <w:r w:rsidR="00F61EF7" w:rsidRPr="003A41F3">
        <w:t>Simulated change in density with therapy between sexes</w:t>
      </w:r>
      <w:r w:rsidR="00F61EF7">
        <w:t>.</w:t>
      </w:r>
    </w:p>
    <w:p w:rsidR="008E2B39" w:rsidRDefault="00294DCE" w:rsidP="000B1202">
      <w:pPr>
        <w:jc w:val="center"/>
      </w:pPr>
      <w:r>
        <w:rPr>
          <w:noProof/>
          <w:lang w:eastAsia="en-AU"/>
        </w:rPr>
        <w:drawing>
          <wp:inline distT="0" distB="0" distL="0" distR="0">
            <wp:extent cx="4650740" cy="2159635"/>
            <wp:effectExtent l="19050" t="0" r="0" b="0"/>
            <wp:docPr id="2" name="Picture 2" descr="Figure 1: Simulated change in density with therapy between s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Simulated change in density with therapy between sexes."/>
                    <pic:cNvPicPr>
                      <a:picLocks noChangeAspect="1" noChangeArrowheads="1"/>
                    </pic:cNvPicPr>
                  </pic:nvPicPr>
                  <pic:blipFill>
                    <a:blip r:embed="rId17" cstate="print"/>
                    <a:srcRect/>
                    <a:stretch>
                      <a:fillRect/>
                    </a:stretch>
                  </pic:blipFill>
                  <pic:spPr bwMode="auto">
                    <a:xfrm>
                      <a:off x="0" y="0"/>
                      <a:ext cx="4650740" cy="2159635"/>
                    </a:xfrm>
                    <a:prstGeom prst="rect">
                      <a:avLst/>
                    </a:prstGeom>
                    <a:noFill/>
                    <a:ln w="9525">
                      <a:noFill/>
                      <a:miter lim="800000"/>
                      <a:headEnd/>
                      <a:tailEnd/>
                    </a:ln>
                  </pic:spPr>
                </pic:pic>
              </a:graphicData>
            </a:graphic>
          </wp:inline>
        </w:drawing>
      </w:r>
    </w:p>
    <w:p w:rsidR="008E2B39" w:rsidRDefault="008E2B39" w:rsidP="008E2B39">
      <w:pPr>
        <w:pStyle w:val="Heading5"/>
      </w:pPr>
      <w:r>
        <w:t>Time cou</w:t>
      </w:r>
      <w:r w:rsidR="00ED25BB">
        <w:t>rse of pharmacodynamic effects</w:t>
      </w:r>
    </w:p>
    <w:p w:rsidR="00F51FE8" w:rsidRDefault="00F61EF7" w:rsidP="00ED25BB">
      <w:r>
        <w:t>Strontium r</w:t>
      </w:r>
      <w:r w:rsidR="008E2B39">
        <w:t>anelate is taken chronically and its effect on both BMD and fracture risk extends over years. There is presumably a long interval of reduced fracture ri</w:t>
      </w:r>
      <w:r w:rsidR="000B1202">
        <w:t>sk after cessation of therapy.</w:t>
      </w:r>
      <w:r w:rsidR="000B1202">
        <w:rPr>
          <w:rStyle w:val="FootnoteReference"/>
        </w:rPr>
        <w:footnoteReference w:id="14"/>
      </w:r>
    </w:p>
    <w:p w:rsidR="005F60C2" w:rsidRDefault="005F60C2" w:rsidP="005F60C2">
      <w:pPr>
        <w:pStyle w:val="Heading4"/>
      </w:pPr>
      <w:r>
        <w:t>Relationship between drug concentration and pharmacodynamic effects</w:t>
      </w:r>
    </w:p>
    <w:p w:rsidR="00F51FE8" w:rsidRPr="001A032B" w:rsidRDefault="005F60C2" w:rsidP="00ED25BB">
      <w:r>
        <w:t>There is a weak association between increases in BMD and total exposure to strontium</w:t>
      </w:r>
      <w:r w:rsidR="00F170A8">
        <w:t xml:space="preserve"> (Figure 2)</w:t>
      </w:r>
      <w:r>
        <w:t>. The PD effect is very delayed from the acute administration of the drug and multiple differen</w:t>
      </w:r>
      <w:r w:rsidR="00546B3D">
        <w:t xml:space="preserve">t doses have not been used long </w:t>
      </w:r>
      <w:r>
        <w:t>term in men. Plasma concentration-effect curves have not been defined in men, nor is there comprehensive therapeutic wind</w:t>
      </w:r>
      <w:r w:rsidR="00546B3D">
        <w:t xml:space="preserve">ow/plasma concentration or dose </w:t>
      </w:r>
      <w:r>
        <w:t>finding studies.</w:t>
      </w:r>
    </w:p>
    <w:p w:rsidR="005F60C2" w:rsidRDefault="005F60C2" w:rsidP="005F60C2">
      <w:pPr>
        <w:pStyle w:val="FigureTitle"/>
        <w:rPr>
          <w:lang w:val="en-GB"/>
        </w:rPr>
      </w:pPr>
      <w:r>
        <w:t xml:space="preserve">Figure </w:t>
      </w:r>
      <w:r w:rsidR="00546B3D">
        <w:t>2</w:t>
      </w:r>
      <w:r>
        <w:t>:</w:t>
      </w:r>
      <w:r w:rsidRPr="004C5C28">
        <w:t xml:space="preserve"> </w:t>
      </w:r>
      <w:r w:rsidR="00AA49D9">
        <w:t>Dose response chronically</w:t>
      </w:r>
      <w:r>
        <w:t>.</w:t>
      </w:r>
    </w:p>
    <w:p w:rsidR="00723C84" w:rsidRDefault="00294DCE" w:rsidP="00546B3D">
      <w:pPr>
        <w:jc w:val="center"/>
      </w:pPr>
      <w:r>
        <w:rPr>
          <w:noProof/>
          <w:lang w:eastAsia="en-AU"/>
        </w:rPr>
        <w:drawing>
          <wp:inline distT="0" distB="0" distL="0" distR="0">
            <wp:extent cx="3719195" cy="2513330"/>
            <wp:effectExtent l="19050" t="0" r="0" b="0"/>
            <wp:docPr id="3" name="Picture 3" descr="Figure 2: Dose response chron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Dose response chronically."/>
                    <pic:cNvPicPr>
                      <a:picLocks noChangeAspect="1" noChangeArrowheads="1"/>
                    </pic:cNvPicPr>
                  </pic:nvPicPr>
                  <pic:blipFill>
                    <a:blip r:embed="rId18" cstate="print"/>
                    <a:srcRect/>
                    <a:stretch>
                      <a:fillRect/>
                    </a:stretch>
                  </pic:blipFill>
                  <pic:spPr bwMode="auto">
                    <a:xfrm>
                      <a:off x="0" y="0"/>
                      <a:ext cx="3719195" cy="2513330"/>
                    </a:xfrm>
                    <a:prstGeom prst="rect">
                      <a:avLst/>
                    </a:prstGeom>
                    <a:noFill/>
                    <a:ln w="9525">
                      <a:noFill/>
                      <a:miter lim="800000"/>
                      <a:headEnd/>
                      <a:tailEnd/>
                    </a:ln>
                  </pic:spPr>
                </pic:pic>
              </a:graphicData>
            </a:graphic>
          </wp:inline>
        </w:drawing>
      </w:r>
    </w:p>
    <w:p w:rsidR="00F529BF" w:rsidRDefault="00F529BF" w:rsidP="00F529BF">
      <w:pPr>
        <w:pStyle w:val="Heading4"/>
      </w:pPr>
      <w:r>
        <w:t>Genetic, gender and age related differences in pharmacodynamic response</w:t>
      </w:r>
    </w:p>
    <w:p w:rsidR="00A57092" w:rsidRDefault="00F529BF" w:rsidP="00ED25BB">
      <w:r>
        <w:t>No comparative data are presented regarding genetics and age.</w:t>
      </w:r>
      <w:r w:rsidR="002C0294">
        <w:t xml:space="preserve"> </w:t>
      </w:r>
      <w:r>
        <w:t>The PK and effects on bone density are similar between middle aged to elderly women and men.</w:t>
      </w:r>
    </w:p>
    <w:p w:rsidR="004836E2" w:rsidRDefault="00ED25BB" w:rsidP="004836E2">
      <w:pPr>
        <w:pStyle w:val="Heading4"/>
      </w:pPr>
      <w:r>
        <w:br w:type="page"/>
      </w:r>
      <w:r w:rsidR="004836E2">
        <w:lastRenderedPageBreak/>
        <w:t>Pharmacodynamic interactions</w:t>
      </w:r>
    </w:p>
    <w:p w:rsidR="004836E2" w:rsidRDefault="004836E2" w:rsidP="00ED25BB">
      <w:r>
        <w:t xml:space="preserve">None formally presented. Presumably there may be some competition between calcium and strontium for incorporation in the skeleton. No effect was apparent in the PK </w:t>
      </w:r>
      <w:r w:rsidR="00DB71DD">
        <w:t>data (</w:t>
      </w:r>
      <w:r w:rsidR="00C47433">
        <w:t>c</w:t>
      </w:r>
      <w:r w:rsidR="00DB71DD">
        <w:t>alcium replete subjects).</w:t>
      </w:r>
    </w:p>
    <w:p w:rsidR="004836E2" w:rsidRDefault="004836E2" w:rsidP="004836E2">
      <w:pPr>
        <w:pStyle w:val="Heading4"/>
      </w:pPr>
      <w:r>
        <w:t>Evaluator’s overall conclusions on pharmacodynamics</w:t>
      </w:r>
    </w:p>
    <w:p w:rsidR="00F529BF" w:rsidRDefault="004836E2" w:rsidP="00ED25BB">
      <w:r>
        <w:t>There is an equivalent response between orchidectomi</w:t>
      </w:r>
      <w:r w:rsidR="00DB71DD">
        <w:t>s</w:t>
      </w:r>
      <w:r>
        <w:t>ed and ovariectomi</w:t>
      </w:r>
      <w:r w:rsidR="00DB71DD">
        <w:t>s</w:t>
      </w:r>
      <w:r>
        <w:t xml:space="preserve">ed rats </w:t>
      </w:r>
      <w:r w:rsidR="00C47433">
        <w:t>in a 44 week study. There is no</w:t>
      </w:r>
      <w:r>
        <w:t xml:space="preserve"> consensus that human male osteoporosis is generally due to hypogonadism, and the orchidectomi</w:t>
      </w:r>
      <w:r w:rsidR="00DB71DD">
        <w:t>s</w:t>
      </w:r>
      <w:r>
        <w:t>ed rat has not been generally accepted as a comprehensive model.</w:t>
      </w:r>
      <w:r w:rsidR="002C0294">
        <w:t xml:space="preserve"> </w:t>
      </w:r>
      <w:r>
        <w:t>The response of BMD as a surrogate end point for fracture risk is very similar in elderly men and women over a one year period.</w:t>
      </w:r>
    </w:p>
    <w:p w:rsidR="00872104" w:rsidRDefault="0009217C" w:rsidP="00872104">
      <w:pPr>
        <w:pStyle w:val="Heading3"/>
      </w:pPr>
      <w:bookmarkStart w:id="58" w:name="_Toc345343187"/>
      <w:r>
        <w:t>Dosage selection for the pivotal studies</w:t>
      </w:r>
      <w:bookmarkEnd w:id="58"/>
    </w:p>
    <w:p w:rsidR="00872104" w:rsidRPr="00872104" w:rsidRDefault="00872104" w:rsidP="00ED25BB">
      <w:pPr>
        <w:rPr>
          <w:rFonts w:ascii="Arial" w:hAnsi="Arial"/>
          <w:szCs w:val="21"/>
        </w:rPr>
      </w:pPr>
      <w:r w:rsidRPr="009C40E4">
        <w:t>This was identical to the</w:t>
      </w:r>
      <w:r>
        <w:t xml:space="preserve"> approved dose in post </w:t>
      </w:r>
      <w:r w:rsidRPr="009C40E4">
        <w:t>menopausal women.</w:t>
      </w:r>
    </w:p>
    <w:p w:rsidR="008E7846" w:rsidRPr="00254787" w:rsidRDefault="008E7846" w:rsidP="008E7846">
      <w:pPr>
        <w:pStyle w:val="Heading3"/>
      </w:pPr>
      <w:bookmarkStart w:id="59" w:name="_Toc163441372"/>
      <w:bookmarkStart w:id="60" w:name="_Toc196046485"/>
      <w:bookmarkStart w:id="61" w:name="_Toc247691521"/>
      <w:bookmarkStart w:id="62" w:name="_Toc314842504"/>
      <w:bookmarkStart w:id="63" w:name="_Toc345343188"/>
      <w:r w:rsidRPr="00254787">
        <w:t>Efficacy</w:t>
      </w:r>
      <w:bookmarkEnd w:id="59"/>
      <w:bookmarkEnd w:id="60"/>
      <w:bookmarkEnd w:id="61"/>
      <w:bookmarkEnd w:id="62"/>
      <w:bookmarkEnd w:id="63"/>
    </w:p>
    <w:p w:rsidR="00A8330B" w:rsidRDefault="00A8330B" w:rsidP="00ED25BB">
      <w:pPr>
        <w:pStyle w:val="Heading4"/>
      </w:pPr>
      <w:bookmarkStart w:id="64" w:name="_Toc184439992"/>
      <w:bookmarkStart w:id="65" w:name="_Toc184440279"/>
      <w:bookmarkStart w:id="66" w:name="_Toc184444657"/>
      <w:bookmarkStart w:id="67" w:name="_Toc196046487"/>
      <w:r>
        <w:t>Pivotal efficacy studies</w:t>
      </w:r>
    </w:p>
    <w:p w:rsidR="00A8330B" w:rsidRDefault="00A8330B" w:rsidP="00A8330B">
      <w:pPr>
        <w:pStyle w:val="Heading5"/>
      </w:pPr>
      <w:r>
        <w:t>Pivot</w:t>
      </w:r>
      <w:r w:rsidR="00ED25BB">
        <w:t>al efficacy Study CL3-12911-032</w:t>
      </w:r>
    </w:p>
    <w:p w:rsidR="00A8330B" w:rsidRDefault="00A8330B" w:rsidP="00ED25BB">
      <w:r>
        <w:t>The efficacy and safety of 2 g strontium ranelate in the treatment of male osteoporosis</w:t>
      </w:r>
      <w:r w:rsidR="001E0817">
        <w:t xml:space="preserve"> was examined in Study CL3-12911-032</w:t>
      </w:r>
      <w:r w:rsidR="004D1E58">
        <w:t>, a</w:t>
      </w:r>
      <w:r>
        <w:t xml:space="preserve"> prospective m</w:t>
      </w:r>
      <w:r w:rsidR="004D1E58">
        <w:t xml:space="preserve">ulticentre international double </w:t>
      </w:r>
      <w:r>
        <w:t>blind placebo controlled study with a treatment duration of 2 years and the ma</w:t>
      </w:r>
      <w:r w:rsidR="004D1E58">
        <w:t>in study analysis after 1 year.</w:t>
      </w:r>
    </w:p>
    <w:p w:rsidR="00A8330B" w:rsidRDefault="00A8330B" w:rsidP="00A8330B">
      <w:pPr>
        <w:pStyle w:val="Heading5"/>
      </w:pPr>
      <w:r>
        <w:t>Study design, objectiv</w:t>
      </w:r>
      <w:r w:rsidR="00ED25BB">
        <w:t>es, locations and dates</w:t>
      </w:r>
    </w:p>
    <w:p w:rsidR="00C13D50" w:rsidRDefault="00C13D50" w:rsidP="00ED25BB">
      <w:r w:rsidRPr="00C13D50">
        <w:t>This was a randomised, double blind, two parallel group, unbalanced (2:1), placebo controlled trial performed at 54 actives centres in 14 countries. The initiation date was December 2007 and the last patient visit at M24 was March 2011.</w:t>
      </w:r>
    </w:p>
    <w:p w:rsidR="00A8330B" w:rsidRDefault="00A8330B" w:rsidP="00A8330B">
      <w:pPr>
        <w:pStyle w:val="Heading5"/>
      </w:pPr>
      <w:r>
        <w:t>Inclusion and exclusion criteria</w:t>
      </w:r>
    </w:p>
    <w:p w:rsidR="00A8330B" w:rsidRPr="00ED25BB" w:rsidRDefault="00A8330B" w:rsidP="00ED25BB">
      <w:pPr>
        <w:rPr>
          <w:i/>
        </w:rPr>
      </w:pPr>
      <w:r w:rsidRPr="00ED25BB">
        <w:rPr>
          <w:i/>
        </w:rPr>
        <w:t>Inclusion:</w:t>
      </w:r>
    </w:p>
    <w:p w:rsidR="00A8330B" w:rsidRDefault="00C13D50" w:rsidP="00ED25BB">
      <w:pPr>
        <w:pStyle w:val="ListBullet"/>
      </w:pPr>
      <w:r>
        <w:t xml:space="preserve">Mean lumbar spine (L2-L4) </w:t>
      </w:r>
      <w:r w:rsidR="00ED25BB">
        <w:sym w:font="Symbol" w:char="F0A3"/>
      </w:r>
      <w:r>
        <w:t xml:space="preserve"> 0.8</w:t>
      </w:r>
      <w:r w:rsidR="00A8330B">
        <w:t>40</w:t>
      </w:r>
      <w:r w:rsidR="004C7F17">
        <w:t xml:space="preserve"> </w:t>
      </w:r>
      <w:r w:rsidR="00A8330B">
        <w:t>g/cm</w:t>
      </w:r>
      <w:r w:rsidR="00A8330B" w:rsidRPr="004C7F17">
        <w:rPr>
          <w:vertAlign w:val="superscript"/>
        </w:rPr>
        <w:t>2</w:t>
      </w:r>
      <w:r w:rsidR="00A8330B">
        <w:t xml:space="preserve"> (Hologic densitometer) or </w:t>
      </w:r>
      <w:r w:rsidR="00ED25BB">
        <w:sym w:font="Symbol" w:char="F0A3"/>
      </w:r>
      <w:r w:rsidR="00A8330B">
        <w:t xml:space="preserve"> 0.949 g/cm</w:t>
      </w:r>
      <w:r w:rsidR="00A8330B" w:rsidRPr="004C7F17">
        <w:rPr>
          <w:vertAlign w:val="superscript"/>
        </w:rPr>
        <w:t>2</w:t>
      </w:r>
      <w:r w:rsidR="004C7F17">
        <w:t xml:space="preserve"> (Lunar), f</w:t>
      </w:r>
      <w:r w:rsidR="00A8330B">
        <w:t xml:space="preserve">emoral neck </w:t>
      </w:r>
      <w:r w:rsidR="00ED25BB">
        <w:sym w:font="Symbol" w:char="F0A3"/>
      </w:r>
      <w:r w:rsidR="006A06C4">
        <w:t xml:space="preserve"> </w:t>
      </w:r>
      <w:r w:rsidR="00A8330B">
        <w:t>0.600 g/cm</w:t>
      </w:r>
      <w:r w:rsidR="00A8330B" w:rsidRPr="004C7F17">
        <w:rPr>
          <w:vertAlign w:val="superscript"/>
        </w:rPr>
        <w:t>2</w:t>
      </w:r>
      <w:r w:rsidR="006A06C4">
        <w:t xml:space="preserve"> (H</w:t>
      </w:r>
      <w:r w:rsidR="004C7F17">
        <w:t>ologic</w:t>
      </w:r>
      <w:r w:rsidR="006A06C4">
        <w:t>) or</w:t>
      </w:r>
      <w:r w:rsidR="00A8330B">
        <w:t xml:space="preserve"> </w:t>
      </w:r>
      <w:r w:rsidR="00ED25BB">
        <w:sym w:font="Symbol" w:char="F0A3"/>
      </w:r>
      <w:r w:rsidR="00A8330B">
        <w:t xml:space="preserve"> 0.743 g/cm</w:t>
      </w:r>
      <w:r w:rsidR="00A8330B" w:rsidRPr="004C7F17">
        <w:rPr>
          <w:vertAlign w:val="superscript"/>
        </w:rPr>
        <w:t>2</w:t>
      </w:r>
      <w:r w:rsidR="00A8330B">
        <w:t xml:space="preserve"> </w:t>
      </w:r>
      <w:r w:rsidR="004C7F17">
        <w:t>(</w:t>
      </w:r>
      <w:r w:rsidR="00A8330B">
        <w:t>Lunar</w:t>
      </w:r>
      <w:r w:rsidR="004C7F17">
        <w:t>);</w:t>
      </w:r>
    </w:p>
    <w:p w:rsidR="00A8330B" w:rsidRDefault="00A8330B" w:rsidP="00ED25BB">
      <w:pPr>
        <w:pStyle w:val="ListBullet"/>
      </w:pPr>
      <w:r>
        <w:t xml:space="preserve">Caucasian males </w:t>
      </w:r>
      <w:r w:rsidR="00ED25BB">
        <w:sym w:font="Symbol" w:char="F0B3"/>
      </w:r>
      <w:r>
        <w:t>65 years old</w:t>
      </w:r>
      <w:r w:rsidR="004C7F17">
        <w:t>;</w:t>
      </w:r>
    </w:p>
    <w:p w:rsidR="00C13D50" w:rsidRDefault="00C13D50" w:rsidP="00ED25BB">
      <w:pPr>
        <w:pStyle w:val="ListBullet"/>
      </w:pPr>
      <w:r w:rsidRPr="00C13D50">
        <w:t>Having at least one risk factor for osteoporotic fracture: which could be either age &gt; 75 years, prevalent vertebral fracture grade I, previous low trauma fracture, family history of osteoporotic fracture, heavy smoker &gt; 15 cigarettes/day, known low BMD, low body weight with a BMI &lt; 20 kg/m²;</w:t>
      </w:r>
    </w:p>
    <w:p w:rsidR="00A8330B" w:rsidRDefault="00A8330B" w:rsidP="00ED25BB">
      <w:pPr>
        <w:pStyle w:val="ListBullet"/>
      </w:pPr>
      <w:r>
        <w:t>Ambulatory</w:t>
      </w:r>
      <w:r w:rsidR="004C7F17">
        <w:t>;</w:t>
      </w:r>
    </w:p>
    <w:p w:rsidR="00A8330B" w:rsidRDefault="00A8330B" w:rsidP="00ED25BB">
      <w:pPr>
        <w:pStyle w:val="ListBullet"/>
      </w:pPr>
      <w:r>
        <w:t>Capable of understanding study an</w:t>
      </w:r>
      <w:r w:rsidR="004C7F17">
        <w:t>d having given informed consent; and</w:t>
      </w:r>
    </w:p>
    <w:p w:rsidR="00A8330B" w:rsidRDefault="00A8330B" w:rsidP="00ED25BB">
      <w:pPr>
        <w:pStyle w:val="ListBullet"/>
      </w:pPr>
      <w:r>
        <w:t>Life expectancy &gt; 2 years.</w:t>
      </w:r>
    </w:p>
    <w:p w:rsidR="00A8330B" w:rsidRPr="00ED25BB" w:rsidRDefault="00A8330B" w:rsidP="00ED25BB">
      <w:pPr>
        <w:rPr>
          <w:i/>
        </w:rPr>
      </w:pPr>
      <w:r w:rsidRPr="00ED25BB">
        <w:rPr>
          <w:i/>
        </w:rPr>
        <w:t>Exclusion:</w:t>
      </w:r>
    </w:p>
    <w:p w:rsidR="00A8330B" w:rsidRDefault="00A8330B" w:rsidP="00ED25BB">
      <w:pPr>
        <w:pStyle w:val="ListBullet"/>
      </w:pPr>
      <w:r>
        <w:t>BMD</w:t>
      </w:r>
      <w:r w:rsidR="002C0294">
        <w:t xml:space="preserve"> </w:t>
      </w:r>
      <w:r w:rsidR="00804AC6">
        <w:t xml:space="preserve">T </w:t>
      </w:r>
      <w:r>
        <w:t>score &lt; -4.0 at one or more sites</w:t>
      </w:r>
      <w:r w:rsidR="00804AC6">
        <w:t>;</w:t>
      </w:r>
    </w:p>
    <w:p w:rsidR="00A8330B" w:rsidRDefault="00A8330B" w:rsidP="00ED25BB">
      <w:pPr>
        <w:pStyle w:val="ListBullet"/>
      </w:pPr>
      <w:r>
        <w:t>More than two prevalent mild and/or moderate osteoporotic vertebral fractures</w:t>
      </w:r>
      <w:r w:rsidR="00804AC6">
        <w:t>;</w:t>
      </w:r>
    </w:p>
    <w:p w:rsidR="00A8330B" w:rsidRDefault="00A8330B" w:rsidP="00ED25BB">
      <w:pPr>
        <w:pStyle w:val="ListBullet"/>
      </w:pPr>
      <w:r>
        <w:lastRenderedPageBreak/>
        <w:t>Severe osteoporotic vertebral fracture</w:t>
      </w:r>
      <w:r w:rsidR="00804AC6">
        <w:t>;</w:t>
      </w:r>
    </w:p>
    <w:p w:rsidR="00A8330B" w:rsidRDefault="00A8330B" w:rsidP="00ED25BB">
      <w:pPr>
        <w:pStyle w:val="ListBullet"/>
      </w:pPr>
      <w:r>
        <w:t>Simultaneously participating or having participated in another cl</w:t>
      </w:r>
      <w:r w:rsidR="00804AC6">
        <w:t>inical trial in month preceding;</w:t>
      </w:r>
    </w:p>
    <w:p w:rsidR="00A8330B" w:rsidRDefault="00A8330B" w:rsidP="00ED25BB">
      <w:pPr>
        <w:pStyle w:val="ListBullet"/>
      </w:pPr>
      <w:r>
        <w:t>Progressive major illness</w:t>
      </w:r>
      <w:r w:rsidR="00804AC6">
        <w:t>;</w:t>
      </w:r>
    </w:p>
    <w:p w:rsidR="00A8330B" w:rsidRDefault="00A8330B" w:rsidP="00ED25BB">
      <w:pPr>
        <w:pStyle w:val="ListBullet"/>
      </w:pPr>
      <w:r>
        <w:t>History of increased risk of venous thromboembolism</w:t>
      </w:r>
      <w:r w:rsidR="00804AC6">
        <w:t>;</w:t>
      </w:r>
    </w:p>
    <w:p w:rsidR="00A8330B" w:rsidRDefault="00A8330B" w:rsidP="00ED25BB">
      <w:pPr>
        <w:pStyle w:val="ListBullet"/>
      </w:pPr>
      <w:r>
        <w:t>History of severe alcohol abuse</w:t>
      </w:r>
      <w:r w:rsidR="00804AC6">
        <w:t>;</w:t>
      </w:r>
    </w:p>
    <w:p w:rsidR="00A8330B" w:rsidRDefault="00A8330B" w:rsidP="00ED25BB">
      <w:pPr>
        <w:pStyle w:val="ListBullet"/>
      </w:pPr>
      <w:r>
        <w:t>Severe malabsorption</w:t>
      </w:r>
      <w:r w:rsidR="00804AC6">
        <w:t>;</w:t>
      </w:r>
    </w:p>
    <w:p w:rsidR="00A8330B" w:rsidRDefault="00A8330B" w:rsidP="00ED25BB">
      <w:pPr>
        <w:pStyle w:val="ListBullet"/>
      </w:pPr>
      <w:r>
        <w:t>Severe liver insufficiency</w:t>
      </w:r>
      <w:r w:rsidR="00804AC6">
        <w:t>;</w:t>
      </w:r>
    </w:p>
    <w:p w:rsidR="00C13D50" w:rsidRDefault="00C13D50" w:rsidP="00ED25BB">
      <w:pPr>
        <w:pStyle w:val="ListBullet"/>
      </w:pPr>
      <w:r>
        <w:t>Severe renal insufficiency;</w:t>
      </w:r>
    </w:p>
    <w:p w:rsidR="00A8330B" w:rsidRDefault="00A8330B" w:rsidP="00ED25BB">
      <w:pPr>
        <w:pStyle w:val="ListBullet"/>
      </w:pPr>
      <w:r>
        <w:t>Clinical hyperthyroidism diagnosed with</w:t>
      </w:r>
      <w:r w:rsidR="00C13D50">
        <w:t>in the</w:t>
      </w:r>
      <w:r>
        <w:t xml:space="preserve"> previous 2 years (stable not excluded)</w:t>
      </w:r>
      <w:r w:rsidR="00804AC6">
        <w:t>;</w:t>
      </w:r>
    </w:p>
    <w:p w:rsidR="00A8330B" w:rsidRDefault="00A8330B" w:rsidP="00ED25BB">
      <w:pPr>
        <w:pStyle w:val="ListBullet"/>
      </w:pPr>
      <w:r>
        <w:t>Severe hypogonadism (stable androgen replacement for</w:t>
      </w:r>
      <w:r w:rsidR="008C35B6">
        <w:t xml:space="preserve"> &gt; </w:t>
      </w:r>
      <w:r>
        <w:t>6 months not excluded)</w:t>
      </w:r>
      <w:r w:rsidR="00804AC6">
        <w:t>;</w:t>
      </w:r>
    </w:p>
    <w:p w:rsidR="00A8330B" w:rsidRDefault="00A8330B" w:rsidP="00ED25BB">
      <w:pPr>
        <w:pStyle w:val="ListBullet"/>
      </w:pPr>
      <w:r>
        <w:t>Skeletal diseases</w:t>
      </w:r>
      <w:r w:rsidR="00804AC6">
        <w:t>;</w:t>
      </w:r>
    </w:p>
    <w:p w:rsidR="00A8330B" w:rsidRDefault="00A8330B" w:rsidP="00ED25BB">
      <w:pPr>
        <w:pStyle w:val="ListBullet"/>
      </w:pPr>
      <w:r>
        <w:t>Lumbar spine abnormalities or bilateral hip prostheses affecting densitometric assessment</w:t>
      </w:r>
      <w:r w:rsidR="00804AC6">
        <w:t>;</w:t>
      </w:r>
    </w:p>
    <w:p w:rsidR="00A8330B" w:rsidRDefault="00A8330B" w:rsidP="00ED25BB">
      <w:pPr>
        <w:pStyle w:val="ListBullet"/>
      </w:pPr>
      <w:r>
        <w:t>Documented carriers of HB antigen, anti HCV antibodies or anti HIV antibodies</w:t>
      </w:r>
      <w:r w:rsidR="00804AC6">
        <w:t>;</w:t>
      </w:r>
    </w:p>
    <w:p w:rsidR="00A8330B" w:rsidRDefault="00A8330B" w:rsidP="00ED25BB">
      <w:pPr>
        <w:pStyle w:val="ListBullet"/>
      </w:pPr>
      <w:r>
        <w:t>Unexplained significant weight loss (&gt;10%) within last year</w:t>
      </w:r>
      <w:r w:rsidR="00804AC6">
        <w:t>;</w:t>
      </w:r>
    </w:p>
    <w:p w:rsidR="00A8330B" w:rsidRDefault="00A8330B" w:rsidP="00ED25BB">
      <w:pPr>
        <w:pStyle w:val="ListBullet"/>
      </w:pPr>
      <w:r>
        <w:t>Previous corticoid treatment and bone metabolism treatment (bisphosphonates, fluoride, calcitonin, calcitriol and parathyroid hormone)</w:t>
      </w:r>
      <w:r w:rsidR="00804AC6">
        <w:t>;</w:t>
      </w:r>
    </w:p>
    <w:p w:rsidR="00A8330B" w:rsidRDefault="00A8330B" w:rsidP="00ED25BB">
      <w:pPr>
        <w:pStyle w:val="ListBullet"/>
      </w:pPr>
      <w:r>
        <w:t>Phenylketonuria</w:t>
      </w:r>
      <w:r w:rsidR="00804AC6">
        <w:t>; or</w:t>
      </w:r>
    </w:p>
    <w:p w:rsidR="00A8330B" w:rsidRDefault="00A8330B" w:rsidP="00ED25BB">
      <w:pPr>
        <w:pStyle w:val="ListBullet"/>
      </w:pPr>
      <w:r>
        <w:t>Known allergy and/or intolerance to any excipients in study drug.</w:t>
      </w:r>
    </w:p>
    <w:p w:rsidR="00A8330B" w:rsidRDefault="00A8330B" w:rsidP="00A8330B">
      <w:pPr>
        <w:pStyle w:val="Heading5"/>
      </w:pPr>
      <w:r>
        <w:t>Study treatments</w:t>
      </w:r>
    </w:p>
    <w:p w:rsidR="00A8330B" w:rsidRDefault="005D022F" w:rsidP="00ED25BB">
      <w:pPr>
        <w:pStyle w:val="ListBullet"/>
      </w:pPr>
      <w:r>
        <w:t>Strontium r</w:t>
      </w:r>
      <w:r w:rsidR="00A8330B">
        <w:t>anelate sachet of 2</w:t>
      </w:r>
      <w:r w:rsidR="003862C9">
        <w:t xml:space="preserve"> </w:t>
      </w:r>
      <w:r w:rsidR="00A8330B">
        <w:t>g orally on</w:t>
      </w:r>
      <w:r>
        <w:t>ce daily at bedtime plus daily c</w:t>
      </w:r>
      <w:r w:rsidR="00A8330B">
        <w:t>alcium 1000</w:t>
      </w:r>
      <w:r w:rsidR="003862C9">
        <w:t xml:space="preserve"> </w:t>
      </w:r>
      <w:r w:rsidR="00A8330B">
        <w:t xml:space="preserve">mg and </w:t>
      </w:r>
      <w:r>
        <w:t>v</w:t>
      </w:r>
      <w:r w:rsidR="00A8330B">
        <w:t>ita</w:t>
      </w:r>
      <w:r w:rsidR="008C35B6">
        <w:t>min D 800IU taken at lunch</w:t>
      </w:r>
      <w:r w:rsidR="00B51CDD">
        <w:t xml:space="preserve"> </w:t>
      </w:r>
      <w:r w:rsidR="008C35B6">
        <w:t>time.</w:t>
      </w:r>
    </w:p>
    <w:p w:rsidR="00A8330B" w:rsidRDefault="008C35B6" w:rsidP="00ED25BB">
      <w:pPr>
        <w:pStyle w:val="ListBullet"/>
      </w:pPr>
      <w:r w:rsidRPr="008C35B6">
        <w:t>Placebo group: Similar sachet taken at bedtime plus daily</w:t>
      </w:r>
      <w:r>
        <w:t xml:space="preserve"> Calcium 1000 mg and Vitamin D </w:t>
      </w:r>
      <w:r w:rsidRPr="008C35B6">
        <w:t>800 IU taken at lunch time</w:t>
      </w:r>
      <w:r w:rsidR="00A8330B">
        <w:t>.</w:t>
      </w:r>
    </w:p>
    <w:p w:rsidR="00A8330B" w:rsidRDefault="005D022F" w:rsidP="00ED25BB">
      <w:pPr>
        <w:pStyle w:val="ListBullet"/>
      </w:pPr>
      <w:r>
        <w:t>Run in period of 2 weeks with c</w:t>
      </w:r>
      <w:r w:rsidR="00A8330B">
        <w:t>alcium and vitamin D only. Active treatment period 24 months.</w:t>
      </w:r>
    </w:p>
    <w:p w:rsidR="00A8330B" w:rsidRDefault="00A8330B" w:rsidP="00A8330B">
      <w:pPr>
        <w:pStyle w:val="Heading5"/>
      </w:pPr>
      <w:r>
        <w:t>Efficacy variables and outcomes</w:t>
      </w:r>
    </w:p>
    <w:p w:rsidR="00A8330B" w:rsidRDefault="00A8330B" w:rsidP="00A8330B">
      <w:r>
        <w:t>The main efficacy variables were:</w:t>
      </w:r>
    </w:p>
    <w:p w:rsidR="00A8330B" w:rsidRDefault="00A8330B" w:rsidP="00ED25BB">
      <w:pPr>
        <w:pStyle w:val="ListBullet"/>
      </w:pPr>
      <w:r>
        <w:t>BMD of lumbar spine by DXA at recruitment, 6, 12 18 and 24 months</w:t>
      </w:r>
      <w:r w:rsidR="00B51CDD">
        <w:t>.</w:t>
      </w:r>
    </w:p>
    <w:p w:rsidR="00A8330B" w:rsidRDefault="008C35B6" w:rsidP="00ED25BB">
      <w:pPr>
        <w:pStyle w:val="ListBullet"/>
      </w:pPr>
      <w:r>
        <w:t xml:space="preserve">Hip BMD </w:t>
      </w:r>
      <w:r w:rsidRPr="008C35B6">
        <w:t>(femoral neck and total hip)</w:t>
      </w:r>
      <w:r>
        <w:t xml:space="preserve"> </w:t>
      </w:r>
      <w:r w:rsidRPr="008C35B6">
        <w:t>by DXA at recruitment, 6, 12 18 and 24 months</w:t>
      </w:r>
      <w:r w:rsidR="00B51CDD">
        <w:t>.</w:t>
      </w:r>
    </w:p>
    <w:p w:rsidR="00A8330B" w:rsidRDefault="004C7C6E" w:rsidP="00ED25BB">
      <w:pPr>
        <w:pStyle w:val="ListBullet"/>
      </w:pPr>
      <w:r>
        <w:t>Biochemical markers sCTX</w:t>
      </w:r>
      <w:r w:rsidR="00A8330B">
        <w:t xml:space="preserve">, bALP, PINP, </w:t>
      </w:r>
      <w:r w:rsidR="00B37437">
        <w:t>s</w:t>
      </w:r>
      <w:r w:rsidR="00A8330B">
        <w:t>OC</w:t>
      </w:r>
      <w:r w:rsidR="00B37437">
        <w:t>N</w:t>
      </w:r>
      <w:r w:rsidR="00A8330B">
        <w:t xml:space="preserve"> at recruitment 3, 6, 12 18 and 24 months</w:t>
      </w:r>
      <w:r w:rsidR="00B51CDD">
        <w:t>.</w:t>
      </w:r>
    </w:p>
    <w:p w:rsidR="00A8330B" w:rsidRDefault="00A8330B" w:rsidP="00ED25BB">
      <w:r>
        <w:t>The primary efficacy outcome was relative change BMD of lumbar spine by DXA from recruitment to the last available post baseline v</w:t>
      </w:r>
      <w:r w:rsidR="004C7C6E">
        <w:t xml:space="preserve">alue until 12 month visit (that is, </w:t>
      </w:r>
      <w:r>
        <w:t>24 month visit not included in this analysis)</w:t>
      </w:r>
    </w:p>
    <w:p w:rsidR="00A8330B" w:rsidRDefault="008C35B6" w:rsidP="00ED25BB">
      <w:r w:rsidRPr="008C35B6">
        <w:t>Other efficacy outcomes included femoral neck and total hip BMD as above and biochemical bone markers as above.</w:t>
      </w:r>
    </w:p>
    <w:p w:rsidR="00A8330B" w:rsidRDefault="00A8330B" w:rsidP="00ED25BB">
      <w:r>
        <w:lastRenderedPageBreak/>
        <w:t>Pharmacoeconomic aspects were evaluated by assessing back pain by using the co</w:t>
      </w:r>
      <w:r w:rsidR="00867A0C">
        <w:t>rresponding items from Qualiost</w:t>
      </w:r>
      <w:r w:rsidR="00867A0C">
        <w:rPr>
          <w:rStyle w:val="FootnoteReference"/>
        </w:rPr>
        <w:footnoteReference w:id="15"/>
      </w:r>
      <w:r w:rsidR="00867A0C">
        <w:t xml:space="preserve"> </w:t>
      </w:r>
      <w:r w:rsidR="001E37C2">
        <w:t xml:space="preserve">at the following visits: </w:t>
      </w:r>
      <w:r>
        <w:t>at inclusion, 6,</w:t>
      </w:r>
      <w:r w:rsidR="001E37C2">
        <w:t xml:space="preserve"> </w:t>
      </w:r>
      <w:r>
        <w:t>12,</w:t>
      </w:r>
      <w:r w:rsidR="001E37C2">
        <w:t xml:space="preserve"> 18 and 24 months.</w:t>
      </w:r>
    </w:p>
    <w:p w:rsidR="00A8330B" w:rsidRDefault="00A8330B" w:rsidP="00A8330B">
      <w:pPr>
        <w:pStyle w:val="Heading5"/>
      </w:pPr>
      <w:r>
        <w:t>Randomisation and blinding methods</w:t>
      </w:r>
    </w:p>
    <w:p w:rsidR="00A8330B" w:rsidRDefault="00A8330B" w:rsidP="00ED25BB">
      <w:r>
        <w:t>The randomisation of tr</w:t>
      </w:r>
      <w:r w:rsidR="008E382E">
        <w:t>eatment was unbalanced with a 2:</w:t>
      </w:r>
      <w:r>
        <w:t>1 ratio and stratified by country. The randomisation list was designed by the</w:t>
      </w:r>
      <w:r w:rsidR="00F60A2E">
        <w:t xml:space="preserve"> Biometry Department of IRIS. </w:t>
      </w:r>
      <w:r>
        <w:t>Perceptive Informatics was responsible for the centralised randomisation. Therapeutic units were allocated to patients by</w:t>
      </w:r>
      <w:r w:rsidR="008107D4">
        <w:t xml:space="preserve"> an Interactive Voice System. S</w:t>
      </w:r>
      <w:r>
        <w:t>12911 and placebo granules had the same aspect (yellowis</w:t>
      </w:r>
      <w:r w:rsidR="00F06FEC">
        <w:t>h colour) and the same weight. A</w:t>
      </w:r>
      <w:r>
        <w:t xml:space="preserve">ll pack material and the labelling used </w:t>
      </w:r>
      <w:r w:rsidR="00F06FEC">
        <w:t>was</w:t>
      </w:r>
      <w:r>
        <w:t xml:space="preserve"> strictly identical between the placebo and the</w:t>
      </w:r>
      <w:r w:rsidR="003862C9">
        <w:t xml:space="preserve"> </w:t>
      </w:r>
      <w:r>
        <w:t>study drug. The code for any study participant could be broken by the investigator or an authorised person only if it was necessary to ascertain the type of treatment given to ensure the safety of the participant.</w:t>
      </w:r>
    </w:p>
    <w:p w:rsidR="00A8330B" w:rsidRDefault="00A8330B" w:rsidP="00ED25BB">
      <w:r>
        <w:t>To maintain the blind, DXA scans were analysed by an independent central reading (with appropriate cross calibration of densitometers) and strontium in serum and in urine and bone markers were assessed by an independent central laboratory. These data were kept strictly confidential and transferred to the sponsor when all patients had completed the M12 visit. No strontium data were unblinded to the sponsor until the database was frozen.</w:t>
      </w:r>
    </w:p>
    <w:p w:rsidR="00A8330B" w:rsidRDefault="00A8330B" w:rsidP="00A8330B">
      <w:pPr>
        <w:pStyle w:val="Heading5"/>
      </w:pPr>
      <w:r>
        <w:t>Analysis populations</w:t>
      </w:r>
    </w:p>
    <w:p w:rsidR="00A8330B" w:rsidRDefault="00A8330B" w:rsidP="00ED25BB">
      <w:r>
        <w:t xml:space="preserve">The </w:t>
      </w:r>
      <w:r w:rsidR="00F06FEC">
        <w:t>FAS</w:t>
      </w:r>
      <w:r>
        <w:t xml:space="preserve"> was assessed for the efficacy variables. The population studied was appropriate for the proposed indication amendment in elderly men with osteoporosis (although the exclusion criterion of hypogonadism was somewhat surprising when the animal model was the orchidectomi</w:t>
      </w:r>
      <w:r w:rsidR="003862C9">
        <w:t>s</w:t>
      </w:r>
      <w:r>
        <w:t>ed rat</w:t>
      </w:r>
      <w:r w:rsidR="00F06FEC">
        <w:t>,</w:t>
      </w:r>
      <w:r>
        <w:t xml:space="preserve"> albeit young rats). The result</w:t>
      </w:r>
      <w:r w:rsidR="003862C9">
        <w:t>s should be generally applicable</w:t>
      </w:r>
      <w:r>
        <w:t>.</w:t>
      </w:r>
    </w:p>
    <w:p w:rsidR="00A8330B" w:rsidRDefault="00A8330B" w:rsidP="00A8330B">
      <w:pPr>
        <w:pStyle w:val="Heading5"/>
      </w:pPr>
      <w:r>
        <w:t>Sample size</w:t>
      </w:r>
    </w:p>
    <w:p w:rsidR="00A8330B" w:rsidRDefault="00A8330B" w:rsidP="00ED25BB">
      <w:r>
        <w:t>The 161 active and 82 control subjects w</w:t>
      </w:r>
      <w:r w:rsidR="00107252">
        <w:t>ere</w:t>
      </w:r>
      <w:r>
        <w:t xml:space="preserve"> sufficient to show statistical significance in the primary and secondary efficacy variables (BMD). The numbers were small to consider safety. Assuming a 6% common standard deviation, and taking into account the 2:1 randomisation ratio, 127 patients</w:t>
      </w:r>
      <w:r w:rsidR="008107D4">
        <w:t xml:space="preserve"> were deemed necessary in the S</w:t>
      </w:r>
      <w:r>
        <w:t>12911 group and 64 in placebo group (191 patients overall) to establish a statistical</w:t>
      </w:r>
      <w:r w:rsidR="00107252">
        <w:t>ly significant difference of &gt;</w:t>
      </w:r>
      <w:r>
        <w:t>3% between the two groups (using a two</w:t>
      </w:r>
      <w:r w:rsidR="00107252">
        <w:t xml:space="preserve"> </w:t>
      </w:r>
      <w:r>
        <w:t>sided Student t</w:t>
      </w:r>
      <w:r w:rsidR="00107252">
        <w:t xml:space="preserve"> </w:t>
      </w:r>
      <w:r>
        <w:t>test for independent samples at 5% type I error) with at least 90% power. Under the hypothesis of a withdrawal rate and/or a protocol violation rate of 15%, a total of 221 patients (147 into the strontium ranelate group and 74 into the placebo group) were to be included. The statistical methods used to analyse data from the CL3-032 study are standard, appropriate</w:t>
      </w:r>
      <w:r w:rsidR="00620387">
        <w:t>, and in conformity with published guidelines</w:t>
      </w:r>
      <w:r>
        <w:t>.</w:t>
      </w:r>
      <w:r w:rsidR="00620387">
        <w:rPr>
          <w:rStyle w:val="FootnoteReference"/>
        </w:rPr>
        <w:footnoteReference w:id="16"/>
      </w:r>
      <w:r>
        <w:t xml:space="preserve"> The main statistical analysis was performed after 12 months of treatment, in accordance with the duration recommended by the CHMP guideline. The change in BMD over one year was chosen</w:t>
      </w:r>
      <w:r w:rsidR="00620387">
        <w:t xml:space="preserve"> as the main efficacy criteria; </w:t>
      </w:r>
      <w:r>
        <w:t>therefore</w:t>
      </w:r>
      <w:r w:rsidR="00620387">
        <w:t>,</w:t>
      </w:r>
      <w:r>
        <w:t xml:space="preserve"> the magnitude of the changes in BMD versus placebo in men from </w:t>
      </w:r>
      <w:r w:rsidR="00615449">
        <w:t xml:space="preserve">Study </w:t>
      </w:r>
      <w:r>
        <w:t>CL3-032 and</w:t>
      </w:r>
      <w:r w:rsidR="00615449">
        <w:t xml:space="preserve"> in PMO women from the pivotal P</w:t>
      </w:r>
      <w:r>
        <w:t xml:space="preserve">hase </w:t>
      </w:r>
      <w:r w:rsidR="00615449">
        <w:t>3</w:t>
      </w:r>
      <w:r w:rsidR="00620387">
        <w:t xml:space="preserve"> studies could </w:t>
      </w:r>
      <w:r>
        <w:t>be compared.</w:t>
      </w:r>
    </w:p>
    <w:p w:rsidR="00A8330B" w:rsidRDefault="00A8330B" w:rsidP="00A8330B">
      <w:pPr>
        <w:pStyle w:val="Heading5"/>
      </w:pPr>
      <w:r>
        <w:t>Statistical methods</w:t>
      </w:r>
    </w:p>
    <w:p w:rsidR="00802841" w:rsidRDefault="00A8330B" w:rsidP="00ED25BB">
      <w:r>
        <w:t xml:space="preserve">The statistical methods used for </w:t>
      </w:r>
      <w:r w:rsidR="00D61825">
        <w:t>S</w:t>
      </w:r>
      <w:r>
        <w:t xml:space="preserve">tudy CL3-032 were the same as those used in the </w:t>
      </w:r>
      <w:r w:rsidR="00B332B5">
        <w:t>P</w:t>
      </w:r>
      <w:r>
        <w:t xml:space="preserve">hase </w:t>
      </w:r>
      <w:r w:rsidR="00B332B5">
        <w:t xml:space="preserve">3 </w:t>
      </w:r>
      <w:r>
        <w:t xml:space="preserve">studies in PMO women. The main efficacy analysis </w:t>
      </w:r>
      <w:r w:rsidR="00D61825">
        <w:t xml:space="preserve">was based on </w:t>
      </w:r>
      <w:r w:rsidR="00802841">
        <w:t xml:space="preserve">the </w:t>
      </w:r>
      <w:r w:rsidR="00B332B5">
        <w:t>ITT</w:t>
      </w:r>
      <w:r w:rsidR="00802841">
        <w:t xml:space="preserve"> </w:t>
      </w:r>
      <w:r w:rsidR="00FD19F4">
        <w:t>principle</w:t>
      </w:r>
      <w:r>
        <w:t>. The strontium ranelate and placebo groups were compared on the relative change in BMD from baseline to 6 months and 12 months under trea</w:t>
      </w:r>
      <w:r w:rsidR="00802841">
        <w:t>tment in the FAS</w:t>
      </w:r>
      <w:r>
        <w:t xml:space="preserve"> using a linear model </w:t>
      </w:r>
      <w:r>
        <w:lastRenderedPageBreak/>
        <w:t xml:space="preserve">with treatment and country as factors. The same tests were applied for absolute changes in BMD from baseline to each visit </w:t>
      </w:r>
      <w:r w:rsidR="00802841">
        <w:t xml:space="preserve">and to the last assessable post </w:t>
      </w:r>
      <w:r>
        <w:t xml:space="preserve">baseline value over 12 months. The </w:t>
      </w:r>
      <w:r w:rsidR="00802841">
        <w:t xml:space="preserve">RS </w:t>
      </w:r>
      <w:r>
        <w:t xml:space="preserve">was defined as all included patients to whom a therapeutic unit was randomly assigned using the interactive randomisation system, and the FAS was defined </w:t>
      </w:r>
      <w:r w:rsidR="00802841">
        <w:t>as:</w:t>
      </w:r>
    </w:p>
    <w:p w:rsidR="00802841" w:rsidRDefault="00A8330B" w:rsidP="00ED25BB">
      <w:pPr>
        <w:pStyle w:val="ListBullet"/>
      </w:pPr>
      <w:r>
        <w:t>all randomised patients who had taken at least one dose o</w:t>
      </w:r>
      <w:r w:rsidR="00802841">
        <w:t>f study treatment;</w:t>
      </w:r>
    </w:p>
    <w:p w:rsidR="00A701D8" w:rsidRDefault="00A8330B" w:rsidP="00ED25BB">
      <w:pPr>
        <w:pStyle w:val="ListBullet"/>
      </w:pPr>
      <w:r>
        <w:t>had at least one value of lumbar L2-L4 BMD availa</w:t>
      </w:r>
      <w:r w:rsidR="00A701D8">
        <w:t>ble at baseline; and</w:t>
      </w:r>
    </w:p>
    <w:p w:rsidR="00A701D8" w:rsidRDefault="00A8330B" w:rsidP="00ED25BB">
      <w:pPr>
        <w:pStyle w:val="ListBullet"/>
      </w:pPr>
      <w:r>
        <w:t>had at least one value of lumbar L2-L4 BMD available at a post</w:t>
      </w:r>
      <w:r w:rsidR="001E37C2">
        <w:t xml:space="preserve"> </w:t>
      </w:r>
      <w:r>
        <w:t>ba</w:t>
      </w:r>
      <w:r w:rsidR="00A701D8">
        <w:t>seline visit (until 12 months).</w:t>
      </w:r>
    </w:p>
    <w:p w:rsidR="00A8330B" w:rsidRDefault="00A8330B" w:rsidP="00D653C2">
      <w:r>
        <w:t xml:space="preserve">The FAS represented 93.1 % of the RS. In the FAS, lumbar L2-L4 BMD value at 12 months was missing for 46 patients (19%). In the main analysis, missing data was managed following a conservative approach by taking into account the </w:t>
      </w:r>
      <w:r w:rsidR="00E17209">
        <w:t xml:space="preserve">last value </w:t>
      </w:r>
      <w:r w:rsidR="00B03D48">
        <w:t xml:space="preserve">(End) </w:t>
      </w:r>
      <w:r w:rsidR="00E17209">
        <w:t xml:space="preserve">under treatment </w:t>
      </w:r>
      <w:r>
        <w:t xml:space="preserve">or the first value after randomisation in case no value under treatment was available. To further investigate the impact of missing data on the treatment effect estimate, results were confirmed using a multiple imputation method. In order to compare changes in BMD in men from </w:t>
      </w:r>
      <w:r w:rsidR="00E17209">
        <w:t>S</w:t>
      </w:r>
      <w:r>
        <w:t xml:space="preserve">tudy CL3-032 and changes in BMD in women from the pivotal </w:t>
      </w:r>
      <w:r w:rsidR="00DF3901">
        <w:t>P</w:t>
      </w:r>
      <w:r>
        <w:t xml:space="preserve">hase </w:t>
      </w:r>
      <w:r w:rsidR="00DF3901">
        <w:t>3</w:t>
      </w:r>
      <w:r>
        <w:t xml:space="preserve"> studies in postmenopausal osteoporosis, a p</w:t>
      </w:r>
      <w:r w:rsidR="00E17209">
        <w:t xml:space="preserve">ost </w:t>
      </w:r>
      <w:r>
        <w:t>hoc analysis was done on the pooled BMD da</w:t>
      </w:r>
      <w:r w:rsidR="00E17209">
        <w:t>ta from SOTI and TROPOS studies</w:t>
      </w:r>
      <w:r>
        <w:t xml:space="preserve"> using the same tests as those performed in </w:t>
      </w:r>
      <w:r w:rsidR="00E17209">
        <w:t xml:space="preserve">Study </w:t>
      </w:r>
      <w:r>
        <w:t>CL3-032, including relative changes and changes from baseline to one year of treatment as compared to placebo.</w:t>
      </w:r>
    </w:p>
    <w:p w:rsidR="00A8330B" w:rsidRDefault="00A8330B" w:rsidP="00D653C2">
      <w:r>
        <w:t>The 24 month data have not been presented.</w:t>
      </w:r>
    </w:p>
    <w:p w:rsidR="00A8330B" w:rsidRDefault="00A8330B" w:rsidP="00A8330B">
      <w:pPr>
        <w:pStyle w:val="Heading5"/>
      </w:pPr>
      <w:r>
        <w:t>Participant flow</w:t>
      </w:r>
    </w:p>
    <w:p w:rsidR="008E7846" w:rsidRDefault="00E17209" w:rsidP="00D653C2">
      <w:r>
        <w:t xml:space="preserve">A total of </w:t>
      </w:r>
      <w:r w:rsidR="00A8330B">
        <w:t>261 patients were included and randomly assigned to one of the two treatmen</w:t>
      </w:r>
      <w:r w:rsidR="008107D4">
        <w:t>t groups: 174 patients in the S</w:t>
      </w:r>
      <w:r w:rsidR="00A8330B">
        <w:t xml:space="preserve">12911 group, and 87 in the placebo group. As planned in the protocol, the distribution of patients between the two groups </w:t>
      </w:r>
      <w:r>
        <w:t>was unbalanced with a ratio 2:</w:t>
      </w:r>
      <w:r w:rsidR="001E37C2">
        <w:t>1</w:t>
      </w:r>
      <w:r w:rsidR="00A8330B">
        <w:t>.</w:t>
      </w:r>
    </w:p>
    <w:p w:rsidR="005400DB" w:rsidRDefault="00F75877" w:rsidP="00D653C2">
      <w:r>
        <w:t xml:space="preserve">Reasons for non </w:t>
      </w:r>
      <w:r w:rsidR="005400DB">
        <w:t>inclusion of selected patients (123 patients) are listed below:</w:t>
      </w:r>
    </w:p>
    <w:p w:rsidR="005400DB" w:rsidRDefault="005400DB" w:rsidP="00D653C2">
      <w:pPr>
        <w:pStyle w:val="ListBullet"/>
      </w:pPr>
      <w:r>
        <w:t xml:space="preserve">Biological abnormality: 42 patients (most of them for a high level of </w:t>
      </w:r>
      <w:r w:rsidR="007E7F1C">
        <w:t>i</w:t>
      </w:r>
      <w:r w:rsidR="007E7F1C" w:rsidRPr="007E7F1C">
        <w:t>ntact parathyroid hormone</w:t>
      </w:r>
      <w:r w:rsidR="00CA1F47">
        <w:t>);</w:t>
      </w:r>
    </w:p>
    <w:p w:rsidR="005400DB" w:rsidRDefault="005400DB" w:rsidP="00D653C2">
      <w:pPr>
        <w:pStyle w:val="ListBullet"/>
      </w:pPr>
      <w:r>
        <w:t>Patient’s decision (mainly withdrawal of informed consent</w:t>
      </w:r>
      <w:r w:rsidR="00CA1F47">
        <w:t>): 33 patients;</w:t>
      </w:r>
    </w:p>
    <w:p w:rsidR="005400DB" w:rsidRDefault="005400DB" w:rsidP="00D653C2">
      <w:pPr>
        <w:pStyle w:val="ListBullet"/>
      </w:pPr>
      <w:r>
        <w:t>Severe osteoporosis (one grade III, or more than two grade I or II prevalen</w:t>
      </w:r>
      <w:r w:rsidR="007E7F1C">
        <w:t xml:space="preserve">t vertebral fractures, or BMD T </w:t>
      </w:r>
      <w:r>
        <w:t>score below -4.0 at one or more of t</w:t>
      </w:r>
      <w:r w:rsidR="00CA1F47">
        <w:t>he measured sites): 28 patients;</w:t>
      </w:r>
    </w:p>
    <w:p w:rsidR="005400DB" w:rsidRDefault="005400DB" w:rsidP="00D653C2">
      <w:pPr>
        <w:pStyle w:val="ListBullet"/>
      </w:pPr>
      <w:r>
        <w:t>Patients not considered as osteoporotic according to the protoco</w:t>
      </w:r>
      <w:r w:rsidR="00CA1F47">
        <w:t>l: 13 patients;</w:t>
      </w:r>
    </w:p>
    <w:p w:rsidR="005400DB" w:rsidRDefault="005400DB" w:rsidP="00D653C2">
      <w:pPr>
        <w:pStyle w:val="ListBullet"/>
      </w:pPr>
      <w:r>
        <w:t>Forbid</w:t>
      </w:r>
      <w:r w:rsidR="00CA1F47">
        <w:t>den medical history: 5 patients;</w:t>
      </w:r>
    </w:p>
    <w:p w:rsidR="005400DB" w:rsidRDefault="00CA1F47" w:rsidP="00D653C2">
      <w:pPr>
        <w:pStyle w:val="ListBullet"/>
      </w:pPr>
      <w:r>
        <w:t>Forbidden medication: 1 patient; or</w:t>
      </w:r>
    </w:p>
    <w:p w:rsidR="005400DB" w:rsidRDefault="005400DB" w:rsidP="00D653C2">
      <w:pPr>
        <w:pStyle w:val="ListBullet"/>
      </w:pPr>
      <w:r>
        <w:t>Other non</w:t>
      </w:r>
      <w:r w:rsidR="00CA1F47">
        <w:t xml:space="preserve"> </w:t>
      </w:r>
      <w:r>
        <w:t>inclusion criteria: 1 patient.</w:t>
      </w:r>
    </w:p>
    <w:p w:rsidR="005400DB" w:rsidRDefault="005400DB" w:rsidP="005400DB">
      <w:pPr>
        <w:pStyle w:val="Heading5"/>
      </w:pPr>
      <w:r>
        <w:t>Major protocol violations/deviations</w:t>
      </w:r>
    </w:p>
    <w:p w:rsidR="005400DB" w:rsidRPr="00A5450E" w:rsidRDefault="005400DB" w:rsidP="00D653C2">
      <w:pPr>
        <w:rPr>
          <w:lang w:eastAsia="en-AU"/>
        </w:rPr>
      </w:pPr>
      <w:r w:rsidRPr="00A5450E">
        <w:rPr>
          <w:lang w:eastAsia="en-AU"/>
        </w:rPr>
        <w:t>Overall, 49 patients had at least one protocol deviation at inclusion with a similar percentage in both group</w:t>
      </w:r>
      <w:r w:rsidR="008107D4">
        <w:rPr>
          <w:lang w:eastAsia="en-AU"/>
        </w:rPr>
        <w:t>s: 32 patients (18.4%) in the S1</w:t>
      </w:r>
      <w:r w:rsidRPr="00A5450E">
        <w:rPr>
          <w:lang w:eastAsia="en-AU"/>
        </w:rPr>
        <w:t>2911 group, and 17 patients (19.5%) in the placebo group.</w:t>
      </w:r>
    </w:p>
    <w:p w:rsidR="005400DB" w:rsidRPr="00A5450E" w:rsidRDefault="005400DB" w:rsidP="00D653C2">
      <w:r w:rsidRPr="00A5450E">
        <w:rPr>
          <w:lang w:eastAsia="en-AU"/>
        </w:rPr>
        <w:t xml:space="preserve">Most </w:t>
      </w:r>
      <w:r w:rsidR="0076263F">
        <w:rPr>
          <w:lang w:eastAsia="en-AU"/>
        </w:rPr>
        <w:t xml:space="preserve">protocol violations/deviations </w:t>
      </w:r>
      <w:r w:rsidRPr="00A5450E">
        <w:rPr>
          <w:lang w:eastAsia="en-AU"/>
        </w:rPr>
        <w:t>were methodologi</w:t>
      </w:r>
      <w:r w:rsidR="0076263F">
        <w:rPr>
          <w:lang w:eastAsia="en-AU"/>
        </w:rPr>
        <w:t>cal and minor, with incomplete/</w:t>
      </w:r>
      <w:r w:rsidRPr="00A5450E">
        <w:rPr>
          <w:lang w:eastAsia="en-AU"/>
        </w:rPr>
        <w:t xml:space="preserve">inadequate bone densitometric results, or exclusion criteria being defined after entry. Two were excluded with history of previous disease (pulmonary embolism </w:t>
      </w:r>
      <w:r w:rsidRPr="00A5450E">
        <w:rPr>
          <w:lang w:eastAsia="en-AU"/>
        </w:rPr>
        <w:lastRenderedPageBreak/>
        <w:t>and retinal vein thrombosis), b</w:t>
      </w:r>
      <w:r w:rsidR="0076263F">
        <w:rPr>
          <w:lang w:eastAsia="en-AU"/>
        </w:rPr>
        <w:t>oth in the treatment group. Two</w:t>
      </w:r>
      <w:r w:rsidRPr="00A5450E">
        <w:rPr>
          <w:lang w:eastAsia="en-AU"/>
        </w:rPr>
        <w:t xml:space="preserve"> patients and one placebo subject </w:t>
      </w:r>
      <w:r w:rsidR="0076263F">
        <w:rPr>
          <w:lang w:eastAsia="en-AU"/>
        </w:rPr>
        <w:t xml:space="preserve">were </w:t>
      </w:r>
      <w:r w:rsidRPr="00A5450E">
        <w:rPr>
          <w:lang w:eastAsia="en-AU"/>
        </w:rPr>
        <w:t xml:space="preserve">excluded because of </w:t>
      </w:r>
      <w:r>
        <w:rPr>
          <w:lang w:eastAsia="en-AU"/>
        </w:rPr>
        <w:t>absent baseline platelet count.</w:t>
      </w:r>
    </w:p>
    <w:p w:rsidR="00710AF0" w:rsidRDefault="00710AF0" w:rsidP="00710AF0">
      <w:pPr>
        <w:pStyle w:val="Heading5"/>
      </w:pPr>
      <w:r>
        <w:t>Baseline data</w:t>
      </w:r>
    </w:p>
    <w:p w:rsidR="00AE0EBF" w:rsidRDefault="00AE0EBF" w:rsidP="00D653C2">
      <w:r w:rsidRPr="00AE0EBF">
        <w:t xml:space="preserve">The different </w:t>
      </w:r>
      <w:r w:rsidR="003B1660">
        <w:t>a</w:t>
      </w:r>
      <w:r w:rsidRPr="00AE0EBF">
        <w:t xml:space="preserve">nalysis </w:t>
      </w:r>
      <w:r w:rsidR="003B1660">
        <w:t>s</w:t>
      </w:r>
      <w:r w:rsidRPr="00AE0EBF">
        <w:t xml:space="preserve">ets were defined before study unblinding according to </w:t>
      </w:r>
      <w:r w:rsidR="00686A98">
        <w:t xml:space="preserve">published </w:t>
      </w:r>
      <w:r w:rsidRPr="00AE0EBF">
        <w:t>guidelines</w:t>
      </w:r>
      <w:r w:rsidR="00686A98">
        <w:rPr>
          <w:rStyle w:val="FootnoteReference"/>
        </w:rPr>
        <w:footnoteReference w:id="17"/>
      </w:r>
      <w:r>
        <w:t xml:space="preserve"> and are presented in Table 1.</w:t>
      </w:r>
    </w:p>
    <w:p w:rsidR="00686A98" w:rsidRDefault="00686A98" w:rsidP="00D653C2">
      <w:pPr>
        <w:pStyle w:val="TableTitle"/>
        <w:rPr>
          <w:lang w:val="en-GB"/>
        </w:rPr>
      </w:pPr>
      <w:r>
        <w:t>Table 1:</w:t>
      </w:r>
      <w:r w:rsidRPr="004C5C28">
        <w:t xml:space="preserve"> </w:t>
      </w:r>
      <w:r>
        <w:t>Analysis sets.</w:t>
      </w:r>
    </w:p>
    <w:p w:rsidR="00686A98" w:rsidRDefault="00294DCE" w:rsidP="00686A98">
      <w:pPr>
        <w:jc w:val="center"/>
      </w:pPr>
      <w:r>
        <w:rPr>
          <w:noProof/>
          <w:lang w:eastAsia="en-AU"/>
        </w:rPr>
        <w:drawing>
          <wp:inline distT="0" distB="0" distL="0" distR="0">
            <wp:extent cx="4695190" cy="1049020"/>
            <wp:effectExtent l="19050" t="0" r="0" b="0"/>
            <wp:docPr id="4" name="Picture 4" descr="Table 1: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1: Analysis sets."/>
                    <pic:cNvPicPr>
                      <a:picLocks noChangeAspect="1" noChangeArrowheads="1"/>
                    </pic:cNvPicPr>
                  </pic:nvPicPr>
                  <pic:blipFill>
                    <a:blip r:embed="rId19" cstate="print"/>
                    <a:srcRect/>
                    <a:stretch>
                      <a:fillRect/>
                    </a:stretch>
                  </pic:blipFill>
                  <pic:spPr bwMode="auto">
                    <a:xfrm>
                      <a:off x="0" y="0"/>
                      <a:ext cx="4695190" cy="1049020"/>
                    </a:xfrm>
                    <a:prstGeom prst="rect">
                      <a:avLst/>
                    </a:prstGeom>
                    <a:noFill/>
                    <a:ln w="9525">
                      <a:noFill/>
                      <a:miter lim="800000"/>
                      <a:headEnd/>
                      <a:tailEnd/>
                    </a:ln>
                  </pic:spPr>
                </pic:pic>
              </a:graphicData>
            </a:graphic>
          </wp:inline>
        </w:drawing>
      </w:r>
    </w:p>
    <w:p w:rsidR="00732AF6" w:rsidRDefault="00732AF6" w:rsidP="00D653C2">
      <w:r>
        <w:t>All patients were ambulatory</w:t>
      </w:r>
      <w:r w:rsidR="005046BA">
        <w:t xml:space="preserve">. </w:t>
      </w:r>
      <w:r>
        <w:t>There were no significant differences between blood pressure and heart rate between the groups</w:t>
      </w:r>
      <w:r w:rsidR="005046BA">
        <w:t xml:space="preserve">. </w:t>
      </w:r>
      <w:r>
        <w:t>Incomplete data was available for smoking an</w:t>
      </w:r>
      <w:r w:rsidR="00FA3E42">
        <w:t>d alcohol consumption. There were</w:t>
      </w:r>
      <w:r>
        <w:t xml:space="preserve"> no differences of these data between the groups.</w:t>
      </w:r>
    </w:p>
    <w:p w:rsidR="00461C99" w:rsidRDefault="00461C99" w:rsidP="00D653C2">
      <w:r>
        <w:t xml:space="preserve">The baseline bone </w:t>
      </w:r>
      <w:r w:rsidRPr="00461C99">
        <w:t>densities were similar, and no significant differences between the group</w:t>
      </w:r>
      <w:r w:rsidR="00B90B32">
        <w:t xml:space="preserve">s were noted for bone markers, </w:t>
      </w:r>
      <w:r w:rsidRPr="00461C99">
        <w:t>pharmacoeconomics and the previous treatments for osteoporosis.</w:t>
      </w:r>
    </w:p>
    <w:p w:rsidR="00732AF6" w:rsidRDefault="00732AF6" w:rsidP="00D653C2">
      <w:r>
        <w:t>The following concomitant treatments were mo</w:t>
      </w:r>
      <w:r w:rsidR="008107D4">
        <w:t>re frequently reported in the S</w:t>
      </w:r>
      <w:r>
        <w:t>12911 group than in the placebo group:</w:t>
      </w:r>
    </w:p>
    <w:p w:rsidR="00732AF6" w:rsidRDefault="00732AF6" w:rsidP="00D653C2">
      <w:pPr>
        <w:pStyle w:val="ListBullet"/>
      </w:pPr>
      <w:r>
        <w:t>Antith</w:t>
      </w:r>
      <w:r w:rsidR="008107D4">
        <w:t>rombotic agents: 35.1% in the S</w:t>
      </w:r>
      <w:r>
        <w:t xml:space="preserve">12911 </w:t>
      </w:r>
      <w:r w:rsidR="00BE5F6F">
        <w:t>group and</w:t>
      </w:r>
      <w:r w:rsidR="00740022">
        <w:t xml:space="preserve"> 26.4% in the placebo group;</w:t>
      </w:r>
    </w:p>
    <w:p w:rsidR="00732AF6" w:rsidRDefault="003174FB" w:rsidP="00D653C2">
      <w:pPr>
        <w:pStyle w:val="ListBullet"/>
      </w:pPr>
      <w:r>
        <w:t xml:space="preserve">Agents acting on the rennin </w:t>
      </w:r>
      <w:r w:rsidR="00732AF6">
        <w:t>angiotensin system</w:t>
      </w:r>
      <w:r w:rsidR="00740022">
        <w:t>: 32.2% and 23.0%, respectively;</w:t>
      </w:r>
    </w:p>
    <w:p w:rsidR="00732AF6" w:rsidRDefault="005B4A59" w:rsidP="00D653C2">
      <w:pPr>
        <w:pStyle w:val="ListBullet"/>
      </w:pPr>
      <w:r>
        <w:t>Beta b</w:t>
      </w:r>
      <w:r w:rsidR="00732AF6">
        <w:t>locking agents</w:t>
      </w:r>
      <w:r w:rsidR="00740022">
        <w:t>: 22.4% and 16.1%, respectively; and</w:t>
      </w:r>
    </w:p>
    <w:p w:rsidR="00912548" w:rsidRDefault="00732AF6" w:rsidP="00D653C2">
      <w:pPr>
        <w:pStyle w:val="ListBullet"/>
      </w:pPr>
      <w:r>
        <w:t>Cardiac therapy: 16.7% and 10.3%.</w:t>
      </w:r>
    </w:p>
    <w:p w:rsidR="00A954EF" w:rsidRDefault="00A542A2" w:rsidP="00D653C2">
      <w:r>
        <w:t xml:space="preserve">Tables 2-3 </w:t>
      </w:r>
      <w:r w:rsidR="00A954EF">
        <w:t xml:space="preserve">show </w:t>
      </w:r>
      <w:r w:rsidR="008D22C1">
        <w:t xml:space="preserve">the </w:t>
      </w:r>
      <w:r w:rsidR="00DC3F47">
        <w:t>characteristics of the baseline BMD</w:t>
      </w:r>
      <w:r w:rsidR="0073484B">
        <w:t>.</w:t>
      </w:r>
    </w:p>
    <w:p w:rsidR="00912548" w:rsidRDefault="00005BF3" w:rsidP="00D653C2">
      <w:pPr>
        <w:pStyle w:val="TableTitle"/>
        <w:rPr>
          <w:lang w:val="en-GB"/>
        </w:rPr>
      </w:pPr>
      <w:r>
        <w:br w:type="page"/>
      </w:r>
      <w:r w:rsidR="00912548">
        <w:lastRenderedPageBreak/>
        <w:t>Table</w:t>
      </w:r>
      <w:r w:rsidR="00912548" w:rsidRPr="004C5C28">
        <w:t xml:space="preserve"> </w:t>
      </w:r>
      <w:r w:rsidR="00A542A2">
        <w:t>2</w:t>
      </w:r>
      <w:r w:rsidR="00912548">
        <w:t>:</w:t>
      </w:r>
      <w:r w:rsidR="00912548" w:rsidRPr="004C5C28">
        <w:t xml:space="preserve"> </w:t>
      </w:r>
      <w:r w:rsidR="00CD4C54">
        <w:t>Characteristics of the randomised set</w:t>
      </w:r>
      <w:r w:rsidR="00912548">
        <w:t>.</w:t>
      </w:r>
    </w:p>
    <w:p w:rsidR="00912548" w:rsidRDefault="00294DCE" w:rsidP="00F75877">
      <w:pPr>
        <w:jc w:val="center"/>
      </w:pPr>
      <w:r>
        <w:rPr>
          <w:noProof/>
          <w:lang w:eastAsia="en-AU"/>
        </w:rPr>
        <w:drawing>
          <wp:inline distT="0" distB="0" distL="0" distR="0">
            <wp:extent cx="4690110" cy="3960495"/>
            <wp:effectExtent l="19050" t="0" r="0" b="0"/>
            <wp:docPr id="5" name="Picture 5" descr="Table 2: Characteristics of the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 Characteristics of the randomised set."/>
                    <pic:cNvPicPr>
                      <a:picLocks noChangeAspect="1" noChangeArrowheads="1"/>
                    </pic:cNvPicPr>
                  </pic:nvPicPr>
                  <pic:blipFill>
                    <a:blip r:embed="rId20" cstate="print"/>
                    <a:srcRect/>
                    <a:stretch>
                      <a:fillRect/>
                    </a:stretch>
                  </pic:blipFill>
                  <pic:spPr bwMode="auto">
                    <a:xfrm>
                      <a:off x="0" y="0"/>
                      <a:ext cx="4690110" cy="3960495"/>
                    </a:xfrm>
                    <a:prstGeom prst="rect">
                      <a:avLst/>
                    </a:prstGeom>
                    <a:noFill/>
                    <a:ln w="9525">
                      <a:noFill/>
                      <a:miter lim="800000"/>
                      <a:headEnd/>
                      <a:tailEnd/>
                    </a:ln>
                  </pic:spPr>
                </pic:pic>
              </a:graphicData>
            </a:graphic>
          </wp:inline>
        </w:drawing>
      </w:r>
    </w:p>
    <w:p w:rsidR="00912548" w:rsidRDefault="00A542A2" w:rsidP="00DC6976">
      <w:pPr>
        <w:pStyle w:val="TableTitle"/>
        <w:rPr>
          <w:lang w:val="en-GB"/>
        </w:rPr>
      </w:pPr>
      <w:r>
        <w:t>Table 3</w:t>
      </w:r>
      <w:r w:rsidR="00912548">
        <w:t>:</w:t>
      </w:r>
      <w:r w:rsidR="00912548" w:rsidRPr="004C5C28">
        <w:t xml:space="preserve"> </w:t>
      </w:r>
      <w:r w:rsidR="00B51CDD">
        <w:t>Baseline lumbar L2-L4, femoral neck and total hip BMD and T scores in the randomised set</w:t>
      </w:r>
      <w:r w:rsidR="00912548">
        <w:t>.</w:t>
      </w:r>
    </w:p>
    <w:p w:rsidR="00912548" w:rsidRDefault="00294DCE" w:rsidP="00F75877">
      <w:pPr>
        <w:jc w:val="center"/>
      </w:pPr>
      <w:r>
        <w:rPr>
          <w:noProof/>
          <w:lang w:eastAsia="en-AU"/>
        </w:rPr>
        <w:drawing>
          <wp:inline distT="0" distB="0" distL="0" distR="0">
            <wp:extent cx="4690110" cy="2446020"/>
            <wp:effectExtent l="19050" t="0" r="0" b="0"/>
            <wp:docPr id="6" name="Picture 6" descr="Table 3: Baseline lumbar L2-L4, femoral neck and total hip BMD and T scores in the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3: Baseline lumbar L2-L4, femoral neck and total hip BMD and T scores in the randomised set."/>
                    <pic:cNvPicPr>
                      <a:picLocks noChangeAspect="1" noChangeArrowheads="1"/>
                    </pic:cNvPicPr>
                  </pic:nvPicPr>
                  <pic:blipFill>
                    <a:blip r:embed="rId21" cstate="print"/>
                    <a:srcRect/>
                    <a:stretch>
                      <a:fillRect/>
                    </a:stretch>
                  </pic:blipFill>
                  <pic:spPr bwMode="auto">
                    <a:xfrm>
                      <a:off x="0" y="0"/>
                      <a:ext cx="4690110" cy="2446020"/>
                    </a:xfrm>
                    <a:prstGeom prst="rect">
                      <a:avLst/>
                    </a:prstGeom>
                    <a:noFill/>
                    <a:ln w="9525">
                      <a:noFill/>
                      <a:miter lim="800000"/>
                      <a:headEnd/>
                      <a:tailEnd/>
                    </a:ln>
                  </pic:spPr>
                </pic:pic>
              </a:graphicData>
            </a:graphic>
          </wp:inline>
        </w:drawing>
      </w:r>
    </w:p>
    <w:p w:rsidR="0092759D" w:rsidRDefault="00461C99" w:rsidP="0092759D">
      <w:pPr>
        <w:pStyle w:val="Heading5"/>
      </w:pPr>
      <w:r>
        <w:t>Study outcomes</w:t>
      </w:r>
    </w:p>
    <w:p w:rsidR="0092759D" w:rsidRDefault="0092759D" w:rsidP="00DC6976">
      <w:r>
        <w:t>Treatment compliance was a</w:t>
      </w:r>
      <w:r w:rsidR="003174FB">
        <w:t xml:space="preserve"> mean of 91.3% in the </w:t>
      </w:r>
      <w:r w:rsidR="00E93342">
        <w:t>S12911 treated</w:t>
      </w:r>
      <w:r w:rsidR="003174FB">
        <w:t xml:space="preserve"> </w:t>
      </w:r>
      <w:r w:rsidR="007F48BE">
        <w:t xml:space="preserve">group </w:t>
      </w:r>
      <w:r w:rsidR="003174FB">
        <w:t>versus</w:t>
      </w:r>
      <w:r>
        <w:t xml:space="preserve"> 92.3% in the placebo group. Premature discontinuation of study treatment concerned 5</w:t>
      </w:r>
      <w:r w:rsidR="008107D4">
        <w:t>7 patients (21.8%): 42 in the S</w:t>
      </w:r>
      <w:r>
        <w:t>12911 group (24.1%) and 15</w:t>
      </w:r>
      <w:r w:rsidR="00E93342">
        <w:t xml:space="preserve"> </w:t>
      </w:r>
      <w:r>
        <w:t>(17.2%) in the placebo group. The reasons for stopping were:</w:t>
      </w:r>
    </w:p>
    <w:p w:rsidR="0092759D" w:rsidRDefault="007F48BE" w:rsidP="00DC6976">
      <w:pPr>
        <w:pStyle w:val="ListBullet"/>
      </w:pPr>
      <w:r>
        <w:t>AE</w:t>
      </w:r>
      <w:r w:rsidR="0092759D">
        <w:t xml:space="preserve"> for 24 patien</w:t>
      </w:r>
      <w:r w:rsidR="008107D4">
        <w:t>ts (13.8%) in the S</w:t>
      </w:r>
      <w:r w:rsidR="0092759D">
        <w:t>12911 group and 9 patien</w:t>
      </w:r>
      <w:r w:rsidR="00E93342">
        <w:t>ts (10.3%) in the placebo group;</w:t>
      </w:r>
    </w:p>
    <w:p w:rsidR="0092759D" w:rsidRDefault="0092759D" w:rsidP="00DC6976">
      <w:pPr>
        <w:pStyle w:val="ListBullet"/>
      </w:pPr>
      <w:r>
        <w:t>Non</w:t>
      </w:r>
      <w:r w:rsidR="00F75877">
        <w:t xml:space="preserve"> </w:t>
      </w:r>
      <w:r>
        <w:t xml:space="preserve">medical reason </w:t>
      </w:r>
      <w:r w:rsidR="008107D4">
        <w:t>for 14 patients (8.0%) in the S</w:t>
      </w:r>
      <w:r>
        <w:t>12911 group and 6 patie</w:t>
      </w:r>
      <w:r w:rsidR="00E93342">
        <w:t>nts (6.9%) in the placebo group; and</w:t>
      </w:r>
    </w:p>
    <w:p w:rsidR="00732AF6" w:rsidRDefault="0092759D" w:rsidP="00DC6976">
      <w:pPr>
        <w:pStyle w:val="ListBullet"/>
      </w:pPr>
      <w:r>
        <w:lastRenderedPageBreak/>
        <w:t>Protocol deviations</w:t>
      </w:r>
      <w:r w:rsidR="008107D4">
        <w:t xml:space="preserve"> for 4 patients (2.3%) in the S</w:t>
      </w:r>
      <w:r>
        <w:t>12911 group.</w:t>
      </w:r>
    </w:p>
    <w:p w:rsidR="00F75877" w:rsidRDefault="00F75877" w:rsidP="00DC6976">
      <w:pPr>
        <w:pStyle w:val="Heading5"/>
      </w:pPr>
      <w:r>
        <w:t xml:space="preserve">Results for the primary </w:t>
      </w:r>
      <w:r w:rsidR="00F74CD8">
        <w:t>efficacy</w:t>
      </w:r>
      <w:r>
        <w:t xml:space="preserve"> outcome</w:t>
      </w:r>
    </w:p>
    <w:p w:rsidR="00461C99" w:rsidRDefault="00A526B4" w:rsidP="00DC6976">
      <w:r>
        <w:t>Change in lumbar BMD is shown in Table 4</w:t>
      </w:r>
      <w:r w:rsidR="00BA5302">
        <w:t xml:space="preserve"> and Figure 3</w:t>
      </w:r>
      <w:r>
        <w:t>.</w:t>
      </w:r>
    </w:p>
    <w:p w:rsidR="00A526B4" w:rsidRDefault="00A526B4" w:rsidP="00DC6976">
      <w:pPr>
        <w:pStyle w:val="TableTitle"/>
        <w:rPr>
          <w:lang w:val="en-GB"/>
        </w:rPr>
      </w:pPr>
      <w:r>
        <w:t>Table 4:</w:t>
      </w:r>
      <w:r w:rsidRPr="004C5C28">
        <w:t xml:space="preserve"> </w:t>
      </w:r>
      <w:r w:rsidR="00BA5302">
        <w:t>Change in lumbar BMD</w:t>
      </w:r>
      <w:r>
        <w:t>.</w:t>
      </w:r>
    </w:p>
    <w:p w:rsidR="00A526B4" w:rsidRDefault="00294DCE" w:rsidP="00A526B4">
      <w:pPr>
        <w:jc w:val="center"/>
      </w:pPr>
      <w:r>
        <w:rPr>
          <w:noProof/>
          <w:lang w:eastAsia="en-AU"/>
        </w:rPr>
        <w:drawing>
          <wp:inline distT="0" distB="0" distL="0" distR="0">
            <wp:extent cx="4779645" cy="1879600"/>
            <wp:effectExtent l="19050" t="0" r="1905" b="0"/>
            <wp:docPr id="7" name="Picture 7" descr="Table 4: Change in lumbar B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4: Change in lumbar BMD."/>
                    <pic:cNvPicPr>
                      <a:picLocks noChangeAspect="1" noChangeArrowheads="1"/>
                    </pic:cNvPicPr>
                  </pic:nvPicPr>
                  <pic:blipFill>
                    <a:blip r:embed="rId22" cstate="print"/>
                    <a:srcRect/>
                    <a:stretch>
                      <a:fillRect/>
                    </a:stretch>
                  </pic:blipFill>
                  <pic:spPr bwMode="auto">
                    <a:xfrm>
                      <a:off x="0" y="0"/>
                      <a:ext cx="4779645" cy="1879600"/>
                    </a:xfrm>
                    <a:prstGeom prst="rect">
                      <a:avLst/>
                    </a:prstGeom>
                    <a:noFill/>
                    <a:ln w="9525">
                      <a:noFill/>
                      <a:miter lim="800000"/>
                      <a:headEnd/>
                      <a:tailEnd/>
                    </a:ln>
                  </pic:spPr>
                </pic:pic>
              </a:graphicData>
            </a:graphic>
          </wp:inline>
        </w:drawing>
      </w:r>
    </w:p>
    <w:p w:rsidR="00BA5302" w:rsidRPr="00DC6976" w:rsidRDefault="00BA5302" w:rsidP="00DC6976">
      <w:pPr>
        <w:pStyle w:val="FigureTitle"/>
      </w:pPr>
      <w:r w:rsidRPr="00DC6976">
        <w:t>Figure 3: Change in lumbar BMD.</w:t>
      </w:r>
    </w:p>
    <w:p w:rsidR="00BA5302" w:rsidRDefault="00294DCE" w:rsidP="00BA5302">
      <w:pPr>
        <w:jc w:val="center"/>
        <w:rPr>
          <w:lang w:val="en-GB"/>
        </w:rPr>
      </w:pPr>
      <w:r>
        <w:rPr>
          <w:noProof/>
          <w:lang w:eastAsia="en-AU"/>
        </w:rPr>
        <w:drawing>
          <wp:inline distT="0" distB="0" distL="0" distR="0">
            <wp:extent cx="4274820" cy="1896110"/>
            <wp:effectExtent l="19050" t="0" r="0" b="0"/>
            <wp:docPr id="8" name="Picture 8" descr="Figure 3: Change in lumbar B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Change in lumbar BMD."/>
                    <pic:cNvPicPr>
                      <a:picLocks noChangeAspect="1" noChangeArrowheads="1"/>
                    </pic:cNvPicPr>
                  </pic:nvPicPr>
                  <pic:blipFill>
                    <a:blip r:embed="rId23" cstate="print"/>
                    <a:srcRect/>
                    <a:stretch>
                      <a:fillRect/>
                    </a:stretch>
                  </pic:blipFill>
                  <pic:spPr bwMode="auto">
                    <a:xfrm>
                      <a:off x="0" y="0"/>
                      <a:ext cx="4274820" cy="1896110"/>
                    </a:xfrm>
                    <a:prstGeom prst="rect">
                      <a:avLst/>
                    </a:prstGeom>
                    <a:noFill/>
                    <a:ln w="9525">
                      <a:noFill/>
                      <a:miter lim="800000"/>
                      <a:headEnd/>
                      <a:tailEnd/>
                    </a:ln>
                  </pic:spPr>
                </pic:pic>
              </a:graphicData>
            </a:graphic>
          </wp:inline>
        </w:drawing>
      </w:r>
    </w:p>
    <w:p w:rsidR="00083577" w:rsidRDefault="00720051" w:rsidP="00083577">
      <w:r>
        <w:t>As with the previous section</w:t>
      </w:r>
      <w:r w:rsidR="00083577">
        <w:t>, the results were very similar in the PPS</w:t>
      </w:r>
      <w:r w:rsidR="00666217">
        <w:t>.</w:t>
      </w:r>
    </w:p>
    <w:p w:rsidR="00E521F6" w:rsidRDefault="00E521F6" w:rsidP="00E521F6">
      <w:r>
        <w:t>Change in femoral neck BMD and bone markers from baseline are shown in Tables 5-6.</w:t>
      </w:r>
    </w:p>
    <w:p w:rsidR="00E521F6" w:rsidRDefault="00E521F6" w:rsidP="00DC6976">
      <w:pPr>
        <w:pStyle w:val="TableTitle"/>
        <w:rPr>
          <w:lang w:val="en-GB"/>
        </w:rPr>
      </w:pPr>
      <w:r>
        <w:t>Table 5:</w:t>
      </w:r>
      <w:r w:rsidRPr="004C5C28">
        <w:t xml:space="preserve"> </w:t>
      </w:r>
      <w:r w:rsidR="00CC1DB9">
        <w:t>Change in femoral neck BMD: relative changes (%) from the baseline to last value in the FAS</w:t>
      </w:r>
      <w:r>
        <w:t>.</w:t>
      </w:r>
    </w:p>
    <w:p w:rsidR="00E521F6" w:rsidRDefault="00294DCE" w:rsidP="00CC1DB9">
      <w:pPr>
        <w:jc w:val="center"/>
      </w:pPr>
      <w:r>
        <w:rPr>
          <w:noProof/>
          <w:lang w:eastAsia="en-AU"/>
        </w:rPr>
        <w:drawing>
          <wp:inline distT="0" distB="0" distL="0" distR="0">
            <wp:extent cx="4269105" cy="2546985"/>
            <wp:effectExtent l="19050" t="0" r="0" b="0"/>
            <wp:docPr id="9" name="Picture 9" descr="Table 5: Change in femoral neck BMD: relative changes (%) from the baseline to last value in th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5: Change in femoral neck BMD: relative changes (%) from the baseline to last value in the FAS."/>
                    <pic:cNvPicPr>
                      <a:picLocks noChangeAspect="1" noChangeArrowheads="1"/>
                    </pic:cNvPicPr>
                  </pic:nvPicPr>
                  <pic:blipFill>
                    <a:blip r:embed="rId24" cstate="print"/>
                    <a:srcRect/>
                    <a:stretch>
                      <a:fillRect/>
                    </a:stretch>
                  </pic:blipFill>
                  <pic:spPr bwMode="auto">
                    <a:xfrm>
                      <a:off x="0" y="0"/>
                      <a:ext cx="4269105" cy="2546985"/>
                    </a:xfrm>
                    <a:prstGeom prst="rect">
                      <a:avLst/>
                    </a:prstGeom>
                    <a:noFill/>
                    <a:ln w="9525">
                      <a:noFill/>
                      <a:miter lim="800000"/>
                      <a:headEnd/>
                      <a:tailEnd/>
                    </a:ln>
                  </pic:spPr>
                </pic:pic>
              </a:graphicData>
            </a:graphic>
          </wp:inline>
        </w:drawing>
      </w:r>
    </w:p>
    <w:p w:rsidR="00E521F6" w:rsidRDefault="00DE7A12" w:rsidP="00DC6976">
      <w:pPr>
        <w:pStyle w:val="TableTitle"/>
        <w:rPr>
          <w:lang w:val="en-GB"/>
        </w:rPr>
      </w:pPr>
      <w:r>
        <w:br w:type="page"/>
      </w:r>
      <w:r w:rsidR="00E521F6">
        <w:lastRenderedPageBreak/>
        <w:t>Table 6:</w:t>
      </w:r>
      <w:r w:rsidR="00E521F6" w:rsidRPr="004C5C28">
        <w:t xml:space="preserve"> </w:t>
      </w:r>
      <w:r w:rsidR="00CC1DB9" w:rsidRPr="00CC1DB9">
        <w:t>Bone markers relative changes (%) from baseline to last value in the FAS</w:t>
      </w:r>
      <w:r w:rsidR="00E521F6">
        <w:t>.</w:t>
      </w:r>
    </w:p>
    <w:p w:rsidR="00E521F6" w:rsidRDefault="00294DCE" w:rsidP="00CC1DB9">
      <w:pPr>
        <w:jc w:val="center"/>
      </w:pPr>
      <w:r>
        <w:rPr>
          <w:noProof/>
          <w:lang w:eastAsia="en-AU"/>
        </w:rPr>
        <w:drawing>
          <wp:inline distT="0" distB="0" distL="0" distR="0">
            <wp:extent cx="4280535" cy="3825875"/>
            <wp:effectExtent l="19050" t="0" r="5715" b="0"/>
            <wp:docPr id="10" name="Picture 10" descr="Table 6: Bone markers relative changes (%) from baseline to last value in th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6: Bone markers relative changes (%) from baseline to last value in the FAS."/>
                    <pic:cNvPicPr>
                      <a:picLocks noChangeAspect="1" noChangeArrowheads="1"/>
                    </pic:cNvPicPr>
                  </pic:nvPicPr>
                  <pic:blipFill>
                    <a:blip r:embed="rId25" cstate="print"/>
                    <a:srcRect/>
                    <a:stretch>
                      <a:fillRect/>
                    </a:stretch>
                  </pic:blipFill>
                  <pic:spPr bwMode="auto">
                    <a:xfrm>
                      <a:off x="0" y="0"/>
                      <a:ext cx="4280535" cy="3825875"/>
                    </a:xfrm>
                    <a:prstGeom prst="rect">
                      <a:avLst/>
                    </a:prstGeom>
                    <a:noFill/>
                    <a:ln w="9525">
                      <a:noFill/>
                      <a:miter lim="800000"/>
                      <a:headEnd/>
                      <a:tailEnd/>
                    </a:ln>
                  </pic:spPr>
                </pic:pic>
              </a:graphicData>
            </a:graphic>
          </wp:inline>
        </w:drawing>
      </w:r>
    </w:p>
    <w:p w:rsidR="00720051" w:rsidRPr="00DC6976" w:rsidRDefault="00720051" w:rsidP="00720051">
      <w:bookmarkStart w:id="68" w:name="_Toc163441378"/>
      <w:bookmarkStart w:id="69" w:name="_Toc196046495"/>
      <w:bookmarkStart w:id="70" w:name="_Toc247691522"/>
      <w:bookmarkStart w:id="71" w:name="_Toc314842505"/>
      <w:bookmarkEnd w:id="64"/>
      <w:bookmarkEnd w:id="65"/>
      <w:bookmarkEnd w:id="66"/>
      <w:bookmarkEnd w:id="67"/>
      <w:r>
        <w:t>‘</w:t>
      </w:r>
      <w:r w:rsidRPr="00DC6976">
        <w:t>Pain interfered with patient sleep’ was the only significantly different value (p=0.016) in the quality of life questionnaire (Table 7).</w:t>
      </w:r>
    </w:p>
    <w:p w:rsidR="00AB3087" w:rsidRDefault="00AB3087" w:rsidP="00DC6976">
      <w:pPr>
        <w:pStyle w:val="TableTitle"/>
      </w:pPr>
      <w:r>
        <w:t>Table 7:</w:t>
      </w:r>
      <w:r w:rsidRPr="004C5C28">
        <w:t xml:space="preserve"> </w:t>
      </w:r>
      <w:r w:rsidR="008356E0">
        <w:t xml:space="preserve">Change in quality of life: </w:t>
      </w:r>
      <w:r w:rsidR="008356E0" w:rsidRPr="008356E0">
        <w:t>Evolution of the scores</w:t>
      </w:r>
      <w:r w:rsidR="008356E0">
        <w:t xml:space="preserve"> for the four items of Qualiost</w:t>
      </w:r>
      <w:r w:rsidR="008356E0" w:rsidRPr="008356E0">
        <w:t xml:space="preserve"> from baseline to last value in the FAS</w:t>
      </w:r>
      <w:r w:rsidR="008356E0">
        <w:t>.</w:t>
      </w:r>
    </w:p>
    <w:p w:rsidR="00AB3087" w:rsidRDefault="00294DCE" w:rsidP="00BF0951">
      <w:pPr>
        <w:jc w:val="center"/>
      </w:pPr>
      <w:r>
        <w:rPr>
          <w:noProof/>
          <w:lang w:eastAsia="en-AU"/>
        </w:rPr>
        <w:drawing>
          <wp:inline distT="0" distB="0" distL="0" distR="0">
            <wp:extent cx="4549775" cy="1357630"/>
            <wp:effectExtent l="19050" t="0" r="3175" b="0"/>
            <wp:docPr id="11" name="Picture 11" descr="Table 7: Change in quality of life: Evolution of the scores for the four items of Qualiost from baseline to last value in th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7: Change in quality of life: Evolution of the scores for the four items of Qualiost from baseline to last value in the FAS."/>
                    <pic:cNvPicPr>
                      <a:picLocks noChangeAspect="1" noChangeArrowheads="1"/>
                    </pic:cNvPicPr>
                  </pic:nvPicPr>
                  <pic:blipFill>
                    <a:blip r:embed="rId26" cstate="print"/>
                    <a:srcRect/>
                    <a:stretch>
                      <a:fillRect/>
                    </a:stretch>
                  </pic:blipFill>
                  <pic:spPr bwMode="auto">
                    <a:xfrm>
                      <a:off x="0" y="0"/>
                      <a:ext cx="4549775" cy="1357630"/>
                    </a:xfrm>
                    <a:prstGeom prst="rect">
                      <a:avLst/>
                    </a:prstGeom>
                    <a:noFill/>
                    <a:ln w="9525">
                      <a:noFill/>
                      <a:miter lim="800000"/>
                      <a:headEnd/>
                      <a:tailEnd/>
                    </a:ln>
                  </pic:spPr>
                </pic:pic>
              </a:graphicData>
            </a:graphic>
          </wp:inline>
        </w:drawing>
      </w:r>
    </w:p>
    <w:p w:rsidR="00666217" w:rsidRDefault="00666217" w:rsidP="00666217">
      <w:pPr>
        <w:pStyle w:val="Heading4"/>
      </w:pPr>
      <w:bookmarkStart w:id="72" w:name="_Toc241374312"/>
      <w:bookmarkStart w:id="73" w:name="_Toc272414656"/>
      <w:bookmarkStart w:id="74" w:name="_Toc290846281"/>
      <w:bookmarkStart w:id="75" w:name="_Toc298538522"/>
      <w:r>
        <w:t>Analyses performed across trials (pooled analyses and meta analyses)</w:t>
      </w:r>
      <w:bookmarkEnd w:id="72"/>
      <w:bookmarkEnd w:id="73"/>
      <w:bookmarkEnd w:id="74"/>
      <w:bookmarkEnd w:id="75"/>
    </w:p>
    <w:p w:rsidR="00952268" w:rsidRDefault="00952268" w:rsidP="00DC6976">
      <w:r>
        <w:t xml:space="preserve">Table 8 compares the baseline data </w:t>
      </w:r>
      <w:r w:rsidR="00A818C0">
        <w:t xml:space="preserve">of males and females </w:t>
      </w:r>
      <w:r>
        <w:t xml:space="preserve">and Table 9 </w:t>
      </w:r>
      <w:r w:rsidR="00A818C0">
        <w:t>the efficacy in women.</w:t>
      </w:r>
    </w:p>
    <w:p w:rsidR="00666217" w:rsidRDefault="00005BF3" w:rsidP="00DC6976">
      <w:pPr>
        <w:pStyle w:val="TableTitle"/>
      </w:pPr>
      <w:r>
        <w:br w:type="page"/>
      </w:r>
      <w:r w:rsidR="00666217">
        <w:lastRenderedPageBreak/>
        <w:t>Table 8:</w:t>
      </w:r>
      <w:r w:rsidR="00666217" w:rsidRPr="004C5C28">
        <w:t xml:space="preserve"> </w:t>
      </w:r>
      <w:r w:rsidR="00666217">
        <w:t>Comparison of male and</w:t>
      </w:r>
      <w:r w:rsidR="008356E0">
        <w:t xml:space="preserve"> pooled female data at baseline: </w:t>
      </w:r>
      <w:r w:rsidR="008356E0" w:rsidRPr="008356E0">
        <w:t xml:space="preserve">Baseline characterictics of men in </w:t>
      </w:r>
      <w:r w:rsidR="008356E0">
        <w:t xml:space="preserve">Study </w:t>
      </w:r>
      <w:r w:rsidR="008356E0" w:rsidRPr="008356E0">
        <w:t>CL3-032 (FAS) and women in SOTI/TROPOS  (FAS peripheral)</w:t>
      </w:r>
      <w:r w:rsidR="008356E0">
        <w:t>.</w:t>
      </w:r>
    </w:p>
    <w:p w:rsidR="00666217" w:rsidRDefault="00294DCE" w:rsidP="00666217">
      <w:pPr>
        <w:jc w:val="center"/>
      </w:pPr>
      <w:r>
        <w:rPr>
          <w:noProof/>
          <w:lang w:eastAsia="en-AU"/>
        </w:rPr>
        <w:drawing>
          <wp:inline distT="0" distB="0" distL="0" distR="0">
            <wp:extent cx="3792220" cy="2658745"/>
            <wp:effectExtent l="19050" t="0" r="0" b="0"/>
            <wp:docPr id="12" name="Picture 12" descr="Table 8: Comparison of male and pooled female data at baseline: Baseline characterictics of men in Study CL3-032 (FAS) and women in SOTI/TROPOS  (FAS periph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8: Comparison of male and pooled female data at baseline: Baseline characterictics of men in Study CL3-032 (FAS) and women in SOTI/TROPOS  (FAS peripheral)."/>
                    <pic:cNvPicPr>
                      <a:picLocks noChangeAspect="1" noChangeArrowheads="1"/>
                    </pic:cNvPicPr>
                  </pic:nvPicPr>
                  <pic:blipFill>
                    <a:blip r:embed="rId27" cstate="print"/>
                    <a:srcRect/>
                    <a:stretch>
                      <a:fillRect/>
                    </a:stretch>
                  </pic:blipFill>
                  <pic:spPr bwMode="auto">
                    <a:xfrm>
                      <a:off x="0" y="0"/>
                      <a:ext cx="3792220" cy="2658745"/>
                    </a:xfrm>
                    <a:prstGeom prst="rect">
                      <a:avLst/>
                    </a:prstGeom>
                    <a:noFill/>
                    <a:ln w="9525">
                      <a:noFill/>
                      <a:miter lim="800000"/>
                      <a:headEnd/>
                      <a:tailEnd/>
                    </a:ln>
                  </pic:spPr>
                </pic:pic>
              </a:graphicData>
            </a:graphic>
          </wp:inline>
        </w:drawing>
      </w:r>
    </w:p>
    <w:p w:rsidR="00211729" w:rsidRDefault="00211729" w:rsidP="00DC6976">
      <w:pPr>
        <w:pStyle w:val="TableTitle"/>
      </w:pPr>
      <w:r>
        <w:t>Table 9:</w:t>
      </w:r>
      <w:r w:rsidRPr="004C5C28">
        <w:t xml:space="preserve"> </w:t>
      </w:r>
      <w:r w:rsidR="000E14C7">
        <w:t>Efficacy in combined trial women.</w:t>
      </w:r>
    </w:p>
    <w:p w:rsidR="00211729" w:rsidRDefault="00294DCE" w:rsidP="000E14C7">
      <w:pPr>
        <w:autoSpaceDE w:val="0"/>
        <w:autoSpaceDN w:val="0"/>
        <w:adjustRightInd w:val="0"/>
        <w:jc w:val="center"/>
        <w:rPr>
          <w:rFonts w:cs="TimesNewRoman"/>
          <w:color w:val="000000"/>
          <w:lang w:eastAsia="en-AU"/>
        </w:rPr>
      </w:pPr>
      <w:r>
        <w:rPr>
          <w:rFonts w:cs="TimesNewRoman"/>
          <w:noProof/>
          <w:color w:val="000000"/>
          <w:lang w:eastAsia="en-AU"/>
        </w:rPr>
        <w:drawing>
          <wp:inline distT="0" distB="0" distL="0" distR="0">
            <wp:extent cx="4330700" cy="2574925"/>
            <wp:effectExtent l="19050" t="0" r="0" b="0"/>
            <wp:docPr id="13" name="Picture 13" descr="Table 9: Efficacy in combined trial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9: Efficacy in combined trial women."/>
                    <pic:cNvPicPr>
                      <a:picLocks noChangeAspect="1" noChangeArrowheads="1"/>
                    </pic:cNvPicPr>
                  </pic:nvPicPr>
                  <pic:blipFill>
                    <a:blip r:embed="rId28" cstate="print"/>
                    <a:srcRect/>
                    <a:stretch>
                      <a:fillRect/>
                    </a:stretch>
                  </pic:blipFill>
                  <pic:spPr bwMode="auto">
                    <a:xfrm>
                      <a:off x="0" y="0"/>
                      <a:ext cx="4330700" cy="2574925"/>
                    </a:xfrm>
                    <a:prstGeom prst="rect">
                      <a:avLst/>
                    </a:prstGeom>
                    <a:noFill/>
                    <a:ln w="9525">
                      <a:noFill/>
                      <a:miter lim="800000"/>
                      <a:headEnd/>
                      <a:tailEnd/>
                    </a:ln>
                  </pic:spPr>
                </pic:pic>
              </a:graphicData>
            </a:graphic>
          </wp:inline>
        </w:drawing>
      </w:r>
    </w:p>
    <w:p w:rsidR="00211729" w:rsidRPr="00485A4D" w:rsidRDefault="00952268" w:rsidP="00DC6976">
      <w:pPr>
        <w:rPr>
          <w:lang w:eastAsia="en-AU"/>
        </w:rPr>
      </w:pPr>
      <w:r>
        <w:rPr>
          <w:lang w:eastAsia="en-AU"/>
        </w:rPr>
        <w:t xml:space="preserve">Post </w:t>
      </w:r>
      <w:r w:rsidR="00211729" w:rsidRPr="00485A4D">
        <w:rPr>
          <w:lang w:eastAsia="en-AU"/>
        </w:rPr>
        <w:t xml:space="preserve">hoc analysis with data from SOTI and TROPOS (FAS population) showed there is a relationship between increase in measured BMD and reduction in the risk of new osteoporotic vertebral and hip </w:t>
      </w:r>
      <w:r w:rsidR="00A818C0">
        <w:rPr>
          <w:lang w:eastAsia="en-AU"/>
        </w:rPr>
        <w:t xml:space="preserve">fractures in strontium ranelate </w:t>
      </w:r>
      <w:r w:rsidR="00211729" w:rsidRPr="00485A4D">
        <w:rPr>
          <w:lang w:eastAsia="en-AU"/>
        </w:rPr>
        <w:t>treated patients</w:t>
      </w:r>
      <w:r w:rsidR="00211729" w:rsidRPr="00485A4D">
        <w:rPr>
          <w:color w:val="0000FF"/>
          <w:lang w:eastAsia="en-AU"/>
        </w:rPr>
        <w:t xml:space="preserve">. </w:t>
      </w:r>
      <w:r w:rsidR="00211729" w:rsidRPr="00485A4D">
        <w:rPr>
          <w:lang w:eastAsia="en-AU"/>
        </w:rPr>
        <w:t>After 3 years of strontium ranelate treatment, every 1% increase in femoral neck BMD was associated with a 3% (95% adjusted CI</w:t>
      </w:r>
      <w:r>
        <w:rPr>
          <w:lang w:eastAsia="en-AU"/>
        </w:rPr>
        <w:t xml:space="preserve"> = 1-5%</w:t>
      </w:r>
      <w:r w:rsidR="00211729" w:rsidRPr="00485A4D">
        <w:rPr>
          <w:lang w:eastAsia="en-AU"/>
        </w:rPr>
        <w:t>) reduction in risk of a new vertebral fracture.</w:t>
      </w:r>
    </w:p>
    <w:p w:rsidR="00211729" w:rsidRPr="00485A4D" w:rsidRDefault="00A818C0" w:rsidP="00DC6976">
      <w:pPr>
        <w:rPr>
          <w:lang w:eastAsia="en-AU"/>
        </w:rPr>
      </w:pPr>
      <w:r>
        <w:rPr>
          <w:lang w:eastAsia="en-AU"/>
        </w:rPr>
        <w:t xml:space="preserve">The 3 </w:t>
      </w:r>
      <w:r w:rsidR="00211729" w:rsidRPr="00485A4D">
        <w:rPr>
          <w:lang w:eastAsia="en-AU"/>
        </w:rPr>
        <w:t>year changes in femoral neck BMD explained 76% of the reduction in vertebral fractures observed during treatment. An increase in femoral neck BMD after 1 year was significantly associated with the reduction in incidence of new vertebral fractures observed after 3 years (p</w:t>
      </w:r>
      <w:r w:rsidR="00DC6976">
        <w:rPr>
          <w:lang w:eastAsia="en-AU"/>
        </w:rPr>
        <w:t>=</w:t>
      </w:r>
      <w:r w:rsidR="00211729" w:rsidRPr="00485A4D">
        <w:rPr>
          <w:lang w:eastAsia="en-AU"/>
        </w:rPr>
        <w:t>0.04)</w:t>
      </w:r>
    </w:p>
    <w:p w:rsidR="00211729" w:rsidRPr="00485A4D" w:rsidRDefault="00211729" w:rsidP="00DC6976">
      <w:pPr>
        <w:rPr>
          <w:lang w:eastAsia="en-AU"/>
        </w:rPr>
      </w:pPr>
      <w:r w:rsidRPr="00485A4D">
        <w:rPr>
          <w:lang w:eastAsia="en-AU"/>
        </w:rPr>
        <w:t>Regarding peripheral fractures, the relationship between change in femoral neck BMD and hip fractures was established</w:t>
      </w:r>
      <w:r w:rsidR="005D79B0">
        <w:rPr>
          <w:lang w:eastAsia="en-AU"/>
        </w:rPr>
        <w:t xml:space="preserve"> in patients considered most at risk of hip fracture, that is,</w:t>
      </w:r>
      <w:r w:rsidRPr="00485A4D">
        <w:rPr>
          <w:lang w:eastAsia="en-AU"/>
        </w:rPr>
        <w:t xml:space="preserve"> patients aged </w:t>
      </w:r>
      <w:r w:rsidR="00DC6976">
        <w:rPr>
          <w:rFonts w:eastAsia="SymbolMT" w:cs="SymbolMT"/>
          <w:lang w:eastAsia="en-AU"/>
        </w:rPr>
        <w:sym w:font="Symbol" w:char="F0B3"/>
      </w:r>
      <w:r w:rsidRPr="00485A4D">
        <w:rPr>
          <w:rFonts w:eastAsia="SymbolMT" w:cs="SymbolMT"/>
          <w:lang w:eastAsia="en-AU"/>
        </w:rPr>
        <w:t xml:space="preserve"> </w:t>
      </w:r>
      <w:r w:rsidRPr="00485A4D">
        <w:rPr>
          <w:lang w:eastAsia="en-AU"/>
        </w:rPr>
        <w:t xml:space="preserve">74 years with femoral neck BMD </w:t>
      </w:r>
      <w:r w:rsidR="00DC6976">
        <w:rPr>
          <w:rFonts w:eastAsia="SymbolMT" w:cs="SymbolMT"/>
          <w:lang w:eastAsia="en-AU"/>
        </w:rPr>
        <w:sym w:font="Symbol" w:char="F0A3"/>
      </w:r>
      <w:r w:rsidRPr="00485A4D">
        <w:rPr>
          <w:rFonts w:eastAsia="SymbolMT" w:cs="SymbolMT"/>
          <w:lang w:eastAsia="en-AU"/>
        </w:rPr>
        <w:t xml:space="preserve"> </w:t>
      </w:r>
      <w:r w:rsidRPr="00485A4D">
        <w:rPr>
          <w:lang w:eastAsia="en-AU"/>
        </w:rPr>
        <w:t>2.4 (NHANES normative value)</w:t>
      </w:r>
      <w:r w:rsidR="005D79B0">
        <w:rPr>
          <w:lang w:eastAsia="en-AU"/>
        </w:rPr>
        <w:t xml:space="preserve">. </w:t>
      </w:r>
      <w:r w:rsidRPr="00485A4D">
        <w:rPr>
          <w:lang w:eastAsia="en-AU"/>
        </w:rPr>
        <w:t>For every 1% increase in femoral neck BMD observed after 3 years of treatment, there was a 7% decrease in the risk of having a hip fracture (95%</w:t>
      </w:r>
      <w:r w:rsidR="005D79B0">
        <w:rPr>
          <w:lang w:eastAsia="en-AU"/>
        </w:rPr>
        <w:t xml:space="preserve"> </w:t>
      </w:r>
      <w:r w:rsidRPr="00485A4D">
        <w:rPr>
          <w:lang w:eastAsia="en-AU"/>
        </w:rPr>
        <w:t>CI</w:t>
      </w:r>
      <w:r w:rsidR="005D79B0">
        <w:rPr>
          <w:lang w:eastAsia="en-AU"/>
        </w:rPr>
        <w:t xml:space="preserve"> = 1-14%</w:t>
      </w:r>
      <w:r w:rsidRPr="00485A4D">
        <w:rPr>
          <w:lang w:eastAsia="en-AU"/>
        </w:rPr>
        <w:t>, p=0.04).</w:t>
      </w:r>
    </w:p>
    <w:p w:rsidR="00211729" w:rsidRPr="00485A4D" w:rsidRDefault="005D79B0" w:rsidP="00DC6976">
      <w:pPr>
        <w:rPr>
          <w:lang w:eastAsia="en-AU"/>
        </w:rPr>
      </w:pPr>
      <w:r>
        <w:rPr>
          <w:lang w:eastAsia="en-AU"/>
        </w:rPr>
        <w:lastRenderedPageBreak/>
        <w:t xml:space="preserve">During 3 </w:t>
      </w:r>
      <w:r w:rsidR="00211729" w:rsidRPr="00485A4D">
        <w:rPr>
          <w:lang w:eastAsia="en-AU"/>
        </w:rPr>
        <w:t>year strontium ranelate treatment, an increase in femoral neck BMD is associated with a proportional reduction in incidence of new vertebral or hip fractures.</w:t>
      </w:r>
    </w:p>
    <w:p w:rsidR="00211729" w:rsidRPr="003C0A48" w:rsidRDefault="00211729" w:rsidP="00211729">
      <w:pPr>
        <w:pStyle w:val="Heading4"/>
      </w:pPr>
      <w:bookmarkStart w:id="76" w:name="_Ref271126605"/>
      <w:bookmarkStart w:id="77" w:name="_Toc272414657"/>
      <w:bookmarkStart w:id="78" w:name="_Toc290846282"/>
      <w:bookmarkStart w:id="79" w:name="_Toc298538523"/>
      <w:r w:rsidRPr="003C0A48">
        <w:t>Evaluator’s conclusions on clinical efficacy</w:t>
      </w:r>
      <w:bookmarkEnd w:id="79"/>
      <w:r w:rsidRPr="003C0A48">
        <w:t xml:space="preserve"> </w:t>
      </w:r>
      <w:bookmarkEnd w:id="76"/>
      <w:bookmarkEnd w:id="77"/>
      <w:bookmarkEnd w:id="78"/>
    </w:p>
    <w:p w:rsidR="00211729" w:rsidRPr="001D31E8" w:rsidRDefault="00211729" w:rsidP="00DC6976">
      <w:pPr>
        <w:rPr>
          <w:lang w:eastAsia="en-AU"/>
        </w:rPr>
      </w:pPr>
      <w:r w:rsidRPr="001D31E8">
        <w:rPr>
          <w:lang w:eastAsia="en-AU"/>
        </w:rPr>
        <w:t>The primary efficacy criterion was the lumbar L2</w:t>
      </w:r>
      <w:r w:rsidR="00DC6976">
        <w:rPr>
          <w:lang w:eastAsia="en-AU"/>
        </w:rPr>
        <w:t>-</w:t>
      </w:r>
      <w:r w:rsidRPr="001D31E8">
        <w:rPr>
          <w:lang w:eastAsia="en-AU"/>
        </w:rPr>
        <w:t xml:space="preserve">L4 BMD expressed as the relative change </w:t>
      </w:r>
      <w:r w:rsidRPr="001D31E8">
        <w:rPr>
          <w:rFonts w:cs="TimesNewRomanPS-BoldMT"/>
          <w:bCs/>
          <w:lang w:eastAsia="en-AU"/>
        </w:rPr>
        <w:t>fr</w:t>
      </w:r>
      <w:r w:rsidR="00545A49">
        <w:rPr>
          <w:rFonts w:cs="TimesNewRomanPS-BoldMT"/>
          <w:bCs/>
          <w:lang w:eastAsia="en-AU"/>
        </w:rPr>
        <w:t xml:space="preserve">om baseline to last value </w:t>
      </w:r>
      <w:r w:rsidR="00B03D48">
        <w:rPr>
          <w:rFonts w:cs="TimesNewRomanPS-BoldMT"/>
          <w:bCs/>
          <w:lang w:eastAsia="en-AU"/>
        </w:rPr>
        <w:t xml:space="preserve">(End) </w:t>
      </w:r>
      <w:r w:rsidRPr="001D31E8">
        <w:rPr>
          <w:lang w:eastAsia="en-AU"/>
        </w:rPr>
        <w:t xml:space="preserve">in the FAS. The relative change from baseline to End in L2-L4 BMD was 7.1 </w:t>
      </w:r>
      <w:r w:rsidR="00DC6976">
        <w:rPr>
          <w:rFonts w:cs="Arial"/>
          <w:lang w:eastAsia="en-AU"/>
        </w:rPr>
        <w:sym w:font="Symbol" w:char="F0B1"/>
      </w:r>
      <w:r w:rsidRPr="001D31E8">
        <w:rPr>
          <w:rFonts w:cs="SymbolMT-Identity-H"/>
          <w:lang w:eastAsia="en-AU"/>
        </w:rPr>
        <w:t xml:space="preserve"> </w:t>
      </w:r>
      <w:r w:rsidR="008107D4">
        <w:rPr>
          <w:lang w:eastAsia="en-AU"/>
        </w:rPr>
        <w:t>6.0% with S</w:t>
      </w:r>
      <w:r w:rsidRPr="001D31E8">
        <w:rPr>
          <w:lang w:eastAsia="en-AU"/>
        </w:rPr>
        <w:t xml:space="preserve">12911 and 1.7 </w:t>
      </w:r>
      <w:r w:rsidR="00DC6976">
        <w:rPr>
          <w:rFonts w:cs="Arial"/>
          <w:lang w:eastAsia="en-AU"/>
        </w:rPr>
        <w:sym w:font="Symbol" w:char="F0B1"/>
      </w:r>
      <w:r w:rsidRPr="001D31E8">
        <w:rPr>
          <w:rFonts w:cs="SymbolMT-Identity-H"/>
          <w:lang w:eastAsia="en-AU"/>
        </w:rPr>
        <w:t xml:space="preserve"> </w:t>
      </w:r>
      <w:r w:rsidRPr="001D31E8">
        <w:rPr>
          <w:lang w:eastAsia="en-AU"/>
        </w:rPr>
        <w:t>4.4% with placebo, with a statistically</w:t>
      </w:r>
      <w:r>
        <w:rPr>
          <w:lang w:eastAsia="en-AU"/>
        </w:rPr>
        <w:t xml:space="preserve"> s</w:t>
      </w:r>
      <w:r w:rsidRPr="001D31E8">
        <w:rPr>
          <w:lang w:eastAsia="en-AU"/>
        </w:rPr>
        <w:t>ignifican</w:t>
      </w:r>
      <w:r w:rsidR="00BC4120">
        <w:rPr>
          <w:lang w:eastAsia="en-AU"/>
        </w:rPr>
        <w:t xml:space="preserve">t difference between groups: </w:t>
      </w:r>
      <w:r w:rsidR="00545A49">
        <w:rPr>
          <w:lang w:eastAsia="en-AU"/>
        </w:rPr>
        <w:t xml:space="preserve">E </w:t>
      </w:r>
      <w:r w:rsidR="00BC4120">
        <w:rPr>
          <w:lang w:eastAsia="en-AU"/>
        </w:rPr>
        <w:t>(</w:t>
      </w:r>
      <w:r w:rsidR="00545A49">
        <w:rPr>
          <w:lang w:eastAsia="en-AU"/>
        </w:rPr>
        <w:t>SE</w:t>
      </w:r>
      <w:r w:rsidR="00BC4120">
        <w:rPr>
          <w:lang w:eastAsia="en-AU"/>
        </w:rPr>
        <w:t>)</w:t>
      </w:r>
      <w:r w:rsidR="00545A49">
        <w:rPr>
          <w:lang w:eastAsia="en-AU"/>
        </w:rPr>
        <w:t xml:space="preserve"> = 5.3 </w:t>
      </w:r>
      <w:r w:rsidR="00BC4120">
        <w:rPr>
          <w:lang w:eastAsia="en-AU"/>
        </w:rPr>
        <w:t>(</w:t>
      </w:r>
      <w:r w:rsidRPr="001D31E8">
        <w:rPr>
          <w:lang w:eastAsia="en-AU"/>
        </w:rPr>
        <w:t>0.7</w:t>
      </w:r>
      <w:r w:rsidR="00BC4120">
        <w:rPr>
          <w:lang w:eastAsia="en-AU"/>
        </w:rPr>
        <w:t>)</w:t>
      </w:r>
      <w:r w:rsidR="00122B35">
        <w:rPr>
          <w:lang w:eastAsia="en-AU"/>
        </w:rPr>
        <w:t>,</w:t>
      </w:r>
      <w:r w:rsidR="00545A49">
        <w:rPr>
          <w:lang w:eastAsia="en-AU"/>
        </w:rPr>
        <w:t xml:space="preserve"> 95% CI = 3.9-6.8</w:t>
      </w:r>
      <w:r w:rsidR="00122B35">
        <w:rPr>
          <w:lang w:eastAsia="en-AU"/>
        </w:rPr>
        <w:t>,</w:t>
      </w:r>
      <w:r w:rsidR="003C6477">
        <w:rPr>
          <w:lang w:eastAsia="en-AU"/>
        </w:rPr>
        <w:t xml:space="preserve"> p &lt; 0.001</w:t>
      </w:r>
      <w:r w:rsidRPr="001D31E8">
        <w:rPr>
          <w:lang w:eastAsia="en-AU"/>
        </w:rPr>
        <w:t>. These results were consistent with</w:t>
      </w:r>
      <w:r w:rsidR="00545A49">
        <w:rPr>
          <w:lang w:eastAsia="en-AU"/>
        </w:rPr>
        <w:t xml:space="preserve"> those defined in the protocol (that is, </w:t>
      </w:r>
      <w:r w:rsidRPr="001D31E8">
        <w:rPr>
          <w:lang w:eastAsia="en-AU"/>
        </w:rPr>
        <w:t>the measured</w:t>
      </w:r>
      <w:r w:rsidR="00545A49">
        <w:rPr>
          <w:lang w:eastAsia="en-AU"/>
        </w:rPr>
        <w:t xml:space="preserve"> mean BMD in strontium ranelate </w:t>
      </w:r>
      <w:r w:rsidRPr="001D31E8">
        <w:rPr>
          <w:lang w:eastAsia="en-AU"/>
        </w:rPr>
        <w:t>treated patients should increase from baseline by 5% the first year at the lumbar spine).</w:t>
      </w:r>
    </w:p>
    <w:p w:rsidR="00211729" w:rsidRPr="001D31E8" w:rsidRDefault="00005BF3" w:rsidP="00DC6976">
      <w:pPr>
        <w:rPr>
          <w:lang w:eastAsia="en-AU"/>
        </w:rPr>
      </w:pPr>
      <w:r w:rsidRPr="00005BF3">
        <w:rPr>
          <w:rFonts w:cs="TimesNewRomanPS-BoldMT"/>
          <w:bCs/>
          <w:lang w:eastAsia="en-AU"/>
        </w:rPr>
        <w:t xml:space="preserve">From baseline to 12 months, the relative increase in the strontium ranelate group for lumbar L2-L4 BMD was 8.18 </w:t>
      </w:r>
      <w:r w:rsidR="00DC6976">
        <w:rPr>
          <w:rFonts w:cs="TimesNewRomanPS-BoldMT"/>
          <w:bCs/>
          <w:lang w:eastAsia="en-AU"/>
        </w:rPr>
        <w:sym w:font="Symbol" w:char="F0B1"/>
      </w:r>
      <w:r w:rsidRPr="00005BF3">
        <w:rPr>
          <w:rFonts w:cs="TimesNewRomanPS-BoldMT"/>
          <w:bCs/>
          <w:lang w:eastAsia="en-AU"/>
        </w:rPr>
        <w:t xml:space="preserve"> 5.92%. </w:t>
      </w:r>
      <w:r w:rsidR="00211729" w:rsidRPr="001D31E8">
        <w:rPr>
          <w:lang w:eastAsia="en-AU"/>
        </w:rPr>
        <w:t>During the same period, an increase of low magnitude was observed in the placebo group</w:t>
      </w:r>
      <w:r w:rsidR="00211729">
        <w:rPr>
          <w:lang w:eastAsia="en-AU"/>
        </w:rPr>
        <w:t xml:space="preserve"> (calcium and vitamin D are probably not inactive)</w:t>
      </w:r>
      <w:r w:rsidR="00211729" w:rsidRPr="001D31E8">
        <w:rPr>
          <w:lang w:eastAsia="en-AU"/>
        </w:rPr>
        <w:t xml:space="preserve">: 1.79 </w:t>
      </w:r>
      <w:r w:rsidR="00DC6976">
        <w:rPr>
          <w:rFonts w:cs="Arial"/>
          <w:lang w:eastAsia="en-AU"/>
        </w:rPr>
        <w:sym w:font="Symbol" w:char="F0B1"/>
      </w:r>
      <w:r w:rsidR="00211729" w:rsidRPr="001D31E8">
        <w:rPr>
          <w:rFonts w:cs="SymbolMT-Identity-H"/>
          <w:lang w:eastAsia="en-AU"/>
        </w:rPr>
        <w:t xml:space="preserve"> </w:t>
      </w:r>
      <w:r w:rsidR="00211729" w:rsidRPr="001D31E8">
        <w:rPr>
          <w:lang w:eastAsia="en-AU"/>
        </w:rPr>
        <w:t>4.55%. The difference between grou</w:t>
      </w:r>
      <w:r w:rsidR="000E14C7">
        <w:rPr>
          <w:lang w:eastAsia="en-AU"/>
        </w:rPr>
        <w:t>ps was significant</w:t>
      </w:r>
      <w:r w:rsidR="00211729" w:rsidRPr="001D31E8">
        <w:rPr>
          <w:lang w:eastAsia="en-AU"/>
        </w:rPr>
        <w:t>: E (SE) = 6.38</w:t>
      </w:r>
      <w:r w:rsidR="00BC4120">
        <w:rPr>
          <w:lang w:eastAsia="en-AU"/>
        </w:rPr>
        <w:t xml:space="preserve"> (0.81), 95% CI = 4.78-7.98</w:t>
      </w:r>
      <w:r w:rsidR="00211729" w:rsidRPr="001D31E8">
        <w:rPr>
          <w:lang w:eastAsia="en-AU"/>
        </w:rPr>
        <w:t>, p &lt; 0.001.</w:t>
      </w:r>
      <w:r w:rsidR="00BC4120">
        <w:rPr>
          <w:lang w:eastAsia="en-AU"/>
        </w:rPr>
        <w:t xml:space="preserve"> </w:t>
      </w:r>
      <w:r w:rsidR="00211729" w:rsidRPr="001D31E8">
        <w:rPr>
          <w:lang w:eastAsia="en-AU"/>
        </w:rPr>
        <w:t>These results were confirmed by the sensitivity analyses.</w:t>
      </w:r>
    </w:p>
    <w:p w:rsidR="00211729" w:rsidRPr="001D31E8" w:rsidRDefault="00005BF3" w:rsidP="00DC6976">
      <w:pPr>
        <w:rPr>
          <w:lang w:eastAsia="en-AU"/>
        </w:rPr>
      </w:pPr>
      <w:r w:rsidRPr="00005BF3">
        <w:rPr>
          <w:lang w:eastAsia="en-AU"/>
        </w:rPr>
        <w:t>The other BMD measurements</w:t>
      </w:r>
      <w:r>
        <w:rPr>
          <w:lang w:eastAsia="en-AU"/>
        </w:rPr>
        <w:t xml:space="preserve"> included femoral neck BMD and </w:t>
      </w:r>
      <w:r w:rsidRPr="00005BF3">
        <w:rPr>
          <w:lang w:eastAsia="en-AU"/>
        </w:rPr>
        <w:t>total hip BMD</w:t>
      </w:r>
      <w:r>
        <w:rPr>
          <w:lang w:eastAsia="en-AU"/>
        </w:rPr>
        <w:t>,</w:t>
      </w:r>
      <w:r w:rsidRPr="00005BF3">
        <w:rPr>
          <w:lang w:eastAsia="en-AU"/>
        </w:rPr>
        <w:t xml:space="preserve"> which were secondary efficacy parameters</w:t>
      </w:r>
      <w:r w:rsidR="0083440D">
        <w:rPr>
          <w:lang w:eastAsia="en-AU"/>
        </w:rPr>
        <w:t>. In the FAS, f</w:t>
      </w:r>
      <w:r w:rsidR="00211729" w:rsidRPr="001D31E8">
        <w:rPr>
          <w:lang w:eastAsia="en-AU"/>
        </w:rPr>
        <w:t xml:space="preserve">emoral neck BMD increased by 3.1 </w:t>
      </w:r>
      <w:r w:rsidR="00DC6976">
        <w:rPr>
          <w:rFonts w:cs="Arial"/>
          <w:lang w:eastAsia="en-AU"/>
        </w:rPr>
        <w:sym w:font="Symbol" w:char="F0B1"/>
      </w:r>
      <w:r w:rsidR="00211729" w:rsidRPr="001D31E8">
        <w:rPr>
          <w:rFonts w:cs="SymbolMT-Identity-H"/>
          <w:lang w:eastAsia="en-AU"/>
        </w:rPr>
        <w:t xml:space="preserve"> </w:t>
      </w:r>
      <w:r w:rsidR="003C6477">
        <w:rPr>
          <w:lang w:eastAsia="en-AU"/>
        </w:rPr>
        <w:t>4.6% in the</w:t>
      </w:r>
      <w:r w:rsidR="00211729" w:rsidRPr="001D31E8">
        <w:rPr>
          <w:lang w:eastAsia="en-AU"/>
        </w:rPr>
        <w:t xml:space="preserve"> </w:t>
      </w:r>
      <w:r w:rsidR="008107D4">
        <w:rPr>
          <w:lang w:eastAsia="en-AU"/>
        </w:rPr>
        <w:t>S1</w:t>
      </w:r>
      <w:r w:rsidR="00211729" w:rsidRPr="001D31E8">
        <w:rPr>
          <w:lang w:eastAsia="en-AU"/>
        </w:rPr>
        <w:t xml:space="preserve">2911 </w:t>
      </w:r>
      <w:r w:rsidR="003C6477">
        <w:rPr>
          <w:lang w:eastAsia="en-AU"/>
        </w:rPr>
        <w:t xml:space="preserve">group </w:t>
      </w:r>
      <w:r w:rsidR="00211729" w:rsidRPr="001D31E8">
        <w:rPr>
          <w:lang w:eastAsia="en-AU"/>
        </w:rPr>
        <w:t xml:space="preserve">and by 0.2 </w:t>
      </w:r>
      <w:r w:rsidR="00DC6976">
        <w:rPr>
          <w:rFonts w:cs="Arial"/>
          <w:lang w:eastAsia="en-AU"/>
        </w:rPr>
        <w:sym w:font="Symbol" w:char="F0B1"/>
      </w:r>
      <w:r w:rsidR="00211729" w:rsidRPr="001D31E8">
        <w:rPr>
          <w:rFonts w:cs="SymbolMT-Identity-H"/>
          <w:lang w:eastAsia="en-AU"/>
        </w:rPr>
        <w:t xml:space="preserve"> </w:t>
      </w:r>
      <w:r w:rsidR="00211729" w:rsidRPr="001D31E8">
        <w:rPr>
          <w:lang w:eastAsia="en-AU"/>
        </w:rPr>
        <w:t xml:space="preserve">4.1 % </w:t>
      </w:r>
      <w:r w:rsidR="003C6477">
        <w:rPr>
          <w:lang w:eastAsia="en-AU"/>
        </w:rPr>
        <w:t xml:space="preserve">in the </w:t>
      </w:r>
      <w:r w:rsidR="00211729" w:rsidRPr="001D31E8">
        <w:rPr>
          <w:lang w:eastAsia="en-AU"/>
        </w:rPr>
        <w:t>placebo</w:t>
      </w:r>
      <w:r w:rsidR="003C6477">
        <w:rPr>
          <w:lang w:eastAsia="en-AU"/>
        </w:rPr>
        <w:t xml:space="preserve"> group</w:t>
      </w:r>
      <w:r w:rsidR="00211729" w:rsidRPr="001D31E8">
        <w:rPr>
          <w:lang w:eastAsia="en-AU"/>
        </w:rPr>
        <w:t>. The estimate of the difference between groups was E (SE) = 2.9 (0.6)</w:t>
      </w:r>
      <w:r w:rsidR="00122B35">
        <w:rPr>
          <w:lang w:eastAsia="en-AU"/>
        </w:rPr>
        <w:t>,</w:t>
      </w:r>
      <w:r w:rsidR="00211729" w:rsidRPr="001D31E8">
        <w:rPr>
          <w:lang w:eastAsia="en-AU"/>
        </w:rPr>
        <w:t xml:space="preserve"> 95% CI =</w:t>
      </w:r>
      <w:r w:rsidR="00211729">
        <w:rPr>
          <w:lang w:eastAsia="en-AU"/>
        </w:rPr>
        <w:t xml:space="preserve"> </w:t>
      </w:r>
      <w:r w:rsidR="003C6477">
        <w:rPr>
          <w:lang w:eastAsia="en-AU"/>
        </w:rPr>
        <w:t>1.7-4.1, p &lt; 0.001</w:t>
      </w:r>
      <w:r w:rsidR="00211729" w:rsidRPr="001D31E8">
        <w:rPr>
          <w:lang w:eastAsia="en-AU"/>
        </w:rPr>
        <w:t>.</w:t>
      </w:r>
      <w:r w:rsidR="00211729" w:rsidRPr="001D31E8">
        <w:rPr>
          <w:rFonts w:cs="ComicSansMS-Identity-H"/>
          <w:lang w:eastAsia="en-AU"/>
        </w:rPr>
        <w:t xml:space="preserve"> </w:t>
      </w:r>
      <w:r w:rsidR="00211729" w:rsidRPr="001D31E8">
        <w:rPr>
          <w:lang w:eastAsia="en-AU"/>
        </w:rPr>
        <w:t xml:space="preserve">Total hip BMD increased by 2.4 </w:t>
      </w:r>
      <w:r w:rsidR="00DC6976">
        <w:rPr>
          <w:rFonts w:cs="Arial"/>
          <w:lang w:eastAsia="en-AU"/>
        </w:rPr>
        <w:sym w:font="Symbol" w:char="F0B1"/>
      </w:r>
      <w:r w:rsidR="00211729" w:rsidRPr="001D31E8">
        <w:rPr>
          <w:rFonts w:cs="SymbolMT-Identity-H"/>
          <w:lang w:eastAsia="en-AU"/>
        </w:rPr>
        <w:t xml:space="preserve"> </w:t>
      </w:r>
      <w:r w:rsidR="00211729" w:rsidRPr="001D31E8">
        <w:rPr>
          <w:lang w:eastAsia="en-AU"/>
        </w:rPr>
        <w:t xml:space="preserve">4.9% </w:t>
      </w:r>
      <w:r w:rsidR="003C6477">
        <w:rPr>
          <w:lang w:eastAsia="en-AU"/>
        </w:rPr>
        <w:t>in the</w:t>
      </w:r>
      <w:r w:rsidR="003C6477" w:rsidRPr="001D31E8">
        <w:rPr>
          <w:lang w:eastAsia="en-AU"/>
        </w:rPr>
        <w:t xml:space="preserve"> </w:t>
      </w:r>
      <w:r w:rsidR="003C6477">
        <w:rPr>
          <w:lang w:eastAsia="en-AU"/>
        </w:rPr>
        <w:t>S1</w:t>
      </w:r>
      <w:r w:rsidR="003C6477" w:rsidRPr="001D31E8">
        <w:rPr>
          <w:lang w:eastAsia="en-AU"/>
        </w:rPr>
        <w:t xml:space="preserve">2911 </w:t>
      </w:r>
      <w:r w:rsidR="003C6477">
        <w:rPr>
          <w:lang w:eastAsia="en-AU"/>
        </w:rPr>
        <w:t>group</w:t>
      </w:r>
      <w:r w:rsidR="00211729" w:rsidRPr="001D31E8">
        <w:rPr>
          <w:lang w:eastAsia="en-AU"/>
        </w:rPr>
        <w:t xml:space="preserve"> and by 0.5 </w:t>
      </w:r>
      <w:r w:rsidR="00DC6976">
        <w:rPr>
          <w:rFonts w:cs="Arial"/>
          <w:lang w:eastAsia="en-AU"/>
        </w:rPr>
        <w:sym w:font="Symbol" w:char="F0B1"/>
      </w:r>
      <w:r w:rsidR="00211729" w:rsidRPr="001D31E8">
        <w:rPr>
          <w:rFonts w:cs="SymbolMT-Identity-H"/>
          <w:lang w:eastAsia="en-AU"/>
        </w:rPr>
        <w:t xml:space="preserve"> </w:t>
      </w:r>
      <w:r w:rsidR="00211729" w:rsidRPr="001D31E8">
        <w:rPr>
          <w:lang w:eastAsia="en-AU"/>
        </w:rPr>
        <w:t xml:space="preserve">2.5 % </w:t>
      </w:r>
      <w:r w:rsidR="003C6477">
        <w:rPr>
          <w:lang w:eastAsia="en-AU"/>
        </w:rPr>
        <w:t xml:space="preserve">in the </w:t>
      </w:r>
      <w:r w:rsidR="003C6477" w:rsidRPr="001D31E8">
        <w:rPr>
          <w:lang w:eastAsia="en-AU"/>
        </w:rPr>
        <w:t>placebo</w:t>
      </w:r>
      <w:r w:rsidR="003C6477">
        <w:rPr>
          <w:lang w:eastAsia="en-AU"/>
        </w:rPr>
        <w:t xml:space="preserve"> group</w:t>
      </w:r>
      <w:r w:rsidR="00211729" w:rsidRPr="001D31E8">
        <w:rPr>
          <w:lang w:eastAsia="en-AU"/>
        </w:rPr>
        <w:t>. The estimate of the difference between groups was E (SE) = 2.0 (0.6)</w:t>
      </w:r>
      <w:r w:rsidR="00122B35">
        <w:rPr>
          <w:lang w:eastAsia="en-AU"/>
        </w:rPr>
        <w:t>, 95% CI = 0.8-3.1, p &lt; 0.001</w:t>
      </w:r>
      <w:r w:rsidR="00211729" w:rsidRPr="001D31E8">
        <w:rPr>
          <w:lang w:eastAsia="en-AU"/>
        </w:rPr>
        <w:t>. Results at 12 months on femoral neck BMD were also in accordance with the aim defined in the</w:t>
      </w:r>
      <w:r w:rsidR="00211729">
        <w:rPr>
          <w:lang w:eastAsia="en-AU"/>
        </w:rPr>
        <w:t xml:space="preserve"> </w:t>
      </w:r>
      <w:r w:rsidR="00211729" w:rsidRPr="001D31E8">
        <w:rPr>
          <w:lang w:eastAsia="en-AU"/>
        </w:rPr>
        <w:t>protocol.</w:t>
      </w:r>
    </w:p>
    <w:p w:rsidR="00211729" w:rsidRPr="001D31E8" w:rsidRDefault="00211729" w:rsidP="00DC6976">
      <w:pPr>
        <w:rPr>
          <w:lang w:eastAsia="en-AU"/>
        </w:rPr>
      </w:pPr>
      <w:r w:rsidRPr="001D31E8">
        <w:rPr>
          <w:lang w:eastAsia="en-AU"/>
        </w:rPr>
        <w:t>As shown in studies performed in women, a sig</w:t>
      </w:r>
      <w:r w:rsidR="00122B35">
        <w:rPr>
          <w:lang w:eastAsia="en-AU"/>
        </w:rPr>
        <w:t>nificant decrease in s</w:t>
      </w:r>
      <w:smartTag w:uri="urn:schemas-microsoft-com:office:smarttags" w:element="stockticker">
        <w:r w:rsidRPr="001D31E8">
          <w:rPr>
            <w:lang w:eastAsia="en-AU"/>
          </w:rPr>
          <w:t>CTX</w:t>
        </w:r>
      </w:smartTag>
      <w:r w:rsidRPr="001D31E8">
        <w:rPr>
          <w:lang w:eastAsia="en-AU"/>
        </w:rPr>
        <w:t xml:space="preserve"> was observed in the strontium ranelate group.</w:t>
      </w:r>
    </w:p>
    <w:p w:rsidR="00211729" w:rsidRPr="001D31E8" w:rsidRDefault="00122B35" w:rsidP="00DC6976">
      <w:pPr>
        <w:rPr>
          <w:lang w:eastAsia="en-AU"/>
        </w:rPr>
      </w:pPr>
      <w:r>
        <w:rPr>
          <w:lang w:eastAsia="en-AU"/>
        </w:rPr>
        <w:t>bALP</w:t>
      </w:r>
      <w:r w:rsidR="00211729" w:rsidRPr="001D31E8">
        <w:rPr>
          <w:lang w:eastAsia="en-AU"/>
        </w:rPr>
        <w:t xml:space="preserve"> w</w:t>
      </w:r>
      <w:r>
        <w:rPr>
          <w:lang w:eastAsia="en-AU"/>
        </w:rPr>
        <w:t>as</w:t>
      </w:r>
      <w:r w:rsidR="00211729" w:rsidRPr="001D31E8">
        <w:rPr>
          <w:lang w:eastAsia="en-AU"/>
        </w:rPr>
        <w:t xml:space="preserve"> maintained at a high level with strontium ranelate as compared to placebo</w:t>
      </w:r>
      <w:r w:rsidR="00023E26">
        <w:rPr>
          <w:lang w:eastAsia="en-AU"/>
        </w:rPr>
        <w:t>,</w:t>
      </w:r>
      <w:r w:rsidR="00211729" w:rsidRPr="001D31E8">
        <w:rPr>
          <w:lang w:eastAsia="en-AU"/>
        </w:rPr>
        <w:t xml:space="preserve"> but the difference did not reach the significant threshold. The effect on bone formation was lower in men than in postmenopausal women probably due to the lower sample size resulting in a higher variability.</w:t>
      </w:r>
    </w:p>
    <w:p w:rsidR="00211729" w:rsidRPr="001D31E8" w:rsidRDefault="00211729" w:rsidP="00DC6976">
      <w:pPr>
        <w:rPr>
          <w:lang w:eastAsia="en-AU"/>
        </w:rPr>
      </w:pPr>
      <w:r w:rsidRPr="001D31E8">
        <w:rPr>
          <w:lang w:eastAsia="en-AU"/>
        </w:rPr>
        <w:t>The sample size was not calculated to establish statistical significance for the bone markers;</w:t>
      </w:r>
      <w:r w:rsidR="00023E26">
        <w:rPr>
          <w:lang w:eastAsia="en-AU"/>
        </w:rPr>
        <w:t xml:space="preserve"> </w:t>
      </w:r>
      <w:r w:rsidRPr="001D31E8">
        <w:rPr>
          <w:lang w:eastAsia="en-AU"/>
        </w:rPr>
        <w:t>however, the results were consist</w:t>
      </w:r>
      <w:r w:rsidR="00023E26">
        <w:rPr>
          <w:lang w:eastAsia="en-AU"/>
        </w:rPr>
        <w:t xml:space="preserve">ent with those observed in post </w:t>
      </w:r>
      <w:r w:rsidRPr="001D31E8">
        <w:rPr>
          <w:lang w:eastAsia="en-AU"/>
        </w:rPr>
        <w:t>menopausal women, reaching</w:t>
      </w:r>
      <w:r w:rsidR="00122B35">
        <w:rPr>
          <w:lang w:eastAsia="en-AU"/>
        </w:rPr>
        <w:t xml:space="preserve"> statistical significance for s</w:t>
      </w:r>
      <w:smartTag w:uri="urn:schemas-microsoft-com:office:smarttags" w:element="stockticker">
        <w:r w:rsidRPr="001D31E8">
          <w:rPr>
            <w:lang w:eastAsia="en-AU"/>
          </w:rPr>
          <w:t>CTX</w:t>
        </w:r>
      </w:smartTag>
      <w:r w:rsidRPr="001D31E8">
        <w:rPr>
          <w:lang w:eastAsia="en-AU"/>
        </w:rPr>
        <w:t>.</w:t>
      </w:r>
    </w:p>
    <w:p w:rsidR="00211729" w:rsidRPr="001D31E8" w:rsidRDefault="0083440D" w:rsidP="00DC6976">
      <w:pPr>
        <w:rPr>
          <w:lang w:eastAsia="en-AU"/>
        </w:rPr>
      </w:pPr>
      <w:r>
        <w:rPr>
          <w:lang w:eastAsia="en-AU"/>
        </w:rPr>
        <w:t>The quality of life results (Qualiost questionnaire)</w:t>
      </w:r>
      <w:r w:rsidR="00211729" w:rsidRPr="001D31E8">
        <w:rPr>
          <w:lang w:eastAsia="en-AU"/>
        </w:rPr>
        <w:t xml:space="preserve"> indicate an improvement in patients treated with </w:t>
      </w:r>
      <w:r w:rsidR="008107D4">
        <w:rPr>
          <w:lang w:eastAsia="en-AU"/>
        </w:rPr>
        <w:t>S1</w:t>
      </w:r>
      <w:r w:rsidR="00211729" w:rsidRPr="001D31E8">
        <w:rPr>
          <w:lang w:eastAsia="en-AU"/>
        </w:rPr>
        <w:t>2911 as compared to placebo</w:t>
      </w:r>
      <w:r>
        <w:rPr>
          <w:lang w:eastAsia="en-AU"/>
        </w:rPr>
        <w:t xml:space="preserve"> </w:t>
      </w:r>
      <w:r w:rsidR="00211729" w:rsidRPr="001D31E8">
        <w:rPr>
          <w:lang w:eastAsia="en-AU"/>
        </w:rPr>
        <w:t>treated patients, in particular regarding the “pain interfering with patient sleep”, impr</w:t>
      </w:r>
      <w:r w:rsidR="00023E26">
        <w:rPr>
          <w:lang w:eastAsia="en-AU"/>
        </w:rPr>
        <w:t>oved in 16.2% of the patients in</w:t>
      </w:r>
      <w:r w:rsidR="00211729" w:rsidRPr="001D31E8">
        <w:rPr>
          <w:lang w:eastAsia="en-AU"/>
        </w:rPr>
        <w:t xml:space="preserve"> the </w:t>
      </w:r>
      <w:r w:rsidR="008107D4">
        <w:rPr>
          <w:lang w:eastAsia="en-AU"/>
        </w:rPr>
        <w:t>S1</w:t>
      </w:r>
      <w:r w:rsidR="00211729" w:rsidRPr="001D31E8">
        <w:rPr>
          <w:lang w:eastAsia="en-AU"/>
        </w:rPr>
        <w:t xml:space="preserve">2911 group </w:t>
      </w:r>
      <w:r w:rsidR="00211729" w:rsidRPr="0083440D">
        <w:rPr>
          <w:rFonts w:cs="TimesNewRomanPS-ItalicMT"/>
          <w:iCs/>
          <w:lang w:eastAsia="en-AU"/>
        </w:rPr>
        <w:t xml:space="preserve">versus </w:t>
      </w:r>
      <w:r w:rsidR="00211729" w:rsidRPr="001D31E8">
        <w:rPr>
          <w:lang w:eastAsia="en-AU"/>
        </w:rPr>
        <w:t xml:space="preserve">5.1% in the </w:t>
      </w:r>
      <w:r>
        <w:t xml:space="preserve">placebo group. However, </w:t>
      </w:r>
      <w:r w:rsidR="00211729" w:rsidRPr="00272C9E">
        <w:t>until fracture occurs, symptoms might not be exp</w:t>
      </w:r>
      <w:r>
        <w:t>ected with osteoporosis.</w:t>
      </w:r>
    </w:p>
    <w:p w:rsidR="00211729" w:rsidRPr="001D31E8" w:rsidRDefault="00211729" w:rsidP="00DC6976">
      <w:r w:rsidRPr="001D31E8">
        <w:rPr>
          <w:rFonts w:cs="TimesNewRomanPS-BoldMT"/>
          <w:bCs/>
          <w:lang w:eastAsia="en-AU"/>
        </w:rPr>
        <w:t xml:space="preserve">In male patients treated with </w:t>
      </w:r>
      <w:r w:rsidR="008107D4">
        <w:rPr>
          <w:rFonts w:cs="TimesNewRomanPS-BoldMT"/>
          <w:bCs/>
          <w:lang w:eastAsia="en-AU"/>
        </w:rPr>
        <w:t>S1</w:t>
      </w:r>
      <w:r w:rsidRPr="001D31E8">
        <w:rPr>
          <w:rFonts w:cs="TimesNewRomanPS-BoldMT"/>
          <w:bCs/>
          <w:lang w:eastAsia="en-AU"/>
        </w:rPr>
        <w:t xml:space="preserve">2911 and with mean blood strontium levels reaching comparable values as in treated women, a marked increase in the mean lumbar L2-L4 </w:t>
      </w:r>
      <w:r w:rsidR="003175B7">
        <w:rPr>
          <w:rFonts w:cs="TimesNewRomanPS-BoldMT"/>
          <w:bCs/>
          <w:lang w:eastAsia="en-AU"/>
        </w:rPr>
        <w:t xml:space="preserve"> BMD</w:t>
      </w:r>
      <w:r w:rsidRPr="001D31E8">
        <w:rPr>
          <w:rFonts w:cs="TimesNewRomanPS-BoldMT"/>
          <w:bCs/>
          <w:lang w:eastAsia="en-AU"/>
        </w:rPr>
        <w:t xml:space="preserve"> (main efficacy criterion) was observed as compared to placebo. The magnitude of the effect was consistent with expected results based on </w:t>
      </w:r>
      <w:r w:rsidR="0083440D">
        <w:rPr>
          <w:rFonts w:cs="TimesNewRomanPS-BoldMT"/>
          <w:bCs/>
          <w:lang w:eastAsia="en-AU"/>
        </w:rPr>
        <w:t xml:space="preserve">the large SOTI/TROPOS Phase 3 </w:t>
      </w:r>
      <w:r w:rsidRPr="001D31E8">
        <w:rPr>
          <w:rFonts w:cs="TimesNewRomanPS-BoldMT"/>
          <w:bCs/>
          <w:lang w:eastAsia="en-AU"/>
        </w:rPr>
        <w:t xml:space="preserve">studies, where a clear relationship between the increase in </w:t>
      </w:r>
      <w:r w:rsidR="003175B7">
        <w:rPr>
          <w:rFonts w:cs="TimesNewRomanPS-BoldMT"/>
          <w:bCs/>
          <w:lang w:eastAsia="en-AU"/>
        </w:rPr>
        <w:t>BMD</w:t>
      </w:r>
      <w:r w:rsidRPr="001D31E8">
        <w:rPr>
          <w:rFonts w:cs="TimesNewRomanPS-BoldMT"/>
          <w:bCs/>
          <w:lang w:eastAsia="en-AU"/>
        </w:rPr>
        <w:t xml:space="preserve"> and anti</w:t>
      </w:r>
      <w:r w:rsidR="0083440D">
        <w:rPr>
          <w:rFonts w:cs="TimesNewRomanPS-BoldMT"/>
          <w:bCs/>
          <w:lang w:eastAsia="en-AU"/>
        </w:rPr>
        <w:t xml:space="preserve"> </w:t>
      </w:r>
      <w:r w:rsidRPr="001D31E8">
        <w:rPr>
          <w:rFonts w:cs="TimesNewRomanPS-BoldMT"/>
          <w:bCs/>
          <w:lang w:eastAsia="en-AU"/>
        </w:rPr>
        <w:t>fracture efficacy was shown.</w:t>
      </w:r>
    </w:p>
    <w:p w:rsidR="008E7846" w:rsidRPr="002E238E" w:rsidRDefault="00005BF3" w:rsidP="008E7846">
      <w:pPr>
        <w:pStyle w:val="Heading3"/>
      </w:pPr>
      <w:r>
        <w:br w:type="page"/>
      </w:r>
      <w:bookmarkStart w:id="80" w:name="_Toc345343189"/>
      <w:r w:rsidR="008E7846" w:rsidRPr="002E238E">
        <w:lastRenderedPageBreak/>
        <w:t>Safety</w:t>
      </w:r>
      <w:bookmarkEnd w:id="68"/>
      <w:bookmarkEnd w:id="69"/>
      <w:bookmarkEnd w:id="70"/>
      <w:bookmarkEnd w:id="71"/>
      <w:bookmarkEnd w:id="80"/>
    </w:p>
    <w:p w:rsidR="00A644F4" w:rsidRPr="004B259C" w:rsidRDefault="00A644F4" w:rsidP="00A644F4">
      <w:pPr>
        <w:pStyle w:val="Heading4"/>
      </w:pPr>
      <w:bookmarkStart w:id="81" w:name="_Toc163441387"/>
      <w:bookmarkStart w:id="82" w:name="_Toc272414659"/>
      <w:bookmarkStart w:id="83" w:name="_Toc290846284"/>
      <w:bookmarkStart w:id="84" w:name="_Toc298538525"/>
      <w:r>
        <w:t>Studies providing evaluable safety data</w:t>
      </w:r>
      <w:bookmarkEnd w:id="82"/>
      <w:bookmarkEnd w:id="83"/>
      <w:bookmarkEnd w:id="84"/>
    </w:p>
    <w:p w:rsidR="00A644F4" w:rsidRPr="003B223F" w:rsidRDefault="00023E26" w:rsidP="00DC6976">
      <w:bookmarkStart w:id="85" w:name="_Ref268776745"/>
      <w:r>
        <w:t>The data in these studies</w:t>
      </w:r>
      <w:r w:rsidR="00A644F4" w:rsidRPr="003B223F">
        <w:t xml:space="preserve"> have already been considered in the submission for use of strontium ranelate in women. They are not strictly part of this application</w:t>
      </w:r>
      <w:r w:rsidR="00A644F4">
        <w:t xml:space="preserve"> and are not tabulated later in the report.</w:t>
      </w:r>
    </w:p>
    <w:p w:rsidR="00A644F4" w:rsidRPr="003B223F" w:rsidRDefault="00BE4A0A" w:rsidP="00DC6976">
      <w:r>
        <w:t>T</w:t>
      </w:r>
      <w:r w:rsidR="00A644F4" w:rsidRPr="003B223F">
        <w:t xml:space="preserve">he applicant chose to use the 5 year extension of </w:t>
      </w:r>
      <w:r w:rsidR="00AB1397">
        <w:t xml:space="preserve">Studies </w:t>
      </w:r>
      <w:r w:rsidR="00A644F4" w:rsidRPr="003B223F">
        <w:t>CL2-12911-009 and CL2-12911-010, both in postmenopausal women as the comparator for the pivotal trial supplied. There does not appear to be unique data in the safety profiles of the other trials.</w:t>
      </w:r>
    </w:p>
    <w:p w:rsidR="00A644F4" w:rsidRPr="003B223F" w:rsidRDefault="00591EDC" w:rsidP="00DC6976">
      <w:pPr>
        <w:pStyle w:val="ListBullet"/>
      </w:pPr>
      <w:r>
        <w:t>CL2</w:t>
      </w:r>
      <w:r w:rsidR="00A644F4" w:rsidRPr="003B223F">
        <w:t>-12911-003 (1992-96) 160 female subjects, dose ranging, "</w:t>
      </w:r>
      <w:r w:rsidR="00A644F4">
        <w:t>P</w:t>
      </w:r>
      <w:r w:rsidR="008413C8">
        <w:t>revos"</w:t>
      </w:r>
    </w:p>
    <w:p w:rsidR="00A644F4" w:rsidRPr="003B223F" w:rsidRDefault="00A644F4" w:rsidP="00DC6976">
      <w:pPr>
        <w:pStyle w:val="ListBullet"/>
      </w:pPr>
      <w:r w:rsidRPr="003B223F">
        <w:t>CL2-12911-004 (1992-95) 353 female subjects , dose effects and acceptability, "Stratos"</w:t>
      </w:r>
    </w:p>
    <w:p w:rsidR="00A644F4" w:rsidRPr="003B223F" w:rsidRDefault="00A644F4" w:rsidP="00DC6976">
      <w:pPr>
        <w:pStyle w:val="ListBullet"/>
      </w:pPr>
      <w:r w:rsidRPr="003B223F">
        <w:t>CL2-12911-005 (1994-97) 113 female subjects, chewable tablets</w:t>
      </w:r>
      <w:r w:rsidR="008413C8">
        <w:t>,</w:t>
      </w:r>
      <w:r w:rsidRPr="003B223F">
        <w:t xml:space="preserve"> "Prevos 005"</w:t>
      </w:r>
      <w:r w:rsidR="002C0294">
        <w:t xml:space="preserve"> </w:t>
      </w:r>
    </w:p>
    <w:p w:rsidR="00A644F4" w:rsidRPr="003B223F" w:rsidRDefault="00A644F4" w:rsidP="00DC6976">
      <w:pPr>
        <w:pStyle w:val="ListBullet"/>
      </w:pPr>
      <w:r w:rsidRPr="003B223F">
        <w:t>CL2-12911-009 (1996-2002) 1649 female subjects, incidence of vertebral fractures</w:t>
      </w:r>
      <w:r w:rsidR="008413C8">
        <w:t>,</w:t>
      </w:r>
      <w:r w:rsidRPr="003B223F">
        <w:t xml:space="preserve"> "SO</w:t>
      </w:r>
      <w:r w:rsidR="008413C8">
        <w:t xml:space="preserve">TI", extended to an open label 5 </w:t>
      </w:r>
      <w:r w:rsidRPr="003B223F">
        <w:t>year follow up</w:t>
      </w:r>
    </w:p>
    <w:p w:rsidR="00A644F4" w:rsidRPr="003B223F" w:rsidRDefault="00A644F4" w:rsidP="00DC6976">
      <w:pPr>
        <w:pStyle w:val="ListBullet"/>
      </w:pPr>
      <w:r w:rsidRPr="003B223F">
        <w:t>CL2-12911-010 (1996-2001) 5091 female subjects, incidence of peripheral fractures, "TROPO</w:t>
      </w:r>
      <w:r w:rsidR="00880246">
        <w:t xml:space="preserve">S", extended to an open label 5 </w:t>
      </w:r>
      <w:r w:rsidR="007D1470">
        <w:t>year follow up</w:t>
      </w:r>
    </w:p>
    <w:p w:rsidR="00A644F4" w:rsidRPr="003B223F" w:rsidRDefault="00A644F4" w:rsidP="00DC6976">
      <w:pPr>
        <w:pStyle w:val="ListBullet"/>
      </w:pPr>
      <w:r w:rsidRPr="003B223F">
        <w:t>CL2-12911-015 (2004-2006) 320 Chinese Asian subjects</w:t>
      </w:r>
      <w:r w:rsidR="008413C8">
        <w:t>,</w:t>
      </w:r>
      <w:r w:rsidRPr="003B223F">
        <w:t xml:space="preserve"> 12 months eff</w:t>
      </w:r>
      <w:r w:rsidR="008413C8">
        <w:t>icacy and safety in Asian women</w:t>
      </w:r>
    </w:p>
    <w:p w:rsidR="00A644F4" w:rsidRPr="003B223F" w:rsidRDefault="00A644F4" w:rsidP="00DC6976">
      <w:pPr>
        <w:pStyle w:val="ListBullet"/>
      </w:pPr>
      <w:r w:rsidRPr="003B223F">
        <w:t>CL2-12911-017 (20</w:t>
      </w:r>
      <w:r w:rsidR="008413C8">
        <w:t>04-2006) 155 Korean women,</w:t>
      </w:r>
      <w:r w:rsidRPr="003B223F">
        <w:t xml:space="preserve"> 12 months effi</w:t>
      </w:r>
      <w:r w:rsidR="008413C8">
        <w:t>cacy and safety in Korean women</w:t>
      </w:r>
    </w:p>
    <w:p w:rsidR="00A644F4" w:rsidRPr="006913C5" w:rsidRDefault="00A644F4" w:rsidP="00A644F4">
      <w:pPr>
        <w:pStyle w:val="Heading5"/>
      </w:pPr>
      <w:r w:rsidRPr="006913C5">
        <w:t>Pivotal efficacy studies</w:t>
      </w:r>
      <w:bookmarkEnd w:id="85"/>
    </w:p>
    <w:p w:rsidR="00A644F4" w:rsidRPr="006913C5" w:rsidRDefault="00A644F4" w:rsidP="00DC6976">
      <w:r w:rsidRPr="006913C5">
        <w:t xml:space="preserve">In the pivotal efficacy </w:t>
      </w:r>
      <w:r w:rsidR="007F560F">
        <w:t>Study</w:t>
      </w:r>
      <w:r w:rsidR="007F560F">
        <w:rPr>
          <w:rFonts w:cs="TimesNewRoman"/>
          <w:color w:val="000000"/>
          <w:lang w:eastAsia="en-AU"/>
        </w:rPr>
        <w:t xml:space="preserve"> CL3-032,</w:t>
      </w:r>
      <w:r w:rsidRPr="006913C5">
        <w:t xml:space="preserve"> </w:t>
      </w:r>
      <w:r w:rsidR="007F560F">
        <w:t>g</w:t>
      </w:r>
      <w:r w:rsidRPr="006913C5">
        <w:t xml:space="preserve">eneral </w:t>
      </w:r>
      <w:r w:rsidR="00720051">
        <w:t>AEs</w:t>
      </w:r>
      <w:r w:rsidRPr="006913C5">
        <w:t xml:space="preserve"> were assessed by interview at the regular review at recruitment</w:t>
      </w:r>
      <w:r w:rsidR="00EE23A3">
        <w:t xml:space="preserve"> (3 6, 9 and 12 months; </w:t>
      </w:r>
      <w:r w:rsidRPr="006913C5">
        <w:t>24 month data not reported).</w:t>
      </w:r>
    </w:p>
    <w:p w:rsidR="00A644F4" w:rsidRPr="006913C5" w:rsidRDefault="00A644F4" w:rsidP="00DC6976">
      <w:pPr>
        <w:pStyle w:val="ListBullet"/>
      </w:pPr>
      <w:r w:rsidRPr="006913C5">
        <w:t>Laboratory tests, including routine biochemistry and se</w:t>
      </w:r>
      <w:r w:rsidR="00122B35">
        <w:t>rum markers of bone turnover (s</w:t>
      </w:r>
      <w:smartTag w:uri="urn:schemas-microsoft-com:office:smarttags" w:element="stockticker">
        <w:r w:rsidRPr="006913C5">
          <w:t>CTX</w:t>
        </w:r>
      </w:smartTag>
      <w:r w:rsidR="00122B35">
        <w:t xml:space="preserve"> and b</w:t>
      </w:r>
      <w:r w:rsidRPr="006913C5">
        <w:t>ALP), were performed.</w:t>
      </w:r>
    </w:p>
    <w:p w:rsidR="00A644F4" w:rsidRPr="006913C5" w:rsidRDefault="00271FC5" w:rsidP="00DC6976">
      <w:pPr>
        <w:pStyle w:val="ListBullet"/>
      </w:pPr>
      <w:r>
        <w:t>ECG d</w:t>
      </w:r>
      <w:r w:rsidR="00A644F4" w:rsidRPr="006913C5">
        <w:t xml:space="preserve">ata were gathered in a subset of 19 Canadian patients at recruitment and </w:t>
      </w:r>
      <w:r w:rsidR="00005BF3">
        <w:t xml:space="preserve">at </w:t>
      </w:r>
      <w:r w:rsidR="00A644F4" w:rsidRPr="006913C5">
        <w:t>12 months.</w:t>
      </w:r>
    </w:p>
    <w:p w:rsidR="00A644F4" w:rsidRDefault="003C2530" w:rsidP="00A644F4">
      <w:pPr>
        <w:pStyle w:val="Heading5"/>
      </w:pPr>
      <w:r>
        <w:t xml:space="preserve">Dose response and non </w:t>
      </w:r>
      <w:r w:rsidR="00A644F4">
        <w:t>pivotal efficacy studies</w:t>
      </w:r>
    </w:p>
    <w:p w:rsidR="00A644F4" w:rsidRPr="00911280" w:rsidRDefault="003C2530" w:rsidP="00A644F4">
      <w:r>
        <w:t xml:space="preserve">The dose response and non </w:t>
      </w:r>
      <w:r w:rsidR="00A644F4" w:rsidRPr="00911280">
        <w:t>pivotal effica</w:t>
      </w:r>
      <w:r w:rsidR="00271FC5">
        <w:t>cy studies provided safety data</w:t>
      </w:r>
      <w:r w:rsidR="00A644F4" w:rsidRPr="00911280">
        <w:t xml:space="preserve"> as follows:</w:t>
      </w:r>
    </w:p>
    <w:p w:rsidR="00A644F4" w:rsidRPr="00911280" w:rsidRDefault="00A644F4" w:rsidP="00DC6976">
      <w:pPr>
        <w:pStyle w:val="ListBullet"/>
      </w:pPr>
      <w:r w:rsidRPr="00911280">
        <w:t>Study PKH-12911-012-FRA provided data on 18 men in a dose escalation single administration PK study.</w:t>
      </w:r>
    </w:p>
    <w:p w:rsidR="00A644F4" w:rsidRDefault="00A644F4" w:rsidP="00A644F4">
      <w:pPr>
        <w:pStyle w:val="Heading4"/>
      </w:pPr>
      <w:bookmarkStart w:id="86" w:name="_Ref269204367"/>
      <w:bookmarkStart w:id="87" w:name="_Ref271195835"/>
      <w:bookmarkStart w:id="88" w:name="_Ref271195841"/>
      <w:bookmarkStart w:id="89" w:name="_Toc272414660"/>
      <w:bookmarkStart w:id="90" w:name="_Toc290846285"/>
      <w:bookmarkStart w:id="91" w:name="_Toc298538526"/>
      <w:r>
        <w:t xml:space="preserve">Pivotal studies </w:t>
      </w:r>
      <w:r w:rsidRPr="00027276">
        <w:t xml:space="preserve">that assessed </w:t>
      </w:r>
      <w:r>
        <w:t>safety as a primary outcome</w:t>
      </w:r>
      <w:bookmarkEnd w:id="86"/>
      <w:bookmarkEnd w:id="87"/>
      <w:bookmarkEnd w:id="88"/>
      <w:bookmarkEnd w:id="89"/>
      <w:bookmarkEnd w:id="90"/>
      <w:bookmarkEnd w:id="91"/>
    </w:p>
    <w:p w:rsidR="00A644F4" w:rsidRDefault="00A644F4" w:rsidP="00A644F4">
      <w:r>
        <w:t>Not applicable.</w:t>
      </w:r>
    </w:p>
    <w:p w:rsidR="00A644F4" w:rsidRDefault="00A644F4" w:rsidP="00A644F4">
      <w:pPr>
        <w:pStyle w:val="Heading4"/>
      </w:pPr>
      <w:bookmarkStart w:id="92" w:name="_Toc241374318"/>
      <w:bookmarkStart w:id="93" w:name="_Ref271196630"/>
      <w:bookmarkStart w:id="94" w:name="_Toc272414662"/>
      <w:bookmarkStart w:id="95" w:name="_Toc290846300"/>
      <w:bookmarkStart w:id="96" w:name="_Toc298538527"/>
      <w:r>
        <w:t>Patient exposure</w:t>
      </w:r>
      <w:bookmarkEnd w:id="92"/>
      <w:bookmarkEnd w:id="93"/>
      <w:bookmarkEnd w:id="94"/>
      <w:bookmarkEnd w:id="95"/>
      <w:bookmarkEnd w:id="96"/>
    </w:p>
    <w:p w:rsidR="00271FC5" w:rsidRDefault="00271FC5" w:rsidP="00271FC5">
      <w:r>
        <w:t>Patient exposure to strontium ranelate in clinical studies is shown in Tables 10-11.</w:t>
      </w:r>
    </w:p>
    <w:p w:rsidR="00366B23" w:rsidRDefault="00005BF3" w:rsidP="00DC6976">
      <w:pPr>
        <w:pStyle w:val="TableTitle"/>
      </w:pPr>
      <w:r>
        <w:br w:type="page"/>
      </w:r>
      <w:r w:rsidR="00366B23">
        <w:lastRenderedPageBreak/>
        <w:t xml:space="preserve">Table </w:t>
      </w:r>
      <w:r w:rsidR="005B137D">
        <w:t>10</w:t>
      </w:r>
      <w:r w:rsidR="00366B23">
        <w:t>:</w:t>
      </w:r>
      <w:r w:rsidR="00366B23" w:rsidRPr="004C5C28">
        <w:t xml:space="preserve"> </w:t>
      </w:r>
      <w:r w:rsidR="005B137D">
        <w:t>Exposure to strontium ranelate and comparators in clinical studies in men</w:t>
      </w:r>
      <w:r w:rsidR="00366B23">
        <w:t>.</w:t>
      </w:r>
    </w:p>
    <w:p w:rsidR="00366B23" w:rsidRDefault="00294DCE" w:rsidP="007C5E46">
      <w:pPr>
        <w:autoSpaceDE w:val="0"/>
        <w:autoSpaceDN w:val="0"/>
        <w:adjustRightInd w:val="0"/>
        <w:jc w:val="center"/>
      </w:pPr>
      <w:r>
        <w:rPr>
          <w:noProof/>
          <w:lang w:eastAsia="en-AU"/>
        </w:rPr>
        <w:drawing>
          <wp:inline distT="0" distB="0" distL="0" distR="0">
            <wp:extent cx="5391150" cy="1116330"/>
            <wp:effectExtent l="19050" t="0" r="0" b="0"/>
            <wp:docPr id="14" name="Picture 14" descr="Table 10: Exposure to strontium ranelate and comparators in clinical studies i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0: Exposure to strontium ranelate and comparators in clinical studies in men."/>
                    <pic:cNvPicPr>
                      <a:picLocks noChangeAspect="1" noChangeArrowheads="1"/>
                    </pic:cNvPicPr>
                  </pic:nvPicPr>
                  <pic:blipFill>
                    <a:blip r:embed="rId29" cstate="print"/>
                    <a:srcRect/>
                    <a:stretch>
                      <a:fillRect/>
                    </a:stretch>
                  </pic:blipFill>
                  <pic:spPr bwMode="auto">
                    <a:xfrm>
                      <a:off x="0" y="0"/>
                      <a:ext cx="5391150" cy="1116330"/>
                    </a:xfrm>
                    <a:prstGeom prst="rect">
                      <a:avLst/>
                    </a:prstGeom>
                    <a:noFill/>
                    <a:ln w="9525">
                      <a:noFill/>
                      <a:miter lim="800000"/>
                      <a:headEnd/>
                      <a:tailEnd/>
                    </a:ln>
                  </pic:spPr>
                </pic:pic>
              </a:graphicData>
            </a:graphic>
          </wp:inline>
        </w:drawing>
      </w:r>
    </w:p>
    <w:p w:rsidR="00366B23" w:rsidRDefault="00366B23" w:rsidP="00DC6976">
      <w:pPr>
        <w:pStyle w:val="TableTitle"/>
      </w:pPr>
      <w:r>
        <w:t xml:space="preserve">Table </w:t>
      </w:r>
      <w:r w:rsidR="005B137D">
        <w:t>11</w:t>
      </w:r>
      <w:r>
        <w:t>:</w:t>
      </w:r>
      <w:r w:rsidRPr="004C5C28">
        <w:t xml:space="preserve"> </w:t>
      </w:r>
      <w:r w:rsidR="007C5E46">
        <w:t>Exposure to strontium ranelate in clinical studies according to dose and duration in men.</w:t>
      </w:r>
    </w:p>
    <w:p w:rsidR="00366B23" w:rsidRDefault="00294DCE" w:rsidP="007C5E46">
      <w:pPr>
        <w:autoSpaceDE w:val="0"/>
        <w:autoSpaceDN w:val="0"/>
        <w:adjustRightInd w:val="0"/>
        <w:jc w:val="center"/>
      </w:pPr>
      <w:r>
        <w:rPr>
          <w:noProof/>
          <w:lang w:eastAsia="en-AU"/>
        </w:rPr>
        <w:drawing>
          <wp:inline distT="0" distB="0" distL="0" distR="0">
            <wp:extent cx="3455670" cy="993140"/>
            <wp:effectExtent l="19050" t="0" r="0" b="0"/>
            <wp:docPr id="15" name="Picture 15" descr="Table 11: Exposure to strontium ranelate in clinical studies according to dose and duration i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1: Exposure to strontium ranelate in clinical studies according to dose and duration in men."/>
                    <pic:cNvPicPr>
                      <a:picLocks noChangeAspect="1" noChangeArrowheads="1"/>
                    </pic:cNvPicPr>
                  </pic:nvPicPr>
                  <pic:blipFill>
                    <a:blip r:embed="rId30" cstate="print"/>
                    <a:srcRect/>
                    <a:stretch>
                      <a:fillRect/>
                    </a:stretch>
                  </pic:blipFill>
                  <pic:spPr bwMode="auto">
                    <a:xfrm>
                      <a:off x="0" y="0"/>
                      <a:ext cx="3455670" cy="993140"/>
                    </a:xfrm>
                    <a:prstGeom prst="rect">
                      <a:avLst/>
                    </a:prstGeom>
                    <a:noFill/>
                    <a:ln w="9525">
                      <a:noFill/>
                      <a:miter lim="800000"/>
                      <a:headEnd/>
                      <a:tailEnd/>
                    </a:ln>
                  </pic:spPr>
                </pic:pic>
              </a:graphicData>
            </a:graphic>
          </wp:inline>
        </w:drawing>
      </w:r>
    </w:p>
    <w:p w:rsidR="00271FC5" w:rsidRDefault="00A644F4" w:rsidP="00DC6976">
      <w:r w:rsidRPr="00267396">
        <w:t>The index trials to assess safety were those submitted for the acceptance of this</w:t>
      </w:r>
      <w:r w:rsidR="00271FC5">
        <w:t xml:space="preserve"> drug in post menopausal women:</w:t>
      </w:r>
    </w:p>
    <w:p w:rsidR="00271FC5" w:rsidRDefault="00271FC5" w:rsidP="00DC6976">
      <w:pPr>
        <w:pStyle w:val="ListBullet"/>
      </w:pPr>
      <w:r>
        <w:t>“</w:t>
      </w:r>
      <w:r w:rsidR="00A644F4" w:rsidRPr="00267396">
        <w:t>SOTI</w:t>
      </w:r>
      <w:r>
        <w:t>”:</w:t>
      </w:r>
      <w:r w:rsidR="00A644F4" w:rsidRPr="00267396">
        <w:t xml:space="preserve"> 828 “active” patients (821 placebo)</w:t>
      </w:r>
      <w:r>
        <w:t>;</w:t>
      </w:r>
      <w:r w:rsidR="00A644F4" w:rsidRPr="00267396">
        <w:t xml:space="preserve"> and</w:t>
      </w:r>
    </w:p>
    <w:p w:rsidR="00A644F4" w:rsidRPr="00267396" w:rsidRDefault="00271FC5" w:rsidP="00DC6976">
      <w:pPr>
        <w:pStyle w:val="ListBullet"/>
      </w:pPr>
      <w:r>
        <w:t xml:space="preserve">“TROPOS”: </w:t>
      </w:r>
      <w:r w:rsidR="00A644F4" w:rsidRPr="00267396">
        <w:t>2554 “active” patients (2537 placebo)</w:t>
      </w:r>
      <w:r>
        <w:t>.</w:t>
      </w:r>
    </w:p>
    <w:p w:rsidR="0079027A" w:rsidRDefault="0079027A" w:rsidP="0079027A">
      <w:pPr>
        <w:pStyle w:val="Heading4"/>
      </w:pPr>
      <w:bookmarkStart w:id="97" w:name="_Toc241374319"/>
      <w:bookmarkStart w:id="98" w:name="_Ref271044764"/>
      <w:bookmarkStart w:id="99" w:name="_Toc272414663"/>
      <w:bookmarkStart w:id="100" w:name="_Toc290846301"/>
      <w:bookmarkStart w:id="101" w:name="_Toc298538528"/>
      <w:r>
        <w:t>Adverse events</w:t>
      </w:r>
      <w:bookmarkEnd w:id="97"/>
      <w:bookmarkEnd w:id="98"/>
      <w:bookmarkEnd w:id="99"/>
      <w:bookmarkEnd w:id="100"/>
      <w:bookmarkEnd w:id="101"/>
    </w:p>
    <w:p w:rsidR="00271FC5" w:rsidRDefault="00271FC5" w:rsidP="00DC6976">
      <w:r>
        <w:t xml:space="preserve">AEs </w:t>
      </w:r>
      <w:r w:rsidR="00116FD1">
        <w:t>are shown in Tables 12-14.</w:t>
      </w:r>
    </w:p>
    <w:p w:rsidR="0079027A" w:rsidRDefault="0079027A" w:rsidP="00DC6976">
      <w:pPr>
        <w:pStyle w:val="TableTitle"/>
      </w:pPr>
      <w:r>
        <w:t>Table 12:</w:t>
      </w:r>
      <w:r w:rsidRPr="004C5C28">
        <w:t xml:space="preserve"> </w:t>
      </w:r>
      <w:r w:rsidR="00720051">
        <w:t>AE</w:t>
      </w:r>
      <w:r w:rsidRPr="0079027A">
        <w:t>s male</w:t>
      </w:r>
      <w:r w:rsidR="00005BF3">
        <w:t xml:space="preserve">: </w:t>
      </w:r>
      <w:r w:rsidR="00005BF3" w:rsidRPr="00005BF3">
        <w:t xml:space="preserve">Overall summary of </w:t>
      </w:r>
      <w:r w:rsidR="00005BF3">
        <w:t>AEs</w:t>
      </w:r>
      <w:r w:rsidR="00005BF3" w:rsidRPr="00005BF3">
        <w:t xml:space="preserve"> over one year – Safety set (CL3-032)</w:t>
      </w:r>
      <w:r w:rsidR="00005BF3">
        <w:t>.</w:t>
      </w:r>
    </w:p>
    <w:p w:rsidR="008E7846" w:rsidRDefault="00294DCE" w:rsidP="00FA1874">
      <w:pPr>
        <w:jc w:val="center"/>
      </w:pPr>
      <w:r>
        <w:rPr>
          <w:noProof/>
          <w:lang w:eastAsia="en-AU"/>
        </w:rPr>
        <w:drawing>
          <wp:inline distT="0" distB="0" distL="0" distR="0">
            <wp:extent cx="4594225" cy="1525905"/>
            <wp:effectExtent l="19050" t="0" r="0" b="0"/>
            <wp:docPr id="16" name="Picture 16" descr="Table 12: AEs male: Overall summary of AEs over one year – Safety set (CL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2: AEs male: Overall summary of AEs over one year – Safety set (CL3-032)."/>
                    <pic:cNvPicPr>
                      <a:picLocks noChangeAspect="1" noChangeArrowheads="1"/>
                    </pic:cNvPicPr>
                  </pic:nvPicPr>
                  <pic:blipFill>
                    <a:blip r:embed="rId31" cstate="print"/>
                    <a:srcRect/>
                    <a:stretch>
                      <a:fillRect/>
                    </a:stretch>
                  </pic:blipFill>
                  <pic:spPr bwMode="auto">
                    <a:xfrm>
                      <a:off x="0" y="0"/>
                      <a:ext cx="4594225" cy="1525905"/>
                    </a:xfrm>
                    <a:prstGeom prst="rect">
                      <a:avLst/>
                    </a:prstGeom>
                    <a:noFill/>
                    <a:ln w="9525">
                      <a:noFill/>
                      <a:miter lim="800000"/>
                      <a:headEnd/>
                      <a:tailEnd/>
                    </a:ln>
                  </pic:spPr>
                </pic:pic>
              </a:graphicData>
            </a:graphic>
          </wp:inline>
        </w:drawing>
      </w:r>
    </w:p>
    <w:p w:rsidR="009777BA" w:rsidRDefault="00005BF3" w:rsidP="00DC6976">
      <w:pPr>
        <w:pStyle w:val="TableTitle"/>
      </w:pPr>
      <w:r>
        <w:br w:type="page"/>
      </w:r>
      <w:r w:rsidR="009777BA">
        <w:lastRenderedPageBreak/>
        <w:t>Table 13:</w:t>
      </w:r>
      <w:r w:rsidR="009777BA" w:rsidRPr="004C5C28">
        <w:t xml:space="preserve"> </w:t>
      </w:r>
      <w:r w:rsidR="009777BA">
        <w:t xml:space="preserve">Treatment related </w:t>
      </w:r>
      <w:r w:rsidR="00720051">
        <w:t>AEs</w:t>
      </w:r>
      <w:r w:rsidR="009777BA">
        <w:t xml:space="preserve">: analysis by </w:t>
      </w:r>
      <w:r w:rsidR="008F3E28">
        <w:t>SOC</w:t>
      </w:r>
      <w:r w:rsidR="009777BA">
        <w:t xml:space="preserve"> in safety set.</w:t>
      </w:r>
    </w:p>
    <w:p w:rsidR="00F87C28" w:rsidRDefault="00294DCE" w:rsidP="008B6467">
      <w:pPr>
        <w:jc w:val="center"/>
      </w:pPr>
      <w:r>
        <w:rPr>
          <w:noProof/>
          <w:lang w:eastAsia="en-AU"/>
        </w:rPr>
        <w:drawing>
          <wp:inline distT="0" distB="0" distL="0" distR="0">
            <wp:extent cx="4128770" cy="3231515"/>
            <wp:effectExtent l="19050" t="0" r="5080" b="0"/>
            <wp:docPr id="17" name="Picture 17" descr="Table 13: Treatment related AEs: analysis by SOC in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3: Treatment related AEs: analysis by SOC in safety set."/>
                    <pic:cNvPicPr>
                      <a:picLocks noChangeAspect="1" noChangeArrowheads="1"/>
                    </pic:cNvPicPr>
                  </pic:nvPicPr>
                  <pic:blipFill>
                    <a:blip r:embed="rId32" cstate="print"/>
                    <a:srcRect/>
                    <a:stretch>
                      <a:fillRect/>
                    </a:stretch>
                  </pic:blipFill>
                  <pic:spPr bwMode="auto">
                    <a:xfrm>
                      <a:off x="0" y="0"/>
                      <a:ext cx="4128770" cy="3231515"/>
                    </a:xfrm>
                    <a:prstGeom prst="rect">
                      <a:avLst/>
                    </a:prstGeom>
                    <a:noFill/>
                    <a:ln w="9525">
                      <a:noFill/>
                      <a:miter lim="800000"/>
                      <a:headEnd/>
                      <a:tailEnd/>
                    </a:ln>
                  </pic:spPr>
                </pic:pic>
              </a:graphicData>
            </a:graphic>
          </wp:inline>
        </w:drawing>
      </w:r>
    </w:p>
    <w:p w:rsidR="005C77A4" w:rsidRDefault="005C77A4" w:rsidP="00DC6976">
      <w:pPr>
        <w:pStyle w:val="TableTitle"/>
      </w:pPr>
      <w:r>
        <w:t>Table 14:</w:t>
      </w:r>
      <w:r w:rsidRPr="004C5C28">
        <w:t xml:space="preserve"> </w:t>
      </w:r>
      <w:r w:rsidR="00720051">
        <w:t>AE</w:t>
      </w:r>
      <w:r w:rsidR="00AB6DBE">
        <w:t>s</w:t>
      </w:r>
      <w:r w:rsidR="00CF410F">
        <w:t xml:space="preserve"> associated with the use of strontium ranelate in Phase 3 studies over an eight year period (frequencies versus placebo)</w:t>
      </w:r>
      <w:r>
        <w:t>.</w:t>
      </w:r>
    </w:p>
    <w:p w:rsidR="008B6467" w:rsidRDefault="00294DCE" w:rsidP="00B4220B">
      <w:pPr>
        <w:jc w:val="center"/>
      </w:pPr>
      <w:r>
        <w:rPr>
          <w:noProof/>
          <w:lang w:eastAsia="en-AU"/>
        </w:rPr>
        <w:drawing>
          <wp:inline distT="0" distB="0" distL="0" distR="0">
            <wp:extent cx="4352925" cy="1144270"/>
            <wp:effectExtent l="19050" t="0" r="9525" b="0"/>
            <wp:docPr id="18" name="Picture 18" descr="Table 14: AEs associated with the use of strontium ranelate in Phase 3 studies over an eight year period (frequencies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4: AEs associated with the use of strontium ranelate in Phase 3 studies over an eight year period (frequencies versus placebo)."/>
                    <pic:cNvPicPr>
                      <a:picLocks noChangeAspect="1" noChangeArrowheads="1"/>
                    </pic:cNvPicPr>
                  </pic:nvPicPr>
                  <pic:blipFill>
                    <a:blip r:embed="rId33" cstate="print"/>
                    <a:srcRect/>
                    <a:stretch>
                      <a:fillRect/>
                    </a:stretch>
                  </pic:blipFill>
                  <pic:spPr bwMode="auto">
                    <a:xfrm>
                      <a:off x="0" y="0"/>
                      <a:ext cx="4352925" cy="1144270"/>
                    </a:xfrm>
                    <a:prstGeom prst="rect">
                      <a:avLst/>
                    </a:prstGeom>
                    <a:noFill/>
                    <a:ln w="9525">
                      <a:noFill/>
                      <a:miter lim="800000"/>
                      <a:headEnd/>
                      <a:tailEnd/>
                    </a:ln>
                  </pic:spPr>
                </pic:pic>
              </a:graphicData>
            </a:graphic>
          </wp:inline>
        </w:drawing>
      </w:r>
    </w:p>
    <w:p w:rsidR="00B4220B" w:rsidRPr="00213E77" w:rsidRDefault="00B4220B" w:rsidP="00B4220B">
      <w:pPr>
        <w:pStyle w:val="Heading5"/>
      </w:pPr>
      <w:bookmarkStart w:id="102" w:name="_Toc241374320"/>
      <w:bookmarkStart w:id="103" w:name="_Ref272333507"/>
      <w:bookmarkStart w:id="104" w:name="_Toc272414666"/>
      <w:bookmarkStart w:id="105" w:name="_Toc290846304"/>
      <w:bookmarkStart w:id="106" w:name="_Toc298538531"/>
      <w:r>
        <w:t xml:space="preserve">Deaths and other </w:t>
      </w:r>
      <w:bookmarkEnd w:id="102"/>
      <w:bookmarkEnd w:id="103"/>
      <w:bookmarkEnd w:id="104"/>
      <w:bookmarkEnd w:id="105"/>
      <w:bookmarkEnd w:id="106"/>
      <w:r w:rsidR="00720051">
        <w:t>SAEs</w:t>
      </w:r>
    </w:p>
    <w:p w:rsidR="005B4DB8" w:rsidRPr="00EC52DD" w:rsidRDefault="005B4DB8" w:rsidP="00DC6976">
      <w:r w:rsidRPr="00EC52DD">
        <w:t>Three patients died while they were receiving the study treatment: 2 patients (1.2%) in the strontium ranelate group (in both cases sudden death in patients with a history of advanced car</w:t>
      </w:r>
      <w:r w:rsidR="00116FD1">
        <w:t xml:space="preserve">diovascular disease), </w:t>
      </w:r>
      <w:r w:rsidRPr="00EC52DD">
        <w:t>and 1 patient (1.1%) in the placebo group (cerebral haemorrhage after a thrombolytic treatment for a myocardial infarction). None of these deaths were considered related to the study treatment by the investigators.</w:t>
      </w:r>
    </w:p>
    <w:p w:rsidR="005B4DB8" w:rsidRDefault="00234379" w:rsidP="00DC6976">
      <w:r>
        <w:t>Other emergent S</w:t>
      </w:r>
      <w:r w:rsidR="00720051">
        <w:t>AE</w:t>
      </w:r>
      <w:r w:rsidR="005B4DB8" w:rsidRPr="00EC52DD">
        <w:t>s</w:t>
      </w:r>
      <w:r w:rsidR="005B4DB8">
        <w:t>:</w:t>
      </w:r>
    </w:p>
    <w:p w:rsidR="005B4DB8" w:rsidRDefault="00116FD1" w:rsidP="00DC6976">
      <w:pPr>
        <w:pStyle w:val="ListBullet"/>
      </w:pPr>
      <w:r>
        <w:t xml:space="preserve">Angina pectoris: </w:t>
      </w:r>
      <w:r w:rsidR="005B4DB8" w:rsidRPr="00EC52DD">
        <w:t xml:space="preserve">2 in </w:t>
      </w:r>
      <w:r w:rsidRPr="00EC52DD">
        <w:t>strontium ranelate</w:t>
      </w:r>
      <w:r w:rsidR="005B4DB8" w:rsidRPr="00EC52DD">
        <w:t xml:space="preserve"> group, 1 </w:t>
      </w:r>
      <w:r>
        <w:t>in placebo;</w:t>
      </w:r>
    </w:p>
    <w:p w:rsidR="005B4DB8" w:rsidRDefault="00116FD1" w:rsidP="00DC6976">
      <w:pPr>
        <w:pStyle w:val="ListBullet"/>
      </w:pPr>
      <w:r>
        <w:t xml:space="preserve">Prostate cancer: </w:t>
      </w:r>
      <w:r w:rsidRPr="00EC52DD">
        <w:t xml:space="preserve">2 in strontium ranelate group, 1 </w:t>
      </w:r>
      <w:r>
        <w:t>in placebo;</w:t>
      </w:r>
      <w:r w:rsidR="005B4DB8" w:rsidRPr="00EC52DD">
        <w:t xml:space="preserve"> </w:t>
      </w:r>
    </w:p>
    <w:p w:rsidR="005B4DB8" w:rsidRDefault="005B4DB8" w:rsidP="00DC6976">
      <w:pPr>
        <w:pStyle w:val="ListBullet"/>
      </w:pPr>
      <w:r w:rsidRPr="00EC52DD">
        <w:t>I</w:t>
      </w:r>
      <w:r w:rsidR="00116FD1">
        <w:t xml:space="preserve">ron deficiency anaemia: </w:t>
      </w:r>
      <w:r w:rsidR="00116FD1" w:rsidRPr="00EC52DD">
        <w:t xml:space="preserve">2 in strontium ranelate group, </w:t>
      </w:r>
      <w:r w:rsidR="00005BF3">
        <w:t>0</w:t>
      </w:r>
      <w:r w:rsidR="00116FD1" w:rsidRPr="00EC52DD">
        <w:t xml:space="preserve"> </w:t>
      </w:r>
      <w:r w:rsidR="00116FD1">
        <w:t>in placebo; and</w:t>
      </w:r>
    </w:p>
    <w:p w:rsidR="005B4DB8" w:rsidRPr="00EC52DD" w:rsidRDefault="00116FD1" w:rsidP="00DC6976">
      <w:pPr>
        <w:pStyle w:val="ListBullet"/>
      </w:pPr>
      <w:r>
        <w:t xml:space="preserve">Deep vein thrombosis: </w:t>
      </w:r>
      <w:r w:rsidRPr="00EC52DD">
        <w:t>2 in strontium ranelate</w:t>
      </w:r>
      <w:r>
        <w:t xml:space="preserve"> group, 0</w:t>
      </w:r>
      <w:r w:rsidRPr="00EC52DD">
        <w:t xml:space="preserve"> </w:t>
      </w:r>
      <w:r>
        <w:t>in placebo</w:t>
      </w:r>
      <w:r w:rsidR="005B4DB8" w:rsidRPr="00EC52DD">
        <w:t>.</w:t>
      </w:r>
    </w:p>
    <w:p w:rsidR="00682BC0" w:rsidRPr="008F73B4" w:rsidRDefault="00682BC0" w:rsidP="00682BC0">
      <w:pPr>
        <w:pStyle w:val="Heading5"/>
      </w:pPr>
      <w:bookmarkStart w:id="107" w:name="_Toc241374325"/>
      <w:bookmarkStart w:id="108" w:name="_Ref272333477"/>
      <w:bookmarkStart w:id="109" w:name="_Toc272414667"/>
      <w:bookmarkStart w:id="110" w:name="_Toc290846305"/>
      <w:bookmarkStart w:id="111" w:name="_Toc298538532"/>
      <w:r>
        <w:t xml:space="preserve">Discontinuation due to </w:t>
      </w:r>
      <w:r w:rsidR="00720051">
        <w:t>AE</w:t>
      </w:r>
      <w:r>
        <w:t>s</w:t>
      </w:r>
      <w:bookmarkEnd w:id="107"/>
      <w:bookmarkEnd w:id="108"/>
      <w:bookmarkEnd w:id="109"/>
      <w:bookmarkEnd w:id="110"/>
      <w:bookmarkEnd w:id="111"/>
    </w:p>
    <w:p w:rsidR="00005BF3" w:rsidRPr="00911280" w:rsidRDefault="00005BF3" w:rsidP="00DC6976">
      <w:r w:rsidRPr="00005BF3">
        <w:t>24 of 42 treatment discontinuations in strontium ranelate group (9 of 15 in placebo) were due to AEs (as listed above). 14 treatment discontinuations in the strontium ranelate group were due to non medical reasons (6 in placebo) and 4 to protocol deviations (0 in placebo).</w:t>
      </w:r>
    </w:p>
    <w:p w:rsidR="00770005" w:rsidRDefault="00005BF3" w:rsidP="00770005">
      <w:pPr>
        <w:pStyle w:val="Heading4"/>
      </w:pPr>
      <w:bookmarkStart w:id="112" w:name="_Toc241374321"/>
      <w:bookmarkStart w:id="113" w:name="_Ref271044780"/>
      <w:bookmarkStart w:id="114" w:name="_Ref271196640"/>
      <w:bookmarkStart w:id="115" w:name="_Ref272333085"/>
      <w:bookmarkStart w:id="116" w:name="_Toc272414668"/>
      <w:bookmarkStart w:id="117" w:name="_Toc290846306"/>
      <w:bookmarkStart w:id="118" w:name="_Toc298538533"/>
      <w:r>
        <w:br w:type="page"/>
      </w:r>
      <w:r w:rsidR="00770005">
        <w:lastRenderedPageBreak/>
        <w:t>Laboratory tests</w:t>
      </w:r>
      <w:bookmarkEnd w:id="112"/>
      <w:bookmarkEnd w:id="113"/>
      <w:bookmarkEnd w:id="114"/>
      <w:bookmarkEnd w:id="115"/>
      <w:bookmarkEnd w:id="116"/>
      <w:bookmarkEnd w:id="117"/>
      <w:bookmarkEnd w:id="118"/>
    </w:p>
    <w:p w:rsidR="00770005" w:rsidRDefault="00770005" w:rsidP="00770005">
      <w:pPr>
        <w:pStyle w:val="Heading5"/>
      </w:pPr>
      <w:bookmarkStart w:id="119" w:name="_Toc272414669"/>
      <w:bookmarkStart w:id="120" w:name="_Toc290846307"/>
      <w:bookmarkStart w:id="121" w:name="_Toc298538534"/>
      <w:r>
        <w:t>Liver function</w:t>
      </w:r>
      <w:bookmarkEnd w:id="119"/>
      <w:bookmarkEnd w:id="120"/>
      <w:bookmarkEnd w:id="121"/>
    </w:p>
    <w:p w:rsidR="00F8716A" w:rsidRDefault="00005BF3" w:rsidP="00DC6976">
      <w:r w:rsidRPr="00005BF3">
        <w:t>ALP, transaminases, GGT</w:t>
      </w:r>
      <w:r w:rsidR="003D0E74">
        <w:t>,</w:t>
      </w:r>
      <w:r w:rsidRPr="00005BF3">
        <w:t xml:space="preserve"> and total bilirubin for patients in the strontium ranelate group had a potentially clinically significant abnormal (PCSA) value in the following instances</w:t>
      </w:r>
      <w:r w:rsidR="00F8716A">
        <w:t>:</w:t>
      </w:r>
    </w:p>
    <w:p w:rsidR="00F8716A" w:rsidRDefault="00770005" w:rsidP="00DC6976">
      <w:pPr>
        <w:pStyle w:val="ListBullet"/>
      </w:pPr>
      <w:r w:rsidRPr="00B55CF4">
        <w:t xml:space="preserve">elevated transaminase in 2 cases reported as </w:t>
      </w:r>
      <w:r w:rsidR="00720051">
        <w:t>AE</w:t>
      </w:r>
      <w:r w:rsidR="00F8716A">
        <w:t>s;</w:t>
      </w:r>
    </w:p>
    <w:p w:rsidR="00F8716A" w:rsidRDefault="00770005" w:rsidP="00DC6976">
      <w:pPr>
        <w:pStyle w:val="ListBullet"/>
      </w:pPr>
      <w:r w:rsidRPr="00B55CF4">
        <w:t>an isolated increase in total bilirubin i</w:t>
      </w:r>
      <w:r w:rsidR="00010A86">
        <w:t xml:space="preserve">n one patient who had an out of reference </w:t>
      </w:r>
      <w:r w:rsidRPr="00B55CF4">
        <w:t xml:space="preserve">range value for total bilirubin at baseline which increased to PCSA values at M6 and M12 (an </w:t>
      </w:r>
      <w:r w:rsidR="00720051">
        <w:t>AE</w:t>
      </w:r>
      <w:r w:rsidRPr="00B55CF4">
        <w:t xml:space="preserve"> was reported: blood bilirubin increased of mild intensity, not related to </w:t>
      </w:r>
      <w:r w:rsidR="00F8716A">
        <w:t xml:space="preserve">the study treatment, </w:t>
      </w:r>
      <w:r w:rsidR="0037799C">
        <w:t xml:space="preserve">and which the patient </w:t>
      </w:r>
      <w:r w:rsidR="00F8716A">
        <w:t>recovered</w:t>
      </w:r>
      <w:r w:rsidR="0037799C">
        <w:t xml:space="preserve"> from</w:t>
      </w:r>
      <w:r w:rsidR="00F8716A">
        <w:t xml:space="preserve">); </w:t>
      </w:r>
      <w:r w:rsidRPr="00B55CF4">
        <w:t>and</w:t>
      </w:r>
    </w:p>
    <w:p w:rsidR="00010A86" w:rsidRDefault="00770005" w:rsidP="00DC6976">
      <w:pPr>
        <w:pStyle w:val="ListBullet"/>
      </w:pPr>
      <w:r w:rsidRPr="00B55CF4">
        <w:t xml:space="preserve">increase in </w:t>
      </w:r>
      <w:r w:rsidR="00F8716A">
        <w:t>GGT</w:t>
      </w:r>
      <w:r w:rsidRPr="00B55CF4">
        <w:t xml:space="preserve"> in one patient who had an out</w:t>
      </w:r>
      <w:r w:rsidR="00010A86">
        <w:t xml:space="preserve"> </w:t>
      </w:r>
      <w:r w:rsidRPr="00B55CF4">
        <w:t>of</w:t>
      </w:r>
      <w:r w:rsidR="00010A86">
        <w:t xml:space="preserve"> </w:t>
      </w:r>
      <w:r w:rsidRPr="00B55CF4">
        <w:t>reference range value at baseline and M6, which i</w:t>
      </w:r>
      <w:r w:rsidR="00010A86">
        <w:t>ncreased to PSCA values at M12.</w:t>
      </w:r>
    </w:p>
    <w:p w:rsidR="00770005" w:rsidRPr="00B55CF4" w:rsidRDefault="00770005" w:rsidP="00DC6976">
      <w:r w:rsidRPr="00B55CF4">
        <w:t>None of these abnormalities were associated with clinical symptoms. No relevant changes over time of the mean values were observed for these parameters over 1 year in either group.</w:t>
      </w:r>
    </w:p>
    <w:p w:rsidR="001D5FE4" w:rsidRDefault="001D5FE4" w:rsidP="001D5FE4">
      <w:pPr>
        <w:pStyle w:val="Heading5"/>
      </w:pPr>
      <w:bookmarkStart w:id="122" w:name="_Toc272414670"/>
      <w:bookmarkStart w:id="123" w:name="_Toc290846308"/>
      <w:bookmarkStart w:id="124" w:name="_Toc298538536"/>
      <w:r>
        <w:t>Kidney function</w:t>
      </w:r>
      <w:bookmarkEnd w:id="122"/>
      <w:bookmarkEnd w:id="123"/>
      <w:bookmarkEnd w:id="124"/>
    </w:p>
    <w:p w:rsidR="001D5FE4" w:rsidRPr="00B55CF4" w:rsidRDefault="001D5FE4" w:rsidP="00DC6976">
      <w:r w:rsidRPr="00B55CF4">
        <w:rPr>
          <w:rFonts w:cs="TimesNewRoman"/>
        </w:rPr>
        <w:t>Mean creatinine serum levels slightly increased from baseline to last value under</w:t>
      </w:r>
      <w:r w:rsidRPr="00B55CF4">
        <w:t xml:space="preserve"> treatment in both groups over 1 year (5.2 </w:t>
      </w:r>
      <w:r w:rsidR="00DC6976">
        <w:sym w:font="Symbol" w:char="F0B1"/>
      </w:r>
      <w:r w:rsidRPr="00B55CF4">
        <w:t xml:space="preserve"> 9.6 </w:t>
      </w:r>
      <w:r w:rsidR="00DC6976">
        <w:rPr>
          <w:rFonts w:eastAsia="SymbolMT" w:cs="SymbolMT"/>
        </w:rPr>
        <w:t>µ</w:t>
      </w:r>
      <w:r w:rsidRPr="00B55CF4">
        <w:t xml:space="preserve">mol/L versus 1.5 </w:t>
      </w:r>
      <w:r w:rsidR="00DC6976">
        <w:sym w:font="Symbol" w:char="F0B1"/>
      </w:r>
      <w:r w:rsidRPr="00B55CF4">
        <w:t xml:space="preserve"> 13.9 </w:t>
      </w:r>
      <w:r w:rsidRPr="00B55CF4">
        <w:rPr>
          <w:rFonts w:eastAsia="SymbolMT" w:cs="SymbolMT"/>
        </w:rPr>
        <w:t>μ</w:t>
      </w:r>
      <w:r w:rsidRPr="00B55CF4">
        <w:t>mol/L). More patients in the strontium ranelate group (16 patients, 11.4%) than in the placebo group (4 patients, 5.5</w:t>
      </w:r>
      <w:r w:rsidR="00487F0E">
        <w:t xml:space="preserve">%) presented emergent out of </w:t>
      </w:r>
      <w:r w:rsidRPr="00B55CF4">
        <w:t xml:space="preserve">reference range values. Those increases were reported as </w:t>
      </w:r>
      <w:r w:rsidR="00720051">
        <w:t>AE</w:t>
      </w:r>
      <w:r w:rsidRPr="00B55CF4">
        <w:t>s in 2 patients Ho</w:t>
      </w:r>
      <w:r w:rsidR="00487F0E">
        <w:t xml:space="preserve">wever, no patient had treatment </w:t>
      </w:r>
      <w:r w:rsidRPr="00B55CF4">
        <w:t xml:space="preserve">emergent </w:t>
      </w:r>
      <w:r w:rsidR="00487F0E">
        <w:t>PCSA</w:t>
      </w:r>
      <w:r w:rsidRPr="00B55CF4">
        <w:t xml:space="preserve"> values (&gt;180</w:t>
      </w:r>
      <w:r w:rsidR="00DC6976">
        <w:rPr>
          <w:rFonts w:eastAsia="SymbolMT" w:cs="SymbolMT"/>
        </w:rPr>
        <w:t>µ</w:t>
      </w:r>
      <w:r w:rsidRPr="00B55CF4">
        <w:t xml:space="preserve">mol/L) and no </w:t>
      </w:r>
      <w:r w:rsidR="003D0E74">
        <w:t xml:space="preserve">relevant </w:t>
      </w:r>
      <w:r w:rsidRPr="00B55CF4">
        <w:t>changes in creatinine clearance (calculated with the Cockroft formu</w:t>
      </w:r>
      <w:r w:rsidR="00DC6976">
        <w:t>la) were observed in any group.</w:t>
      </w:r>
    </w:p>
    <w:p w:rsidR="001D5FE4" w:rsidRDefault="001D5FE4" w:rsidP="001D5FE4">
      <w:pPr>
        <w:pStyle w:val="Heading5"/>
      </w:pPr>
      <w:r>
        <w:t>Haematology</w:t>
      </w:r>
    </w:p>
    <w:p w:rsidR="005C77A4" w:rsidRDefault="00C859B2" w:rsidP="00DC6976">
      <w:r>
        <w:t>T</w:t>
      </w:r>
      <w:r w:rsidRPr="00EC52DD">
        <w:t>he number of patients with emergent low haemoglobin values was slightly higher in the strontium ranelate group (9.6%) than in the placebo group (6.2%). However, no relevant changes over time in the mean values or differences between groups were detected</w:t>
      </w:r>
      <w:r>
        <w:t>.</w:t>
      </w:r>
    </w:p>
    <w:p w:rsidR="00DA5016" w:rsidRPr="00EC52DD" w:rsidRDefault="00487F0E" w:rsidP="00DA5016">
      <w:pPr>
        <w:pStyle w:val="Heading5"/>
      </w:pPr>
      <w:bookmarkStart w:id="125" w:name="_Toc298538540"/>
      <w:r>
        <w:t>Creatinin k</w:t>
      </w:r>
      <w:r w:rsidR="00DA5016" w:rsidRPr="00EC52DD">
        <w:t>inase</w:t>
      </w:r>
      <w:bookmarkEnd w:id="125"/>
    </w:p>
    <w:p w:rsidR="00DA5016" w:rsidRPr="00EC52DD" w:rsidRDefault="0026758B" w:rsidP="00DA5016">
      <w:r>
        <w:t>There was n</w:t>
      </w:r>
      <w:r w:rsidR="00DA5016" w:rsidRPr="00EC52DD">
        <w:t>o difference in out of refer</w:t>
      </w:r>
      <w:r w:rsidR="00487F0E">
        <w:t>ence range for active (3.8%) versus</w:t>
      </w:r>
      <w:r w:rsidR="00DA5016" w:rsidRPr="00EC52DD">
        <w:t xml:space="preserve"> placebo</w:t>
      </w:r>
      <w:r>
        <w:t>.</w:t>
      </w:r>
    </w:p>
    <w:p w:rsidR="00DA5016" w:rsidRPr="00EC52DD" w:rsidRDefault="00DA5016" w:rsidP="00DA5016">
      <w:pPr>
        <w:pStyle w:val="Heading5"/>
      </w:pPr>
      <w:bookmarkStart w:id="126" w:name="_Toc298538541"/>
      <w:r w:rsidRPr="00EC52DD">
        <w:t>Calcium and phosphate</w:t>
      </w:r>
      <w:bookmarkEnd w:id="126"/>
    </w:p>
    <w:p w:rsidR="00DA5016" w:rsidRPr="00EC52DD" w:rsidRDefault="00DA5016" w:rsidP="00DA5016">
      <w:r>
        <w:t>S</w:t>
      </w:r>
      <w:r w:rsidRPr="00EC52DD">
        <w:t xml:space="preserve">light changes without clinical relevance were observed in phosphocalcic homeostasis parameters: a slight decrease in blood calcium </w:t>
      </w:r>
      <w:r w:rsidR="0026758B">
        <w:t>(</w:t>
      </w:r>
      <w:r w:rsidR="003D0E74">
        <w:t>-0.05</w:t>
      </w:r>
      <w:r w:rsidR="0026758B">
        <w:t xml:space="preserve"> </w:t>
      </w:r>
      <w:r w:rsidRPr="00EC52DD">
        <w:rPr>
          <w:rFonts w:eastAsia="SymbolMT" w:cs="SymbolMT"/>
        </w:rPr>
        <w:t xml:space="preserve">± </w:t>
      </w:r>
      <w:r w:rsidRPr="00EC52DD">
        <w:t>0.09 mmol/L</w:t>
      </w:r>
      <w:r w:rsidR="0026758B">
        <w:t>)</w:t>
      </w:r>
      <w:r w:rsidRPr="00EC52DD">
        <w:t xml:space="preserve"> and an increase in blood phosphorus </w:t>
      </w:r>
      <w:r w:rsidR="0026758B">
        <w:t>(</w:t>
      </w:r>
      <w:r w:rsidRPr="00EC52DD">
        <w:t xml:space="preserve">0.15 </w:t>
      </w:r>
      <w:r w:rsidRPr="00EC52DD">
        <w:rPr>
          <w:rFonts w:eastAsia="SymbolMT" w:cs="SymbolMT"/>
        </w:rPr>
        <w:t xml:space="preserve">± </w:t>
      </w:r>
      <w:r w:rsidRPr="00EC52DD">
        <w:t>0.16 mmol/L</w:t>
      </w:r>
      <w:r w:rsidR="0026758B">
        <w:t xml:space="preserve">). For blood phosphorus, </w:t>
      </w:r>
      <w:r w:rsidR="003D0E74">
        <w:t>15/157</w:t>
      </w:r>
      <w:r w:rsidRPr="00EC52DD">
        <w:t xml:space="preserve"> patients (</w:t>
      </w:r>
      <w:r w:rsidR="003D0E74">
        <w:t>9.6</w:t>
      </w:r>
      <w:r w:rsidRPr="00EC52DD">
        <w:t>%) in the strontium ranelate group v</w:t>
      </w:r>
      <w:r w:rsidR="00487F0E">
        <w:t>ersus</w:t>
      </w:r>
      <w:r w:rsidR="003D0E74">
        <w:t xml:space="preserve"> 1/81</w:t>
      </w:r>
      <w:r w:rsidRPr="00EC52DD">
        <w:t xml:space="preserve"> (1.1%) in the placebo group had potentially clinically significant abnormal values. None were associated with any clinical symptoms. These results are on line with t</w:t>
      </w:r>
      <w:r w:rsidR="00DC6976">
        <w:t>hose observed in the PMO women.</w:t>
      </w:r>
    </w:p>
    <w:p w:rsidR="00DA5016" w:rsidRPr="00EC52DD" w:rsidRDefault="00DA5016" w:rsidP="00DA5016">
      <w:pPr>
        <w:pStyle w:val="Heading5"/>
      </w:pPr>
      <w:bookmarkStart w:id="127" w:name="_Toc272414675"/>
      <w:bookmarkStart w:id="128" w:name="_Toc290846313"/>
      <w:bookmarkStart w:id="129" w:name="_Toc298538542"/>
      <w:r w:rsidRPr="00EC52DD">
        <w:t>Electrocardiograph</w:t>
      </w:r>
      <w:bookmarkEnd w:id="127"/>
      <w:bookmarkEnd w:id="128"/>
      <w:bookmarkEnd w:id="129"/>
    </w:p>
    <w:p w:rsidR="00DA5016" w:rsidRPr="00EC52DD" w:rsidRDefault="00487F0E" w:rsidP="00DA5016">
      <w:r>
        <w:t>There was no c</w:t>
      </w:r>
      <w:r w:rsidR="00DA5016" w:rsidRPr="00EC52DD">
        <w:t>hange in the ECG in a subset of 19 patients over 1 year</w:t>
      </w:r>
      <w:r w:rsidR="00DC6976">
        <w:t>.</w:t>
      </w:r>
    </w:p>
    <w:p w:rsidR="00DA5016" w:rsidRPr="00EC52DD" w:rsidRDefault="00DA5016" w:rsidP="00DA5016">
      <w:pPr>
        <w:pStyle w:val="Heading5"/>
      </w:pPr>
      <w:bookmarkStart w:id="130" w:name="_Toc272414676"/>
      <w:bookmarkStart w:id="131" w:name="_Toc290846314"/>
      <w:bookmarkStart w:id="132" w:name="_Toc298538543"/>
      <w:r w:rsidRPr="00EC52DD">
        <w:t>Vital signs</w:t>
      </w:r>
      <w:bookmarkEnd w:id="130"/>
      <w:bookmarkEnd w:id="131"/>
      <w:bookmarkEnd w:id="132"/>
    </w:p>
    <w:p w:rsidR="00DA5016" w:rsidRPr="00EC52DD" w:rsidRDefault="00DA5016" w:rsidP="00DA5016">
      <w:r w:rsidRPr="00DC6976">
        <w:t>No clinically relevant difference between groups were observed in the mean values of systolic blood pressure (</w:t>
      </w:r>
      <w:smartTag w:uri="urn:schemas-microsoft-com:office:smarttags" w:element="stockticker">
        <w:r w:rsidRPr="00DC6976">
          <w:t>SBP</w:t>
        </w:r>
      </w:smartTag>
      <w:r w:rsidRPr="00DC6976">
        <w:t>),</w:t>
      </w:r>
      <w:r w:rsidR="00434A87" w:rsidRPr="00DC6976">
        <w:t xml:space="preserve"> diastolic blood pressure (DBP), </w:t>
      </w:r>
      <w:r w:rsidRPr="00DC6976">
        <w:t>and heart rate (HR)over time</w:t>
      </w:r>
      <w:r w:rsidR="00434A87" w:rsidRPr="00DC6976">
        <w:t>,</w:t>
      </w:r>
      <w:r w:rsidRPr="00DC6976">
        <w:t xml:space="preserve"> as well as in the numbe</w:t>
      </w:r>
      <w:r w:rsidR="00273326" w:rsidRPr="00DC6976">
        <w:t xml:space="preserve">r of patients with emergent out of </w:t>
      </w:r>
      <w:r w:rsidRPr="00DC6976">
        <w:t>reference range values</w:t>
      </w:r>
      <w:r w:rsidRPr="00EC52DD">
        <w:rPr>
          <w:rFonts w:cs="TimesNewRoman"/>
        </w:rPr>
        <w:t>.</w:t>
      </w:r>
    </w:p>
    <w:p w:rsidR="00DA5016" w:rsidRDefault="003D0E74" w:rsidP="00DA5016">
      <w:pPr>
        <w:pStyle w:val="Heading4"/>
      </w:pPr>
      <w:bookmarkStart w:id="133" w:name="_Toc241374326"/>
      <w:bookmarkStart w:id="134" w:name="_Ref272333048"/>
      <w:bookmarkStart w:id="135" w:name="_Toc272414679"/>
      <w:bookmarkStart w:id="136" w:name="_Toc290846317"/>
      <w:bookmarkStart w:id="137" w:name="_Toc298538544"/>
      <w:r>
        <w:br w:type="page"/>
      </w:r>
      <w:r w:rsidR="00BC21F5">
        <w:lastRenderedPageBreak/>
        <w:t xml:space="preserve">Post </w:t>
      </w:r>
      <w:r w:rsidR="00DA5016">
        <w:t>marketing experience</w:t>
      </w:r>
      <w:bookmarkEnd w:id="133"/>
      <w:bookmarkEnd w:id="134"/>
      <w:bookmarkEnd w:id="135"/>
      <w:bookmarkEnd w:id="136"/>
      <w:bookmarkEnd w:id="137"/>
    </w:p>
    <w:p w:rsidR="003D0E74" w:rsidRDefault="003D0E74" w:rsidP="00DC6976">
      <w:r w:rsidRPr="003D0E74">
        <w:t>Further to the Urgent Safety Restriction (USR) procedure, a Direct Healthcare Professional Communication (DHPC) was sent in November 2007 to target doctors (defined in coordination with EMEA) to inform them on cases of hypersensitivity syndromes in post menopausal women treated with strontium ranelate (PROTELOS, OSSEOR). Subsequently, an updated SmPC and patient information leaflet was circulated worldwide in 2007, and in 2009, 419 doctors in France, Germany Italy and Spain were contacted by telephone and questionnaire to determine their awareness of this.</w:t>
      </w:r>
    </w:p>
    <w:p w:rsidR="00434A87" w:rsidRDefault="00434A87" w:rsidP="00DC6976">
      <w:r>
        <w:t>S</w:t>
      </w:r>
      <w:r w:rsidR="00DA5016" w:rsidRPr="00267396">
        <w:t xml:space="preserve">ome of these questions </w:t>
      </w:r>
      <w:r>
        <w:t>could be regarded as “push polling”, for example:</w:t>
      </w:r>
    </w:p>
    <w:p w:rsidR="00434A87" w:rsidRDefault="00DA5016" w:rsidP="00DC6976">
      <w:pPr>
        <w:pStyle w:val="ListBullet"/>
      </w:pPr>
      <w:r w:rsidRPr="00267396">
        <w:t>“</w:t>
      </w:r>
      <w:r w:rsidR="00434A87">
        <w:t>D</w:t>
      </w:r>
      <w:r w:rsidRPr="00267396">
        <w:t>o you regard</w:t>
      </w:r>
      <w:r w:rsidR="002C0294">
        <w:t xml:space="preserve"> </w:t>
      </w:r>
      <w:r w:rsidR="00434A87">
        <w:t xml:space="preserve">Protelos to be an innovation? </w:t>
      </w:r>
      <w:r w:rsidRPr="00267396">
        <w:t>Why?”</w:t>
      </w:r>
    </w:p>
    <w:p w:rsidR="00434A87" w:rsidRDefault="00DA5016" w:rsidP="00DC6976">
      <w:pPr>
        <w:pStyle w:val="ListBullet"/>
      </w:pPr>
      <w:r w:rsidRPr="00267396">
        <w:t>“Do you know that the hypersensitivity skin manifestations usually appear at the b</w:t>
      </w:r>
      <w:r w:rsidR="004A080F">
        <w:t>eginning of the treatment and are</w:t>
      </w:r>
      <w:r w:rsidRPr="00267396">
        <w:t xml:space="preserve"> resolved in most cases when the treatment is stopped and/or</w:t>
      </w:r>
      <w:r w:rsidR="00434A87">
        <w:t xml:space="preserve"> corticotherapy is prescribed?”</w:t>
      </w:r>
    </w:p>
    <w:p w:rsidR="00405A59" w:rsidRDefault="00405A59" w:rsidP="00F93B11">
      <w:r>
        <w:t>This was in direct response to post marketing surveillance identifying a rare occurrence of DRESS syndrome. An expert committee was set up and met on nine occasions (bi-annual meetings).</w:t>
      </w:r>
      <w:r>
        <w:rPr>
          <w:rStyle w:val="FootnoteReference"/>
        </w:rPr>
        <w:footnoteReference w:id="18"/>
      </w:r>
    </w:p>
    <w:p w:rsidR="00405A59" w:rsidRDefault="00405A59" w:rsidP="00F93B11">
      <w:r>
        <w:t>The recommendation in the PI is for patients to immediately and permanently stop treatment with strontium ranelate when a rash occurs or if treatment has been stopped because of hypersensitivity reactions.</w:t>
      </w:r>
    </w:p>
    <w:p w:rsidR="00CD5211" w:rsidRPr="00EC52DD" w:rsidRDefault="00CD5211" w:rsidP="00CD5211">
      <w:pPr>
        <w:pStyle w:val="Heading5"/>
      </w:pPr>
      <w:bookmarkStart w:id="138" w:name="_Toc272414682"/>
      <w:bookmarkStart w:id="139" w:name="_Toc290846320"/>
      <w:bookmarkStart w:id="140" w:name="_Toc298538546"/>
      <w:r w:rsidRPr="00EC52DD">
        <w:t>Haematological toxicity</w:t>
      </w:r>
      <w:bookmarkEnd w:id="138"/>
      <w:bookmarkEnd w:id="139"/>
      <w:bookmarkEnd w:id="140"/>
    </w:p>
    <w:p w:rsidR="00CD5211" w:rsidRPr="00EC52DD" w:rsidRDefault="007B02CF" w:rsidP="00F93B11">
      <w:r>
        <w:t>The f</w:t>
      </w:r>
      <w:r w:rsidR="00CD5211" w:rsidRPr="00EC52DD">
        <w:t xml:space="preserve">requency </w:t>
      </w:r>
      <w:r>
        <w:t>of h</w:t>
      </w:r>
      <w:r w:rsidRPr="007B02CF">
        <w:t>aematological toxicity</w:t>
      </w:r>
      <w:r>
        <w:t xml:space="preserve"> is unknown beyond b</w:t>
      </w:r>
      <w:r w:rsidR="00CD5211" w:rsidRPr="00EC52DD">
        <w:t>one marrow failure and eosinophilia in association with hypersensitivity skin reactions</w:t>
      </w:r>
      <w:r>
        <w:t>.</w:t>
      </w:r>
    </w:p>
    <w:p w:rsidR="00CD5211" w:rsidRDefault="00CD5211" w:rsidP="00CD5211">
      <w:pPr>
        <w:pStyle w:val="Heading5"/>
      </w:pPr>
      <w:bookmarkStart w:id="141" w:name="_Toc272414683"/>
      <w:bookmarkStart w:id="142" w:name="_Toc290846321"/>
      <w:bookmarkStart w:id="143" w:name="_Toc298538547"/>
      <w:r w:rsidRPr="00EC52DD">
        <w:t>Serious skin reactions</w:t>
      </w:r>
      <w:bookmarkEnd w:id="141"/>
      <w:bookmarkEnd w:id="142"/>
      <w:bookmarkEnd w:id="143"/>
    </w:p>
    <w:p w:rsidR="00CD5211" w:rsidRPr="00EC52DD" w:rsidRDefault="007B02CF" w:rsidP="00CD5211">
      <w:r>
        <w:t>Serious skin reactions are v</w:t>
      </w:r>
      <w:r w:rsidR="00CD5211" w:rsidRPr="00EC52DD">
        <w:t xml:space="preserve">ery rare: hypersensitivity including rash, pruritis, urticaria, angiooedema, </w:t>
      </w:r>
      <w:r w:rsidR="0046349B">
        <w:t>SJS</w:t>
      </w:r>
      <w:r w:rsidR="007A77BD">
        <w:t>, DRESS, TEN</w:t>
      </w:r>
      <w:r w:rsidR="0097168B">
        <w:t>,</w:t>
      </w:r>
      <w:r w:rsidR="00CD5211" w:rsidRPr="00EC52DD">
        <w:t xml:space="preserve"> </w:t>
      </w:r>
      <w:r>
        <w:t xml:space="preserve">and </w:t>
      </w:r>
      <w:r w:rsidR="00CD5211" w:rsidRPr="00EC52DD">
        <w:t xml:space="preserve">alopecia. Dermatitis and eczema have a relative risk </w:t>
      </w:r>
      <w:r>
        <w:t xml:space="preserve">of 1.1 </w:t>
      </w:r>
      <w:r w:rsidR="00CD5211" w:rsidRPr="00EC52DD">
        <w:t>in the treated group</w:t>
      </w:r>
      <w:r w:rsidR="00CD5211">
        <w:t>.</w:t>
      </w:r>
      <w:r w:rsidR="002C0294">
        <w:t xml:space="preserve"> </w:t>
      </w:r>
      <w:r w:rsidR="00CD5211">
        <w:t xml:space="preserve">Nevertheless, skin disorders are the most commonly reported </w:t>
      </w:r>
      <w:r w:rsidR="00720051">
        <w:t>AE</w:t>
      </w:r>
      <w:r w:rsidR="00CD5211">
        <w:t>s.</w:t>
      </w:r>
    </w:p>
    <w:p w:rsidR="00CD5211" w:rsidRPr="00EC52DD" w:rsidRDefault="00CD5211" w:rsidP="00CD5211">
      <w:pPr>
        <w:pStyle w:val="Heading5"/>
      </w:pPr>
      <w:bookmarkStart w:id="144" w:name="_Toc272414684"/>
      <w:bookmarkStart w:id="145" w:name="_Toc290846322"/>
      <w:bookmarkStart w:id="146" w:name="_Toc298538548"/>
      <w:r w:rsidRPr="00EC52DD">
        <w:t>Cardiovascular safety</w:t>
      </w:r>
      <w:bookmarkEnd w:id="144"/>
      <w:bookmarkEnd w:id="145"/>
      <w:bookmarkEnd w:id="146"/>
    </w:p>
    <w:p w:rsidR="00CD5211" w:rsidRPr="00EC52DD" w:rsidRDefault="00CD5211" w:rsidP="00CD5211">
      <w:r w:rsidRPr="00EC52DD">
        <w:t>An increased incidence of deep venous thromboembolism was noted</w:t>
      </w:r>
      <w:r w:rsidR="007B02CF">
        <w:t>,</w:t>
      </w:r>
      <w:r w:rsidRPr="00EC52DD">
        <w:t xml:space="preserve"> and the 5 year </w:t>
      </w:r>
      <w:r w:rsidR="007B02CF">
        <w:t>Phase 3</w:t>
      </w:r>
      <w:r w:rsidRPr="00EC52DD">
        <w:t xml:space="preserve"> data suggests a relative risk of 1.4 (95%</w:t>
      </w:r>
      <w:r w:rsidR="007B02CF">
        <w:t xml:space="preserve"> </w:t>
      </w:r>
      <w:r w:rsidRPr="00EC52DD">
        <w:t>CI</w:t>
      </w:r>
      <w:r w:rsidR="007B02CF">
        <w:t xml:space="preserve"> </w:t>
      </w:r>
      <w:r w:rsidRPr="00EC52DD">
        <w:t>=</w:t>
      </w:r>
      <w:r w:rsidR="007B02CF">
        <w:t xml:space="preserve"> 1.0-2.0) of treated versus</w:t>
      </w:r>
      <w:r w:rsidRPr="00EC52DD">
        <w:t xml:space="preserve"> placebo.</w:t>
      </w:r>
    </w:p>
    <w:p w:rsidR="00CD5211" w:rsidRPr="00EC52DD" w:rsidRDefault="00CD5211" w:rsidP="00CD5211">
      <w:pPr>
        <w:pStyle w:val="Heading5"/>
      </w:pPr>
      <w:bookmarkStart w:id="147" w:name="_Toc241374323"/>
      <w:bookmarkStart w:id="148" w:name="_Toc272414685"/>
      <w:bookmarkStart w:id="149" w:name="_Toc290846323"/>
      <w:bookmarkStart w:id="150" w:name="_Toc298538549"/>
      <w:r w:rsidRPr="00EC52DD">
        <w:t>Unwanted immunological events</w:t>
      </w:r>
      <w:bookmarkEnd w:id="147"/>
      <w:bookmarkEnd w:id="148"/>
      <w:bookmarkEnd w:id="149"/>
      <w:bookmarkEnd w:id="150"/>
    </w:p>
    <w:p w:rsidR="00CD5211" w:rsidRPr="00EC52DD" w:rsidRDefault="00CD5211" w:rsidP="00CD5211">
      <w:r w:rsidRPr="00EC52DD">
        <w:t xml:space="preserve">No specific issues </w:t>
      </w:r>
      <w:r w:rsidR="007B02CF">
        <w:t xml:space="preserve">were </w:t>
      </w:r>
      <w:r w:rsidRPr="00EC52DD">
        <w:t>identified.</w:t>
      </w:r>
    </w:p>
    <w:p w:rsidR="00CD5211" w:rsidRPr="00EC52DD" w:rsidRDefault="00CD5211" w:rsidP="00CD5211">
      <w:pPr>
        <w:pStyle w:val="Heading4"/>
      </w:pPr>
      <w:bookmarkStart w:id="151" w:name="_Toc272414686"/>
      <w:bookmarkStart w:id="152" w:name="_Ref273005527"/>
      <w:bookmarkStart w:id="153" w:name="_Toc290846324"/>
      <w:bookmarkStart w:id="154" w:name="_Toc298538550"/>
      <w:r w:rsidRPr="00EC52DD">
        <w:t>Other safety issues</w:t>
      </w:r>
      <w:bookmarkEnd w:id="151"/>
      <w:bookmarkEnd w:id="152"/>
      <w:bookmarkEnd w:id="153"/>
      <w:bookmarkEnd w:id="154"/>
    </w:p>
    <w:p w:rsidR="00CD5211" w:rsidRPr="00EC52DD" w:rsidRDefault="007B02CF" w:rsidP="00CD5211">
      <w:r>
        <w:t>Other safety issues include p</w:t>
      </w:r>
      <w:r w:rsidR="00CD5211" w:rsidRPr="00EC52DD">
        <w:t>eripheral oedema and bronchial hyperactivity</w:t>
      </w:r>
      <w:r>
        <w:t xml:space="preserve"> (f</w:t>
      </w:r>
      <w:r w:rsidRPr="00EC52DD">
        <w:t>requency unknown</w:t>
      </w:r>
      <w:r>
        <w:t>).</w:t>
      </w:r>
    </w:p>
    <w:p w:rsidR="00CD5211" w:rsidRDefault="00CD5211" w:rsidP="00CD5211">
      <w:pPr>
        <w:pStyle w:val="Heading4"/>
      </w:pPr>
      <w:bookmarkStart w:id="155" w:name="_Toc241374328"/>
      <w:bookmarkStart w:id="156" w:name="_Toc272414691"/>
      <w:bookmarkStart w:id="157" w:name="_Toc290846329"/>
      <w:bookmarkStart w:id="158" w:name="_Toc298538551"/>
      <w:r>
        <w:t>Evaluator’s overall conclusions on clinical safety</w:t>
      </w:r>
      <w:bookmarkEnd w:id="155"/>
      <w:bookmarkEnd w:id="156"/>
      <w:bookmarkEnd w:id="157"/>
      <w:bookmarkEnd w:id="158"/>
    </w:p>
    <w:p w:rsidR="00CD5211" w:rsidRPr="00EC52DD" w:rsidRDefault="00CD5211" w:rsidP="00F93B11">
      <w:r w:rsidRPr="00EC52DD">
        <w:t xml:space="preserve">Considering </w:t>
      </w:r>
      <w:r w:rsidR="00720051">
        <w:t>AE</w:t>
      </w:r>
      <w:r w:rsidRPr="00EC52DD">
        <w:t>s listed in current SmPC in PMO women</w:t>
      </w:r>
      <w:r w:rsidR="006C3C8C">
        <w:t xml:space="preserve"> (Table 13)</w:t>
      </w:r>
      <w:r w:rsidRPr="00EC52DD">
        <w:t xml:space="preserve">, findings in the male population of </w:t>
      </w:r>
      <w:r w:rsidR="00C6099F">
        <w:t xml:space="preserve">Study </w:t>
      </w:r>
      <w:r w:rsidRPr="00EC52DD">
        <w:t>CL3-032 were the following:</w:t>
      </w:r>
    </w:p>
    <w:p w:rsidR="00CD5211" w:rsidRPr="00EC52DD" w:rsidRDefault="00CD5211" w:rsidP="00F93B11">
      <w:pPr>
        <w:pStyle w:val="ListBullet"/>
      </w:pPr>
      <w:r w:rsidRPr="00EC52DD">
        <w:lastRenderedPageBreak/>
        <w:t>The incidence of Gastrointestinal and Musculoskeletal Disorders reported in strontium ranelate and in placebo groups was s</w:t>
      </w:r>
      <w:r w:rsidR="00006514">
        <w:t xml:space="preserve">imilar: </w:t>
      </w:r>
      <w:r w:rsidR="006C3C8C">
        <w:t>23.7% versus</w:t>
      </w:r>
      <w:r w:rsidRPr="00EC52DD">
        <w:rPr>
          <w:rFonts w:cs="TimesNewRomanPS-ItalicMT"/>
          <w:i/>
          <w:iCs/>
        </w:rPr>
        <w:t xml:space="preserve"> </w:t>
      </w:r>
      <w:r w:rsidRPr="00EC52DD">
        <w:t>24.1%</w:t>
      </w:r>
      <w:r w:rsidR="00006514">
        <w:t>, respectively,</w:t>
      </w:r>
      <w:r w:rsidRPr="00EC52DD">
        <w:t xml:space="preserve"> for Gastrointestinal disorders, and 22.0% </w:t>
      </w:r>
      <w:r w:rsidR="00006514">
        <w:t>versus</w:t>
      </w:r>
      <w:r w:rsidRPr="00EC52DD">
        <w:rPr>
          <w:rFonts w:cs="TimesNewRomanPS-ItalicMT"/>
          <w:i/>
          <w:iCs/>
        </w:rPr>
        <w:t xml:space="preserve"> </w:t>
      </w:r>
      <w:r w:rsidRPr="00EC52DD">
        <w:t>29.9%</w:t>
      </w:r>
      <w:r w:rsidR="00006514">
        <w:t>,</w:t>
      </w:r>
      <w:r>
        <w:t xml:space="preserve"> </w:t>
      </w:r>
      <w:r w:rsidRPr="00EC52DD">
        <w:t>respectively</w:t>
      </w:r>
      <w:r w:rsidR="00006514">
        <w:t>, for Musculoskeletal disorders</w:t>
      </w:r>
      <w:r w:rsidRPr="00EC52DD">
        <w:t>.</w:t>
      </w:r>
    </w:p>
    <w:p w:rsidR="00CD5211" w:rsidRPr="00EC52DD" w:rsidRDefault="00CD5211" w:rsidP="00F93B11">
      <w:pPr>
        <w:pStyle w:val="ListBullet"/>
      </w:pPr>
      <w:r w:rsidRPr="00EC52DD">
        <w:t xml:space="preserve">The overall incidence of Skin and Subcutaneous Disorders was slightly higher in the strontium ranelate group than in the </w:t>
      </w:r>
      <w:r w:rsidR="00BE6154">
        <w:t xml:space="preserve">placebo group: </w:t>
      </w:r>
      <w:r w:rsidRPr="00EC52DD">
        <w:t>11.6% versus 10.3%,</w:t>
      </w:r>
      <w:r>
        <w:t xml:space="preserve"> </w:t>
      </w:r>
      <w:r w:rsidR="00BE6154">
        <w:t>respectively</w:t>
      </w:r>
      <w:r w:rsidRPr="00EC52DD">
        <w:t>.</w:t>
      </w:r>
    </w:p>
    <w:p w:rsidR="00CD5211" w:rsidRPr="00EC52DD" w:rsidRDefault="00CD5211" w:rsidP="00F93B11">
      <w:pPr>
        <w:pStyle w:val="ListBullet"/>
      </w:pPr>
      <w:r w:rsidRPr="00EC52DD">
        <w:t>Regarding Vascular Disorders, two patients (1.2%) experienced a deep vein thrombosis. The overall incidence in the general ma</w:t>
      </w:r>
      <w:r w:rsidR="00BE6154">
        <w:t>le population over 65 years</w:t>
      </w:r>
      <w:r w:rsidRPr="00EC52DD">
        <w:t xml:space="preserve"> is 0.96% (</w:t>
      </w:r>
      <w:r w:rsidR="00BE6154" w:rsidRPr="00BE6154">
        <w:t>General Practice Research Database</w:t>
      </w:r>
      <w:r w:rsidRPr="00EC52DD">
        <w:t>).</w:t>
      </w:r>
    </w:p>
    <w:p w:rsidR="00CD5211" w:rsidRPr="00EC52DD" w:rsidRDefault="00CD5211" w:rsidP="00F93B11">
      <w:pPr>
        <w:pStyle w:val="ListBullet"/>
      </w:pPr>
      <w:r w:rsidRPr="00EC52DD">
        <w:t>Regarding Nervous System Disorders, no cases of disturbance in consciousness, memory loss or seizure were reported in men.</w:t>
      </w:r>
    </w:p>
    <w:p w:rsidR="00CD5211" w:rsidRPr="00EC52DD" w:rsidRDefault="00CD5211" w:rsidP="00F93B11">
      <w:pPr>
        <w:pStyle w:val="ListBullet"/>
      </w:pPr>
      <w:r w:rsidRPr="00EC52DD">
        <w:t>In the General Disorders SOC, there were slightly more patients with peripheral oedema in the strontium ranelate group tha</w:t>
      </w:r>
      <w:r w:rsidR="005E371B">
        <w:t>n in the placebo group: 2.3% versus</w:t>
      </w:r>
      <w:r w:rsidRPr="00EC52DD">
        <w:t xml:space="preserve"> </w:t>
      </w:r>
      <w:r w:rsidR="005E371B">
        <w:t>1.1%, respectively</w:t>
      </w:r>
      <w:r w:rsidRPr="00EC52DD">
        <w:t>.</w:t>
      </w:r>
    </w:p>
    <w:p w:rsidR="00CD5211" w:rsidRPr="00EC52DD" w:rsidRDefault="00CD5211" w:rsidP="00F93B11">
      <w:pPr>
        <w:pStyle w:val="ListBullet"/>
      </w:pPr>
      <w:r w:rsidRPr="00EC52DD">
        <w:t>Hepatobi</w:t>
      </w:r>
      <w:r w:rsidR="005B662A">
        <w:t xml:space="preserve">liary disorders, </w:t>
      </w:r>
      <w:r w:rsidR="00BC530C">
        <w:t xml:space="preserve">liver enzymes: 1.2% in the strontium ranelate group versus none </w:t>
      </w:r>
      <w:r w:rsidR="00BC530C" w:rsidRPr="00EC52DD">
        <w:t>in the placebo group</w:t>
      </w:r>
      <w:r w:rsidRPr="00EC52DD">
        <w:t>. Two patients experienced an increase in the hepatic enzymes 6 months after the first drug intake without any clinical symptom. Values normali</w:t>
      </w:r>
      <w:r w:rsidR="00BC530C">
        <w:t>s</w:t>
      </w:r>
      <w:r w:rsidRPr="00EC52DD">
        <w:t>ed in both cases.</w:t>
      </w:r>
    </w:p>
    <w:p w:rsidR="00CD5211" w:rsidRPr="00EC52DD" w:rsidRDefault="007C2D4C" w:rsidP="00F93B11">
      <w:pPr>
        <w:pStyle w:val="ListBullet"/>
      </w:pPr>
      <w:r>
        <w:t>Over one year, 44</w:t>
      </w:r>
      <w:r w:rsidR="00CD5211" w:rsidRPr="00EC52DD">
        <w:t xml:space="preserve"> patients experienced at least one serious </w:t>
      </w:r>
      <w:r w:rsidR="00720051">
        <w:t>AE</w:t>
      </w:r>
      <w:r w:rsidR="00CD5211" w:rsidRPr="00EC52DD">
        <w:t xml:space="preserve"> during the study, 17.9% in the strontium ranelate group versus 14.9% in the placebo group. The most frequently affected </w:t>
      </w:r>
      <w:r w:rsidR="008F3E28">
        <w:t>SOC</w:t>
      </w:r>
      <w:r w:rsidR="00CD5211" w:rsidRPr="00EC52DD">
        <w:t xml:space="preserve"> </w:t>
      </w:r>
      <w:r w:rsidR="00867E9B">
        <w:t>were Cardiac Disorders (3.5% versus</w:t>
      </w:r>
      <w:r w:rsidR="00CD5211" w:rsidRPr="00EC52DD">
        <w:t xml:space="preserve"> 4.6%</w:t>
      </w:r>
      <w:r w:rsidR="00867E9B">
        <w:t>, respectively</w:t>
      </w:r>
      <w:r w:rsidR="00CD5211" w:rsidRPr="00EC52DD">
        <w:t>) and Neoplasms</w:t>
      </w:r>
      <w:r w:rsidR="00CD5211">
        <w:t xml:space="preserve"> </w:t>
      </w:r>
      <w:r w:rsidR="00867E9B">
        <w:t>(2.3% versus</w:t>
      </w:r>
      <w:r w:rsidR="00CD5211" w:rsidRPr="00EC52DD">
        <w:t xml:space="preserve"> 1.1%, respectively).</w:t>
      </w:r>
    </w:p>
    <w:p w:rsidR="00CD5211" w:rsidRPr="00EC52DD" w:rsidRDefault="00CD5211" w:rsidP="00F93B11">
      <w:pPr>
        <w:pStyle w:val="ListBullet"/>
      </w:pPr>
      <w:r w:rsidRPr="00EC52DD">
        <w:t xml:space="preserve">Discontinuation of treatment due to </w:t>
      </w:r>
      <w:r w:rsidR="00720051">
        <w:t>AE</w:t>
      </w:r>
      <w:r w:rsidRPr="00EC52DD">
        <w:t>s occurred in 13.9% of patients</w:t>
      </w:r>
      <w:r w:rsidR="005B662A">
        <w:t xml:space="preserve"> in strontium ranelate group versus </w:t>
      </w:r>
      <w:r w:rsidRPr="00EC52DD">
        <w:t xml:space="preserve">10.3% in the placebo group. Most of the </w:t>
      </w:r>
      <w:r w:rsidR="00720051">
        <w:t>AE</w:t>
      </w:r>
      <w:r w:rsidRPr="00EC52DD">
        <w:t>s leading to treatment wi</w:t>
      </w:r>
      <w:r w:rsidR="005B662A">
        <w:t>thdrawal were listed in the SmPC</w:t>
      </w:r>
      <w:r w:rsidRPr="00EC52DD">
        <w:t xml:space="preserve"> of strontium ranelate. Discontinuatio</w:t>
      </w:r>
      <w:r w:rsidR="006C2409">
        <w:t>n of therapy was mainly due to G</w:t>
      </w:r>
      <w:r w:rsidRPr="00EC52DD">
        <w:t>astrointestinal disorders similarly reported in bot</w:t>
      </w:r>
      <w:r w:rsidR="006C2409">
        <w:t>h groups (3.5% versus</w:t>
      </w:r>
      <w:r w:rsidRPr="00EC52DD">
        <w:t xml:space="preserve"> 3.4%). Emergent </w:t>
      </w:r>
      <w:r w:rsidR="00720051">
        <w:t>AE</w:t>
      </w:r>
      <w:r w:rsidRPr="00EC52DD">
        <w:t xml:space="preserve">s that led to treatment discontinuation more frequently in the strontium ranelate group were </w:t>
      </w:r>
      <w:r w:rsidR="006C2409">
        <w:t>S</w:t>
      </w:r>
      <w:r w:rsidRPr="00EC52DD">
        <w:t xml:space="preserve">kin and </w:t>
      </w:r>
      <w:r w:rsidR="006C2409">
        <w:t>S</w:t>
      </w:r>
      <w:r w:rsidRPr="00EC52DD">
        <w:t xml:space="preserve">ubcutaneous </w:t>
      </w:r>
      <w:r w:rsidR="006C2409">
        <w:t xml:space="preserve">Tissue </w:t>
      </w:r>
      <w:r w:rsidRPr="00EC52DD">
        <w:t>disorders, headache and deep vein thrombosis.</w:t>
      </w:r>
      <w:r>
        <w:t xml:space="preserve"> The clinical safety seems very similar in this group of men than in the larger group of women in the previous trial.</w:t>
      </w:r>
    </w:p>
    <w:p w:rsidR="007E5985" w:rsidRDefault="007E5985" w:rsidP="007E5985">
      <w:pPr>
        <w:pStyle w:val="Heading4"/>
      </w:pPr>
      <w:bookmarkStart w:id="159" w:name="_Toc255919423"/>
      <w:bookmarkStart w:id="160" w:name="_Toc241374329"/>
      <w:bookmarkStart w:id="161" w:name="_Toc270320087"/>
      <w:bookmarkStart w:id="162" w:name="_Toc314842506"/>
      <w:r>
        <w:t>First round benefit-risk assessment</w:t>
      </w:r>
    </w:p>
    <w:p w:rsidR="002B6501" w:rsidRDefault="002B6501" w:rsidP="002B6501">
      <w:pPr>
        <w:pStyle w:val="Heading5"/>
      </w:pPr>
      <w:bookmarkStart w:id="163" w:name="_Toc236802592"/>
      <w:bookmarkStart w:id="164" w:name="_Toc241374331"/>
      <w:bookmarkStart w:id="165" w:name="_Ref272160836"/>
      <w:bookmarkStart w:id="166" w:name="_Toc272414693"/>
      <w:bookmarkStart w:id="167" w:name="_Toc290846331"/>
      <w:bookmarkStart w:id="168" w:name="_Toc298538553"/>
      <w:r>
        <w:t>First round assessment of benefits</w:t>
      </w:r>
      <w:bookmarkEnd w:id="163"/>
      <w:bookmarkEnd w:id="164"/>
      <w:bookmarkEnd w:id="165"/>
      <w:bookmarkEnd w:id="166"/>
      <w:bookmarkEnd w:id="167"/>
      <w:bookmarkEnd w:id="168"/>
    </w:p>
    <w:p w:rsidR="002B6501" w:rsidRPr="00267396" w:rsidRDefault="002B6501" w:rsidP="002B6501">
      <w:r w:rsidRPr="00267396">
        <w:t xml:space="preserve">The benefits of </w:t>
      </w:r>
      <w:r w:rsidR="006C2409">
        <w:t>s</w:t>
      </w:r>
      <w:r w:rsidRPr="00267396">
        <w:t xml:space="preserve">trontium </w:t>
      </w:r>
      <w:r w:rsidR="006C2409">
        <w:t>r</w:t>
      </w:r>
      <w:r w:rsidRPr="00267396">
        <w:t>anelate in the proposed usage are:</w:t>
      </w:r>
    </w:p>
    <w:p w:rsidR="002B6501" w:rsidRPr="00267396" w:rsidRDefault="002B6501" w:rsidP="00F93B11">
      <w:pPr>
        <w:pStyle w:val="ListBullet"/>
      </w:pPr>
      <w:r w:rsidRPr="00267396">
        <w:t>Inferred from the BMD changes and clinical efficacy in post menopausal women. Fracture reduction in men ha</w:t>
      </w:r>
      <w:r w:rsidR="008F626D">
        <w:t xml:space="preserve">s not been </w:t>
      </w:r>
      <w:r w:rsidR="00884F55">
        <w:t>directly proven</w:t>
      </w:r>
      <w:r w:rsidR="008F626D">
        <w:t xml:space="preserve">, nor has the </w:t>
      </w:r>
      <w:r w:rsidRPr="00267396">
        <w:t>change in biomechanical properties in bone in orchidectomised rats.</w:t>
      </w:r>
    </w:p>
    <w:p w:rsidR="002B6501" w:rsidRDefault="002B6501" w:rsidP="002B6501">
      <w:pPr>
        <w:pStyle w:val="Heading5"/>
      </w:pPr>
      <w:bookmarkStart w:id="169" w:name="_Toc236802596"/>
      <w:bookmarkStart w:id="170" w:name="_Toc241374334"/>
      <w:bookmarkStart w:id="171" w:name="_Ref272160964"/>
      <w:bookmarkStart w:id="172" w:name="_Toc272414694"/>
      <w:bookmarkStart w:id="173" w:name="_Toc290846332"/>
      <w:bookmarkStart w:id="174" w:name="_Toc298538554"/>
      <w:r>
        <w:t>First round assessment of risks</w:t>
      </w:r>
      <w:bookmarkEnd w:id="169"/>
      <w:bookmarkEnd w:id="170"/>
      <w:bookmarkEnd w:id="171"/>
      <w:bookmarkEnd w:id="172"/>
      <w:bookmarkEnd w:id="173"/>
      <w:bookmarkEnd w:id="174"/>
    </w:p>
    <w:p w:rsidR="002B6501" w:rsidRPr="00BC1B31" w:rsidRDefault="002B6501" w:rsidP="002B6501">
      <w:r w:rsidRPr="00BC1B31">
        <w:t xml:space="preserve">The risks of </w:t>
      </w:r>
      <w:r w:rsidR="008F626D">
        <w:t>s</w:t>
      </w:r>
      <w:r w:rsidRPr="00BC1B31">
        <w:t xml:space="preserve">trontium </w:t>
      </w:r>
      <w:r w:rsidR="008F626D">
        <w:t>r</w:t>
      </w:r>
      <w:r w:rsidRPr="00BC1B31">
        <w:t>anelate in the proposed usage are:</w:t>
      </w:r>
    </w:p>
    <w:p w:rsidR="002B6501" w:rsidRPr="00BC1B31" w:rsidRDefault="002B6501" w:rsidP="00F93B11">
      <w:pPr>
        <w:pStyle w:val="ListBullet"/>
      </w:pPr>
      <w:r w:rsidRPr="00BC1B31">
        <w:t xml:space="preserve">Acceptable and of the same order of magnitude as in women in the </w:t>
      </w:r>
      <w:r w:rsidR="008753A4">
        <w:t>~</w:t>
      </w:r>
      <w:r w:rsidR="00884F55">
        <w:t>180</w:t>
      </w:r>
      <w:r w:rsidRPr="00BC1B31">
        <w:t xml:space="preserve"> men who received the active substance in trial.</w:t>
      </w:r>
    </w:p>
    <w:p w:rsidR="002B6501" w:rsidRDefault="002B6501" w:rsidP="002B6501">
      <w:pPr>
        <w:pStyle w:val="Heading5"/>
      </w:pPr>
      <w:bookmarkStart w:id="175" w:name="_Toc236802597"/>
      <w:bookmarkStart w:id="176" w:name="_Toc241374335"/>
      <w:bookmarkStart w:id="177" w:name="_Toc272414695"/>
      <w:bookmarkStart w:id="178" w:name="_Toc290846333"/>
      <w:bookmarkStart w:id="179" w:name="_Toc298538555"/>
      <w:r>
        <w:t>First round assessment of benefit-risk balance</w:t>
      </w:r>
      <w:bookmarkEnd w:id="175"/>
      <w:bookmarkEnd w:id="176"/>
      <w:bookmarkEnd w:id="177"/>
      <w:bookmarkEnd w:id="178"/>
      <w:bookmarkEnd w:id="179"/>
    </w:p>
    <w:p w:rsidR="002B6501" w:rsidRPr="00BC1B31" w:rsidRDefault="002B6501" w:rsidP="002B6501">
      <w:r w:rsidRPr="00BC1B31">
        <w:t xml:space="preserve">The benefit-risk balance of </w:t>
      </w:r>
      <w:r w:rsidR="00613C0C">
        <w:t>s</w:t>
      </w:r>
      <w:r w:rsidRPr="00BC1B31">
        <w:t xml:space="preserve">trontium </w:t>
      </w:r>
      <w:r w:rsidR="00613C0C">
        <w:t>r</w:t>
      </w:r>
      <w:r w:rsidRPr="00BC1B31">
        <w:t>anelate, given the proposed usage, is favourable.</w:t>
      </w:r>
    </w:p>
    <w:p w:rsidR="002B6501" w:rsidRDefault="002B6501" w:rsidP="002B6501">
      <w:pPr>
        <w:pStyle w:val="Heading5"/>
      </w:pPr>
      <w:r>
        <w:lastRenderedPageBreak/>
        <w:t>First round recommendation regarding authorisation</w:t>
      </w:r>
    </w:p>
    <w:p w:rsidR="00875F18" w:rsidRDefault="00647DCA" w:rsidP="00647DCA">
      <w:r w:rsidRPr="00BC1B31">
        <w:t>The EMEA</w:t>
      </w:r>
      <w:r w:rsidR="00875F18">
        <w:t xml:space="preserve"> 2006 document</w:t>
      </w:r>
      <w:r w:rsidR="004A2A6D">
        <w:rPr>
          <w:rStyle w:val="FootnoteReference"/>
        </w:rPr>
        <w:footnoteReference w:id="19"/>
      </w:r>
      <w:r w:rsidR="00875F18">
        <w:t xml:space="preserve"> </w:t>
      </w:r>
      <w:r>
        <w:t>s</w:t>
      </w:r>
      <w:r w:rsidR="00875F18">
        <w:t>tates:</w:t>
      </w:r>
    </w:p>
    <w:p w:rsidR="00647DCA" w:rsidRPr="00875F18" w:rsidRDefault="00875F18" w:rsidP="00875F18">
      <w:pPr>
        <w:ind w:left="360"/>
        <w:rPr>
          <w:i/>
        </w:rPr>
      </w:pPr>
      <w:r w:rsidRPr="00875F18">
        <w:rPr>
          <w:i/>
        </w:rPr>
        <w:t>“...</w:t>
      </w:r>
      <w:r w:rsidR="0020365C" w:rsidRPr="0020365C">
        <w:rPr>
          <w:i/>
        </w:rPr>
        <w:t xml:space="preserve">once an initial marketing authorisation has been granted to a NCE </w:t>
      </w:r>
      <w:r w:rsidR="0020365C">
        <w:rPr>
          <w:i/>
        </w:rPr>
        <w:t xml:space="preserve">(new chemical entity) </w:t>
      </w:r>
      <w:r w:rsidR="0020365C" w:rsidRPr="0020365C">
        <w:rPr>
          <w:i/>
        </w:rPr>
        <w:t>for the treatment of postmenopausal osteoporosis in women at high risk of fracture, a separate bridging study of the same NCE, using the same formulation, dose, and route of administration in male osteoporotic patients could be sufficient for being granted a marketing aut</w:t>
      </w:r>
      <w:r w:rsidR="0020365C">
        <w:rPr>
          <w:i/>
        </w:rPr>
        <w:t>horisation with the indication ‘</w:t>
      </w:r>
      <w:r w:rsidR="0020365C" w:rsidRPr="0020365C">
        <w:rPr>
          <w:i/>
        </w:rPr>
        <w:t>treatment of osteoporosis in me</w:t>
      </w:r>
      <w:r w:rsidR="0020365C">
        <w:rPr>
          <w:i/>
        </w:rPr>
        <w:t>n at increased risk of fracture’</w:t>
      </w:r>
      <w:r w:rsidR="0020365C" w:rsidRPr="0020365C">
        <w:rPr>
          <w:i/>
        </w:rPr>
        <w:t xml:space="preserve"> provided that</w:t>
      </w:r>
      <w:r w:rsidR="00647DCA" w:rsidRPr="00875F18">
        <w:rPr>
          <w:i/>
        </w:rPr>
        <w:t>:</w:t>
      </w:r>
    </w:p>
    <w:p w:rsidR="00647DCA" w:rsidRPr="00F93B11" w:rsidRDefault="00647DCA" w:rsidP="00F93B11">
      <w:pPr>
        <w:pStyle w:val="ListBullet"/>
        <w:ind w:left="993"/>
        <w:rPr>
          <w:i/>
        </w:rPr>
      </w:pPr>
      <w:r w:rsidRPr="00F93B11">
        <w:rPr>
          <w:i/>
        </w:rPr>
        <w:t>The duration of the study is at least one year;</w:t>
      </w:r>
    </w:p>
    <w:p w:rsidR="00647DCA" w:rsidRPr="00F93B11" w:rsidRDefault="00647DCA" w:rsidP="00F93B11">
      <w:pPr>
        <w:pStyle w:val="ListBullet"/>
        <w:ind w:left="993"/>
        <w:rPr>
          <w:i/>
        </w:rPr>
      </w:pPr>
      <w:r w:rsidRPr="00F93B11">
        <w:rPr>
          <w:i/>
        </w:rPr>
        <w:t>The dosage is justified</w:t>
      </w:r>
      <w:r w:rsidR="00370C48" w:rsidRPr="00F93B11">
        <w:rPr>
          <w:i/>
        </w:rPr>
        <w:t>;</w:t>
      </w:r>
    </w:p>
    <w:p w:rsidR="00647DCA" w:rsidRPr="00F93B11" w:rsidRDefault="00647DCA" w:rsidP="00F93B11">
      <w:pPr>
        <w:pStyle w:val="ListBullet"/>
        <w:ind w:left="993"/>
        <w:rPr>
          <w:i/>
        </w:rPr>
      </w:pPr>
      <w:r w:rsidRPr="00F93B11">
        <w:rPr>
          <w:i/>
        </w:rPr>
        <w:t>The a</w:t>
      </w:r>
      <w:r w:rsidR="004A2A6D" w:rsidRPr="00F93B11">
        <w:rPr>
          <w:i/>
        </w:rPr>
        <w:t xml:space="preserve">pplicant justifies that the cut </w:t>
      </w:r>
      <w:r w:rsidRPr="00F93B11">
        <w:rPr>
          <w:i/>
        </w:rPr>
        <w:t>off of BMD, age and any other risk factor chosen for men in the pivotal study will generate a fracture risk of similar magnitude compared with postmenopausal women that were recruited in the studies</w:t>
      </w:r>
      <w:r w:rsidR="004A2A6D" w:rsidRPr="00F93B11">
        <w:rPr>
          <w:i/>
        </w:rPr>
        <w:t xml:space="preserve"> used to obtain the indication ‘</w:t>
      </w:r>
      <w:r w:rsidRPr="00F93B11">
        <w:rPr>
          <w:i/>
        </w:rPr>
        <w:t>treatment of postmenopausal osteoporosis in wome</w:t>
      </w:r>
      <w:r w:rsidR="004A2A6D" w:rsidRPr="00F93B11">
        <w:rPr>
          <w:i/>
        </w:rPr>
        <w:t>n at increased risk of fracture’</w:t>
      </w:r>
      <w:r w:rsidR="00370C48" w:rsidRPr="00F93B11">
        <w:rPr>
          <w:i/>
        </w:rPr>
        <w:t>;</w:t>
      </w:r>
    </w:p>
    <w:p w:rsidR="00647DCA" w:rsidRPr="00BC1B31" w:rsidRDefault="00647DCA" w:rsidP="00F93B11">
      <w:pPr>
        <w:pStyle w:val="ListBullet"/>
        <w:ind w:left="993"/>
      </w:pPr>
      <w:r w:rsidRPr="00F93B11">
        <w:rPr>
          <w:i/>
        </w:rPr>
        <w:t>The magnitude of the changes in BMD versus placebo is similar to that observed in postmenopausal osteoporotic women treated with the same compound and is proportional to the decreased incidence of fractures in treated women.</w:t>
      </w:r>
    </w:p>
    <w:p w:rsidR="00647DCA" w:rsidRPr="00BC1B31" w:rsidRDefault="00647DCA" w:rsidP="00F93B11">
      <w:r w:rsidRPr="00BC1B31">
        <w:t>With the excepti</w:t>
      </w:r>
      <w:r>
        <w:t>on of the last requirement (that is,</w:t>
      </w:r>
      <w:r w:rsidRPr="00BC1B31">
        <w:t xml:space="preserve"> the proportionality of BMD changes and fracture incidence which may not have</w:t>
      </w:r>
      <w:r w:rsidR="000740E0">
        <w:t xml:space="preserve"> been proved), </w:t>
      </w:r>
      <w:r w:rsidRPr="00BC1B31">
        <w:t>this submission has met these req</w:t>
      </w:r>
      <w:r>
        <w:t>uirements and should be authoris</w:t>
      </w:r>
      <w:r w:rsidRPr="00BC1B31">
        <w:t>ed.</w:t>
      </w:r>
    </w:p>
    <w:p w:rsidR="008E7846" w:rsidRDefault="008E7846" w:rsidP="008E7846">
      <w:pPr>
        <w:pStyle w:val="Heading3"/>
      </w:pPr>
      <w:bookmarkStart w:id="180" w:name="_Toc345343190"/>
      <w:r>
        <w:t>List of questions</w:t>
      </w:r>
      <w:bookmarkEnd w:id="159"/>
      <w:bookmarkEnd w:id="160"/>
      <w:bookmarkEnd w:id="161"/>
      <w:bookmarkEnd w:id="162"/>
      <w:bookmarkEnd w:id="180"/>
    </w:p>
    <w:p w:rsidR="008E7846" w:rsidRPr="0039105A" w:rsidRDefault="00CD5211" w:rsidP="00327883">
      <w:r>
        <w:t>N</w:t>
      </w:r>
      <w:r w:rsidRPr="00F84E2C">
        <w:t>o further questions</w:t>
      </w:r>
      <w:r>
        <w:t>.</w:t>
      </w:r>
    </w:p>
    <w:p w:rsidR="008E7846" w:rsidRPr="00E41208" w:rsidRDefault="008E7846" w:rsidP="008E7846">
      <w:pPr>
        <w:pStyle w:val="Heading2"/>
      </w:pPr>
      <w:bookmarkStart w:id="181" w:name="_Toc196046504"/>
      <w:bookmarkStart w:id="182" w:name="_Toc163441390"/>
      <w:bookmarkStart w:id="183" w:name="_Toc247691524"/>
      <w:bookmarkStart w:id="184" w:name="_Toc314842508"/>
      <w:bookmarkStart w:id="185" w:name="_Toc345343191"/>
      <w:bookmarkEnd w:id="81"/>
      <w:r w:rsidRPr="00E41208">
        <w:t xml:space="preserve">V. Pharmacovigilance </w:t>
      </w:r>
      <w:r>
        <w:t>f</w:t>
      </w:r>
      <w:r w:rsidRPr="00E41208">
        <w:t>indings</w:t>
      </w:r>
      <w:bookmarkEnd w:id="183"/>
      <w:bookmarkEnd w:id="184"/>
      <w:bookmarkEnd w:id="185"/>
    </w:p>
    <w:p w:rsidR="008E7846" w:rsidRDefault="00386150" w:rsidP="008E7846">
      <w:pPr>
        <w:pStyle w:val="Heading3"/>
        <w:rPr>
          <w:lang w:eastAsia="en-AU"/>
        </w:rPr>
      </w:pPr>
      <w:bookmarkStart w:id="186" w:name="_Toc247691526"/>
      <w:bookmarkStart w:id="187" w:name="_Toc314842509"/>
      <w:bookmarkStart w:id="188" w:name="_Toc345343192"/>
      <w:r>
        <w:rPr>
          <w:lang w:eastAsia="en-AU"/>
        </w:rPr>
        <w:t>Risk m</w:t>
      </w:r>
      <w:r w:rsidR="008E7846">
        <w:rPr>
          <w:lang w:eastAsia="en-AU"/>
        </w:rPr>
        <w:t xml:space="preserve">anagement </w:t>
      </w:r>
      <w:r>
        <w:rPr>
          <w:lang w:eastAsia="en-AU"/>
        </w:rPr>
        <w:t>p</w:t>
      </w:r>
      <w:r w:rsidR="008E7846">
        <w:rPr>
          <w:lang w:eastAsia="en-AU"/>
        </w:rPr>
        <w:t>lan</w:t>
      </w:r>
      <w:bookmarkEnd w:id="186"/>
      <w:bookmarkEnd w:id="187"/>
      <w:bookmarkEnd w:id="188"/>
    </w:p>
    <w:p w:rsidR="008E7846" w:rsidRDefault="00370C48" w:rsidP="008E7846">
      <w:pPr>
        <w:rPr>
          <w:lang w:eastAsia="en-AU"/>
        </w:rPr>
      </w:pPr>
      <w:r>
        <w:rPr>
          <w:lang w:eastAsia="en-AU"/>
        </w:rPr>
        <w:t>The sponsor submitted the</w:t>
      </w:r>
      <w:r w:rsidR="008E7846">
        <w:rPr>
          <w:lang w:eastAsia="en-AU"/>
        </w:rPr>
        <w:t xml:space="preserve"> </w:t>
      </w:r>
      <w:r w:rsidR="0046349B">
        <w:rPr>
          <w:lang w:eastAsia="en-AU"/>
        </w:rPr>
        <w:t>RMP</w:t>
      </w:r>
      <w:r w:rsidR="008E7846">
        <w:rPr>
          <w:lang w:eastAsia="en-AU"/>
        </w:rPr>
        <w:t xml:space="preserve"> </w:t>
      </w:r>
      <w:r>
        <w:rPr>
          <w:lang w:eastAsia="en-AU"/>
        </w:rPr>
        <w:t xml:space="preserve">version 7 dated 21 November 2011 </w:t>
      </w:r>
      <w:r w:rsidR="00D712C3">
        <w:rPr>
          <w:lang w:eastAsia="en-AU"/>
        </w:rPr>
        <w:t>that</w:t>
      </w:r>
      <w:r w:rsidR="008E7846">
        <w:rPr>
          <w:lang w:eastAsia="en-AU"/>
        </w:rPr>
        <w:t xml:space="preserve"> was reviewed by the TGA’s Office of Product Review (OPR).</w:t>
      </w:r>
      <w:r w:rsidR="000678D2">
        <w:rPr>
          <w:rStyle w:val="FootnoteReference"/>
          <w:lang w:eastAsia="en-AU"/>
        </w:rPr>
        <w:footnoteReference w:id="20"/>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Ongoing </w:t>
      </w:r>
      <w:r w:rsidR="00343416">
        <w:rPr>
          <w:lang w:eastAsia="en-AU"/>
        </w:rPr>
        <w:t>S</w:t>
      </w:r>
      <w:r w:rsidR="00B71470">
        <w:rPr>
          <w:lang w:eastAsia="en-AU"/>
        </w:rPr>
        <w:t xml:space="preserve">afety Concerns, which </w:t>
      </w:r>
      <w:r>
        <w:rPr>
          <w:lang w:eastAsia="en-AU"/>
        </w:rPr>
        <w:t xml:space="preserve">are shown at Table </w:t>
      </w:r>
      <w:r w:rsidR="000E46C0">
        <w:rPr>
          <w:lang w:eastAsia="en-AU"/>
        </w:rPr>
        <w:t>15</w:t>
      </w:r>
      <w:r>
        <w:rPr>
          <w:lang w:eastAsia="en-AU"/>
        </w:rPr>
        <w:t>.</w:t>
      </w:r>
    </w:p>
    <w:p w:rsidR="007670E2" w:rsidRDefault="00370C48" w:rsidP="00F93B11">
      <w:pPr>
        <w:pStyle w:val="TableTitle"/>
        <w:rPr>
          <w:lang w:val="en-GB"/>
        </w:rPr>
      </w:pPr>
      <w:r>
        <w:br w:type="page"/>
      </w:r>
      <w:r w:rsidR="007670E2">
        <w:lastRenderedPageBreak/>
        <w:t>Table</w:t>
      </w:r>
      <w:r w:rsidR="007670E2" w:rsidRPr="004C5C28">
        <w:t xml:space="preserve"> </w:t>
      </w:r>
      <w:r w:rsidR="000E46C0">
        <w:t>15</w:t>
      </w:r>
      <w:r w:rsidR="007670E2">
        <w:t>:</w:t>
      </w:r>
      <w:r w:rsidR="007670E2" w:rsidRPr="004C5C28">
        <w:t xml:space="preserve"> </w:t>
      </w:r>
      <w:r w:rsidR="000F39DA">
        <w:t>Ongoing Safety Concerns for</w:t>
      </w:r>
      <w:r w:rsidR="000F39DA" w:rsidRPr="0072203F">
        <w:t xml:space="preserve"> </w:t>
      </w:r>
      <w:r w:rsidR="00B02A42">
        <w:t>Protos</w:t>
      </w:r>
      <w:r w:rsidR="007670E2">
        <w:t>.</w:t>
      </w:r>
    </w:p>
    <w:p w:rsidR="008E7846" w:rsidRDefault="00294DCE" w:rsidP="002809DB">
      <w:pPr>
        <w:jc w:val="center"/>
        <w:rPr>
          <w:lang w:eastAsia="en-AU"/>
        </w:rPr>
      </w:pPr>
      <w:r>
        <w:rPr>
          <w:noProof/>
          <w:lang w:eastAsia="en-AU"/>
        </w:rPr>
        <w:drawing>
          <wp:inline distT="0" distB="0" distL="0" distR="0">
            <wp:extent cx="5391150" cy="1913255"/>
            <wp:effectExtent l="19050" t="0" r="0" b="0"/>
            <wp:docPr id="19" name="Picture 19" descr="Table 15: Ongoing Safety Concerns for Pr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5: Ongoing Safety Concerns for Protos."/>
                    <pic:cNvPicPr>
                      <a:picLocks noChangeAspect="1" noChangeArrowheads="1"/>
                    </pic:cNvPicPr>
                  </pic:nvPicPr>
                  <pic:blipFill>
                    <a:blip r:embed="rId34" cstate="print"/>
                    <a:srcRect/>
                    <a:stretch>
                      <a:fillRect/>
                    </a:stretch>
                  </pic:blipFill>
                  <pic:spPr bwMode="auto">
                    <a:xfrm>
                      <a:off x="0" y="0"/>
                      <a:ext cx="5391150" cy="1913255"/>
                    </a:xfrm>
                    <a:prstGeom prst="rect">
                      <a:avLst/>
                    </a:prstGeom>
                    <a:noFill/>
                    <a:ln w="9525">
                      <a:noFill/>
                      <a:miter lim="800000"/>
                      <a:headEnd/>
                      <a:tailEnd/>
                    </a:ln>
                  </pic:spPr>
                </pic:pic>
              </a:graphicData>
            </a:graphic>
          </wp:inline>
        </w:drawing>
      </w:r>
    </w:p>
    <w:p w:rsidR="00316610" w:rsidRPr="00DE5055" w:rsidRDefault="0077492E" w:rsidP="00316610">
      <w:r>
        <w:t xml:space="preserve">DRESS </w:t>
      </w:r>
      <w:r w:rsidR="00316610" w:rsidRPr="006F04F0">
        <w:t>is a syndrome fever, rash (typically maculopapular beginning on the upper trunk and face and associated with facial oedema) with systemic (internal organ such as interstitial nephritis, hepatitis and interstitial lung disease) involvement. The time to onset is also typically more than 2 weeks but within 3 months</w:t>
      </w:r>
      <w:r w:rsidR="00316610">
        <w:t xml:space="preserve"> after the introduction of the suspected drug.</w:t>
      </w:r>
      <w:r w:rsidR="002C0294">
        <w:t xml:space="preserve"> </w:t>
      </w:r>
      <w:r w:rsidR="00316610" w:rsidRPr="00DE5055">
        <w:t>The sponsor provides the information that the global annual incidence of DRESS is 1 in 47,168 patient years</w:t>
      </w:r>
      <w:r w:rsidR="002C0294">
        <w:t xml:space="preserve"> </w:t>
      </w:r>
      <w:r w:rsidR="00316610" w:rsidRPr="00DE5055">
        <w:t>and the incidence of SJS and TEN is 1 in 268,859 when all possible cases are included in the calculation. These data are on a background of a patient exposure of 2,688,588 patient years.</w:t>
      </w:r>
    </w:p>
    <w:p w:rsidR="002809DB" w:rsidRDefault="00316610" w:rsidP="00316610">
      <w:pPr>
        <w:pStyle w:val="Heading5"/>
        <w:rPr>
          <w:lang w:eastAsia="en-AU"/>
        </w:rPr>
      </w:pPr>
      <w:r>
        <w:rPr>
          <w:lang w:eastAsia="en-AU"/>
        </w:rPr>
        <w:t>OPR reviewer comment:</w:t>
      </w:r>
    </w:p>
    <w:p w:rsidR="00316610" w:rsidRPr="00BB667D" w:rsidRDefault="00316610" w:rsidP="00316610">
      <w:r w:rsidRPr="00BB667D">
        <w:t>Pursua</w:t>
      </w:r>
      <w:r w:rsidR="005229A8">
        <w:t>nt to the evaluation of the non</w:t>
      </w:r>
      <w:r w:rsidRPr="00BB667D">
        <w:t xml:space="preserve">clinical and clinical aspects of the </w:t>
      </w:r>
      <w:r w:rsidR="00266729">
        <w:t>safety specifications,</w:t>
      </w:r>
      <w:r w:rsidRPr="00BB667D">
        <w:t xml:space="preserve"> it is recommended that the above summary of the Ongoing Safety Concerns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E7846" w:rsidRDefault="0098591D" w:rsidP="0098591D">
      <w:pPr>
        <w:pStyle w:val="Heading5"/>
        <w:rPr>
          <w:lang w:eastAsia="en-AU"/>
        </w:rPr>
      </w:pPr>
      <w:r>
        <w:rPr>
          <w:lang w:eastAsia="en-AU"/>
        </w:rPr>
        <w:t>Safety concern: Important identified risks</w:t>
      </w:r>
    </w:p>
    <w:p w:rsidR="0098591D" w:rsidRDefault="000B19A2" w:rsidP="00245888">
      <w:pPr>
        <w:pStyle w:val="Heading6"/>
      </w:pPr>
      <w:r>
        <w:t xml:space="preserve">1. </w:t>
      </w:r>
      <w:r w:rsidR="0098591D" w:rsidRPr="00C227DB">
        <w:t>Hypersensitivity reactions including SJS and DRESS</w:t>
      </w:r>
    </w:p>
    <w:p w:rsidR="001202B4" w:rsidRDefault="001202B4" w:rsidP="008E7846">
      <w:r>
        <w:t>Planned Actions:</w:t>
      </w:r>
    </w:p>
    <w:p w:rsidR="001202B4" w:rsidRDefault="001202B4" w:rsidP="00F93B11">
      <w:pPr>
        <w:pStyle w:val="ListBullet"/>
        <w:rPr>
          <w:lang w:eastAsia="en-AU"/>
        </w:rPr>
      </w:pPr>
      <w:r>
        <w:rPr>
          <w:lang w:eastAsia="en-AU"/>
        </w:rPr>
        <w:t>For all patients experiencing a s</w:t>
      </w:r>
      <w:r w:rsidR="00D4670C">
        <w:rPr>
          <w:lang w:eastAsia="en-AU"/>
        </w:rPr>
        <w:t>evere hypersensitivity reaction</w:t>
      </w:r>
      <w:r>
        <w:rPr>
          <w:lang w:eastAsia="en-AU"/>
        </w:rPr>
        <w:t>:</w:t>
      </w:r>
    </w:p>
    <w:p w:rsidR="001202B4" w:rsidRDefault="001202B4" w:rsidP="00F93B11">
      <w:pPr>
        <w:pStyle w:val="ListBullet2"/>
        <w:rPr>
          <w:lang w:eastAsia="en-AU"/>
        </w:rPr>
      </w:pPr>
      <w:r>
        <w:rPr>
          <w:lang w:eastAsia="en-AU"/>
        </w:rPr>
        <w:t>Careful monitoring of these events using a specific questionnaire in ongoing and planned strontium ranelate studies (including epidemiologi</w:t>
      </w:r>
      <w:r w:rsidR="00D4670C">
        <w:rPr>
          <w:lang w:eastAsia="en-AU"/>
        </w:rPr>
        <w:t xml:space="preserve">cal studies) as well as in post </w:t>
      </w:r>
      <w:r>
        <w:rPr>
          <w:lang w:eastAsia="en-AU"/>
        </w:rPr>
        <w:t>marketing experience. All PSURs focus on this issue and analysis of cases are collected whatever the source.</w:t>
      </w:r>
    </w:p>
    <w:p w:rsidR="001202B4" w:rsidRDefault="001202B4" w:rsidP="00F93B11">
      <w:pPr>
        <w:pStyle w:val="ListBullet2"/>
        <w:rPr>
          <w:lang w:eastAsia="en-AU"/>
        </w:rPr>
      </w:pPr>
      <w:r>
        <w:rPr>
          <w:lang w:eastAsia="en-AU"/>
        </w:rPr>
        <w:t>Submission of all cases to a group of experts in order to assess the diagnosis of DRESS.</w:t>
      </w:r>
    </w:p>
    <w:p w:rsidR="001202B4" w:rsidRDefault="001202B4" w:rsidP="00F93B11">
      <w:pPr>
        <w:pStyle w:val="ListBullet2"/>
        <w:rPr>
          <w:lang w:eastAsia="en-AU"/>
        </w:rPr>
      </w:pPr>
      <w:r>
        <w:rPr>
          <w:lang w:eastAsia="en-AU"/>
        </w:rPr>
        <w:t xml:space="preserve">In all patients experiencing severe hypersensitivity reaction type DRESS, TEN and SJS, practitioners in charge of them receive from </w:t>
      </w:r>
      <w:r w:rsidR="00DC723A">
        <w:rPr>
          <w:lang w:eastAsia="en-AU"/>
        </w:rPr>
        <w:t>the Market Authorisation Holder</w:t>
      </w:r>
      <w:r>
        <w:rPr>
          <w:lang w:eastAsia="en-AU"/>
        </w:rPr>
        <w:t xml:space="preserve"> a letter in which they are strongly recommended to organi</w:t>
      </w:r>
      <w:r w:rsidR="00DC723A">
        <w:rPr>
          <w:lang w:eastAsia="en-AU"/>
        </w:rPr>
        <w:t>s</w:t>
      </w:r>
      <w:r>
        <w:rPr>
          <w:lang w:eastAsia="en-AU"/>
        </w:rPr>
        <w:t>e and perform blood samplings and cutaneous tests.</w:t>
      </w:r>
    </w:p>
    <w:p w:rsidR="00245888" w:rsidRDefault="000B19A2" w:rsidP="00245888">
      <w:pPr>
        <w:pStyle w:val="Heading6"/>
      </w:pPr>
      <w:r>
        <w:t xml:space="preserve">2. </w:t>
      </w:r>
      <w:r w:rsidR="00245888" w:rsidRPr="00C227DB">
        <w:t>Venous Thromboembolic events</w:t>
      </w:r>
      <w:r w:rsidR="00245888">
        <w:t xml:space="preserve"> (VTE)</w:t>
      </w:r>
    </w:p>
    <w:p w:rsidR="00300F28" w:rsidRDefault="00300F28" w:rsidP="00300F28">
      <w:r>
        <w:t>Planned Actions:</w:t>
      </w:r>
    </w:p>
    <w:p w:rsidR="00245888" w:rsidRPr="00300F28" w:rsidRDefault="005A7C67" w:rsidP="00F93B11">
      <w:pPr>
        <w:pStyle w:val="ListBullet"/>
      </w:pPr>
      <w:r>
        <w:t>In on</w:t>
      </w:r>
      <w:r w:rsidR="00245888" w:rsidRPr="00300F28">
        <w:t>going and planned strontium ranelate trials:</w:t>
      </w:r>
    </w:p>
    <w:p w:rsidR="00245888" w:rsidRPr="00300F28" w:rsidRDefault="00245888" w:rsidP="00F93B11">
      <w:pPr>
        <w:pStyle w:val="ListBullet2"/>
      </w:pPr>
      <w:r w:rsidRPr="00300F28">
        <w:t>VTE (including deep vein thrombosis and pulmonary embolism) are considered as related medically important events and are notified immediately to the sponsor</w:t>
      </w:r>
      <w:r w:rsidR="006024BD">
        <w:t>,</w:t>
      </w:r>
      <w:r w:rsidRPr="00300F28">
        <w:t xml:space="preserve"> </w:t>
      </w:r>
      <w:r w:rsidRPr="00300F28">
        <w:lastRenderedPageBreak/>
        <w:t xml:space="preserve">together with available results of clinical and additional investigations confirming the diagnosis. </w:t>
      </w:r>
    </w:p>
    <w:p w:rsidR="00245888" w:rsidRPr="00300F28" w:rsidRDefault="00245888" w:rsidP="00F93B11">
      <w:pPr>
        <w:pStyle w:val="ListBullet2"/>
      </w:pPr>
      <w:r w:rsidRPr="00300F28">
        <w:t>Specific questionnaires are filled in for each patient experiencing a VTE in order to search for some specific risks. Haemostasis biological tests are performed in patients experiencing a VTE and in some studies systematically in all patients.</w:t>
      </w:r>
    </w:p>
    <w:p w:rsidR="00245888" w:rsidRPr="00300F28" w:rsidRDefault="00245888" w:rsidP="00F93B11">
      <w:pPr>
        <w:pStyle w:val="ListBullet"/>
      </w:pPr>
      <w:r w:rsidRPr="00300F28">
        <w:t>For spontaneous cases:</w:t>
      </w:r>
    </w:p>
    <w:p w:rsidR="00245888" w:rsidRPr="00300F28" w:rsidRDefault="00245888" w:rsidP="00F93B11">
      <w:pPr>
        <w:pStyle w:val="ListBullet2"/>
      </w:pPr>
      <w:r w:rsidRPr="00300F28">
        <w:t>All VTE spontaneous cases are considered as related important medical events and are reported to local regulatory authorities and for non EU cases to EMEA</w:t>
      </w:r>
      <w:r w:rsidR="006024BD">
        <w:t>.</w:t>
      </w:r>
    </w:p>
    <w:p w:rsidR="003B3823" w:rsidRDefault="00245888" w:rsidP="00F93B11">
      <w:pPr>
        <w:pStyle w:val="ListBullet2"/>
      </w:pPr>
      <w:r w:rsidRPr="00300F28">
        <w:t>All PSURs focus on this issue and analysis of all cases are collected whatever the source.</w:t>
      </w:r>
    </w:p>
    <w:p w:rsidR="00245888" w:rsidRDefault="000B19A2" w:rsidP="003B3823">
      <w:pPr>
        <w:pStyle w:val="Heading6"/>
      </w:pPr>
      <w:r>
        <w:t xml:space="preserve">3. </w:t>
      </w:r>
      <w:r w:rsidR="003B3823" w:rsidRPr="003B3823">
        <w:t>Central nervous system disorders</w:t>
      </w:r>
    </w:p>
    <w:p w:rsidR="003B3823" w:rsidRDefault="003B3823" w:rsidP="003B3823">
      <w:r>
        <w:t>Planned Actions:</w:t>
      </w:r>
    </w:p>
    <w:p w:rsidR="003B3823" w:rsidRPr="003B3823" w:rsidRDefault="005A7C67" w:rsidP="00F93B11">
      <w:pPr>
        <w:pStyle w:val="ListBullet"/>
      </w:pPr>
      <w:r>
        <w:t>In on</w:t>
      </w:r>
      <w:r w:rsidR="003B3823" w:rsidRPr="003B3823">
        <w:t>going and planned strontium ranelate trials:</w:t>
      </w:r>
    </w:p>
    <w:p w:rsidR="003B3823" w:rsidRPr="003B3823" w:rsidRDefault="003B3823" w:rsidP="00F93B11">
      <w:pPr>
        <w:pStyle w:val="ListBullet2"/>
      </w:pPr>
      <w:r w:rsidRPr="003B3823">
        <w:t>Seizures are considered as related medically important events and are notified immediately to the sponsor together with available results of clinical and additional investigations confirming the diagnosis.</w:t>
      </w:r>
    </w:p>
    <w:p w:rsidR="003B3823" w:rsidRPr="003B3823" w:rsidRDefault="003B3823" w:rsidP="00F93B11">
      <w:pPr>
        <w:pStyle w:val="ListBullet2"/>
      </w:pPr>
      <w:r w:rsidRPr="003B3823">
        <w:t>Specific questionnaires are filled in for each patient experiencing seizures, memory loss or disturbances in consciousness in order to search for some specific risks</w:t>
      </w:r>
      <w:r w:rsidR="001556A5">
        <w:t>.</w:t>
      </w:r>
    </w:p>
    <w:p w:rsidR="003B3823" w:rsidRPr="003B3823" w:rsidRDefault="003B3823" w:rsidP="00F93B11">
      <w:pPr>
        <w:pStyle w:val="ListBullet"/>
      </w:pPr>
      <w:r w:rsidRPr="003B3823">
        <w:t>For spontaneous cases:</w:t>
      </w:r>
    </w:p>
    <w:p w:rsidR="003B3823" w:rsidRPr="00C227DB" w:rsidRDefault="003B3823" w:rsidP="00F93B11">
      <w:pPr>
        <w:pStyle w:val="ListBullet2"/>
      </w:pPr>
      <w:r w:rsidRPr="00C227DB">
        <w:t>Seizures are considered as related important medical events and are reported to local authorities and for non EU cases to EMEA.</w:t>
      </w:r>
    </w:p>
    <w:p w:rsidR="003B3823" w:rsidRPr="00C227DB" w:rsidRDefault="003B3823" w:rsidP="00F93B11">
      <w:pPr>
        <w:pStyle w:val="ListBullet2"/>
      </w:pPr>
      <w:r w:rsidRPr="00C227DB">
        <w:t xml:space="preserve">Memory loss and disturbances in consciousness classified </w:t>
      </w:r>
      <w:r w:rsidR="001556A5">
        <w:t>as serious are notified to the local a</w:t>
      </w:r>
      <w:r w:rsidRPr="00C227DB">
        <w:t>uthorities.</w:t>
      </w:r>
    </w:p>
    <w:p w:rsidR="003B3823" w:rsidRDefault="003B3823" w:rsidP="00F93B11">
      <w:pPr>
        <w:pStyle w:val="ListBullet2"/>
      </w:pPr>
      <w:r w:rsidRPr="00C227DB">
        <w:t>All PSURs focus on this issue and analysis of all cases are collected whatever the source.</w:t>
      </w:r>
    </w:p>
    <w:p w:rsidR="003B3823" w:rsidRDefault="000B19A2" w:rsidP="00304760">
      <w:pPr>
        <w:pStyle w:val="Heading6"/>
      </w:pPr>
      <w:r>
        <w:t xml:space="preserve">4. </w:t>
      </w:r>
      <w:r w:rsidR="00304760" w:rsidRPr="00C227DB">
        <w:t>Creatine kinase increase and musculoskeletal disorders</w:t>
      </w:r>
    </w:p>
    <w:p w:rsidR="00304760" w:rsidRDefault="00304760" w:rsidP="003B3823">
      <w:r>
        <w:t>Planned Actions:</w:t>
      </w:r>
    </w:p>
    <w:p w:rsidR="00304760" w:rsidRPr="005A7C67" w:rsidRDefault="00304760" w:rsidP="00F93B11">
      <w:pPr>
        <w:pStyle w:val="ListBullet"/>
      </w:pPr>
      <w:r w:rsidRPr="005A7C67">
        <w:t>In ongoing and planned strontium ranelate trials:</w:t>
      </w:r>
    </w:p>
    <w:p w:rsidR="00304760" w:rsidRPr="005A7C67" w:rsidRDefault="006024BD" w:rsidP="00F93B11">
      <w:pPr>
        <w:pStyle w:val="ListBullet2"/>
      </w:pPr>
      <w:r>
        <w:t>Creatine kinase</w:t>
      </w:r>
      <w:r w:rsidR="00304760" w:rsidRPr="005A7C67">
        <w:t xml:space="preserve"> will be monitored as safety parameter, in case of </w:t>
      </w:r>
      <w:r>
        <w:t>creatine kinase</w:t>
      </w:r>
      <w:r w:rsidR="00304760" w:rsidRPr="005A7C67">
        <w:t xml:space="preserve"> elevation subanalysis of </w:t>
      </w:r>
      <w:r>
        <w:t>creatine kinase</w:t>
      </w:r>
      <w:r w:rsidR="00304760" w:rsidRPr="005A7C67">
        <w:t xml:space="preserve"> for isoenzymes will be done. Monitoring of musculoskeletal AE</w:t>
      </w:r>
      <w:r>
        <w:t>.</w:t>
      </w:r>
    </w:p>
    <w:p w:rsidR="00304760" w:rsidRPr="005A7C67" w:rsidRDefault="00304760" w:rsidP="00F93B11">
      <w:pPr>
        <w:pStyle w:val="ListBullet"/>
      </w:pPr>
      <w:r w:rsidRPr="005A7C67">
        <w:t>For spontaneous cases:</w:t>
      </w:r>
    </w:p>
    <w:p w:rsidR="00304760" w:rsidRPr="005A7C67" w:rsidRDefault="00304760" w:rsidP="00F93B11">
      <w:pPr>
        <w:pStyle w:val="ListBullet2"/>
      </w:pPr>
      <w:r w:rsidRPr="005A7C67">
        <w:t>Careful monitoring of all cases</w:t>
      </w:r>
    </w:p>
    <w:p w:rsidR="00304760" w:rsidRPr="005A7C67" w:rsidRDefault="00304760" w:rsidP="00F93B11">
      <w:pPr>
        <w:pStyle w:val="ListBullet2"/>
      </w:pPr>
      <w:r w:rsidRPr="005A7C67">
        <w:t>All PSURs focus on this issue and analysis of all cases are collected whatever the source.</w:t>
      </w:r>
    </w:p>
    <w:p w:rsidR="005A7C67" w:rsidRDefault="005A7C67" w:rsidP="005A7C67">
      <w:pPr>
        <w:pStyle w:val="Heading5"/>
        <w:rPr>
          <w:lang w:eastAsia="en-AU"/>
        </w:rPr>
      </w:pPr>
      <w:r>
        <w:rPr>
          <w:lang w:eastAsia="en-AU"/>
        </w:rPr>
        <w:t>Safety concern: Potential identified risks</w:t>
      </w:r>
    </w:p>
    <w:p w:rsidR="00304760" w:rsidRPr="00C227DB" w:rsidRDefault="000B19A2" w:rsidP="005A7C67">
      <w:pPr>
        <w:pStyle w:val="Heading6"/>
      </w:pPr>
      <w:r>
        <w:t xml:space="preserve">1. </w:t>
      </w:r>
      <w:r w:rsidR="005A7C67" w:rsidRPr="00C227DB">
        <w:t>Interstitial nephritis, psychiatric disorders (depression and hallucination), photosensitivity, pancreatitis, bone sarcoma, hypertension</w:t>
      </w:r>
    </w:p>
    <w:p w:rsidR="005A7C67" w:rsidRDefault="005A7C67" w:rsidP="005A7C67">
      <w:r>
        <w:t>Planned Actions:</w:t>
      </w:r>
    </w:p>
    <w:p w:rsidR="00304760" w:rsidRDefault="005A7C67" w:rsidP="00F93B11">
      <w:pPr>
        <w:pStyle w:val="ListBullet"/>
      </w:pPr>
      <w:r w:rsidRPr="00C227DB">
        <w:t>Routine pharmacovigilance activities collecting all reports whatever the source</w:t>
      </w:r>
      <w:r>
        <w:t>.</w:t>
      </w:r>
    </w:p>
    <w:p w:rsidR="005A7C67" w:rsidRDefault="000B19A2" w:rsidP="005A7C67">
      <w:pPr>
        <w:pStyle w:val="Heading6"/>
      </w:pPr>
      <w:r>
        <w:t xml:space="preserve">2. </w:t>
      </w:r>
      <w:r w:rsidR="005A7C67" w:rsidRPr="00C227DB">
        <w:t>Skeletal accumulation of strontium</w:t>
      </w:r>
    </w:p>
    <w:p w:rsidR="005A7C67" w:rsidRDefault="005A7C67" w:rsidP="005A7C67">
      <w:r>
        <w:t>Planned Actions:</w:t>
      </w:r>
    </w:p>
    <w:p w:rsidR="005A7C67" w:rsidRPr="005A7C67" w:rsidRDefault="005A7C67" w:rsidP="00F93B11">
      <w:pPr>
        <w:pStyle w:val="ListBullet"/>
      </w:pPr>
      <w:r w:rsidRPr="00C227DB">
        <w:lastRenderedPageBreak/>
        <w:t>Study CL3</w:t>
      </w:r>
      <w:r w:rsidR="001556A5">
        <w:t xml:space="preserve">-12911-012: collection of trans </w:t>
      </w:r>
      <w:r w:rsidRPr="00C227DB">
        <w:t>iliac bone biopsy data during the 2 additional years of</w:t>
      </w:r>
      <w:r w:rsidR="001556A5">
        <w:t xml:space="preserve"> the extension study (after 9-</w:t>
      </w:r>
      <w:r w:rsidRPr="00C227DB">
        <w:t>10 years of strontium treatment)</w:t>
      </w:r>
      <w:r>
        <w:t>.</w:t>
      </w:r>
    </w:p>
    <w:p w:rsidR="005A7C67" w:rsidRDefault="005A7C67" w:rsidP="005A7C67">
      <w:pPr>
        <w:pStyle w:val="Heading5"/>
        <w:rPr>
          <w:lang w:eastAsia="en-AU"/>
        </w:rPr>
      </w:pPr>
      <w:r>
        <w:rPr>
          <w:lang w:eastAsia="en-AU"/>
        </w:rPr>
        <w:t>Safety concern: Missing information</w:t>
      </w:r>
    </w:p>
    <w:p w:rsidR="005A7C67" w:rsidRDefault="000B19A2" w:rsidP="005A7C67">
      <w:pPr>
        <w:pStyle w:val="Heading6"/>
      </w:pPr>
      <w:r>
        <w:t xml:space="preserve">1. </w:t>
      </w:r>
      <w:r w:rsidR="005A7C67" w:rsidRPr="00C227DB">
        <w:t>Paediatric age group (&lt;18 years), pregnancy, lactation</w:t>
      </w:r>
    </w:p>
    <w:p w:rsidR="005A7C67" w:rsidRDefault="005A7C67" w:rsidP="005A7C67">
      <w:r>
        <w:t>Planned Actions:</w:t>
      </w:r>
    </w:p>
    <w:p w:rsidR="005A7C67" w:rsidRPr="005A7C67" w:rsidRDefault="005A7C67" w:rsidP="00F93B11">
      <w:pPr>
        <w:pStyle w:val="ListBullet"/>
      </w:pPr>
      <w:r w:rsidRPr="00C227DB">
        <w:t>Routine pharmacovigil</w:t>
      </w:r>
      <w:r w:rsidR="000B19A2">
        <w:t xml:space="preserve">ance in post </w:t>
      </w:r>
      <w:r w:rsidRPr="00C227DB">
        <w:t>marketing surveillance</w:t>
      </w:r>
      <w:r>
        <w:t>.</w:t>
      </w:r>
    </w:p>
    <w:p w:rsidR="0015151D" w:rsidRDefault="0015151D" w:rsidP="0015151D">
      <w:pPr>
        <w:pStyle w:val="Heading5"/>
        <w:rPr>
          <w:lang w:eastAsia="en-AU"/>
        </w:rPr>
      </w:pPr>
      <w:r>
        <w:rPr>
          <w:lang w:eastAsia="en-AU"/>
        </w:rPr>
        <w:t>OPR reviewer comment:</w:t>
      </w:r>
    </w:p>
    <w:p w:rsidR="00CF39A2" w:rsidRDefault="0015151D" w:rsidP="0015151D">
      <w:r w:rsidRPr="006D0FD1">
        <w:t xml:space="preserve">The sponsor states via Section 31 question responses that that no post authorisation safety studies are planned. The sponsor has provided information regarding the </w:t>
      </w:r>
      <w:r w:rsidR="00CF39A2">
        <w:t>S</w:t>
      </w:r>
      <w:r w:rsidRPr="006D0FD1">
        <w:t>tudy CL3-12911-012</w:t>
      </w:r>
      <w:r w:rsidR="00CF39A2">
        <w:t>,</w:t>
      </w:r>
      <w:r w:rsidRPr="006D0FD1">
        <w:t xml:space="preserve"> including a report and synopsis. This study is has concluded. The sponsor provided the summary of the evaluation </w:t>
      </w:r>
      <w:r w:rsidR="00CF39A2">
        <w:t>of the EMA of this study being:</w:t>
      </w:r>
    </w:p>
    <w:p w:rsidR="0015151D" w:rsidRPr="0015151D" w:rsidRDefault="0015151D" w:rsidP="00CF39A2">
      <w:pPr>
        <w:ind w:left="720"/>
      </w:pPr>
      <w:r w:rsidRPr="00BB667D">
        <w:rPr>
          <w:i/>
        </w:rPr>
        <w:t>“The incidence of vertebral and peripheral frac</w:t>
      </w:r>
      <w:r w:rsidR="00CF39A2">
        <w:rPr>
          <w:i/>
        </w:rPr>
        <w:t xml:space="preserve">tures was stable over the 10 year follow </w:t>
      </w:r>
      <w:r w:rsidRPr="00BB667D">
        <w:rPr>
          <w:i/>
        </w:rPr>
        <w:t>up, and did not show the a</w:t>
      </w:r>
      <w:r w:rsidR="00CF39A2">
        <w:rPr>
          <w:i/>
        </w:rPr>
        <w:t xml:space="preserve">ge expected increase over the 5 </w:t>
      </w:r>
      <w:r w:rsidRPr="00BB667D">
        <w:rPr>
          <w:i/>
        </w:rPr>
        <w:t>year extension study, suggesting that the efficacy</w:t>
      </w:r>
      <w:r w:rsidR="00CF39A2">
        <w:rPr>
          <w:i/>
        </w:rPr>
        <w:t xml:space="preserve"> of strontium ranelate p</w:t>
      </w:r>
      <w:r w:rsidRPr="00BB667D">
        <w:rPr>
          <w:i/>
        </w:rPr>
        <w:t>ersisted over time. The safety profile of strontium ranelate in the patients treated for 10 years was similar to previous studies and no new safety signals were detected during the extension study</w:t>
      </w:r>
      <w:r w:rsidR="00CF39A2">
        <w:rPr>
          <w:i/>
        </w:rPr>
        <w:t>.</w:t>
      </w:r>
      <w:r>
        <w:rPr>
          <w:i/>
        </w:rPr>
        <w:t>”</w:t>
      </w:r>
      <w:r w:rsidRPr="006D0FD1">
        <w:t xml:space="preserve"> </w:t>
      </w:r>
    </w:p>
    <w:p w:rsidR="0015151D" w:rsidRPr="0015151D" w:rsidRDefault="0015151D" w:rsidP="0015151D">
      <w:r w:rsidRPr="006D0FD1">
        <w:t xml:space="preserve">The sponsor also has provided the final clinical study report for </w:t>
      </w:r>
      <w:r w:rsidR="00443FE9">
        <w:t>S</w:t>
      </w:r>
      <w:r w:rsidRPr="006D0FD1">
        <w:t>tudy CLE-12911-021. This observational study also did not demonstrate new safety concerns.</w:t>
      </w:r>
    </w:p>
    <w:p w:rsidR="0015151D" w:rsidRPr="0015151D" w:rsidRDefault="0015151D" w:rsidP="0015151D">
      <w:r w:rsidRPr="006D0FD1">
        <w:t xml:space="preserve">Both these studies were conducted on post menopausal women. The sponsor has not identified any ongoing pharmacovigilance activity specific to the extension of indication into men with osteoporosis at increased risk of fracture. It is noted that 173 male patients using strontium for this indication are included in the safety data presented in the RMP. Two years is the longest duration of exposure in male patients from the clinical trials presented, compared with 10 years in </w:t>
      </w:r>
      <w:r w:rsidR="00443FE9">
        <w:t>PMO</w:t>
      </w:r>
      <w:r w:rsidRPr="006D0FD1">
        <w:t xml:space="preserve"> women.</w:t>
      </w:r>
      <w:r w:rsidRPr="00F876B2">
        <w:rPr>
          <w:color w:val="7030A0"/>
        </w:rPr>
        <w:t xml:space="preserve"> </w:t>
      </w:r>
      <w:r w:rsidRPr="00B42AB1">
        <w:t>As it appears</w:t>
      </w:r>
      <w:r w:rsidR="0076396F">
        <w:t>,</w:t>
      </w:r>
      <w:r w:rsidRPr="00B42AB1">
        <w:t xml:space="preserve"> the additional pharmacovigilance activities mentioned in the RMP have concluded routine pharmacovigilance activities remain </w:t>
      </w:r>
      <w:r>
        <w:t xml:space="preserve">the only activity in the Pharmacovigilance Plan </w:t>
      </w:r>
      <w:r w:rsidRPr="00B42AB1">
        <w:t>for the safety specifications as listed.</w:t>
      </w:r>
      <w:r>
        <w:rPr>
          <w:color w:val="7030A0"/>
        </w:rPr>
        <w:t xml:space="preserve"> </w:t>
      </w:r>
      <w:r w:rsidRPr="00F876B2">
        <w:t xml:space="preserve">It is </w:t>
      </w:r>
      <w:r>
        <w:t xml:space="preserve">therefore </w:t>
      </w:r>
      <w:r w:rsidRPr="00F876B2">
        <w:t xml:space="preserve">recommended that special consideration be given in the PSURs to </w:t>
      </w:r>
      <w:r w:rsidR="0047365D">
        <w:t>AE</w:t>
      </w:r>
      <w:r w:rsidRPr="00F876B2">
        <w:t>s in males with osteoporosis to further inform the safety profile of strontium when used in this population in Australia.</w:t>
      </w:r>
    </w:p>
    <w:p w:rsidR="0015151D" w:rsidRPr="0015151D" w:rsidRDefault="0015151D" w:rsidP="008E7846">
      <w:r w:rsidRPr="00470176">
        <w:t>The pharmacovigilance activities for the safety concern ‘Hypersensitivity reactions’ includes an indication that there will be a strong recommendation to organi</w:t>
      </w:r>
      <w:r w:rsidR="0076396F">
        <w:t>s</w:t>
      </w:r>
      <w:r w:rsidRPr="00470176">
        <w:t xml:space="preserve">e and perform blood samplings and cutaneous testing. In their </w:t>
      </w:r>
      <w:r w:rsidR="0076396F">
        <w:t>S</w:t>
      </w:r>
      <w:r w:rsidRPr="00470176">
        <w:t>ection 31 question responses regarding the investigations that would be required</w:t>
      </w:r>
      <w:r w:rsidR="0076396F">
        <w:t>,</w:t>
      </w:r>
      <w:r w:rsidRPr="00470176">
        <w:t xml:space="preserve"> the sponsor has indicated that in Europe the </w:t>
      </w:r>
      <w:r w:rsidR="00DC723A">
        <w:rPr>
          <w:lang w:eastAsia="en-AU"/>
        </w:rPr>
        <w:t>Market Authorisation Holder</w:t>
      </w:r>
      <w:r w:rsidRPr="00470176">
        <w:t xml:space="preserve"> may </w:t>
      </w:r>
      <w:r w:rsidRPr="00470176">
        <w:rPr>
          <w:i/>
        </w:rPr>
        <w:t>direct</w:t>
      </w:r>
      <w:r w:rsidRPr="00470176">
        <w:t xml:space="preserve"> doctors to arrange tests however this can only be</w:t>
      </w:r>
      <w:r w:rsidRPr="00470176">
        <w:rPr>
          <w:i/>
        </w:rPr>
        <w:t xml:space="preserve"> recommended</w:t>
      </w:r>
      <w:r w:rsidRPr="00470176">
        <w:t xml:space="preserve"> in Australia.</w:t>
      </w:r>
      <w:r>
        <w:t xml:space="preserve"> It is therefore suggested that the language of this section of the RMP be modified to better reflect the interaction with Australian clinicians. This could be done in an Australian specific annexe to the RMP.</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8E7846" w:rsidRDefault="0015151D" w:rsidP="0015151D">
      <w:pPr>
        <w:pStyle w:val="Heading5"/>
        <w:rPr>
          <w:lang w:eastAsia="en-AU"/>
        </w:rPr>
      </w:pPr>
      <w:bookmarkStart w:id="189" w:name="_Toc247691527"/>
      <w:r>
        <w:rPr>
          <w:lang w:eastAsia="en-AU"/>
        </w:rPr>
        <w:t>Sponsor’s conclusion in regard to the need for risk minimisation activities</w:t>
      </w:r>
    </w:p>
    <w:p w:rsidR="0015151D" w:rsidRDefault="0015151D" w:rsidP="0015151D">
      <w:r w:rsidRPr="00755D64">
        <w:t>The sponsor has indicated it believes routine risk minimisation is adequate for the management of all risks. However</w:t>
      </w:r>
      <w:r w:rsidR="00584939">
        <w:t>,</w:t>
      </w:r>
      <w:r w:rsidRPr="00755D64">
        <w:t xml:space="preserve"> the sponsor is providing additional risk minimisation activities in the form of educational materials </w:t>
      </w:r>
      <w:r>
        <w:t xml:space="preserve">for the Important identified risk </w:t>
      </w:r>
      <w:r w:rsidR="00F93B11">
        <w:t>-</w:t>
      </w:r>
      <w:r>
        <w:t xml:space="preserve"> “Hypersenstiv</w:t>
      </w:r>
      <w:r w:rsidR="00AB2F79">
        <w:t xml:space="preserve">ity reactions </w:t>
      </w:r>
      <w:r w:rsidR="00F93B11">
        <w:t>-</w:t>
      </w:r>
      <w:r w:rsidR="00AB2F79">
        <w:t xml:space="preserve"> including DRESS, TEN </w:t>
      </w:r>
      <w:r>
        <w:t>and SJS”</w:t>
      </w:r>
      <w:r w:rsidR="00584939">
        <w:t>.</w:t>
      </w:r>
    </w:p>
    <w:p w:rsidR="0015151D" w:rsidRDefault="0015151D" w:rsidP="0015151D">
      <w:pPr>
        <w:pStyle w:val="Heading5"/>
        <w:rPr>
          <w:lang w:eastAsia="en-AU"/>
        </w:rPr>
      </w:pPr>
      <w:r>
        <w:rPr>
          <w:lang w:eastAsia="en-AU"/>
        </w:rPr>
        <w:t>OPR reviewer comment:</w:t>
      </w:r>
    </w:p>
    <w:p w:rsidR="0015151D" w:rsidRPr="00F433BA" w:rsidRDefault="0015151D" w:rsidP="0015151D">
      <w:r>
        <w:t xml:space="preserve">As the prescriber base is likely </w:t>
      </w:r>
      <w:r w:rsidR="00584939">
        <w:t>to be</w:t>
      </w:r>
      <w:r>
        <w:t xml:space="preserve"> similar for the patien</w:t>
      </w:r>
      <w:r w:rsidR="00584939">
        <w:t xml:space="preserve">ts with the previous indication, </w:t>
      </w:r>
      <w:r>
        <w:t xml:space="preserve">the extension of indication in this application reliance on routine risk minimisation via the </w:t>
      </w:r>
      <w:r>
        <w:lastRenderedPageBreak/>
        <w:t xml:space="preserve">language in the PI is reasonable. Hypersensitivity syndromes such as DRESS represent a rare but potentially life threatening </w:t>
      </w:r>
      <w:r w:rsidR="0047365D">
        <w:t>AE</w:t>
      </w:r>
      <w:r>
        <w:t xml:space="preserve"> where early recognition</w:t>
      </w:r>
      <w:r w:rsidR="00584939">
        <w:t xml:space="preserve"> and management are important. T</w:t>
      </w:r>
      <w:r>
        <w:t>hus</w:t>
      </w:r>
      <w:r w:rsidR="00584939">
        <w:t>,</w:t>
      </w:r>
      <w:r>
        <w:t xml:space="preserve"> the additional risk minimisation activities to raise awaren</w:t>
      </w:r>
      <w:r w:rsidR="00584939">
        <w:t>ess among the prescriber base are</w:t>
      </w:r>
      <w:r>
        <w:t xml:space="preserve"> supported.</w:t>
      </w:r>
    </w:p>
    <w:p w:rsidR="0015151D" w:rsidRDefault="0015151D" w:rsidP="0015151D">
      <w:pPr>
        <w:pStyle w:val="Heading5"/>
        <w:rPr>
          <w:lang w:eastAsia="en-AU"/>
        </w:rPr>
      </w:pPr>
      <w:r>
        <w:rPr>
          <w:lang w:eastAsia="en-AU"/>
        </w:rPr>
        <w:t xml:space="preserve">Potential for medication errors, </w:t>
      </w:r>
      <w:r w:rsidRPr="0015151D">
        <w:rPr>
          <w:lang w:eastAsia="en-AU"/>
        </w:rPr>
        <w:t>overdose,</w:t>
      </w:r>
      <w:r w:rsidR="00584939">
        <w:rPr>
          <w:lang w:eastAsia="en-AU"/>
        </w:rPr>
        <w:t xml:space="preserve"> drug-drug interactions and off </w:t>
      </w:r>
      <w:r w:rsidRPr="0015151D">
        <w:rPr>
          <w:lang w:eastAsia="en-AU"/>
        </w:rPr>
        <w:t>label use</w:t>
      </w:r>
    </w:p>
    <w:p w:rsidR="0015151D" w:rsidRPr="0015151D" w:rsidRDefault="0015151D" w:rsidP="0015151D">
      <w:r w:rsidRPr="00D95AD4">
        <w:t>The sponsor states that medication errors are unlikely with this medication, as there is only one dosage strength (2</w:t>
      </w:r>
      <w:r w:rsidR="001E464D">
        <w:t xml:space="preserve"> </w:t>
      </w:r>
      <w:r w:rsidRPr="00D95AD4">
        <w:t>g) and the medication presents as a sachet (and is unlikely to be confused with a tablet).</w:t>
      </w:r>
    </w:p>
    <w:p w:rsidR="0015151D" w:rsidRDefault="0015151D" w:rsidP="0015151D">
      <w:r w:rsidRPr="00D95AD4">
        <w:t xml:space="preserve">There is no specific antidote </w:t>
      </w:r>
      <w:r>
        <w:t xml:space="preserve">to strontium. Calcium decreases its bioavailability, as do aluminium and magnesium, so milk and antacids could be used in an overdose situation. This information is conveyed in the </w:t>
      </w:r>
      <w:r w:rsidR="00584939">
        <w:t>PI</w:t>
      </w:r>
      <w:r>
        <w:t>.</w:t>
      </w:r>
    </w:p>
    <w:p w:rsidR="0015151D" w:rsidRDefault="00091BA8" w:rsidP="0015151D">
      <w:r>
        <w:t xml:space="preserve">There is a potential for off </w:t>
      </w:r>
      <w:r w:rsidR="0015151D">
        <w:t xml:space="preserve">label use in children with severe osteoporosis (which in children is very rare). The sponsor indicates it is aware of two instances of use in children </w:t>
      </w:r>
      <w:r w:rsidR="00F93B11">
        <w:t>-</w:t>
      </w:r>
      <w:r w:rsidR="0015151D">
        <w:t xml:space="preserve"> one child had severe familial osteoporosis and the other had osteoporosis following a renal transplant. The sponsor also notes the possible use if premenopausal women. They state that experience in this group is limited but no specific safety concerns have been identified.</w:t>
      </w:r>
    </w:p>
    <w:p w:rsidR="0015151D" w:rsidRPr="00D95AD4" w:rsidRDefault="0015151D" w:rsidP="0015151D">
      <w:r>
        <w:t>Food and calcium decrease the oral bioavailability of strontium. The AUC was decreased 57% by calcium, 63% by food</w:t>
      </w:r>
      <w:r w:rsidR="008E64DC">
        <w:t>,</w:t>
      </w:r>
      <w:r>
        <w:t xml:space="preserve"> and 71% by calcium and food. It is thought the interaction with calcium is due to competitive inhibition of the active transport mechanism. There is </w:t>
      </w:r>
      <w:r w:rsidR="008E64DC">
        <w:t xml:space="preserve">a potential interaction with co </w:t>
      </w:r>
      <w:r>
        <w:t>administered oral tetracycline or quinolone antibiotics. Strontium is a divalent cation which can form complexes with these antibiotics in the gastrointestinal tract and reduce their absorption. No other drug interactions have been observed by the sponsor in clinical trials, and specifically there is no interaction with oral supplementation of vitamin D.</w:t>
      </w:r>
    </w:p>
    <w:p w:rsidR="0015151D" w:rsidRDefault="0015151D" w:rsidP="0015151D">
      <w:pPr>
        <w:pStyle w:val="Heading5"/>
        <w:rPr>
          <w:lang w:eastAsia="en-AU"/>
        </w:rPr>
      </w:pPr>
      <w:r>
        <w:rPr>
          <w:lang w:eastAsia="en-AU"/>
        </w:rPr>
        <w:t>OPR reviewer comment:</w:t>
      </w:r>
    </w:p>
    <w:p w:rsidR="0015151D" w:rsidRPr="0015151D" w:rsidRDefault="0015151D" w:rsidP="008E7846">
      <w:r>
        <w:t>The sponsor’s assessment of the potential for medication errors is re</w:t>
      </w:r>
      <w:r w:rsidR="006024BD">
        <w:t xml:space="preserve">asonable. The potential for off </w:t>
      </w:r>
      <w:r>
        <w:t>label use as an uncommon event is acknowledged and the sponsor’s evaluation is reasonable.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8E64DC" w:rsidRDefault="0015151D" w:rsidP="0015151D">
      <w:r w:rsidRPr="0026424F">
        <w:t>The OPR provides these reco</w:t>
      </w:r>
      <w:r w:rsidR="008E64DC">
        <w:t>mmendations in the context that:</w:t>
      </w:r>
    </w:p>
    <w:p w:rsidR="008E64DC" w:rsidRDefault="0015151D" w:rsidP="00F93B11">
      <w:pPr>
        <w:pStyle w:val="ListBullet"/>
      </w:pPr>
      <w:r w:rsidRPr="0026424F">
        <w:t>the submitted RMP is</w:t>
      </w:r>
      <w:r w:rsidR="008E64DC">
        <w:t xml:space="preserve"> supportive to the application;</w:t>
      </w:r>
    </w:p>
    <w:p w:rsidR="008E64DC" w:rsidRDefault="0015151D" w:rsidP="00F93B11">
      <w:pPr>
        <w:pStyle w:val="ListBullet"/>
      </w:pPr>
      <w:r w:rsidRPr="0026424F">
        <w:t>the implementation of a RMP satisfactory to the TGA is imposed as a condition of reg</w:t>
      </w:r>
      <w:r w:rsidR="008E64DC">
        <w:t>istration; and</w:t>
      </w:r>
    </w:p>
    <w:p w:rsidR="0015151D" w:rsidRPr="0026424F" w:rsidRDefault="001556A5" w:rsidP="00F93B11">
      <w:pPr>
        <w:pStyle w:val="ListBullet"/>
      </w:pPr>
      <w:r>
        <w:t xml:space="preserve">the submitted EU </w:t>
      </w:r>
      <w:r w:rsidR="0015151D" w:rsidRPr="0026424F">
        <w:t>RMP is applicable without modification i</w:t>
      </w:r>
      <w:r w:rsidR="00F93B11">
        <w:t>n Australia unless so qualified.</w:t>
      </w:r>
    </w:p>
    <w:p w:rsidR="0015151D" w:rsidRPr="0015151D" w:rsidRDefault="0015151D" w:rsidP="0015151D">
      <w:pPr>
        <w:pStyle w:val="Heading5"/>
      </w:pPr>
      <w:r>
        <w:t>General recommendations</w:t>
      </w:r>
    </w:p>
    <w:p w:rsidR="0015151D" w:rsidRDefault="0015151D" w:rsidP="0015151D">
      <w:r>
        <w:t>From</w:t>
      </w:r>
      <w:r w:rsidR="001556A5">
        <w:t xml:space="preserve"> the RMP, the non</w:t>
      </w:r>
      <w:r>
        <w:t>clinical evaluator has recommended a wording change in the nonclinical section of the RMP from</w:t>
      </w:r>
    </w:p>
    <w:p w:rsidR="0015151D" w:rsidRPr="0015151D" w:rsidRDefault="0015151D" w:rsidP="0015151D">
      <w:pPr>
        <w:ind w:firstLine="720"/>
      </w:pPr>
      <w:r w:rsidRPr="00E30403">
        <w:rPr>
          <w:i/>
        </w:rPr>
        <w:t>“The safety margin is about 38 times the human therapeutic dose.”</w:t>
      </w:r>
    </w:p>
    <w:p w:rsidR="0015151D" w:rsidRPr="003B09FC" w:rsidRDefault="0015151D" w:rsidP="0015151D">
      <w:r>
        <w:t>to</w:t>
      </w:r>
    </w:p>
    <w:p w:rsidR="0015151D" w:rsidRPr="00E30403" w:rsidRDefault="0015151D" w:rsidP="0015151D">
      <w:pPr>
        <w:ind w:left="720"/>
        <w:rPr>
          <w:i/>
        </w:rPr>
      </w:pPr>
      <w:r w:rsidRPr="00E30403">
        <w:rPr>
          <w:i/>
        </w:rPr>
        <w:t>“These doses are up to about 38 times the human therapeut</w:t>
      </w:r>
      <w:r>
        <w:rPr>
          <w:i/>
        </w:rPr>
        <w:t xml:space="preserve">ic dose on a mg/kg body weight </w:t>
      </w:r>
      <w:r w:rsidRPr="00E30403">
        <w:rPr>
          <w:i/>
        </w:rPr>
        <w:t>basis and yielded systemic exposure to strontium (plasma AUC) up to 2.5 times higher.”</w:t>
      </w:r>
    </w:p>
    <w:p w:rsidR="0015151D" w:rsidRPr="00F16E27" w:rsidRDefault="0015151D" w:rsidP="0015151D">
      <w:r>
        <w:t>It is recommended the sponsor update the RMP to incorporate this change.</w:t>
      </w:r>
    </w:p>
    <w:p w:rsidR="0015151D" w:rsidRPr="0015151D" w:rsidRDefault="0015151D" w:rsidP="0015151D">
      <w:pPr>
        <w:pStyle w:val="Heading5"/>
      </w:pPr>
      <w:r>
        <w:lastRenderedPageBreak/>
        <w:t>Pharmacovigilance plan</w:t>
      </w:r>
    </w:p>
    <w:p w:rsidR="0015151D" w:rsidRDefault="0015151D" w:rsidP="0015151D">
      <w:r w:rsidRPr="00B42AB1">
        <w:t xml:space="preserve">As it appears the additional pharmacovigilance activities mentioned in the RMP have concluded routine pharmacovigilance activities remain </w:t>
      </w:r>
      <w:r>
        <w:t xml:space="preserve">the only activity in the Pharmacovigilance Plan </w:t>
      </w:r>
      <w:r w:rsidRPr="00B42AB1">
        <w:t>for the safety specifications as listed.</w:t>
      </w:r>
      <w:r>
        <w:rPr>
          <w:color w:val="7030A0"/>
        </w:rPr>
        <w:t xml:space="preserve"> </w:t>
      </w:r>
      <w:r w:rsidRPr="00F876B2">
        <w:t xml:space="preserve">It is </w:t>
      </w:r>
      <w:r>
        <w:t xml:space="preserve">therefore </w:t>
      </w:r>
      <w:r w:rsidRPr="00F876B2">
        <w:t xml:space="preserve">recommended that special consideration be given in the PSURs to </w:t>
      </w:r>
      <w:r w:rsidR="0047365D">
        <w:t>AE</w:t>
      </w:r>
      <w:r w:rsidRPr="00F876B2">
        <w:t>s in males with osteoporosis to further inform the safety profile of strontium when used in this population in Australia.</w:t>
      </w:r>
      <w:r>
        <w:t xml:space="preserve"> Furthermore, the RMP should be updated to ind</w:t>
      </w:r>
      <w:r w:rsidR="007E4E99">
        <w:t xml:space="preserve">icate there are no planned post </w:t>
      </w:r>
      <w:r>
        <w:t>authorisation studies for strontium ranelate for this indication. This could be achieved via an Australian specific annexe for the current RMP.</w:t>
      </w:r>
    </w:p>
    <w:p w:rsidR="0015151D" w:rsidRPr="0015151D" w:rsidRDefault="0015151D" w:rsidP="0015151D">
      <w:r w:rsidRPr="00470176">
        <w:t>The pharmacovigilance activities for the safety concern ‘Hypersensitivity reactions’ includes an indication that there will be a strong recommendation to organi</w:t>
      </w:r>
      <w:r w:rsidR="007E4E99">
        <w:t>s</w:t>
      </w:r>
      <w:r w:rsidRPr="00470176">
        <w:t xml:space="preserve">e and perform blood samplings and cutaneous testing. In their </w:t>
      </w:r>
      <w:r w:rsidR="007E4E99">
        <w:t>S</w:t>
      </w:r>
      <w:r w:rsidRPr="00470176">
        <w:t>ection 31 question responses regarding the investigations that would be required</w:t>
      </w:r>
      <w:r w:rsidR="007E4E99">
        <w:t>,</w:t>
      </w:r>
      <w:r w:rsidRPr="00470176">
        <w:t xml:space="preserve"> the sponsor has indicated that in Europe the </w:t>
      </w:r>
      <w:r w:rsidR="00DC723A">
        <w:rPr>
          <w:lang w:eastAsia="en-AU"/>
        </w:rPr>
        <w:t>Market Authorisation Holder</w:t>
      </w:r>
      <w:r w:rsidRPr="00470176">
        <w:t xml:space="preserve"> may </w:t>
      </w:r>
      <w:r w:rsidRPr="00470176">
        <w:rPr>
          <w:i/>
        </w:rPr>
        <w:t>direct</w:t>
      </w:r>
      <w:r w:rsidRPr="00470176">
        <w:t xml:space="preserve"> doctors to arrange tests however this can only be</w:t>
      </w:r>
      <w:r w:rsidRPr="00470176">
        <w:rPr>
          <w:i/>
        </w:rPr>
        <w:t xml:space="preserve"> recommended</w:t>
      </w:r>
      <w:r w:rsidRPr="00470176">
        <w:t xml:space="preserve"> in Australia.</w:t>
      </w:r>
      <w:r>
        <w:t xml:space="preserve"> It is therefore suggested that the language of this section of the RMP be modified to better reflect the interaction with Australian clinicians. This could be done in an Australian specific annexe to the RMP.</w:t>
      </w:r>
    </w:p>
    <w:p w:rsidR="0015151D" w:rsidRDefault="00F16E27" w:rsidP="0015151D">
      <w:pPr>
        <w:pStyle w:val="Heading5"/>
      </w:pPr>
      <w:r>
        <w:t>Risk m</w:t>
      </w:r>
      <w:r w:rsidR="0015151D">
        <w:t xml:space="preserve">inimisation </w:t>
      </w:r>
      <w:r>
        <w:t>p</w:t>
      </w:r>
      <w:r w:rsidR="0015151D">
        <w:t>lan</w:t>
      </w:r>
    </w:p>
    <w:p w:rsidR="0015151D" w:rsidRPr="0015151D" w:rsidRDefault="0015151D" w:rsidP="0015151D">
      <w:r>
        <w:t xml:space="preserve">The additional risk minimisation activity, for the Important Identified Risk ‘Hypersensitivity reactions’, should be included in the </w:t>
      </w:r>
      <w:r w:rsidR="00DC723A">
        <w:t>RMP</w:t>
      </w:r>
      <w:r>
        <w:t xml:space="preserve"> section of the RMP. The RMP should be updated accordingly. This could be achieved via an Australian specific annexe to the current RMP. </w:t>
      </w:r>
    </w:p>
    <w:p w:rsidR="0015151D" w:rsidRDefault="0015151D" w:rsidP="0015151D">
      <w:r w:rsidRPr="004F68C8">
        <w:t xml:space="preserve">The use of the uptake of the patient support programme is not considered an adequate tool for measuring the effectiveness of the strategy for educating health care professionals regarding the recognition and management of hypersensitivity reactions. </w:t>
      </w:r>
    </w:p>
    <w:p w:rsidR="00C5644F" w:rsidRPr="0015151D" w:rsidRDefault="0015151D" w:rsidP="00C5644F">
      <w:r>
        <w:t>Proposed educational materials to be provided to patients in addition to the CMI have not been provided by the sponsor and no further comment can be made in this regard. The sponsor is requested to provide sample materials after the finalisation of the CMI, and prior to supply, for information for the TGA.</w:t>
      </w:r>
    </w:p>
    <w:p w:rsidR="008E7846" w:rsidRPr="00792A32" w:rsidRDefault="008E7846" w:rsidP="008E7846">
      <w:pPr>
        <w:pStyle w:val="Heading2"/>
      </w:pPr>
      <w:bookmarkStart w:id="190" w:name="_Toc314842510"/>
      <w:bookmarkStart w:id="191" w:name="_Toc34534319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81"/>
      <w:bookmarkEnd w:id="189"/>
      <w:bookmarkEnd w:id="190"/>
      <w:bookmarkEnd w:id="191"/>
    </w:p>
    <w:p w:rsidR="008E7846" w:rsidRDefault="008E7846" w:rsidP="008E7846">
      <w:bookmarkStart w:id="192" w:name="_Toc247691528"/>
      <w:r>
        <w:t xml:space="preserve">The submission was summarised in the following </w:t>
      </w:r>
      <w:r w:rsidRPr="00EF5C48">
        <w:t xml:space="preserve">Delegate’s </w:t>
      </w:r>
      <w:r>
        <w:t>overview</w:t>
      </w:r>
      <w:r w:rsidRPr="00EF5C48">
        <w:t xml:space="preserve"> and recommendation</w:t>
      </w:r>
      <w:r>
        <w:t>s:</w:t>
      </w:r>
    </w:p>
    <w:p w:rsidR="00486218" w:rsidRDefault="00486218" w:rsidP="00486218">
      <w:pPr>
        <w:pStyle w:val="Heading3"/>
      </w:pPr>
      <w:bookmarkStart w:id="193" w:name="_Toc345343194"/>
      <w:r>
        <w:t>Introduction</w:t>
      </w:r>
      <w:bookmarkEnd w:id="193"/>
    </w:p>
    <w:p w:rsidR="00E83D14" w:rsidRPr="00E83D14" w:rsidRDefault="00E83D14" w:rsidP="00E83D14">
      <w:pPr>
        <w:ind w:firstLine="6"/>
        <w:rPr>
          <w:color w:val="000000"/>
        </w:rPr>
      </w:pPr>
      <w:r w:rsidRPr="007502C8">
        <w:rPr>
          <w:color w:val="000000"/>
        </w:rPr>
        <w:t xml:space="preserve">This submission was conventional and it included nonclinical and clinical data. Individual patient data were present in the electronic version. A </w:t>
      </w:r>
      <w:r w:rsidR="007E4E99">
        <w:rPr>
          <w:color w:val="000000"/>
        </w:rPr>
        <w:t>RMP</w:t>
      </w:r>
      <w:r w:rsidRPr="007502C8">
        <w:rPr>
          <w:color w:val="000000"/>
        </w:rPr>
        <w:t xml:space="preserve"> was also submitted. </w:t>
      </w:r>
    </w:p>
    <w:p w:rsidR="00E83D14" w:rsidRPr="00E83D14" w:rsidRDefault="00E83D14" w:rsidP="00E83D14">
      <w:pPr>
        <w:ind w:firstLine="6"/>
        <w:rPr>
          <w:color w:val="000000"/>
        </w:rPr>
      </w:pPr>
      <w:r>
        <w:rPr>
          <w:color w:val="000000"/>
        </w:rPr>
        <w:t xml:space="preserve">The letter of application states that the </w:t>
      </w:r>
      <w:r w:rsidR="000D0EF9">
        <w:rPr>
          <w:color w:val="000000"/>
        </w:rPr>
        <w:t>new indication is supported by S</w:t>
      </w:r>
      <w:r>
        <w:rPr>
          <w:color w:val="000000"/>
        </w:rPr>
        <w:t xml:space="preserve">tudy CL3-032, a 12 month, placebo controlled, bone densitometric study in 261 male patients with primary osteoporosis of whom 28% had a prevalent vertebral fracture and whose mean lumbar T score was -2.6. An improvement in bone densitometry is claimed at 12 months, consistent with the results found in studies in postmenopausal women in which fractures were an endpoint. </w:t>
      </w:r>
    </w:p>
    <w:p w:rsidR="00486218" w:rsidRDefault="00E83D14" w:rsidP="00E83D14">
      <w:pPr>
        <w:rPr>
          <w:color w:val="000000"/>
        </w:rPr>
      </w:pPr>
      <w:r>
        <w:rPr>
          <w:color w:val="000000"/>
        </w:rPr>
        <w:t xml:space="preserve">The applicant’s clinical summary included this tabulation of two clinical studies and three population </w:t>
      </w:r>
      <w:r w:rsidR="00294ADE">
        <w:rPr>
          <w:color w:val="000000"/>
        </w:rPr>
        <w:t>PK</w:t>
      </w:r>
      <w:r>
        <w:rPr>
          <w:color w:val="000000"/>
        </w:rPr>
        <w:t>/</w:t>
      </w:r>
      <w:r w:rsidR="00294ADE">
        <w:rPr>
          <w:color w:val="000000"/>
        </w:rPr>
        <w:t>PD</w:t>
      </w:r>
      <w:r w:rsidR="006D3BDC">
        <w:rPr>
          <w:color w:val="000000"/>
        </w:rPr>
        <w:t xml:space="preserve"> analyses (Table 16).</w:t>
      </w:r>
    </w:p>
    <w:p w:rsidR="00742E7E" w:rsidRDefault="00742E7E" w:rsidP="00F16E27">
      <w:pPr>
        <w:pStyle w:val="TableTitle"/>
        <w:rPr>
          <w:lang w:val="en-GB"/>
        </w:rPr>
      </w:pPr>
      <w:r>
        <w:lastRenderedPageBreak/>
        <w:t>Table</w:t>
      </w:r>
      <w:r w:rsidRPr="004C5C28">
        <w:t xml:space="preserve"> </w:t>
      </w:r>
      <w:r w:rsidR="006D3BDC">
        <w:t>16</w:t>
      </w:r>
      <w:r>
        <w:t>:</w:t>
      </w:r>
      <w:r w:rsidRPr="004C5C28">
        <w:t xml:space="preserve"> </w:t>
      </w:r>
      <w:r>
        <w:t>Tabular listing of all clinical studies (all reports completed).</w:t>
      </w:r>
    </w:p>
    <w:p w:rsidR="00742E7E" w:rsidRDefault="00294DCE" w:rsidP="00742E7E">
      <w:pPr>
        <w:jc w:val="center"/>
        <w:rPr>
          <w:lang w:eastAsia="en-AU"/>
        </w:rPr>
      </w:pPr>
      <w:r>
        <w:rPr>
          <w:noProof/>
          <w:lang w:eastAsia="en-AU"/>
        </w:rPr>
        <w:drawing>
          <wp:inline distT="0" distB="0" distL="0" distR="0">
            <wp:extent cx="5396865" cy="2529840"/>
            <wp:effectExtent l="19050" t="0" r="0" b="0"/>
            <wp:docPr id="20" name="Picture 20" descr="Table 16: Tabular listing of all clinical studies (all report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6: Tabular listing of all clinical studies (all reports completed)."/>
                    <pic:cNvPicPr>
                      <a:picLocks noChangeAspect="1" noChangeArrowheads="1"/>
                    </pic:cNvPicPr>
                  </pic:nvPicPr>
                  <pic:blipFill>
                    <a:blip r:embed="rId35" cstate="print"/>
                    <a:srcRect/>
                    <a:stretch>
                      <a:fillRect/>
                    </a:stretch>
                  </pic:blipFill>
                  <pic:spPr bwMode="auto">
                    <a:xfrm>
                      <a:off x="0" y="0"/>
                      <a:ext cx="5396865" cy="2529840"/>
                    </a:xfrm>
                    <a:prstGeom prst="rect">
                      <a:avLst/>
                    </a:prstGeom>
                    <a:noFill/>
                    <a:ln w="9525">
                      <a:noFill/>
                      <a:miter lim="800000"/>
                      <a:headEnd/>
                      <a:tailEnd/>
                    </a:ln>
                  </pic:spPr>
                </pic:pic>
              </a:graphicData>
            </a:graphic>
          </wp:inline>
        </w:drawing>
      </w:r>
    </w:p>
    <w:p w:rsidR="000D0EF9" w:rsidRPr="00F642C3" w:rsidRDefault="000D0EF9" w:rsidP="000D0EF9">
      <w:pPr>
        <w:pStyle w:val="Heading4"/>
      </w:pPr>
      <w:r>
        <w:t>Regulatory History</w:t>
      </w:r>
    </w:p>
    <w:p w:rsidR="000D0EF9" w:rsidRPr="000D0EF9" w:rsidRDefault="000D0EF9" w:rsidP="000D0EF9">
      <w:pPr>
        <w:ind w:firstLine="6"/>
        <w:rPr>
          <w:color w:val="000000"/>
        </w:rPr>
      </w:pPr>
      <w:r w:rsidRPr="00A94B97">
        <w:rPr>
          <w:color w:val="000000"/>
        </w:rPr>
        <w:t xml:space="preserve">At the time of lodgement of the submission, the outcome of an application in the EU was pending. </w:t>
      </w:r>
    </w:p>
    <w:p w:rsidR="000D0EF9" w:rsidRPr="007502C8" w:rsidRDefault="000D0EF9" w:rsidP="000D0EF9">
      <w:pPr>
        <w:rPr>
          <w:color w:val="000000"/>
        </w:rPr>
      </w:pPr>
      <w:r w:rsidRPr="007502C8">
        <w:rPr>
          <w:color w:val="000000"/>
        </w:rPr>
        <w:t xml:space="preserve">The </w:t>
      </w:r>
      <w:r w:rsidR="00CF541A">
        <w:rPr>
          <w:bCs/>
        </w:rPr>
        <w:t xml:space="preserve">Advisory Committee on Prescription Medicines (ACPM) </w:t>
      </w:r>
      <w:r w:rsidRPr="007502C8">
        <w:rPr>
          <w:color w:val="000000"/>
        </w:rPr>
        <w:t xml:space="preserve">considered strontium ranelate as a new chemical entity at its </w:t>
      </w:r>
      <w:r w:rsidR="004F7605">
        <w:rPr>
          <w:color w:val="000000"/>
        </w:rPr>
        <w:t xml:space="preserve">239th </w:t>
      </w:r>
      <w:r w:rsidRPr="007502C8">
        <w:rPr>
          <w:color w:val="000000"/>
        </w:rPr>
        <w:t xml:space="preserve">meeting on </w:t>
      </w:r>
      <w:r w:rsidRPr="00AA1B70">
        <w:rPr>
          <w:color w:val="000000"/>
        </w:rPr>
        <w:t>3</w:t>
      </w:r>
      <w:r w:rsidR="004F7605">
        <w:rPr>
          <w:color w:val="000000"/>
        </w:rPr>
        <w:t xml:space="preserve">1 </w:t>
      </w:r>
      <w:r w:rsidRPr="00AA1B70">
        <w:rPr>
          <w:color w:val="000000"/>
        </w:rPr>
        <w:t>March 2005</w:t>
      </w:r>
      <w:r w:rsidRPr="007502C8">
        <w:rPr>
          <w:color w:val="000000"/>
        </w:rPr>
        <w:t xml:space="preserve">. Matters of interest to the </w:t>
      </w:r>
      <w:r w:rsidR="00B650CC">
        <w:rPr>
          <w:color w:val="000000"/>
        </w:rPr>
        <w:t>ACPM</w:t>
      </w:r>
      <w:r w:rsidRPr="007502C8">
        <w:rPr>
          <w:color w:val="000000"/>
        </w:rPr>
        <w:t xml:space="preserve"> were: </w:t>
      </w:r>
    </w:p>
    <w:p w:rsidR="000D0EF9" w:rsidRDefault="000D0EF9" w:rsidP="00F16E27">
      <w:pPr>
        <w:pStyle w:val="ListBullet"/>
      </w:pPr>
      <w:r>
        <w:t>There was very limited clinical evidence in relation to bone toxicity. While there was no osteomalacia or mineralisation delay observed in 103 assessable bone biopsies, the possibility of adverse bone effects was not excluded. Changes to the brittleness of bone had not been investigated.</w:t>
      </w:r>
    </w:p>
    <w:p w:rsidR="000D0EF9" w:rsidRDefault="000D0EF9" w:rsidP="00F16E27">
      <w:pPr>
        <w:pStyle w:val="ListBullet"/>
      </w:pPr>
      <w:r>
        <w:t>The clinical data supported the indication of treatment of post</w:t>
      </w:r>
      <w:r w:rsidR="00B650CC">
        <w:t xml:space="preserve"> </w:t>
      </w:r>
      <w:r>
        <w:t xml:space="preserve">menopausal osteoporosis to decrease the risk of fracture for therapy of </w:t>
      </w:r>
      <w:r w:rsidR="009834B4">
        <w:t>1-3</w:t>
      </w:r>
      <w:r>
        <w:t xml:space="preserve"> years duration. There were insufficient data to specify vertebral fracture and/or composite peripheral fracture in the indication.</w:t>
      </w:r>
      <w:r w:rsidR="002C0294">
        <w:t xml:space="preserve"> </w:t>
      </w:r>
    </w:p>
    <w:p w:rsidR="000D0EF9" w:rsidRDefault="000D0EF9" w:rsidP="00F16E27">
      <w:pPr>
        <w:pStyle w:val="ListBullet"/>
      </w:pPr>
      <w:r>
        <w:t>There was a limited correlation between the effect on BMD and the effect on fracture, that is, the women with bone density improvements were not necessarily the women without fract</w:t>
      </w:r>
      <w:r w:rsidR="00B650CC">
        <w:t>ures. Also, measured changes in</w:t>
      </w:r>
      <w:r w:rsidR="003175B7">
        <w:t xml:space="preserve"> BMD</w:t>
      </w:r>
      <w:r>
        <w:t xml:space="preserve"> were partly an artefact due to the atomic weight of strontium compared to calcium and did not directly indicate a benefit of therapy.</w:t>
      </w:r>
    </w:p>
    <w:p w:rsidR="000D0EF9" w:rsidRDefault="000D0EF9" w:rsidP="00F16E27">
      <w:pPr>
        <w:pStyle w:val="ListBullet"/>
      </w:pPr>
      <w:r w:rsidRPr="00AA1B70">
        <w:t>There was no direct evidence to allow the indication to specifically claim a reduction in hip fracture.</w:t>
      </w:r>
      <w:r w:rsidR="002C0294">
        <w:t xml:space="preserve"> </w:t>
      </w:r>
    </w:p>
    <w:p w:rsidR="000D0EF9" w:rsidRDefault="000D0EF9" w:rsidP="00F16E27">
      <w:pPr>
        <w:pStyle w:val="ListBullet"/>
        <w:rPr>
          <w:snapToGrid w:val="0"/>
        </w:rPr>
      </w:pPr>
      <w:r>
        <w:t xml:space="preserve">There was limited evidence of safety and efficacy in relation to use beyond </w:t>
      </w:r>
      <w:r w:rsidR="009834B4">
        <w:t xml:space="preserve">3 </w:t>
      </w:r>
      <w:r>
        <w:t>years. M</w:t>
      </w:r>
      <w:r w:rsidR="00B650CC">
        <w:t>ore data were required and the s</w:t>
      </w:r>
      <w:r>
        <w:t xml:space="preserve">ponsor should be requested to provide details of ongoing trials, which should include bone biopsy data. </w:t>
      </w:r>
      <w:r>
        <w:rPr>
          <w:snapToGrid w:val="0"/>
        </w:rPr>
        <w:t>There was insufficient information on whether benefit was maintained or reached a plateau with continuing therapy, and whether benefit continued after stopping treatment.</w:t>
      </w:r>
    </w:p>
    <w:p w:rsidR="000D0EF9" w:rsidRDefault="000D0EF9" w:rsidP="00F16E27">
      <w:pPr>
        <w:pStyle w:val="ListBullet"/>
        <w:rPr>
          <w:snapToGrid w:val="0"/>
        </w:rPr>
      </w:pPr>
      <w:r>
        <w:rPr>
          <w:snapToGrid w:val="0"/>
        </w:rPr>
        <w:t>The recommended duration of therapy was a practical issue in an elderly population.</w:t>
      </w:r>
    </w:p>
    <w:p w:rsidR="000D0EF9" w:rsidRPr="00600BFB" w:rsidRDefault="000D0EF9" w:rsidP="000D0EF9">
      <w:pPr>
        <w:rPr>
          <w:snapToGrid w:val="0"/>
        </w:rPr>
      </w:pPr>
      <w:r>
        <w:rPr>
          <w:snapToGrid w:val="0"/>
        </w:rPr>
        <w:t>Registration was recommended (</w:t>
      </w:r>
      <w:r w:rsidRPr="007502C8">
        <w:rPr>
          <w:snapToGrid w:val="0"/>
        </w:rPr>
        <w:t>R</w:t>
      </w:r>
      <w:r w:rsidR="00181144">
        <w:rPr>
          <w:snapToGrid w:val="0"/>
        </w:rPr>
        <w:t>esolution Number</w:t>
      </w:r>
      <w:r w:rsidRPr="007502C8">
        <w:rPr>
          <w:snapToGrid w:val="0"/>
        </w:rPr>
        <w:t xml:space="preserve"> 8745</w:t>
      </w:r>
      <w:r>
        <w:rPr>
          <w:snapToGrid w:val="0"/>
        </w:rPr>
        <w:t>).</w:t>
      </w:r>
    </w:p>
    <w:p w:rsidR="000D0EF9" w:rsidRPr="00600BFB" w:rsidRDefault="000D0EF9" w:rsidP="000D0EF9">
      <w:pPr>
        <w:rPr>
          <w:bCs/>
          <w:color w:val="000000"/>
        </w:rPr>
      </w:pPr>
      <w:r w:rsidRPr="00AD5C75">
        <w:rPr>
          <w:bCs/>
          <w:color w:val="000000"/>
        </w:rPr>
        <w:t>A relevant recommendation of the Committee is Re</w:t>
      </w:r>
      <w:r w:rsidR="00D24D89">
        <w:rPr>
          <w:bCs/>
          <w:color w:val="000000"/>
        </w:rPr>
        <w:t>solution Number 7078:</w:t>
      </w:r>
    </w:p>
    <w:p w:rsidR="000D0EF9" w:rsidRPr="004077F6" w:rsidRDefault="000D0EF9" w:rsidP="00600BFB">
      <w:pPr>
        <w:spacing w:line="120" w:lineRule="atLeast"/>
        <w:ind w:left="567"/>
        <w:rPr>
          <w:bCs/>
          <w:i/>
          <w:color w:val="000000"/>
        </w:rPr>
      </w:pPr>
      <w:r w:rsidRPr="004077F6">
        <w:rPr>
          <w:bCs/>
          <w:i/>
          <w:color w:val="000000"/>
        </w:rPr>
        <w:t>“</w:t>
      </w:r>
      <w:r w:rsidR="00D24D89" w:rsidRPr="004077F6">
        <w:rPr>
          <w:bCs/>
          <w:i/>
          <w:color w:val="000000"/>
        </w:rPr>
        <w:t>Resolution Number</w:t>
      </w:r>
      <w:r w:rsidRPr="004077F6">
        <w:rPr>
          <w:bCs/>
          <w:i/>
          <w:color w:val="000000"/>
        </w:rPr>
        <w:t xml:space="preserve"> 7078</w:t>
      </w:r>
    </w:p>
    <w:p w:rsidR="003C1BA2" w:rsidRPr="004077F6" w:rsidRDefault="003C1BA2" w:rsidP="00600BFB">
      <w:pPr>
        <w:spacing w:line="120" w:lineRule="atLeast"/>
        <w:ind w:left="567"/>
        <w:rPr>
          <w:bCs/>
          <w:i/>
          <w:color w:val="000000"/>
        </w:rPr>
      </w:pPr>
      <w:r w:rsidRPr="004077F6">
        <w:rPr>
          <w:bCs/>
          <w:i/>
          <w:color w:val="000000"/>
        </w:rPr>
        <w:lastRenderedPageBreak/>
        <w:t>Having considered correspondence relating to the treatment of osteoporosis in males and the desirability of minimising gender specific indications whenever possible, the ADEC would be prepared to recommend approval of a drug in a gender group if the sponsor has submitted an acceptable justification for the undertaking a clinical trial in that gender. The justification would require:</w:t>
      </w:r>
    </w:p>
    <w:p w:rsidR="00205899" w:rsidRPr="004077F6" w:rsidRDefault="00205899" w:rsidP="00047049">
      <w:pPr>
        <w:numPr>
          <w:ilvl w:val="0"/>
          <w:numId w:val="34"/>
        </w:numPr>
        <w:spacing w:line="120" w:lineRule="atLeast"/>
        <w:rPr>
          <w:bCs/>
          <w:i/>
          <w:color w:val="000000"/>
        </w:rPr>
      </w:pPr>
      <w:r w:rsidRPr="004077F6">
        <w:rPr>
          <w:bCs/>
          <w:i/>
          <w:color w:val="000000"/>
        </w:rPr>
        <w:t>that the drug was recommended for approval in the other gender on the basis of adequate conventional studies showing efficacy and safety;</w:t>
      </w:r>
    </w:p>
    <w:p w:rsidR="00205899" w:rsidRPr="004077F6" w:rsidRDefault="00205899" w:rsidP="00047049">
      <w:pPr>
        <w:numPr>
          <w:ilvl w:val="0"/>
          <w:numId w:val="34"/>
        </w:numPr>
        <w:spacing w:line="120" w:lineRule="atLeast"/>
        <w:rPr>
          <w:bCs/>
          <w:i/>
          <w:color w:val="000000"/>
        </w:rPr>
      </w:pPr>
      <w:r w:rsidRPr="004077F6">
        <w:rPr>
          <w:bCs/>
          <w:i/>
          <w:color w:val="000000"/>
        </w:rPr>
        <w:t>evidence of similar or identical disease pathogenesis;</w:t>
      </w:r>
    </w:p>
    <w:p w:rsidR="00205899" w:rsidRPr="004077F6" w:rsidRDefault="00AE1050" w:rsidP="00047049">
      <w:pPr>
        <w:numPr>
          <w:ilvl w:val="0"/>
          <w:numId w:val="34"/>
        </w:numPr>
        <w:spacing w:line="120" w:lineRule="atLeast"/>
        <w:rPr>
          <w:bCs/>
          <w:i/>
          <w:color w:val="000000"/>
        </w:rPr>
      </w:pPr>
      <w:r w:rsidRPr="004077F6">
        <w:rPr>
          <w:bCs/>
          <w:i/>
          <w:color w:val="000000"/>
        </w:rPr>
        <w:t>evidence of prevalence of the disease to show that an expectation of trials in this gender is unrealistic;</w:t>
      </w:r>
    </w:p>
    <w:p w:rsidR="00AE1050" w:rsidRPr="004077F6" w:rsidRDefault="00AE1050" w:rsidP="00047049">
      <w:pPr>
        <w:numPr>
          <w:ilvl w:val="0"/>
          <w:numId w:val="34"/>
        </w:numPr>
        <w:spacing w:line="120" w:lineRule="atLeast"/>
        <w:rPr>
          <w:bCs/>
          <w:i/>
          <w:color w:val="000000"/>
        </w:rPr>
      </w:pPr>
      <w:r w:rsidRPr="004077F6">
        <w:rPr>
          <w:bCs/>
          <w:i/>
          <w:color w:val="000000"/>
        </w:rPr>
        <w:t>evidence that toxicology studies were adequate to exclude gender specific differences of clinical significance;</w:t>
      </w:r>
    </w:p>
    <w:p w:rsidR="00AE1050" w:rsidRPr="004077F6" w:rsidRDefault="00AE1050" w:rsidP="00047049">
      <w:pPr>
        <w:numPr>
          <w:ilvl w:val="0"/>
          <w:numId w:val="34"/>
        </w:numPr>
        <w:spacing w:line="120" w:lineRule="atLeast"/>
        <w:rPr>
          <w:bCs/>
          <w:i/>
          <w:color w:val="000000"/>
        </w:rPr>
      </w:pPr>
      <w:r w:rsidRPr="004077F6">
        <w:rPr>
          <w:bCs/>
          <w:i/>
          <w:color w:val="000000"/>
        </w:rPr>
        <w:t>human clinical data to show that there are not clinically significant gender differences in PK or PD; and</w:t>
      </w:r>
    </w:p>
    <w:p w:rsidR="00AE1050" w:rsidRPr="004077F6" w:rsidRDefault="00AE1050" w:rsidP="00047049">
      <w:pPr>
        <w:numPr>
          <w:ilvl w:val="0"/>
          <w:numId w:val="34"/>
        </w:numPr>
        <w:spacing w:line="120" w:lineRule="atLeast"/>
        <w:rPr>
          <w:bCs/>
          <w:i/>
          <w:color w:val="000000"/>
        </w:rPr>
      </w:pPr>
      <w:r w:rsidRPr="004077F6">
        <w:rPr>
          <w:bCs/>
          <w:i/>
          <w:color w:val="000000"/>
        </w:rPr>
        <w:t>presentation of all identifiable evidence of safe use in the gender under consideration.</w:t>
      </w:r>
    </w:p>
    <w:p w:rsidR="004D2B3C" w:rsidRPr="004077F6" w:rsidRDefault="004D2B3C" w:rsidP="00600BFB">
      <w:pPr>
        <w:spacing w:line="120" w:lineRule="atLeast"/>
        <w:ind w:left="567"/>
        <w:rPr>
          <w:bCs/>
          <w:i/>
          <w:color w:val="000000"/>
        </w:rPr>
      </w:pPr>
      <w:r w:rsidRPr="004077F6">
        <w:rPr>
          <w:bCs/>
          <w:i/>
          <w:color w:val="000000"/>
        </w:rPr>
        <w:t xml:space="preserve">Points </w:t>
      </w:r>
      <w:r w:rsidR="000D0EF9" w:rsidRPr="004077F6">
        <w:rPr>
          <w:bCs/>
          <w:i/>
          <w:color w:val="000000"/>
        </w:rPr>
        <w:t xml:space="preserve">(i), (iv) </w:t>
      </w:r>
      <w:r w:rsidRPr="004077F6">
        <w:rPr>
          <w:bCs/>
          <w:i/>
          <w:color w:val="000000"/>
        </w:rPr>
        <w:t xml:space="preserve">and </w:t>
      </w:r>
      <w:r w:rsidR="000D0EF9" w:rsidRPr="004077F6">
        <w:rPr>
          <w:bCs/>
          <w:i/>
          <w:color w:val="000000"/>
        </w:rPr>
        <w:t xml:space="preserve">(v) </w:t>
      </w:r>
      <w:r w:rsidRPr="004077F6">
        <w:rPr>
          <w:bCs/>
          <w:i/>
          <w:color w:val="000000"/>
        </w:rPr>
        <w:t>would require data and usually would require studies to have been conducted by the sponsor.</w:t>
      </w:r>
    </w:p>
    <w:p w:rsidR="004D2B3C" w:rsidRPr="004077F6" w:rsidRDefault="004077F6" w:rsidP="00600BFB">
      <w:pPr>
        <w:spacing w:line="120" w:lineRule="atLeast"/>
        <w:ind w:left="567"/>
        <w:rPr>
          <w:bCs/>
          <w:i/>
          <w:color w:val="000000"/>
        </w:rPr>
      </w:pPr>
      <w:r w:rsidRPr="004077F6">
        <w:rPr>
          <w:bCs/>
          <w:i/>
          <w:color w:val="000000"/>
        </w:rPr>
        <w:t>Points</w:t>
      </w:r>
      <w:r w:rsidR="004D2B3C" w:rsidRPr="004077F6">
        <w:rPr>
          <w:bCs/>
          <w:i/>
          <w:color w:val="000000"/>
        </w:rPr>
        <w:t xml:space="preserve"> (ii) and</w:t>
      </w:r>
      <w:r w:rsidR="000D0EF9" w:rsidRPr="004077F6">
        <w:rPr>
          <w:bCs/>
          <w:i/>
          <w:color w:val="000000"/>
        </w:rPr>
        <w:t xml:space="preserve"> (iii) </w:t>
      </w:r>
      <w:r w:rsidR="004D2B3C" w:rsidRPr="004077F6">
        <w:rPr>
          <w:bCs/>
          <w:i/>
          <w:color w:val="000000"/>
        </w:rPr>
        <w:t>might be based on a bibliographic submission.</w:t>
      </w:r>
    </w:p>
    <w:p w:rsidR="000D0EF9" w:rsidRPr="004077F6" w:rsidRDefault="004077F6" w:rsidP="004D2B3C">
      <w:pPr>
        <w:spacing w:line="120" w:lineRule="atLeast"/>
        <w:ind w:left="567"/>
        <w:rPr>
          <w:bCs/>
          <w:i/>
          <w:color w:val="000000"/>
        </w:rPr>
      </w:pPr>
      <w:r w:rsidRPr="004077F6">
        <w:rPr>
          <w:bCs/>
          <w:i/>
          <w:color w:val="000000"/>
        </w:rPr>
        <w:t>Point</w:t>
      </w:r>
      <w:r w:rsidR="000D0EF9" w:rsidRPr="004077F6">
        <w:rPr>
          <w:bCs/>
          <w:i/>
          <w:color w:val="000000"/>
        </w:rPr>
        <w:t xml:space="preserve"> (vi) </w:t>
      </w:r>
      <w:r w:rsidR="004D2B3C" w:rsidRPr="004077F6">
        <w:rPr>
          <w:bCs/>
          <w:i/>
          <w:color w:val="000000"/>
        </w:rPr>
        <w:t xml:space="preserve">would require submission of any studies </w:t>
      </w:r>
      <w:r w:rsidR="00B61FF2" w:rsidRPr="004077F6">
        <w:rPr>
          <w:bCs/>
          <w:i/>
          <w:color w:val="000000"/>
        </w:rPr>
        <w:t>and also all literature reports</w:t>
      </w:r>
      <w:r w:rsidR="000D0EF9" w:rsidRPr="004077F6">
        <w:rPr>
          <w:bCs/>
          <w:i/>
          <w:color w:val="000000"/>
        </w:rPr>
        <w:t>.”</w:t>
      </w:r>
    </w:p>
    <w:p w:rsidR="000B5A2E" w:rsidRDefault="000D0EF9" w:rsidP="000D0EF9">
      <w:pPr>
        <w:rPr>
          <w:bCs/>
          <w:color w:val="000000"/>
        </w:rPr>
      </w:pPr>
      <w:r w:rsidRPr="003F48C2">
        <w:rPr>
          <w:bCs/>
          <w:color w:val="000000"/>
        </w:rPr>
        <w:t>Guidelines that are applicable include</w:t>
      </w:r>
      <w:r w:rsidR="000B5A2E">
        <w:rPr>
          <w:bCs/>
          <w:color w:val="000000"/>
        </w:rPr>
        <w:t>:</w:t>
      </w:r>
    </w:p>
    <w:p w:rsidR="000B5A2E" w:rsidRDefault="000B5A2E" w:rsidP="00F16E27">
      <w:pPr>
        <w:pStyle w:val="ListBullet"/>
      </w:pPr>
      <w:r>
        <w:t>the relevant EMA guideline</w:t>
      </w:r>
      <w:r>
        <w:rPr>
          <w:rStyle w:val="FootnoteReference"/>
          <w:bCs/>
          <w:color w:val="000000"/>
        </w:rPr>
        <w:footnoteReference w:id="21"/>
      </w:r>
      <w:r>
        <w:t>;</w:t>
      </w:r>
    </w:p>
    <w:p w:rsidR="000B5A2E" w:rsidRDefault="000D0EF9" w:rsidP="00F16E27">
      <w:pPr>
        <w:pStyle w:val="ListBullet"/>
      </w:pPr>
      <w:r w:rsidRPr="003F48C2">
        <w:t>Clinical Investigation of Medicinal Products in</w:t>
      </w:r>
      <w:r>
        <w:t xml:space="preserve"> </w:t>
      </w:r>
      <w:r w:rsidRPr="003F48C2">
        <w:t>Geriatrics</w:t>
      </w:r>
      <w:r w:rsidR="000B5A2E">
        <w:t>; and,</w:t>
      </w:r>
    </w:p>
    <w:p w:rsidR="000D0EF9" w:rsidRDefault="000D0EF9" w:rsidP="00F16E27">
      <w:pPr>
        <w:pStyle w:val="ListBullet"/>
      </w:pPr>
      <w:r w:rsidRPr="007E688C">
        <w:t>Points to Consider on Application with</w:t>
      </w:r>
      <w:r>
        <w:t xml:space="preserve"> </w:t>
      </w:r>
      <w:r w:rsidRPr="007E688C">
        <w:t>1. Meta</w:t>
      </w:r>
      <w:r w:rsidR="00600BFB">
        <w:t xml:space="preserve"> </w:t>
      </w:r>
      <w:r w:rsidRPr="007E688C">
        <w:t>Analyses;</w:t>
      </w:r>
      <w:r>
        <w:t xml:space="preserve"> </w:t>
      </w:r>
      <w:r w:rsidRPr="007E688C">
        <w:t>2. One Pivotal Study</w:t>
      </w:r>
      <w:r>
        <w:t>.</w:t>
      </w:r>
    </w:p>
    <w:p w:rsidR="000D0EF9" w:rsidRDefault="000D0EF9" w:rsidP="000D0EF9">
      <w:r>
        <w:t>The firs</w:t>
      </w:r>
      <w:r w:rsidR="00600BFB">
        <w:t>t of these guidelines suggests:</w:t>
      </w:r>
    </w:p>
    <w:p w:rsidR="000D0EF9" w:rsidRPr="00600BFB" w:rsidRDefault="000D0EF9" w:rsidP="00600BFB">
      <w:pPr>
        <w:ind w:left="360"/>
        <w:rPr>
          <w:i/>
        </w:rPr>
      </w:pPr>
      <w:r w:rsidRPr="00600BFB">
        <w:rPr>
          <w:i/>
        </w:rPr>
        <w:t>“Taking into consideration the different pathophysiology of osteoporosis in males and in females and the limited knowledge of the mechanism of action of products that have demonstrated efficacy in women, the gold standard for being granted a marketing authorisation for the treatment of osteoporosis in men at increased risk of fracture remains the</w:t>
      </w:r>
      <w:r w:rsidR="00B650CC">
        <w:rPr>
          <w:i/>
        </w:rPr>
        <w:t xml:space="preserve"> demonstration of anti </w:t>
      </w:r>
      <w:r w:rsidRPr="00600BFB">
        <w:rPr>
          <w:i/>
        </w:rPr>
        <w:t>fracture efficacy (spine and/or non</w:t>
      </w:r>
      <w:r w:rsidR="00B650CC">
        <w:rPr>
          <w:i/>
        </w:rPr>
        <w:t xml:space="preserve"> </w:t>
      </w:r>
      <w:r w:rsidRPr="00600BFB">
        <w:rPr>
          <w:i/>
        </w:rPr>
        <w:t>spine fractures) d</w:t>
      </w:r>
      <w:r w:rsidR="00B650CC">
        <w:rPr>
          <w:i/>
        </w:rPr>
        <w:t xml:space="preserve">uring a 2 year minimum, placebo </w:t>
      </w:r>
      <w:r w:rsidRPr="00600BFB">
        <w:rPr>
          <w:i/>
        </w:rPr>
        <w:t>controlled, prospective study. However, once an initial marketing authorisation has been granted to a NCE for the treatment of postmenopausal osteoporosis in women at high risk of fracture, a separate bridging study of the same NCE, using the same formulation, dose, and route of administration in male osteoporotic patients could be sufficient for being granted a marketing authorisation with the indic</w:t>
      </w:r>
      <w:r w:rsidR="00F17B6A">
        <w:rPr>
          <w:i/>
        </w:rPr>
        <w:t>ation ‘</w:t>
      </w:r>
      <w:r w:rsidRPr="00600BFB">
        <w:rPr>
          <w:i/>
        </w:rPr>
        <w:t>treatment of osteoporosis in me</w:t>
      </w:r>
      <w:r w:rsidR="00F17B6A">
        <w:rPr>
          <w:i/>
        </w:rPr>
        <w:t>n at increased risk of fracture’</w:t>
      </w:r>
      <w:r w:rsidRPr="00600BFB">
        <w:rPr>
          <w:i/>
        </w:rPr>
        <w:t xml:space="preserve"> provided that:</w:t>
      </w:r>
    </w:p>
    <w:p w:rsidR="000D0EF9" w:rsidRPr="00F16E27" w:rsidRDefault="000D0EF9" w:rsidP="00F16E27">
      <w:pPr>
        <w:pStyle w:val="ListBullet"/>
        <w:ind w:left="1134"/>
        <w:rPr>
          <w:i/>
        </w:rPr>
      </w:pPr>
      <w:r w:rsidRPr="00F16E27">
        <w:rPr>
          <w:i/>
        </w:rPr>
        <w:t>the duration of the study is at least one year;</w:t>
      </w:r>
    </w:p>
    <w:p w:rsidR="000D0EF9" w:rsidRPr="00F16E27" w:rsidRDefault="000D0EF9" w:rsidP="00F16E27">
      <w:pPr>
        <w:pStyle w:val="ListBullet"/>
        <w:ind w:left="1134"/>
        <w:rPr>
          <w:i/>
        </w:rPr>
      </w:pPr>
      <w:r w:rsidRPr="00F16E27">
        <w:rPr>
          <w:i/>
        </w:rPr>
        <w:t>the dosage is justified</w:t>
      </w:r>
    </w:p>
    <w:p w:rsidR="000D0EF9" w:rsidRPr="00F16E27" w:rsidRDefault="000D0EF9" w:rsidP="00F16E27">
      <w:pPr>
        <w:pStyle w:val="ListBullet"/>
        <w:ind w:left="1134"/>
        <w:rPr>
          <w:i/>
        </w:rPr>
      </w:pPr>
      <w:r w:rsidRPr="00F16E27">
        <w:rPr>
          <w:i/>
        </w:rPr>
        <w:t>the a</w:t>
      </w:r>
      <w:r w:rsidR="00B650CC" w:rsidRPr="00F16E27">
        <w:rPr>
          <w:i/>
        </w:rPr>
        <w:t xml:space="preserve">pplicant justifies that the cut </w:t>
      </w:r>
      <w:r w:rsidRPr="00F16E27">
        <w:rPr>
          <w:i/>
        </w:rPr>
        <w:t xml:space="preserve">off of BMD, age and any other risk factor chosen for the inclusion of men in the pivotal study will generate a fracture risk </w:t>
      </w:r>
      <w:r w:rsidRPr="00F16E27">
        <w:rPr>
          <w:i/>
        </w:rPr>
        <w:lastRenderedPageBreak/>
        <w:t xml:space="preserve">of a similar magnitude compared with postmenopausal women that were recruited in the studies used to obtain the indication “Treatment of postmenopausal osteoporosis in women at increased risk </w:t>
      </w:r>
      <w:r w:rsidR="00507B3D" w:rsidRPr="00F16E27">
        <w:rPr>
          <w:i/>
        </w:rPr>
        <w:t>of fracture”</w:t>
      </w:r>
    </w:p>
    <w:p w:rsidR="00600BFB" w:rsidRPr="00F16E27" w:rsidRDefault="000D0EF9" w:rsidP="00F16E27">
      <w:pPr>
        <w:pStyle w:val="ListBullet"/>
        <w:ind w:left="1134"/>
        <w:rPr>
          <w:i/>
        </w:rPr>
      </w:pPr>
      <w:r w:rsidRPr="00F16E27">
        <w:rPr>
          <w:i/>
        </w:rPr>
        <w:t>the magnitude of the changes in BMD versus placebo is similar to that observed in postmenopausal osteoporotic women treated with the same compound and is proportional to the decreased incidence of fractures in treated women.</w:t>
      </w:r>
      <w:r w:rsidR="00600BFB" w:rsidRPr="00F16E27">
        <w:rPr>
          <w:i/>
        </w:rPr>
        <w:t>”</w:t>
      </w:r>
    </w:p>
    <w:p w:rsidR="000D0EF9" w:rsidRPr="00600BFB" w:rsidRDefault="000D0EF9" w:rsidP="00600BFB">
      <w:r w:rsidRPr="007E688C">
        <w:t xml:space="preserve">The guideline regarding geriatrics advises that there be </w:t>
      </w:r>
      <w:r w:rsidR="0039505F">
        <w:t xml:space="preserve">PK </w:t>
      </w:r>
      <w:r w:rsidR="00600BFB">
        <w:t xml:space="preserve">characterisation in older versus younger patients to detect age </w:t>
      </w:r>
      <w:r w:rsidRPr="007E688C">
        <w:t xml:space="preserve">related </w:t>
      </w:r>
      <w:r w:rsidR="0039505F">
        <w:t>PK</w:t>
      </w:r>
      <w:r w:rsidRPr="007E688C">
        <w:t xml:space="preserve"> differences. Both suggested approaches have been followed to some extent in this application. The guideline on Points to Consi</w:t>
      </w:r>
      <w:r w:rsidR="00600BFB">
        <w:t xml:space="preserve">der on Application with 1. Meta </w:t>
      </w:r>
      <w:r w:rsidRPr="007E688C">
        <w:t>Analyses; 2. One Pivotal Study does expect compelling clinical evidence.</w:t>
      </w:r>
    </w:p>
    <w:p w:rsidR="008E7846" w:rsidRDefault="008E7846" w:rsidP="008E7846">
      <w:pPr>
        <w:pStyle w:val="Heading3"/>
      </w:pPr>
      <w:bookmarkStart w:id="194" w:name="_Toc314842511"/>
      <w:bookmarkStart w:id="195" w:name="_Toc345343195"/>
      <w:r>
        <w:t>Quality</w:t>
      </w:r>
      <w:bookmarkEnd w:id="192"/>
      <w:bookmarkEnd w:id="194"/>
      <w:bookmarkEnd w:id="195"/>
    </w:p>
    <w:p w:rsidR="00E45619" w:rsidRDefault="008E7846" w:rsidP="003A7F6C">
      <w:r>
        <w:t>There was no requirement for a quality evaluation in a submission of this type.</w:t>
      </w:r>
    </w:p>
    <w:p w:rsidR="008E7846" w:rsidRDefault="008E7846" w:rsidP="008E7846">
      <w:pPr>
        <w:pStyle w:val="Heading3"/>
      </w:pPr>
      <w:bookmarkStart w:id="196" w:name="_Toc314842512"/>
      <w:bookmarkStart w:id="197" w:name="_Toc345343196"/>
      <w:r>
        <w:t>Nonclinical</w:t>
      </w:r>
      <w:bookmarkEnd w:id="196"/>
      <w:bookmarkEnd w:id="197"/>
    </w:p>
    <w:p w:rsidR="00F524BC" w:rsidRDefault="00F524BC" w:rsidP="00F524BC">
      <w:pPr>
        <w:rPr>
          <w:bCs/>
          <w:color w:val="000000"/>
        </w:rPr>
      </w:pPr>
      <w:r>
        <w:rPr>
          <w:bCs/>
          <w:color w:val="000000"/>
        </w:rPr>
        <w:t>The nonclinical evaluator</w:t>
      </w:r>
      <w:r w:rsidR="00B650CC">
        <w:rPr>
          <w:bCs/>
          <w:color w:val="000000"/>
        </w:rPr>
        <w:t xml:space="preserve"> describes two, new long </w:t>
      </w:r>
      <w:r>
        <w:rPr>
          <w:bCs/>
          <w:color w:val="000000"/>
        </w:rPr>
        <w:t>term GLP</w:t>
      </w:r>
      <w:r w:rsidR="00B650CC">
        <w:rPr>
          <w:bCs/>
          <w:color w:val="000000"/>
        </w:rPr>
        <w:t xml:space="preserve"> </w:t>
      </w:r>
      <w:r>
        <w:rPr>
          <w:bCs/>
          <w:color w:val="000000"/>
        </w:rPr>
        <w:t>compliant nonclinical studies that were submitted.</w:t>
      </w:r>
      <w:r w:rsidR="002C0294">
        <w:rPr>
          <w:bCs/>
          <w:color w:val="000000"/>
        </w:rPr>
        <w:t xml:space="preserve"> </w:t>
      </w:r>
      <w:r>
        <w:rPr>
          <w:bCs/>
          <w:color w:val="000000"/>
        </w:rPr>
        <w:t xml:space="preserve">The studies were conducted in </w:t>
      </w:r>
      <w:r w:rsidRPr="009A74BE">
        <w:t xml:space="preserve">orchidectomised </w:t>
      </w:r>
      <w:r>
        <w:rPr>
          <w:bCs/>
          <w:color w:val="000000"/>
        </w:rPr>
        <w:t>male rats. They were no</w:t>
      </w:r>
      <w:r w:rsidR="00F16E27">
        <w:rPr>
          <w:bCs/>
          <w:color w:val="000000"/>
        </w:rPr>
        <w:t>t intended as toxicity studies.</w:t>
      </w:r>
    </w:p>
    <w:p w:rsidR="00F524BC" w:rsidRDefault="00F524BC" w:rsidP="00F524BC">
      <w:pPr>
        <w:rPr>
          <w:szCs w:val="23"/>
        </w:rPr>
      </w:pPr>
      <w:r>
        <w:rPr>
          <w:bCs/>
          <w:color w:val="000000"/>
        </w:rPr>
        <w:t>The first study was a preventive study in the sense that strontium ranelate was given for 52 weeks starting at the time of orchidectomy.</w:t>
      </w:r>
      <w:r w:rsidR="002C0294">
        <w:rPr>
          <w:bCs/>
          <w:color w:val="000000"/>
        </w:rPr>
        <w:t xml:space="preserve"> </w:t>
      </w:r>
      <w:r>
        <w:rPr>
          <w:bCs/>
          <w:color w:val="000000"/>
        </w:rPr>
        <w:t>The study was</w:t>
      </w:r>
      <w:r w:rsidR="002022A3">
        <w:rPr>
          <w:bCs/>
          <w:color w:val="000000"/>
        </w:rPr>
        <w:t xml:space="preserve"> controlled and the active dose levels</w:t>
      </w:r>
      <w:r>
        <w:rPr>
          <w:bCs/>
          <w:color w:val="000000"/>
        </w:rPr>
        <w:t xml:space="preserve"> were </w:t>
      </w:r>
      <w:r w:rsidRPr="00F94D0A">
        <w:rPr>
          <w:szCs w:val="23"/>
        </w:rPr>
        <w:t>250, 625 and 900 mg/kg/day</w:t>
      </w:r>
      <w:r>
        <w:rPr>
          <w:szCs w:val="23"/>
        </w:rPr>
        <w:t>, 20 animals/group.</w:t>
      </w:r>
    </w:p>
    <w:p w:rsidR="00F524BC" w:rsidRDefault="00F524BC" w:rsidP="00F524BC">
      <w:pPr>
        <w:rPr>
          <w:bCs/>
          <w:color w:val="000000"/>
        </w:rPr>
      </w:pPr>
      <w:r>
        <w:rPr>
          <w:szCs w:val="23"/>
        </w:rPr>
        <w:t xml:space="preserve">The second </w:t>
      </w:r>
      <w:r w:rsidR="002022A3">
        <w:rPr>
          <w:bCs/>
          <w:color w:val="000000"/>
        </w:rPr>
        <w:t>study was a curative</w:t>
      </w:r>
      <w:r>
        <w:rPr>
          <w:bCs/>
          <w:color w:val="000000"/>
        </w:rPr>
        <w:t xml:space="preserve"> study in the sense that strontium ranelate was given for 44 weeks starting eight weeks after orchidectomy.</w:t>
      </w:r>
      <w:r w:rsidR="002C0294">
        <w:rPr>
          <w:bCs/>
          <w:color w:val="000000"/>
        </w:rPr>
        <w:t xml:space="preserve"> </w:t>
      </w:r>
      <w:r>
        <w:rPr>
          <w:bCs/>
          <w:color w:val="000000"/>
        </w:rPr>
        <w:t xml:space="preserve">The active treatment group received strontium ranelate </w:t>
      </w:r>
      <w:r w:rsidRPr="00DE72D8">
        <w:rPr>
          <w:szCs w:val="23"/>
        </w:rPr>
        <w:t>625 mg/kg/day</w:t>
      </w:r>
      <w:r>
        <w:rPr>
          <w:szCs w:val="23"/>
        </w:rPr>
        <w:t>, 20 animals/group.</w:t>
      </w:r>
    </w:p>
    <w:p w:rsidR="00F524BC" w:rsidRPr="00F524BC" w:rsidRDefault="00F524BC" w:rsidP="00F524BC">
      <w:pPr>
        <w:rPr>
          <w:bCs/>
          <w:color w:val="000000"/>
        </w:rPr>
      </w:pPr>
      <w:r>
        <w:rPr>
          <w:bCs/>
          <w:color w:val="000000"/>
        </w:rPr>
        <w:t xml:space="preserve">The observed effects of strontium ranelate are tabulated </w:t>
      </w:r>
      <w:r w:rsidR="0000270E">
        <w:rPr>
          <w:bCs/>
          <w:color w:val="000000"/>
        </w:rPr>
        <w:t>in the nonclinical</w:t>
      </w:r>
      <w:r>
        <w:rPr>
          <w:bCs/>
          <w:color w:val="000000"/>
        </w:rPr>
        <w:t xml:space="preserve"> report. Changes in bony strength were not seen in control or treated groups in either study. In both studies 3-6 additional animals per group supplied </w:t>
      </w:r>
      <w:r w:rsidR="0039505F">
        <w:rPr>
          <w:bCs/>
          <w:color w:val="000000"/>
        </w:rPr>
        <w:t>PK</w:t>
      </w:r>
      <w:r>
        <w:rPr>
          <w:bCs/>
          <w:color w:val="000000"/>
        </w:rPr>
        <w:t xml:space="preserve"> data.</w:t>
      </w:r>
    </w:p>
    <w:p w:rsidR="00F524BC" w:rsidRDefault="00F524BC" w:rsidP="00F524BC">
      <w:pPr>
        <w:rPr>
          <w:iCs/>
          <w:color w:val="000000"/>
        </w:rPr>
      </w:pPr>
      <w:r w:rsidRPr="00370766">
        <w:rPr>
          <w:iCs/>
          <w:color w:val="000000"/>
        </w:rPr>
        <w:t>The evaluat</w:t>
      </w:r>
      <w:r>
        <w:rPr>
          <w:iCs/>
          <w:color w:val="000000"/>
        </w:rPr>
        <w:t>or recommends some presentation</w:t>
      </w:r>
      <w:r w:rsidRPr="00370766">
        <w:rPr>
          <w:iCs/>
          <w:color w:val="000000"/>
        </w:rPr>
        <w:t>al changes to the draft product information document.</w:t>
      </w:r>
      <w:r w:rsidR="002C0294">
        <w:rPr>
          <w:iCs/>
          <w:color w:val="000000"/>
        </w:rPr>
        <w:t xml:space="preserve"> </w:t>
      </w:r>
      <w:r>
        <w:rPr>
          <w:iCs/>
          <w:color w:val="000000"/>
        </w:rPr>
        <w:t>A correction was made to the toxicokinetic statement in the risk manageme</w:t>
      </w:r>
      <w:r w:rsidR="00F16E27">
        <w:rPr>
          <w:iCs/>
          <w:color w:val="000000"/>
        </w:rPr>
        <w:t>nt plan’s safety specification.</w:t>
      </w:r>
    </w:p>
    <w:p w:rsidR="008E7846" w:rsidRPr="00F524BC" w:rsidRDefault="00F524BC" w:rsidP="008E7846">
      <w:pPr>
        <w:rPr>
          <w:iCs/>
          <w:color w:val="000000"/>
        </w:rPr>
      </w:pPr>
      <w:r>
        <w:rPr>
          <w:iCs/>
          <w:color w:val="000000"/>
        </w:rPr>
        <w:t>Approval of the indication would depend on clinical data.</w:t>
      </w:r>
    </w:p>
    <w:p w:rsidR="008E7846" w:rsidRDefault="008E7846" w:rsidP="008E7846">
      <w:pPr>
        <w:pStyle w:val="Heading3"/>
      </w:pPr>
      <w:bookmarkStart w:id="198" w:name="_Toc247691530"/>
      <w:bookmarkStart w:id="199" w:name="_Toc314842513"/>
      <w:bookmarkStart w:id="200" w:name="_Toc345343197"/>
      <w:r>
        <w:t>Clinical</w:t>
      </w:r>
      <w:bookmarkEnd w:id="198"/>
      <w:bookmarkEnd w:id="199"/>
      <w:bookmarkEnd w:id="200"/>
    </w:p>
    <w:p w:rsidR="00F524BC" w:rsidRDefault="00F524BC" w:rsidP="00F524BC">
      <w:pPr>
        <w:rPr>
          <w:color w:val="000000"/>
        </w:rPr>
      </w:pPr>
      <w:r w:rsidRPr="00A94B97">
        <w:rPr>
          <w:color w:val="000000"/>
        </w:rPr>
        <w:t xml:space="preserve">The clinical evaluator noted that </w:t>
      </w:r>
      <w:r>
        <w:rPr>
          <w:color w:val="000000"/>
        </w:rPr>
        <w:t>the r</w:t>
      </w:r>
      <w:r w:rsidRPr="00757198">
        <w:rPr>
          <w:color w:val="000000"/>
        </w:rPr>
        <w:t xml:space="preserve">isk factors </w:t>
      </w:r>
      <w:r>
        <w:rPr>
          <w:color w:val="000000"/>
        </w:rPr>
        <w:t>for</w:t>
      </w:r>
      <w:r w:rsidRPr="00757198">
        <w:rPr>
          <w:color w:val="000000"/>
        </w:rPr>
        <w:t xml:space="preserve"> male osteoporosis include</w:t>
      </w:r>
      <w:r>
        <w:rPr>
          <w:color w:val="000000"/>
        </w:rPr>
        <w:t>:</w:t>
      </w:r>
      <w:r w:rsidRPr="00757198">
        <w:rPr>
          <w:color w:val="000000"/>
        </w:rPr>
        <w:t xml:space="preserve"> </w:t>
      </w:r>
      <w:r>
        <w:rPr>
          <w:color w:val="000000"/>
        </w:rPr>
        <w:t>h</w:t>
      </w:r>
      <w:r w:rsidRPr="00757198">
        <w:rPr>
          <w:color w:val="000000"/>
        </w:rPr>
        <w:t>ypogonadism, smoking, alcohol consumption, low calcium intake, vitamin D deficiency and inadequate level of physical exercise</w:t>
      </w:r>
      <w:r>
        <w:rPr>
          <w:color w:val="000000"/>
        </w:rPr>
        <w:t xml:space="preserve"> and that o</w:t>
      </w:r>
      <w:r w:rsidRPr="00757198">
        <w:rPr>
          <w:color w:val="000000"/>
        </w:rPr>
        <w:t xml:space="preserve">steoporosis becomes an </w:t>
      </w:r>
      <w:r w:rsidR="00617A11">
        <w:rPr>
          <w:color w:val="000000"/>
        </w:rPr>
        <w:t xml:space="preserve">important issue only when a low </w:t>
      </w:r>
      <w:r w:rsidRPr="00757198">
        <w:rPr>
          <w:color w:val="000000"/>
        </w:rPr>
        <w:t>impact fracture occurs.</w:t>
      </w:r>
    </w:p>
    <w:p w:rsidR="00F524BC" w:rsidRDefault="00F524BC" w:rsidP="00F524BC">
      <w:pPr>
        <w:rPr>
          <w:color w:val="000000"/>
        </w:rPr>
      </w:pPr>
      <w:r w:rsidRPr="00A94B97">
        <w:rPr>
          <w:color w:val="000000"/>
        </w:rPr>
        <w:t xml:space="preserve">The applicant’s </w:t>
      </w:r>
      <w:r w:rsidRPr="00757198">
        <w:rPr>
          <w:color w:val="000000"/>
        </w:rPr>
        <w:t>claimed rationale for the use of strontium ranelate is the assumption that the human male skeleton would not respond any differently to the female</w:t>
      </w:r>
      <w:r w:rsidR="007D6CF5">
        <w:rPr>
          <w:color w:val="000000"/>
        </w:rPr>
        <w:t xml:space="preserve"> skeleton to non-hormonal anti </w:t>
      </w:r>
      <w:r w:rsidRPr="00757198">
        <w:rPr>
          <w:color w:val="000000"/>
        </w:rPr>
        <w:t>osteoporotic treatments.</w:t>
      </w:r>
    </w:p>
    <w:p w:rsidR="00F524BC" w:rsidRPr="00F524BC" w:rsidRDefault="00F524BC" w:rsidP="00F524BC">
      <w:pPr>
        <w:pStyle w:val="Heading5"/>
      </w:pPr>
      <w:r w:rsidRPr="00370766">
        <w:t>Pharmacokinetics and Pharmacodynamics</w:t>
      </w:r>
      <w:r w:rsidRPr="00A94B97">
        <w:t>:</w:t>
      </w:r>
    </w:p>
    <w:p w:rsidR="00F524BC" w:rsidRPr="00A94B97" w:rsidRDefault="00F524BC" w:rsidP="00F524BC">
      <w:pPr>
        <w:rPr>
          <w:color w:val="000000"/>
        </w:rPr>
      </w:pPr>
      <w:r w:rsidRPr="00A94B97">
        <w:rPr>
          <w:color w:val="000000"/>
        </w:rPr>
        <w:t>As listed by the evalua</w:t>
      </w:r>
      <w:r>
        <w:rPr>
          <w:color w:val="000000"/>
        </w:rPr>
        <w:t>tor, the data package included:</w:t>
      </w:r>
    </w:p>
    <w:p w:rsidR="00F524BC" w:rsidRPr="00A94B97" w:rsidRDefault="00F524BC" w:rsidP="00F16E27">
      <w:pPr>
        <w:pStyle w:val="ListBullet"/>
        <w:rPr>
          <w:lang w:val="en-US"/>
        </w:rPr>
      </w:pPr>
      <w:r w:rsidRPr="00A94B97">
        <w:rPr>
          <w:lang w:val="en-US"/>
        </w:rPr>
        <w:t xml:space="preserve">One clinical pharmacology study that provided </w:t>
      </w:r>
      <w:r w:rsidR="0039505F">
        <w:rPr>
          <w:lang w:val="en-US"/>
        </w:rPr>
        <w:t>PK</w:t>
      </w:r>
      <w:r w:rsidRPr="00A94B97">
        <w:rPr>
          <w:lang w:val="en-US"/>
        </w:rPr>
        <w:t xml:space="preserve"> data in men </w:t>
      </w:r>
      <w:r w:rsidR="00684FCD">
        <w:rPr>
          <w:lang w:val="en-US"/>
        </w:rPr>
        <w:t xml:space="preserve">(Study </w:t>
      </w:r>
      <w:r w:rsidRPr="00A94B97">
        <w:rPr>
          <w:lang w:val="en-US"/>
        </w:rPr>
        <w:t>PKH-12911-012-FRA</w:t>
      </w:r>
      <w:r w:rsidR="00684FCD">
        <w:rPr>
          <w:lang w:val="en-US"/>
        </w:rPr>
        <w:t>)</w:t>
      </w:r>
      <w:r w:rsidRPr="00A94B97">
        <w:rPr>
          <w:lang w:val="en-US"/>
        </w:rPr>
        <w:t xml:space="preserve">; </w:t>
      </w:r>
    </w:p>
    <w:p w:rsidR="00F524BC" w:rsidRPr="00A94B97" w:rsidRDefault="00F524BC" w:rsidP="00F16E27">
      <w:pPr>
        <w:pStyle w:val="ListBullet"/>
        <w:rPr>
          <w:lang w:val="en-US"/>
        </w:rPr>
      </w:pPr>
      <w:r w:rsidRPr="00A94B97">
        <w:rPr>
          <w:lang w:val="en-US"/>
        </w:rPr>
        <w:lastRenderedPageBreak/>
        <w:t xml:space="preserve">Two population </w:t>
      </w:r>
      <w:r w:rsidR="0039505F">
        <w:rPr>
          <w:lang w:val="en-US"/>
        </w:rPr>
        <w:t>PK</w:t>
      </w:r>
      <w:r w:rsidRPr="00A94B97">
        <w:rPr>
          <w:lang w:val="en-US"/>
        </w:rPr>
        <w:t xml:space="preserve"> analyses. One each in males (the pivotal </w:t>
      </w:r>
      <w:r w:rsidR="007D6CF5">
        <w:rPr>
          <w:lang w:val="en-US"/>
        </w:rPr>
        <w:t xml:space="preserve">Study </w:t>
      </w:r>
      <w:r w:rsidRPr="00A94B97">
        <w:rPr>
          <w:lang w:val="en-US"/>
        </w:rPr>
        <w:t>CL3-12911-032</w:t>
      </w:r>
      <w:r w:rsidR="007D6CF5">
        <w:rPr>
          <w:lang w:val="en-US"/>
        </w:rPr>
        <w:t>)</w:t>
      </w:r>
      <w:r w:rsidRPr="00A94B97">
        <w:rPr>
          <w:lang w:val="en-US"/>
        </w:rPr>
        <w:t xml:space="preserve"> and females </w:t>
      </w:r>
      <w:r w:rsidR="007D6CF5">
        <w:rPr>
          <w:lang w:val="en-US"/>
        </w:rPr>
        <w:t xml:space="preserve">(Study </w:t>
      </w:r>
      <w:r w:rsidR="00562FD9">
        <w:rPr>
          <w:lang w:val="en-US"/>
        </w:rPr>
        <w:t>CL3-12911-009/010)</w:t>
      </w:r>
      <w:r w:rsidRPr="00A94B97">
        <w:rPr>
          <w:lang w:val="en-US"/>
        </w:rPr>
        <w:t>; and</w:t>
      </w:r>
    </w:p>
    <w:p w:rsidR="00F524BC" w:rsidRPr="00F524BC" w:rsidRDefault="00F524BC" w:rsidP="00F16E27">
      <w:pPr>
        <w:pStyle w:val="ListBullet"/>
        <w:rPr>
          <w:lang w:val="en-US"/>
        </w:rPr>
      </w:pPr>
      <w:r w:rsidRPr="00A94B97">
        <w:rPr>
          <w:lang w:val="en-US"/>
        </w:rPr>
        <w:t xml:space="preserve">The population </w:t>
      </w:r>
      <w:r w:rsidR="004C27C8">
        <w:rPr>
          <w:lang w:val="en-US"/>
        </w:rPr>
        <w:t>PD</w:t>
      </w:r>
      <w:r w:rsidRPr="00A94B97">
        <w:rPr>
          <w:lang w:val="en-US"/>
        </w:rPr>
        <w:t xml:space="preserve"> study in males was the same </w:t>
      </w:r>
      <w:r w:rsidR="002E5390">
        <w:rPr>
          <w:lang w:val="en-US"/>
        </w:rPr>
        <w:t>S</w:t>
      </w:r>
      <w:r w:rsidRPr="00A94B97">
        <w:rPr>
          <w:lang w:val="en-US"/>
        </w:rPr>
        <w:t>tudy CL3-1291</w:t>
      </w:r>
      <w:r w:rsidR="002E5390">
        <w:rPr>
          <w:lang w:val="en-US"/>
        </w:rPr>
        <w:t xml:space="preserve">1-032 as supplied the PK data. </w:t>
      </w:r>
      <w:r w:rsidRPr="00A94B97">
        <w:rPr>
          <w:lang w:val="en-US"/>
        </w:rPr>
        <w:t xml:space="preserve">This was similar for </w:t>
      </w:r>
      <w:r w:rsidR="002E5390">
        <w:rPr>
          <w:lang w:val="en-US"/>
        </w:rPr>
        <w:t xml:space="preserve">Study </w:t>
      </w:r>
      <w:r w:rsidRPr="00A94B97">
        <w:rPr>
          <w:lang w:val="en-US"/>
        </w:rPr>
        <w:t>CL3-12911-009/010.</w:t>
      </w:r>
    </w:p>
    <w:p w:rsidR="00F524BC" w:rsidRDefault="00617A11" w:rsidP="00F524BC">
      <w:r>
        <w:rPr>
          <w:color w:val="000000"/>
        </w:rPr>
        <w:t>S</w:t>
      </w:r>
      <w:r w:rsidR="00102A50">
        <w:rPr>
          <w:color w:val="000000"/>
        </w:rPr>
        <w:t xml:space="preserve">tudy </w:t>
      </w:r>
      <w:r w:rsidRPr="00166675">
        <w:rPr>
          <w:color w:val="000000"/>
        </w:rPr>
        <w:t xml:space="preserve">PKH-12911-012-FRA </w:t>
      </w:r>
      <w:r w:rsidR="00A863FC">
        <w:rPr>
          <w:color w:val="000000"/>
        </w:rPr>
        <w:t xml:space="preserve">(Table 17) </w:t>
      </w:r>
      <w:r w:rsidR="00102A50">
        <w:rPr>
          <w:color w:val="000000"/>
        </w:rPr>
        <w:t xml:space="preserve">was </w:t>
      </w:r>
      <w:r w:rsidR="00562FD9">
        <w:rPr>
          <w:color w:val="000000"/>
        </w:rPr>
        <w:t xml:space="preserve">a </w:t>
      </w:r>
      <w:r w:rsidR="00102A50">
        <w:rPr>
          <w:color w:val="000000"/>
        </w:rPr>
        <w:t xml:space="preserve">non </w:t>
      </w:r>
      <w:r w:rsidR="00F524BC">
        <w:rPr>
          <w:color w:val="000000"/>
        </w:rPr>
        <w:t xml:space="preserve">comparative </w:t>
      </w:r>
      <w:r w:rsidR="00562FD9">
        <w:rPr>
          <w:color w:val="000000"/>
        </w:rPr>
        <w:t xml:space="preserve">study </w:t>
      </w:r>
      <w:r w:rsidR="00F524BC">
        <w:rPr>
          <w:color w:val="000000"/>
        </w:rPr>
        <w:t xml:space="preserve">(it enrolled </w:t>
      </w:r>
      <w:r w:rsidR="00F524BC" w:rsidRPr="00620CDD">
        <w:t>18 healthy elderly</w:t>
      </w:r>
      <w:r w:rsidR="00684FCD">
        <w:t xml:space="preserve"> &gt;</w:t>
      </w:r>
      <w:r w:rsidR="00F524BC" w:rsidRPr="00620CDD">
        <w:t>60 Caucasian male volunteers</w:t>
      </w:r>
      <w:r w:rsidR="00F524BC">
        <w:t xml:space="preserve"> [</w:t>
      </w:r>
      <w:r w:rsidR="00F524BC" w:rsidRPr="00620CDD">
        <w:t>63 to 73, mean 68.9 years</w:t>
      </w:r>
      <w:r w:rsidR="00F524BC">
        <w:t>]</w:t>
      </w:r>
      <w:r w:rsidR="00562FD9">
        <w:t xml:space="preserve">, </w:t>
      </w:r>
      <w:r w:rsidR="00F524BC" w:rsidRPr="00620CDD">
        <w:t>taking no drugs which would interfere with strontium ranelate PK</w:t>
      </w:r>
      <w:r w:rsidR="00F524BC">
        <w:rPr>
          <w:color w:val="000000"/>
        </w:rPr>
        <w:t>).</w:t>
      </w:r>
      <w:r w:rsidR="00684FCD">
        <w:rPr>
          <w:color w:val="000000"/>
        </w:rPr>
        <w:t xml:space="preserve"> </w:t>
      </w:r>
      <w:r w:rsidR="00F524BC" w:rsidRPr="00620CDD">
        <w:t xml:space="preserve">Three doses </w:t>
      </w:r>
      <w:r w:rsidR="00F524BC">
        <w:t xml:space="preserve">of strontium ranelate </w:t>
      </w:r>
      <w:r w:rsidR="00F524BC" w:rsidRPr="00620CDD">
        <w:t>(1</w:t>
      </w:r>
      <w:r w:rsidR="007D6CF5">
        <w:t xml:space="preserve"> </w:t>
      </w:r>
      <w:r w:rsidR="00F524BC" w:rsidRPr="00620CDD">
        <w:t>g, 2</w:t>
      </w:r>
      <w:r w:rsidR="007D6CF5">
        <w:t xml:space="preserve"> </w:t>
      </w:r>
      <w:r w:rsidR="00F524BC" w:rsidRPr="00620CDD">
        <w:t>g and 3</w:t>
      </w:r>
      <w:r w:rsidR="007D6CF5">
        <w:t xml:space="preserve"> </w:t>
      </w:r>
      <w:r w:rsidR="00F524BC" w:rsidRPr="00620CDD">
        <w:t xml:space="preserve">g) </w:t>
      </w:r>
      <w:r w:rsidR="00F524BC">
        <w:t xml:space="preserve">were taken </w:t>
      </w:r>
      <w:r w:rsidR="00F524BC" w:rsidRPr="00620CDD">
        <w:t>28 days apart as single doses.</w:t>
      </w:r>
      <w:r w:rsidR="002C0294">
        <w:t xml:space="preserve"> </w:t>
      </w:r>
      <w:r w:rsidR="00F524BC">
        <w:t>Some lack of dose proportionality was seen.</w:t>
      </w:r>
    </w:p>
    <w:p w:rsidR="00F524BC" w:rsidRDefault="00F524BC" w:rsidP="00F16E27">
      <w:pPr>
        <w:pStyle w:val="TableTitle"/>
        <w:rPr>
          <w:lang w:val="en-GB"/>
        </w:rPr>
      </w:pPr>
      <w:r>
        <w:t>Table</w:t>
      </w:r>
      <w:r w:rsidRPr="004C5C28">
        <w:t xml:space="preserve"> </w:t>
      </w:r>
      <w:r w:rsidR="00A863FC">
        <w:t>17</w:t>
      </w:r>
      <w:r>
        <w:t>:</w:t>
      </w:r>
      <w:r w:rsidRPr="004C5C28">
        <w:t xml:space="preserve"> </w:t>
      </w:r>
      <w:r w:rsidR="00102A50">
        <w:t>PK results (analyses were performed</w:t>
      </w:r>
      <w:r w:rsidR="007D7457">
        <w:t xml:space="preserve"> on the randomised population, n</w:t>
      </w:r>
      <w:r w:rsidR="00B51CDD">
        <w:t xml:space="preserve"> </w:t>
      </w:r>
      <w:r w:rsidR="00102A50">
        <w:t>=</w:t>
      </w:r>
      <w:r w:rsidR="00B51CDD">
        <w:t xml:space="preserve"> </w:t>
      </w:r>
      <w:r w:rsidR="00102A50">
        <w:t>18)</w:t>
      </w:r>
      <w:r>
        <w:t>.</w:t>
      </w:r>
    </w:p>
    <w:p w:rsidR="00F524BC" w:rsidRDefault="00294DCE" w:rsidP="00F524BC">
      <w:pPr>
        <w:jc w:val="center"/>
        <w:rPr>
          <w:lang w:eastAsia="en-AU"/>
        </w:rPr>
      </w:pPr>
      <w:r>
        <w:rPr>
          <w:noProof/>
          <w:lang w:eastAsia="en-AU"/>
        </w:rPr>
        <w:drawing>
          <wp:inline distT="0" distB="0" distL="0" distR="0">
            <wp:extent cx="5396865" cy="1537335"/>
            <wp:effectExtent l="19050" t="0" r="0" b="0"/>
            <wp:docPr id="21" name="Picture 21" descr="Table 17: PK results (analyses were performed on the randomised population, n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7: PK results (analyses were performed on the randomised population, n = 18)."/>
                    <pic:cNvPicPr>
                      <a:picLocks noChangeAspect="1" noChangeArrowheads="1"/>
                    </pic:cNvPicPr>
                  </pic:nvPicPr>
                  <pic:blipFill>
                    <a:blip r:embed="rId36" cstate="print"/>
                    <a:srcRect/>
                    <a:stretch>
                      <a:fillRect/>
                    </a:stretch>
                  </pic:blipFill>
                  <pic:spPr bwMode="auto">
                    <a:xfrm>
                      <a:off x="0" y="0"/>
                      <a:ext cx="5396865" cy="1537335"/>
                    </a:xfrm>
                    <a:prstGeom prst="rect">
                      <a:avLst/>
                    </a:prstGeom>
                    <a:noFill/>
                    <a:ln w="9525">
                      <a:noFill/>
                      <a:miter lim="800000"/>
                      <a:headEnd/>
                      <a:tailEnd/>
                    </a:ln>
                  </pic:spPr>
                </pic:pic>
              </a:graphicData>
            </a:graphic>
          </wp:inline>
        </w:drawing>
      </w:r>
    </w:p>
    <w:p w:rsidR="005D4C2C" w:rsidRDefault="0020464C" w:rsidP="00102A50">
      <w:pPr>
        <w:rPr>
          <w:color w:val="000000"/>
        </w:rPr>
      </w:pPr>
      <w:r>
        <w:rPr>
          <w:color w:val="000000"/>
        </w:rPr>
        <w:t xml:space="preserve">A total of </w:t>
      </w:r>
      <w:r w:rsidR="00102A50" w:rsidRPr="00272814">
        <w:rPr>
          <w:color w:val="000000"/>
        </w:rPr>
        <w:t>147 subjects had at least one plasma concentration of strontium included in the PK analysis. A total of 379 concentration-time points were included in the population PK analysis.</w:t>
      </w:r>
      <w:r w:rsidR="002C0294">
        <w:rPr>
          <w:color w:val="000000"/>
        </w:rPr>
        <w:t xml:space="preserve"> </w:t>
      </w:r>
      <w:r w:rsidR="00102A50" w:rsidRPr="00272814">
        <w:rPr>
          <w:color w:val="000000"/>
        </w:rPr>
        <w:t>Blood sampl</w:t>
      </w:r>
      <w:r>
        <w:rPr>
          <w:color w:val="000000"/>
        </w:rPr>
        <w:t>es were collected ~</w:t>
      </w:r>
      <w:r w:rsidR="00102A50" w:rsidRPr="00272814">
        <w:rPr>
          <w:color w:val="000000"/>
        </w:rPr>
        <w:t>12 h</w:t>
      </w:r>
      <w:r w:rsidR="005D4C2C">
        <w:rPr>
          <w:color w:val="000000"/>
        </w:rPr>
        <w:t xml:space="preserve"> after dosing at months 0 (pre dose), 3, 6, and 12 (that is</w:t>
      </w:r>
      <w:r w:rsidR="00102A50" w:rsidRPr="00272814">
        <w:rPr>
          <w:color w:val="000000"/>
        </w:rPr>
        <w:t xml:space="preserve">, one sample per subject for each month). The daily dose of 2 g of strontium ranelate corresponds to </w:t>
      </w:r>
      <w:r w:rsidR="005D4C2C">
        <w:rPr>
          <w:color w:val="000000"/>
        </w:rPr>
        <w:t xml:space="preserve">682.6 mg/day of strontium (that is, </w:t>
      </w:r>
      <w:r w:rsidR="00102A50" w:rsidRPr="00272814">
        <w:rPr>
          <w:color w:val="000000"/>
        </w:rPr>
        <w:t>7781.64 μmol/day).</w:t>
      </w:r>
      <w:r w:rsidR="002C0294">
        <w:rPr>
          <w:color w:val="000000"/>
        </w:rPr>
        <w:t xml:space="preserve"> </w:t>
      </w:r>
      <w:r w:rsidR="005D4C2C">
        <w:rPr>
          <w:color w:val="000000"/>
        </w:rPr>
        <w:t>The evaluator reports that:</w:t>
      </w:r>
    </w:p>
    <w:p w:rsidR="00102A50" w:rsidRPr="005D4C2C" w:rsidRDefault="00102A50" w:rsidP="005D4C2C">
      <w:pPr>
        <w:ind w:left="720"/>
        <w:rPr>
          <w:i/>
          <w:color w:val="000000"/>
        </w:rPr>
      </w:pPr>
      <w:r w:rsidRPr="005D4C2C">
        <w:rPr>
          <w:i/>
          <w:color w:val="000000"/>
        </w:rPr>
        <w:t xml:space="preserve">“The </w:t>
      </w:r>
      <w:r w:rsidR="0039505F" w:rsidRPr="005D4C2C">
        <w:rPr>
          <w:i/>
          <w:color w:val="000000"/>
        </w:rPr>
        <w:t>PK</w:t>
      </w:r>
      <w:r w:rsidR="005D4C2C">
        <w:rPr>
          <w:i/>
          <w:color w:val="000000"/>
        </w:rPr>
        <w:t xml:space="preserve"> of strontium under steady </w:t>
      </w:r>
      <w:r w:rsidRPr="005D4C2C">
        <w:rPr>
          <w:i/>
          <w:color w:val="000000"/>
        </w:rPr>
        <w:t xml:space="preserve">state conditions after administration of 2 g of strontium ranelate in osteoporotic men from </w:t>
      </w:r>
      <w:r w:rsidR="005D4C2C">
        <w:rPr>
          <w:i/>
          <w:color w:val="000000"/>
        </w:rPr>
        <w:t xml:space="preserve">Study </w:t>
      </w:r>
      <w:r w:rsidRPr="005D4C2C">
        <w:rPr>
          <w:i/>
          <w:color w:val="000000"/>
        </w:rPr>
        <w:t xml:space="preserve">CL3-12911-032 study were described with robustness with a similar structural model as the one used in a previous population PK analysis in osteoporotic postmenopausal women.” </w:t>
      </w:r>
    </w:p>
    <w:p w:rsidR="00102A50" w:rsidRPr="00F524BC" w:rsidRDefault="00102A50" w:rsidP="00102A50">
      <w:pPr>
        <w:pStyle w:val="Heading6"/>
        <w:rPr>
          <w:color w:val="001523"/>
        </w:rPr>
      </w:pPr>
      <w:r>
        <w:t>Comment:</w:t>
      </w:r>
    </w:p>
    <w:p w:rsidR="00102A50" w:rsidRDefault="00102A50" w:rsidP="00102A50">
      <w:pPr>
        <w:rPr>
          <w:color w:val="000000"/>
        </w:rPr>
      </w:pPr>
      <w:r w:rsidRPr="00272814">
        <w:rPr>
          <w:color w:val="000000"/>
        </w:rPr>
        <w:t xml:space="preserve">It is not possible to say that </w:t>
      </w:r>
      <w:r w:rsidR="005D4C2C">
        <w:rPr>
          <w:color w:val="000000"/>
        </w:rPr>
        <w:t>S</w:t>
      </w:r>
      <w:r w:rsidRPr="00272814">
        <w:rPr>
          <w:color w:val="000000"/>
        </w:rPr>
        <w:t xml:space="preserve">tudy </w:t>
      </w:r>
      <w:r w:rsidRPr="00166675">
        <w:rPr>
          <w:color w:val="000000"/>
        </w:rPr>
        <w:t xml:space="preserve">PKH-12911-012-FRA </w:t>
      </w:r>
      <w:r w:rsidRPr="00272814">
        <w:rPr>
          <w:color w:val="000000"/>
        </w:rPr>
        <w:t xml:space="preserve">was an acceptable study. It did not directly compare the </w:t>
      </w:r>
      <w:r w:rsidR="0039505F">
        <w:rPr>
          <w:color w:val="000000"/>
        </w:rPr>
        <w:t>PK</w:t>
      </w:r>
      <w:r w:rsidRPr="00272814">
        <w:rPr>
          <w:color w:val="000000"/>
        </w:rPr>
        <w:t xml:space="preserve"> of strontium ranelate in</w:t>
      </w:r>
      <w:r>
        <w:rPr>
          <w:color w:val="000000"/>
        </w:rPr>
        <w:t xml:space="preserve"> men v</w:t>
      </w:r>
      <w:r w:rsidR="0039505F">
        <w:rPr>
          <w:color w:val="000000"/>
        </w:rPr>
        <w:t>ersus</w:t>
      </w:r>
      <w:r>
        <w:rPr>
          <w:color w:val="000000"/>
        </w:rPr>
        <w:t xml:space="preserve"> women or the elderly versus</w:t>
      </w:r>
      <w:r w:rsidRPr="00272814">
        <w:rPr>
          <w:color w:val="000000"/>
        </w:rPr>
        <w:t xml:space="preserve"> middle aged patients.</w:t>
      </w:r>
      <w:r w:rsidR="002C0294">
        <w:rPr>
          <w:color w:val="000000"/>
        </w:rPr>
        <w:t xml:space="preserve"> </w:t>
      </w:r>
      <w:r w:rsidR="005D4C2C">
        <w:rPr>
          <w:color w:val="000000"/>
        </w:rPr>
        <w:t xml:space="preserve">It was non comparative, so indirect cross </w:t>
      </w:r>
      <w:r w:rsidRPr="00272814">
        <w:rPr>
          <w:color w:val="000000"/>
        </w:rPr>
        <w:t>study comparisons must have informed</w:t>
      </w:r>
      <w:r w:rsidR="00F16E27">
        <w:rPr>
          <w:color w:val="000000"/>
        </w:rPr>
        <w:t xml:space="preserve"> the clinical evaluator’s view.</w:t>
      </w:r>
    </w:p>
    <w:p w:rsidR="00102A50" w:rsidRPr="00102A50" w:rsidRDefault="00102A50" w:rsidP="00102A50">
      <w:pPr>
        <w:rPr>
          <w:color w:val="000000"/>
        </w:rPr>
      </w:pPr>
      <w:r>
        <w:rPr>
          <w:color w:val="000000"/>
        </w:rPr>
        <w:t xml:space="preserve">The population </w:t>
      </w:r>
      <w:r w:rsidR="0039505F">
        <w:rPr>
          <w:color w:val="000000"/>
        </w:rPr>
        <w:t>PK</w:t>
      </w:r>
      <w:r>
        <w:rPr>
          <w:color w:val="000000"/>
        </w:rPr>
        <w:t xml:space="preserve"> analysis suggests similarity between men and women with regard to the </w:t>
      </w:r>
      <w:r w:rsidR="0039505F">
        <w:rPr>
          <w:color w:val="000000"/>
        </w:rPr>
        <w:t>PK</w:t>
      </w:r>
      <w:r>
        <w:rPr>
          <w:color w:val="000000"/>
        </w:rPr>
        <w:t xml:space="preserve"> of strontium ranelate. An effect of creatinine clearance based on the pooled studies was not reported but renal impairment was examined in the original data set.</w:t>
      </w:r>
    </w:p>
    <w:p w:rsidR="00102A50" w:rsidRPr="00272814" w:rsidRDefault="00102A50" w:rsidP="00102A50">
      <w:pPr>
        <w:rPr>
          <w:color w:val="000000"/>
        </w:rPr>
      </w:pPr>
      <w:r w:rsidRPr="00272814">
        <w:rPr>
          <w:color w:val="000000"/>
        </w:rPr>
        <w:t xml:space="preserve">The original </w:t>
      </w:r>
      <w:r>
        <w:rPr>
          <w:color w:val="000000"/>
        </w:rPr>
        <w:t>Delegate’s summary remarked:</w:t>
      </w:r>
    </w:p>
    <w:p w:rsidR="00102A50" w:rsidRPr="00102A50" w:rsidRDefault="00102A50" w:rsidP="00102A50">
      <w:pPr>
        <w:ind w:left="720"/>
        <w:rPr>
          <w:i/>
          <w:color w:val="000000"/>
        </w:rPr>
      </w:pPr>
      <w:r w:rsidRPr="00102A50">
        <w:rPr>
          <w:i/>
          <w:color w:val="000000"/>
        </w:rPr>
        <w:t>“The absorption of strontium was found to be dose dependent; the increase in C</w:t>
      </w:r>
      <w:r w:rsidRPr="00102A50">
        <w:rPr>
          <w:i/>
          <w:color w:val="000000"/>
          <w:vertAlign w:val="subscript"/>
        </w:rPr>
        <w:t>max</w:t>
      </w:r>
      <w:r w:rsidRPr="00102A50">
        <w:rPr>
          <w:i/>
          <w:color w:val="000000"/>
        </w:rPr>
        <w:t xml:space="preserve"> and AUC were less than dose proportional …</w:t>
      </w:r>
      <w:r w:rsidR="002C0294">
        <w:rPr>
          <w:i/>
          <w:color w:val="000000"/>
        </w:rPr>
        <w:t xml:space="preserve"> </w:t>
      </w:r>
      <w:r w:rsidRPr="00102A50">
        <w:rPr>
          <w:i/>
          <w:color w:val="000000"/>
        </w:rPr>
        <w:t>T</w:t>
      </w:r>
      <w:r w:rsidRPr="00102A50">
        <w:rPr>
          <w:i/>
          <w:color w:val="000000"/>
          <w:vertAlign w:val="subscript"/>
        </w:rPr>
        <w:t xml:space="preserve">max </w:t>
      </w:r>
      <w:r w:rsidR="000E68F3">
        <w:rPr>
          <w:i/>
          <w:color w:val="000000"/>
        </w:rPr>
        <w:t>was ~ 3.5 h</w:t>
      </w:r>
      <w:r w:rsidRPr="00102A50">
        <w:rPr>
          <w:i/>
          <w:color w:val="000000"/>
        </w:rPr>
        <w:t>.</w:t>
      </w:r>
      <w:r w:rsidR="002C0294">
        <w:rPr>
          <w:i/>
          <w:color w:val="000000"/>
        </w:rPr>
        <w:t xml:space="preserve"> </w:t>
      </w:r>
      <w:r w:rsidRPr="00102A50">
        <w:rPr>
          <w:i/>
          <w:color w:val="000000"/>
        </w:rPr>
        <w:t>C</w:t>
      </w:r>
      <w:r w:rsidRPr="00102A50">
        <w:rPr>
          <w:i/>
          <w:color w:val="000000"/>
          <w:vertAlign w:val="subscript"/>
        </w:rPr>
        <w:t>max</w:t>
      </w:r>
      <w:r w:rsidR="00FD2A2D">
        <w:rPr>
          <w:i/>
          <w:color w:val="000000"/>
        </w:rPr>
        <w:t xml:space="preserve"> f</w:t>
      </w:r>
      <w:r w:rsidRPr="00102A50">
        <w:rPr>
          <w:i/>
          <w:color w:val="000000"/>
        </w:rPr>
        <w:t xml:space="preserve">or the 2 g sachet, which is proposed for marketing, was 4.8 ± 1.6 µg/mL ... </w:t>
      </w:r>
    </w:p>
    <w:p w:rsidR="00102A50" w:rsidRPr="00102A50" w:rsidRDefault="00102A50" w:rsidP="00102A50">
      <w:pPr>
        <w:ind w:left="720"/>
        <w:rPr>
          <w:i/>
          <w:color w:val="000000"/>
        </w:rPr>
      </w:pPr>
      <w:r w:rsidRPr="00102A50">
        <w:rPr>
          <w:i/>
          <w:color w:val="000000"/>
        </w:rPr>
        <w:t xml:space="preserve">The evaluator mentions that the volume of distribution was 58L (approx 1L/kg) in the combined analysis of the Phase </w:t>
      </w:r>
      <w:r w:rsidR="000E68F3">
        <w:rPr>
          <w:i/>
          <w:color w:val="000000"/>
        </w:rPr>
        <w:t>1</w:t>
      </w:r>
      <w:r w:rsidRPr="00102A50">
        <w:rPr>
          <w:i/>
          <w:color w:val="000000"/>
        </w:rPr>
        <w:t xml:space="preserve"> stu</w:t>
      </w:r>
      <w:r w:rsidR="000E68F3">
        <w:rPr>
          <w:i/>
          <w:color w:val="000000"/>
        </w:rPr>
        <w:t>dies. This differed in Phase 3</w:t>
      </w:r>
      <w:r w:rsidRPr="00102A50">
        <w:rPr>
          <w:i/>
          <w:color w:val="000000"/>
        </w:rPr>
        <w:t xml:space="preserve"> studies</w:t>
      </w:r>
      <w:r w:rsidR="000E68F3">
        <w:rPr>
          <w:i/>
          <w:color w:val="000000"/>
        </w:rPr>
        <w:t xml:space="preserve"> ... The c</w:t>
      </w:r>
      <w:r w:rsidRPr="00102A50">
        <w:rPr>
          <w:i/>
          <w:color w:val="000000"/>
        </w:rPr>
        <w:t>lin</w:t>
      </w:r>
      <w:r w:rsidR="000E68F3">
        <w:rPr>
          <w:i/>
          <w:color w:val="000000"/>
        </w:rPr>
        <w:t xml:space="preserve">ical summary </w:t>
      </w:r>
      <w:r w:rsidRPr="00102A50">
        <w:rPr>
          <w:i/>
          <w:color w:val="000000"/>
        </w:rPr>
        <w:t xml:space="preserve">also mentions that the human protein binding is low being 25% with binding to albumin being 10%. Total clearance is low (~12 </w:t>
      </w:r>
      <w:r w:rsidR="0025089F">
        <w:rPr>
          <w:i/>
          <w:color w:val="000000"/>
        </w:rPr>
        <w:t>mL/min…). Renal clearance was ~</w:t>
      </w:r>
      <w:r w:rsidRPr="00102A50">
        <w:rPr>
          <w:i/>
          <w:color w:val="000000"/>
        </w:rPr>
        <w:t xml:space="preserve">5mL/min... The evaluator mentions that the </w:t>
      </w:r>
      <w:r w:rsidR="005E1B99">
        <w:rPr>
          <w:i/>
          <w:color w:val="000000"/>
        </w:rPr>
        <w:t>t</w:t>
      </w:r>
      <w:r w:rsidRPr="00102A50">
        <w:rPr>
          <w:i/>
          <w:color w:val="000000"/>
          <w:vertAlign w:val="subscript"/>
        </w:rPr>
        <w:t>1/2</w:t>
      </w:r>
      <w:r w:rsidRPr="00102A50">
        <w:rPr>
          <w:i/>
          <w:color w:val="000000"/>
        </w:rPr>
        <w:t xml:space="preserve"> for single dose administration was shorter (60-120 h) compared with that observed in relation to multiple dose (185-200 </w:t>
      </w:r>
      <w:r w:rsidR="000E68F3">
        <w:rPr>
          <w:i/>
          <w:color w:val="000000"/>
        </w:rPr>
        <w:t>h</w:t>
      </w:r>
      <w:r w:rsidRPr="00102A50">
        <w:rPr>
          <w:i/>
          <w:color w:val="000000"/>
        </w:rPr>
        <w:t xml:space="preserve">…). However, this discrepancy may have been due to </w:t>
      </w:r>
      <w:r w:rsidRPr="00102A50">
        <w:rPr>
          <w:i/>
          <w:color w:val="000000"/>
        </w:rPr>
        <w:lastRenderedPageBreak/>
        <w:t>infrequent collection times.</w:t>
      </w:r>
      <w:r w:rsidR="002C0294">
        <w:rPr>
          <w:i/>
          <w:color w:val="000000"/>
        </w:rPr>
        <w:t xml:space="preserve"> </w:t>
      </w:r>
      <w:r w:rsidRPr="00102A50">
        <w:rPr>
          <w:i/>
          <w:color w:val="000000"/>
        </w:rPr>
        <w:t>A clinically significant effect was seen when Maalox (cont</w:t>
      </w:r>
      <w:r w:rsidR="005E1B99">
        <w:rPr>
          <w:i/>
          <w:color w:val="000000"/>
        </w:rPr>
        <w:t>aining aluminium hydroxide and m</w:t>
      </w:r>
      <w:r w:rsidRPr="00102A50">
        <w:rPr>
          <w:i/>
          <w:color w:val="000000"/>
        </w:rPr>
        <w:t>agnesium hydroxide) was administered concomitantly ... It is mentioned that no inter</w:t>
      </w:r>
      <w:r w:rsidR="000E68F3">
        <w:rPr>
          <w:i/>
          <w:color w:val="000000"/>
        </w:rPr>
        <w:t>action was observed in Phase 3</w:t>
      </w:r>
      <w:r w:rsidRPr="00102A50">
        <w:rPr>
          <w:i/>
          <w:color w:val="000000"/>
        </w:rPr>
        <w:t xml:space="preserve"> studi</w:t>
      </w:r>
      <w:r w:rsidR="000E68F3">
        <w:rPr>
          <w:i/>
          <w:color w:val="000000"/>
        </w:rPr>
        <w:t xml:space="preserve">es in relation to anti H2, anti </w:t>
      </w:r>
      <w:r w:rsidRPr="00102A50">
        <w:rPr>
          <w:i/>
          <w:color w:val="000000"/>
        </w:rPr>
        <w:t>reflux, proton pump inhi</w:t>
      </w:r>
      <w:r w:rsidR="00562FD9">
        <w:rPr>
          <w:i/>
          <w:color w:val="000000"/>
        </w:rPr>
        <w:t>bitors, analgesics, NSAIDS and v</w:t>
      </w:r>
      <w:r w:rsidRPr="00102A50">
        <w:rPr>
          <w:i/>
          <w:color w:val="000000"/>
        </w:rPr>
        <w:t>it</w:t>
      </w:r>
      <w:r w:rsidR="00562FD9">
        <w:rPr>
          <w:i/>
          <w:color w:val="000000"/>
        </w:rPr>
        <w:t>amin</w:t>
      </w:r>
      <w:r w:rsidRPr="00102A50">
        <w:rPr>
          <w:i/>
          <w:color w:val="000000"/>
        </w:rPr>
        <w:t xml:space="preserve"> D… </w:t>
      </w:r>
    </w:p>
    <w:p w:rsidR="00102A50" w:rsidRPr="00272814" w:rsidRDefault="007041AE" w:rsidP="00102A50">
      <w:pPr>
        <w:ind w:left="720"/>
        <w:rPr>
          <w:color w:val="000000"/>
        </w:rPr>
      </w:pPr>
      <w:r>
        <w:rPr>
          <w:i/>
          <w:color w:val="000000"/>
        </w:rPr>
        <w:t>One Phase 1</w:t>
      </w:r>
      <w:r w:rsidR="00102A50" w:rsidRPr="00102A50">
        <w:rPr>
          <w:i/>
          <w:color w:val="000000"/>
        </w:rPr>
        <w:t xml:space="preserve"> study was conducted … on renally impaired subjects. The number of subjects recruited with renally impaired was low being 11. This study showed that when </w:t>
      </w:r>
      <w:r w:rsidR="005E1B99">
        <w:rPr>
          <w:i/>
          <w:color w:val="000000"/>
        </w:rPr>
        <w:t>c</w:t>
      </w:r>
      <w:r w:rsidR="005E1B99" w:rsidRPr="005E1B99">
        <w:rPr>
          <w:i/>
          <w:color w:val="000000"/>
        </w:rPr>
        <w:t xml:space="preserve">reatinine clearance </w:t>
      </w:r>
      <w:r w:rsidR="00102A50" w:rsidRPr="00102A50">
        <w:rPr>
          <w:i/>
          <w:color w:val="000000"/>
        </w:rPr>
        <w:t>was changed from 110 mL/min to 40 mL /min, strontium exposure would increase by 38%. This was also seen fr</w:t>
      </w:r>
      <w:r w:rsidR="005E1B99">
        <w:rPr>
          <w:i/>
          <w:color w:val="000000"/>
        </w:rPr>
        <w:t>om data collected from Phase 3</w:t>
      </w:r>
      <w:r w:rsidR="00102A50" w:rsidRPr="00102A50">
        <w:rPr>
          <w:i/>
          <w:color w:val="000000"/>
        </w:rPr>
        <w:t xml:space="preserve"> studies</w:t>
      </w:r>
      <w:r w:rsidR="005E1B99">
        <w:rPr>
          <w:i/>
          <w:color w:val="000000"/>
        </w:rPr>
        <w:t xml:space="preserve"> </w:t>
      </w:r>
      <w:r w:rsidR="00102A50" w:rsidRPr="00102A50">
        <w:rPr>
          <w:i/>
          <w:color w:val="000000"/>
        </w:rPr>
        <w:t xml:space="preserve">... Severe renal impairment has not been studied. No data are submitted on hepatic impairment; however, based on the </w:t>
      </w:r>
      <w:r w:rsidR="0039505F">
        <w:rPr>
          <w:i/>
          <w:color w:val="000000"/>
        </w:rPr>
        <w:t>PK</w:t>
      </w:r>
      <w:r w:rsidR="00102A50" w:rsidRPr="00102A50">
        <w:rPr>
          <w:i/>
          <w:color w:val="000000"/>
        </w:rPr>
        <w:t xml:space="preserve"> of strontium, no effect is expected.”</w:t>
      </w:r>
    </w:p>
    <w:p w:rsidR="00102A50" w:rsidRDefault="00102A50" w:rsidP="00102A50">
      <w:pPr>
        <w:rPr>
          <w:color w:val="000000"/>
        </w:rPr>
      </w:pPr>
      <w:r>
        <w:rPr>
          <w:color w:val="000000"/>
        </w:rPr>
        <w:t>It is not likely that these observations would</w:t>
      </w:r>
      <w:r w:rsidRPr="00BC2EC6">
        <w:rPr>
          <w:color w:val="000000"/>
        </w:rPr>
        <w:t xml:space="preserve"> </w:t>
      </w:r>
      <w:r>
        <w:rPr>
          <w:color w:val="000000"/>
        </w:rPr>
        <w:t>be, in principle, different in men.</w:t>
      </w:r>
    </w:p>
    <w:p w:rsidR="00102A50" w:rsidRDefault="00D774B9" w:rsidP="00102A50">
      <w:pPr>
        <w:pStyle w:val="Heading6"/>
      </w:pPr>
      <w:r>
        <w:t>Phase 3 s</w:t>
      </w:r>
      <w:r w:rsidR="007C46CD">
        <w:t>tudy in m</w:t>
      </w:r>
      <w:r w:rsidR="00102A50" w:rsidRPr="005A54FB">
        <w:t>en</w:t>
      </w:r>
      <w:r w:rsidR="00102A50">
        <w:t>:</w:t>
      </w:r>
    </w:p>
    <w:p w:rsidR="00102A50" w:rsidRDefault="00102A50" w:rsidP="00102A50">
      <w:pPr>
        <w:rPr>
          <w:color w:val="000000"/>
          <w:lang w:val="en-US"/>
        </w:rPr>
      </w:pPr>
      <w:r w:rsidRPr="005A54FB">
        <w:rPr>
          <w:color w:val="000000"/>
          <w:lang w:val="en-US"/>
        </w:rPr>
        <w:t>Study CL3-12911-032</w:t>
      </w:r>
      <w:r>
        <w:rPr>
          <w:color w:val="000000"/>
          <w:lang w:val="en-US"/>
        </w:rPr>
        <w:t xml:space="preserve"> is the pivotal study of this submission.</w:t>
      </w:r>
      <w:r w:rsidR="002C0294">
        <w:rPr>
          <w:color w:val="000000"/>
          <w:lang w:val="en-US"/>
        </w:rPr>
        <w:t xml:space="preserve"> </w:t>
      </w:r>
      <w:r>
        <w:rPr>
          <w:color w:val="000000"/>
          <w:lang w:val="en-US"/>
        </w:rPr>
        <w:t xml:space="preserve">It was of </w:t>
      </w:r>
      <w:r w:rsidRPr="005A54FB">
        <w:rPr>
          <w:color w:val="000000"/>
          <w:lang w:val="en-US"/>
        </w:rPr>
        <w:t>a randomi</w:t>
      </w:r>
      <w:r w:rsidR="00FE264B">
        <w:rPr>
          <w:color w:val="000000"/>
          <w:lang w:val="en-US"/>
        </w:rPr>
        <w:t xml:space="preserve">sed, double </w:t>
      </w:r>
      <w:r w:rsidRPr="005A54FB">
        <w:rPr>
          <w:color w:val="000000"/>
          <w:lang w:val="en-US"/>
        </w:rPr>
        <w:t xml:space="preserve">blind, </w:t>
      </w:r>
      <w:r w:rsidR="00FE264B">
        <w:rPr>
          <w:color w:val="000000"/>
          <w:lang w:val="en-US"/>
        </w:rPr>
        <w:t>two parallel group, unbalanced (2:</w:t>
      </w:r>
      <w:r w:rsidRPr="005A54FB">
        <w:rPr>
          <w:color w:val="000000"/>
          <w:lang w:val="en-US"/>
        </w:rPr>
        <w:t>1), placebo controlled</w:t>
      </w:r>
      <w:r>
        <w:rPr>
          <w:color w:val="000000"/>
          <w:lang w:val="en-US"/>
        </w:rPr>
        <w:t xml:space="preserve"> design. It was multi</w:t>
      </w:r>
      <w:r w:rsidR="0025089F">
        <w:rPr>
          <w:color w:val="000000"/>
          <w:lang w:val="en-US"/>
        </w:rPr>
        <w:t xml:space="preserve"> </w:t>
      </w:r>
      <w:r>
        <w:rPr>
          <w:color w:val="000000"/>
          <w:lang w:val="en-US"/>
        </w:rPr>
        <w:t>centric (n</w:t>
      </w:r>
      <w:r w:rsidR="002022A3">
        <w:rPr>
          <w:color w:val="000000"/>
          <w:lang w:val="en-US"/>
        </w:rPr>
        <w:t xml:space="preserve"> </w:t>
      </w:r>
      <w:r>
        <w:rPr>
          <w:color w:val="000000"/>
          <w:lang w:val="en-US"/>
        </w:rPr>
        <w:t>=</w:t>
      </w:r>
      <w:r w:rsidR="002022A3">
        <w:rPr>
          <w:color w:val="000000"/>
          <w:lang w:val="en-US"/>
        </w:rPr>
        <w:t xml:space="preserve"> </w:t>
      </w:r>
      <w:r>
        <w:rPr>
          <w:color w:val="000000"/>
          <w:lang w:val="en-US"/>
        </w:rPr>
        <w:t>60</w:t>
      </w:r>
      <w:r w:rsidR="002022A3">
        <w:rPr>
          <w:color w:val="000000"/>
          <w:lang w:val="en-US"/>
        </w:rPr>
        <w:t xml:space="preserve"> active centres</w:t>
      </w:r>
      <w:r>
        <w:rPr>
          <w:color w:val="000000"/>
          <w:lang w:val="en-US"/>
        </w:rPr>
        <w:t>) and was conducted in 1</w:t>
      </w:r>
      <w:r w:rsidR="002022A3">
        <w:rPr>
          <w:color w:val="000000"/>
          <w:lang w:val="en-US"/>
        </w:rPr>
        <w:t>4</w:t>
      </w:r>
      <w:r>
        <w:rPr>
          <w:color w:val="000000"/>
          <w:lang w:val="en-US"/>
        </w:rPr>
        <w:t xml:space="preserve"> countries. </w:t>
      </w:r>
    </w:p>
    <w:p w:rsidR="00102A50" w:rsidRDefault="00102A50" w:rsidP="00102A50">
      <w:pPr>
        <w:rPr>
          <w:color w:val="000000"/>
          <w:lang w:val="en-US"/>
        </w:rPr>
      </w:pPr>
      <w:r>
        <w:rPr>
          <w:color w:val="000000"/>
          <w:lang w:val="en-US"/>
        </w:rPr>
        <w:t xml:space="preserve">The patient numbers recruited and dropouts are described in the applicant’s tabulation </w:t>
      </w:r>
      <w:r w:rsidR="00D774B9">
        <w:rPr>
          <w:color w:val="000000"/>
          <w:lang w:val="en-US"/>
        </w:rPr>
        <w:t>in Table 18.</w:t>
      </w:r>
    </w:p>
    <w:p w:rsidR="00102A50" w:rsidRDefault="00102A50" w:rsidP="00F16E27">
      <w:pPr>
        <w:pStyle w:val="TableTitle"/>
        <w:rPr>
          <w:lang w:val="en-GB"/>
        </w:rPr>
      </w:pPr>
      <w:r>
        <w:t>Table</w:t>
      </w:r>
      <w:r w:rsidRPr="004C5C28">
        <w:t xml:space="preserve"> </w:t>
      </w:r>
      <w:r w:rsidR="00D774B9">
        <w:t>18</w:t>
      </w:r>
      <w:r>
        <w:t>:</w:t>
      </w:r>
      <w:r w:rsidRPr="004C5C28">
        <w:t xml:space="preserve"> </w:t>
      </w:r>
      <w:r>
        <w:t>Disposition of randomised patients by group.</w:t>
      </w:r>
    </w:p>
    <w:p w:rsidR="00102A50" w:rsidRDefault="00294DCE" w:rsidP="00102A50">
      <w:pPr>
        <w:jc w:val="center"/>
        <w:rPr>
          <w:lang w:eastAsia="en-AU"/>
        </w:rPr>
      </w:pPr>
      <w:r>
        <w:rPr>
          <w:noProof/>
          <w:lang w:eastAsia="en-AU"/>
        </w:rPr>
        <w:drawing>
          <wp:inline distT="0" distB="0" distL="0" distR="0">
            <wp:extent cx="4718050" cy="2804795"/>
            <wp:effectExtent l="19050" t="0" r="6350" b="0"/>
            <wp:docPr id="22" name="Picture 22" descr="Table 18: Disposition of randomised patients b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8: Disposition of randomised patients by group."/>
                    <pic:cNvPicPr>
                      <a:picLocks noChangeAspect="1" noChangeArrowheads="1"/>
                    </pic:cNvPicPr>
                  </pic:nvPicPr>
                  <pic:blipFill>
                    <a:blip r:embed="rId37" cstate="print"/>
                    <a:srcRect/>
                    <a:stretch>
                      <a:fillRect/>
                    </a:stretch>
                  </pic:blipFill>
                  <pic:spPr bwMode="auto">
                    <a:xfrm>
                      <a:off x="0" y="0"/>
                      <a:ext cx="4718050" cy="2804795"/>
                    </a:xfrm>
                    <a:prstGeom prst="rect">
                      <a:avLst/>
                    </a:prstGeom>
                    <a:noFill/>
                    <a:ln w="9525">
                      <a:noFill/>
                      <a:miter lim="800000"/>
                      <a:headEnd/>
                      <a:tailEnd/>
                    </a:ln>
                  </pic:spPr>
                </pic:pic>
              </a:graphicData>
            </a:graphic>
          </wp:inline>
        </w:drawing>
      </w:r>
    </w:p>
    <w:p w:rsidR="00102A50" w:rsidRDefault="00102A50" w:rsidP="00102A50">
      <w:pPr>
        <w:rPr>
          <w:color w:val="000000"/>
          <w:lang w:val="en-US"/>
        </w:rPr>
      </w:pPr>
      <w:r>
        <w:rPr>
          <w:color w:val="000000"/>
          <w:lang w:val="en-US"/>
        </w:rPr>
        <w:t>The subjects enrolled had marked osteopoenia or osteoporosis</w:t>
      </w:r>
      <w:r w:rsidR="00B51CDD">
        <w:rPr>
          <w:color w:val="000000"/>
          <w:lang w:val="en-US"/>
        </w:rPr>
        <w:t xml:space="preserve"> (Table 3</w:t>
      </w:r>
      <w:r w:rsidR="007C46CD">
        <w:rPr>
          <w:color w:val="000000"/>
          <w:lang w:val="en-US"/>
        </w:rPr>
        <w:t>).</w:t>
      </w:r>
    </w:p>
    <w:p w:rsidR="00102A50" w:rsidRPr="008F72F6" w:rsidRDefault="008F72F6" w:rsidP="00B51CDD">
      <w:r w:rsidRPr="00C4697A">
        <w:t xml:space="preserve">The primary efficacy criterion was the lumbar L2-L4 BMD expressed as the relative change from baseline to last value (End) in the </w:t>
      </w:r>
      <w:r w:rsidR="007C46CD">
        <w:t>FAS</w:t>
      </w:r>
      <w:r w:rsidRPr="00C4697A">
        <w:t xml:space="preserve">. </w:t>
      </w:r>
      <w:r>
        <w:t xml:space="preserve">Results at 12 months are presented below; the study numbers (just) met the </w:t>
      </w:r>
      <w:r w:rsidRPr="007C46CD">
        <w:rPr>
          <w:i/>
        </w:rPr>
        <w:t>a priori</w:t>
      </w:r>
      <w:r>
        <w:t xml:space="preserve"> sampl</w:t>
      </w:r>
      <w:r w:rsidR="00B51CDD">
        <w:t>e size calculations (Table 4</w:t>
      </w:r>
      <w:r w:rsidR="007C46CD">
        <w:t>).</w:t>
      </w:r>
    </w:p>
    <w:p w:rsidR="006A15AE" w:rsidRDefault="006A15AE" w:rsidP="008F72F6">
      <w:pPr>
        <w:rPr>
          <w:color w:val="000000"/>
        </w:rPr>
      </w:pPr>
      <w:r>
        <w:rPr>
          <w:color w:val="000000"/>
        </w:rPr>
        <w:t>As noted by the evaluator:</w:t>
      </w:r>
    </w:p>
    <w:p w:rsidR="008F72F6" w:rsidRPr="006A15AE" w:rsidRDefault="008F72F6" w:rsidP="006A15AE">
      <w:pPr>
        <w:ind w:left="720"/>
        <w:rPr>
          <w:i/>
          <w:color w:val="000000"/>
        </w:rPr>
      </w:pPr>
      <w:r w:rsidRPr="006A15AE">
        <w:rPr>
          <w:i/>
          <w:color w:val="000000"/>
        </w:rPr>
        <w:t xml:space="preserve">“The relative change from baseline to End in L2-L4 BMD was 7.1 </w:t>
      </w:r>
      <w:r w:rsidR="006D04EF">
        <w:rPr>
          <w:i/>
          <w:color w:val="000000"/>
        </w:rPr>
        <w:sym w:font="Symbol" w:char="F0B1"/>
      </w:r>
      <w:r w:rsidRPr="006A15AE">
        <w:rPr>
          <w:i/>
          <w:color w:val="000000"/>
        </w:rPr>
        <w:t xml:space="preserve"> 6.0% with </w:t>
      </w:r>
      <w:r w:rsidR="008107D4" w:rsidRPr="006A15AE">
        <w:rPr>
          <w:i/>
          <w:color w:val="000000"/>
        </w:rPr>
        <w:t>S1</w:t>
      </w:r>
      <w:r w:rsidRPr="006A15AE">
        <w:rPr>
          <w:i/>
          <w:color w:val="000000"/>
        </w:rPr>
        <w:t xml:space="preserve">2911 and 1.7 </w:t>
      </w:r>
      <w:r w:rsidR="006D04EF">
        <w:rPr>
          <w:i/>
          <w:color w:val="000000"/>
        </w:rPr>
        <w:sym w:font="Symbol" w:char="F0B1"/>
      </w:r>
      <w:r w:rsidRPr="006A15AE">
        <w:rPr>
          <w:i/>
          <w:color w:val="000000"/>
        </w:rPr>
        <w:t xml:space="preserve"> 4.4% with placebo, with a statistically significan</w:t>
      </w:r>
      <w:r w:rsidR="00A93F10">
        <w:rPr>
          <w:i/>
          <w:color w:val="000000"/>
        </w:rPr>
        <w:t>t difference between groups (E [SE] = 5.3 [0.7]; 95% CI = [3.9-</w:t>
      </w:r>
      <w:r w:rsidRPr="006A15AE">
        <w:rPr>
          <w:i/>
          <w:color w:val="000000"/>
        </w:rPr>
        <w:t>6.8]; p &lt; 0.001). These results were consistent with tho</w:t>
      </w:r>
      <w:r w:rsidR="00A93F10">
        <w:rPr>
          <w:i/>
          <w:color w:val="000000"/>
        </w:rPr>
        <w:t>se defined in the protocol (that is,</w:t>
      </w:r>
      <w:r w:rsidRPr="006A15AE">
        <w:rPr>
          <w:i/>
          <w:color w:val="000000"/>
        </w:rPr>
        <w:t xml:space="preserve"> the measured mean BMD in strontium ranelate</w:t>
      </w:r>
      <w:r w:rsidR="00A93F10">
        <w:rPr>
          <w:i/>
          <w:color w:val="000000"/>
        </w:rPr>
        <w:t xml:space="preserve"> </w:t>
      </w:r>
      <w:r w:rsidRPr="006A15AE">
        <w:rPr>
          <w:i/>
          <w:color w:val="000000"/>
        </w:rPr>
        <w:t>treated patients should increase from baseline by 5% the first year at the lumbar spine).”</w:t>
      </w:r>
    </w:p>
    <w:p w:rsidR="008F72F6" w:rsidRPr="00B51CDD" w:rsidRDefault="008F72F6" w:rsidP="00B51CDD">
      <w:pPr>
        <w:rPr>
          <w:color w:val="000000"/>
        </w:rPr>
      </w:pPr>
      <w:r>
        <w:rPr>
          <w:color w:val="000000"/>
        </w:rPr>
        <w:t>Bone turnover marke</w:t>
      </w:r>
      <w:r w:rsidR="00A93F10">
        <w:rPr>
          <w:color w:val="000000"/>
        </w:rPr>
        <w:t>rs sugges</w:t>
      </w:r>
      <w:r w:rsidR="00B51CDD">
        <w:rPr>
          <w:color w:val="000000"/>
        </w:rPr>
        <w:t>ted a treatment effect (Table 6</w:t>
      </w:r>
      <w:r w:rsidR="00A93F10">
        <w:rPr>
          <w:color w:val="000000"/>
        </w:rPr>
        <w:t>).</w:t>
      </w:r>
    </w:p>
    <w:p w:rsidR="003462AE" w:rsidRDefault="003462AE" w:rsidP="003462AE">
      <w:pPr>
        <w:rPr>
          <w:color w:val="000000"/>
        </w:rPr>
      </w:pPr>
      <w:r>
        <w:rPr>
          <w:color w:val="000000"/>
        </w:rPr>
        <w:lastRenderedPageBreak/>
        <w:t>The evaluator was satisfied with the conduct of the study and was of the view that the results obtained for primary and secondary endpoints were comparable to those obtained from pivotal s</w:t>
      </w:r>
      <w:r w:rsidR="006D04EF">
        <w:rPr>
          <w:color w:val="000000"/>
        </w:rPr>
        <w:t>tudies in postmenopausal women.</w:t>
      </w:r>
    </w:p>
    <w:p w:rsidR="003462AE" w:rsidRDefault="003462AE" w:rsidP="003462AE">
      <w:pPr>
        <w:rPr>
          <w:color w:val="000000"/>
        </w:rPr>
      </w:pPr>
      <w:r>
        <w:rPr>
          <w:color w:val="000000"/>
        </w:rPr>
        <w:t>No new safety signals emerged. The evaluator concluded, “</w:t>
      </w:r>
      <w:r w:rsidRPr="00BD2B76">
        <w:rPr>
          <w:color w:val="000000"/>
        </w:rPr>
        <w:t>The clinical safety seems very similar in this group of men than in the larger group of women in the previous trial.</w:t>
      </w:r>
      <w:r>
        <w:rPr>
          <w:color w:val="000000"/>
        </w:rPr>
        <w:t>”</w:t>
      </w:r>
    </w:p>
    <w:p w:rsidR="003462AE" w:rsidRDefault="003462AE" w:rsidP="003462AE">
      <w:pPr>
        <w:rPr>
          <w:color w:val="000000"/>
        </w:rPr>
      </w:pPr>
      <w:r>
        <w:rPr>
          <w:color w:val="000000"/>
        </w:rPr>
        <w:t xml:space="preserve">The evaluator supports registration but notes that </w:t>
      </w:r>
      <w:r w:rsidRPr="00BD2B76">
        <w:rPr>
          <w:color w:val="000000"/>
        </w:rPr>
        <w:t>the proportionality of BMD changes and fracture incidence which may not have been prove</w:t>
      </w:r>
      <w:r>
        <w:rPr>
          <w:color w:val="000000"/>
        </w:rPr>
        <w:t>n. No significant changes to the PI were recommended.</w:t>
      </w:r>
    </w:p>
    <w:p w:rsidR="008E7846" w:rsidRDefault="00386150" w:rsidP="008E7846">
      <w:pPr>
        <w:pStyle w:val="Heading3"/>
        <w:rPr>
          <w:lang w:eastAsia="en-AU"/>
        </w:rPr>
      </w:pPr>
      <w:bookmarkStart w:id="201" w:name="_Toc314842514"/>
      <w:bookmarkStart w:id="202" w:name="_Toc345343198"/>
      <w:r>
        <w:rPr>
          <w:lang w:eastAsia="en-AU"/>
        </w:rPr>
        <w:t>Risk m</w:t>
      </w:r>
      <w:r w:rsidR="008E7846">
        <w:rPr>
          <w:lang w:eastAsia="en-AU"/>
        </w:rPr>
        <w:t xml:space="preserve">anagement </w:t>
      </w:r>
      <w:r>
        <w:rPr>
          <w:lang w:eastAsia="en-AU"/>
        </w:rPr>
        <w:t>p</w:t>
      </w:r>
      <w:r w:rsidR="008E7846">
        <w:rPr>
          <w:lang w:eastAsia="en-AU"/>
        </w:rPr>
        <w:t>lan</w:t>
      </w:r>
      <w:bookmarkEnd w:id="201"/>
      <w:bookmarkEnd w:id="202"/>
    </w:p>
    <w:p w:rsidR="003462AE" w:rsidRDefault="003462AE" w:rsidP="003462AE">
      <w:pPr>
        <w:rPr>
          <w:color w:val="000000"/>
        </w:rPr>
      </w:pPr>
      <w:r>
        <w:rPr>
          <w:color w:val="000000"/>
        </w:rPr>
        <w:t xml:space="preserve">Specific </w:t>
      </w:r>
      <w:r w:rsidR="00DD2163">
        <w:rPr>
          <w:color w:val="000000"/>
        </w:rPr>
        <w:t>recommendations have been made:</w:t>
      </w:r>
    </w:p>
    <w:p w:rsidR="003462AE" w:rsidRPr="003462AE" w:rsidRDefault="003462AE" w:rsidP="003462AE">
      <w:pPr>
        <w:ind w:left="720"/>
        <w:rPr>
          <w:i/>
          <w:color w:val="000000"/>
        </w:rPr>
      </w:pPr>
      <w:r w:rsidRPr="003462AE">
        <w:rPr>
          <w:i/>
          <w:color w:val="000000"/>
        </w:rPr>
        <w:t xml:space="preserve">“Two years is the longest duration of exposure in male patients from the clinical trials presented, compared with 10 years in </w:t>
      </w:r>
      <w:r w:rsidR="00DD2163">
        <w:rPr>
          <w:i/>
          <w:color w:val="000000"/>
        </w:rPr>
        <w:t>PMO</w:t>
      </w:r>
      <w:r w:rsidRPr="003462AE">
        <w:rPr>
          <w:i/>
          <w:color w:val="000000"/>
        </w:rPr>
        <w:t xml:space="preserve"> women. As it appears</w:t>
      </w:r>
      <w:r w:rsidR="00DD2163">
        <w:rPr>
          <w:i/>
          <w:color w:val="000000"/>
        </w:rPr>
        <w:t>,</w:t>
      </w:r>
      <w:r w:rsidRPr="003462AE">
        <w:rPr>
          <w:i/>
          <w:color w:val="000000"/>
        </w:rPr>
        <w:t xml:space="preserve"> the additional pharmacovigilance activities mentioned in the RMP have concluded routine pharmacovigilance activities remain the only activity in the Pharmacovigilance Plan for the safety specifications as listed. It is therefore recommended that special consideration be given in the PSURs to </w:t>
      </w:r>
      <w:r w:rsidR="004F6365">
        <w:rPr>
          <w:i/>
          <w:color w:val="000000"/>
        </w:rPr>
        <w:t>AEs</w:t>
      </w:r>
      <w:r w:rsidRPr="003462AE">
        <w:rPr>
          <w:i/>
          <w:color w:val="000000"/>
        </w:rPr>
        <w:t xml:space="preserve"> in males with osteoporosis to further inform the safety profile of strontium when used in this population in Australia.”</w:t>
      </w:r>
    </w:p>
    <w:p w:rsidR="003462AE" w:rsidRDefault="003462AE" w:rsidP="003462AE">
      <w:pPr>
        <w:ind w:left="720"/>
        <w:rPr>
          <w:color w:val="000000"/>
        </w:rPr>
      </w:pPr>
      <w:r w:rsidRPr="003462AE">
        <w:rPr>
          <w:i/>
          <w:color w:val="000000"/>
        </w:rPr>
        <w:t xml:space="preserve">“Hypersensitivity syndromes such as DRESS represent a rare but potentially life threatening </w:t>
      </w:r>
      <w:r w:rsidR="0047365D">
        <w:rPr>
          <w:i/>
          <w:color w:val="000000"/>
        </w:rPr>
        <w:t>AE</w:t>
      </w:r>
      <w:r w:rsidRPr="003462AE">
        <w:rPr>
          <w:i/>
          <w:color w:val="000000"/>
        </w:rPr>
        <w:t xml:space="preserve"> where early recognition and management are important, thus the additional risk minimisation activities to raise awareness among the prescriber base is supported.”</w:t>
      </w:r>
    </w:p>
    <w:p w:rsidR="003462AE" w:rsidRDefault="003462AE" w:rsidP="003462AE">
      <w:pPr>
        <w:rPr>
          <w:color w:val="000000"/>
        </w:rPr>
      </w:pPr>
      <w:r>
        <w:rPr>
          <w:color w:val="000000"/>
        </w:rPr>
        <w:t>In regard to the PI:</w:t>
      </w:r>
    </w:p>
    <w:p w:rsidR="003462AE" w:rsidRPr="003462AE" w:rsidRDefault="003462AE" w:rsidP="003462AE">
      <w:pPr>
        <w:ind w:left="720"/>
        <w:rPr>
          <w:i/>
          <w:color w:val="000000"/>
        </w:rPr>
      </w:pPr>
      <w:r w:rsidRPr="003462AE">
        <w:rPr>
          <w:i/>
          <w:color w:val="000000"/>
        </w:rPr>
        <w:t xml:space="preserve">“In regard to the proposed routine risk minimisation activities, it is recommended to the Delegate that the draft </w:t>
      </w:r>
      <w:r w:rsidR="00DD2163">
        <w:rPr>
          <w:i/>
          <w:color w:val="000000"/>
        </w:rPr>
        <w:t>PI</w:t>
      </w:r>
      <w:r w:rsidRPr="003462AE">
        <w:rPr>
          <w:i/>
          <w:color w:val="000000"/>
        </w:rPr>
        <w:t xml:space="preserve"> document be revised as follows: </w:t>
      </w:r>
    </w:p>
    <w:p w:rsidR="003462AE" w:rsidRPr="003462AE" w:rsidRDefault="003462AE" w:rsidP="003462AE">
      <w:pPr>
        <w:ind w:left="720"/>
        <w:rPr>
          <w:i/>
          <w:color w:val="000000"/>
        </w:rPr>
      </w:pPr>
      <w:r w:rsidRPr="003462AE">
        <w:rPr>
          <w:i/>
          <w:color w:val="000000"/>
        </w:rPr>
        <w:t xml:space="preserve">The sponsor has indicated that in the EU it has proposed an additional contraindication in patients with a past history of VTE. It is recommended to the delegate that consideration be given to the same change to the </w:t>
      </w:r>
      <w:r w:rsidR="00466927">
        <w:rPr>
          <w:i/>
          <w:color w:val="000000"/>
        </w:rPr>
        <w:t>PI</w:t>
      </w:r>
      <w:r w:rsidRPr="003462AE">
        <w:rPr>
          <w:i/>
          <w:color w:val="000000"/>
        </w:rPr>
        <w:t xml:space="preserve"> for Australian patients. </w:t>
      </w:r>
    </w:p>
    <w:p w:rsidR="003462AE" w:rsidRPr="003462AE" w:rsidRDefault="003462AE" w:rsidP="003462AE">
      <w:pPr>
        <w:ind w:left="720"/>
        <w:rPr>
          <w:i/>
          <w:color w:val="000000"/>
        </w:rPr>
      </w:pPr>
      <w:r w:rsidRPr="003462AE">
        <w:rPr>
          <w:i/>
          <w:color w:val="000000"/>
        </w:rPr>
        <w:t xml:space="preserve">The </w:t>
      </w:r>
      <w:r w:rsidR="00DD2163">
        <w:rPr>
          <w:i/>
          <w:color w:val="000000"/>
        </w:rPr>
        <w:t>PI</w:t>
      </w:r>
      <w:r w:rsidRPr="003462AE">
        <w:rPr>
          <w:i/>
          <w:color w:val="000000"/>
        </w:rPr>
        <w:t xml:space="preserve"> states Protos is only indicated in post</w:t>
      </w:r>
      <w:r w:rsidR="00DD2163">
        <w:rPr>
          <w:i/>
          <w:color w:val="000000"/>
        </w:rPr>
        <w:t xml:space="preserve"> </w:t>
      </w:r>
      <w:r w:rsidRPr="003462AE">
        <w:rPr>
          <w:i/>
          <w:color w:val="000000"/>
        </w:rPr>
        <w:t>menopausal women. This contradicts the proposed indication and is presumed to be an oversight by the sponsor</w:t>
      </w:r>
      <w:r w:rsidR="00DD2163">
        <w:rPr>
          <w:i/>
          <w:color w:val="000000"/>
        </w:rPr>
        <w:t>;</w:t>
      </w:r>
      <w:r w:rsidRPr="003462AE">
        <w:rPr>
          <w:i/>
          <w:color w:val="000000"/>
        </w:rPr>
        <w:t xml:space="preserve"> however</w:t>
      </w:r>
      <w:r w:rsidR="00DD2163">
        <w:rPr>
          <w:i/>
          <w:color w:val="000000"/>
        </w:rPr>
        <w:t>, it is recommended to the D</w:t>
      </w:r>
      <w:r w:rsidRPr="003462AE">
        <w:rPr>
          <w:i/>
          <w:color w:val="000000"/>
        </w:rPr>
        <w:t xml:space="preserve">elegate that this be corrected. </w:t>
      </w:r>
    </w:p>
    <w:p w:rsidR="008E7846" w:rsidRPr="003462AE" w:rsidRDefault="003462AE" w:rsidP="003462AE">
      <w:pPr>
        <w:ind w:left="720"/>
        <w:rPr>
          <w:color w:val="000000"/>
        </w:rPr>
      </w:pPr>
      <w:r w:rsidRPr="003462AE">
        <w:rPr>
          <w:i/>
          <w:color w:val="000000"/>
        </w:rPr>
        <w:t xml:space="preserve">In regard to the proposed routine risk minimisation activities, it is recommended to the Delegate that the draft </w:t>
      </w:r>
      <w:r w:rsidR="00DD2163">
        <w:rPr>
          <w:i/>
          <w:color w:val="000000"/>
        </w:rPr>
        <w:t>CMI</w:t>
      </w:r>
      <w:r w:rsidRPr="003462AE">
        <w:rPr>
          <w:i/>
          <w:color w:val="000000"/>
        </w:rPr>
        <w:t xml:space="preserve"> document be revised to reflect any changes in the </w:t>
      </w:r>
      <w:r w:rsidR="00CE44CB">
        <w:rPr>
          <w:i/>
          <w:color w:val="000000"/>
        </w:rPr>
        <w:t>PI</w:t>
      </w:r>
      <w:r w:rsidRPr="003462AE">
        <w:rPr>
          <w:i/>
          <w:color w:val="000000"/>
        </w:rPr>
        <w:t xml:space="preserve">. It should be noted that an updated draft </w:t>
      </w:r>
      <w:r w:rsidR="00466927">
        <w:rPr>
          <w:i/>
          <w:color w:val="000000"/>
        </w:rPr>
        <w:t xml:space="preserve">CMI </w:t>
      </w:r>
      <w:r w:rsidRPr="003462AE">
        <w:rPr>
          <w:i/>
          <w:color w:val="000000"/>
        </w:rPr>
        <w:t>was not provided with the updated draft PI provided with Version 7 of the RMP.”</w:t>
      </w:r>
    </w:p>
    <w:p w:rsidR="008E7846" w:rsidRDefault="00AA0ED0" w:rsidP="008E7846">
      <w:pPr>
        <w:pStyle w:val="Heading3"/>
      </w:pPr>
      <w:bookmarkStart w:id="203" w:name="_Toc247691531"/>
      <w:bookmarkStart w:id="204" w:name="_Toc314842515"/>
      <w:bookmarkStart w:id="205" w:name="_Toc196046505"/>
      <w:bookmarkStart w:id="206" w:name="_Toc196046949"/>
      <w:bookmarkStart w:id="207" w:name="_Toc345343199"/>
      <w:r>
        <w:t>Risk-benefit a</w:t>
      </w:r>
      <w:r w:rsidR="008E7846">
        <w:t>nalysis</w:t>
      </w:r>
      <w:bookmarkEnd w:id="203"/>
      <w:bookmarkEnd w:id="204"/>
      <w:bookmarkEnd w:id="207"/>
    </w:p>
    <w:p w:rsidR="00892714" w:rsidRDefault="00892714" w:rsidP="00892714">
      <w:pPr>
        <w:rPr>
          <w:color w:val="000000"/>
        </w:rPr>
      </w:pPr>
      <w:r>
        <w:rPr>
          <w:color w:val="000000"/>
        </w:rPr>
        <w:t>The study in men is therefore at least consistent with the previous findings. Some of the increase in BMD is artefactual but bone turnover markers are supportive of a treatment effect. No fracture data are available to support efficacy in males and the descripti</w:t>
      </w:r>
      <w:r w:rsidR="00F4464B">
        <w:rPr>
          <w:color w:val="000000"/>
        </w:rPr>
        <w:t>on of the clinical trial in the PI</w:t>
      </w:r>
      <w:r>
        <w:rPr>
          <w:color w:val="000000"/>
        </w:rPr>
        <w:t xml:space="preserve"> would have to disclose this.</w:t>
      </w:r>
      <w:r w:rsidR="002C0294">
        <w:rPr>
          <w:color w:val="000000"/>
        </w:rPr>
        <w:t xml:space="preserve"> </w:t>
      </w:r>
    </w:p>
    <w:p w:rsidR="00892714" w:rsidRDefault="00892714" w:rsidP="00892714">
      <w:pPr>
        <w:ind w:firstLine="6"/>
        <w:rPr>
          <w:color w:val="000000"/>
        </w:rPr>
      </w:pPr>
      <w:r>
        <w:rPr>
          <w:color w:val="000000"/>
        </w:rPr>
        <w:t xml:space="preserve">The </w:t>
      </w:r>
      <w:r w:rsidR="00F4464B">
        <w:rPr>
          <w:color w:val="000000"/>
        </w:rPr>
        <w:t>RMP</w:t>
      </w:r>
      <w:r>
        <w:rPr>
          <w:color w:val="000000"/>
        </w:rPr>
        <w:t xml:space="preserve"> evaluator’s recommendations all appear to be reasonable and are supported.</w:t>
      </w:r>
    </w:p>
    <w:p w:rsidR="00892714" w:rsidRPr="005F3A0B" w:rsidRDefault="00892714" w:rsidP="00892714">
      <w:pPr>
        <w:ind w:firstLine="6"/>
        <w:rPr>
          <w:color w:val="000000"/>
        </w:rPr>
      </w:pPr>
      <w:r>
        <w:rPr>
          <w:color w:val="000000"/>
        </w:rPr>
        <w:t xml:space="preserve">The advice of the </w:t>
      </w:r>
      <w:r w:rsidR="00EF7C5D" w:rsidRPr="00F46668">
        <w:rPr>
          <w:rFonts w:cs="Arial"/>
        </w:rPr>
        <w:t>ACPM</w:t>
      </w:r>
      <w:r w:rsidR="00EF7C5D">
        <w:rPr>
          <w:color w:val="000000"/>
        </w:rPr>
        <w:t xml:space="preserve"> </w:t>
      </w:r>
      <w:r>
        <w:rPr>
          <w:color w:val="000000"/>
        </w:rPr>
        <w:t>is requested.</w:t>
      </w:r>
    </w:p>
    <w:p w:rsidR="003462AE" w:rsidRPr="003462AE" w:rsidRDefault="00892714" w:rsidP="003462AE">
      <w:pPr>
        <w:pStyle w:val="Heading4"/>
      </w:pPr>
      <w:r>
        <w:lastRenderedPageBreak/>
        <w:t>Propose</w:t>
      </w:r>
      <w:r w:rsidR="002E5390">
        <w:t>d</w:t>
      </w:r>
      <w:r>
        <w:t xml:space="preserve"> actions</w:t>
      </w:r>
    </w:p>
    <w:p w:rsidR="008E7846" w:rsidRPr="003462AE" w:rsidRDefault="003462AE" w:rsidP="008E7846">
      <w:pPr>
        <w:rPr>
          <w:color w:val="000000"/>
        </w:rPr>
      </w:pPr>
      <w:r w:rsidRPr="00370766">
        <w:rPr>
          <w:color w:val="000000"/>
        </w:rPr>
        <w:t xml:space="preserve">The application by </w:t>
      </w:r>
      <w:r>
        <w:rPr>
          <w:color w:val="000000"/>
        </w:rPr>
        <w:t xml:space="preserve">the sponsor to register Protos </w:t>
      </w:r>
      <w:r w:rsidRPr="00370766">
        <w:rPr>
          <w:color w:val="000000"/>
        </w:rPr>
        <w:t>2</w:t>
      </w:r>
      <w:r>
        <w:rPr>
          <w:color w:val="000000"/>
        </w:rPr>
        <w:t xml:space="preserve"> </w:t>
      </w:r>
      <w:r w:rsidRPr="00370766">
        <w:rPr>
          <w:color w:val="000000"/>
        </w:rPr>
        <w:t>g, powder for oral suspension containing 2 g strontium ranelate for the treatment of osteoporosis in me</w:t>
      </w:r>
      <w:r>
        <w:rPr>
          <w:color w:val="000000"/>
        </w:rPr>
        <w:t xml:space="preserve">n at increased risk of fracture, </w:t>
      </w:r>
      <w:r w:rsidR="006D04EF">
        <w:rPr>
          <w:color w:val="000000"/>
        </w:rPr>
        <w:t>should be approved.</w:t>
      </w:r>
    </w:p>
    <w:p w:rsidR="008E7846" w:rsidRDefault="008E7846" w:rsidP="008E7846">
      <w:pPr>
        <w:pStyle w:val="Heading4"/>
      </w:pPr>
      <w:r>
        <w:t xml:space="preserve">Response from </w:t>
      </w:r>
      <w:r w:rsidR="00596DCD">
        <w:t>s</w:t>
      </w:r>
      <w:r>
        <w:t>ponsor</w:t>
      </w:r>
    </w:p>
    <w:p w:rsidR="008E7846" w:rsidRDefault="00CF214B" w:rsidP="008E7846">
      <w:r>
        <w:t xml:space="preserve">We are pleased to respond to the Delegate. </w:t>
      </w:r>
      <w:r w:rsidR="00167E1B">
        <w:t xml:space="preserve">For ease of review, the </w:t>
      </w:r>
      <w:r>
        <w:t>issues raised by the Delegate have been reproduced in bold text preceding the company’s response.</w:t>
      </w:r>
    </w:p>
    <w:p w:rsidR="001E464D" w:rsidRPr="001E464D" w:rsidRDefault="001E464D" w:rsidP="001E464D">
      <w:pPr>
        <w:pStyle w:val="Heading5"/>
      </w:pPr>
      <w:r w:rsidRPr="001E464D">
        <w:t>1. Proportionality of BMD changes and fracture incidence</w:t>
      </w:r>
    </w:p>
    <w:p w:rsidR="001E464D" w:rsidRPr="00B90B32" w:rsidRDefault="001E464D" w:rsidP="001E464D">
      <w:pPr>
        <w:ind w:left="720"/>
        <w:rPr>
          <w:i/>
        </w:rPr>
      </w:pPr>
      <w:r w:rsidRPr="00B90B32">
        <w:rPr>
          <w:i/>
        </w:rPr>
        <w:t xml:space="preserve">“The evaluator supports registration but notes that the proportionality of BMD changes and fracture incidence which may not have been proven.” DO </w:t>
      </w:r>
      <w:r w:rsidR="00D77558" w:rsidRPr="00B90B32">
        <w:rPr>
          <w:i/>
        </w:rPr>
        <w:t xml:space="preserve">(Delegate’s Overview) </w:t>
      </w:r>
      <w:r w:rsidRPr="00B90B32">
        <w:rPr>
          <w:i/>
        </w:rPr>
        <w:t>p.8</w:t>
      </w:r>
    </w:p>
    <w:p w:rsidR="001E464D" w:rsidRPr="00B90B32" w:rsidRDefault="001E464D" w:rsidP="001E464D">
      <w:pPr>
        <w:ind w:left="720"/>
        <w:rPr>
          <w:i/>
        </w:rPr>
      </w:pPr>
      <w:r w:rsidRPr="00B90B32">
        <w:rPr>
          <w:i/>
        </w:rPr>
        <w:t>“The study in men is therefore at least consistent with the previous findings. Some of the increase in BMD is artefactual but bone turnover markers are supportive of a treatment effect. No fracture data are available to support efficacy in males and the description of the clinical trial in the PI would have to disclose this” DO p.8</w:t>
      </w:r>
    </w:p>
    <w:p w:rsidR="001E464D" w:rsidRDefault="001E464D" w:rsidP="001E464D">
      <w:r>
        <w:t xml:space="preserve">The proportionality between BMD changes and reduction in fracture risk was </w:t>
      </w:r>
      <w:r w:rsidR="0026758B">
        <w:t>demonstrated in PMO</w:t>
      </w:r>
      <w:r>
        <w:t xml:space="preserve"> women.</w:t>
      </w:r>
    </w:p>
    <w:p w:rsidR="001E464D" w:rsidRDefault="00C50E71" w:rsidP="001E464D">
      <w:r>
        <w:t xml:space="preserve">A post </w:t>
      </w:r>
      <w:r w:rsidR="001E464D">
        <w:t xml:space="preserve">hoc analysis with data from SOTI and TROPOS (FAS population) showed a relationship between increases in measured BMD and reduction in the risk of new vertebral and hip osteoporotic </w:t>
      </w:r>
      <w:r>
        <w:t xml:space="preserve">fractures in strontium ranelate treated patients. After </w:t>
      </w:r>
      <w:r w:rsidR="009834B4">
        <w:t>3 yea</w:t>
      </w:r>
      <w:r w:rsidR="001E464D">
        <w:t>rs of strontium ranelate treatment, each percentage point increase in femoral neck BMD was associated with a 3% (95% adjusted CI= [1-5%]) reduction in risk of a new vertebral fracture.</w:t>
      </w:r>
    </w:p>
    <w:p w:rsidR="001E464D" w:rsidRDefault="009834B4" w:rsidP="001E464D">
      <w:r>
        <w:t>The 3</w:t>
      </w:r>
      <w:r w:rsidR="00C50E71">
        <w:t xml:space="preserve"> </w:t>
      </w:r>
      <w:r w:rsidR="001E464D">
        <w:t>year changes in femoral neck BMD explained 76% of the reduction in vertebral fractures observed during treatment. An increase in femoral neck BMD after 1 year was significantly associated with the reduction in incidence of new vertebral fractures observed after 3 years (p=0.04).</w:t>
      </w:r>
      <w:r w:rsidR="001E464D">
        <w:rPr>
          <w:rStyle w:val="FootnoteReference"/>
        </w:rPr>
        <w:footnoteReference w:id="22"/>
      </w:r>
    </w:p>
    <w:p w:rsidR="008D7B7F" w:rsidRDefault="001E464D" w:rsidP="008D7B7F">
      <w:r>
        <w:t>Regarding peripheral fractures, the relationship between change in femoral neck BMD and hip fractures was established</w:t>
      </w:r>
      <w:r w:rsidR="00C50E71">
        <w:t xml:space="preserve"> in patients considered most at </w:t>
      </w:r>
      <w:r>
        <w:t xml:space="preserve">risk of hip fracture, that is, patients aged </w:t>
      </w:r>
      <w:r w:rsidR="006D04EF">
        <w:sym w:font="Symbol" w:char="F0B3"/>
      </w:r>
      <w:r>
        <w:t xml:space="preserve"> 74 years with femoral neck BMD </w:t>
      </w:r>
      <w:r w:rsidR="006D04EF">
        <w:sym w:font="Symbol" w:char="F0A3"/>
      </w:r>
      <w:r>
        <w:t xml:space="preserve"> 2.4 (NHANES normative value).</w:t>
      </w:r>
      <w:r>
        <w:rPr>
          <w:rStyle w:val="FootnoteReference"/>
        </w:rPr>
        <w:footnoteReference w:id="23"/>
      </w:r>
      <w:r>
        <w:t xml:space="preserve"> Over 3 years of treatment, </w:t>
      </w:r>
      <w:r w:rsidR="008D7B7F">
        <w:t>each 1% increased in femoral neck BMD was associated with a 7% reduction of hip fractures (95%</w:t>
      </w:r>
      <w:r w:rsidR="00D77558">
        <w:t xml:space="preserve"> </w:t>
      </w:r>
      <w:r w:rsidR="008D7B7F">
        <w:t>CI</w:t>
      </w:r>
      <w:r w:rsidR="00D77558">
        <w:t xml:space="preserve"> </w:t>
      </w:r>
      <w:r w:rsidR="008D7B7F">
        <w:t>=</w:t>
      </w:r>
      <w:r w:rsidR="00D77558">
        <w:t xml:space="preserve"> </w:t>
      </w:r>
      <w:r w:rsidR="008D7B7F">
        <w:t>[1-14%], p=0.04).</w:t>
      </w:r>
    </w:p>
    <w:p w:rsidR="008D7B7F" w:rsidRDefault="008D7B7F" w:rsidP="008D7B7F">
      <w:r>
        <w:t>Taken together, these results observed in PMO women confirm that, the chan</w:t>
      </w:r>
      <w:r w:rsidR="00F9136B">
        <w:t xml:space="preserve">ge in BMD is an appropriate end </w:t>
      </w:r>
      <w:r>
        <w:t>point to predict the effect of strontium ranelate on the fracture risk reduction.</w:t>
      </w:r>
    </w:p>
    <w:p w:rsidR="008D7B7F" w:rsidRDefault="008D7B7F" w:rsidP="008D7B7F">
      <w:r>
        <w:t xml:space="preserve">In the MALEO study, the magnitude of the changes in lumbar spine and femoral neck BMD in the male population over one year is similar to that observed in the pivotal </w:t>
      </w:r>
      <w:r w:rsidR="001556A5">
        <w:t xml:space="preserve">Phase 3 studies carried </w:t>
      </w:r>
      <w:r>
        <w:t>out in postmenopausal women, in whom the fracture risk reduction obtained with strontium ranelate was proportional to the increase in femoral neck BMD. Thus, the efficacy of strontium ranelate to decrease the fracture risk in men with primary osteoporosis can be anticipated from the BMD results.</w:t>
      </w:r>
    </w:p>
    <w:p w:rsidR="00CF214B" w:rsidRDefault="008D7B7F" w:rsidP="008D7B7F">
      <w:r>
        <w:lastRenderedPageBreak/>
        <w:t>The primary efficacy endpoint of the study in men indicating that it was a bridging BMD tri</w:t>
      </w:r>
      <w:r w:rsidR="00D77558">
        <w:t>al will be mentioned in the PI a</w:t>
      </w:r>
      <w:r>
        <w:t>s follows: “The primary efficacy endpoint was the percentage change from baseline to end of lumbar L2-L4 BMD”.</w:t>
      </w:r>
    </w:p>
    <w:p w:rsidR="001510FD" w:rsidRDefault="001510FD" w:rsidP="001510FD">
      <w:pPr>
        <w:pStyle w:val="Heading5"/>
      </w:pPr>
      <w:r>
        <w:t>2. Study PKH-12911-012-FRA</w:t>
      </w:r>
    </w:p>
    <w:p w:rsidR="001510FD" w:rsidRPr="00B90B32" w:rsidRDefault="001510FD" w:rsidP="001510FD">
      <w:pPr>
        <w:ind w:left="720"/>
        <w:rPr>
          <w:i/>
        </w:rPr>
      </w:pPr>
      <w:r w:rsidRPr="00B90B32">
        <w:rPr>
          <w:i/>
        </w:rPr>
        <w:t xml:space="preserve">“It is not possible to say that </w:t>
      </w:r>
      <w:r w:rsidR="002204F4" w:rsidRPr="00B90B32">
        <w:rPr>
          <w:i/>
        </w:rPr>
        <w:t>S</w:t>
      </w:r>
      <w:r w:rsidRPr="00B90B32">
        <w:rPr>
          <w:i/>
        </w:rPr>
        <w:t xml:space="preserve">tudy PKH-12911-012-FRA is an acceptable study. It did not directly compare the </w:t>
      </w:r>
      <w:r w:rsidR="0039505F" w:rsidRPr="00B90B32">
        <w:rPr>
          <w:i/>
        </w:rPr>
        <w:t>PK</w:t>
      </w:r>
      <w:r w:rsidRPr="00B90B32">
        <w:rPr>
          <w:i/>
        </w:rPr>
        <w:t xml:space="preserve"> of strontium ranelate in men versus women or the elderly versus m</w:t>
      </w:r>
      <w:r w:rsidR="00D77558" w:rsidRPr="00B90B32">
        <w:rPr>
          <w:i/>
        </w:rPr>
        <w:t xml:space="preserve">iddle aged patients. It was non comparative, so indirect cross </w:t>
      </w:r>
      <w:r w:rsidRPr="00B90B32">
        <w:rPr>
          <w:i/>
        </w:rPr>
        <w:t>study comparisons must have informed the clinical evaluator’s view.” DO p.5</w:t>
      </w:r>
    </w:p>
    <w:p w:rsidR="001510FD" w:rsidRDefault="001510FD" w:rsidP="001510FD">
      <w:r>
        <w:t xml:space="preserve">In the </w:t>
      </w:r>
      <w:r w:rsidR="00D77558">
        <w:t xml:space="preserve">Study </w:t>
      </w:r>
      <w:r>
        <w:t>PKH-12911-</w:t>
      </w:r>
      <w:r w:rsidR="00740C65">
        <w:t>010 study</w:t>
      </w:r>
      <w:r>
        <w:t xml:space="preserve"> (study in women),</w:t>
      </w:r>
      <w:r w:rsidR="00740C65">
        <w:rPr>
          <w:rStyle w:val="FootnoteReference"/>
        </w:rPr>
        <w:footnoteReference w:id="24"/>
      </w:r>
      <w:r>
        <w:t xml:space="preserve"> the age of the PM</w:t>
      </w:r>
      <w:r w:rsidR="00740C65">
        <w:t xml:space="preserve">O women included ranged between </w:t>
      </w:r>
      <w:r>
        <w:t xml:space="preserve">52 to 65 years with a mean </w:t>
      </w:r>
      <w:r w:rsidR="006D04EF">
        <w:sym w:font="Symbol" w:char="F0B1"/>
      </w:r>
      <w:r>
        <w:t xml:space="preserve"> SD age of 57.4 </w:t>
      </w:r>
      <w:r w:rsidR="006D04EF">
        <w:sym w:font="Symbol" w:char="F0B1"/>
      </w:r>
      <w:r>
        <w:t xml:space="preserve"> 4.1 years</w:t>
      </w:r>
      <w:r w:rsidR="00D77558">
        <w:t>,</w:t>
      </w:r>
      <w:r>
        <w:t xml:space="preserve"> while </w:t>
      </w:r>
      <w:r w:rsidR="00740C65">
        <w:t xml:space="preserve">in men in the </w:t>
      </w:r>
      <w:r w:rsidR="00D77558">
        <w:t xml:space="preserve">Study </w:t>
      </w:r>
      <w:r w:rsidR="00740C65">
        <w:t xml:space="preserve">PKH-12911-012-FRA </w:t>
      </w:r>
      <w:r>
        <w:t>trial</w:t>
      </w:r>
      <w:r w:rsidR="00740C65">
        <w:rPr>
          <w:rStyle w:val="FootnoteReference"/>
        </w:rPr>
        <w:footnoteReference w:id="25"/>
      </w:r>
      <w:r>
        <w:t xml:space="preserve"> mean </w:t>
      </w:r>
      <w:r w:rsidR="006D04EF">
        <w:sym w:font="Symbol" w:char="F0B1"/>
      </w:r>
      <w:r>
        <w:t xml:space="preserve"> SD age</w:t>
      </w:r>
      <w:r w:rsidR="00D77558">
        <w:t xml:space="preserve"> was 68.9 </w:t>
      </w:r>
      <w:r w:rsidR="006D04EF">
        <w:sym w:font="Symbol" w:char="F0B1"/>
      </w:r>
      <w:r w:rsidR="006D04EF">
        <w:t xml:space="preserve"> </w:t>
      </w:r>
      <w:r w:rsidR="00D77558">
        <w:t>2.8 years (</w:t>
      </w:r>
      <w:r w:rsidR="00740C65">
        <w:t>range 63-</w:t>
      </w:r>
      <w:r w:rsidR="00D77558">
        <w:t>73 years)</w:t>
      </w:r>
      <w:r>
        <w:t>.</w:t>
      </w:r>
    </w:p>
    <w:p w:rsidR="001510FD" w:rsidRDefault="001510FD" w:rsidP="001510FD">
      <w:r>
        <w:t xml:space="preserve">Primary osteoporosis occurs about ten years later in men than in women, and as the goal of </w:t>
      </w:r>
      <w:r w:rsidR="00D77558">
        <w:t xml:space="preserve">Study </w:t>
      </w:r>
      <w:r>
        <w:t>PKH-12911-012-FRA was mainly to help to the choice of the dose for t</w:t>
      </w:r>
      <w:r w:rsidR="00740C65">
        <w:t xml:space="preserve">he Phase 3 study performed in </w:t>
      </w:r>
      <w:r>
        <w:t xml:space="preserve">men, strontium </w:t>
      </w:r>
      <w:r w:rsidR="00245F36">
        <w:t xml:space="preserve">PK </w:t>
      </w:r>
      <w:r>
        <w:t xml:space="preserve">was assessed in </w:t>
      </w:r>
      <w:r w:rsidR="00D77558">
        <w:t xml:space="preserve">Study </w:t>
      </w:r>
      <w:r>
        <w:t>PKH-12911-012-FRA in healthy elderly men of the</w:t>
      </w:r>
      <w:r w:rsidR="00245F36">
        <w:t xml:space="preserve"> </w:t>
      </w:r>
      <w:r>
        <w:t>same age as the target population.</w:t>
      </w:r>
    </w:p>
    <w:p w:rsidR="001510FD" w:rsidRDefault="001510FD" w:rsidP="001510FD">
      <w:r>
        <w:t>Ther</w:t>
      </w:r>
      <w:r w:rsidR="00D77558">
        <w:t>efore, 18</w:t>
      </w:r>
      <w:r>
        <w:t xml:space="preserve"> healthy elderly men (mean age: 68.9 years) were included in an open,</w:t>
      </w:r>
      <w:r w:rsidR="00245F36">
        <w:t xml:space="preserve"> </w:t>
      </w:r>
      <w:r w:rsidR="007A30D2">
        <w:t>randomised, three period cross</w:t>
      </w:r>
      <w:r>
        <w:t>over study and received a single oral administration of 1</w:t>
      </w:r>
      <w:r w:rsidR="00245F36">
        <w:t xml:space="preserve"> g</w:t>
      </w:r>
      <w:r>
        <w:t xml:space="preserve">, 2 </w:t>
      </w:r>
      <w:r w:rsidR="00245F36">
        <w:t xml:space="preserve">g </w:t>
      </w:r>
      <w:r>
        <w:t>and 3</w:t>
      </w:r>
      <w:r w:rsidR="00245F36">
        <w:t xml:space="preserve"> </w:t>
      </w:r>
      <w:r>
        <w:t>g of</w:t>
      </w:r>
      <w:r w:rsidR="00245F36">
        <w:t xml:space="preserve"> </w:t>
      </w:r>
      <w:r>
        <w:t>strontium ranelate as sachet(s).</w:t>
      </w:r>
    </w:p>
    <w:p w:rsidR="00245F36" w:rsidRDefault="0039505F" w:rsidP="001510FD">
      <w:r>
        <w:t>PK</w:t>
      </w:r>
      <w:r w:rsidR="001510FD">
        <w:t xml:space="preserve"> parameters following single oral administration of 2 g of strontium ranelate in healthy</w:t>
      </w:r>
      <w:r w:rsidR="00245F36">
        <w:t xml:space="preserve"> </w:t>
      </w:r>
      <w:r w:rsidR="001510FD">
        <w:t xml:space="preserve">elderly men are presented in Table </w:t>
      </w:r>
      <w:r w:rsidR="00857EF6">
        <w:t>19</w:t>
      </w:r>
      <w:r w:rsidR="00245F36">
        <w:t>.</w:t>
      </w:r>
    </w:p>
    <w:p w:rsidR="00F75514" w:rsidRDefault="00F75514" w:rsidP="006D04EF">
      <w:pPr>
        <w:pStyle w:val="TableTitle"/>
        <w:rPr>
          <w:lang w:val="en-GB"/>
        </w:rPr>
      </w:pPr>
      <w:r>
        <w:t>Table</w:t>
      </w:r>
      <w:r w:rsidRPr="004C5C28">
        <w:t xml:space="preserve"> </w:t>
      </w:r>
      <w:r w:rsidR="00857EF6">
        <w:t>19</w:t>
      </w:r>
      <w:r>
        <w:t>:</w:t>
      </w:r>
      <w:r w:rsidRPr="004C5C28">
        <w:t xml:space="preserve"> </w:t>
      </w:r>
      <w:r w:rsidRPr="00F75514">
        <w:t xml:space="preserve">Strontium </w:t>
      </w:r>
      <w:r w:rsidR="0039505F">
        <w:t>PK</w:t>
      </w:r>
      <w:r w:rsidRPr="00F75514">
        <w:t xml:space="preserve"> parameters in plasma after single oral administration of strontium ranelate 2</w:t>
      </w:r>
      <w:r>
        <w:t xml:space="preserve"> </w:t>
      </w:r>
      <w:r w:rsidRPr="00F75514">
        <w:t xml:space="preserve">g to healthy elderly men (mean </w:t>
      </w:r>
      <w:r w:rsidR="006D04EF">
        <w:sym w:font="Symbol" w:char="F0B1"/>
      </w:r>
      <w:r w:rsidR="00274414">
        <w:t xml:space="preserve"> </w:t>
      </w:r>
      <w:r w:rsidRPr="00F75514">
        <w:t>SD, median)</w:t>
      </w:r>
      <w:r>
        <w:t>.</w:t>
      </w:r>
    </w:p>
    <w:p w:rsidR="00245F36" w:rsidRDefault="00294DCE" w:rsidP="00274414">
      <w:pPr>
        <w:jc w:val="center"/>
      </w:pPr>
      <w:r>
        <w:rPr>
          <w:noProof/>
          <w:lang w:eastAsia="en-AU"/>
        </w:rPr>
        <w:drawing>
          <wp:inline distT="0" distB="0" distL="0" distR="0">
            <wp:extent cx="4184650" cy="975995"/>
            <wp:effectExtent l="19050" t="0" r="6350" b="0"/>
            <wp:docPr id="23" name="Picture 23" descr="Table 19: Strontium PK parameters in plasma after single oral administration of strontium ranelate 2 g to healthy elderly men (mean ± SD,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9: Strontium PK parameters in plasma after single oral administration of strontium ranelate 2 g to healthy elderly men (mean ± SD, median)."/>
                    <pic:cNvPicPr>
                      <a:picLocks noChangeAspect="1" noChangeArrowheads="1"/>
                    </pic:cNvPicPr>
                  </pic:nvPicPr>
                  <pic:blipFill>
                    <a:blip r:embed="rId38" cstate="print"/>
                    <a:srcRect/>
                    <a:stretch>
                      <a:fillRect/>
                    </a:stretch>
                  </pic:blipFill>
                  <pic:spPr bwMode="auto">
                    <a:xfrm>
                      <a:off x="0" y="0"/>
                      <a:ext cx="4184650" cy="975995"/>
                    </a:xfrm>
                    <a:prstGeom prst="rect">
                      <a:avLst/>
                    </a:prstGeom>
                    <a:noFill/>
                    <a:ln w="9525">
                      <a:noFill/>
                      <a:miter lim="800000"/>
                      <a:headEnd/>
                      <a:tailEnd/>
                    </a:ln>
                  </pic:spPr>
                </pic:pic>
              </a:graphicData>
            </a:graphic>
          </wp:inline>
        </w:drawing>
      </w:r>
    </w:p>
    <w:p w:rsidR="00112622" w:rsidRDefault="00112622" w:rsidP="00112622">
      <w:r>
        <w:t>Strontium AUC values obtained in healthy elderly men (median [range]: 394 [290-683] mg.h/L) were in the same range as the AUC previously obtained in post</w:t>
      </w:r>
      <w:r w:rsidR="00857EF6">
        <w:t xml:space="preserve"> </w:t>
      </w:r>
      <w:r>
        <w:t>menopausal women (median [range]: 375 [286-521] mg.h/L) when administered in the same conditions (same formulation, same dose, 3</w:t>
      </w:r>
      <w:r w:rsidR="00D77558">
        <w:t xml:space="preserve"> </w:t>
      </w:r>
      <w:r>
        <w:t>h after dinner, in Study PKH-12911-010).</w:t>
      </w:r>
    </w:p>
    <w:p w:rsidR="00112622" w:rsidRDefault="00112622" w:rsidP="00112622">
      <w:r>
        <w:t>These results were further confirmed by the population PK analysis</w:t>
      </w:r>
      <w:r>
        <w:rPr>
          <w:rStyle w:val="FootnoteReference"/>
        </w:rPr>
        <w:footnoteReference w:id="26"/>
      </w:r>
      <w:r>
        <w:t xml:space="preserve"> performed in the Phase 3 study which compared the </w:t>
      </w:r>
      <w:r w:rsidR="0039505F">
        <w:t>PK</w:t>
      </w:r>
      <w:r>
        <w:t xml:space="preserve"> of strontium in men and women with osteoporosis using a</w:t>
      </w:r>
      <w:r w:rsidR="0039505F">
        <w:t xml:space="preserve"> VPC</w:t>
      </w:r>
      <w:r>
        <w:t xml:space="preserve"> methodology based on a population PK model</w:t>
      </w:r>
      <w:r>
        <w:rPr>
          <w:rStyle w:val="FootnoteReference"/>
        </w:rPr>
        <w:footnoteReference w:id="27"/>
      </w:r>
      <w:r>
        <w:t xml:space="preserve"> previously developed in women.</w:t>
      </w:r>
    </w:p>
    <w:p w:rsidR="00112622" w:rsidRDefault="00112622" w:rsidP="00112622">
      <w:r>
        <w:lastRenderedPageBreak/>
        <w:t>The population PK model was qualified and validated and was shown to accurately describe the strontium concentration-time data observed during the study. Three covariates were shown to have a statistically significant influence on strontium apparent clearance (that is, creatinine clearance, calcemia and phosphoremia). However, they only explain a negligible part of the variability in the apparent clearance of strontium and do not justify any dose adjustment.</w:t>
      </w:r>
    </w:p>
    <w:p w:rsidR="00112622" w:rsidRDefault="00112622" w:rsidP="00112622">
      <w:r>
        <w:t>The structure of the population PK models obtained for the male and female populations was the same with no statistically significant differences between population apparent clearance</w:t>
      </w:r>
      <w:r w:rsidR="00D77558">
        <w:t xml:space="preserve">s of strontium. Influence of co </w:t>
      </w:r>
      <w:r>
        <w:t>variates was also similar in both populations. Moreover, the strontium exposures predicted with the population PK models are within the same range for both populations.</w:t>
      </w:r>
    </w:p>
    <w:p w:rsidR="002743F7" w:rsidRDefault="00D77558" w:rsidP="00112622">
      <w:r>
        <w:t xml:space="preserve">In overall, Study </w:t>
      </w:r>
      <w:r w:rsidR="00112622">
        <w:t>PKH-12911-012-FRA allowed to determine the dos</w:t>
      </w:r>
      <w:r>
        <w:t xml:space="preserve">e to be tested in the Phase 3 </w:t>
      </w:r>
      <w:r w:rsidR="00112622">
        <w:t xml:space="preserve">study in </w:t>
      </w:r>
      <w:r w:rsidR="0089494B">
        <w:t xml:space="preserve">osteoporotic men (MALEO Study </w:t>
      </w:r>
      <w:r w:rsidR="00112622">
        <w:t>CL3-12911-032)</w:t>
      </w:r>
      <w:r>
        <w:t>. The PK data collected in the Phase 3 study</w:t>
      </w:r>
      <w:r w:rsidR="00112622">
        <w:t xml:space="preserve"> allowed to demonstrate that </w:t>
      </w:r>
      <w:r w:rsidR="0039505F">
        <w:t>PK</w:t>
      </w:r>
      <w:r w:rsidR="00112622">
        <w:t xml:space="preserve"> of strontium were the same in osteoporotic men and women.</w:t>
      </w:r>
    </w:p>
    <w:p w:rsidR="0089494B" w:rsidRDefault="00CE4F6A" w:rsidP="0089494B">
      <w:pPr>
        <w:pStyle w:val="Heading5"/>
      </w:pPr>
      <w:r>
        <w:t>3. Australian specific a</w:t>
      </w:r>
      <w:r w:rsidR="0089494B">
        <w:t>nnex to the RMP</w:t>
      </w:r>
    </w:p>
    <w:p w:rsidR="0089494B" w:rsidRPr="00B90B32" w:rsidRDefault="0089494B" w:rsidP="0089494B">
      <w:pPr>
        <w:ind w:left="720"/>
        <w:rPr>
          <w:i/>
        </w:rPr>
      </w:pPr>
      <w:r w:rsidRPr="00B90B32">
        <w:rPr>
          <w:i/>
        </w:rPr>
        <w:t>“The applicant appears to have acceded to the RMP evaluator’s requests/recommendations” DO p.8</w:t>
      </w:r>
    </w:p>
    <w:p w:rsidR="0089494B" w:rsidRDefault="0089494B" w:rsidP="0089494B">
      <w:r>
        <w:t>The sponsor is now providing the Australian annex to t</w:t>
      </w:r>
      <w:r w:rsidR="00D77558">
        <w:t>he RMP version 7</w:t>
      </w:r>
      <w:r>
        <w:t>. This annex gather all the responses already submitted:</w:t>
      </w:r>
    </w:p>
    <w:p w:rsidR="0089494B" w:rsidRDefault="0089494B" w:rsidP="00CE4F6A">
      <w:pPr>
        <w:pStyle w:val="ListBullet"/>
      </w:pPr>
      <w:r>
        <w:t>Section 31 responses (23 December 2011),</w:t>
      </w:r>
    </w:p>
    <w:p w:rsidR="00112622" w:rsidRDefault="0089494B" w:rsidP="00CE4F6A">
      <w:pPr>
        <w:pStyle w:val="ListBullet"/>
      </w:pPr>
      <w:r>
        <w:t>Response to Clinical Evaluation Report (14 February 2012).</w:t>
      </w:r>
    </w:p>
    <w:p w:rsidR="008E7846" w:rsidRDefault="00CE4F6A" w:rsidP="008E7846">
      <w:pPr>
        <w:pStyle w:val="Heading4"/>
      </w:pPr>
      <w:r>
        <w:t>Advisory c</w:t>
      </w:r>
      <w:r w:rsidR="008E7846">
        <w:t xml:space="preserve">ommittee </w:t>
      </w:r>
      <w:r>
        <w:t>c</w:t>
      </w:r>
      <w:r w:rsidR="008E7846">
        <w:t>onsiderations</w:t>
      </w:r>
    </w:p>
    <w:p w:rsidR="001115E7" w:rsidRPr="00F46668" w:rsidRDefault="001115E7" w:rsidP="001115E7">
      <w:pPr>
        <w:spacing w:after="240"/>
        <w:rPr>
          <w:rFonts w:cs="Calibri"/>
          <w:bCs/>
          <w:color w:val="000000"/>
        </w:rPr>
      </w:pPr>
      <w:r w:rsidRPr="00F46668">
        <w:rPr>
          <w:rFonts w:cs="Arial"/>
        </w:rPr>
        <w:t>The ACPM, taking into account the submitted evidence of efficacy, safety and quality, considered this product to h</w:t>
      </w:r>
      <w:r>
        <w:rPr>
          <w:rFonts w:cs="Arial"/>
        </w:rPr>
        <w:t>ave an overall positive benefit-</w:t>
      </w:r>
      <w:r w:rsidRPr="00F46668">
        <w:rPr>
          <w:rFonts w:cs="Arial"/>
        </w:rPr>
        <w:t>risk profile.</w:t>
      </w:r>
      <w:r w:rsidRPr="00F46668">
        <w:rPr>
          <w:rFonts w:cs="Calibri"/>
          <w:bCs/>
          <w:color w:val="000000"/>
        </w:rPr>
        <w:t xml:space="preserve"> The application seeks to register an extension of indications for </w:t>
      </w:r>
      <w:r w:rsidR="00CE4F6A">
        <w:rPr>
          <w:rFonts w:cs="Calibri"/>
          <w:bCs/>
          <w:color w:val="000000"/>
        </w:rPr>
        <w:t>a currently registered product.</w:t>
      </w:r>
    </w:p>
    <w:p w:rsidR="001115E7" w:rsidRPr="002E37CC" w:rsidRDefault="001115E7" w:rsidP="001115E7">
      <w:pPr>
        <w:autoSpaceDE w:val="0"/>
        <w:autoSpaceDN w:val="0"/>
        <w:spacing w:after="240"/>
        <w:ind w:left="567"/>
        <w:rPr>
          <w:rFonts w:cs="Arial"/>
          <w:bCs/>
          <w:i/>
          <w:iCs/>
        </w:rPr>
      </w:pPr>
      <w:r w:rsidRPr="002E37CC">
        <w:rPr>
          <w:rFonts w:cs="Arial"/>
          <w:bCs/>
          <w:i/>
          <w:iCs/>
        </w:rPr>
        <w:t>Treatment of osteoporosis in men</w:t>
      </w:r>
      <w:r w:rsidR="00CE4F6A">
        <w:rPr>
          <w:rFonts w:cs="Arial"/>
          <w:bCs/>
          <w:i/>
          <w:iCs/>
        </w:rPr>
        <w:t xml:space="preserve"> at increased risk of fracture.</w:t>
      </w:r>
    </w:p>
    <w:p w:rsidR="001115E7" w:rsidRPr="00F46668" w:rsidRDefault="001115E7" w:rsidP="001115E7">
      <w:pPr>
        <w:autoSpaceDE w:val="0"/>
        <w:autoSpaceDN w:val="0"/>
        <w:spacing w:after="240"/>
        <w:rPr>
          <w:rFonts w:cs="Arial"/>
          <w:bCs/>
          <w:iCs/>
        </w:rPr>
      </w:pPr>
      <w:r w:rsidRPr="00F46668">
        <w:rPr>
          <w:rFonts w:cs="Arial"/>
          <w:bCs/>
          <w:iCs/>
        </w:rPr>
        <w:t>In making this recommendation the ACPM considered that the efficacy data showed no difference between male and female outcomes, however noted the absence of concentration effect and dose finding studies in males.</w:t>
      </w:r>
    </w:p>
    <w:p w:rsidR="001115E7" w:rsidRPr="00F46668" w:rsidRDefault="001115E7" w:rsidP="001115E7">
      <w:pPr>
        <w:autoSpaceDE w:val="0"/>
        <w:autoSpaceDN w:val="0"/>
        <w:spacing w:after="240"/>
        <w:rPr>
          <w:rFonts w:cs="Arial"/>
          <w:bCs/>
          <w:iCs/>
        </w:rPr>
      </w:pPr>
      <w:r w:rsidRPr="00F46668">
        <w:rPr>
          <w:rFonts w:cs="Arial"/>
          <w:bCs/>
          <w:iCs/>
        </w:rPr>
        <w:t xml:space="preserve">The central issue for consideration for the ACPM was how best to define the population that is at increased risk of fracture, agreeing that BMD is not the sole indicator for efficacy. </w:t>
      </w:r>
      <w:r>
        <w:rPr>
          <w:rFonts w:cs="Arial"/>
          <w:bCs/>
          <w:iCs/>
        </w:rPr>
        <w:t>T</w:t>
      </w:r>
      <w:r w:rsidRPr="00F46668">
        <w:rPr>
          <w:rFonts w:cs="Arial"/>
          <w:bCs/>
          <w:iCs/>
        </w:rPr>
        <w:t>he absence of clinical guidelines to define absolute frac</w:t>
      </w:r>
      <w:r>
        <w:rPr>
          <w:rFonts w:cs="Arial"/>
          <w:bCs/>
          <w:iCs/>
        </w:rPr>
        <w:t>ture risk at this time does not</w:t>
      </w:r>
      <w:r w:rsidRPr="00F46668">
        <w:rPr>
          <w:rFonts w:cs="Arial"/>
          <w:bCs/>
          <w:iCs/>
        </w:rPr>
        <w:t>, however</w:t>
      </w:r>
      <w:r>
        <w:rPr>
          <w:rFonts w:cs="Arial"/>
          <w:bCs/>
          <w:iCs/>
        </w:rPr>
        <w:t>,</w:t>
      </w:r>
      <w:r w:rsidRPr="00F46668">
        <w:rPr>
          <w:rFonts w:cs="Arial"/>
          <w:bCs/>
          <w:iCs/>
        </w:rPr>
        <w:t xml:space="preserve"> negate the need for vigilance in assessing the appropriate population for use of this product.</w:t>
      </w:r>
    </w:p>
    <w:p w:rsidR="001115E7" w:rsidRPr="00F46668" w:rsidRDefault="001115E7" w:rsidP="001115E7">
      <w:pPr>
        <w:autoSpaceDE w:val="0"/>
        <w:autoSpaceDN w:val="0"/>
        <w:spacing w:after="240"/>
        <w:rPr>
          <w:rFonts w:cs="Arial"/>
          <w:bCs/>
          <w:iCs/>
        </w:rPr>
      </w:pPr>
      <w:r w:rsidRPr="00F46668">
        <w:rPr>
          <w:rFonts w:cs="Arial"/>
          <w:bCs/>
          <w:iCs/>
        </w:rPr>
        <w:t>Further, the ACPM considered the safety profile</w:t>
      </w:r>
      <w:r>
        <w:rPr>
          <w:rFonts w:cs="Arial"/>
          <w:bCs/>
          <w:iCs/>
        </w:rPr>
        <w:t xml:space="preserve"> warrants the mentioning of the</w:t>
      </w:r>
      <w:r w:rsidRPr="00F46668">
        <w:rPr>
          <w:rFonts w:cs="Arial"/>
          <w:bCs/>
          <w:iCs/>
        </w:rPr>
        <w:t xml:space="preserve"> duration of treatment. </w:t>
      </w:r>
    </w:p>
    <w:p w:rsidR="00B820D3" w:rsidRDefault="001115E7" w:rsidP="00B820D3">
      <w:pPr>
        <w:spacing w:after="240"/>
        <w:rPr>
          <w:bCs/>
        </w:rPr>
      </w:pPr>
      <w:r w:rsidRPr="00F46668">
        <w:rPr>
          <w:bCs/>
        </w:rPr>
        <w:t>The ACPM agreed with the delegate to the proposed amendments</w:t>
      </w:r>
      <w:r>
        <w:rPr>
          <w:bCs/>
        </w:rPr>
        <w:t xml:space="preserve"> to the PI </w:t>
      </w:r>
      <w:r w:rsidRPr="00F46668">
        <w:rPr>
          <w:bCs/>
        </w:rPr>
        <w:t xml:space="preserve">and </w:t>
      </w:r>
      <w:r>
        <w:rPr>
          <w:bCs/>
        </w:rPr>
        <w:t>CMI</w:t>
      </w:r>
      <w:r w:rsidRPr="00F46668">
        <w:rPr>
          <w:bCs/>
        </w:rPr>
        <w:t xml:space="preserve"> and specifically advised on inclusion of the following</w:t>
      </w:r>
      <w:r w:rsidR="00B820D3">
        <w:rPr>
          <w:bCs/>
        </w:rPr>
        <w:t>:</w:t>
      </w:r>
    </w:p>
    <w:p w:rsidR="00B820D3" w:rsidRDefault="00B820D3" w:rsidP="00CE4F6A">
      <w:pPr>
        <w:pStyle w:val="ListBullet"/>
        <w:rPr>
          <w:lang w:val="en-GB"/>
        </w:rPr>
      </w:pPr>
      <w:r>
        <w:rPr>
          <w:color w:val="000000"/>
          <w:lang w:val="en-GB"/>
        </w:rPr>
        <w:t>S</w:t>
      </w:r>
      <w:r w:rsidR="001115E7" w:rsidRPr="00F46668">
        <w:rPr>
          <w:color w:val="000000"/>
          <w:lang w:val="en-GB"/>
        </w:rPr>
        <w:t xml:space="preserve">tatements in the </w:t>
      </w:r>
      <w:r w:rsidR="001115E7" w:rsidRPr="00F46668">
        <w:rPr>
          <w:i/>
          <w:color w:val="000000"/>
          <w:lang w:val="en-GB"/>
        </w:rPr>
        <w:t>Dosage and Administration / Clinical Trials</w:t>
      </w:r>
      <w:r w:rsidR="002C0294">
        <w:rPr>
          <w:i/>
          <w:color w:val="000000"/>
          <w:lang w:val="en-GB"/>
        </w:rPr>
        <w:t xml:space="preserve"> </w:t>
      </w:r>
      <w:r w:rsidR="001115E7" w:rsidRPr="00F46668">
        <w:rPr>
          <w:color w:val="000000"/>
          <w:lang w:val="en-GB"/>
        </w:rPr>
        <w:t xml:space="preserve">sections </w:t>
      </w:r>
      <w:r w:rsidR="001115E7" w:rsidRPr="00F46668">
        <w:rPr>
          <w:lang w:val="en-GB"/>
        </w:rPr>
        <w:t>of the PI and CMI to ensure prescriber and consumer guidance on the population at risk of fracture and the need for ongoing review of duration of therapy.</w:t>
      </w:r>
    </w:p>
    <w:p w:rsidR="001115E7" w:rsidRPr="00B820D3" w:rsidRDefault="001115E7" w:rsidP="00CE4F6A">
      <w:pPr>
        <w:pStyle w:val="ListBullet"/>
        <w:rPr>
          <w:bCs/>
        </w:rPr>
      </w:pPr>
      <w:r w:rsidRPr="00F46668">
        <w:rPr>
          <w:lang w:val="en-GB"/>
        </w:rPr>
        <w:lastRenderedPageBreak/>
        <w:t>Statement in the appropriate section of the PI to remind prescribers to exclude a differential diagnosis of secondary osteoporosis in men such as hypogonadism.</w:t>
      </w:r>
    </w:p>
    <w:p w:rsidR="001115E7" w:rsidRPr="00F46668" w:rsidRDefault="001115E7" w:rsidP="001115E7">
      <w:pPr>
        <w:spacing w:after="240"/>
        <w:jc w:val="both"/>
        <w:rPr>
          <w:bCs/>
        </w:rPr>
      </w:pPr>
      <w:r w:rsidRPr="00F46668">
        <w:rPr>
          <w:bCs/>
        </w:rPr>
        <w:t xml:space="preserve">The ACPM agreed with the </w:t>
      </w:r>
      <w:r w:rsidR="00F13CFD">
        <w:rPr>
          <w:bCs/>
        </w:rPr>
        <w:t>D</w:t>
      </w:r>
      <w:r w:rsidRPr="00F46668">
        <w:rPr>
          <w:bCs/>
        </w:rPr>
        <w:t>elegate on the propo</w:t>
      </w:r>
      <w:r w:rsidR="00CE4F6A">
        <w:rPr>
          <w:bCs/>
        </w:rPr>
        <w:t>sed conditions of registration.</w:t>
      </w:r>
    </w:p>
    <w:p w:rsidR="001115E7" w:rsidRPr="00A322B3" w:rsidRDefault="001115E7" w:rsidP="001115E7">
      <w:r w:rsidRPr="00F46668">
        <w:rPr>
          <w:bCs/>
        </w:rPr>
        <w:t>The ACPM advised that the implementation by the sponsor of the recommendations outlined above to the satisfaction of the TGA, in addition to the evidence of efficacy and safety provided would support the safe and effective use of these products</w:t>
      </w:r>
      <w:r w:rsidR="002022A3">
        <w:rPr>
          <w:bCs/>
        </w:rPr>
        <w:t>.</w:t>
      </w:r>
    </w:p>
    <w:p w:rsidR="008E7846" w:rsidRPr="002E238E" w:rsidRDefault="008E7846" w:rsidP="008E7846">
      <w:pPr>
        <w:pStyle w:val="Heading3"/>
      </w:pPr>
      <w:bookmarkStart w:id="208" w:name="_Toc247691532"/>
      <w:bookmarkStart w:id="209" w:name="_Toc314842516"/>
      <w:bookmarkStart w:id="210" w:name="_Toc345343200"/>
      <w:bookmarkEnd w:id="182"/>
      <w:bookmarkEnd w:id="205"/>
      <w:bookmarkEnd w:id="206"/>
      <w:r>
        <w:t>Outcome</w:t>
      </w:r>
      <w:bookmarkEnd w:id="208"/>
      <w:bookmarkEnd w:id="209"/>
      <w:bookmarkEnd w:id="210"/>
    </w:p>
    <w:p w:rsidR="008E7846" w:rsidRDefault="008E7846" w:rsidP="00CE4F6A">
      <w:r>
        <w:t xml:space="preserve">Based on a review of quality, safety and efficacy, TGA approved the registration of </w:t>
      </w:r>
      <w:r w:rsidR="000111EF">
        <w:t xml:space="preserve">Protos (strontium ranelate) 2 g granules for oral suspension sachet </w:t>
      </w:r>
      <w:r>
        <w:t>indicated for:</w:t>
      </w:r>
    </w:p>
    <w:p w:rsidR="008E7846" w:rsidRPr="00CE4F6A" w:rsidRDefault="000111EF" w:rsidP="00CE4F6A">
      <w:pPr>
        <w:ind w:left="567"/>
        <w:rPr>
          <w:i/>
        </w:rPr>
      </w:pPr>
      <w:r w:rsidRPr="00CE4F6A">
        <w:rPr>
          <w:i/>
        </w:rPr>
        <w:t>Protos is indicated for the treatment of osteoporo</w:t>
      </w:r>
      <w:r w:rsidR="00CE4F6A" w:rsidRPr="00CE4F6A">
        <w:rPr>
          <w:i/>
        </w:rPr>
        <w:t xml:space="preserve">sis in men at increased risk of </w:t>
      </w:r>
      <w:r w:rsidRPr="00CE4F6A">
        <w:rPr>
          <w:i/>
        </w:rPr>
        <w:t>fracture.</w:t>
      </w:r>
    </w:p>
    <w:p w:rsidR="00E61BCE" w:rsidRDefault="00E61BCE" w:rsidP="00CE4F6A">
      <w:r>
        <w:t>The approved full indications now read as follows:</w:t>
      </w:r>
    </w:p>
    <w:p w:rsidR="000920D0" w:rsidRPr="00CE4F6A" w:rsidRDefault="00E61BCE" w:rsidP="00CE4F6A">
      <w:pPr>
        <w:ind w:left="567"/>
        <w:rPr>
          <w:i/>
        </w:rPr>
      </w:pPr>
      <w:r w:rsidRPr="00CE4F6A">
        <w:rPr>
          <w:i/>
        </w:rPr>
        <w:t>Protos is indicated for the treatment of</w:t>
      </w:r>
      <w:r w:rsidR="000920D0" w:rsidRPr="00CE4F6A">
        <w:rPr>
          <w:i/>
        </w:rPr>
        <w:t>:</w:t>
      </w:r>
    </w:p>
    <w:p w:rsidR="00E61BCE" w:rsidRDefault="00E61BCE" w:rsidP="00CE4F6A">
      <w:pPr>
        <w:pStyle w:val="ListBullet"/>
        <w:ind w:left="993"/>
      </w:pPr>
      <w:r>
        <w:t xml:space="preserve">postmenopausal osteoporosis </w:t>
      </w:r>
      <w:r w:rsidR="000920D0">
        <w:t>to reduce the risk of fracture; and</w:t>
      </w:r>
    </w:p>
    <w:p w:rsidR="000920D0" w:rsidRPr="00E61BCE" w:rsidRDefault="000920D0" w:rsidP="00CE4F6A">
      <w:pPr>
        <w:pStyle w:val="ListBullet"/>
        <w:ind w:left="993"/>
      </w:pPr>
      <w:r>
        <w:t>osteoporosis in men at increased risk of fracture.</w:t>
      </w:r>
    </w:p>
    <w:p w:rsidR="00CF3D8B" w:rsidRPr="00EE359A" w:rsidRDefault="00CF3D8B" w:rsidP="00CE4F6A">
      <w:pPr>
        <w:pStyle w:val="Heading4"/>
      </w:pPr>
      <w:r w:rsidRPr="00EE359A">
        <w:t>Specific conditions of registration applying to these therapeutic goods:</w:t>
      </w:r>
    </w:p>
    <w:p w:rsidR="00CF3D8B" w:rsidRDefault="00CF3D8B" w:rsidP="00CE4F6A">
      <w:r>
        <w:t xml:space="preserve">1. Details of the distribution of the drug including quantities and forms of products distributed and related batch numbers should be supplied on request while the drug remains on the </w:t>
      </w:r>
      <w:r w:rsidRPr="00D4327C">
        <w:t>Australian Register of Therapeutic Goods</w:t>
      </w:r>
      <w:r>
        <w:t>.</w:t>
      </w:r>
    </w:p>
    <w:p w:rsidR="00CF3D8B" w:rsidRPr="003022A6" w:rsidRDefault="00CF3D8B" w:rsidP="00CE4F6A">
      <w:r>
        <w:t>2. The implementation in Australia of the Protos (strontium ranelate) RMP</w:t>
      </w:r>
      <w:r w:rsidR="002022A3">
        <w:t xml:space="preserve"> version 7</w:t>
      </w:r>
      <w:r>
        <w:t>, dated 21 November 2011, included with the submission, and any subsequent revisions, as agreed with the TGA and its OPR.</w:t>
      </w:r>
    </w:p>
    <w:p w:rsidR="008E7846" w:rsidRDefault="008E7846" w:rsidP="008E7846">
      <w:pPr>
        <w:pStyle w:val="Heading2"/>
      </w:pPr>
      <w:bookmarkStart w:id="211" w:name="_Toc247691533"/>
      <w:bookmarkStart w:id="212" w:name="_Toc314842517"/>
      <w:bookmarkStart w:id="213" w:name="_Toc345343201"/>
      <w:r>
        <w:t>Attachment 1.</w:t>
      </w:r>
      <w:r>
        <w:tab/>
        <w:t xml:space="preserve">Product </w:t>
      </w:r>
      <w:r w:rsidR="00AA0ED0">
        <w:t>I</w:t>
      </w:r>
      <w:r>
        <w:t>nformation</w:t>
      </w:r>
      <w:bookmarkEnd w:id="211"/>
      <w:bookmarkEnd w:id="212"/>
      <w:bookmarkEnd w:id="213"/>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3D1E62" w:rsidP="00973C1B">
      <w:pPr>
        <w:pStyle w:val="Heading4"/>
        <w:sectPr w:rsidR="003D1E62" w:rsidRPr="001D043B" w:rsidSect="00B452CE">
          <w:headerReference w:type="even" r:id="rId39"/>
          <w:headerReference w:type="default" r:id="rId40"/>
          <w:footerReference w:type="default" r:id="rId41"/>
          <w:headerReference w:type="first" r:id="rId42"/>
          <w:footerReference w:type="first" r:id="rId43"/>
          <w:pgSz w:w="11906" w:h="16838" w:code="9"/>
          <w:pgMar w:top="834" w:right="1701" w:bottom="1191" w:left="1701" w:header="907" w:footer="216" w:gutter="0"/>
          <w:cols w:space="708"/>
          <w:docGrid w:linePitch="360"/>
        </w:sectPr>
      </w:pPr>
    </w:p>
    <w:p w:rsidR="00774E1D" w:rsidRPr="008A5E0B" w:rsidRDefault="00774E1D" w:rsidP="003175B7"/>
    <w:sectPr w:rsidR="00774E1D" w:rsidRPr="008A5E0B" w:rsidSect="00E45619">
      <w:headerReference w:type="even" r:id="rId44"/>
      <w:headerReference w:type="default" r:id="rId45"/>
      <w:footerReference w:type="default" r:id="rId46"/>
      <w:headerReference w:type="first" r:id="rId47"/>
      <w:footerReference w:type="first" r:id="rId48"/>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305" w:rsidRDefault="00156305" w:rsidP="00C40A36">
      <w:pPr>
        <w:spacing w:after="0"/>
      </w:pPr>
      <w:r>
        <w:separator/>
      </w:r>
    </w:p>
  </w:endnote>
  <w:endnote w:type="continuationSeparator" w:id="0">
    <w:p w:rsidR="00156305" w:rsidRDefault="0015630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00"/>
    <w:family w:val="roman"/>
    <w:notTrueType/>
    <w:pitch w:val="default"/>
    <w:sig w:usb0="00000003" w:usb1="08070000" w:usb2="00000010" w:usb3="00000000" w:csb0="00020001" w:csb1="00000000"/>
  </w:font>
  <w:font w:name="TimesNewRomanPS-ItalicMT">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0"/>
    <w:family w:val="auto"/>
    <w:notTrueType/>
    <w:pitch w:val="default"/>
    <w:sig w:usb0="00000003" w:usb1="08070000" w:usb2="00000010" w:usb3="00000000" w:csb0="00020001" w:csb1="00000000"/>
  </w:font>
  <w:font w:name="TimesNewRomanPS-BoldMT">
    <w:altName w:val="Arial Unicode MS"/>
    <w:panose1 w:val="00000000000000000000"/>
    <w:charset w:val="00"/>
    <w:family w:val="roman"/>
    <w:notTrueType/>
    <w:pitch w:val="default"/>
    <w:sig w:usb0="00000003" w:usb1="08070000" w:usb2="00000010" w:usb3="00000000" w:csb0="00020001" w:csb1="00000000"/>
  </w:font>
  <w:font w:name="SymbolMT-Identity-H">
    <w:panose1 w:val="00000000000000000000"/>
    <w:charset w:val="00"/>
    <w:family w:val="auto"/>
    <w:notTrueType/>
    <w:pitch w:val="default"/>
    <w:sig w:usb0="00000003" w:usb1="00000000" w:usb2="00000000" w:usb3="00000000" w:csb0="00000001" w:csb1="00000000"/>
  </w:font>
  <w:font w:name="ComicSansMS-Identity-H">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AB" w:rsidRDefault="00111C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F16E27" w:rsidRPr="00487162" w:rsidTr="0053625B">
      <w:trPr>
        <w:trHeight w:val="269"/>
      </w:trPr>
      <w:tc>
        <w:tcPr>
          <w:tcW w:w="7938" w:type="dxa"/>
          <w:tcMar>
            <w:top w:w="142" w:type="dxa"/>
            <w:bottom w:w="0" w:type="dxa"/>
          </w:tcMar>
        </w:tcPr>
        <w:p w:rsidR="00F16E27" w:rsidRPr="00487162" w:rsidRDefault="00F16E27" w:rsidP="006E0319">
          <w:pPr>
            <w:pStyle w:val="Footer"/>
          </w:pPr>
          <w:r w:rsidRPr="00487162">
            <w:t xml:space="preserve">AusPAR </w:t>
          </w:r>
          <w:r>
            <w:t xml:space="preserve">Protos </w:t>
          </w:r>
          <w:r w:rsidR="005C032D">
            <w:t>S</w:t>
          </w:r>
          <w:r w:rsidR="005C032D" w:rsidRPr="00CA1708">
            <w:t>trontium ranelate</w:t>
          </w:r>
          <w:r w:rsidR="005C032D" w:rsidRPr="00E34575">
            <w:t xml:space="preserve"> </w:t>
          </w:r>
          <w:r w:rsidRPr="00E34575">
            <w:t>Servier Laboratories (Australia) Pty Ltd</w:t>
          </w:r>
          <w:r>
            <w:t xml:space="preserve"> PM-2011-00498-3-5</w:t>
          </w:r>
          <w:r>
            <w:br/>
            <w:t>Final 7 January 2013</w:t>
          </w:r>
        </w:p>
      </w:tc>
      <w:tc>
        <w:tcPr>
          <w:tcW w:w="923" w:type="dxa"/>
          <w:tcMar>
            <w:top w:w="142" w:type="dxa"/>
            <w:bottom w:w="0" w:type="dxa"/>
          </w:tcMar>
        </w:tcPr>
        <w:p w:rsidR="00F16E27" w:rsidRPr="00487162" w:rsidRDefault="00F16E27" w:rsidP="00D855D4">
          <w:pPr>
            <w:pStyle w:val="Footer"/>
            <w:jc w:val="right"/>
          </w:pPr>
          <w:r w:rsidRPr="00487162">
            <w:t xml:space="preserve">Page </w:t>
          </w:r>
          <w:r>
            <w:t>2</w:t>
          </w:r>
          <w:r w:rsidRPr="00487162">
            <w:t xml:space="preserve"> of </w:t>
          </w:r>
          <w:fldSimple w:instr=" NUMPAGES  \* Arabic ">
            <w:r w:rsidR="00F84DCF">
              <w:rPr>
                <w:noProof/>
              </w:rPr>
              <w:t>48</w:t>
            </w:r>
          </w:fldSimple>
        </w:p>
      </w:tc>
    </w:tr>
  </w:tbl>
  <w:p w:rsidR="00F16E27" w:rsidRDefault="00F16E27"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rsidP="00165389"/>
  <w:p w:rsidR="00F16E27" w:rsidRDefault="00F16E2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457"/>
      <w:gridCol w:w="1404"/>
    </w:tblGrid>
    <w:tr w:rsidR="00F16E27" w:rsidRPr="00487162" w:rsidTr="00111CAB">
      <w:trPr>
        <w:trHeight w:val="269"/>
      </w:trPr>
      <w:tc>
        <w:tcPr>
          <w:tcW w:w="4519" w:type="dxa"/>
          <w:tcMar>
            <w:top w:w="142" w:type="dxa"/>
            <w:bottom w:w="0" w:type="dxa"/>
          </w:tcMar>
        </w:tcPr>
        <w:p w:rsidR="00F16E27" w:rsidRPr="00487162" w:rsidRDefault="00F16E27" w:rsidP="006E0319">
          <w:pPr>
            <w:pStyle w:val="Footer"/>
          </w:pPr>
          <w:r w:rsidRPr="00487162">
            <w:t>Au</w:t>
          </w:r>
          <w:r w:rsidRPr="003B4D60">
            <w:t xml:space="preserve">sPAR </w:t>
          </w:r>
          <w:r>
            <w:t xml:space="preserve">Protos </w:t>
          </w:r>
          <w:r w:rsidR="00111CAB">
            <w:t>S</w:t>
          </w:r>
          <w:r w:rsidR="00111CAB" w:rsidRPr="00CA1708">
            <w:t>trontium ranelate</w:t>
          </w:r>
          <w:r w:rsidR="00111CAB" w:rsidRPr="00E34575">
            <w:t xml:space="preserve"> </w:t>
          </w:r>
          <w:r w:rsidRPr="00E34575">
            <w:t>Servier Laboratories (Australia) Pty Ltd</w:t>
          </w:r>
          <w:r>
            <w:t xml:space="preserve"> PM-2011-00498-3-5</w:t>
          </w:r>
          <w:r>
            <w:br/>
            <w:t>Final 7 January 2013</w:t>
          </w:r>
        </w:p>
      </w:tc>
      <w:tc>
        <w:tcPr>
          <w:tcW w:w="851" w:type="dxa"/>
          <w:tcMar>
            <w:top w:w="142" w:type="dxa"/>
            <w:bottom w:w="0" w:type="dxa"/>
          </w:tcMar>
        </w:tcPr>
        <w:p w:rsidR="00F16E27" w:rsidRPr="00487162" w:rsidRDefault="00F16E27" w:rsidP="00E45619">
          <w:pPr>
            <w:pStyle w:val="Footer"/>
            <w:jc w:val="right"/>
          </w:pPr>
          <w:r w:rsidRPr="00487162">
            <w:t xml:space="preserve">Page </w:t>
          </w:r>
          <w:fldSimple w:instr="PAGE">
            <w:r w:rsidR="00F84DCF">
              <w:rPr>
                <w:noProof/>
              </w:rPr>
              <w:t>11</w:t>
            </w:r>
          </w:fldSimple>
          <w:r w:rsidRPr="00487162">
            <w:t xml:space="preserve"> of </w:t>
          </w:r>
          <w:fldSimple w:instr=" NUMPAGES  \* Arabic ">
            <w:r w:rsidR="00F84DCF">
              <w:rPr>
                <w:noProof/>
              </w:rPr>
              <w:t>48</w:t>
            </w:r>
          </w:fldSimple>
        </w:p>
      </w:tc>
    </w:tr>
  </w:tbl>
  <w:p w:rsidR="00F16E27" w:rsidRDefault="00F16E27"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F16E27" w:rsidRPr="00487162" w:rsidTr="00E45619">
      <w:trPr>
        <w:trHeight w:val="269"/>
      </w:trPr>
      <w:tc>
        <w:tcPr>
          <w:tcW w:w="4519" w:type="dxa"/>
          <w:tcBorders>
            <w:top w:val="single" w:sz="4" w:space="0" w:color="auto"/>
          </w:tcBorders>
          <w:tcMar>
            <w:top w:w="142" w:type="dxa"/>
            <w:bottom w:w="0" w:type="dxa"/>
          </w:tcMar>
        </w:tcPr>
        <w:p w:rsidR="00F16E27" w:rsidRPr="00487162" w:rsidRDefault="00F16E27" w:rsidP="00FE1DEE">
          <w:pPr>
            <w:pStyle w:val="Footer"/>
          </w:pPr>
          <w:r w:rsidRPr="00487162">
            <w:t>Document title, Part #, Section # - Section title</w:t>
          </w:r>
        </w:p>
        <w:p w:rsidR="00F16E27" w:rsidRPr="00487162" w:rsidRDefault="00F16E27" w:rsidP="00FE1DEE">
          <w:pPr>
            <w:pStyle w:val="Footer"/>
          </w:pPr>
          <w:r w:rsidRPr="00487162">
            <w:t>V1.0 October 2010</w:t>
          </w:r>
        </w:p>
      </w:tc>
      <w:tc>
        <w:tcPr>
          <w:tcW w:w="4342" w:type="dxa"/>
          <w:tcBorders>
            <w:top w:val="single" w:sz="4" w:space="0" w:color="auto"/>
          </w:tcBorders>
          <w:tcMar>
            <w:top w:w="142" w:type="dxa"/>
            <w:bottom w:w="0" w:type="dxa"/>
          </w:tcMar>
        </w:tcPr>
        <w:p w:rsidR="00F16E27" w:rsidRPr="00487162" w:rsidRDefault="00F16E2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48</w:t>
            </w:r>
          </w:fldSimple>
        </w:p>
      </w:tc>
    </w:tr>
  </w:tbl>
  <w:p w:rsidR="00F16E27" w:rsidRDefault="00F16E2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pPr>
      <w:pStyle w:val="Footer"/>
      <w:jc w:val="right"/>
    </w:pPr>
  </w:p>
  <w:tbl>
    <w:tblPr>
      <w:tblW w:w="9175" w:type="dxa"/>
      <w:tblInd w:w="-284" w:type="dxa"/>
      <w:tblLayout w:type="fixed"/>
      <w:tblCellMar>
        <w:left w:w="0" w:type="dxa"/>
        <w:right w:w="0" w:type="dxa"/>
      </w:tblCellMar>
      <w:tblLook w:val="04A0"/>
    </w:tblPr>
    <w:tblGrid>
      <w:gridCol w:w="9175"/>
    </w:tblGrid>
    <w:tr w:rsidR="00F16E27" w:rsidRPr="00487162" w:rsidTr="00E45619">
      <w:trPr>
        <w:trHeight w:hRule="exact" w:val="704"/>
      </w:trPr>
      <w:tc>
        <w:tcPr>
          <w:tcW w:w="9175" w:type="dxa"/>
        </w:tcPr>
        <w:p w:rsidR="00F16E27" w:rsidRPr="00487162" w:rsidRDefault="00F16E27" w:rsidP="008E7846">
          <w:pPr>
            <w:pStyle w:val="TGASignoff"/>
          </w:pPr>
          <w:r w:rsidRPr="00487162">
            <w:t>Therapeutic Goods Administration</w:t>
          </w:r>
        </w:p>
      </w:tc>
    </w:tr>
    <w:tr w:rsidR="00F16E27" w:rsidRPr="00487162" w:rsidTr="00E45619">
      <w:trPr>
        <w:trHeight w:val="1221"/>
      </w:trPr>
      <w:tc>
        <w:tcPr>
          <w:tcW w:w="9175" w:type="dxa"/>
          <w:tcMar>
            <w:top w:w="28" w:type="dxa"/>
          </w:tcMar>
        </w:tcPr>
        <w:p w:rsidR="00F16E27" w:rsidRPr="00487162" w:rsidRDefault="00F16E27" w:rsidP="00E45619">
          <w:pPr>
            <w:pStyle w:val="Address"/>
          </w:pPr>
          <w:r w:rsidRPr="00487162">
            <w:t>PO Box 100 Woden ACT 2606 Australia</w:t>
          </w:r>
        </w:p>
        <w:p w:rsidR="00F16E27" w:rsidRPr="00487162" w:rsidRDefault="00F16E27" w:rsidP="00E45619">
          <w:pPr>
            <w:pStyle w:val="Address"/>
          </w:pPr>
          <w:r w:rsidRPr="00487162">
            <w:t>Email: info@tga.gov.au</w:t>
          </w:r>
          <w:r>
            <w:t xml:space="preserve"> </w:t>
          </w:r>
          <w:r w:rsidRPr="00487162">
            <w:t>Phone: 1800 020 653</w:t>
          </w:r>
          <w:r>
            <w:t xml:space="preserve"> </w:t>
          </w:r>
          <w:r w:rsidRPr="00487162">
            <w:t>Fax: 02 6232 8605</w:t>
          </w:r>
        </w:p>
        <w:p w:rsidR="00F16E27" w:rsidRPr="00112F56" w:rsidRDefault="00F16E27" w:rsidP="00E45619">
          <w:pPr>
            <w:pStyle w:val="Address"/>
            <w:spacing w:line="260" w:lineRule="atLeast"/>
            <w:rPr>
              <w:rStyle w:val="Hyperlink"/>
              <w:b/>
            </w:rPr>
          </w:pPr>
          <w:hyperlink r:id="rId1" w:history="1">
            <w:r w:rsidRPr="00112F56">
              <w:rPr>
                <w:rStyle w:val="Hyperlink"/>
                <w:b/>
              </w:rPr>
              <w:t>www.tga.gov.au</w:t>
            </w:r>
          </w:hyperlink>
        </w:p>
        <w:p w:rsidR="00F16E27" w:rsidRDefault="00F16E27" w:rsidP="00E45619">
          <w:pPr>
            <w:pStyle w:val="Reference"/>
            <w:jc w:val="center"/>
          </w:pPr>
          <w:r w:rsidRPr="00487162">
            <w:t>Reference/Publication #</w:t>
          </w:r>
        </w:p>
        <w:p w:rsidR="00F16E27" w:rsidRPr="00487162" w:rsidRDefault="00F16E27" w:rsidP="00E45619">
          <w:pPr>
            <w:pStyle w:val="Reference"/>
            <w:ind w:firstLine="0"/>
          </w:pPr>
        </w:p>
      </w:tc>
    </w:tr>
  </w:tbl>
  <w:p w:rsidR="00F16E27" w:rsidRDefault="00F16E27" w:rsidP="008E7846">
    <w:pPr>
      <w:pStyle w:val="Notes"/>
    </w:pPr>
  </w:p>
  <w:p w:rsidR="00F16E27" w:rsidRPr="008E7846" w:rsidRDefault="00F16E27"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F16E27" w:rsidTr="0010601F">
      <w:trPr>
        <w:trHeight w:val="108"/>
      </w:trPr>
      <w:tc>
        <w:tcPr>
          <w:tcW w:w="8875" w:type="dxa"/>
          <w:gridSpan w:val="2"/>
          <w:tcBorders>
            <w:bottom w:val="single" w:sz="4" w:space="0" w:color="auto"/>
          </w:tcBorders>
          <w:tcMar>
            <w:right w:w="284" w:type="dxa"/>
          </w:tcMar>
        </w:tcPr>
        <w:p w:rsidR="00F16E27" w:rsidRDefault="00F16E27" w:rsidP="006E08B3">
          <w:pPr>
            <w:pStyle w:val="Heading3"/>
          </w:pPr>
          <w:r>
            <w:t>Copyright</w:t>
          </w:r>
        </w:p>
        <w:p w:rsidR="00F16E27" w:rsidRDefault="00F16E27" w:rsidP="006E08B3">
          <w:r>
            <w:rPr>
              <w:rFonts w:cs="Arial"/>
            </w:rPr>
            <w:t>©</w:t>
          </w:r>
          <w:r>
            <w:t xml:space="preserve"> Commonwealth of Australia [add year]</w:t>
          </w:r>
        </w:p>
        <w:p w:rsidR="00F16E27" w:rsidRDefault="00F16E27" w:rsidP="006E08B3"/>
        <w:p w:rsidR="00F16E27" w:rsidRDefault="00F16E2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16E27" w:rsidRDefault="00F16E27" w:rsidP="006E08B3"/>
        <w:p w:rsidR="00F16E27" w:rsidRDefault="00F16E27" w:rsidP="006E08B3">
          <w:pPr>
            <w:pStyle w:val="Heading3"/>
          </w:pPr>
          <w:r>
            <w:t>Confidentiality</w:t>
          </w:r>
        </w:p>
        <w:p w:rsidR="00F16E27" w:rsidRDefault="00F16E2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16E27" w:rsidRDefault="00F16E27" w:rsidP="006E08B3"/>
        <w:p w:rsidR="00F16E27" w:rsidRDefault="00F16E27" w:rsidP="006E08B3">
          <w:r>
            <w:t>For submission made by individuals, all personal details, other than your name, will be removed from your submission before it is published on the TGA’s Internet site.</w:t>
          </w:r>
        </w:p>
        <w:p w:rsidR="00F16E27" w:rsidRDefault="00F16E27" w:rsidP="006E08B3"/>
        <w:p w:rsidR="00F16E27" w:rsidRDefault="00F16E27" w:rsidP="006E08B3">
          <w:r>
            <w:t>In addition, a list of parties making submissions will be published. If you do not wish to be identified with your submission you must specifically request this in the space provided ib the submission coversheet.</w:t>
          </w:r>
        </w:p>
      </w:tc>
    </w:tr>
    <w:tr w:rsidR="00F16E27" w:rsidTr="0010601F">
      <w:trPr>
        <w:trHeight w:val="417"/>
      </w:trPr>
      <w:tc>
        <w:tcPr>
          <w:tcW w:w="4519" w:type="dxa"/>
          <w:tcBorders>
            <w:top w:val="single" w:sz="4" w:space="0" w:color="auto"/>
          </w:tcBorders>
          <w:tcMar>
            <w:top w:w="142" w:type="dxa"/>
            <w:bottom w:w="0" w:type="dxa"/>
          </w:tcMar>
        </w:tcPr>
        <w:p w:rsidR="00F16E27" w:rsidRDefault="00F16E27" w:rsidP="006E08B3">
          <w:r>
            <w:t>Document title, Part #, Section # - Section title</w:t>
          </w:r>
        </w:p>
        <w:p w:rsidR="00F16E27" w:rsidRDefault="00F16E27" w:rsidP="006E08B3">
          <w:r>
            <w:t>V1.0 October 2010</w:t>
          </w:r>
        </w:p>
      </w:tc>
      <w:tc>
        <w:tcPr>
          <w:tcW w:w="4356" w:type="dxa"/>
          <w:tcBorders>
            <w:top w:val="single" w:sz="4" w:space="0" w:color="auto"/>
          </w:tcBorders>
          <w:tcMar>
            <w:top w:w="142" w:type="dxa"/>
            <w:bottom w:w="0" w:type="dxa"/>
          </w:tcMar>
        </w:tcPr>
        <w:p w:rsidR="00F16E27" w:rsidRDefault="00F16E27" w:rsidP="006E08B3">
          <w:pPr>
            <w:jc w:val="right"/>
          </w:pPr>
          <w:r>
            <w:t xml:space="preserve">Page </w:t>
          </w:r>
          <w:fldSimple w:instr=" PAGE   \* MERGEFORMAT ">
            <w:r>
              <w:rPr>
                <w:noProof/>
              </w:rPr>
              <w:t>1</w:t>
            </w:r>
          </w:fldSimple>
          <w:r>
            <w:t xml:space="preserve"> of </w:t>
          </w:r>
          <w:fldSimple w:instr=" NUMPAGES  \* Arabic ">
            <w:r>
              <w:rPr>
                <w:noProof/>
              </w:rPr>
              <w:t>48</w:t>
            </w:r>
          </w:fldSimple>
          <w:r>
            <w:t xml:space="preserve"> </w:t>
          </w:r>
        </w:p>
      </w:tc>
    </w:tr>
  </w:tbl>
  <w:p w:rsidR="00F16E27" w:rsidRDefault="00F16E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305" w:rsidRDefault="00156305" w:rsidP="00C40A36">
      <w:pPr>
        <w:spacing w:after="0"/>
      </w:pPr>
      <w:r>
        <w:separator/>
      </w:r>
    </w:p>
  </w:footnote>
  <w:footnote w:type="continuationSeparator" w:id="0">
    <w:p w:rsidR="00156305" w:rsidRDefault="00156305" w:rsidP="00C40A36">
      <w:pPr>
        <w:spacing w:after="0"/>
      </w:pPr>
      <w:r>
        <w:continuationSeparator/>
      </w:r>
    </w:p>
  </w:footnote>
  <w:footnote w:id="1">
    <w:p w:rsidR="00F16E27" w:rsidRDefault="00F16E27" w:rsidP="00E4730E">
      <w:pPr>
        <w:pStyle w:val="Reference"/>
      </w:pPr>
      <w:r>
        <w:rPr>
          <w:rStyle w:val="FootnoteReference"/>
        </w:rPr>
        <w:footnoteRef/>
      </w:r>
      <w:r>
        <w:t xml:space="preserve"> </w:t>
      </w:r>
      <w:r w:rsidRPr="000E6576">
        <w:t xml:space="preserve">European Medicines Agency, “Committee for Medicinal Products for Human Use (CHMP): </w:t>
      </w:r>
      <w:r>
        <w:t>Guideline on the Evaluation of the New Medicinal Products in the Treatment of Primary Osteoporosis</w:t>
      </w:r>
      <w:r w:rsidRPr="000E6576">
        <w:t xml:space="preserve"> (CPMP/EWP/552/95 Rev. 2)”, 14 December 2005, Web, accessed 1</w:t>
      </w:r>
      <w:r>
        <w:t>4</w:t>
      </w:r>
      <w:r w:rsidRPr="000E6576">
        <w:t xml:space="preserve"> November 2012 &lt;www.ema.europa.eu/docs/en_GB/document_library/Scientific_guideline/2009/09/</w:t>
      </w:r>
      <w:r>
        <w:t xml:space="preserve"> </w:t>
      </w:r>
      <w:r w:rsidRPr="000E6576">
        <w:t>WC500003406.pdf&gt;</w:t>
      </w:r>
      <w:r>
        <w:t>.</w:t>
      </w:r>
    </w:p>
  </w:footnote>
  <w:footnote w:id="2">
    <w:p w:rsidR="00F16E27" w:rsidRDefault="00F16E27" w:rsidP="00E4730E">
      <w:pPr>
        <w:pStyle w:val="Reference"/>
      </w:pPr>
      <w:r>
        <w:rPr>
          <w:rStyle w:val="FootnoteReference"/>
        </w:rPr>
        <w:footnoteRef/>
      </w:r>
      <w:r>
        <w:t xml:space="preserve"> Danielsen CC</w:t>
      </w:r>
      <w:r w:rsidRPr="00E76DD6">
        <w:t xml:space="preserve">, </w:t>
      </w:r>
      <w:r>
        <w:t xml:space="preserve">et al. </w:t>
      </w:r>
      <w:r w:rsidRPr="00E76DD6">
        <w:t xml:space="preserve">(1992) Long-term effect of orchidectomy on cortical bone from rat femur: bone mass and mechanical properties. </w:t>
      </w:r>
      <w:r w:rsidRPr="00E76DD6">
        <w:rPr>
          <w:i/>
        </w:rPr>
        <w:t>Calcif. Tissue Int.</w:t>
      </w:r>
      <w:r>
        <w:t xml:space="preserve"> 50: 169-174; Peng Z</w:t>
      </w:r>
      <w:r w:rsidRPr="00E4730E">
        <w:rPr>
          <w:i/>
        </w:rPr>
        <w:t>, et al</w:t>
      </w:r>
      <w:r>
        <w:t xml:space="preserve">. </w:t>
      </w:r>
      <w:r w:rsidRPr="00E76DD6">
        <w:t>(1994) The mechanical strength of bone in different rat models of e</w:t>
      </w:r>
      <w:r>
        <w:t xml:space="preserve">xperimental osteoporosis. </w:t>
      </w:r>
      <w:r w:rsidRPr="00E76DD6">
        <w:rPr>
          <w:i/>
        </w:rPr>
        <w:t xml:space="preserve">Bone </w:t>
      </w:r>
      <w:r>
        <w:t>15: 523-</w:t>
      </w:r>
      <w:r w:rsidRPr="00E76DD6">
        <w:t>532</w:t>
      </w:r>
      <w:r>
        <w:t>; Diaz-Curiel M</w:t>
      </w:r>
      <w:r w:rsidRPr="00E76DD6">
        <w:t xml:space="preserve">, </w:t>
      </w:r>
      <w:r>
        <w:t>et al</w:t>
      </w:r>
      <w:r w:rsidRPr="00E76DD6">
        <w:t>. (2008) Effect of risedronate on bone mass, remodelling and biomechanical strength in orchidec</w:t>
      </w:r>
      <w:r>
        <w:t xml:space="preserve">tomized rats. </w:t>
      </w:r>
      <w:r w:rsidRPr="00E76DD6">
        <w:rPr>
          <w:i/>
        </w:rPr>
        <w:t>Horm. Res.</w:t>
      </w:r>
      <w:r>
        <w:t xml:space="preserve"> 70: 93-</w:t>
      </w:r>
      <w:r w:rsidRPr="00E76DD6">
        <w:t>9</w:t>
      </w:r>
      <w:r>
        <w:t xml:space="preserve">9; Morrow R, </w:t>
      </w:r>
      <w:r w:rsidRPr="00E4730E">
        <w:rPr>
          <w:i/>
        </w:rPr>
        <w:t>et al</w:t>
      </w:r>
      <w:r>
        <w:t xml:space="preserve">. </w:t>
      </w:r>
      <w:r w:rsidRPr="00E76DD6">
        <w:t xml:space="preserve">(2009) Feeding orange pulp improved bone quality in a rat model of male osteoporosis. </w:t>
      </w:r>
      <w:r w:rsidRPr="00E76DD6">
        <w:rPr>
          <w:i/>
        </w:rPr>
        <w:t>J. Med. Food.</w:t>
      </w:r>
      <w:r>
        <w:t xml:space="preserve"> 12: 298-303.</w:t>
      </w:r>
    </w:p>
  </w:footnote>
  <w:footnote w:id="3">
    <w:p w:rsidR="00F16E27" w:rsidRDefault="00F16E27" w:rsidP="007F50FC">
      <w:pPr>
        <w:pStyle w:val="Reference"/>
      </w:pPr>
      <w:r>
        <w:rPr>
          <w:rStyle w:val="FootnoteReference"/>
        </w:rPr>
        <w:footnoteRef/>
      </w:r>
      <w:r>
        <w:t xml:space="preserve"> </w:t>
      </w:r>
      <w:r w:rsidRPr="002F7281">
        <w:t xml:space="preserve">Khosla S, </w:t>
      </w:r>
      <w:r w:rsidRPr="007F50FC">
        <w:rPr>
          <w:i/>
        </w:rPr>
        <w:t>et al</w:t>
      </w:r>
      <w:r w:rsidRPr="002F7281">
        <w:t xml:space="preserve">. (2008) Osteoporosis in men. </w:t>
      </w:r>
      <w:r w:rsidRPr="002F7281">
        <w:rPr>
          <w:i/>
        </w:rPr>
        <w:t>Endocr. Rev.</w:t>
      </w:r>
      <w:r w:rsidRPr="002F7281">
        <w:t xml:space="preserve"> 29:</w:t>
      </w:r>
      <w:r>
        <w:t xml:space="preserve"> </w:t>
      </w:r>
      <w:r w:rsidRPr="002F7281">
        <w:t>441-</w:t>
      </w:r>
      <w:r>
        <w:t>4</w:t>
      </w:r>
      <w:r w:rsidRPr="002F7281">
        <w:t>64</w:t>
      </w:r>
      <w:r>
        <w:t xml:space="preserve">; </w:t>
      </w:r>
      <w:r w:rsidRPr="002F7281">
        <w:t xml:space="preserve">Cooper C, </w:t>
      </w:r>
      <w:r w:rsidRPr="007F50FC">
        <w:rPr>
          <w:i/>
        </w:rPr>
        <w:t>et al</w:t>
      </w:r>
      <w:r w:rsidRPr="002F7281">
        <w:t>. (1992) Hip fractures in the elderly: a world-wide projection.</w:t>
      </w:r>
      <w:r>
        <w:t xml:space="preserve"> </w:t>
      </w:r>
      <w:r w:rsidRPr="00394707">
        <w:rPr>
          <w:i/>
        </w:rPr>
        <w:t>Osteoporos. Int.</w:t>
      </w:r>
      <w:r>
        <w:t xml:space="preserve"> </w:t>
      </w:r>
      <w:r w:rsidRPr="002F7281">
        <w:t>2:</w:t>
      </w:r>
      <w:r>
        <w:t xml:space="preserve"> </w:t>
      </w:r>
      <w:r w:rsidRPr="002F7281">
        <w:t>285-</w:t>
      </w:r>
      <w:r>
        <w:t>28</w:t>
      </w:r>
      <w:r w:rsidRPr="002F7281">
        <w:t>9</w:t>
      </w:r>
      <w:r>
        <w:t>.</w:t>
      </w:r>
    </w:p>
  </w:footnote>
  <w:footnote w:id="4">
    <w:p w:rsidR="00F16E27" w:rsidRDefault="00F16E27" w:rsidP="007F50FC">
      <w:pPr>
        <w:pStyle w:val="Reference"/>
      </w:pPr>
      <w:r>
        <w:rPr>
          <w:rStyle w:val="FootnoteReference"/>
        </w:rPr>
        <w:footnoteRef/>
      </w:r>
      <w:r>
        <w:t xml:space="preserve"> </w:t>
      </w:r>
      <w:r w:rsidRPr="006B34ED">
        <w:t xml:space="preserve">Center JR, </w:t>
      </w:r>
      <w:r w:rsidRPr="007F50FC">
        <w:rPr>
          <w:i/>
        </w:rPr>
        <w:t>et al</w:t>
      </w:r>
      <w:r w:rsidRPr="006B34ED">
        <w:t>. (1999) Mortality after all major types of osteoporotic fracture in men and women:</w:t>
      </w:r>
      <w:r>
        <w:t xml:space="preserve"> an observational study. </w:t>
      </w:r>
      <w:r w:rsidRPr="00100E43">
        <w:rPr>
          <w:i/>
        </w:rPr>
        <w:t xml:space="preserve">Lancet </w:t>
      </w:r>
      <w:r w:rsidRPr="006B34ED">
        <w:t>353:</w:t>
      </w:r>
      <w:r>
        <w:t xml:space="preserve"> </w:t>
      </w:r>
      <w:r w:rsidRPr="006B34ED">
        <w:t>878-</w:t>
      </w:r>
      <w:r>
        <w:t>8</w:t>
      </w:r>
      <w:r w:rsidRPr="006B34ED">
        <w:t>82</w:t>
      </w:r>
      <w:r>
        <w:t>; Forse</w:t>
      </w:r>
      <w:r w:rsidRPr="00413AF1">
        <w:t xml:space="preserve">n L, </w:t>
      </w:r>
      <w:r w:rsidRPr="007F50FC">
        <w:rPr>
          <w:i/>
        </w:rPr>
        <w:t>et al</w:t>
      </w:r>
      <w:r w:rsidRPr="00413AF1">
        <w:t xml:space="preserve">. (1999) Survival after hip fracture: short- and long-term excess mortality according to age and gender. </w:t>
      </w:r>
      <w:r w:rsidRPr="00413AF1">
        <w:rPr>
          <w:i/>
        </w:rPr>
        <w:t>Osteoporos Int.</w:t>
      </w:r>
      <w:r>
        <w:t xml:space="preserve"> 10: 73-78; </w:t>
      </w:r>
      <w:r w:rsidRPr="00704A00">
        <w:t xml:space="preserve">Kanis JA, </w:t>
      </w:r>
      <w:r w:rsidRPr="007F50FC">
        <w:rPr>
          <w:i/>
        </w:rPr>
        <w:t>et al</w:t>
      </w:r>
      <w:r w:rsidRPr="00704A00">
        <w:t>. (2003) The components of excess mortality after hi</w:t>
      </w:r>
      <w:r>
        <w:t xml:space="preserve">p fracture. </w:t>
      </w:r>
      <w:r w:rsidRPr="00704A00">
        <w:rPr>
          <w:i/>
        </w:rPr>
        <w:t>Bone</w:t>
      </w:r>
      <w:r>
        <w:t xml:space="preserve"> 32</w:t>
      </w:r>
      <w:r w:rsidRPr="00704A00">
        <w:t>:</w:t>
      </w:r>
      <w:r>
        <w:t xml:space="preserve"> </w:t>
      </w:r>
      <w:r w:rsidRPr="00704A00">
        <w:t>468-</w:t>
      </w:r>
      <w:r>
        <w:t>4</w:t>
      </w:r>
      <w:r w:rsidRPr="00704A00">
        <w:t>73</w:t>
      </w:r>
      <w:r>
        <w:t>.</w:t>
      </w:r>
    </w:p>
  </w:footnote>
  <w:footnote w:id="5">
    <w:p w:rsidR="00F16E27" w:rsidRDefault="00F16E27" w:rsidP="007F50FC">
      <w:pPr>
        <w:pStyle w:val="Reference"/>
      </w:pPr>
      <w:r>
        <w:rPr>
          <w:rStyle w:val="FootnoteReference"/>
        </w:rPr>
        <w:footnoteRef/>
      </w:r>
      <w:r>
        <w:t xml:space="preserve"> </w:t>
      </w:r>
      <w:r w:rsidRPr="00A07330">
        <w:t xml:space="preserve">Cummings SR, </w:t>
      </w:r>
      <w:r w:rsidRPr="007F50FC">
        <w:rPr>
          <w:i/>
        </w:rPr>
        <w:t>et al</w:t>
      </w:r>
      <w:r w:rsidRPr="00A07330">
        <w:t xml:space="preserve">. (2006) BMD and risk of hip and nonvertebral fractures in older men: a prospective study and comparison with older women. </w:t>
      </w:r>
      <w:r w:rsidRPr="00A07330">
        <w:rPr>
          <w:i/>
        </w:rPr>
        <w:t>J. Bone Miner. Res.</w:t>
      </w:r>
      <w:r>
        <w:t xml:space="preserve"> 21</w:t>
      </w:r>
      <w:r w:rsidRPr="00A07330">
        <w:t>:</w:t>
      </w:r>
      <w:r>
        <w:t xml:space="preserve"> </w:t>
      </w:r>
      <w:r w:rsidRPr="00A07330">
        <w:t>1550-</w:t>
      </w:r>
      <w:r>
        <w:t xml:space="preserve">1556; </w:t>
      </w:r>
      <w:r w:rsidRPr="00C139E1">
        <w:t xml:space="preserve">Berger C, </w:t>
      </w:r>
      <w:r w:rsidRPr="007F50FC">
        <w:rPr>
          <w:i/>
        </w:rPr>
        <w:t>et al</w:t>
      </w:r>
      <w:r w:rsidRPr="00C139E1">
        <w:t xml:space="preserve">. (2009) Association between change in BMD and fragility fracture in women and men. </w:t>
      </w:r>
      <w:r w:rsidRPr="00C139E1">
        <w:rPr>
          <w:i/>
        </w:rPr>
        <w:t xml:space="preserve">J. Bone Miner. Res. </w:t>
      </w:r>
      <w:r>
        <w:t>24</w:t>
      </w:r>
      <w:r w:rsidRPr="00C139E1">
        <w:t>:</w:t>
      </w:r>
      <w:r>
        <w:t xml:space="preserve"> </w:t>
      </w:r>
      <w:r w:rsidRPr="00C139E1">
        <w:t>361-</w:t>
      </w:r>
      <w:r>
        <w:t>3</w:t>
      </w:r>
      <w:r w:rsidRPr="00C139E1">
        <w:t>70</w:t>
      </w:r>
      <w:r>
        <w:t>.</w:t>
      </w:r>
    </w:p>
  </w:footnote>
  <w:footnote w:id="6">
    <w:p w:rsidR="00F16E27" w:rsidRDefault="00F16E27" w:rsidP="007F50FC">
      <w:pPr>
        <w:pStyle w:val="Reference"/>
      </w:pPr>
      <w:r>
        <w:rPr>
          <w:rStyle w:val="FootnoteReference"/>
        </w:rPr>
        <w:footnoteRef/>
      </w:r>
      <w:r>
        <w:t xml:space="preserve"> </w:t>
      </w:r>
      <w:r w:rsidRPr="00E147CA">
        <w:t>European Prospective Osteoporosis Study (EPOS) Group</w:t>
      </w:r>
      <w:r>
        <w:t>.</w:t>
      </w:r>
      <w:r w:rsidRPr="00E147CA">
        <w:t xml:space="preserve"> (2002) Incidence of vertebral fracture in </w:t>
      </w:r>
      <w:r>
        <w:t>E</w:t>
      </w:r>
      <w:r w:rsidRPr="00E147CA">
        <w:t xml:space="preserve">urope: </w:t>
      </w:r>
      <w:r>
        <w:t>r</w:t>
      </w:r>
      <w:r w:rsidRPr="00E147CA">
        <w:t xml:space="preserve">esults from the European Prospective Osteoporosis Study (EPOS). </w:t>
      </w:r>
      <w:r w:rsidRPr="00E147CA">
        <w:rPr>
          <w:i/>
        </w:rPr>
        <w:t>J. Bone Miner. Res.</w:t>
      </w:r>
      <w:r>
        <w:t xml:space="preserve"> 17</w:t>
      </w:r>
      <w:r w:rsidRPr="00E147CA">
        <w:t>:</w:t>
      </w:r>
      <w:r>
        <w:t xml:space="preserve"> </w:t>
      </w:r>
      <w:r w:rsidRPr="00E147CA">
        <w:t>716-</w:t>
      </w:r>
      <w:r>
        <w:t>7</w:t>
      </w:r>
      <w:r w:rsidRPr="00E147CA">
        <w:t>24</w:t>
      </w:r>
      <w:r>
        <w:t>.</w:t>
      </w:r>
    </w:p>
  </w:footnote>
  <w:footnote w:id="7">
    <w:p w:rsidR="00F16E27" w:rsidRDefault="00F16E27" w:rsidP="007F50FC">
      <w:pPr>
        <w:pStyle w:val="Reference"/>
      </w:pPr>
      <w:r>
        <w:rPr>
          <w:rStyle w:val="FootnoteReference"/>
        </w:rPr>
        <w:footnoteRef/>
      </w:r>
      <w:r>
        <w:t xml:space="preserve"> </w:t>
      </w:r>
      <w:r w:rsidRPr="001C2E0E">
        <w:t xml:space="preserve">Meier C, et al. (2005) Bone resorption and osteoporotic fractures in elderly men: the dubbo osteoporosis epidemiology study. </w:t>
      </w:r>
      <w:r w:rsidRPr="001C2E0E">
        <w:rPr>
          <w:i/>
        </w:rPr>
        <w:t xml:space="preserve">J. Bone Miner. Res. </w:t>
      </w:r>
      <w:r>
        <w:t>20</w:t>
      </w:r>
      <w:r w:rsidRPr="001C2E0E">
        <w:t>:</w:t>
      </w:r>
      <w:r>
        <w:t xml:space="preserve"> </w:t>
      </w:r>
      <w:r w:rsidRPr="001C2E0E">
        <w:t>579-</w:t>
      </w:r>
      <w:r>
        <w:t>5</w:t>
      </w:r>
      <w:r w:rsidRPr="001C2E0E">
        <w:t>87</w:t>
      </w:r>
      <w:r>
        <w:t>;</w:t>
      </w:r>
      <w:r w:rsidRPr="003C0223">
        <w:t xml:space="preserve"> Szulc P, et al. (2005) Bone mineral density predicts osteoporotic fractures in elderly men: the MINOS study.</w:t>
      </w:r>
      <w:r>
        <w:t xml:space="preserve"> </w:t>
      </w:r>
      <w:r w:rsidRPr="003C0223">
        <w:rPr>
          <w:i/>
        </w:rPr>
        <w:t>Osteoporos Int.</w:t>
      </w:r>
      <w:r>
        <w:t xml:space="preserve"> 16</w:t>
      </w:r>
      <w:r w:rsidRPr="003C0223">
        <w:t>:</w:t>
      </w:r>
      <w:r>
        <w:t xml:space="preserve"> </w:t>
      </w:r>
      <w:r w:rsidRPr="003C0223">
        <w:t>1184-</w:t>
      </w:r>
      <w:r>
        <w:t>11</w:t>
      </w:r>
      <w:r w:rsidRPr="003C0223">
        <w:t>92</w:t>
      </w:r>
      <w:r>
        <w:t>.</w:t>
      </w:r>
    </w:p>
  </w:footnote>
  <w:footnote w:id="8">
    <w:p w:rsidR="00F16E27" w:rsidRDefault="00F16E27" w:rsidP="007F50FC">
      <w:pPr>
        <w:pStyle w:val="Reference"/>
      </w:pPr>
      <w:r>
        <w:rPr>
          <w:rStyle w:val="FootnoteReference"/>
        </w:rPr>
        <w:footnoteRef/>
      </w:r>
      <w:r>
        <w:t xml:space="preserve"> </w:t>
      </w:r>
      <w:r w:rsidRPr="00A07330">
        <w:t xml:space="preserve">Cummings SR, et al. (2006) BMD and risk of hip and nonvertebral fractures in older men: a prospective study and comparison with older women. </w:t>
      </w:r>
      <w:r w:rsidRPr="00A07330">
        <w:rPr>
          <w:i/>
        </w:rPr>
        <w:t>J. Bone Miner. Res.</w:t>
      </w:r>
      <w:r>
        <w:t xml:space="preserve"> 21</w:t>
      </w:r>
      <w:r w:rsidRPr="00A07330">
        <w:t>:</w:t>
      </w:r>
      <w:r>
        <w:t xml:space="preserve"> </w:t>
      </w:r>
      <w:r w:rsidRPr="00A07330">
        <w:t>1550-</w:t>
      </w:r>
      <w:r>
        <w:t>1556.</w:t>
      </w:r>
    </w:p>
  </w:footnote>
  <w:footnote w:id="9">
    <w:p w:rsidR="00F16E27" w:rsidRDefault="00F16E27" w:rsidP="00ED25BB">
      <w:pPr>
        <w:pStyle w:val="Reference"/>
      </w:pPr>
      <w:r>
        <w:rPr>
          <w:rStyle w:val="FootnoteReference"/>
        </w:rPr>
        <w:footnoteRef/>
      </w:r>
      <w:r>
        <w:t xml:space="preserve"> </w:t>
      </w:r>
      <w:r w:rsidRPr="000C4E8C">
        <w:t xml:space="preserve">Cawthon PM, </w:t>
      </w:r>
      <w:r w:rsidRPr="00ED25BB">
        <w:rPr>
          <w:i/>
        </w:rPr>
        <w:t>et al</w:t>
      </w:r>
      <w:r w:rsidRPr="000C4E8C">
        <w:t>. (2009) Loss of hip BMD in older men: the osteoporotic fractures in men (MrOS) study.</w:t>
      </w:r>
      <w:r w:rsidRPr="000C4E8C">
        <w:rPr>
          <w:i/>
        </w:rPr>
        <w:t xml:space="preserve"> J. Bone Miner. Res. </w:t>
      </w:r>
      <w:r>
        <w:t>24</w:t>
      </w:r>
      <w:r w:rsidRPr="000C4E8C">
        <w:t>:</w:t>
      </w:r>
      <w:r>
        <w:t xml:space="preserve"> </w:t>
      </w:r>
      <w:r w:rsidRPr="000C4E8C">
        <w:t>1728-</w:t>
      </w:r>
      <w:r>
        <w:t>17</w:t>
      </w:r>
      <w:r w:rsidRPr="000C4E8C">
        <w:t>35.</w:t>
      </w:r>
    </w:p>
  </w:footnote>
  <w:footnote w:id="10">
    <w:p w:rsidR="00F16E27" w:rsidRDefault="00F16E27" w:rsidP="00ED25BB">
      <w:pPr>
        <w:pStyle w:val="Reference"/>
      </w:pPr>
      <w:r>
        <w:rPr>
          <w:rStyle w:val="FootnoteReference"/>
        </w:rPr>
        <w:footnoteRef/>
      </w:r>
      <w:r>
        <w:t xml:space="preserve"> </w:t>
      </w:r>
      <w:r w:rsidRPr="00CD5823">
        <w:t xml:space="preserve">Delannoy P, </w:t>
      </w:r>
      <w:r w:rsidRPr="00ED25BB">
        <w:rPr>
          <w:i/>
        </w:rPr>
        <w:t>et al</w:t>
      </w:r>
      <w:r w:rsidRPr="00CD5823">
        <w:t xml:space="preserve">. (2002) Long-term treatment with strontium ranelate increases vertebral bone mass without deleterious effect in mice. </w:t>
      </w:r>
      <w:r w:rsidRPr="00BE2A8E">
        <w:rPr>
          <w:i/>
        </w:rPr>
        <w:t>Metabolism</w:t>
      </w:r>
      <w:r>
        <w:t xml:space="preserve"> 51: 906-911; </w:t>
      </w:r>
      <w:r w:rsidRPr="000A7C28">
        <w:t xml:space="preserve">Hott M, </w:t>
      </w:r>
      <w:r w:rsidRPr="00ED25BB">
        <w:rPr>
          <w:i/>
        </w:rPr>
        <w:t>et al</w:t>
      </w:r>
      <w:r w:rsidRPr="000A7C28">
        <w:t>. (2003) S12911-2 reduces bone loss induced by short-term immobilization in ra</w:t>
      </w:r>
      <w:r>
        <w:t xml:space="preserve">ts. </w:t>
      </w:r>
      <w:r w:rsidRPr="000A7C28">
        <w:rPr>
          <w:i/>
        </w:rPr>
        <w:t>Bone</w:t>
      </w:r>
      <w:r>
        <w:t xml:space="preserve"> 33: 115-123; </w:t>
      </w:r>
      <w:r w:rsidRPr="00D21749">
        <w:t xml:space="preserve">Ammann P, </w:t>
      </w:r>
      <w:r w:rsidRPr="00ED25BB">
        <w:rPr>
          <w:i/>
        </w:rPr>
        <w:t>et al</w:t>
      </w:r>
      <w:r w:rsidRPr="00D21749">
        <w:t xml:space="preserve">. (2004) Strontium ranelate improves bone resistance by increasing bone mass and improving architecture in intact female rats. </w:t>
      </w:r>
      <w:r w:rsidRPr="00372B4A">
        <w:rPr>
          <w:i/>
        </w:rPr>
        <w:t>J. Bone Miner. Res.</w:t>
      </w:r>
      <w:r>
        <w:t xml:space="preserve"> </w:t>
      </w:r>
      <w:r w:rsidRPr="00D21749">
        <w:t>19:</w:t>
      </w:r>
      <w:r>
        <w:t xml:space="preserve"> </w:t>
      </w:r>
      <w:r w:rsidRPr="00D21749">
        <w:t>2012-</w:t>
      </w:r>
      <w:r>
        <w:t>2020.</w:t>
      </w:r>
    </w:p>
  </w:footnote>
  <w:footnote w:id="11">
    <w:p w:rsidR="00F16E27" w:rsidRDefault="00F16E27" w:rsidP="00ED25BB">
      <w:pPr>
        <w:pStyle w:val="Reference"/>
      </w:pPr>
      <w:r>
        <w:rPr>
          <w:rStyle w:val="FootnoteReference"/>
        </w:rPr>
        <w:footnoteRef/>
      </w:r>
      <w:r>
        <w:t xml:space="preserve"> </w:t>
      </w:r>
      <w:r w:rsidRPr="000E6576">
        <w:t xml:space="preserve">European Medicines Agency, “Committee for Medicinal Products for Human Use (CHMP): </w:t>
      </w:r>
      <w:r>
        <w:t>Guideline on the Evaluation of the New Medicinal Products in the Treatment of Primary Osteoporosis</w:t>
      </w:r>
      <w:r w:rsidRPr="000E6576">
        <w:t xml:space="preserve"> (CPMP/EWP/552/95 Rev. 2)”, 14 December 2005, Web, accessed 1</w:t>
      </w:r>
      <w:r>
        <w:t>4</w:t>
      </w:r>
      <w:r w:rsidRPr="000E6576">
        <w:t xml:space="preserve"> November 2012 &lt;www.ema.europa.eu/docs/en_GB/document_library/Scientific_guideline/2009/09/</w:t>
      </w:r>
      <w:r>
        <w:t xml:space="preserve"> </w:t>
      </w:r>
      <w:r w:rsidRPr="000E6576">
        <w:t>WC500003406.pdf&gt;</w:t>
      </w:r>
      <w:r>
        <w:t>.</w:t>
      </w:r>
    </w:p>
  </w:footnote>
  <w:footnote w:id="12">
    <w:p w:rsidR="00F16E27" w:rsidRDefault="00F16E27" w:rsidP="00ED25BB">
      <w:pPr>
        <w:pStyle w:val="Reference"/>
      </w:pPr>
      <w:r>
        <w:rPr>
          <w:rStyle w:val="FootnoteReference"/>
        </w:rPr>
        <w:footnoteRef/>
      </w:r>
      <w:r>
        <w:t xml:space="preserve"> </w:t>
      </w:r>
      <w:r w:rsidRPr="000F3676">
        <w:t xml:space="preserve">Meunier PJ, </w:t>
      </w:r>
      <w:r w:rsidRPr="00ED25BB">
        <w:rPr>
          <w:i/>
        </w:rPr>
        <w:t>et al</w:t>
      </w:r>
      <w:r w:rsidRPr="000F3676">
        <w:t xml:space="preserve">. (2004) The effects of strontium ranelate on the risk of vertebral fracture in women with postmenopausal osteoporosis. </w:t>
      </w:r>
      <w:r w:rsidRPr="00ED475E">
        <w:rPr>
          <w:i/>
        </w:rPr>
        <w:t>N. Engl. J. Med.</w:t>
      </w:r>
      <w:r w:rsidRPr="000F3676">
        <w:t xml:space="preserve"> 350</w:t>
      </w:r>
      <w:r>
        <w:t xml:space="preserve">: </w:t>
      </w:r>
      <w:r w:rsidRPr="000F3676">
        <w:t>459-</w:t>
      </w:r>
      <w:r>
        <w:t xml:space="preserve">468; </w:t>
      </w:r>
      <w:r w:rsidRPr="00891A74">
        <w:t xml:space="preserve">Reginster JY, </w:t>
      </w:r>
      <w:r w:rsidRPr="00ED25BB">
        <w:rPr>
          <w:i/>
        </w:rPr>
        <w:t>et al</w:t>
      </w:r>
      <w:r w:rsidRPr="00891A74">
        <w:t xml:space="preserve">. (2005) Strontium ranelate reduces the risk of nonvertebral fractures in postmenopausal women with osteoporosis: Treatment of Peripheral Osteoporosis (TROPOS) study. </w:t>
      </w:r>
      <w:r w:rsidRPr="00891A74">
        <w:rPr>
          <w:i/>
        </w:rPr>
        <w:t>J. Clin. Endocrinol. Metab.</w:t>
      </w:r>
      <w:r>
        <w:t xml:space="preserve"> 90: 2816-2822.</w:t>
      </w:r>
    </w:p>
  </w:footnote>
  <w:footnote w:id="13">
    <w:p w:rsidR="00F16E27" w:rsidRPr="00ED25BB" w:rsidRDefault="00F16E27" w:rsidP="00ED25BB">
      <w:pPr>
        <w:pStyle w:val="Reference"/>
      </w:pPr>
      <w:r>
        <w:rPr>
          <w:rStyle w:val="FootnoteReference"/>
        </w:rPr>
        <w:footnoteRef/>
      </w:r>
      <w:r>
        <w:t xml:space="preserve"> </w:t>
      </w:r>
      <w:r w:rsidRPr="005138D5">
        <w:t xml:space="preserve">Reginster JY, </w:t>
      </w:r>
      <w:r w:rsidRPr="00ED25BB">
        <w:rPr>
          <w:i/>
        </w:rPr>
        <w:t>et al</w:t>
      </w:r>
      <w:r w:rsidRPr="005138D5">
        <w:t xml:space="preserve">. (2008) Effects of long-term strontium ranelate treatment on the risk of nonvertebral and vertebral fractures in postmenopausal osteoporosis: Results of a five-year, randomized, placebo-controlled </w:t>
      </w:r>
      <w:r>
        <w:t xml:space="preserve">trial. </w:t>
      </w:r>
      <w:r w:rsidRPr="005138D5">
        <w:rPr>
          <w:i/>
        </w:rPr>
        <w:t>Arthritis Rheum.</w:t>
      </w:r>
      <w:r>
        <w:t xml:space="preserve"> </w:t>
      </w:r>
      <w:r w:rsidRPr="005138D5">
        <w:t>58:</w:t>
      </w:r>
      <w:r>
        <w:t xml:space="preserve"> </w:t>
      </w:r>
      <w:r w:rsidRPr="005138D5">
        <w:t>1687-</w:t>
      </w:r>
      <w:r>
        <w:t>16</w:t>
      </w:r>
      <w:r w:rsidRPr="005138D5">
        <w:t>95</w:t>
      </w:r>
      <w:r>
        <w:t xml:space="preserve">; </w:t>
      </w:r>
      <w:r w:rsidRPr="00252CA0">
        <w:t xml:space="preserve">Reginster JY, </w:t>
      </w:r>
      <w:r w:rsidRPr="00ED25BB">
        <w:rPr>
          <w:i/>
        </w:rPr>
        <w:t>et al</w:t>
      </w:r>
      <w:r w:rsidRPr="00252CA0">
        <w:t xml:space="preserve">. (2009) </w:t>
      </w:r>
      <w:r w:rsidRPr="00ED25BB">
        <w:t>Long-term treatment of postmenopausal osteoporosis with strontium ranelate: results at 8 years. Bone 45: 1059-1064.</w:t>
      </w:r>
    </w:p>
  </w:footnote>
  <w:footnote w:id="14">
    <w:p w:rsidR="00F16E27" w:rsidRDefault="00F16E27" w:rsidP="00ED25BB">
      <w:pPr>
        <w:pStyle w:val="Reference"/>
      </w:pPr>
      <w:r>
        <w:rPr>
          <w:rStyle w:val="FootnoteReference"/>
        </w:rPr>
        <w:footnoteRef/>
      </w:r>
      <w:r>
        <w:t xml:space="preserve"> Not described in submitted data but implied in SOTI and STRATOS studies.</w:t>
      </w:r>
    </w:p>
  </w:footnote>
  <w:footnote w:id="15">
    <w:p w:rsidR="00F16E27" w:rsidRDefault="00F16E27" w:rsidP="00ED25BB">
      <w:pPr>
        <w:pStyle w:val="Reference"/>
      </w:pPr>
      <w:r>
        <w:rPr>
          <w:rStyle w:val="FootnoteReference"/>
        </w:rPr>
        <w:footnoteRef/>
      </w:r>
      <w:r>
        <w:t xml:space="preserve"> </w:t>
      </w:r>
      <w:r w:rsidRPr="00867A0C">
        <w:t>Quality of Life Questionnaire in Osteoporosis</w:t>
      </w:r>
      <w:r>
        <w:t>.</w:t>
      </w:r>
    </w:p>
  </w:footnote>
  <w:footnote w:id="16">
    <w:p w:rsidR="00F16E27" w:rsidRDefault="00F16E27" w:rsidP="00ED25BB">
      <w:pPr>
        <w:pStyle w:val="Reference"/>
      </w:pPr>
      <w:r>
        <w:rPr>
          <w:rStyle w:val="FootnoteReference"/>
        </w:rPr>
        <w:footnoteRef/>
      </w:r>
      <w:r>
        <w:t xml:space="preserve"> </w:t>
      </w:r>
      <w:r w:rsidRPr="000E6576">
        <w:t>European Medicines Agency, “</w:t>
      </w:r>
      <w:r w:rsidRPr="00BC2BB2">
        <w:t>ICH Topic E 9 Statistical Principles for Clinical Trials Step 5: Note for Guidance on Statistical Principles for Clinical Trials (CPMP/ICH/363/96)</w:t>
      </w:r>
      <w:r w:rsidRPr="000E6576">
        <w:t xml:space="preserve">”, </w:t>
      </w:r>
      <w:r>
        <w:t>September 1998</w:t>
      </w:r>
      <w:r w:rsidRPr="000E6576">
        <w:t xml:space="preserve">, Web, accessed </w:t>
      </w:r>
      <w:r>
        <w:t>23</w:t>
      </w:r>
      <w:r w:rsidRPr="000E6576">
        <w:t xml:space="preserve"> November 2012 &lt;</w:t>
      </w:r>
      <w:r w:rsidRPr="00BC2BB2">
        <w:t>www.emea.europa.eu/docs/en_GB/document_library/</w:t>
      </w:r>
      <w:r>
        <w:t xml:space="preserve"> </w:t>
      </w:r>
      <w:r w:rsidRPr="00BC2BB2">
        <w:t>Scientific_guideline/2009/09/WC500002928.pdf</w:t>
      </w:r>
      <w:r w:rsidRPr="000E6576">
        <w:t>&gt;</w:t>
      </w:r>
      <w:r>
        <w:t>.</w:t>
      </w:r>
    </w:p>
  </w:footnote>
  <w:footnote w:id="17">
    <w:p w:rsidR="00F16E27" w:rsidRDefault="00F16E27" w:rsidP="00D653C2">
      <w:pPr>
        <w:pStyle w:val="Reference"/>
      </w:pPr>
      <w:r>
        <w:rPr>
          <w:rStyle w:val="FootnoteReference"/>
        </w:rPr>
        <w:footnoteRef/>
      </w:r>
      <w:r>
        <w:t xml:space="preserve"> </w:t>
      </w:r>
      <w:r w:rsidRPr="000E6576">
        <w:t>European Medicines Agency, “</w:t>
      </w:r>
      <w:r w:rsidRPr="00BC2BB2">
        <w:t>ICH Topic E 9 Statistical Principles for Clinical Trials Step 5: Note for Guidance on Statistical Principles for Clinical Trials (CPMP/ICH/363/96)</w:t>
      </w:r>
      <w:r w:rsidRPr="000E6576">
        <w:t xml:space="preserve">”, </w:t>
      </w:r>
      <w:r>
        <w:t>September 1998</w:t>
      </w:r>
      <w:r w:rsidRPr="000E6576">
        <w:t xml:space="preserve">, Web, accessed </w:t>
      </w:r>
      <w:r>
        <w:t>23</w:t>
      </w:r>
      <w:r w:rsidRPr="000E6576">
        <w:t xml:space="preserve"> November 2012 &lt;</w:t>
      </w:r>
      <w:r w:rsidRPr="00BC2BB2">
        <w:t>www.emea.europa.eu/docs/en_GB/document_library/</w:t>
      </w:r>
      <w:r>
        <w:t xml:space="preserve"> </w:t>
      </w:r>
      <w:r w:rsidRPr="00BC2BB2">
        <w:t>Scientific_guideline/2009/09/WC500002928.pdf</w:t>
      </w:r>
      <w:r w:rsidRPr="000E6576">
        <w:t>&gt;</w:t>
      </w:r>
      <w:r>
        <w:t>.</w:t>
      </w:r>
    </w:p>
  </w:footnote>
  <w:footnote w:id="18">
    <w:p w:rsidR="00F16E27" w:rsidRDefault="00F16E27" w:rsidP="00F93B11">
      <w:pPr>
        <w:pStyle w:val="Reference"/>
      </w:pPr>
      <w:r>
        <w:rPr>
          <w:rStyle w:val="FootnoteReference"/>
        </w:rPr>
        <w:footnoteRef/>
      </w:r>
      <w:r>
        <w:t xml:space="preserve"> N</w:t>
      </w:r>
      <w:r w:rsidRPr="00267396">
        <w:t>o record of</w:t>
      </w:r>
      <w:r>
        <w:t xml:space="preserve"> the outcomes of these meetings could be found </w:t>
      </w:r>
      <w:r w:rsidRPr="00267396">
        <w:t>in the dossier</w:t>
      </w:r>
      <w:r>
        <w:t>, a</w:t>
      </w:r>
      <w:r w:rsidRPr="00267396">
        <w:t xml:space="preserve">lthough the </w:t>
      </w:r>
      <w:r>
        <w:t>RMP</w:t>
      </w:r>
      <w:r w:rsidRPr="00267396">
        <w:t xml:space="preserve"> indicated that no further such cases had occurred.</w:t>
      </w:r>
    </w:p>
  </w:footnote>
  <w:footnote w:id="19">
    <w:p w:rsidR="00F16E27" w:rsidRDefault="00F16E27" w:rsidP="00F93B11">
      <w:pPr>
        <w:pStyle w:val="Reference"/>
      </w:pPr>
      <w:r>
        <w:rPr>
          <w:rStyle w:val="FootnoteReference"/>
        </w:rPr>
        <w:footnoteRef/>
      </w:r>
      <w:r>
        <w:t xml:space="preserve"> </w:t>
      </w:r>
      <w:r w:rsidRPr="0020365C">
        <w:t xml:space="preserve">European Medicines Agency, “Committee for Medicinal Products for Human Use (CHMP): Guideline on the Evaluation of the New Medicinal Products in the Treatment of Primary Osteoporosis (CPMP/EWP/552/95 Rev. 2)”, </w:t>
      </w:r>
      <w:r>
        <w:t>16 November 2006, Web, accessed 26</w:t>
      </w:r>
      <w:r w:rsidRPr="0020365C">
        <w:t xml:space="preserve"> November 2012 &lt;</w:t>
      </w:r>
      <w:r w:rsidRPr="0046349B">
        <w:t>http://www.tga.gov.au/pdf/euguide/ewp055295enrev2.pdf</w:t>
      </w:r>
      <w:r w:rsidRPr="0020365C">
        <w:t>&gt;.</w:t>
      </w:r>
    </w:p>
  </w:footnote>
  <w:footnote w:id="20">
    <w:p w:rsidR="00F16E27" w:rsidRDefault="00F16E27" w:rsidP="00F93B11">
      <w:pPr>
        <w:pStyle w:val="Reference"/>
      </w:pPr>
      <w:r>
        <w:rPr>
          <w:rStyle w:val="FootnoteReference"/>
        </w:rPr>
        <w:footnoteRef/>
      </w:r>
      <w:r>
        <w:t xml:space="preserve"> </w:t>
      </w:r>
      <w:r w:rsidRPr="000678D2">
        <w:t>Spo</w:t>
      </w:r>
      <w:r>
        <w:t>nsor comment: At the time of</w:t>
      </w:r>
      <w:r w:rsidRPr="000678D2">
        <w:t xml:space="preserve"> </w:t>
      </w:r>
      <w:r>
        <w:t>publication of this</w:t>
      </w:r>
      <w:r w:rsidRPr="000678D2">
        <w:t xml:space="preserve"> AusPAR, the RMP version 7 has been superseded. Consequently, some of the information presented </w:t>
      </w:r>
      <w:r>
        <w:t xml:space="preserve">in this AusPAR </w:t>
      </w:r>
      <w:r w:rsidRPr="000678D2">
        <w:t>has been up</w:t>
      </w:r>
      <w:r>
        <w:t xml:space="preserve">dated (including risks and post </w:t>
      </w:r>
      <w:r w:rsidRPr="000678D2">
        <w:t>authorisation safety study in men).</w:t>
      </w:r>
    </w:p>
  </w:footnote>
  <w:footnote w:id="21">
    <w:p w:rsidR="00F16E27" w:rsidRDefault="00F16E27" w:rsidP="00F16E27">
      <w:pPr>
        <w:pStyle w:val="Reference"/>
      </w:pPr>
      <w:r>
        <w:rPr>
          <w:rStyle w:val="FootnoteReference"/>
        </w:rPr>
        <w:footnoteRef/>
      </w:r>
      <w:r>
        <w:t xml:space="preserve"> </w:t>
      </w:r>
      <w:r w:rsidRPr="0020365C">
        <w:t xml:space="preserve">European Medicines Agency, “Committee for Medicinal Products for Human Use (CHMP): Guideline on the Evaluation of the New Medicinal Products in the Treatment of Primary Osteoporosis (CPMP/EWP/552/95 Rev. 2)”, </w:t>
      </w:r>
      <w:r>
        <w:t>16 November 2006, Web, accessed 26</w:t>
      </w:r>
      <w:r w:rsidRPr="0020365C">
        <w:t xml:space="preserve"> November 2012 &lt;</w:t>
      </w:r>
      <w:r w:rsidRPr="0046349B">
        <w:t>http://www.tga.gov.au/pdf/euguide/ewp055295enrev2.pdf</w:t>
      </w:r>
      <w:r w:rsidRPr="0020365C">
        <w:t>&gt;</w:t>
      </w:r>
      <w:r>
        <w:t>.</w:t>
      </w:r>
    </w:p>
  </w:footnote>
  <w:footnote w:id="22">
    <w:p w:rsidR="00F16E27" w:rsidRDefault="00F16E27" w:rsidP="006D04EF">
      <w:pPr>
        <w:pStyle w:val="Reference"/>
      </w:pPr>
      <w:r>
        <w:rPr>
          <w:rStyle w:val="FootnoteReference"/>
        </w:rPr>
        <w:footnoteRef/>
      </w:r>
      <w:r>
        <w:t xml:space="preserve"> </w:t>
      </w:r>
      <w:r w:rsidRPr="001E464D">
        <w:t xml:space="preserve">Bruyere O, </w:t>
      </w:r>
      <w:r w:rsidRPr="006D04EF">
        <w:rPr>
          <w:i/>
        </w:rPr>
        <w:t>et al</w:t>
      </w:r>
      <w:r w:rsidRPr="001E464D">
        <w:t xml:space="preserve">. (2007) Relationship between bone mineral density changes and fracture risk reduction in patients treated with strontium ranelate. </w:t>
      </w:r>
      <w:r w:rsidRPr="00223A78">
        <w:rPr>
          <w:i/>
        </w:rPr>
        <w:t>J. Clin. Endocrinol. Metab.</w:t>
      </w:r>
      <w:r>
        <w:t xml:space="preserve"> </w:t>
      </w:r>
      <w:r w:rsidRPr="001E464D">
        <w:t>92:</w:t>
      </w:r>
      <w:r>
        <w:t xml:space="preserve"> </w:t>
      </w:r>
      <w:r w:rsidRPr="001E464D">
        <w:t>3076-</w:t>
      </w:r>
      <w:r>
        <w:t>30</w:t>
      </w:r>
      <w:r w:rsidRPr="001E464D">
        <w:t>81</w:t>
      </w:r>
      <w:r>
        <w:t>.</w:t>
      </w:r>
    </w:p>
  </w:footnote>
  <w:footnote w:id="23">
    <w:p w:rsidR="00F16E27" w:rsidRDefault="00F16E27" w:rsidP="006D04EF">
      <w:pPr>
        <w:pStyle w:val="Reference"/>
      </w:pPr>
      <w:r>
        <w:rPr>
          <w:rStyle w:val="FootnoteReference"/>
        </w:rPr>
        <w:footnoteRef/>
      </w:r>
      <w:r>
        <w:t xml:space="preserve"> Bruye</w:t>
      </w:r>
      <w:r w:rsidRPr="001E464D">
        <w:t xml:space="preserve">re O </w:t>
      </w:r>
      <w:r w:rsidRPr="006D04EF">
        <w:rPr>
          <w:i/>
        </w:rPr>
        <w:t>et al</w:t>
      </w:r>
      <w:r w:rsidRPr="001E464D">
        <w:t xml:space="preserve">. (2007) Relationship between change in femoral neck bone mineral density and hip fracture incidence during treatment with strontium ranelate. </w:t>
      </w:r>
      <w:r w:rsidRPr="00223A78">
        <w:rPr>
          <w:i/>
        </w:rPr>
        <w:t>Curr. Med. Res. Opin.</w:t>
      </w:r>
      <w:r>
        <w:t xml:space="preserve"> </w:t>
      </w:r>
      <w:r w:rsidRPr="001E464D">
        <w:t>23:</w:t>
      </w:r>
      <w:r>
        <w:t xml:space="preserve"> </w:t>
      </w:r>
      <w:r w:rsidRPr="001E464D">
        <w:t>3041-</w:t>
      </w:r>
      <w:r>
        <w:t>304</w:t>
      </w:r>
      <w:r w:rsidRPr="001E464D">
        <w:t>5</w:t>
      </w:r>
      <w:r>
        <w:t>.</w:t>
      </w:r>
    </w:p>
  </w:footnote>
  <w:footnote w:id="24">
    <w:p w:rsidR="00F16E27" w:rsidRDefault="00F16E27" w:rsidP="006D04EF">
      <w:pPr>
        <w:pStyle w:val="Reference"/>
      </w:pPr>
      <w:r>
        <w:rPr>
          <w:rStyle w:val="FootnoteReference"/>
        </w:rPr>
        <w:footnoteRef/>
      </w:r>
      <w:r>
        <w:t xml:space="preserve"> PK</w:t>
      </w:r>
      <w:r w:rsidRPr="00336AF9">
        <w:t xml:space="preserve"> study to assess the influence of Maalox on strontium bioavailability after single administration of S12911 in heal</w:t>
      </w:r>
      <w:r>
        <w:t xml:space="preserve">thy postmenopausal volunteers: </w:t>
      </w:r>
      <w:r w:rsidRPr="00336AF9">
        <w:t>Protocol PKH-12911-010 (NP08405), Submitted in the initial registration dossier Submission ID 2004-394-5.</w:t>
      </w:r>
    </w:p>
  </w:footnote>
  <w:footnote w:id="25">
    <w:p w:rsidR="00F16E27" w:rsidRDefault="00F16E27" w:rsidP="006D04EF">
      <w:pPr>
        <w:pStyle w:val="Reference"/>
      </w:pPr>
      <w:r>
        <w:rPr>
          <w:rStyle w:val="FootnoteReference"/>
        </w:rPr>
        <w:footnoteRef/>
      </w:r>
      <w:r>
        <w:t xml:space="preserve"> PK and tolerability of strontium ranelate after single oral administration of 1g, 2g and 3g S12911 as sachet to healthy elderly men: protocol PKH-12911-012-FRA (NP15696 and NP29996).</w:t>
      </w:r>
    </w:p>
  </w:footnote>
  <w:footnote w:id="26">
    <w:p w:rsidR="00F16E27" w:rsidRDefault="00F16E27" w:rsidP="006D04EF">
      <w:pPr>
        <w:pStyle w:val="Reference"/>
      </w:pPr>
      <w:r>
        <w:rPr>
          <w:rStyle w:val="FootnoteReference"/>
        </w:rPr>
        <w:footnoteRef/>
      </w:r>
      <w:r>
        <w:t xml:space="preserve"> </w:t>
      </w:r>
      <w:r w:rsidRPr="00004902">
        <w:t xml:space="preserve">Population </w:t>
      </w:r>
      <w:r>
        <w:t>PK</w:t>
      </w:r>
      <w:r w:rsidRPr="00004902">
        <w:t xml:space="preserve"> analysis of strontium ranelate </w:t>
      </w:r>
      <w:r>
        <w:t xml:space="preserve">in osteoporotic male subjects: </w:t>
      </w:r>
      <w:r w:rsidRPr="00004902">
        <w:t>Protocol CL3-12911-033 (NP29822)</w:t>
      </w:r>
      <w:r>
        <w:t>.</w:t>
      </w:r>
    </w:p>
  </w:footnote>
  <w:footnote w:id="27">
    <w:p w:rsidR="00F16E27" w:rsidRPr="006D04EF" w:rsidRDefault="00F16E27" w:rsidP="006D04EF">
      <w:pPr>
        <w:pStyle w:val="Reference"/>
      </w:pPr>
      <w:r>
        <w:rPr>
          <w:rStyle w:val="FootnoteReference"/>
        </w:rPr>
        <w:footnoteRef/>
      </w:r>
      <w:r>
        <w:t xml:space="preserve"> </w:t>
      </w:r>
      <w:r w:rsidRPr="006D04EF">
        <w:t>Combined analysis of strontiemia: strontium pharmacokinetic analysis after repeated oral administration of 2g strontium ranelate in osteoporotic postmenopausal women. Population PK analysis: Protocol CL3-12911-009 (NP08514). Submitted in the initial registration dossier Submission ID 2004-394-5.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AB" w:rsidRDefault="00111C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294DCE">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F16E27" w:rsidRDefault="00294DCE" w:rsidP="00593AD1">
    <w:pPr>
      <w:pStyle w:val="HeaderNoLine"/>
    </w:pPr>
    <w:r>
      <w:rPr>
        <w:noProof/>
        <w:lang w:eastAsia="en-AU"/>
      </w:rPr>
      <w:drawing>
        <wp:inline distT="0" distB="0" distL="0" distR="0">
          <wp:extent cx="5396865" cy="7635240"/>
          <wp:effectExtent l="19050" t="0" r="0" b="0"/>
          <wp:docPr id="24" name="Picture 2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E27" w:rsidRDefault="00F16E27" w:rsidP="006E08B3">
    <w:r>
      <w:t>Therapeutic Goods Administration</w:t>
    </w:r>
  </w:p>
  <w:p w:rsidR="00F16E27" w:rsidRDefault="00F16E2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0F2A"/>
    <w:multiLevelType w:val="hybridMultilevel"/>
    <w:tmpl w:val="074C6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71498E"/>
    <w:multiLevelType w:val="hybridMultilevel"/>
    <w:tmpl w:val="4022D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8F7761C"/>
    <w:multiLevelType w:val="hybridMultilevel"/>
    <w:tmpl w:val="B6BAA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F33A57"/>
    <w:multiLevelType w:val="hybridMultilevel"/>
    <w:tmpl w:val="BDA02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4415E27"/>
    <w:multiLevelType w:val="hybridMultilevel"/>
    <w:tmpl w:val="B4AEE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4922E9"/>
    <w:multiLevelType w:val="hybridMultilevel"/>
    <w:tmpl w:val="20129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2F20C45"/>
    <w:multiLevelType w:val="hybridMultilevel"/>
    <w:tmpl w:val="EABA8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343300D"/>
    <w:multiLevelType w:val="hybridMultilevel"/>
    <w:tmpl w:val="0414D5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53008BA"/>
    <w:multiLevelType w:val="hybridMultilevel"/>
    <w:tmpl w:val="0EE6C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5673288"/>
    <w:multiLevelType w:val="hybridMultilevel"/>
    <w:tmpl w:val="6EB6A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88D1CC9"/>
    <w:multiLevelType w:val="hybridMultilevel"/>
    <w:tmpl w:val="08D4EE7E"/>
    <w:lvl w:ilvl="0" w:tplc="44389216">
      <w:start w:val="1"/>
      <w:numFmt w:val="lowerRoman"/>
      <w:lvlText w:val="(%1)."/>
      <w:lvlJc w:val="righ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nsid w:val="4B3443E1"/>
    <w:multiLevelType w:val="hybridMultilevel"/>
    <w:tmpl w:val="AE50E1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4F024962"/>
    <w:multiLevelType w:val="hybridMultilevel"/>
    <w:tmpl w:val="02468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0227C22"/>
    <w:multiLevelType w:val="hybridMultilevel"/>
    <w:tmpl w:val="F53EE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2E31E8A"/>
    <w:multiLevelType w:val="hybridMultilevel"/>
    <w:tmpl w:val="BA4A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004859"/>
    <w:multiLevelType w:val="hybridMultilevel"/>
    <w:tmpl w:val="44642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6966FC6"/>
    <w:multiLevelType w:val="hybridMultilevel"/>
    <w:tmpl w:val="85B28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221F03"/>
    <w:multiLevelType w:val="hybridMultilevel"/>
    <w:tmpl w:val="DD268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8A54D4"/>
    <w:multiLevelType w:val="hybridMultilevel"/>
    <w:tmpl w:val="ACA01A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62A18E6"/>
    <w:multiLevelType w:val="hybridMultilevel"/>
    <w:tmpl w:val="C39A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8DE60DB"/>
    <w:multiLevelType w:val="hybridMultilevel"/>
    <w:tmpl w:val="0F76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92501AE"/>
    <w:multiLevelType w:val="hybridMultilevel"/>
    <w:tmpl w:val="44AE4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D5472AB"/>
    <w:multiLevelType w:val="hybridMultilevel"/>
    <w:tmpl w:val="C58C0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F6F3976"/>
    <w:multiLevelType w:val="hybridMultilevel"/>
    <w:tmpl w:val="464E8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2D52A7C"/>
    <w:multiLevelType w:val="hybridMultilevel"/>
    <w:tmpl w:val="24342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871F08"/>
    <w:multiLevelType w:val="hybridMultilevel"/>
    <w:tmpl w:val="3E6AF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9C12627"/>
    <w:multiLevelType w:val="hybridMultilevel"/>
    <w:tmpl w:val="D388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D451964"/>
    <w:multiLevelType w:val="hybridMultilevel"/>
    <w:tmpl w:val="B0727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E6D794D"/>
    <w:multiLevelType w:val="hybridMultilevel"/>
    <w:tmpl w:val="9B907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1"/>
  </w:num>
  <w:num w:numId="6">
    <w:abstractNumId w:val="26"/>
  </w:num>
  <w:num w:numId="7">
    <w:abstractNumId w:val="29"/>
  </w:num>
  <w:num w:numId="8">
    <w:abstractNumId w:val="28"/>
  </w:num>
  <w:num w:numId="9">
    <w:abstractNumId w:val="18"/>
  </w:num>
  <w:num w:numId="10">
    <w:abstractNumId w:val="10"/>
  </w:num>
  <w:num w:numId="11">
    <w:abstractNumId w:val="21"/>
  </w:num>
  <w:num w:numId="12">
    <w:abstractNumId w:val="11"/>
  </w:num>
  <w:num w:numId="13">
    <w:abstractNumId w:val="14"/>
  </w:num>
  <w:num w:numId="14">
    <w:abstractNumId w:val="20"/>
  </w:num>
  <w:num w:numId="15">
    <w:abstractNumId w:val="8"/>
  </w:num>
  <w:num w:numId="16">
    <w:abstractNumId w:val="22"/>
  </w:num>
  <w:num w:numId="17">
    <w:abstractNumId w:val="9"/>
  </w:num>
  <w:num w:numId="18">
    <w:abstractNumId w:val="0"/>
  </w:num>
  <w:num w:numId="19">
    <w:abstractNumId w:val="12"/>
  </w:num>
  <w:num w:numId="20">
    <w:abstractNumId w:val="31"/>
  </w:num>
  <w:num w:numId="21">
    <w:abstractNumId w:val="19"/>
  </w:num>
  <w:num w:numId="22">
    <w:abstractNumId w:val="7"/>
  </w:num>
  <w:num w:numId="23">
    <w:abstractNumId w:val="6"/>
  </w:num>
  <w:num w:numId="24">
    <w:abstractNumId w:val="5"/>
  </w:num>
  <w:num w:numId="25">
    <w:abstractNumId w:val="4"/>
  </w:num>
  <w:num w:numId="26">
    <w:abstractNumId w:val="16"/>
  </w:num>
  <w:num w:numId="27">
    <w:abstractNumId w:val="15"/>
  </w:num>
  <w:num w:numId="28">
    <w:abstractNumId w:val="27"/>
  </w:num>
  <w:num w:numId="29">
    <w:abstractNumId w:val="23"/>
  </w:num>
  <w:num w:numId="30">
    <w:abstractNumId w:val="17"/>
  </w:num>
  <w:num w:numId="31">
    <w:abstractNumId w:val="24"/>
  </w:num>
  <w:num w:numId="32">
    <w:abstractNumId w:val="30"/>
  </w:num>
  <w:num w:numId="33">
    <w:abstractNumId w:val="25"/>
  </w:num>
  <w:num w:numId="34">
    <w:abstractNumId w:val="1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stylePaneFormatFilter w:val="1001"/>
  <w:stylePaneSortMethod w:val="0000"/>
  <w:defaultTabStop w:val="720"/>
  <w:defaultTableStyle w:val="TableTGAblack"/>
  <w:drawingGridHorizontalSpacing w:val="110"/>
  <w:displayHorizontalDrawingGridEvery w:val="2"/>
  <w:characterSpacingControl w:val="doNotCompress"/>
  <w:hdrShapeDefaults>
    <o:shapedefaults v:ext="edit" spidmax="49154">
      <o:colormenu v:ext="edit" fillcolor="none [3206]"/>
    </o:shapedefaults>
  </w:hdrShapeDefaults>
  <w:footnotePr>
    <w:footnote w:id="-1"/>
    <w:footnote w:id="0"/>
  </w:footnotePr>
  <w:endnotePr>
    <w:endnote w:id="-1"/>
    <w:endnote w:id="0"/>
  </w:endnotePr>
  <w:compat/>
  <w:rsids>
    <w:rsidRoot w:val="00C70D53"/>
    <w:rsid w:val="00002031"/>
    <w:rsid w:val="0000270E"/>
    <w:rsid w:val="00004734"/>
    <w:rsid w:val="00004902"/>
    <w:rsid w:val="00005BF3"/>
    <w:rsid w:val="00006514"/>
    <w:rsid w:val="00006B22"/>
    <w:rsid w:val="00006DAE"/>
    <w:rsid w:val="000107F0"/>
    <w:rsid w:val="00010A86"/>
    <w:rsid w:val="000111EF"/>
    <w:rsid w:val="0001276A"/>
    <w:rsid w:val="00023D7E"/>
    <w:rsid w:val="00023E26"/>
    <w:rsid w:val="000246AE"/>
    <w:rsid w:val="00025C67"/>
    <w:rsid w:val="00033C8E"/>
    <w:rsid w:val="00035CC7"/>
    <w:rsid w:val="00045A81"/>
    <w:rsid w:val="00047049"/>
    <w:rsid w:val="0005559E"/>
    <w:rsid w:val="0006182C"/>
    <w:rsid w:val="000678D2"/>
    <w:rsid w:val="000740E0"/>
    <w:rsid w:val="00074A6D"/>
    <w:rsid w:val="00076C27"/>
    <w:rsid w:val="00077775"/>
    <w:rsid w:val="00083577"/>
    <w:rsid w:val="00090471"/>
    <w:rsid w:val="00091BA8"/>
    <w:rsid w:val="000920D0"/>
    <w:rsid w:val="0009217C"/>
    <w:rsid w:val="000A7C28"/>
    <w:rsid w:val="000B1202"/>
    <w:rsid w:val="000B19A2"/>
    <w:rsid w:val="000B3532"/>
    <w:rsid w:val="000B3A75"/>
    <w:rsid w:val="000B5A2E"/>
    <w:rsid w:val="000C4E8C"/>
    <w:rsid w:val="000C690F"/>
    <w:rsid w:val="000C69BB"/>
    <w:rsid w:val="000D0DC9"/>
    <w:rsid w:val="000D0EF9"/>
    <w:rsid w:val="000D1295"/>
    <w:rsid w:val="000D391B"/>
    <w:rsid w:val="000D3D6D"/>
    <w:rsid w:val="000D440F"/>
    <w:rsid w:val="000D4FC7"/>
    <w:rsid w:val="000E14C7"/>
    <w:rsid w:val="000E46C0"/>
    <w:rsid w:val="000E6576"/>
    <w:rsid w:val="000E68F3"/>
    <w:rsid w:val="000F3676"/>
    <w:rsid w:val="000F39DA"/>
    <w:rsid w:val="000F4869"/>
    <w:rsid w:val="000F5B42"/>
    <w:rsid w:val="000F6E6F"/>
    <w:rsid w:val="00100E43"/>
    <w:rsid w:val="00102A50"/>
    <w:rsid w:val="0010601F"/>
    <w:rsid w:val="00107252"/>
    <w:rsid w:val="0010788A"/>
    <w:rsid w:val="00107A31"/>
    <w:rsid w:val="00110EA5"/>
    <w:rsid w:val="001115E7"/>
    <w:rsid w:val="00111CAB"/>
    <w:rsid w:val="00112622"/>
    <w:rsid w:val="0011275F"/>
    <w:rsid w:val="00112F56"/>
    <w:rsid w:val="00115B41"/>
    <w:rsid w:val="00116FD1"/>
    <w:rsid w:val="001202B4"/>
    <w:rsid w:val="00122B35"/>
    <w:rsid w:val="00125318"/>
    <w:rsid w:val="001305A2"/>
    <w:rsid w:val="00133238"/>
    <w:rsid w:val="00133BB5"/>
    <w:rsid w:val="00134868"/>
    <w:rsid w:val="00135DA6"/>
    <w:rsid w:val="00137157"/>
    <w:rsid w:val="001411D7"/>
    <w:rsid w:val="0014197B"/>
    <w:rsid w:val="00144647"/>
    <w:rsid w:val="001447CD"/>
    <w:rsid w:val="001510FD"/>
    <w:rsid w:val="0015151D"/>
    <w:rsid w:val="001516B1"/>
    <w:rsid w:val="001517E5"/>
    <w:rsid w:val="00154EBB"/>
    <w:rsid w:val="001556A5"/>
    <w:rsid w:val="00156305"/>
    <w:rsid w:val="00156316"/>
    <w:rsid w:val="00164FAE"/>
    <w:rsid w:val="00165389"/>
    <w:rsid w:val="00167E1B"/>
    <w:rsid w:val="0017693F"/>
    <w:rsid w:val="0018110E"/>
    <w:rsid w:val="00181144"/>
    <w:rsid w:val="00181684"/>
    <w:rsid w:val="00184034"/>
    <w:rsid w:val="001843C6"/>
    <w:rsid w:val="00184E7B"/>
    <w:rsid w:val="001850E0"/>
    <w:rsid w:val="001A2158"/>
    <w:rsid w:val="001A525F"/>
    <w:rsid w:val="001B09F9"/>
    <w:rsid w:val="001B6448"/>
    <w:rsid w:val="001C2E0E"/>
    <w:rsid w:val="001C4945"/>
    <w:rsid w:val="001D19B2"/>
    <w:rsid w:val="001D2366"/>
    <w:rsid w:val="001D4D55"/>
    <w:rsid w:val="001D5FE4"/>
    <w:rsid w:val="001E07CF"/>
    <w:rsid w:val="001E0817"/>
    <w:rsid w:val="001E37C2"/>
    <w:rsid w:val="001E464D"/>
    <w:rsid w:val="001E59F1"/>
    <w:rsid w:val="001F24D9"/>
    <w:rsid w:val="001F3659"/>
    <w:rsid w:val="001F49EB"/>
    <w:rsid w:val="001F6CBA"/>
    <w:rsid w:val="00201D4E"/>
    <w:rsid w:val="002022A3"/>
    <w:rsid w:val="0020365C"/>
    <w:rsid w:val="0020464C"/>
    <w:rsid w:val="00204BF7"/>
    <w:rsid w:val="00205899"/>
    <w:rsid w:val="00211729"/>
    <w:rsid w:val="002172E7"/>
    <w:rsid w:val="002204F4"/>
    <w:rsid w:val="00220B8A"/>
    <w:rsid w:val="00223A78"/>
    <w:rsid w:val="002257F3"/>
    <w:rsid w:val="0022589F"/>
    <w:rsid w:val="00230C45"/>
    <w:rsid w:val="00232B7A"/>
    <w:rsid w:val="00233456"/>
    <w:rsid w:val="002339A5"/>
    <w:rsid w:val="00234379"/>
    <w:rsid w:val="00245888"/>
    <w:rsid w:val="00245F36"/>
    <w:rsid w:val="002502CB"/>
    <w:rsid w:val="002506AC"/>
    <w:rsid w:val="0025089F"/>
    <w:rsid w:val="00252CA0"/>
    <w:rsid w:val="002552DE"/>
    <w:rsid w:val="00257848"/>
    <w:rsid w:val="00261AB8"/>
    <w:rsid w:val="00266729"/>
    <w:rsid w:val="00266A71"/>
    <w:rsid w:val="0026758B"/>
    <w:rsid w:val="0027084A"/>
    <w:rsid w:val="00271FC5"/>
    <w:rsid w:val="00272C9E"/>
    <w:rsid w:val="00273326"/>
    <w:rsid w:val="002743F7"/>
    <w:rsid w:val="00274414"/>
    <w:rsid w:val="002760AF"/>
    <w:rsid w:val="002774BE"/>
    <w:rsid w:val="00280193"/>
    <w:rsid w:val="002809DB"/>
    <w:rsid w:val="00286434"/>
    <w:rsid w:val="00286C59"/>
    <w:rsid w:val="00292003"/>
    <w:rsid w:val="00293BFC"/>
    <w:rsid w:val="002942D1"/>
    <w:rsid w:val="00294ADE"/>
    <w:rsid w:val="00294DCE"/>
    <w:rsid w:val="0029501A"/>
    <w:rsid w:val="002A2F4D"/>
    <w:rsid w:val="002B1638"/>
    <w:rsid w:val="002B6501"/>
    <w:rsid w:val="002B6E89"/>
    <w:rsid w:val="002B72F0"/>
    <w:rsid w:val="002C0294"/>
    <w:rsid w:val="002E37CC"/>
    <w:rsid w:val="002E4C9A"/>
    <w:rsid w:val="002E5390"/>
    <w:rsid w:val="002F11F8"/>
    <w:rsid w:val="002F3F56"/>
    <w:rsid w:val="002F44B5"/>
    <w:rsid w:val="002F7281"/>
    <w:rsid w:val="00300F28"/>
    <w:rsid w:val="00304760"/>
    <w:rsid w:val="00311AC0"/>
    <w:rsid w:val="00314822"/>
    <w:rsid w:val="00316610"/>
    <w:rsid w:val="003173D7"/>
    <w:rsid w:val="003174FB"/>
    <w:rsid w:val="003175B7"/>
    <w:rsid w:val="00317B68"/>
    <w:rsid w:val="0032583B"/>
    <w:rsid w:val="00326FF9"/>
    <w:rsid w:val="00327883"/>
    <w:rsid w:val="0033189A"/>
    <w:rsid w:val="00335504"/>
    <w:rsid w:val="00336AF9"/>
    <w:rsid w:val="00343416"/>
    <w:rsid w:val="003462AE"/>
    <w:rsid w:val="003521E8"/>
    <w:rsid w:val="00366B23"/>
    <w:rsid w:val="00367C4C"/>
    <w:rsid w:val="0037038F"/>
    <w:rsid w:val="00370C48"/>
    <w:rsid w:val="003728F3"/>
    <w:rsid w:val="00372B4A"/>
    <w:rsid w:val="00372B56"/>
    <w:rsid w:val="0037496E"/>
    <w:rsid w:val="0037799C"/>
    <w:rsid w:val="00386150"/>
    <w:rsid w:val="003862C9"/>
    <w:rsid w:val="003874CE"/>
    <w:rsid w:val="00390900"/>
    <w:rsid w:val="00392B77"/>
    <w:rsid w:val="00394707"/>
    <w:rsid w:val="0039505F"/>
    <w:rsid w:val="003A7F6C"/>
    <w:rsid w:val="003B1660"/>
    <w:rsid w:val="003B31F5"/>
    <w:rsid w:val="003B3823"/>
    <w:rsid w:val="003B3A24"/>
    <w:rsid w:val="003B4D60"/>
    <w:rsid w:val="003B7765"/>
    <w:rsid w:val="003B7E39"/>
    <w:rsid w:val="003C0223"/>
    <w:rsid w:val="003C1BA2"/>
    <w:rsid w:val="003C2530"/>
    <w:rsid w:val="003C3924"/>
    <w:rsid w:val="003C58DC"/>
    <w:rsid w:val="003C6477"/>
    <w:rsid w:val="003D0E74"/>
    <w:rsid w:val="003D1AE5"/>
    <w:rsid w:val="003D1E62"/>
    <w:rsid w:val="003E2486"/>
    <w:rsid w:val="003E3208"/>
    <w:rsid w:val="003F0B04"/>
    <w:rsid w:val="003F2999"/>
    <w:rsid w:val="0040134E"/>
    <w:rsid w:val="00405A59"/>
    <w:rsid w:val="004077F6"/>
    <w:rsid w:val="00413AF1"/>
    <w:rsid w:val="00423CD6"/>
    <w:rsid w:val="00432703"/>
    <w:rsid w:val="00434A87"/>
    <w:rsid w:val="00440A2D"/>
    <w:rsid w:val="00443FE9"/>
    <w:rsid w:val="004462A4"/>
    <w:rsid w:val="004564A7"/>
    <w:rsid w:val="004617BF"/>
    <w:rsid w:val="00461C99"/>
    <w:rsid w:val="0046349B"/>
    <w:rsid w:val="00463658"/>
    <w:rsid w:val="00466927"/>
    <w:rsid w:val="004722CC"/>
    <w:rsid w:val="0047365D"/>
    <w:rsid w:val="004805E2"/>
    <w:rsid w:val="004836E2"/>
    <w:rsid w:val="00486218"/>
    <w:rsid w:val="004869BD"/>
    <w:rsid w:val="00487F0E"/>
    <w:rsid w:val="004936E4"/>
    <w:rsid w:val="00494E60"/>
    <w:rsid w:val="00495BC2"/>
    <w:rsid w:val="00497487"/>
    <w:rsid w:val="004A080F"/>
    <w:rsid w:val="004A2A6D"/>
    <w:rsid w:val="004B7B76"/>
    <w:rsid w:val="004C085A"/>
    <w:rsid w:val="004C27C8"/>
    <w:rsid w:val="004C2DCA"/>
    <w:rsid w:val="004C7C6E"/>
    <w:rsid w:val="004C7F17"/>
    <w:rsid w:val="004D08F8"/>
    <w:rsid w:val="004D0ECA"/>
    <w:rsid w:val="004D133A"/>
    <w:rsid w:val="004D1E58"/>
    <w:rsid w:val="004D2B3C"/>
    <w:rsid w:val="004D37EC"/>
    <w:rsid w:val="004D711D"/>
    <w:rsid w:val="004D7F8A"/>
    <w:rsid w:val="004E2B8D"/>
    <w:rsid w:val="004E2E65"/>
    <w:rsid w:val="004E75BE"/>
    <w:rsid w:val="004F0F38"/>
    <w:rsid w:val="004F6365"/>
    <w:rsid w:val="004F7605"/>
    <w:rsid w:val="00501921"/>
    <w:rsid w:val="005034FC"/>
    <w:rsid w:val="005046BA"/>
    <w:rsid w:val="00505CE7"/>
    <w:rsid w:val="00507B3D"/>
    <w:rsid w:val="005138D5"/>
    <w:rsid w:val="005229A8"/>
    <w:rsid w:val="005257D8"/>
    <w:rsid w:val="00530354"/>
    <w:rsid w:val="0053625B"/>
    <w:rsid w:val="005400DB"/>
    <w:rsid w:val="00542D89"/>
    <w:rsid w:val="005434C6"/>
    <w:rsid w:val="00543B39"/>
    <w:rsid w:val="005445E2"/>
    <w:rsid w:val="00545A49"/>
    <w:rsid w:val="00546B3D"/>
    <w:rsid w:val="005471E1"/>
    <w:rsid w:val="00550096"/>
    <w:rsid w:val="0055230E"/>
    <w:rsid w:val="005524AF"/>
    <w:rsid w:val="00556AD9"/>
    <w:rsid w:val="00557FF9"/>
    <w:rsid w:val="00562FD9"/>
    <w:rsid w:val="00576378"/>
    <w:rsid w:val="00577945"/>
    <w:rsid w:val="00577E38"/>
    <w:rsid w:val="00584939"/>
    <w:rsid w:val="00585322"/>
    <w:rsid w:val="005857C6"/>
    <w:rsid w:val="00591EDC"/>
    <w:rsid w:val="00592F6E"/>
    <w:rsid w:val="00593AD1"/>
    <w:rsid w:val="005963DF"/>
    <w:rsid w:val="00596DCD"/>
    <w:rsid w:val="005A68B6"/>
    <w:rsid w:val="005A7C67"/>
    <w:rsid w:val="005B137D"/>
    <w:rsid w:val="005B196D"/>
    <w:rsid w:val="005B4A59"/>
    <w:rsid w:val="005B4DB8"/>
    <w:rsid w:val="005B662A"/>
    <w:rsid w:val="005C032D"/>
    <w:rsid w:val="005C5570"/>
    <w:rsid w:val="005C77A4"/>
    <w:rsid w:val="005C79A4"/>
    <w:rsid w:val="005D022F"/>
    <w:rsid w:val="005D4C2C"/>
    <w:rsid w:val="005D5442"/>
    <w:rsid w:val="005D79B0"/>
    <w:rsid w:val="005E1B99"/>
    <w:rsid w:val="005E371B"/>
    <w:rsid w:val="005F60C2"/>
    <w:rsid w:val="005F6125"/>
    <w:rsid w:val="00600BFB"/>
    <w:rsid w:val="006024BD"/>
    <w:rsid w:val="00603F32"/>
    <w:rsid w:val="00613C0C"/>
    <w:rsid w:val="00615449"/>
    <w:rsid w:val="00617549"/>
    <w:rsid w:val="00617A11"/>
    <w:rsid w:val="00620387"/>
    <w:rsid w:val="00626B61"/>
    <w:rsid w:val="00632398"/>
    <w:rsid w:val="00637955"/>
    <w:rsid w:val="00640FC3"/>
    <w:rsid w:val="00642020"/>
    <w:rsid w:val="00642AF8"/>
    <w:rsid w:val="006464C0"/>
    <w:rsid w:val="00646DFE"/>
    <w:rsid w:val="00647DCA"/>
    <w:rsid w:val="0065337B"/>
    <w:rsid w:val="0065419D"/>
    <w:rsid w:val="006604D8"/>
    <w:rsid w:val="00663A72"/>
    <w:rsid w:val="00664A5B"/>
    <w:rsid w:val="00666217"/>
    <w:rsid w:val="00675DF3"/>
    <w:rsid w:val="006763D2"/>
    <w:rsid w:val="00676E93"/>
    <w:rsid w:val="00680C08"/>
    <w:rsid w:val="00682BC0"/>
    <w:rsid w:val="00684FCD"/>
    <w:rsid w:val="00686A98"/>
    <w:rsid w:val="006931B1"/>
    <w:rsid w:val="006A06C4"/>
    <w:rsid w:val="006A15AE"/>
    <w:rsid w:val="006A15C0"/>
    <w:rsid w:val="006A6767"/>
    <w:rsid w:val="006B34ED"/>
    <w:rsid w:val="006C2409"/>
    <w:rsid w:val="006C3C8C"/>
    <w:rsid w:val="006C3E2A"/>
    <w:rsid w:val="006C642F"/>
    <w:rsid w:val="006C67B1"/>
    <w:rsid w:val="006D03E5"/>
    <w:rsid w:val="006D04EF"/>
    <w:rsid w:val="006D3BDC"/>
    <w:rsid w:val="006D5D3E"/>
    <w:rsid w:val="006E0319"/>
    <w:rsid w:val="006E08B3"/>
    <w:rsid w:val="006E555E"/>
    <w:rsid w:val="006E74F0"/>
    <w:rsid w:val="006F17AC"/>
    <w:rsid w:val="006F572E"/>
    <w:rsid w:val="006F64D2"/>
    <w:rsid w:val="0070369D"/>
    <w:rsid w:val="007041AE"/>
    <w:rsid w:val="007046D6"/>
    <w:rsid w:val="00704A00"/>
    <w:rsid w:val="00705DB0"/>
    <w:rsid w:val="00710AF0"/>
    <w:rsid w:val="00720051"/>
    <w:rsid w:val="00722B57"/>
    <w:rsid w:val="00723C84"/>
    <w:rsid w:val="00723F9A"/>
    <w:rsid w:val="00727048"/>
    <w:rsid w:val="00732AF6"/>
    <w:rsid w:val="0073484B"/>
    <w:rsid w:val="00740022"/>
    <w:rsid w:val="00740C65"/>
    <w:rsid w:val="0074253D"/>
    <w:rsid w:val="00742E7E"/>
    <w:rsid w:val="0074429B"/>
    <w:rsid w:val="007615BC"/>
    <w:rsid w:val="0076263F"/>
    <w:rsid w:val="00762F05"/>
    <w:rsid w:val="0076396F"/>
    <w:rsid w:val="00763A70"/>
    <w:rsid w:val="007652FF"/>
    <w:rsid w:val="007670E2"/>
    <w:rsid w:val="00770005"/>
    <w:rsid w:val="00770EF1"/>
    <w:rsid w:val="00773EF7"/>
    <w:rsid w:val="0077492E"/>
    <w:rsid w:val="00774E1D"/>
    <w:rsid w:val="0077675A"/>
    <w:rsid w:val="00780355"/>
    <w:rsid w:val="0078051D"/>
    <w:rsid w:val="0078125F"/>
    <w:rsid w:val="00783CE0"/>
    <w:rsid w:val="00785721"/>
    <w:rsid w:val="0079027A"/>
    <w:rsid w:val="00793A59"/>
    <w:rsid w:val="007A30D2"/>
    <w:rsid w:val="007A3C10"/>
    <w:rsid w:val="007A77BD"/>
    <w:rsid w:val="007B02CF"/>
    <w:rsid w:val="007B6E9F"/>
    <w:rsid w:val="007C1216"/>
    <w:rsid w:val="007C1AF7"/>
    <w:rsid w:val="007C2D4C"/>
    <w:rsid w:val="007C46CD"/>
    <w:rsid w:val="007C558A"/>
    <w:rsid w:val="007C5E46"/>
    <w:rsid w:val="007D1470"/>
    <w:rsid w:val="007D5B7E"/>
    <w:rsid w:val="007D6CF5"/>
    <w:rsid w:val="007D7457"/>
    <w:rsid w:val="007E4E99"/>
    <w:rsid w:val="007E5985"/>
    <w:rsid w:val="007E7F1C"/>
    <w:rsid w:val="007F48BE"/>
    <w:rsid w:val="007F50FC"/>
    <w:rsid w:val="007F560F"/>
    <w:rsid w:val="00802841"/>
    <w:rsid w:val="00802B55"/>
    <w:rsid w:val="00804AC6"/>
    <w:rsid w:val="00805D27"/>
    <w:rsid w:val="008107D4"/>
    <w:rsid w:val="00821776"/>
    <w:rsid w:val="008321F5"/>
    <w:rsid w:val="00832369"/>
    <w:rsid w:val="0083440D"/>
    <w:rsid w:val="00834660"/>
    <w:rsid w:val="008356E0"/>
    <w:rsid w:val="0083588D"/>
    <w:rsid w:val="00836BC2"/>
    <w:rsid w:val="008413C8"/>
    <w:rsid w:val="0085040A"/>
    <w:rsid w:val="00851D2D"/>
    <w:rsid w:val="008531A0"/>
    <w:rsid w:val="00854718"/>
    <w:rsid w:val="0085641B"/>
    <w:rsid w:val="00857136"/>
    <w:rsid w:val="00857EF6"/>
    <w:rsid w:val="00867A0C"/>
    <w:rsid w:val="00867E9B"/>
    <w:rsid w:val="00872104"/>
    <w:rsid w:val="008753A4"/>
    <w:rsid w:val="00875F18"/>
    <w:rsid w:val="00880246"/>
    <w:rsid w:val="00884F55"/>
    <w:rsid w:val="00886D15"/>
    <w:rsid w:val="00887DD8"/>
    <w:rsid w:val="00891A74"/>
    <w:rsid w:val="00892714"/>
    <w:rsid w:val="0089494B"/>
    <w:rsid w:val="00896018"/>
    <w:rsid w:val="008960DD"/>
    <w:rsid w:val="0089635C"/>
    <w:rsid w:val="008A2B9D"/>
    <w:rsid w:val="008A5E0B"/>
    <w:rsid w:val="008A6D59"/>
    <w:rsid w:val="008B4B03"/>
    <w:rsid w:val="008B596F"/>
    <w:rsid w:val="008B6467"/>
    <w:rsid w:val="008C159F"/>
    <w:rsid w:val="008C1623"/>
    <w:rsid w:val="008C272B"/>
    <w:rsid w:val="008C35B6"/>
    <w:rsid w:val="008C3DBF"/>
    <w:rsid w:val="008C51A9"/>
    <w:rsid w:val="008D22C1"/>
    <w:rsid w:val="008D33CA"/>
    <w:rsid w:val="008D7B7F"/>
    <w:rsid w:val="008E2B39"/>
    <w:rsid w:val="008E382E"/>
    <w:rsid w:val="008E3F9E"/>
    <w:rsid w:val="008E64DC"/>
    <w:rsid w:val="008E7846"/>
    <w:rsid w:val="008F1CCC"/>
    <w:rsid w:val="008F2967"/>
    <w:rsid w:val="008F3E28"/>
    <w:rsid w:val="008F626D"/>
    <w:rsid w:val="008F6943"/>
    <w:rsid w:val="008F72F6"/>
    <w:rsid w:val="00902A21"/>
    <w:rsid w:val="0090344D"/>
    <w:rsid w:val="00904B3F"/>
    <w:rsid w:val="00906886"/>
    <w:rsid w:val="00912548"/>
    <w:rsid w:val="0091311A"/>
    <w:rsid w:val="00920330"/>
    <w:rsid w:val="009219D7"/>
    <w:rsid w:val="00922D53"/>
    <w:rsid w:val="00923B70"/>
    <w:rsid w:val="00924482"/>
    <w:rsid w:val="0092759D"/>
    <w:rsid w:val="00930237"/>
    <w:rsid w:val="00946EA5"/>
    <w:rsid w:val="00952268"/>
    <w:rsid w:val="00963C08"/>
    <w:rsid w:val="009653D8"/>
    <w:rsid w:val="0097168B"/>
    <w:rsid w:val="00973C1B"/>
    <w:rsid w:val="009777BA"/>
    <w:rsid w:val="009834B4"/>
    <w:rsid w:val="0098585A"/>
    <w:rsid w:val="0098591D"/>
    <w:rsid w:val="009A4CED"/>
    <w:rsid w:val="009A690D"/>
    <w:rsid w:val="009A79F5"/>
    <w:rsid w:val="009A7E8A"/>
    <w:rsid w:val="009B1D12"/>
    <w:rsid w:val="009B416B"/>
    <w:rsid w:val="009C1098"/>
    <w:rsid w:val="009C4BD5"/>
    <w:rsid w:val="009D7B77"/>
    <w:rsid w:val="009E0BB0"/>
    <w:rsid w:val="009E1EDB"/>
    <w:rsid w:val="009E3FBB"/>
    <w:rsid w:val="00A07330"/>
    <w:rsid w:val="00A102E4"/>
    <w:rsid w:val="00A12C42"/>
    <w:rsid w:val="00A14DF7"/>
    <w:rsid w:val="00A20B85"/>
    <w:rsid w:val="00A26031"/>
    <w:rsid w:val="00A273DA"/>
    <w:rsid w:val="00A3246D"/>
    <w:rsid w:val="00A36FA7"/>
    <w:rsid w:val="00A475B7"/>
    <w:rsid w:val="00A47AF7"/>
    <w:rsid w:val="00A47C3E"/>
    <w:rsid w:val="00A50226"/>
    <w:rsid w:val="00A526B4"/>
    <w:rsid w:val="00A542A2"/>
    <w:rsid w:val="00A57092"/>
    <w:rsid w:val="00A60BAD"/>
    <w:rsid w:val="00A644F4"/>
    <w:rsid w:val="00A701D8"/>
    <w:rsid w:val="00A75F4E"/>
    <w:rsid w:val="00A7767E"/>
    <w:rsid w:val="00A818C0"/>
    <w:rsid w:val="00A8330B"/>
    <w:rsid w:val="00A863FC"/>
    <w:rsid w:val="00A90B98"/>
    <w:rsid w:val="00A91F65"/>
    <w:rsid w:val="00A93F10"/>
    <w:rsid w:val="00A954EF"/>
    <w:rsid w:val="00A964D1"/>
    <w:rsid w:val="00AA0ED0"/>
    <w:rsid w:val="00AA49D9"/>
    <w:rsid w:val="00AB1397"/>
    <w:rsid w:val="00AB2F79"/>
    <w:rsid w:val="00AB3087"/>
    <w:rsid w:val="00AB6DBE"/>
    <w:rsid w:val="00AC2B40"/>
    <w:rsid w:val="00AC2BB2"/>
    <w:rsid w:val="00AC2C3C"/>
    <w:rsid w:val="00AC512D"/>
    <w:rsid w:val="00AC7E18"/>
    <w:rsid w:val="00AE0EBF"/>
    <w:rsid w:val="00AE1050"/>
    <w:rsid w:val="00AE5BF9"/>
    <w:rsid w:val="00AE65EB"/>
    <w:rsid w:val="00AE67A7"/>
    <w:rsid w:val="00AF1D94"/>
    <w:rsid w:val="00AF3B4B"/>
    <w:rsid w:val="00AF60C5"/>
    <w:rsid w:val="00AF6E6D"/>
    <w:rsid w:val="00B009C6"/>
    <w:rsid w:val="00B01548"/>
    <w:rsid w:val="00B02A42"/>
    <w:rsid w:val="00B02FB3"/>
    <w:rsid w:val="00B03D48"/>
    <w:rsid w:val="00B15C10"/>
    <w:rsid w:val="00B21D29"/>
    <w:rsid w:val="00B25034"/>
    <w:rsid w:val="00B26398"/>
    <w:rsid w:val="00B27D35"/>
    <w:rsid w:val="00B332B5"/>
    <w:rsid w:val="00B33588"/>
    <w:rsid w:val="00B33863"/>
    <w:rsid w:val="00B37437"/>
    <w:rsid w:val="00B37D17"/>
    <w:rsid w:val="00B4175E"/>
    <w:rsid w:val="00B4220B"/>
    <w:rsid w:val="00B452CE"/>
    <w:rsid w:val="00B51CDD"/>
    <w:rsid w:val="00B52B16"/>
    <w:rsid w:val="00B54C25"/>
    <w:rsid w:val="00B61FF2"/>
    <w:rsid w:val="00B623C3"/>
    <w:rsid w:val="00B640E7"/>
    <w:rsid w:val="00B650CC"/>
    <w:rsid w:val="00B66209"/>
    <w:rsid w:val="00B71470"/>
    <w:rsid w:val="00B76361"/>
    <w:rsid w:val="00B76B91"/>
    <w:rsid w:val="00B77EB1"/>
    <w:rsid w:val="00B80660"/>
    <w:rsid w:val="00B811C6"/>
    <w:rsid w:val="00B820D3"/>
    <w:rsid w:val="00B83CF3"/>
    <w:rsid w:val="00B90B32"/>
    <w:rsid w:val="00B92E08"/>
    <w:rsid w:val="00BA5302"/>
    <w:rsid w:val="00BA7BC3"/>
    <w:rsid w:val="00BB23CC"/>
    <w:rsid w:val="00BC21F5"/>
    <w:rsid w:val="00BC2BB2"/>
    <w:rsid w:val="00BC4120"/>
    <w:rsid w:val="00BC52AE"/>
    <w:rsid w:val="00BC530C"/>
    <w:rsid w:val="00BC622A"/>
    <w:rsid w:val="00BD187F"/>
    <w:rsid w:val="00BD299F"/>
    <w:rsid w:val="00BE01D4"/>
    <w:rsid w:val="00BE0A78"/>
    <w:rsid w:val="00BE2A8E"/>
    <w:rsid w:val="00BE4A0A"/>
    <w:rsid w:val="00BE5954"/>
    <w:rsid w:val="00BE5F6F"/>
    <w:rsid w:val="00BE60BA"/>
    <w:rsid w:val="00BE6154"/>
    <w:rsid w:val="00BE615C"/>
    <w:rsid w:val="00BE79F0"/>
    <w:rsid w:val="00BE7F4D"/>
    <w:rsid w:val="00BF046D"/>
    <w:rsid w:val="00BF0951"/>
    <w:rsid w:val="00BF096F"/>
    <w:rsid w:val="00BF0CD7"/>
    <w:rsid w:val="00BF5D04"/>
    <w:rsid w:val="00C0170E"/>
    <w:rsid w:val="00C064D6"/>
    <w:rsid w:val="00C1164D"/>
    <w:rsid w:val="00C139E1"/>
    <w:rsid w:val="00C13D50"/>
    <w:rsid w:val="00C163B9"/>
    <w:rsid w:val="00C16861"/>
    <w:rsid w:val="00C21FB9"/>
    <w:rsid w:val="00C404A6"/>
    <w:rsid w:val="00C40A36"/>
    <w:rsid w:val="00C41A38"/>
    <w:rsid w:val="00C44419"/>
    <w:rsid w:val="00C45E7B"/>
    <w:rsid w:val="00C471B1"/>
    <w:rsid w:val="00C47433"/>
    <w:rsid w:val="00C50E71"/>
    <w:rsid w:val="00C514A7"/>
    <w:rsid w:val="00C54466"/>
    <w:rsid w:val="00C5644F"/>
    <w:rsid w:val="00C576AE"/>
    <w:rsid w:val="00C6099F"/>
    <w:rsid w:val="00C6316B"/>
    <w:rsid w:val="00C634A9"/>
    <w:rsid w:val="00C64586"/>
    <w:rsid w:val="00C67EF7"/>
    <w:rsid w:val="00C70D53"/>
    <w:rsid w:val="00C73D0B"/>
    <w:rsid w:val="00C772FF"/>
    <w:rsid w:val="00C801AF"/>
    <w:rsid w:val="00C80256"/>
    <w:rsid w:val="00C859B2"/>
    <w:rsid w:val="00CA1708"/>
    <w:rsid w:val="00CA1F47"/>
    <w:rsid w:val="00CB6BC0"/>
    <w:rsid w:val="00CC0AD4"/>
    <w:rsid w:val="00CC1B7C"/>
    <w:rsid w:val="00CC1DB9"/>
    <w:rsid w:val="00CC727F"/>
    <w:rsid w:val="00CD4C54"/>
    <w:rsid w:val="00CD4E54"/>
    <w:rsid w:val="00CD5211"/>
    <w:rsid w:val="00CD5823"/>
    <w:rsid w:val="00CE44CB"/>
    <w:rsid w:val="00CE4F6A"/>
    <w:rsid w:val="00CE7329"/>
    <w:rsid w:val="00CF11EA"/>
    <w:rsid w:val="00CF15C3"/>
    <w:rsid w:val="00CF214B"/>
    <w:rsid w:val="00CF2B6F"/>
    <w:rsid w:val="00CF39A2"/>
    <w:rsid w:val="00CF3D8B"/>
    <w:rsid w:val="00CF410F"/>
    <w:rsid w:val="00CF4AFD"/>
    <w:rsid w:val="00CF541A"/>
    <w:rsid w:val="00CF58B6"/>
    <w:rsid w:val="00D017ED"/>
    <w:rsid w:val="00D040D3"/>
    <w:rsid w:val="00D0435C"/>
    <w:rsid w:val="00D04C65"/>
    <w:rsid w:val="00D12DD1"/>
    <w:rsid w:val="00D1377F"/>
    <w:rsid w:val="00D21749"/>
    <w:rsid w:val="00D224FE"/>
    <w:rsid w:val="00D23EF9"/>
    <w:rsid w:val="00D24D89"/>
    <w:rsid w:val="00D44C7A"/>
    <w:rsid w:val="00D45408"/>
    <w:rsid w:val="00D4670C"/>
    <w:rsid w:val="00D61825"/>
    <w:rsid w:val="00D6493E"/>
    <w:rsid w:val="00D653C2"/>
    <w:rsid w:val="00D712C3"/>
    <w:rsid w:val="00D7301E"/>
    <w:rsid w:val="00D774B9"/>
    <w:rsid w:val="00D77558"/>
    <w:rsid w:val="00D83AE1"/>
    <w:rsid w:val="00D855D4"/>
    <w:rsid w:val="00D86B85"/>
    <w:rsid w:val="00D93466"/>
    <w:rsid w:val="00D95C47"/>
    <w:rsid w:val="00DA1124"/>
    <w:rsid w:val="00DA5016"/>
    <w:rsid w:val="00DA6266"/>
    <w:rsid w:val="00DB71DD"/>
    <w:rsid w:val="00DB75B7"/>
    <w:rsid w:val="00DC2780"/>
    <w:rsid w:val="00DC3F47"/>
    <w:rsid w:val="00DC4B73"/>
    <w:rsid w:val="00DC6976"/>
    <w:rsid w:val="00DC6E02"/>
    <w:rsid w:val="00DC723A"/>
    <w:rsid w:val="00DD2163"/>
    <w:rsid w:val="00DE02AE"/>
    <w:rsid w:val="00DE0E2A"/>
    <w:rsid w:val="00DE7A12"/>
    <w:rsid w:val="00DF06F5"/>
    <w:rsid w:val="00DF1678"/>
    <w:rsid w:val="00DF1D7F"/>
    <w:rsid w:val="00DF3901"/>
    <w:rsid w:val="00DF4BE4"/>
    <w:rsid w:val="00E02FB4"/>
    <w:rsid w:val="00E046AF"/>
    <w:rsid w:val="00E13027"/>
    <w:rsid w:val="00E147CA"/>
    <w:rsid w:val="00E17209"/>
    <w:rsid w:val="00E20571"/>
    <w:rsid w:val="00E22047"/>
    <w:rsid w:val="00E235F7"/>
    <w:rsid w:val="00E23659"/>
    <w:rsid w:val="00E239D4"/>
    <w:rsid w:val="00E2578B"/>
    <w:rsid w:val="00E26130"/>
    <w:rsid w:val="00E34575"/>
    <w:rsid w:val="00E37948"/>
    <w:rsid w:val="00E40B22"/>
    <w:rsid w:val="00E45619"/>
    <w:rsid w:val="00E4588F"/>
    <w:rsid w:val="00E46DA3"/>
    <w:rsid w:val="00E4730E"/>
    <w:rsid w:val="00E50FB9"/>
    <w:rsid w:val="00E51BB1"/>
    <w:rsid w:val="00E521F6"/>
    <w:rsid w:val="00E551A1"/>
    <w:rsid w:val="00E61BCE"/>
    <w:rsid w:val="00E624A5"/>
    <w:rsid w:val="00E72A3E"/>
    <w:rsid w:val="00E7344E"/>
    <w:rsid w:val="00E76DD6"/>
    <w:rsid w:val="00E83D14"/>
    <w:rsid w:val="00E93342"/>
    <w:rsid w:val="00E93F6D"/>
    <w:rsid w:val="00E950F2"/>
    <w:rsid w:val="00EA20F0"/>
    <w:rsid w:val="00EB075B"/>
    <w:rsid w:val="00EB0798"/>
    <w:rsid w:val="00EB40AD"/>
    <w:rsid w:val="00EB4788"/>
    <w:rsid w:val="00EB4A3F"/>
    <w:rsid w:val="00EB586E"/>
    <w:rsid w:val="00EB5FC8"/>
    <w:rsid w:val="00ED25BB"/>
    <w:rsid w:val="00ED3CAD"/>
    <w:rsid w:val="00ED475E"/>
    <w:rsid w:val="00ED5A41"/>
    <w:rsid w:val="00EE1DE8"/>
    <w:rsid w:val="00EE23A3"/>
    <w:rsid w:val="00EE2A73"/>
    <w:rsid w:val="00EE7D6F"/>
    <w:rsid w:val="00EF7C5D"/>
    <w:rsid w:val="00F033EC"/>
    <w:rsid w:val="00F038B6"/>
    <w:rsid w:val="00F04F68"/>
    <w:rsid w:val="00F06FEC"/>
    <w:rsid w:val="00F12670"/>
    <w:rsid w:val="00F13CFD"/>
    <w:rsid w:val="00F14B27"/>
    <w:rsid w:val="00F16E27"/>
    <w:rsid w:val="00F170A8"/>
    <w:rsid w:val="00F17B6A"/>
    <w:rsid w:val="00F20C5F"/>
    <w:rsid w:val="00F3148D"/>
    <w:rsid w:val="00F325C5"/>
    <w:rsid w:val="00F32FE0"/>
    <w:rsid w:val="00F35298"/>
    <w:rsid w:val="00F374E2"/>
    <w:rsid w:val="00F4464B"/>
    <w:rsid w:val="00F47333"/>
    <w:rsid w:val="00F47E37"/>
    <w:rsid w:val="00F51FE8"/>
    <w:rsid w:val="00F524BC"/>
    <w:rsid w:val="00F529BF"/>
    <w:rsid w:val="00F53C07"/>
    <w:rsid w:val="00F54B65"/>
    <w:rsid w:val="00F60A2E"/>
    <w:rsid w:val="00F61EF7"/>
    <w:rsid w:val="00F640B6"/>
    <w:rsid w:val="00F70BC3"/>
    <w:rsid w:val="00F74CD8"/>
    <w:rsid w:val="00F75514"/>
    <w:rsid w:val="00F75877"/>
    <w:rsid w:val="00F80E40"/>
    <w:rsid w:val="00F82DB5"/>
    <w:rsid w:val="00F848D9"/>
    <w:rsid w:val="00F84DCF"/>
    <w:rsid w:val="00F8716A"/>
    <w:rsid w:val="00F87C28"/>
    <w:rsid w:val="00F9136B"/>
    <w:rsid w:val="00F93B11"/>
    <w:rsid w:val="00FA1874"/>
    <w:rsid w:val="00FA3E42"/>
    <w:rsid w:val="00FA5B82"/>
    <w:rsid w:val="00FA639E"/>
    <w:rsid w:val="00FA6F2B"/>
    <w:rsid w:val="00FC25E4"/>
    <w:rsid w:val="00FC2C4E"/>
    <w:rsid w:val="00FC4EF7"/>
    <w:rsid w:val="00FD19F4"/>
    <w:rsid w:val="00FD2A2D"/>
    <w:rsid w:val="00FD3B9B"/>
    <w:rsid w:val="00FE1DEE"/>
    <w:rsid w:val="00FE264B"/>
    <w:rsid w:val="00FF2126"/>
    <w:rsid w:val="00FF442E"/>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644F4"/>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ED25BB"/>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Standard">
    <w:name w:val="Standard"/>
    <w:basedOn w:val="Normal"/>
    <w:link w:val="StandardChar"/>
    <w:rsid w:val="00D4540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D45408"/>
    <w:rPr>
      <w:rFonts w:eastAsia="Times New Roman"/>
      <w:snapToGrid w:val="0"/>
      <w:kern w:val="16"/>
      <w:sz w:val="23"/>
      <w:szCs w:val="24"/>
      <w:lang w:eastAsia="en-US"/>
    </w:rPr>
  </w:style>
  <w:style w:type="paragraph" w:styleId="FootnoteText">
    <w:name w:val="footnote text"/>
    <w:basedOn w:val="Normal"/>
    <w:link w:val="FootnoteTextChar"/>
    <w:uiPriority w:val="99"/>
    <w:semiHidden/>
    <w:unhideWhenUsed/>
    <w:rsid w:val="00854718"/>
    <w:rPr>
      <w:sz w:val="20"/>
      <w:szCs w:val="20"/>
    </w:rPr>
  </w:style>
  <w:style w:type="character" w:customStyle="1" w:styleId="FootnoteTextChar">
    <w:name w:val="Footnote Text Char"/>
    <w:basedOn w:val="DefaultParagraphFont"/>
    <w:link w:val="FootnoteText"/>
    <w:uiPriority w:val="99"/>
    <w:semiHidden/>
    <w:rsid w:val="00854718"/>
    <w:rPr>
      <w:lang w:eastAsia="en-US"/>
    </w:rPr>
  </w:style>
  <w:style w:type="character" w:styleId="FootnoteReference">
    <w:name w:val="footnote reference"/>
    <w:basedOn w:val="DefaultParagraphFont"/>
    <w:uiPriority w:val="99"/>
    <w:semiHidden/>
    <w:unhideWhenUsed/>
    <w:rsid w:val="00854718"/>
    <w:rPr>
      <w:vertAlign w:val="superscript"/>
    </w:rPr>
  </w:style>
  <w:style w:type="paragraph" w:styleId="ListParagraph">
    <w:name w:val="List Paragraph"/>
    <w:basedOn w:val="Normal"/>
    <w:uiPriority w:val="34"/>
    <w:rsid w:val="001115E7"/>
    <w:pPr>
      <w:adjustRightInd w:val="0"/>
      <w:snapToGrid w:val="0"/>
      <w:spacing w:before="0" w:after="0"/>
      <w:ind w:left="720"/>
      <w:contextualSpacing/>
    </w:pPr>
    <w:rPr>
      <w:rFonts w:eastAsia="MS Mincho"/>
      <w:szCs w:val="20"/>
      <w:lang w:eastAsia="ja-JP"/>
    </w:rPr>
  </w:style>
  <w:style w:type="paragraph" w:styleId="EndnoteText">
    <w:name w:val="endnote text"/>
    <w:basedOn w:val="Normal"/>
    <w:link w:val="EndnoteTextChar"/>
    <w:semiHidden/>
    <w:rsid w:val="00723C84"/>
    <w:pPr>
      <w:spacing w:before="0" w:after="0" w:line="240" w:lineRule="auto"/>
    </w:pPr>
    <w:rPr>
      <w:rFonts w:ascii="Times New Roman" w:eastAsia="Times New Roman" w:hAnsi="Times New Roman"/>
      <w:sz w:val="20"/>
      <w:szCs w:val="20"/>
      <w:lang w:val="en-US"/>
    </w:rPr>
  </w:style>
  <w:style w:type="character" w:customStyle="1" w:styleId="EndnoteTextChar">
    <w:name w:val="Endnote Text Char"/>
    <w:basedOn w:val="DefaultParagraphFont"/>
    <w:link w:val="EndnoteText"/>
    <w:semiHidden/>
    <w:rsid w:val="00723C84"/>
    <w:rPr>
      <w:rFonts w:ascii="Times New Roman" w:eastAsia="Times New Roman" w:hAnsi="Times New Roman"/>
      <w:lang w:val="en-US" w:eastAsia="en-US"/>
    </w:rPr>
  </w:style>
  <w:style w:type="character" w:styleId="EndnoteReference">
    <w:name w:val="endnote reference"/>
    <w:semiHidden/>
    <w:rsid w:val="00723C84"/>
    <w:rPr>
      <w:dstrike w:val="0"/>
      <w:vertAlign w:val="baseline"/>
    </w:rPr>
  </w:style>
  <w:style w:type="character" w:customStyle="1" w:styleId="Heading8Char">
    <w:name w:val="Heading 8 Char"/>
    <w:basedOn w:val="DefaultParagraphFont"/>
    <w:link w:val="Heading8"/>
    <w:uiPriority w:val="9"/>
    <w:semiHidden/>
    <w:rsid w:val="00A644F4"/>
    <w:rPr>
      <w:rFonts w:ascii="Calibri" w:eastAsia="Times New Roman" w:hAnsi="Calibri" w:cs="Times New Roman"/>
      <w:i/>
      <w:iCs/>
      <w:sz w:val="24"/>
      <w:szCs w:val="24"/>
      <w:lang w:eastAsia="en-US"/>
    </w:rPr>
  </w:style>
  <w:style w:type="paragraph" w:customStyle="1" w:styleId="Bullet1">
    <w:name w:val="Bullet 1"/>
    <w:basedOn w:val="Normal"/>
    <w:rsid w:val="00A644F4"/>
    <w:pPr>
      <w:numPr>
        <w:numId w:val="23"/>
      </w:numPr>
      <w:spacing w:after="0" w:line="240" w:lineRule="auto"/>
    </w:pPr>
    <w:rPr>
      <w:rFonts w:ascii="Times New Roman" w:eastAsia="Times New Roman" w:hAnsi="Times New Roman"/>
      <w:kern w:val="24"/>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6.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5.xml"/><Relationship Id="rId48" Type="http://schemas.openxmlformats.org/officeDocument/2006/relationships/footer" Target="footer7.xml"/><Relationship Id="rId8" Type="http://schemas.openxmlformats.org/officeDocument/2006/relationships/hyperlink" Target="http://www.tga.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118FC-608F-4C57-AC31-527E54B15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15582</Words>
  <Characters>84928</Characters>
  <Application>Microsoft Office Word</Application>
  <DocSecurity>0</DocSecurity>
  <Lines>1633</Lines>
  <Paragraphs>866</Paragraphs>
  <ScaleCrop>false</ScaleCrop>
  <HeadingPairs>
    <vt:vector size="2" baseType="variant">
      <vt:variant>
        <vt:lpstr>Title</vt:lpstr>
      </vt:variant>
      <vt:variant>
        <vt:i4>1</vt:i4>
      </vt:variant>
    </vt:vector>
  </HeadingPairs>
  <TitlesOfParts>
    <vt:vector size="1" baseType="lpstr">
      <vt:lpstr>Australian public assessment for strontium ranelate</vt:lpstr>
    </vt:vector>
  </TitlesOfParts>
  <Company>TGA</Company>
  <LinksUpToDate>false</LinksUpToDate>
  <CharactersWithSpaces>99644</CharactersWithSpaces>
  <SharedDoc>false</SharedDoc>
  <HLinks>
    <vt:vector size="210" baseType="variant">
      <vt:variant>
        <vt:i4>1245232</vt:i4>
      </vt:variant>
      <vt:variant>
        <vt:i4>194</vt:i4>
      </vt:variant>
      <vt:variant>
        <vt:i4>0</vt:i4>
      </vt:variant>
      <vt:variant>
        <vt:i4>5</vt:i4>
      </vt:variant>
      <vt:variant>
        <vt:lpwstr/>
      </vt:variant>
      <vt:variant>
        <vt:lpwstr>_Toc345343201</vt:lpwstr>
      </vt:variant>
      <vt:variant>
        <vt:i4>1245232</vt:i4>
      </vt:variant>
      <vt:variant>
        <vt:i4>188</vt:i4>
      </vt:variant>
      <vt:variant>
        <vt:i4>0</vt:i4>
      </vt:variant>
      <vt:variant>
        <vt:i4>5</vt:i4>
      </vt:variant>
      <vt:variant>
        <vt:lpwstr/>
      </vt:variant>
      <vt:variant>
        <vt:lpwstr>_Toc345343200</vt:lpwstr>
      </vt:variant>
      <vt:variant>
        <vt:i4>1703987</vt:i4>
      </vt:variant>
      <vt:variant>
        <vt:i4>182</vt:i4>
      </vt:variant>
      <vt:variant>
        <vt:i4>0</vt:i4>
      </vt:variant>
      <vt:variant>
        <vt:i4>5</vt:i4>
      </vt:variant>
      <vt:variant>
        <vt:lpwstr/>
      </vt:variant>
      <vt:variant>
        <vt:lpwstr>_Toc345343199</vt:lpwstr>
      </vt:variant>
      <vt:variant>
        <vt:i4>1703987</vt:i4>
      </vt:variant>
      <vt:variant>
        <vt:i4>176</vt:i4>
      </vt:variant>
      <vt:variant>
        <vt:i4>0</vt:i4>
      </vt:variant>
      <vt:variant>
        <vt:i4>5</vt:i4>
      </vt:variant>
      <vt:variant>
        <vt:lpwstr/>
      </vt:variant>
      <vt:variant>
        <vt:lpwstr>_Toc345343198</vt:lpwstr>
      </vt:variant>
      <vt:variant>
        <vt:i4>1703987</vt:i4>
      </vt:variant>
      <vt:variant>
        <vt:i4>170</vt:i4>
      </vt:variant>
      <vt:variant>
        <vt:i4>0</vt:i4>
      </vt:variant>
      <vt:variant>
        <vt:i4>5</vt:i4>
      </vt:variant>
      <vt:variant>
        <vt:lpwstr/>
      </vt:variant>
      <vt:variant>
        <vt:lpwstr>_Toc345343197</vt:lpwstr>
      </vt:variant>
      <vt:variant>
        <vt:i4>1703987</vt:i4>
      </vt:variant>
      <vt:variant>
        <vt:i4>164</vt:i4>
      </vt:variant>
      <vt:variant>
        <vt:i4>0</vt:i4>
      </vt:variant>
      <vt:variant>
        <vt:i4>5</vt:i4>
      </vt:variant>
      <vt:variant>
        <vt:lpwstr/>
      </vt:variant>
      <vt:variant>
        <vt:lpwstr>_Toc345343196</vt:lpwstr>
      </vt:variant>
      <vt:variant>
        <vt:i4>1703987</vt:i4>
      </vt:variant>
      <vt:variant>
        <vt:i4>158</vt:i4>
      </vt:variant>
      <vt:variant>
        <vt:i4>0</vt:i4>
      </vt:variant>
      <vt:variant>
        <vt:i4>5</vt:i4>
      </vt:variant>
      <vt:variant>
        <vt:lpwstr/>
      </vt:variant>
      <vt:variant>
        <vt:lpwstr>_Toc345343195</vt:lpwstr>
      </vt:variant>
      <vt:variant>
        <vt:i4>1703987</vt:i4>
      </vt:variant>
      <vt:variant>
        <vt:i4>152</vt:i4>
      </vt:variant>
      <vt:variant>
        <vt:i4>0</vt:i4>
      </vt:variant>
      <vt:variant>
        <vt:i4>5</vt:i4>
      </vt:variant>
      <vt:variant>
        <vt:lpwstr/>
      </vt:variant>
      <vt:variant>
        <vt:lpwstr>_Toc345343194</vt:lpwstr>
      </vt:variant>
      <vt:variant>
        <vt:i4>1703987</vt:i4>
      </vt:variant>
      <vt:variant>
        <vt:i4>146</vt:i4>
      </vt:variant>
      <vt:variant>
        <vt:i4>0</vt:i4>
      </vt:variant>
      <vt:variant>
        <vt:i4>5</vt:i4>
      </vt:variant>
      <vt:variant>
        <vt:lpwstr/>
      </vt:variant>
      <vt:variant>
        <vt:lpwstr>_Toc345343193</vt:lpwstr>
      </vt:variant>
      <vt:variant>
        <vt:i4>1703987</vt:i4>
      </vt:variant>
      <vt:variant>
        <vt:i4>140</vt:i4>
      </vt:variant>
      <vt:variant>
        <vt:i4>0</vt:i4>
      </vt:variant>
      <vt:variant>
        <vt:i4>5</vt:i4>
      </vt:variant>
      <vt:variant>
        <vt:lpwstr/>
      </vt:variant>
      <vt:variant>
        <vt:lpwstr>_Toc345343192</vt:lpwstr>
      </vt:variant>
      <vt:variant>
        <vt:i4>1703987</vt:i4>
      </vt:variant>
      <vt:variant>
        <vt:i4>134</vt:i4>
      </vt:variant>
      <vt:variant>
        <vt:i4>0</vt:i4>
      </vt:variant>
      <vt:variant>
        <vt:i4>5</vt:i4>
      </vt:variant>
      <vt:variant>
        <vt:lpwstr/>
      </vt:variant>
      <vt:variant>
        <vt:lpwstr>_Toc345343191</vt:lpwstr>
      </vt:variant>
      <vt:variant>
        <vt:i4>1703987</vt:i4>
      </vt:variant>
      <vt:variant>
        <vt:i4>128</vt:i4>
      </vt:variant>
      <vt:variant>
        <vt:i4>0</vt:i4>
      </vt:variant>
      <vt:variant>
        <vt:i4>5</vt:i4>
      </vt:variant>
      <vt:variant>
        <vt:lpwstr/>
      </vt:variant>
      <vt:variant>
        <vt:lpwstr>_Toc345343190</vt:lpwstr>
      </vt:variant>
      <vt:variant>
        <vt:i4>1769523</vt:i4>
      </vt:variant>
      <vt:variant>
        <vt:i4>122</vt:i4>
      </vt:variant>
      <vt:variant>
        <vt:i4>0</vt:i4>
      </vt:variant>
      <vt:variant>
        <vt:i4>5</vt:i4>
      </vt:variant>
      <vt:variant>
        <vt:lpwstr/>
      </vt:variant>
      <vt:variant>
        <vt:lpwstr>_Toc345343189</vt:lpwstr>
      </vt:variant>
      <vt:variant>
        <vt:i4>1769523</vt:i4>
      </vt:variant>
      <vt:variant>
        <vt:i4>116</vt:i4>
      </vt:variant>
      <vt:variant>
        <vt:i4>0</vt:i4>
      </vt:variant>
      <vt:variant>
        <vt:i4>5</vt:i4>
      </vt:variant>
      <vt:variant>
        <vt:lpwstr/>
      </vt:variant>
      <vt:variant>
        <vt:lpwstr>_Toc345343188</vt:lpwstr>
      </vt:variant>
      <vt:variant>
        <vt:i4>1769523</vt:i4>
      </vt:variant>
      <vt:variant>
        <vt:i4>110</vt:i4>
      </vt:variant>
      <vt:variant>
        <vt:i4>0</vt:i4>
      </vt:variant>
      <vt:variant>
        <vt:i4>5</vt:i4>
      </vt:variant>
      <vt:variant>
        <vt:lpwstr/>
      </vt:variant>
      <vt:variant>
        <vt:lpwstr>_Toc345343187</vt:lpwstr>
      </vt:variant>
      <vt:variant>
        <vt:i4>1769523</vt:i4>
      </vt:variant>
      <vt:variant>
        <vt:i4>104</vt:i4>
      </vt:variant>
      <vt:variant>
        <vt:i4>0</vt:i4>
      </vt:variant>
      <vt:variant>
        <vt:i4>5</vt:i4>
      </vt:variant>
      <vt:variant>
        <vt:lpwstr/>
      </vt:variant>
      <vt:variant>
        <vt:lpwstr>_Toc345343186</vt:lpwstr>
      </vt:variant>
      <vt:variant>
        <vt:i4>1769523</vt:i4>
      </vt:variant>
      <vt:variant>
        <vt:i4>98</vt:i4>
      </vt:variant>
      <vt:variant>
        <vt:i4>0</vt:i4>
      </vt:variant>
      <vt:variant>
        <vt:i4>5</vt:i4>
      </vt:variant>
      <vt:variant>
        <vt:lpwstr/>
      </vt:variant>
      <vt:variant>
        <vt:lpwstr>_Toc345343185</vt:lpwstr>
      </vt:variant>
      <vt:variant>
        <vt:i4>1769523</vt:i4>
      </vt:variant>
      <vt:variant>
        <vt:i4>92</vt:i4>
      </vt:variant>
      <vt:variant>
        <vt:i4>0</vt:i4>
      </vt:variant>
      <vt:variant>
        <vt:i4>5</vt:i4>
      </vt:variant>
      <vt:variant>
        <vt:lpwstr/>
      </vt:variant>
      <vt:variant>
        <vt:lpwstr>_Toc345343184</vt:lpwstr>
      </vt:variant>
      <vt:variant>
        <vt:i4>1769523</vt:i4>
      </vt:variant>
      <vt:variant>
        <vt:i4>86</vt:i4>
      </vt:variant>
      <vt:variant>
        <vt:i4>0</vt:i4>
      </vt:variant>
      <vt:variant>
        <vt:i4>5</vt:i4>
      </vt:variant>
      <vt:variant>
        <vt:lpwstr/>
      </vt:variant>
      <vt:variant>
        <vt:lpwstr>_Toc345343183</vt:lpwstr>
      </vt:variant>
      <vt:variant>
        <vt:i4>1769523</vt:i4>
      </vt:variant>
      <vt:variant>
        <vt:i4>80</vt:i4>
      </vt:variant>
      <vt:variant>
        <vt:i4>0</vt:i4>
      </vt:variant>
      <vt:variant>
        <vt:i4>5</vt:i4>
      </vt:variant>
      <vt:variant>
        <vt:lpwstr/>
      </vt:variant>
      <vt:variant>
        <vt:lpwstr>_Toc345343182</vt:lpwstr>
      </vt:variant>
      <vt:variant>
        <vt:i4>1769523</vt:i4>
      </vt:variant>
      <vt:variant>
        <vt:i4>74</vt:i4>
      </vt:variant>
      <vt:variant>
        <vt:i4>0</vt:i4>
      </vt:variant>
      <vt:variant>
        <vt:i4>5</vt:i4>
      </vt:variant>
      <vt:variant>
        <vt:lpwstr/>
      </vt:variant>
      <vt:variant>
        <vt:lpwstr>_Toc345343181</vt:lpwstr>
      </vt:variant>
      <vt:variant>
        <vt:i4>1769523</vt:i4>
      </vt:variant>
      <vt:variant>
        <vt:i4>68</vt:i4>
      </vt:variant>
      <vt:variant>
        <vt:i4>0</vt:i4>
      </vt:variant>
      <vt:variant>
        <vt:i4>5</vt:i4>
      </vt:variant>
      <vt:variant>
        <vt:lpwstr/>
      </vt:variant>
      <vt:variant>
        <vt:lpwstr>_Toc345343180</vt:lpwstr>
      </vt:variant>
      <vt:variant>
        <vt:i4>1310771</vt:i4>
      </vt:variant>
      <vt:variant>
        <vt:i4>62</vt:i4>
      </vt:variant>
      <vt:variant>
        <vt:i4>0</vt:i4>
      </vt:variant>
      <vt:variant>
        <vt:i4>5</vt:i4>
      </vt:variant>
      <vt:variant>
        <vt:lpwstr/>
      </vt:variant>
      <vt:variant>
        <vt:lpwstr>_Toc345343179</vt:lpwstr>
      </vt:variant>
      <vt:variant>
        <vt:i4>1310771</vt:i4>
      </vt:variant>
      <vt:variant>
        <vt:i4>56</vt:i4>
      </vt:variant>
      <vt:variant>
        <vt:i4>0</vt:i4>
      </vt:variant>
      <vt:variant>
        <vt:i4>5</vt:i4>
      </vt:variant>
      <vt:variant>
        <vt:lpwstr/>
      </vt:variant>
      <vt:variant>
        <vt:lpwstr>_Toc345343178</vt:lpwstr>
      </vt:variant>
      <vt:variant>
        <vt:i4>1310771</vt:i4>
      </vt:variant>
      <vt:variant>
        <vt:i4>50</vt:i4>
      </vt:variant>
      <vt:variant>
        <vt:i4>0</vt:i4>
      </vt:variant>
      <vt:variant>
        <vt:i4>5</vt:i4>
      </vt:variant>
      <vt:variant>
        <vt:lpwstr/>
      </vt:variant>
      <vt:variant>
        <vt:lpwstr>_Toc345343177</vt:lpwstr>
      </vt:variant>
      <vt:variant>
        <vt:i4>1310771</vt:i4>
      </vt:variant>
      <vt:variant>
        <vt:i4>44</vt:i4>
      </vt:variant>
      <vt:variant>
        <vt:i4>0</vt:i4>
      </vt:variant>
      <vt:variant>
        <vt:i4>5</vt:i4>
      </vt:variant>
      <vt:variant>
        <vt:lpwstr/>
      </vt:variant>
      <vt:variant>
        <vt:lpwstr>_Toc345343176</vt:lpwstr>
      </vt:variant>
      <vt:variant>
        <vt:i4>1310771</vt:i4>
      </vt:variant>
      <vt:variant>
        <vt:i4>38</vt:i4>
      </vt:variant>
      <vt:variant>
        <vt:i4>0</vt:i4>
      </vt:variant>
      <vt:variant>
        <vt:i4>5</vt:i4>
      </vt:variant>
      <vt:variant>
        <vt:lpwstr/>
      </vt:variant>
      <vt:variant>
        <vt:lpwstr>_Toc345343175</vt:lpwstr>
      </vt:variant>
      <vt:variant>
        <vt:i4>1310771</vt:i4>
      </vt:variant>
      <vt:variant>
        <vt:i4>32</vt:i4>
      </vt:variant>
      <vt:variant>
        <vt:i4>0</vt:i4>
      </vt:variant>
      <vt:variant>
        <vt:i4>5</vt:i4>
      </vt:variant>
      <vt:variant>
        <vt:lpwstr/>
      </vt:variant>
      <vt:variant>
        <vt:lpwstr>_Toc345343174</vt:lpwstr>
      </vt:variant>
      <vt:variant>
        <vt:i4>1310771</vt:i4>
      </vt:variant>
      <vt:variant>
        <vt:i4>26</vt:i4>
      </vt:variant>
      <vt:variant>
        <vt:i4>0</vt:i4>
      </vt:variant>
      <vt:variant>
        <vt:i4>5</vt:i4>
      </vt:variant>
      <vt:variant>
        <vt:lpwstr/>
      </vt:variant>
      <vt:variant>
        <vt:lpwstr>_Toc345343173</vt:lpwstr>
      </vt:variant>
      <vt:variant>
        <vt:i4>1310771</vt:i4>
      </vt:variant>
      <vt:variant>
        <vt:i4>20</vt:i4>
      </vt:variant>
      <vt:variant>
        <vt:i4>0</vt:i4>
      </vt:variant>
      <vt:variant>
        <vt:i4>5</vt:i4>
      </vt:variant>
      <vt:variant>
        <vt:lpwstr/>
      </vt:variant>
      <vt:variant>
        <vt:lpwstr>_Toc345343172</vt:lpwstr>
      </vt:variant>
      <vt:variant>
        <vt:i4>1310771</vt:i4>
      </vt:variant>
      <vt:variant>
        <vt:i4>14</vt:i4>
      </vt:variant>
      <vt:variant>
        <vt:i4>0</vt:i4>
      </vt:variant>
      <vt:variant>
        <vt:i4>5</vt:i4>
      </vt:variant>
      <vt:variant>
        <vt:lpwstr/>
      </vt:variant>
      <vt:variant>
        <vt:lpwstr>_Toc345343171</vt:lpwstr>
      </vt:variant>
      <vt:variant>
        <vt:i4>1310771</vt:i4>
      </vt:variant>
      <vt:variant>
        <vt:i4>8</vt:i4>
      </vt:variant>
      <vt:variant>
        <vt:i4>0</vt:i4>
      </vt:variant>
      <vt:variant>
        <vt:i4>5</vt:i4>
      </vt:variant>
      <vt:variant>
        <vt:lpwstr/>
      </vt:variant>
      <vt:variant>
        <vt:lpwstr>_Toc345343170</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15</vt:i4>
      </vt:variant>
      <vt:variant>
        <vt:i4>0</vt:i4>
      </vt:variant>
      <vt:variant>
        <vt:i4>5</vt:i4>
      </vt:variant>
      <vt:variant>
        <vt:lpwstr>http://www.tga.gov.au/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strontium ranelate</dc:title>
  <dc:subject>prescription medicine regulation</dc:subject>
  <dc:creator>Therapeutic Goods Administration</dc:creator>
  <cp:keywords>auspar, prescription, medicine, assessment, regulation, australia, strontium ranelate, protos</cp:keywords>
  <cp:lastModifiedBy>Sheppard, Fran</cp:lastModifiedBy>
  <cp:revision>4</cp:revision>
  <cp:lastPrinted>2012-11-29T05:45:00Z</cp:lastPrinted>
  <dcterms:created xsi:type="dcterms:W3CDTF">2013-01-31T00:45:00Z</dcterms:created>
  <dcterms:modified xsi:type="dcterms:W3CDTF">2013-01-31T00:46:00Z</dcterms:modified>
</cp:coreProperties>
</file>