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71B" w:rsidRDefault="00A5171B">
      <w:pPr>
        <w:tabs>
          <w:tab w:val="center" w:pos="4513"/>
        </w:tabs>
        <w:ind w:right="-28"/>
        <w:jc w:val="center"/>
        <w:rPr>
          <w:rFonts w:ascii="Arial" w:hAnsi="Arial" w:cs="Arial"/>
          <w:b/>
          <w:sz w:val="48"/>
        </w:rPr>
      </w:pPr>
      <w:r>
        <w:rPr>
          <w:rFonts w:ascii="Arial" w:hAnsi="Arial" w:cs="Arial"/>
          <w:b/>
          <w:sz w:val="48"/>
        </w:rPr>
        <w:t>PROTOS</w:t>
      </w:r>
      <w:r>
        <w:rPr>
          <w:rFonts w:ascii="Arial" w:hAnsi="Arial" w:cs="Arial"/>
          <w:b/>
          <w:sz w:val="48"/>
          <w:vertAlign w:val="superscript"/>
        </w:rPr>
        <w:t>®</w:t>
      </w:r>
    </w:p>
    <w:p w:rsidR="00A5171B" w:rsidRDefault="00A5171B" w:rsidP="00365AA3">
      <w:pPr>
        <w:pStyle w:val="Heading1"/>
      </w:pPr>
      <w:r>
        <w:t>NAME OF THE DRUG</w:t>
      </w:r>
    </w:p>
    <w:p w:rsidR="00A5171B" w:rsidRDefault="00A5171B">
      <w:pPr>
        <w:pStyle w:val="EndnoteText"/>
        <w:tabs>
          <w:tab w:val="clear" w:pos="567"/>
          <w:tab w:val="left" w:pos="7655"/>
        </w:tabs>
        <w:ind w:right="-29"/>
        <w:rPr>
          <w:rFonts w:ascii="Arial" w:hAnsi="Arial" w:cs="Arial"/>
          <w:b/>
          <w:bCs/>
          <w:i/>
          <w:iCs/>
          <w:lang w:val="de-DE"/>
        </w:rPr>
      </w:pPr>
      <w:r>
        <w:rPr>
          <w:rFonts w:ascii="Arial" w:hAnsi="Arial" w:cs="Arial"/>
          <w:b/>
          <w:bCs/>
          <w:i/>
          <w:iCs/>
          <w:lang w:val="de-DE"/>
        </w:rPr>
        <w:t>PROTOS</w:t>
      </w:r>
      <w:r>
        <w:rPr>
          <w:rFonts w:ascii="Arial" w:hAnsi="Arial" w:cs="Arial"/>
          <w:b/>
          <w:bCs/>
          <w:i/>
          <w:iCs/>
          <w:vertAlign w:val="superscript"/>
          <w:lang w:val="de-DE"/>
        </w:rPr>
        <w:t>®</w:t>
      </w:r>
    </w:p>
    <w:p w:rsidR="00A5171B" w:rsidRDefault="00A5171B">
      <w:pPr>
        <w:pStyle w:val="EndnoteText"/>
        <w:tabs>
          <w:tab w:val="clear" w:pos="567"/>
          <w:tab w:val="left" w:pos="7655"/>
        </w:tabs>
        <w:ind w:right="-29"/>
        <w:rPr>
          <w:rFonts w:ascii="Arial" w:hAnsi="Arial" w:cs="Arial"/>
          <w:lang w:val="de-DE"/>
        </w:rPr>
      </w:pPr>
      <w:r>
        <w:rPr>
          <w:rFonts w:ascii="Arial" w:hAnsi="Arial" w:cs="Arial"/>
          <w:lang w:val="de-DE"/>
        </w:rPr>
        <w:t xml:space="preserve">strontium ranelate 2g </w:t>
      </w:r>
    </w:p>
    <w:p w:rsidR="00A5171B" w:rsidRDefault="00A5171B" w:rsidP="00365AA3">
      <w:pPr>
        <w:pStyle w:val="Heading1"/>
      </w:pPr>
      <w:r>
        <w:t>DESCRIPTION</w:t>
      </w:r>
    </w:p>
    <w:p w:rsidR="00A5171B" w:rsidRDefault="00A5171B">
      <w:pPr>
        <w:tabs>
          <w:tab w:val="left" w:pos="284"/>
          <w:tab w:val="left" w:pos="709"/>
          <w:tab w:val="left" w:pos="7655"/>
        </w:tabs>
        <w:spacing w:line="240" w:lineRule="atLeast"/>
        <w:ind w:right="-29"/>
        <w:jc w:val="both"/>
        <w:rPr>
          <w:rFonts w:ascii="Arial" w:hAnsi="Arial" w:cs="Arial"/>
          <w:sz w:val="22"/>
        </w:rPr>
      </w:pPr>
      <w:r>
        <w:rPr>
          <w:rFonts w:ascii="Arial" w:hAnsi="Arial" w:cs="Arial"/>
          <w:sz w:val="22"/>
        </w:rPr>
        <w:t>Description of substance and solubility: Strontium ranelate is a yellowish-white non-hygroscopic powder.  It crystallises as a nonahydrate form but one water molecule is particularly labile and this leads to a compound containing either 8 or 9 water molecules per strontium ranelate molecule.  Strontium ranelate is slightly soluble in purified water (3.7mg/mL at saturation point) and practically insoluble in organic solvents (eg, methanol).</w:t>
      </w:r>
    </w:p>
    <w:p w:rsidR="00A5171B" w:rsidRDefault="00A5171B">
      <w:pPr>
        <w:tabs>
          <w:tab w:val="left" w:pos="7655"/>
        </w:tabs>
        <w:ind w:right="-29"/>
        <w:rPr>
          <w:rFonts w:ascii="Arial" w:hAnsi="Arial" w:cs="Arial"/>
          <w:sz w:val="22"/>
        </w:rPr>
      </w:pPr>
      <w:r>
        <w:rPr>
          <w:rFonts w:ascii="Arial" w:hAnsi="Arial" w:cs="Arial"/>
          <w:bCs/>
          <w:i/>
          <w:iCs/>
          <w:sz w:val="22"/>
        </w:rPr>
        <w:t xml:space="preserve">Excipients: </w:t>
      </w:r>
      <w:r>
        <w:rPr>
          <w:rFonts w:ascii="Arial" w:hAnsi="Arial" w:cs="Arial"/>
          <w:sz w:val="22"/>
        </w:rPr>
        <w:t>Aspartame (E951, a source of phenylalanine), maltodextrin, mannitol.</w:t>
      </w:r>
    </w:p>
    <w:p w:rsidR="00A5171B" w:rsidRDefault="00A5171B">
      <w:pPr>
        <w:tabs>
          <w:tab w:val="left" w:pos="7655"/>
        </w:tabs>
        <w:ind w:right="-29"/>
        <w:rPr>
          <w:rFonts w:ascii="Arial" w:hAnsi="Arial" w:cs="Arial"/>
          <w:i/>
          <w:iCs/>
          <w:sz w:val="22"/>
        </w:rPr>
      </w:pPr>
      <w:r>
        <w:rPr>
          <w:rFonts w:ascii="Arial" w:hAnsi="Arial" w:cs="Arial"/>
          <w:i/>
          <w:iCs/>
          <w:sz w:val="22"/>
        </w:rPr>
        <w:t>Chemical name: strontium ranelate</w:t>
      </w:r>
    </w:p>
    <w:p w:rsidR="00A5171B" w:rsidRDefault="00A5171B">
      <w:pPr>
        <w:tabs>
          <w:tab w:val="left" w:pos="7655"/>
        </w:tabs>
        <w:ind w:right="-29"/>
        <w:rPr>
          <w:rFonts w:ascii="Arial" w:hAnsi="Arial" w:cs="Arial"/>
          <w:i/>
          <w:iCs/>
          <w:sz w:val="22"/>
        </w:rPr>
      </w:pPr>
      <w:r>
        <w:rPr>
          <w:rFonts w:ascii="Arial" w:hAnsi="Arial" w:cs="Arial"/>
          <w:i/>
          <w:iCs/>
          <w:sz w:val="22"/>
        </w:rPr>
        <w:t>CAS Registry Number: 135459-90-4</w:t>
      </w:r>
    </w:p>
    <w:p w:rsidR="00A5171B" w:rsidRDefault="00A5171B">
      <w:pPr>
        <w:tabs>
          <w:tab w:val="left" w:pos="7655"/>
        </w:tabs>
        <w:ind w:right="-29"/>
        <w:rPr>
          <w:rFonts w:ascii="Arial" w:hAnsi="Arial" w:cs="Arial"/>
          <w:iCs/>
          <w:sz w:val="22"/>
        </w:rPr>
      </w:pPr>
      <w:r>
        <w:rPr>
          <w:rFonts w:ascii="Arial" w:hAnsi="Arial" w:cs="Arial"/>
          <w:iCs/>
          <w:sz w:val="22"/>
        </w:rPr>
        <w:t>Molecular formula: C</w:t>
      </w:r>
      <w:r>
        <w:rPr>
          <w:rFonts w:ascii="Arial" w:hAnsi="Arial" w:cs="Arial"/>
          <w:iCs/>
          <w:sz w:val="22"/>
          <w:vertAlign w:val="subscript"/>
        </w:rPr>
        <w:t>12</w:t>
      </w:r>
      <w:r>
        <w:rPr>
          <w:rFonts w:ascii="Arial" w:hAnsi="Arial" w:cs="Arial"/>
          <w:iCs/>
          <w:sz w:val="22"/>
        </w:rPr>
        <w:t>H</w:t>
      </w:r>
      <w:r>
        <w:rPr>
          <w:rFonts w:ascii="Arial" w:hAnsi="Arial" w:cs="Arial"/>
          <w:iCs/>
          <w:sz w:val="22"/>
          <w:vertAlign w:val="subscript"/>
        </w:rPr>
        <w:t>6</w:t>
      </w:r>
      <w:r>
        <w:rPr>
          <w:rFonts w:ascii="Arial" w:hAnsi="Arial" w:cs="Arial"/>
          <w:iCs/>
          <w:sz w:val="22"/>
        </w:rPr>
        <w:t>N</w:t>
      </w:r>
      <w:r>
        <w:rPr>
          <w:rFonts w:ascii="Arial" w:hAnsi="Arial" w:cs="Arial"/>
          <w:iCs/>
          <w:sz w:val="22"/>
          <w:vertAlign w:val="subscript"/>
        </w:rPr>
        <w:t>2</w:t>
      </w:r>
      <w:r>
        <w:rPr>
          <w:rFonts w:ascii="Arial" w:hAnsi="Arial" w:cs="Arial"/>
          <w:iCs/>
          <w:sz w:val="22"/>
        </w:rPr>
        <w:t>O</w:t>
      </w:r>
      <w:r>
        <w:rPr>
          <w:rFonts w:ascii="Arial" w:hAnsi="Arial" w:cs="Arial"/>
          <w:iCs/>
          <w:sz w:val="22"/>
          <w:vertAlign w:val="subscript"/>
        </w:rPr>
        <w:t>8</w:t>
      </w:r>
      <w:r>
        <w:rPr>
          <w:rFonts w:ascii="Arial" w:hAnsi="Arial" w:cs="Arial"/>
          <w:iCs/>
          <w:sz w:val="22"/>
        </w:rPr>
        <w:t>SSr</w:t>
      </w:r>
      <w:r>
        <w:rPr>
          <w:rFonts w:ascii="Arial" w:hAnsi="Arial" w:cs="Arial"/>
          <w:iCs/>
          <w:sz w:val="22"/>
          <w:vertAlign w:val="subscript"/>
        </w:rPr>
        <w:t>2</w:t>
      </w:r>
    </w:p>
    <w:p w:rsidR="00A5171B" w:rsidRDefault="00F72D40">
      <w:pPr>
        <w:tabs>
          <w:tab w:val="left" w:pos="7655"/>
        </w:tabs>
        <w:ind w:right="-29"/>
        <w:rPr>
          <w:rFonts w:ascii="Arial" w:hAnsi="Arial" w:cs="Arial"/>
          <w:bCs/>
          <w:i/>
          <w:iCs/>
          <w:sz w:val="22"/>
        </w:rPr>
      </w:pPr>
      <w:r>
        <w:rPr>
          <w:rFonts w:ascii="Arial" w:hAnsi="Arial" w:cs="Arial"/>
          <w:iCs/>
          <w:sz w:val="22"/>
        </w:rPr>
        <w:t>C</w:t>
      </w:r>
      <w:r w:rsidR="00A5171B">
        <w:rPr>
          <w:rFonts w:ascii="Arial" w:hAnsi="Arial" w:cs="Arial"/>
          <w:iCs/>
          <w:sz w:val="22"/>
        </w:rPr>
        <w:t>hemical structure:</w:t>
      </w:r>
    </w:p>
    <w:p w:rsidR="00A5171B" w:rsidRDefault="00E141BD">
      <w:pPr>
        <w:tabs>
          <w:tab w:val="left" w:pos="284"/>
          <w:tab w:val="left" w:pos="709"/>
        </w:tabs>
        <w:spacing w:line="240" w:lineRule="atLeast"/>
        <w:ind w:right="-29"/>
        <w:jc w:val="both"/>
        <w:rPr>
          <w:rFonts w:ascii="Arial" w:hAnsi="Arial" w:cs="Arial"/>
          <w:bCs/>
          <w:i/>
          <w:iCs/>
          <w:sz w:val="20"/>
        </w:rPr>
      </w:pPr>
      <w:r>
        <w:rPr>
          <w:rFonts w:ascii="Arial" w:hAnsi="Arial" w:cs="Arial"/>
          <w:bCs/>
          <w:i/>
          <w:iCs/>
          <w:noProof/>
          <w:sz w:val="20"/>
          <w:lang w:eastAsia="en-AU"/>
        </w:rPr>
        <w:drawing>
          <wp:inline distT="0" distB="0" distL="0" distR="0">
            <wp:extent cx="2019300" cy="1438275"/>
            <wp:effectExtent l="19050" t="0" r="0" b="0"/>
            <wp:docPr id="1" name="Picture 1" descr="Do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8"/>
                    <pic:cNvPicPr>
                      <a:picLocks noChangeAspect="1" noChangeArrowheads="1"/>
                    </pic:cNvPicPr>
                  </pic:nvPicPr>
                  <pic:blipFill>
                    <a:blip r:embed="rId8" cstate="print"/>
                    <a:srcRect/>
                    <a:stretch>
                      <a:fillRect/>
                    </a:stretch>
                  </pic:blipFill>
                  <pic:spPr bwMode="auto">
                    <a:xfrm>
                      <a:off x="0" y="0"/>
                      <a:ext cx="2019300" cy="1438275"/>
                    </a:xfrm>
                    <a:prstGeom prst="rect">
                      <a:avLst/>
                    </a:prstGeom>
                    <a:noFill/>
                    <a:ln w="9525">
                      <a:noFill/>
                      <a:miter lim="800000"/>
                      <a:headEnd/>
                      <a:tailEnd/>
                    </a:ln>
                  </pic:spPr>
                </pic:pic>
              </a:graphicData>
            </a:graphic>
          </wp:inline>
        </w:drawing>
      </w:r>
    </w:p>
    <w:p w:rsidR="00A5171B" w:rsidRDefault="00A5171B" w:rsidP="00365AA3">
      <w:pPr>
        <w:pStyle w:val="Heading1"/>
      </w:pPr>
      <w:r w:rsidRPr="00365AA3">
        <w:t>PHAR</w:t>
      </w:r>
      <w:r>
        <w:t>MACOLOGY</w:t>
      </w:r>
    </w:p>
    <w:p w:rsidR="00A5171B" w:rsidRDefault="00A5171B">
      <w:pPr>
        <w:ind w:right="-29"/>
        <w:rPr>
          <w:rFonts w:ascii="Arial" w:hAnsi="Arial" w:cs="Arial"/>
          <w:sz w:val="22"/>
        </w:rPr>
      </w:pPr>
      <w:r>
        <w:rPr>
          <w:rFonts w:ascii="Arial" w:hAnsi="Arial" w:cs="Arial"/>
          <w:i/>
          <w:sz w:val="22"/>
        </w:rPr>
        <w:t>S</w:t>
      </w:r>
      <w:r>
        <w:rPr>
          <w:rFonts w:ascii="Arial" w:hAnsi="Arial" w:cs="Arial"/>
          <w:sz w:val="22"/>
        </w:rPr>
        <w:t xml:space="preserve">trontium ranelate has a dual effect on bone metabolism. </w:t>
      </w:r>
      <w:r>
        <w:rPr>
          <w:rFonts w:ascii="Arial" w:hAnsi="Arial" w:cs="Arial"/>
          <w:i/>
          <w:iCs/>
          <w:sz w:val="22"/>
        </w:rPr>
        <w:t>In vitro</w:t>
      </w:r>
      <w:r>
        <w:rPr>
          <w:rFonts w:ascii="Arial" w:hAnsi="Arial" w:cs="Arial"/>
          <w:sz w:val="22"/>
        </w:rPr>
        <w:t xml:space="preserve"> it increases bone formation by increasing osteoblast precursor replication and collagen synthesis, and reduces bone resorption by altering osteoclast ultrastructure and decreasing resorbing activity in bone cell culture. The activity of strontium ranelate on both long bones and vertebral bodies was studied in various animal models. Strontium ranelate generally increased bone formation and decreased bone resorption and improved bone biomechanical properties such as bone str</w:t>
      </w:r>
      <w:r w:rsidR="00365AA3">
        <w:rPr>
          <w:rFonts w:ascii="Arial" w:hAnsi="Arial" w:cs="Arial"/>
          <w:sz w:val="22"/>
        </w:rPr>
        <w:t>ength.</w:t>
      </w:r>
    </w:p>
    <w:p w:rsidR="00A5171B" w:rsidRDefault="00A5171B">
      <w:pPr>
        <w:ind w:right="-29"/>
        <w:rPr>
          <w:rFonts w:ascii="Arial" w:hAnsi="Arial" w:cs="Arial"/>
          <w:sz w:val="22"/>
        </w:rPr>
      </w:pPr>
      <w:r>
        <w:rPr>
          <w:rFonts w:ascii="Arial" w:hAnsi="Arial" w:cs="Arial"/>
          <w:sz w:val="22"/>
        </w:rPr>
        <w:t xml:space="preserve">In bone tissue, strontium is adsorbed onto the crystal surface and substitutes for calcium in the apatite crystal of the newly formed bone, up to a ratio of 1 strontium atom to 10 calcium atoms. Strontium ranelate does not modify the crystal characteristics. </w:t>
      </w:r>
      <w:r>
        <w:rPr>
          <w:rFonts w:ascii="Arial" w:hAnsi="Arial" w:cs="Arial"/>
          <w:sz w:val="22"/>
          <w:lang w:val="en-US"/>
        </w:rPr>
        <w:t xml:space="preserve"> In animals, strontium was progressively eliminated from the bone tissue after treatment withdrawal.</w:t>
      </w:r>
    </w:p>
    <w:p w:rsidR="00A5171B" w:rsidRDefault="00A5171B">
      <w:pPr>
        <w:ind w:right="-29"/>
        <w:rPr>
          <w:rFonts w:ascii="Arial" w:hAnsi="Arial" w:cs="Arial"/>
          <w:bCs/>
          <w:iCs/>
          <w:sz w:val="22"/>
        </w:rPr>
      </w:pPr>
      <w:r>
        <w:rPr>
          <w:rFonts w:ascii="Arial" w:hAnsi="Arial" w:cs="Arial"/>
          <w:sz w:val="22"/>
        </w:rPr>
        <w:lastRenderedPageBreak/>
        <w:t>In phase III studies, as compared to placebo, biochemical markers of bone formation (bone-specific alkaline phosphatase) increased and those of bone resorption (serum C-telopeptide and urinary N-telopeptide cross links) decreased from the third month of treatment up to 3 years. These results confirm the dual mode of action of strontium ranelate on bone cells.</w:t>
      </w:r>
      <w:r>
        <w:rPr>
          <w:rFonts w:ascii="Arial" w:hAnsi="Arial" w:cs="Arial"/>
          <w:bCs/>
          <w:iCs/>
          <w:sz w:val="22"/>
        </w:rPr>
        <w:t xml:space="preserve"> In relation to the pharmacological effects of strontium ranelate, slight decreases in calcium and PTH serum levels, increases in blood phosphorus and in total alkaline phosphatase levels were observed, with no clinical consequences.</w:t>
      </w:r>
    </w:p>
    <w:p w:rsidR="00A5171B" w:rsidRDefault="00A5171B">
      <w:pPr>
        <w:ind w:right="-29"/>
        <w:rPr>
          <w:rFonts w:ascii="Arial" w:hAnsi="Arial" w:cs="Arial"/>
          <w:bCs/>
          <w:sz w:val="22"/>
        </w:rPr>
      </w:pPr>
      <w:r>
        <w:rPr>
          <w:rFonts w:ascii="Arial" w:hAnsi="Arial" w:cs="Arial"/>
          <w:bCs/>
          <w:iCs/>
          <w:sz w:val="22"/>
        </w:rPr>
        <w:t>In human biopsies, t</w:t>
      </w:r>
      <w:r>
        <w:rPr>
          <w:rFonts w:ascii="Arial" w:hAnsi="Arial" w:cs="Arial"/>
          <w:sz w:val="22"/>
        </w:rPr>
        <w:t>he new bone formed with PROTOS treatment is normal (i.e., lamellar) and of good quality with normal mineralisation;</w:t>
      </w:r>
      <w:r>
        <w:rPr>
          <w:rFonts w:ascii="Arial" w:hAnsi="Arial" w:cs="Arial"/>
          <w:bCs/>
          <w:iCs/>
          <w:sz w:val="22"/>
        </w:rPr>
        <w:t xml:space="preserve"> in particular, no osteomalacia was observed.</w:t>
      </w:r>
    </w:p>
    <w:p w:rsidR="00A5171B" w:rsidRDefault="00A5171B">
      <w:pPr>
        <w:pStyle w:val="Heading2"/>
        <w:ind w:right="-29"/>
        <w:rPr>
          <w:rFonts w:ascii="Arial" w:hAnsi="Arial" w:cs="Arial"/>
        </w:rPr>
      </w:pPr>
      <w:r>
        <w:rPr>
          <w:rFonts w:ascii="Arial" w:hAnsi="Arial" w:cs="Arial"/>
        </w:rPr>
        <w:t>Pharmacokinetics and Metabolism</w:t>
      </w:r>
    </w:p>
    <w:p w:rsidR="00A5171B" w:rsidRDefault="00A5171B">
      <w:pPr>
        <w:tabs>
          <w:tab w:val="left" w:pos="708"/>
        </w:tabs>
        <w:ind w:right="-29"/>
        <w:rPr>
          <w:rFonts w:ascii="Arial" w:hAnsi="Arial" w:cs="Arial"/>
          <w:sz w:val="22"/>
        </w:rPr>
      </w:pPr>
      <w:r>
        <w:rPr>
          <w:rFonts w:ascii="Arial" w:hAnsi="Arial" w:cs="Arial"/>
          <w:sz w:val="22"/>
        </w:rPr>
        <w:t>Strontium ranelate is made up of two atoms of stable strontium and one molecule of ranelic acid, the organic part permitting the best compromise in terms of molecular weight, pharmacokinetics and acceptability of the molecule.  The pharmacokinetics of strontium and ranelic acid have been assessed in healthy young men and healthy postmenopausal women, as well as during long-term exposure in postmenopausal osteoporotic women including elderly women.</w:t>
      </w:r>
    </w:p>
    <w:p w:rsidR="00A5171B" w:rsidRDefault="00A5171B">
      <w:pPr>
        <w:tabs>
          <w:tab w:val="left" w:pos="708"/>
        </w:tabs>
        <w:ind w:right="-29"/>
        <w:rPr>
          <w:rFonts w:ascii="Arial" w:hAnsi="Arial" w:cs="Arial"/>
          <w:sz w:val="22"/>
        </w:rPr>
      </w:pPr>
      <w:r>
        <w:rPr>
          <w:rFonts w:ascii="Arial" w:hAnsi="Arial" w:cs="Arial"/>
          <w:sz w:val="22"/>
        </w:rPr>
        <w:t>Due to its high polarity, the absorption, distribution and binding to plasma proteins of ranelic acid are low.  There is no accumulation of ranelic acid and no evidence of metabolism in animals and humans.  Absorbed ranelic acid is rapidly eliminated unchanged via the kidneys.</w:t>
      </w:r>
    </w:p>
    <w:p w:rsidR="00A5171B" w:rsidRDefault="00A5171B">
      <w:pPr>
        <w:pStyle w:val="Heading3"/>
        <w:ind w:right="-29"/>
        <w:rPr>
          <w:rFonts w:ascii="Arial" w:hAnsi="Arial" w:cs="Arial"/>
          <w:b w:val="0"/>
          <w:bCs w:val="0"/>
          <w:sz w:val="22"/>
        </w:rPr>
      </w:pPr>
      <w:r>
        <w:rPr>
          <w:rFonts w:ascii="Arial" w:hAnsi="Arial" w:cs="Arial"/>
          <w:b w:val="0"/>
          <w:bCs w:val="0"/>
          <w:sz w:val="22"/>
        </w:rPr>
        <w:t>Absorption</w:t>
      </w:r>
    </w:p>
    <w:p w:rsidR="00A5171B" w:rsidRDefault="00A5171B">
      <w:pPr>
        <w:tabs>
          <w:tab w:val="left" w:pos="708"/>
        </w:tabs>
        <w:ind w:right="-29"/>
        <w:rPr>
          <w:rFonts w:ascii="Arial" w:hAnsi="Arial" w:cs="Arial"/>
          <w:sz w:val="22"/>
        </w:rPr>
      </w:pPr>
      <w:r>
        <w:rPr>
          <w:rFonts w:ascii="Arial" w:hAnsi="Arial" w:cs="Arial"/>
          <w:sz w:val="22"/>
        </w:rPr>
        <w:t>The absolute bioavailability of strontium is 20-25% after an oral dose of 2g strontium ranelate.  Steady state is reached after two weeks of treatment.  Intake of strontium ranelate with calcium or food reduces the bioavailability of strontium (see Drug Interactions).  Oral supplementation with vitamin D has no effect on strontium exposure.</w:t>
      </w:r>
    </w:p>
    <w:p w:rsidR="00A5171B" w:rsidRDefault="00A5171B">
      <w:pPr>
        <w:pStyle w:val="Heading3"/>
        <w:ind w:right="-29"/>
        <w:rPr>
          <w:rFonts w:ascii="Arial" w:hAnsi="Arial" w:cs="Arial"/>
          <w:b w:val="0"/>
          <w:bCs w:val="0"/>
          <w:sz w:val="22"/>
        </w:rPr>
      </w:pPr>
      <w:r>
        <w:rPr>
          <w:rFonts w:ascii="Arial" w:hAnsi="Arial" w:cs="Arial"/>
          <w:b w:val="0"/>
          <w:bCs w:val="0"/>
          <w:sz w:val="22"/>
        </w:rPr>
        <w:t>Distribution</w:t>
      </w:r>
    </w:p>
    <w:p w:rsidR="00A5171B" w:rsidRDefault="00A5171B">
      <w:pPr>
        <w:tabs>
          <w:tab w:val="left" w:pos="708"/>
        </w:tabs>
        <w:ind w:right="-29"/>
        <w:rPr>
          <w:rFonts w:ascii="Arial" w:hAnsi="Arial" w:cs="Arial"/>
          <w:sz w:val="22"/>
        </w:rPr>
      </w:pPr>
      <w:r>
        <w:rPr>
          <w:rFonts w:ascii="Arial" w:hAnsi="Arial" w:cs="Arial"/>
          <w:sz w:val="22"/>
        </w:rPr>
        <w:t>Strontium has a volume of distribution of about 1L/kg.  The binding of strontium to human plasma proteins is low (25%) and strontium has a high affinity for bone tissue.  There is no accumulation of strontium in non-calcified tissues.</w:t>
      </w:r>
    </w:p>
    <w:p w:rsidR="00A5171B" w:rsidRDefault="00A5171B">
      <w:pPr>
        <w:pStyle w:val="Heading3"/>
        <w:ind w:right="-29"/>
        <w:rPr>
          <w:rFonts w:ascii="Arial" w:hAnsi="Arial" w:cs="Arial"/>
          <w:b w:val="0"/>
          <w:bCs w:val="0"/>
          <w:sz w:val="22"/>
        </w:rPr>
      </w:pPr>
      <w:r>
        <w:rPr>
          <w:rFonts w:ascii="Arial" w:hAnsi="Arial" w:cs="Arial"/>
          <w:b w:val="0"/>
          <w:bCs w:val="0"/>
          <w:sz w:val="22"/>
        </w:rPr>
        <w:t>Biotransformation</w:t>
      </w:r>
    </w:p>
    <w:p w:rsidR="00A5171B" w:rsidRDefault="00A5171B">
      <w:pPr>
        <w:tabs>
          <w:tab w:val="left" w:pos="708"/>
        </w:tabs>
        <w:ind w:right="-29"/>
        <w:rPr>
          <w:rFonts w:ascii="Arial" w:hAnsi="Arial" w:cs="Arial"/>
          <w:sz w:val="22"/>
        </w:rPr>
      </w:pPr>
      <w:r>
        <w:rPr>
          <w:rFonts w:ascii="Arial" w:hAnsi="Arial" w:cs="Arial"/>
          <w:sz w:val="22"/>
        </w:rPr>
        <w:t>As a divalent cation, strontium is not metabolised.  Strontium ranelate does not inhibit cytochrome P</w:t>
      </w:r>
      <w:r>
        <w:rPr>
          <w:rFonts w:ascii="Arial" w:hAnsi="Arial" w:cs="Arial"/>
          <w:sz w:val="22"/>
          <w:vertAlign w:val="subscript"/>
        </w:rPr>
        <w:t>450</w:t>
      </w:r>
      <w:r>
        <w:rPr>
          <w:rFonts w:ascii="Arial" w:hAnsi="Arial" w:cs="Arial"/>
          <w:sz w:val="22"/>
        </w:rPr>
        <w:t xml:space="preserve"> enzymes.</w:t>
      </w:r>
    </w:p>
    <w:p w:rsidR="00A5171B" w:rsidRDefault="00A5171B">
      <w:pPr>
        <w:pStyle w:val="Heading3"/>
        <w:ind w:right="-29"/>
        <w:rPr>
          <w:rFonts w:ascii="Arial" w:hAnsi="Arial" w:cs="Arial"/>
          <w:b w:val="0"/>
          <w:bCs w:val="0"/>
          <w:sz w:val="22"/>
        </w:rPr>
      </w:pPr>
      <w:r>
        <w:rPr>
          <w:rFonts w:ascii="Arial" w:hAnsi="Arial" w:cs="Arial"/>
          <w:b w:val="0"/>
          <w:bCs w:val="0"/>
          <w:sz w:val="22"/>
        </w:rPr>
        <w:t>Elimination</w:t>
      </w:r>
    </w:p>
    <w:p w:rsidR="00A5171B" w:rsidRDefault="00A5171B">
      <w:pPr>
        <w:tabs>
          <w:tab w:val="left" w:pos="708"/>
        </w:tabs>
        <w:ind w:right="-29"/>
        <w:rPr>
          <w:rFonts w:ascii="Arial" w:hAnsi="Arial" w:cs="Arial"/>
          <w:sz w:val="22"/>
        </w:rPr>
      </w:pPr>
      <w:r>
        <w:rPr>
          <w:rFonts w:ascii="Arial" w:hAnsi="Arial" w:cs="Arial"/>
          <w:sz w:val="22"/>
        </w:rPr>
        <w:t>The elimination of strontium is time and dose independent.  The effective half-life of strontium is about 60 hours.  Strontium excretion occurs via the kidneys and the gastrointestinal tract.  Its plasma clearance is about 12mL/min and its renal clearance about 7mL/min.</w:t>
      </w:r>
    </w:p>
    <w:p w:rsidR="00A5171B" w:rsidRDefault="00A5171B">
      <w:pPr>
        <w:pStyle w:val="Heading3"/>
        <w:ind w:right="-29"/>
        <w:rPr>
          <w:rFonts w:ascii="Arial" w:hAnsi="Arial" w:cs="Arial"/>
          <w:b w:val="0"/>
          <w:bCs w:val="0"/>
          <w:sz w:val="22"/>
        </w:rPr>
      </w:pPr>
      <w:r>
        <w:rPr>
          <w:rFonts w:ascii="Arial" w:hAnsi="Arial" w:cs="Arial"/>
          <w:b w:val="0"/>
          <w:bCs w:val="0"/>
          <w:sz w:val="22"/>
        </w:rPr>
        <w:lastRenderedPageBreak/>
        <w:t>Special Populations</w:t>
      </w:r>
    </w:p>
    <w:p w:rsidR="00A5171B" w:rsidRDefault="00A5171B">
      <w:pPr>
        <w:tabs>
          <w:tab w:val="left" w:pos="708"/>
        </w:tabs>
        <w:ind w:right="-29"/>
        <w:rPr>
          <w:rFonts w:ascii="Arial" w:hAnsi="Arial" w:cs="Arial"/>
          <w:sz w:val="22"/>
        </w:rPr>
      </w:pPr>
      <w:r>
        <w:rPr>
          <w:rFonts w:ascii="Arial" w:hAnsi="Arial" w:cs="Arial"/>
          <w:sz w:val="22"/>
        </w:rPr>
        <w:t>In elderly and very elderly patients, no dosage adjustment is required.</w:t>
      </w:r>
    </w:p>
    <w:p w:rsidR="00A5171B" w:rsidRDefault="00A5171B">
      <w:pPr>
        <w:tabs>
          <w:tab w:val="left" w:pos="708"/>
        </w:tabs>
        <w:ind w:right="-29"/>
        <w:rPr>
          <w:rFonts w:ascii="Arial" w:hAnsi="Arial" w:cs="Arial"/>
          <w:bCs/>
          <w:iCs/>
          <w:sz w:val="22"/>
        </w:rPr>
      </w:pPr>
      <w:r>
        <w:rPr>
          <w:rFonts w:ascii="Arial" w:hAnsi="Arial" w:cs="Arial"/>
          <w:bCs/>
          <w:iCs/>
          <w:sz w:val="22"/>
        </w:rPr>
        <w:t>In patients with severe renal impairment, in the absence of specific clinical data, PROTOS is contraindicated.</w:t>
      </w:r>
    </w:p>
    <w:p w:rsidR="00A5171B" w:rsidRDefault="00A5171B">
      <w:pPr>
        <w:tabs>
          <w:tab w:val="left" w:pos="708"/>
        </w:tabs>
        <w:ind w:right="-29"/>
        <w:rPr>
          <w:rFonts w:ascii="Arial" w:hAnsi="Arial" w:cs="Arial"/>
          <w:bCs/>
          <w:iCs/>
          <w:sz w:val="22"/>
        </w:rPr>
      </w:pPr>
      <w:r>
        <w:rPr>
          <w:rFonts w:ascii="Arial" w:hAnsi="Arial" w:cs="Arial"/>
          <w:bCs/>
          <w:iCs/>
          <w:sz w:val="22"/>
        </w:rPr>
        <w:t xml:space="preserve">In patients with mild to moderate renal impairment, no dosage adjustment is required.  Although strontium plasma levels tend to increase in these patients, the safety profile of PROTOS in phase III studies was similar regardless of whether the patients had a creatinine clearance below or above 30mL/min at inclusion. </w:t>
      </w:r>
    </w:p>
    <w:p w:rsidR="00A5171B" w:rsidRDefault="00A5171B">
      <w:pPr>
        <w:pStyle w:val="Heading2"/>
        <w:ind w:right="-29"/>
        <w:rPr>
          <w:rFonts w:ascii="Arial" w:hAnsi="Arial" w:cs="Arial"/>
        </w:rPr>
      </w:pPr>
      <w:r>
        <w:rPr>
          <w:rFonts w:ascii="Arial" w:hAnsi="Arial" w:cs="Arial"/>
        </w:rPr>
        <w:t>Preclinical Safety Data</w:t>
      </w:r>
    </w:p>
    <w:p w:rsidR="00A5171B" w:rsidRDefault="00A5171B">
      <w:pPr>
        <w:ind w:right="-29"/>
        <w:rPr>
          <w:rFonts w:ascii="Arial" w:hAnsi="Arial" w:cs="Arial"/>
          <w:sz w:val="22"/>
        </w:rPr>
      </w:pPr>
      <w:r>
        <w:rPr>
          <w:rFonts w:ascii="Arial" w:hAnsi="Arial" w:cs="Arial"/>
          <w:bCs/>
          <w:iCs/>
          <w:sz w:val="22"/>
        </w:rPr>
        <w:t xml:space="preserve">Chronic oral administration of strontium ranelate at high doses in rodents induced bone and tooth abnormalities, including spontaneous fractures, joined vertebrae and delayed mineralisation. These effects were observed at ≥ 600mg/kg/day in mice and ≥ 625mg/kg/day in rats (where 77mg/kg/day and 200mg/kg/day is the minimum effective dose that increases bone volume in rats and mice respectively) with bone strontium levels </w:t>
      </w:r>
      <w:r>
        <w:rPr>
          <w:rFonts w:ascii="Arial" w:hAnsi="Arial" w:cs="Arial"/>
          <w:bCs/>
          <w:i/>
          <w:sz w:val="22"/>
        </w:rPr>
        <w:t>ca</w:t>
      </w:r>
      <w:r>
        <w:rPr>
          <w:rFonts w:ascii="Arial" w:hAnsi="Arial" w:cs="Arial"/>
          <w:bCs/>
          <w:iCs/>
          <w:sz w:val="22"/>
        </w:rPr>
        <w:t xml:space="preserve"> 4%. Complete mineralisation of bone tissue occurred after cessation of treatment. </w:t>
      </w:r>
      <w:r>
        <w:rPr>
          <w:rFonts w:ascii="Arial" w:hAnsi="Arial" w:cs="Arial"/>
          <w:sz w:val="22"/>
        </w:rPr>
        <w:t>Osteodystrophy was also observed in mice at very high doses i.e. 7500mg/kg/day. (The therapeutic dose of strontium ranelate in humans is 33.3mg/kg/day).</w:t>
      </w:r>
    </w:p>
    <w:p w:rsidR="00A5171B" w:rsidRDefault="00A5171B">
      <w:pPr>
        <w:ind w:right="-29"/>
        <w:rPr>
          <w:rFonts w:ascii="Arial" w:hAnsi="Arial" w:cs="Arial"/>
          <w:sz w:val="22"/>
          <w:lang w:val="en-GB"/>
        </w:rPr>
      </w:pPr>
      <w:r>
        <w:rPr>
          <w:rFonts w:ascii="Arial" w:hAnsi="Arial" w:cs="Arial"/>
          <w:sz w:val="22"/>
          <w:lang w:val="en-GB"/>
        </w:rPr>
        <w:t>Urinary bladder calculi associated with hyperplasia have been observed in one species (mice), and not in ot</w:t>
      </w:r>
      <w:r w:rsidR="00A10DD3">
        <w:rPr>
          <w:rFonts w:ascii="Arial" w:hAnsi="Arial" w:cs="Arial"/>
          <w:sz w:val="22"/>
          <w:lang w:val="en-GB"/>
        </w:rPr>
        <w:t>her species (rats or monkeys).</w:t>
      </w:r>
    </w:p>
    <w:p w:rsidR="00A5171B" w:rsidRDefault="00A5171B">
      <w:pPr>
        <w:pStyle w:val="Heading2"/>
        <w:tabs>
          <w:tab w:val="left" w:pos="8364"/>
          <w:tab w:val="left" w:pos="8477"/>
        </w:tabs>
        <w:ind w:right="-29"/>
        <w:rPr>
          <w:rFonts w:ascii="Arial" w:hAnsi="Arial" w:cs="Arial"/>
        </w:rPr>
      </w:pPr>
      <w:r>
        <w:rPr>
          <w:rFonts w:ascii="Arial" w:hAnsi="Arial" w:cs="Arial"/>
        </w:rPr>
        <w:t>Clinical Trials</w:t>
      </w:r>
    </w:p>
    <w:p w:rsidR="00A5171B" w:rsidRPr="00342D23" w:rsidRDefault="00A5171B">
      <w:pPr>
        <w:pStyle w:val="Heading3"/>
        <w:tabs>
          <w:tab w:val="left" w:pos="8364"/>
          <w:tab w:val="left" w:pos="8477"/>
        </w:tabs>
        <w:ind w:right="-29"/>
        <w:rPr>
          <w:rFonts w:ascii="Arial" w:hAnsi="Arial" w:cs="Arial"/>
          <w:b w:val="0"/>
          <w:bCs w:val="0"/>
          <w:sz w:val="22"/>
        </w:rPr>
      </w:pPr>
      <w:r w:rsidRPr="00342D23">
        <w:rPr>
          <w:rFonts w:ascii="Arial" w:hAnsi="Arial" w:cs="Arial"/>
          <w:b w:val="0"/>
          <w:bCs w:val="0"/>
          <w:sz w:val="22"/>
        </w:rPr>
        <w:t>Treatment of Postmenopausal Osteoporosis</w:t>
      </w:r>
    </w:p>
    <w:p w:rsidR="00A5171B" w:rsidRDefault="00A5171B">
      <w:pPr>
        <w:ind w:right="-29"/>
        <w:rPr>
          <w:rFonts w:ascii="Arial" w:hAnsi="Arial" w:cs="Arial"/>
          <w:sz w:val="22"/>
        </w:rPr>
      </w:pPr>
      <w:r>
        <w:rPr>
          <w:rFonts w:ascii="Arial" w:hAnsi="Arial" w:cs="Arial"/>
          <w:sz w:val="22"/>
        </w:rPr>
        <w:t>At menopause, acceleration of bone turnover leads to a decrease in bone mass and bone mineral density (BMD), leading to bone fragility.  In some women, this results in postmenopausal osteoporosis.  The clinical consequence of osteoporosis is a high risk of fracture.  The risk of fracture increases with the number of risk factors.  These include early menopause, personal history of fracture, family history of osteoporosis, low body weight, smoking, and factors that may favour falls.</w:t>
      </w:r>
    </w:p>
    <w:p w:rsidR="00A5171B" w:rsidRDefault="00A5171B">
      <w:pPr>
        <w:ind w:right="-29"/>
        <w:rPr>
          <w:rFonts w:ascii="Arial" w:hAnsi="Arial" w:cs="Arial"/>
          <w:sz w:val="22"/>
        </w:rPr>
      </w:pPr>
      <w:r>
        <w:rPr>
          <w:rFonts w:ascii="Arial" w:hAnsi="Arial" w:cs="Arial"/>
          <w:sz w:val="22"/>
        </w:rPr>
        <w:t>In postmenopausal women with osteoporosis, PROTOS reduces the incidence of fractures (both vertebral and non-vertebral), and increases bone mass and BMD. The anti-fracture studies program of PROTOS was made up of two international randomised placebo-controlled phase III studies: the Spinal Osteoporosis Therapeutic Intervention (SOTI) study and the Treatment of Peripheral Osteoporosis (TROPOS) study.  In addition to their treatment (2g/day strontium ranelate or placebo), the patients received calcium and vitamin D supplements throughout both studies.</w:t>
      </w:r>
    </w:p>
    <w:p w:rsidR="00A5171B" w:rsidRDefault="00A5171B">
      <w:pPr>
        <w:ind w:right="-29"/>
        <w:rPr>
          <w:rFonts w:ascii="Arial" w:hAnsi="Arial" w:cs="Arial"/>
          <w:sz w:val="22"/>
        </w:rPr>
      </w:pPr>
      <w:r>
        <w:rPr>
          <w:rFonts w:ascii="Arial" w:hAnsi="Arial" w:cs="Arial"/>
          <w:sz w:val="22"/>
        </w:rPr>
        <w:t>The following clinical trial results for SOTI and TR</w:t>
      </w:r>
      <w:r w:rsidR="00A10DD3">
        <w:rPr>
          <w:rFonts w:ascii="Arial" w:hAnsi="Arial" w:cs="Arial"/>
          <w:sz w:val="22"/>
        </w:rPr>
        <w:t>OPOS are based on three years.</w:t>
      </w:r>
    </w:p>
    <w:p w:rsidR="00A5171B" w:rsidRDefault="00A5171B">
      <w:pPr>
        <w:autoSpaceDE w:val="0"/>
        <w:autoSpaceDN w:val="0"/>
        <w:adjustRightInd w:val="0"/>
        <w:ind w:right="-29"/>
        <w:rPr>
          <w:rFonts w:ascii="Arial" w:hAnsi="Arial" w:cs="Arial"/>
          <w:sz w:val="22"/>
          <w:lang w:val="en-US"/>
        </w:rPr>
      </w:pPr>
      <w:r>
        <w:rPr>
          <w:rFonts w:ascii="Arial" w:hAnsi="Arial" w:cs="Arial"/>
          <w:bCs/>
          <w:sz w:val="22"/>
        </w:rPr>
        <w:t xml:space="preserve">The SOTI study involved 1,649 postmenopausal women with established osteoporosis (low lumbar BMD and prevalent vertebral fracture) and a mean age of 70 years. The primary efficacy endpoint of this study </w:t>
      </w:r>
      <w:r>
        <w:rPr>
          <w:rFonts w:ascii="Arial" w:hAnsi="Arial" w:cs="Arial"/>
          <w:sz w:val="22"/>
          <w:lang w:val="en-US"/>
        </w:rPr>
        <w:t xml:space="preserve">was the reduction over time in the incidence of a new </w:t>
      </w:r>
      <w:r>
        <w:rPr>
          <w:rFonts w:ascii="Arial" w:hAnsi="Arial" w:cs="Arial"/>
          <w:sz w:val="22"/>
          <w:lang w:val="en-US"/>
        </w:rPr>
        <w:lastRenderedPageBreak/>
        <w:t>vertebral fracture in osteoporotic postmenopausal women. The study compared the efficacy of strontium ranelate 2g/day with placebo.</w:t>
      </w:r>
    </w:p>
    <w:p w:rsidR="00A5171B" w:rsidRDefault="00A5171B">
      <w:pPr>
        <w:pStyle w:val="BodyText2"/>
        <w:tabs>
          <w:tab w:val="left" w:pos="8477"/>
        </w:tabs>
        <w:ind w:left="0" w:right="-29" w:firstLine="0"/>
        <w:rPr>
          <w:rFonts w:ascii="Arial" w:hAnsi="Arial" w:cs="Arial"/>
          <w:b w:val="0"/>
          <w:lang w:val="en-AU"/>
        </w:rPr>
      </w:pPr>
      <w:r>
        <w:rPr>
          <w:rFonts w:ascii="Arial" w:hAnsi="Arial" w:cs="Arial"/>
          <w:b w:val="0"/>
          <w:lang w:val="en-AU"/>
        </w:rPr>
        <w:t xml:space="preserve">Patients included in the study had mean menopause duration of 22±9 years, and </w:t>
      </w:r>
      <w:r>
        <w:rPr>
          <w:rFonts w:ascii="Arial" w:hAnsi="Arial" w:cs="Arial"/>
          <w:b w:val="0"/>
          <w:lang w:val="en-US"/>
        </w:rPr>
        <w:t>had a mean lumbar BMD T-score of –3.6±1.3 (T-scores were calculated according to the reference population used in the study, Slosman D.O 1994). 83% of patients had a lumbar BMD T-score ≤-2.5  (Slosman D.O 1994).</w:t>
      </w:r>
      <w:r>
        <w:rPr>
          <w:rFonts w:ascii="Arial" w:hAnsi="Arial" w:cs="Arial"/>
          <w:b w:val="0"/>
        </w:rPr>
        <w:t xml:space="preserve"> </w:t>
      </w:r>
      <w:r>
        <w:rPr>
          <w:rFonts w:ascii="Arial" w:hAnsi="Arial" w:cs="Arial"/>
          <w:b w:val="0"/>
          <w:lang w:val="en-AU"/>
        </w:rPr>
        <w:t xml:space="preserve"> </w:t>
      </w:r>
      <w:r>
        <w:rPr>
          <w:rFonts w:ascii="Arial" w:hAnsi="Arial" w:cs="Arial"/>
          <w:b w:val="0"/>
        </w:rPr>
        <w:t xml:space="preserve">In patients treated with PROTOS over three years, </w:t>
      </w:r>
      <w:r>
        <w:rPr>
          <w:rFonts w:ascii="Arial" w:hAnsi="Arial" w:cs="Arial"/>
          <w:b w:val="0"/>
          <w:lang w:val="en-AU"/>
        </w:rPr>
        <w:t>there was a statistically significant reduction in the risk of experiencing a new vertebral fracture (see Table 1).</w:t>
      </w:r>
    </w:p>
    <w:p w:rsidR="00A5171B" w:rsidRDefault="00A5171B" w:rsidP="00365AA3">
      <w:pPr>
        <w:pStyle w:val="BodyText2"/>
        <w:spacing w:after="240"/>
        <w:ind w:left="0" w:right="255" w:firstLine="0"/>
        <w:jc w:val="center"/>
        <w:rPr>
          <w:rFonts w:ascii="Arial" w:hAnsi="Arial" w:cs="Arial"/>
          <w:sz w:val="20"/>
        </w:rPr>
      </w:pPr>
      <w:r>
        <w:rPr>
          <w:rFonts w:ascii="Arial" w:hAnsi="Arial" w:cs="Arial"/>
          <w:sz w:val="20"/>
        </w:rPr>
        <w:t>Table 1: SOTI -Incidence of patients with new vertebral fracture</w:t>
      </w:r>
    </w:p>
    <w:tbl>
      <w:tblPr>
        <w:tblW w:w="0" w:type="auto"/>
        <w:jc w:val="center"/>
        <w:tblInd w:w="-3014" w:type="dxa"/>
        <w:tblBorders>
          <w:top w:val="single" w:sz="6" w:space="0" w:color="auto"/>
          <w:bottom w:val="single" w:sz="6" w:space="0" w:color="auto"/>
          <w:insideH w:val="single" w:sz="6" w:space="0" w:color="auto"/>
          <w:insideV w:val="single" w:sz="6" w:space="0" w:color="auto"/>
        </w:tblBorders>
        <w:tblCellMar>
          <w:left w:w="70" w:type="dxa"/>
          <w:right w:w="70" w:type="dxa"/>
        </w:tblCellMar>
        <w:tblLook w:val="0000"/>
      </w:tblPr>
      <w:tblGrid>
        <w:gridCol w:w="2117"/>
        <w:gridCol w:w="1276"/>
        <w:gridCol w:w="1276"/>
        <w:gridCol w:w="1707"/>
        <w:gridCol w:w="2075"/>
      </w:tblGrid>
      <w:tr w:rsidR="00A5171B">
        <w:tblPrEx>
          <w:tblCellMar>
            <w:top w:w="0" w:type="dxa"/>
            <w:bottom w:w="0" w:type="dxa"/>
          </w:tblCellMar>
        </w:tblPrEx>
        <w:trPr>
          <w:jc w:val="center"/>
        </w:trPr>
        <w:tc>
          <w:tcPr>
            <w:tcW w:w="2117" w:type="dxa"/>
            <w:tcBorders>
              <w:left w:val="single" w:sz="6" w:space="0" w:color="auto"/>
              <w:right w:val="nil"/>
            </w:tcBorders>
          </w:tcPr>
          <w:p w:rsidR="00A5171B" w:rsidRDefault="00A5171B">
            <w:pPr>
              <w:spacing w:before="60" w:after="60"/>
              <w:ind w:right="255"/>
              <w:rPr>
                <w:rFonts w:ascii="Arial" w:hAnsi="Arial" w:cs="Arial"/>
                <w:b/>
                <w:bCs/>
                <w:sz w:val="20"/>
              </w:rPr>
            </w:pPr>
          </w:p>
        </w:tc>
        <w:tc>
          <w:tcPr>
            <w:tcW w:w="1276" w:type="dxa"/>
            <w:tcBorders>
              <w:right w:val="single" w:sz="6" w:space="0" w:color="auto"/>
            </w:tcBorders>
          </w:tcPr>
          <w:p w:rsidR="00A5171B" w:rsidRDefault="00A5171B">
            <w:pPr>
              <w:spacing w:before="60" w:after="60"/>
              <w:ind w:right="255"/>
              <w:jc w:val="center"/>
              <w:rPr>
                <w:rFonts w:ascii="Arial" w:hAnsi="Arial" w:cs="Arial"/>
                <w:b/>
                <w:bCs/>
                <w:sz w:val="20"/>
              </w:rPr>
            </w:pPr>
            <w:r>
              <w:rPr>
                <w:rFonts w:ascii="Arial" w:hAnsi="Arial" w:cs="Arial"/>
                <w:b/>
                <w:bCs/>
                <w:sz w:val="20"/>
              </w:rPr>
              <w:t>PROTOS</w:t>
            </w:r>
          </w:p>
          <w:p w:rsidR="00A5171B" w:rsidRDefault="00A5171B">
            <w:pPr>
              <w:spacing w:before="60" w:after="60"/>
              <w:ind w:right="255"/>
              <w:jc w:val="center"/>
              <w:rPr>
                <w:rFonts w:ascii="Arial" w:hAnsi="Arial" w:cs="Arial"/>
                <w:b/>
                <w:bCs/>
                <w:sz w:val="20"/>
              </w:rPr>
            </w:pPr>
            <w:r>
              <w:rPr>
                <w:rFonts w:ascii="Arial" w:hAnsi="Arial" w:cs="Arial"/>
                <w:b/>
                <w:bCs/>
                <w:sz w:val="20"/>
              </w:rPr>
              <w:t>N=719</w:t>
            </w:r>
          </w:p>
        </w:tc>
        <w:tc>
          <w:tcPr>
            <w:tcW w:w="1276" w:type="dxa"/>
            <w:tcBorders>
              <w:left w:val="single" w:sz="6" w:space="0" w:color="auto"/>
              <w:right w:val="single" w:sz="6" w:space="0" w:color="auto"/>
            </w:tcBorders>
          </w:tcPr>
          <w:p w:rsidR="00A5171B" w:rsidRDefault="00A5171B">
            <w:pPr>
              <w:spacing w:before="60" w:after="60"/>
              <w:ind w:right="255"/>
              <w:jc w:val="center"/>
              <w:rPr>
                <w:rFonts w:ascii="Arial" w:hAnsi="Arial" w:cs="Arial"/>
                <w:b/>
                <w:bCs/>
                <w:sz w:val="20"/>
              </w:rPr>
            </w:pPr>
            <w:r>
              <w:rPr>
                <w:rFonts w:ascii="Arial" w:hAnsi="Arial" w:cs="Arial"/>
                <w:b/>
                <w:bCs/>
                <w:sz w:val="20"/>
              </w:rPr>
              <w:t>Placebo</w:t>
            </w:r>
          </w:p>
          <w:p w:rsidR="00A5171B" w:rsidRDefault="00A5171B">
            <w:pPr>
              <w:spacing w:before="60" w:after="60"/>
              <w:ind w:right="255"/>
              <w:jc w:val="center"/>
              <w:rPr>
                <w:rFonts w:ascii="Arial" w:hAnsi="Arial" w:cs="Arial"/>
                <w:b/>
                <w:bCs/>
                <w:sz w:val="20"/>
              </w:rPr>
            </w:pPr>
            <w:r>
              <w:rPr>
                <w:rFonts w:ascii="Arial" w:hAnsi="Arial" w:cs="Arial"/>
                <w:b/>
                <w:bCs/>
                <w:sz w:val="20"/>
              </w:rPr>
              <w:t>N=723</w:t>
            </w:r>
          </w:p>
        </w:tc>
        <w:tc>
          <w:tcPr>
            <w:tcW w:w="1707" w:type="dxa"/>
            <w:tcBorders>
              <w:left w:val="single" w:sz="6" w:space="0" w:color="auto"/>
              <w:right w:val="single" w:sz="6" w:space="0" w:color="auto"/>
            </w:tcBorders>
          </w:tcPr>
          <w:p w:rsidR="00A5171B" w:rsidRDefault="00A5171B">
            <w:pPr>
              <w:spacing w:before="60" w:after="60"/>
              <w:ind w:right="255"/>
              <w:jc w:val="center"/>
              <w:rPr>
                <w:rFonts w:ascii="Arial" w:hAnsi="Arial" w:cs="Arial"/>
                <w:b/>
                <w:bCs/>
                <w:sz w:val="20"/>
              </w:rPr>
            </w:pPr>
            <w:r>
              <w:rPr>
                <w:rFonts w:ascii="Arial" w:hAnsi="Arial" w:cs="Arial"/>
                <w:b/>
                <w:bCs/>
                <w:sz w:val="20"/>
              </w:rPr>
              <w:t>Number Needed to Treat (NNT), (95%CI)</w:t>
            </w:r>
          </w:p>
        </w:tc>
        <w:tc>
          <w:tcPr>
            <w:tcW w:w="2075" w:type="dxa"/>
            <w:tcBorders>
              <w:left w:val="single" w:sz="6" w:space="0" w:color="auto"/>
              <w:right w:val="single" w:sz="6" w:space="0" w:color="auto"/>
            </w:tcBorders>
          </w:tcPr>
          <w:p w:rsidR="00A5171B" w:rsidRDefault="00A5171B">
            <w:pPr>
              <w:spacing w:before="60" w:after="60"/>
              <w:ind w:right="255"/>
              <w:jc w:val="center"/>
              <w:rPr>
                <w:rFonts w:ascii="Arial" w:hAnsi="Arial" w:cs="Arial"/>
                <w:b/>
                <w:bCs/>
                <w:sz w:val="20"/>
              </w:rPr>
            </w:pPr>
            <w:r>
              <w:rPr>
                <w:rFonts w:ascii="Arial" w:hAnsi="Arial" w:cs="Arial"/>
                <w:b/>
                <w:bCs/>
                <w:sz w:val="20"/>
              </w:rPr>
              <w:t>Relative Risk Reduction vs. placebo (95%CI), p value</w:t>
            </w:r>
          </w:p>
        </w:tc>
      </w:tr>
      <w:tr w:rsidR="00A5171B">
        <w:tblPrEx>
          <w:tblCellMar>
            <w:top w:w="0" w:type="dxa"/>
            <w:bottom w:w="0" w:type="dxa"/>
          </w:tblCellMar>
        </w:tblPrEx>
        <w:trPr>
          <w:jc w:val="center"/>
        </w:trPr>
        <w:tc>
          <w:tcPr>
            <w:tcW w:w="2117" w:type="dxa"/>
            <w:tcBorders>
              <w:top w:val="nil"/>
              <w:left w:val="single" w:sz="6" w:space="0" w:color="auto"/>
              <w:bottom w:val="nil"/>
              <w:right w:val="nil"/>
            </w:tcBorders>
          </w:tcPr>
          <w:p w:rsidR="00A5171B" w:rsidRDefault="00A5171B">
            <w:pPr>
              <w:spacing w:before="60" w:after="60"/>
              <w:ind w:right="255"/>
              <w:rPr>
                <w:rFonts w:ascii="Arial" w:hAnsi="Arial" w:cs="Arial"/>
                <w:b/>
                <w:bCs/>
                <w:sz w:val="20"/>
                <w:lang w:val="en-US"/>
              </w:rPr>
            </w:pPr>
            <w:r>
              <w:rPr>
                <w:rFonts w:ascii="Arial" w:hAnsi="Arial" w:cs="Arial"/>
                <w:b/>
                <w:bCs/>
                <w:sz w:val="20"/>
                <w:lang w:val="en-US"/>
              </w:rPr>
              <w:t>New vertebral fracture</w:t>
            </w:r>
            <w:r>
              <w:rPr>
                <w:rFonts w:ascii="Arial" w:hAnsi="Arial" w:cs="Arial"/>
                <w:b/>
                <w:bCs/>
                <w:sz w:val="20"/>
                <w:lang w:val="en-US"/>
              </w:rPr>
              <w:br/>
              <w:t>over 3 years</w:t>
            </w:r>
          </w:p>
        </w:tc>
        <w:tc>
          <w:tcPr>
            <w:tcW w:w="1276" w:type="dxa"/>
            <w:tcBorders>
              <w:top w:val="nil"/>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20.9%</w:t>
            </w:r>
          </w:p>
        </w:tc>
        <w:tc>
          <w:tcPr>
            <w:tcW w:w="1276"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32.8%</w:t>
            </w:r>
          </w:p>
        </w:tc>
        <w:tc>
          <w:tcPr>
            <w:tcW w:w="1707"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 xml:space="preserve">9 </w:t>
            </w:r>
            <w:r>
              <w:rPr>
                <w:rFonts w:ascii="Arial" w:hAnsi="Arial" w:cs="Arial"/>
                <w:sz w:val="20"/>
                <w:lang w:val="en-US"/>
              </w:rPr>
              <w:br/>
              <w:t>(6-14)</w:t>
            </w:r>
          </w:p>
        </w:tc>
        <w:tc>
          <w:tcPr>
            <w:tcW w:w="2075"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41% (27-52), p&lt;0.001</w:t>
            </w:r>
          </w:p>
        </w:tc>
      </w:tr>
      <w:tr w:rsidR="00A5171B">
        <w:tblPrEx>
          <w:tblCellMar>
            <w:top w:w="0" w:type="dxa"/>
            <w:bottom w:w="0" w:type="dxa"/>
          </w:tblCellMar>
        </w:tblPrEx>
        <w:trPr>
          <w:jc w:val="center"/>
        </w:trPr>
        <w:tc>
          <w:tcPr>
            <w:tcW w:w="2117" w:type="dxa"/>
            <w:tcBorders>
              <w:top w:val="nil"/>
              <w:left w:val="single" w:sz="6" w:space="0" w:color="auto"/>
              <w:bottom w:val="nil"/>
              <w:right w:val="nil"/>
            </w:tcBorders>
          </w:tcPr>
          <w:p w:rsidR="00A5171B" w:rsidRDefault="00A5171B">
            <w:pPr>
              <w:spacing w:before="60" w:after="60"/>
              <w:ind w:right="255"/>
              <w:rPr>
                <w:rFonts w:ascii="Arial" w:hAnsi="Arial" w:cs="Arial"/>
                <w:b/>
                <w:bCs/>
                <w:sz w:val="20"/>
                <w:lang w:val="en-US"/>
              </w:rPr>
            </w:pPr>
            <w:r>
              <w:rPr>
                <w:rFonts w:ascii="Arial" w:hAnsi="Arial" w:cs="Arial"/>
                <w:b/>
                <w:bCs/>
                <w:sz w:val="20"/>
                <w:lang w:val="en-US"/>
              </w:rPr>
              <w:t>New vertebral fracture</w:t>
            </w:r>
            <w:r>
              <w:rPr>
                <w:rFonts w:ascii="Arial" w:hAnsi="Arial" w:cs="Arial"/>
                <w:b/>
                <w:bCs/>
                <w:sz w:val="20"/>
                <w:lang w:val="en-US"/>
              </w:rPr>
              <w:br/>
              <w:t>over the 1</w:t>
            </w:r>
            <w:r>
              <w:rPr>
                <w:rFonts w:ascii="Arial" w:hAnsi="Arial" w:cs="Arial"/>
                <w:b/>
                <w:bCs/>
                <w:sz w:val="20"/>
                <w:vertAlign w:val="superscript"/>
                <w:lang w:val="en-US"/>
              </w:rPr>
              <w:t>st</w:t>
            </w:r>
            <w:r>
              <w:rPr>
                <w:rFonts w:ascii="Arial" w:hAnsi="Arial" w:cs="Arial"/>
                <w:b/>
                <w:bCs/>
                <w:sz w:val="20"/>
                <w:lang w:val="en-US"/>
              </w:rPr>
              <w:t xml:space="preserve"> year</w:t>
            </w:r>
          </w:p>
        </w:tc>
        <w:tc>
          <w:tcPr>
            <w:tcW w:w="1276" w:type="dxa"/>
            <w:tcBorders>
              <w:top w:val="nil"/>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6.1%</w:t>
            </w:r>
          </w:p>
        </w:tc>
        <w:tc>
          <w:tcPr>
            <w:tcW w:w="1276"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11.8%</w:t>
            </w:r>
          </w:p>
        </w:tc>
        <w:tc>
          <w:tcPr>
            <w:tcW w:w="1707"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 xml:space="preserve">18 </w:t>
            </w:r>
            <w:r>
              <w:rPr>
                <w:rFonts w:ascii="Arial" w:hAnsi="Arial" w:cs="Arial"/>
                <w:sz w:val="20"/>
                <w:lang w:val="en-US"/>
              </w:rPr>
              <w:br/>
              <w:t>(11-37)</w:t>
            </w:r>
          </w:p>
        </w:tc>
        <w:tc>
          <w:tcPr>
            <w:tcW w:w="2075"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49% (26-64), p&lt;0.001</w:t>
            </w:r>
          </w:p>
        </w:tc>
      </w:tr>
      <w:tr w:rsidR="00A5171B">
        <w:tblPrEx>
          <w:tblCellMar>
            <w:top w:w="0" w:type="dxa"/>
            <w:bottom w:w="0" w:type="dxa"/>
          </w:tblCellMar>
        </w:tblPrEx>
        <w:trPr>
          <w:jc w:val="center"/>
        </w:trPr>
        <w:tc>
          <w:tcPr>
            <w:tcW w:w="2117" w:type="dxa"/>
            <w:tcBorders>
              <w:top w:val="nil"/>
              <w:left w:val="single" w:sz="6" w:space="0" w:color="auto"/>
              <w:right w:val="nil"/>
            </w:tcBorders>
          </w:tcPr>
          <w:p w:rsidR="00A5171B" w:rsidRDefault="00A5171B">
            <w:pPr>
              <w:spacing w:before="60" w:after="60"/>
              <w:ind w:right="255"/>
              <w:rPr>
                <w:rFonts w:ascii="Arial" w:hAnsi="Arial" w:cs="Arial"/>
                <w:b/>
                <w:bCs/>
                <w:sz w:val="20"/>
                <w:lang w:val="en-US"/>
              </w:rPr>
            </w:pPr>
            <w:r>
              <w:rPr>
                <w:rFonts w:ascii="Arial" w:hAnsi="Arial" w:cs="Arial"/>
                <w:b/>
                <w:bCs/>
                <w:sz w:val="20"/>
                <w:lang w:val="en-US"/>
              </w:rPr>
              <w:t>New clinical vertebral fracture over 3 years</w:t>
            </w:r>
          </w:p>
        </w:tc>
        <w:tc>
          <w:tcPr>
            <w:tcW w:w="1276" w:type="dxa"/>
            <w:tcBorders>
              <w:top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11.3%</w:t>
            </w:r>
          </w:p>
        </w:tc>
        <w:tc>
          <w:tcPr>
            <w:tcW w:w="1276" w:type="dxa"/>
            <w:tcBorders>
              <w:top w:val="nil"/>
              <w:left w:val="single" w:sz="6" w:space="0" w:color="auto"/>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17.4%</w:t>
            </w:r>
          </w:p>
        </w:tc>
        <w:tc>
          <w:tcPr>
            <w:tcW w:w="1707" w:type="dxa"/>
            <w:tcBorders>
              <w:top w:val="nil"/>
              <w:left w:val="single" w:sz="6" w:space="0" w:color="auto"/>
              <w:right w:val="single" w:sz="6" w:space="0" w:color="auto"/>
            </w:tcBorders>
          </w:tcPr>
          <w:p w:rsidR="00A5171B" w:rsidRDefault="00A5171B">
            <w:pPr>
              <w:spacing w:before="60" w:after="60"/>
              <w:ind w:left="485" w:right="255"/>
              <w:rPr>
                <w:rFonts w:ascii="Arial" w:hAnsi="Arial" w:cs="Arial"/>
                <w:sz w:val="20"/>
                <w:lang w:val="en-US"/>
              </w:rPr>
            </w:pPr>
            <w:r>
              <w:rPr>
                <w:rFonts w:ascii="Arial" w:hAnsi="Arial" w:cs="Arial"/>
                <w:sz w:val="20"/>
                <w:lang w:val="en-US"/>
              </w:rPr>
              <w:t xml:space="preserve">    16 </w:t>
            </w:r>
            <w:r>
              <w:rPr>
                <w:rFonts w:ascii="Arial" w:hAnsi="Arial" w:cs="Arial"/>
                <w:sz w:val="20"/>
                <w:lang w:val="en-US"/>
              </w:rPr>
              <w:br/>
              <w:t>(10-43)</w:t>
            </w:r>
          </w:p>
        </w:tc>
        <w:tc>
          <w:tcPr>
            <w:tcW w:w="2075" w:type="dxa"/>
            <w:tcBorders>
              <w:top w:val="nil"/>
              <w:left w:val="single" w:sz="6" w:space="0" w:color="auto"/>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38% (17-53), p&lt;0.001</w:t>
            </w:r>
          </w:p>
        </w:tc>
      </w:tr>
    </w:tbl>
    <w:p w:rsidR="00A5171B" w:rsidRDefault="00A5171B">
      <w:pPr>
        <w:autoSpaceDE w:val="0"/>
        <w:autoSpaceDN w:val="0"/>
        <w:adjustRightInd w:val="0"/>
        <w:ind w:right="-29"/>
        <w:rPr>
          <w:rFonts w:ascii="Arial" w:hAnsi="Arial" w:cs="Arial"/>
          <w:b/>
          <w:sz w:val="22"/>
          <w:lang w:val="en-US"/>
        </w:rPr>
      </w:pPr>
      <w:bookmarkStart w:id="0" w:name="OLE_LINK1"/>
      <w:r>
        <w:rPr>
          <w:rFonts w:ascii="Arial" w:hAnsi="Arial" w:cs="Arial"/>
          <w:sz w:val="22"/>
        </w:rPr>
        <w:t xml:space="preserve">The TROPOS study involved 5,091 postmenopausal women with </w:t>
      </w:r>
      <w:r>
        <w:rPr>
          <w:rFonts w:ascii="Arial" w:hAnsi="Arial" w:cs="Arial"/>
          <w:sz w:val="22"/>
          <w:lang w:val="en-US"/>
        </w:rPr>
        <w:t>mean menopause duration of 28</w:t>
      </w:r>
      <w:r>
        <w:rPr>
          <w:rFonts w:ascii="Arial" w:hAnsi="Arial" w:cs="Arial"/>
          <w:bCs/>
          <w:sz w:val="22"/>
          <w:lang w:val="en-US"/>
        </w:rPr>
        <w:t xml:space="preserve">±7 years </w:t>
      </w:r>
      <w:r>
        <w:rPr>
          <w:rFonts w:ascii="Arial" w:hAnsi="Arial" w:cs="Arial"/>
          <w:bCs/>
          <w:sz w:val="22"/>
        </w:rPr>
        <w:t xml:space="preserve">and a mean age of 77 years. </w:t>
      </w:r>
      <w:r>
        <w:rPr>
          <w:rFonts w:ascii="Arial" w:hAnsi="Arial" w:cs="Arial"/>
          <w:bCs/>
          <w:sz w:val="22"/>
          <w:lang w:val="en-US"/>
        </w:rPr>
        <w:t xml:space="preserve">Patients had </w:t>
      </w:r>
      <w:r>
        <w:rPr>
          <w:rFonts w:ascii="Arial" w:hAnsi="Arial" w:cs="Arial"/>
          <w:sz w:val="22"/>
        </w:rPr>
        <w:t>osteoporosis (low femoral neck BMD)</w:t>
      </w:r>
      <w:r>
        <w:rPr>
          <w:rFonts w:ascii="Arial" w:hAnsi="Arial" w:cs="Arial"/>
          <w:bCs/>
          <w:sz w:val="22"/>
        </w:rPr>
        <w:t xml:space="preserve"> and more than half had at least one prevalent osteoporosis-related fracture.  </w:t>
      </w:r>
      <w:bookmarkEnd w:id="0"/>
      <w:r>
        <w:rPr>
          <w:rFonts w:ascii="Arial" w:hAnsi="Arial" w:cs="Arial"/>
          <w:sz w:val="22"/>
          <w:lang w:val="en-US"/>
        </w:rPr>
        <w:t>The primary efficacy endpoint of this study was the reduction over time in the incidence of an osteoporosis-related peripheral fracture in osteoporotic postmenopausal women. The study compared the efficacy of strontium ranelate 2g/day with placebo.</w:t>
      </w:r>
    </w:p>
    <w:p w:rsidR="00A5171B" w:rsidRDefault="00A5171B">
      <w:pPr>
        <w:ind w:right="-29"/>
        <w:rPr>
          <w:rFonts w:ascii="Arial" w:hAnsi="Arial" w:cs="Arial"/>
          <w:sz w:val="22"/>
        </w:rPr>
      </w:pPr>
      <w:r>
        <w:rPr>
          <w:rFonts w:ascii="Arial" w:hAnsi="Arial" w:cs="Arial"/>
          <w:sz w:val="22"/>
          <w:lang w:val="en-US"/>
        </w:rPr>
        <w:t>The study population had a mean femoral neck BMD T-score of – 3.1±0.6  (Slosman D.O 1994), and 89% of patients had a femoral neck BMD T-score ≤-2.5 (Slosman D.O 1994).</w:t>
      </w:r>
      <w:r>
        <w:rPr>
          <w:rFonts w:ascii="Arial" w:hAnsi="Arial" w:cs="Arial"/>
          <w:sz w:val="22"/>
        </w:rPr>
        <w:t xml:space="preserve"> </w:t>
      </w:r>
    </w:p>
    <w:p w:rsidR="00A5171B" w:rsidRDefault="00A5171B">
      <w:pPr>
        <w:ind w:right="-29"/>
        <w:rPr>
          <w:rFonts w:ascii="Arial" w:hAnsi="Arial" w:cs="Arial"/>
          <w:sz w:val="22"/>
        </w:rPr>
      </w:pPr>
      <w:r>
        <w:rPr>
          <w:rFonts w:ascii="Arial" w:hAnsi="Arial" w:cs="Arial"/>
          <w:sz w:val="22"/>
        </w:rPr>
        <w:t>In patients treated with PROTOS over three years, there was a statistically significant reduction in the risk of experiencing a non-vertebral fracture (see Table 2).</w:t>
      </w:r>
    </w:p>
    <w:p w:rsidR="00A5171B" w:rsidRDefault="00365AA3" w:rsidP="00365AA3">
      <w:pPr>
        <w:pStyle w:val="a"/>
        <w:tabs>
          <w:tab w:val="clear" w:pos="4819"/>
          <w:tab w:val="clear" w:pos="9071"/>
        </w:tabs>
        <w:spacing w:after="240"/>
        <w:ind w:left="720" w:right="255"/>
        <w:jc w:val="both"/>
        <w:rPr>
          <w:rFonts w:ascii="Arial" w:hAnsi="Arial" w:cs="Arial"/>
          <w:b/>
          <w:bCs/>
          <w:lang w:val="en-US"/>
        </w:rPr>
      </w:pPr>
      <w:r>
        <w:rPr>
          <w:rFonts w:ascii="Arial" w:hAnsi="Arial" w:cs="Arial"/>
          <w:b/>
          <w:bCs/>
          <w:lang w:val="en-US"/>
        </w:rPr>
        <w:br w:type="page"/>
      </w:r>
      <w:r w:rsidR="00A5171B">
        <w:rPr>
          <w:rFonts w:ascii="Arial" w:hAnsi="Arial" w:cs="Arial"/>
          <w:b/>
          <w:bCs/>
          <w:lang w:val="en-US"/>
        </w:rPr>
        <w:lastRenderedPageBreak/>
        <w:t>Table 2: TROPOS -Incidence of patients with non-vertebral fracture</w:t>
      </w:r>
    </w:p>
    <w:tbl>
      <w:tblPr>
        <w:tblW w:w="8481" w:type="dxa"/>
        <w:jc w:val="center"/>
        <w:tblInd w:w="1884" w:type="dxa"/>
        <w:tblBorders>
          <w:top w:val="single" w:sz="6" w:space="0" w:color="auto"/>
          <w:bottom w:val="single" w:sz="6" w:space="0" w:color="auto"/>
          <w:insideH w:val="single" w:sz="6" w:space="0" w:color="auto"/>
          <w:insideV w:val="single" w:sz="6" w:space="0" w:color="auto"/>
        </w:tblBorders>
        <w:tblCellMar>
          <w:left w:w="70" w:type="dxa"/>
          <w:right w:w="70" w:type="dxa"/>
        </w:tblCellMar>
        <w:tblLook w:val="0000"/>
      </w:tblPr>
      <w:tblGrid>
        <w:gridCol w:w="2213"/>
        <w:gridCol w:w="1240"/>
        <w:gridCol w:w="1340"/>
        <w:gridCol w:w="1763"/>
        <w:gridCol w:w="1925"/>
      </w:tblGrid>
      <w:tr w:rsidR="00A5171B" w:rsidTr="00365AA3">
        <w:tblPrEx>
          <w:tblCellMar>
            <w:top w:w="0" w:type="dxa"/>
            <w:bottom w:w="0" w:type="dxa"/>
          </w:tblCellMar>
        </w:tblPrEx>
        <w:trPr>
          <w:jc w:val="center"/>
        </w:trPr>
        <w:tc>
          <w:tcPr>
            <w:tcW w:w="2213" w:type="dxa"/>
            <w:tcBorders>
              <w:left w:val="single" w:sz="6" w:space="0" w:color="auto"/>
              <w:right w:val="single" w:sz="6" w:space="0" w:color="auto"/>
            </w:tcBorders>
          </w:tcPr>
          <w:p w:rsidR="00A5171B" w:rsidRDefault="00A5171B">
            <w:pPr>
              <w:spacing w:before="60" w:after="60"/>
              <w:ind w:right="255"/>
              <w:rPr>
                <w:rFonts w:ascii="Arial" w:hAnsi="Arial" w:cs="Arial"/>
                <w:sz w:val="20"/>
                <w:lang w:val="en-US"/>
              </w:rPr>
            </w:pPr>
          </w:p>
        </w:tc>
        <w:tc>
          <w:tcPr>
            <w:tcW w:w="1240" w:type="dxa"/>
            <w:tcBorders>
              <w:left w:val="single" w:sz="6" w:space="0" w:color="auto"/>
              <w:right w:val="single" w:sz="6" w:space="0" w:color="auto"/>
            </w:tcBorders>
          </w:tcPr>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PROTOS</w:t>
            </w:r>
          </w:p>
          <w:p w:rsidR="00A5171B" w:rsidRDefault="00A5171B">
            <w:pPr>
              <w:spacing w:before="60" w:after="60"/>
              <w:ind w:right="255"/>
              <w:jc w:val="center"/>
              <w:rPr>
                <w:rFonts w:ascii="Arial" w:hAnsi="Arial" w:cs="Arial"/>
                <w:b/>
                <w:bCs/>
                <w:sz w:val="20"/>
                <w:lang w:val="en-US"/>
              </w:rPr>
            </w:pPr>
          </w:p>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N=2479</w:t>
            </w:r>
          </w:p>
        </w:tc>
        <w:tc>
          <w:tcPr>
            <w:tcW w:w="1340" w:type="dxa"/>
            <w:tcBorders>
              <w:left w:val="single" w:sz="6" w:space="0" w:color="auto"/>
              <w:right w:val="single" w:sz="6" w:space="0" w:color="auto"/>
            </w:tcBorders>
          </w:tcPr>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Placebo</w:t>
            </w:r>
          </w:p>
          <w:p w:rsidR="00A5171B" w:rsidRDefault="00A5171B">
            <w:pPr>
              <w:spacing w:before="60" w:after="60"/>
              <w:ind w:right="255"/>
              <w:jc w:val="center"/>
              <w:rPr>
                <w:rFonts w:ascii="Arial" w:hAnsi="Arial" w:cs="Arial"/>
                <w:b/>
                <w:bCs/>
                <w:sz w:val="20"/>
                <w:lang w:val="en-US"/>
              </w:rPr>
            </w:pPr>
          </w:p>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N=2453</w:t>
            </w:r>
          </w:p>
        </w:tc>
        <w:tc>
          <w:tcPr>
            <w:tcW w:w="1763" w:type="dxa"/>
            <w:tcBorders>
              <w:left w:val="nil"/>
              <w:right w:val="single" w:sz="6" w:space="0" w:color="auto"/>
            </w:tcBorders>
          </w:tcPr>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Number Needed to Treat (NNT), (95%CI)</w:t>
            </w:r>
          </w:p>
        </w:tc>
        <w:tc>
          <w:tcPr>
            <w:tcW w:w="1925" w:type="dxa"/>
            <w:tcBorders>
              <w:left w:val="nil"/>
              <w:right w:val="single" w:sz="6" w:space="0" w:color="auto"/>
            </w:tcBorders>
          </w:tcPr>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Relative Risk Reduction vs. placebo (95%CI), p value</w:t>
            </w:r>
          </w:p>
        </w:tc>
      </w:tr>
      <w:tr w:rsidR="00A5171B" w:rsidTr="00365AA3">
        <w:tblPrEx>
          <w:tblCellMar>
            <w:top w:w="0" w:type="dxa"/>
            <w:bottom w:w="0" w:type="dxa"/>
          </w:tblCellMar>
        </w:tblPrEx>
        <w:trPr>
          <w:jc w:val="center"/>
        </w:trPr>
        <w:tc>
          <w:tcPr>
            <w:tcW w:w="2213" w:type="dxa"/>
            <w:tcBorders>
              <w:top w:val="nil"/>
              <w:left w:val="single" w:sz="6" w:space="0" w:color="auto"/>
              <w:bottom w:val="nil"/>
              <w:right w:val="single" w:sz="6" w:space="0" w:color="auto"/>
            </w:tcBorders>
          </w:tcPr>
          <w:p w:rsidR="00A5171B" w:rsidRDefault="00A5171B">
            <w:pPr>
              <w:spacing w:before="60" w:after="60"/>
              <w:ind w:right="255"/>
              <w:rPr>
                <w:rFonts w:ascii="Arial" w:hAnsi="Arial" w:cs="Arial"/>
                <w:b/>
                <w:bCs/>
                <w:sz w:val="20"/>
                <w:lang w:val="en-US"/>
              </w:rPr>
            </w:pPr>
            <w:r>
              <w:rPr>
                <w:rFonts w:ascii="Arial" w:hAnsi="Arial" w:cs="Arial"/>
                <w:b/>
                <w:bCs/>
                <w:sz w:val="20"/>
                <w:lang w:val="en-US"/>
              </w:rPr>
              <w:t>Patients with ≥1 osteoporosis-related peripheral fracture</w:t>
            </w:r>
          </w:p>
        </w:tc>
        <w:tc>
          <w:tcPr>
            <w:tcW w:w="1240"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11.2%</w:t>
            </w:r>
          </w:p>
          <w:p w:rsidR="00A5171B" w:rsidRDefault="00A5171B">
            <w:pPr>
              <w:spacing w:before="60" w:after="60"/>
              <w:ind w:right="255"/>
              <w:rPr>
                <w:rFonts w:ascii="Arial" w:hAnsi="Arial" w:cs="Arial"/>
                <w:sz w:val="20"/>
                <w:lang w:val="en-US"/>
              </w:rPr>
            </w:pPr>
          </w:p>
        </w:tc>
        <w:tc>
          <w:tcPr>
            <w:tcW w:w="1340"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12.9%</w:t>
            </w:r>
          </w:p>
          <w:p w:rsidR="00A5171B" w:rsidRDefault="00A5171B">
            <w:pPr>
              <w:spacing w:before="60" w:after="60"/>
              <w:ind w:right="255"/>
              <w:rPr>
                <w:rFonts w:ascii="Arial" w:hAnsi="Arial" w:cs="Arial"/>
                <w:sz w:val="20"/>
                <w:lang w:val="en-US"/>
              </w:rPr>
            </w:pPr>
          </w:p>
        </w:tc>
        <w:tc>
          <w:tcPr>
            <w:tcW w:w="1763" w:type="dxa"/>
            <w:tcBorders>
              <w:top w:val="nil"/>
              <w:left w:val="single" w:sz="6" w:space="0" w:color="auto"/>
              <w:bottom w:val="nil"/>
              <w:right w:val="single" w:sz="6" w:space="0" w:color="auto"/>
            </w:tcBorders>
          </w:tcPr>
          <w:p w:rsidR="00A5171B" w:rsidRDefault="00A5171B">
            <w:pPr>
              <w:spacing w:before="60" w:after="60"/>
              <w:ind w:left="567" w:right="255" w:firstLine="142"/>
              <w:rPr>
                <w:rFonts w:ascii="Arial" w:hAnsi="Arial" w:cs="Arial"/>
                <w:sz w:val="20"/>
                <w:lang w:val="en-US"/>
              </w:rPr>
            </w:pPr>
            <w:r>
              <w:rPr>
                <w:rFonts w:ascii="Arial" w:hAnsi="Arial" w:cs="Arial"/>
                <w:sz w:val="20"/>
                <w:lang w:val="en-US"/>
              </w:rPr>
              <w:t xml:space="preserve">58 </w:t>
            </w:r>
            <w:r>
              <w:rPr>
                <w:rFonts w:ascii="Arial" w:hAnsi="Arial" w:cs="Arial"/>
                <w:sz w:val="20"/>
                <w:lang w:val="en-US"/>
              </w:rPr>
              <w:br/>
              <w:t>(28-286)</w:t>
            </w:r>
          </w:p>
        </w:tc>
        <w:tc>
          <w:tcPr>
            <w:tcW w:w="1925" w:type="dxa"/>
            <w:tcBorders>
              <w:top w:val="nil"/>
              <w:left w:val="single" w:sz="6" w:space="0" w:color="auto"/>
              <w:bottom w:val="nil"/>
              <w:right w:val="single" w:sz="6" w:space="0" w:color="auto"/>
            </w:tcBorders>
          </w:tcPr>
          <w:p w:rsidR="00A5171B" w:rsidRDefault="00A5171B">
            <w:pPr>
              <w:spacing w:before="60" w:after="60"/>
              <w:ind w:left="325" w:right="255"/>
              <w:rPr>
                <w:rFonts w:ascii="Arial" w:hAnsi="Arial" w:cs="Arial"/>
                <w:sz w:val="20"/>
                <w:lang w:val="en-US"/>
              </w:rPr>
            </w:pPr>
            <w:r>
              <w:rPr>
                <w:rFonts w:ascii="Arial" w:hAnsi="Arial" w:cs="Arial"/>
                <w:sz w:val="20"/>
                <w:lang w:val="en-US"/>
              </w:rPr>
              <w:t>16%</w:t>
            </w:r>
            <w:r>
              <w:rPr>
                <w:rFonts w:ascii="Arial" w:hAnsi="Arial" w:cs="Arial"/>
                <w:sz w:val="20"/>
                <w:vertAlign w:val="superscript"/>
                <w:lang w:val="en-US"/>
              </w:rPr>
              <w:t>(</w:t>
            </w:r>
            <w:r>
              <w:rPr>
                <w:rFonts w:ascii="Arial" w:hAnsi="Arial" w:cs="Arial"/>
                <w:b/>
                <w:bCs/>
                <w:sz w:val="20"/>
                <w:vertAlign w:val="superscript"/>
                <w:lang w:val="en-US"/>
              </w:rPr>
              <w:t>1)</w:t>
            </w:r>
            <w:r>
              <w:rPr>
                <w:rFonts w:ascii="Arial" w:hAnsi="Arial" w:cs="Arial"/>
                <w:sz w:val="20"/>
                <w:lang w:val="en-US"/>
              </w:rPr>
              <w:t xml:space="preserve"> (0-29) </w:t>
            </w:r>
            <w:r>
              <w:rPr>
                <w:rFonts w:ascii="Arial" w:hAnsi="Arial" w:cs="Arial"/>
                <w:sz w:val="20"/>
                <w:lang w:val="en-US"/>
              </w:rPr>
              <w:br/>
              <w:t>p=0.044</w:t>
            </w:r>
            <w:r>
              <w:rPr>
                <w:rFonts w:ascii="Arial" w:hAnsi="Arial" w:cs="Arial"/>
                <w:sz w:val="20"/>
                <w:vertAlign w:val="superscript"/>
                <w:lang w:val="en-US"/>
              </w:rPr>
              <w:t>(2)</w:t>
            </w:r>
          </w:p>
        </w:tc>
      </w:tr>
      <w:tr w:rsidR="00A5171B" w:rsidTr="00365AA3">
        <w:tblPrEx>
          <w:tblCellMar>
            <w:top w:w="0" w:type="dxa"/>
            <w:bottom w:w="0" w:type="dxa"/>
          </w:tblCellMar>
        </w:tblPrEx>
        <w:trPr>
          <w:jc w:val="center"/>
        </w:trPr>
        <w:tc>
          <w:tcPr>
            <w:tcW w:w="2213" w:type="dxa"/>
            <w:tcBorders>
              <w:top w:val="nil"/>
              <w:left w:val="single" w:sz="6" w:space="0" w:color="auto"/>
              <w:bottom w:val="single" w:sz="6" w:space="0" w:color="auto"/>
              <w:right w:val="single" w:sz="6" w:space="0" w:color="auto"/>
            </w:tcBorders>
          </w:tcPr>
          <w:p w:rsidR="00A5171B" w:rsidRDefault="00A5171B">
            <w:pPr>
              <w:spacing w:before="60" w:after="60"/>
              <w:ind w:right="255"/>
              <w:rPr>
                <w:rFonts w:ascii="Arial" w:hAnsi="Arial" w:cs="Arial"/>
                <w:b/>
                <w:bCs/>
                <w:sz w:val="20"/>
                <w:lang w:val="en-US"/>
              </w:rPr>
            </w:pPr>
            <w:r>
              <w:rPr>
                <w:rFonts w:ascii="Arial" w:hAnsi="Arial" w:cs="Arial"/>
                <w:b/>
                <w:bCs/>
                <w:sz w:val="20"/>
                <w:lang w:val="en-US"/>
              </w:rPr>
              <w:t xml:space="preserve">Patients with major (including hip) osteoporosis-related peripheral fracture </w:t>
            </w:r>
          </w:p>
        </w:tc>
        <w:tc>
          <w:tcPr>
            <w:tcW w:w="1240" w:type="dxa"/>
            <w:tcBorders>
              <w:top w:val="nil"/>
              <w:left w:val="single" w:sz="6" w:space="0" w:color="auto"/>
              <w:bottom w:val="single" w:sz="6" w:space="0" w:color="auto"/>
              <w:right w:val="single" w:sz="6" w:space="0" w:color="auto"/>
            </w:tcBorders>
          </w:tcPr>
          <w:p w:rsidR="00A5171B" w:rsidRDefault="00A5171B">
            <w:pPr>
              <w:spacing w:before="60" w:after="60"/>
              <w:ind w:left="180" w:right="255"/>
              <w:jc w:val="center"/>
              <w:rPr>
                <w:rFonts w:ascii="Arial" w:hAnsi="Arial" w:cs="Arial"/>
                <w:sz w:val="20"/>
                <w:lang w:val="en-US"/>
              </w:rPr>
            </w:pPr>
            <w:r>
              <w:rPr>
                <w:rFonts w:ascii="Arial" w:hAnsi="Arial" w:cs="Arial"/>
                <w:sz w:val="20"/>
                <w:lang w:val="en-US"/>
              </w:rPr>
              <w:t>8.7%</w:t>
            </w:r>
          </w:p>
          <w:p w:rsidR="00A5171B" w:rsidRDefault="00A5171B">
            <w:pPr>
              <w:spacing w:before="60" w:after="60"/>
              <w:ind w:left="180" w:right="255"/>
              <w:jc w:val="center"/>
              <w:rPr>
                <w:rFonts w:ascii="Arial" w:hAnsi="Arial" w:cs="Arial"/>
                <w:sz w:val="20"/>
                <w:lang w:val="en-US"/>
              </w:rPr>
            </w:pPr>
          </w:p>
          <w:p w:rsidR="00A5171B" w:rsidRDefault="00A5171B">
            <w:pPr>
              <w:spacing w:before="60" w:after="60"/>
              <w:ind w:left="384" w:right="255"/>
              <w:jc w:val="center"/>
              <w:rPr>
                <w:rFonts w:ascii="Arial" w:hAnsi="Arial" w:cs="Arial"/>
                <w:sz w:val="20"/>
                <w:lang w:val="en-US"/>
              </w:rPr>
            </w:pPr>
          </w:p>
        </w:tc>
        <w:tc>
          <w:tcPr>
            <w:tcW w:w="1340" w:type="dxa"/>
            <w:tcBorders>
              <w:top w:val="nil"/>
              <w:left w:val="single" w:sz="6" w:space="0" w:color="auto"/>
              <w:bottom w:val="single" w:sz="6" w:space="0" w:color="auto"/>
              <w:right w:val="single" w:sz="6" w:space="0" w:color="auto"/>
            </w:tcBorders>
          </w:tcPr>
          <w:p w:rsidR="00A5171B" w:rsidRDefault="00A5171B">
            <w:pPr>
              <w:spacing w:before="60" w:after="60"/>
              <w:ind w:left="65" w:right="255"/>
              <w:jc w:val="center"/>
              <w:rPr>
                <w:rFonts w:ascii="Arial" w:hAnsi="Arial" w:cs="Arial"/>
                <w:sz w:val="20"/>
                <w:lang w:val="en-US"/>
              </w:rPr>
            </w:pPr>
            <w:r>
              <w:rPr>
                <w:rFonts w:ascii="Arial" w:hAnsi="Arial" w:cs="Arial"/>
                <w:sz w:val="20"/>
                <w:lang w:val="en-US"/>
              </w:rPr>
              <w:t>10.4%</w:t>
            </w:r>
          </w:p>
          <w:p w:rsidR="00A5171B" w:rsidRDefault="00A5171B">
            <w:pPr>
              <w:spacing w:before="60" w:after="60"/>
              <w:ind w:left="65" w:right="255"/>
              <w:jc w:val="center"/>
              <w:rPr>
                <w:rFonts w:ascii="Arial" w:hAnsi="Arial" w:cs="Arial"/>
                <w:sz w:val="20"/>
                <w:lang w:val="en-US"/>
              </w:rPr>
            </w:pPr>
          </w:p>
          <w:p w:rsidR="00A5171B" w:rsidRDefault="00A5171B">
            <w:pPr>
              <w:spacing w:before="60" w:after="60"/>
              <w:ind w:left="458" w:right="255"/>
              <w:jc w:val="center"/>
              <w:rPr>
                <w:rFonts w:ascii="Arial" w:hAnsi="Arial" w:cs="Arial"/>
                <w:sz w:val="20"/>
                <w:lang w:val="en-US"/>
              </w:rPr>
            </w:pPr>
          </w:p>
        </w:tc>
        <w:tc>
          <w:tcPr>
            <w:tcW w:w="1763" w:type="dxa"/>
            <w:tcBorders>
              <w:top w:val="nil"/>
              <w:left w:val="single" w:sz="6" w:space="0" w:color="auto"/>
              <w:bottom w:val="single" w:sz="6" w:space="0" w:color="auto"/>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59</w:t>
            </w:r>
            <w:r>
              <w:rPr>
                <w:rFonts w:ascii="Arial" w:hAnsi="Arial" w:cs="Arial"/>
                <w:sz w:val="20"/>
                <w:lang w:val="en-US"/>
              </w:rPr>
              <w:br/>
              <w:t>(28-520)</w:t>
            </w:r>
          </w:p>
        </w:tc>
        <w:tc>
          <w:tcPr>
            <w:tcW w:w="1925" w:type="dxa"/>
            <w:tcBorders>
              <w:top w:val="nil"/>
              <w:left w:val="single" w:sz="6" w:space="0" w:color="auto"/>
              <w:bottom w:val="single" w:sz="6" w:space="0" w:color="auto"/>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19%  (2-34)</w:t>
            </w:r>
            <w:r>
              <w:rPr>
                <w:rFonts w:ascii="Arial" w:hAnsi="Arial" w:cs="Arial"/>
                <w:sz w:val="20"/>
                <w:lang w:val="en-US"/>
              </w:rPr>
              <w:br/>
              <w:t>p=0.031</w:t>
            </w:r>
          </w:p>
        </w:tc>
      </w:tr>
    </w:tbl>
    <w:p w:rsidR="00A5171B" w:rsidRDefault="00A5171B">
      <w:pPr>
        <w:numPr>
          <w:ilvl w:val="0"/>
          <w:numId w:val="17"/>
        </w:numPr>
        <w:tabs>
          <w:tab w:val="left" w:pos="426"/>
        </w:tabs>
        <w:autoSpaceDE w:val="0"/>
        <w:autoSpaceDN w:val="0"/>
        <w:adjustRightInd w:val="0"/>
        <w:ind w:left="426" w:right="255" w:hanging="284"/>
        <w:rPr>
          <w:rFonts w:ascii="Arial" w:hAnsi="Arial" w:cs="Arial"/>
          <w:sz w:val="16"/>
          <w:lang w:val="en-US"/>
        </w:rPr>
      </w:pPr>
      <w:r>
        <w:rPr>
          <w:rFonts w:ascii="Arial" w:hAnsi="Arial" w:cs="Arial"/>
          <w:sz w:val="16"/>
          <w:szCs w:val="18"/>
          <w:lang w:val="en-US"/>
        </w:rPr>
        <w:t xml:space="preserve">Adjustment for covariates </w:t>
      </w:r>
      <w:r>
        <w:rPr>
          <w:rFonts w:ascii="Arial" w:hAnsi="Arial" w:cs="Arial"/>
          <w:sz w:val="16"/>
          <w:szCs w:val="24"/>
          <w:lang w:val="en-US"/>
        </w:rPr>
        <w:t>(age in classes: &lt;75 and ≥75 years, femoral neck BMD, BMI in classes: ≤ 18,   [18-30] and &gt; 30 kg/m</w:t>
      </w:r>
      <w:r>
        <w:rPr>
          <w:rFonts w:ascii="Arial" w:hAnsi="Arial" w:cs="Arial"/>
          <w:sz w:val="16"/>
          <w:szCs w:val="16"/>
          <w:vertAlign w:val="superscript"/>
          <w:lang w:val="en-US"/>
        </w:rPr>
        <w:t>2</w:t>
      </w:r>
      <w:r>
        <w:rPr>
          <w:rFonts w:ascii="Arial" w:hAnsi="Arial" w:cs="Arial"/>
          <w:sz w:val="16"/>
          <w:szCs w:val="24"/>
          <w:lang w:val="en-US"/>
        </w:rPr>
        <w:t>, and country)</w:t>
      </w:r>
      <w:r>
        <w:rPr>
          <w:rFonts w:ascii="Arial" w:hAnsi="Arial" w:cs="Arial"/>
          <w:sz w:val="16"/>
          <w:lang w:val="en-US"/>
        </w:rPr>
        <w:t xml:space="preserve"> (2) According to substitution rules for covariates.</w:t>
      </w:r>
    </w:p>
    <w:p w:rsidR="00A5171B" w:rsidRDefault="00A5171B">
      <w:pPr>
        <w:ind w:right="-29"/>
        <w:rPr>
          <w:rFonts w:ascii="Arial" w:hAnsi="Arial" w:cs="Arial"/>
          <w:bCs/>
          <w:sz w:val="22"/>
        </w:rPr>
      </w:pPr>
      <w:r>
        <w:rPr>
          <w:rFonts w:ascii="Arial" w:hAnsi="Arial" w:cs="Arial"/>
          <w:bCs/>
          <w:sz w:val="22"/>
        </w:rPr>
        <w:t>In patients over 80 years of age at inclusion, a pooled analysis of SOTI and TROPOS studies showed that there was a statistically significant reduction in the risk of experiencing both new vertebral and non-vertebral fractures over three years of treatment with PROTOS (see Table 3).</w:t>
      </w:r>
    </w:p>
    <w:p w:rsidR="00A5171B" w:rsidRDefault="00A5171B">
      <w:pPr>
        <w:pStyle w:val="BodyText2"/>
        <w:ind w:left="0" w:right="-29" w:firstLine="0"/>
        <w:rPr>
          <w:rFonts w:ascii="Arial" w:hAnsi="Arial" w:cs="Arial"/>
          <w:b w:val="0"/>
          <w:bCs/>
        </w:rPr>
      </w:pPr>
      <w:r>
        <w:rPr>
          <w:rFonts w:ascii="Arial" w:hAnsi="Arial" w:cs="Arial"/>
          <w:b w:val="0"/>
          <w:bCs/>
        </w:rPr>
        <w:t>The pooled analysis of SOTI and TROPOS also showed a statistically significant reduction in the relative risk of experiencing a new vertebral fracture in patients with osteopenia (defined according to WHO criteria as patients with lumbar and/or femoral neck BMD T-score ≤-1SD and both T-scores &gt;-2.5SD) (see Table 3).</w:t>
      </w:r>
    </w:p>
    <w:p w:rsidR="00A5171B" w:rsidRDefault="00365AA3" w:rsidP="00365AA3">
      <w:pPr>
        <w:pStyle w:val="BodyText2"/>
        <w:spacing w:after="240"/>
        <w:ind w:left="0" w:right="255" w:firstLine="0"/>
        <w:jc w:val="center"/>
        <w:rPr>
          <w:rFonts w:ascii="Arial" w:hAnsi="Arial" w:cs="Arial"/>
          <w:bCs/>
          <w:sz w:val="20"/>
          <w:lang w:val="en-AU"/>
        </w:rPr>
      </w:pPr>
      <w:r>
        <w:rPr>
          <w:rFonts w:ascii="Arial" w:hAnsi="Arial" w:cs="Arial"/>
          <w:bCs/>
          <w:sz w:val="20"/>
          <w:lang w:val="en-AU"/>
        </w:rPr>
        <w:br w:type="page"/>
      </w:r>
      <w:r w:rsidR="00A5171B">
        <w:rPr>
          <w:rFonts w:ascii="Arial" w:hAnsi="Arial" w:cs="Arial"/>
          <w:bCs/>
          <w:sz w:val="20"/>
          <w:lang w:val="en-AU"/>
        </w:rPr>
        <w:lastRenderedPageBreak/>
        <w:t>Table 3. Integrated Analysis of Efficacy for SOTI and TROPOS studies</w:t>
      </w:r>
    </w:p>
    <w:tbl>
      <w:tblPr>
        <w:tblW w:w="8558" w:type="dxa"/>
        <w:jc w:val="center"/>
        <w:tblInd w:w="759" w:type="dxa"/>
        <w:tblBorders>
          <w:top w:val="single" w:sz="6" w:space="0" w:color="auto"/>
          <w:bottom w:val="single" w:sz="6" w:space="0" w:color="auto"/>
          <w:insideH w:val="single" w:sz="6" w:space="0" w:color="auto"/>
          <w:insideV w:val="single" w:sz="6" w:space="0" w:color="auto"/>
        </w:tblBorders>
        <w:tblCellMar>
          <w:left w:w="70" w:type="dxa"/>
          <w:right w:w="70" w:type="dxa"/>
        </w:tblCellMar>
        <w:tblLook w:val="0000"/>
      </w:tblPr>
      <w:tblGrid>
        <w:gridCol w:w="2138"/>
        <w:gridCol w:w="1394"/>
        <w:gridCol w:w="1418"/>
        <w:gridCol w:w="1724"/>
        <w:gridCol w:w="1884"/>
      </w:tblGrid>
      <w:tr w:rsidR="00A5171B">
        <w:tblPrEx>
          <w:tblCellMar>
            <w:top w:w="0" w:type="dxa"/>
            <w:bottom w:w="0" w:type="dxa"/>
          </w:tblCellMar>
        </w:tblPrEx>
        <w:trPr>
          <w:jc w:val="center"/>
        </w:trPr>
        <w:tc>
          <w:tcPr>
            <w:tcW w:w="2138" w:type="dxa"/>
            <w:tcBorders>
              <w:left w:val="single" w:sz="6" w:space="0" w:color="auto"/>
              <w:bottom w:val="single" w:sz="6" w:space="0" w:color="auto"/>
              <w:right w:val="nil"/>
            </w:tcBorders>
          </w:tcPr>
          <w:p w:rsidR="00A5171B" w:rsidRDefault="00A5171B">
            <w:pPr>
              <w:spacing w:before="60" w:after="60"/>
              <w:ind w:right="255"/>
              <w:rPr>
                <w:rFonts w:ascii="Arial" w:hAnsi="Arial" w:cs="Arial"/>
                <w:b/>
                <w:bCs/>
                <w:sz w:val="20"/>
              </w:rPr>
            </w:pPr>
          </w:p>
        </w:tc>
        <w:tc>
          <w:tcPr>
            <w:tcW w:w="1394" w:type="dxa"/>
            <w:tcBorders>
              <w:bottom w:val="single" w:sz="6" w:space="0" w:color="auto"/>
              <w:right w:val="single" w:sz="6" w:space="0" w:color="auto"/>
            </w:tcBorders>
          </w:tcPr>
          <w:p w:rsidR="00A5171B" w:rsidRDefault="00A5171B">
            <w:pPr>
              <w:spacing w:before="60" w:after="60"/>
              <w:ind w:right="255"/>
              <w:jc w:val="center"/>
              <w:rPr>
                <w:rFonts w:ascii="Arial" w:hAnsi="Arial" w:cs="Arial"/>
                <w:b/>
                <w:bCs/>
                <w:sz w:val="20"/>
              </w:rPr>
            </w:pPr>
            <w:r>
              <w:rPr>
                <w:rFonts w:ascii="Arial" w:hAnsi="Arial" w:cs="Arial"/>
                <w:b/>
                <w:bCs/>
                <w:sz w:val="20"/>
              </w:rPr>
              <w:t>PROTOS</w:t>
            </w:r>
          </w:p>
        </w:tc>
        <w:tc>
          <w:tcPr>
            <w:tcW w:w="1418" w:type="dxa"/>
            <w:tcBorders>
              <w:left w:val="single" w:sz="6" w:space="0" w:color="auto"/>
              <w:bottom w:val="single" w:sz="6" w:space="0" w:color="auto"/>
              <w:right w:val="single" w:sz="6" w:space="0" w:color="auto"/>
            </w:tcBorders>
          </w:tcPr>
          <w:p w:rsidR="00A5171B" w:rsidRDefault="00A5171B">
            <w:pPr>
              <w:spacing w:before="60" w:after="60"/>
              <w:ind w:right="255"/>
              <w:jc w:val="center"/>
              <w:rPr>
                <w:rFonts w:ascii="Arial" w:hAnsi="Arial" w:cs="Arial"/>
                <w:b/>
                <w:bCs/>
                <w:sz w:val="20"/>
              </w:rPr>
            </w:pPr>
            <w:r>
              <w:rPr>
                <w:rFonts w:ascii="Arial" w:hAnsi="Arial" w:cs="Arial"/>
                <w:b/>
                <w:bCs/>
                <w:sz w:val="20"/>
              </w:rPr>
              <w:t>Placebo</w:t>
            </w:r>
          </w:p>
        </w:tc>
        <w:tc>
          <w:tcPr>
            <w:tcW w:w="1724" w:type="dxa"/>
            <w:tcBorders>
              <w:left w:val="single" w:sz="6" w:space="0" w:color="auto"/>
              <w:bottom w:val="single" w:sz="6" w:space="0" w:color="auto"/>
              <w:right w:val="single" w:sz="6" w:space="0" w:color="auto"/>
            </w:tcBorders>
          </w:tcPr>
          <w:p w:rsidR="00A5171B" w:rsidRDefault="00A5171B">
            <w:pPr>
              <w:spacing w:before="60" w:after="60"/>
              <w:ind w:right="255"/>
              <w:jc w:val="center"/>
              <w:rPr>
                <w:rFonts w:ascii="Arial" w:hAnsi="Arial" w:cs="Arial"/>
                <w:b/>
                <w:bCs/>
                <w:sz w:val="20"/>
              </w:rPr>
            </w:pPr>
            <w:r>
              <w:rPr>
                <w:rFonts w:ascii="Arial" w:hAnsi="Arial" w:cs="Arial"/>
                <w:b/>
                <w:bCs/>
                <w:sz w:val="20"/>
              </w:rPr>
              <w:t>Number Needed to Treat (NNT), (95%CI)</w:t>
            </w:r>
          </w:p>
        </w:tc>
        <w:tc>
          <w:tcPr>
            <w:tcW w:w="1884" w:type="dxa"/>
            <w:tcBorders>
              <w:left w:val="single" w:sz="6" w:space="0" w:color="auto"/>
              <w:bottom w:val="single" w:sz="6" w:space="0" w:color="auto"/>
              <w:right w:val="single" w:sz="6" w:space="0" w:color="auto"/>
            </w:tcBorders>
          </w:tcPr>
          <w:p w:rsidR="00A5171B" w:rsidRDefault="00A5171B">
            <w:pPr>
              <w:spacing w:before="60" w:after="60"/>
              <w:ind w:right="255"/>
              <w:jc w:val="center"/>
              <w:rPr>
                <w:rFonts w:ascii="Arial" w:hAnsi="Arial" w:cs="Arial"/>
                <w:b/>
                <w:bCs/>
                <w:sz w:val="20"/>
              </w:rPr>
            </w:pPr>
            <w:r>
              <w:rPr>
                <w:rFonts w:ascii="Arial" w:hAnsi="Arial" w:cs="Arial"/>
                <w:b/>
                <w:bCs/>
                <w:sz w:val="20"/>
              </w:rPr>
              <w:t>Relative Risk Reduction vs. placebo (95%CI), p value</w:t>
            </w:r>
          </w:p>
        </w:tc>
      </w:tr>
      <w:tr w:rsidR="00A5171B">
        <w:tblPrEx>
          <w:tblCellMar>
            <w:top w:w="0" w:type="dxa"/>
            <w:bottom w:w="0" w:type="dxa"/>
          </w:tblCellMar>
        </w:tblPrEx>
        <w:trPr>
          <w:cantSplit/>
          <w:jc w:val="center"/>
        </w:trPr>
        <w:tc>
          <w:tcPr>
            <w:tcW w:w="8558" w:type="dxa"/>
            <w:gridSpan w:val="5"/>
            <w:tcBorders>
              <w:top w:val="single" w:sz="6" w:space="0" w:color="auto"/>
              <w:left w:val="single" w:sz="6" w:space="0" w:color="auto"/>
              <w:bottom w:val="nil"/>
              <w:right w:val="single" w:sz="6" w:space="0" w:color="auto"/>
            </w:tcBorders>
          </w:tcPr>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Main Results</w:t>
            </w:r>
          </w:p>
        </w:tc>
      </w:tr>
      <w:tr w:rsidR="00A5171B">
        <w:tblPrEx>
          <w:tblCellMar>
            <w:top w:w="0" w:type="dxa"/>
            <w:bottom w:w="0" w:type="dxa"/>
          </w:tblCellMar>
        </w:tblPrEx>
        <w:trPr>
          <w:jc w:val="center"/>
        </w:trPr>
        <w:tc>
          <w:tcPr>
            <w:tcW w:w="2138" w:type="dxa"/>
            <w:tcBorders>
              <w:top w:val="nil"/>
              <w:left w:val="single" w:sz="6" w:space="0" w:color="auto"/>
              <w:bottom w:val="nil"/>
              <w:right w:val="nil"/>
            </w:tcBorders>
          </w:tcPr>
          <w:p w:rsidR="00A5171B" w:rsidRDefault="00A5171B">
            <w:pPr>
              <w:spacing w:before="60" w:after="60"/>
              <w:ind w:right="255"/>
              <w:jc w:val="center"/>
              <w:rPr>
                <w:rFonts w:ascii="Arial" w:hAnsi="Arial" w:cs="Arial"/>
                <w:b/>
                <w:bCs/>
                <w:sz w:val="20"/>
              </w:rPr>
            </w:pPr>
          </w:p>
        </w:tc>
        <w:tc>
          <w:tcPr>
            <w:tcW w:w="1394" w:type="dxa"/>
            <w:tcBorders>
              <w:top w:val="nil"/>
              <w:bottom w:val="nil"/>
              <w:right w:val="single" w:sz="6" w:space="0" w:color="auto"/>
            </w:tcBorders>
          </w:tcPr>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 xml:space="preserve"> N=3295</w:t>
            </w:r>
          </w:p>
        </w:tc>
        <w:tc>
          <w:tcPr>
            <w:tcW w:w="1418"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N=3256</w:t>
            </w:r>
          </w:p>
        </w:tc>
        <w:tc>
          <w:tcPr>
            <w:tcW w:w="172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p>
        </w:tc>
        <w:tc>
          <w:tcPr>
            <w:tcW w:w="188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p>
        </w:tc>
      </w:tr>
      <w:tr w:rsidR="00A5171B">
        <w:tblPrEx>
          <w:tblCellMar>
            <w:top w:w="0" w:type="dxa"/>
            <w:bottom w:w="0" w:type="dxa"/>
          </w:tblCellMar>
        </w:tblPrEx>
        <w:trPr>
          <w:jc w:val="center"/>
        </w:trPr>
        <w:tc>
          <w:tcPr>
            <w:tcW w:w="2138" w:type="dxa"/>
            <w:tcBorders>
              <w:top w:val="nil"/>
              <w:left w:val="single" w:sz="6" w:space="0" w:color="auto"/>
              <w:bottom w:val="nil"/>
              <w:right w:val="nil"/>
            </w:tcBorders>
          </w:tcPr>
          <w:p w:rsidR="00A5171B" w:rsidRDefault="00A5171B">
            <w:pPr>
              <w:autoSpaceDE w:val="0"/>
              <w:autoSpaceDN w:val="0"/>
              <w:adjustRightInd w:val="0"/>
              <w:ind w:right="255"/>
              <w:rPr>
                <w:rFonts w:ascii="Arial" w:hAnsi="Arial" w:cs="Arial"/>
                <w:sz w:val="20"/>
                <w:lang w:val="en-US"/>
              </w:rPr>
            </w:pPr>
            <w:r>
              <w:rPr>
                <w:rFonts w:ascii="Arial" w:hAnsi="Arial" w:cs="Arial"/>
                <w:b/>
                <w:bCs/>
                <w:sz w:val="20"/>
                <w:szCs w:val="18"/>
                <w:lang w:val="en-US"/>
              </w:rPr>
              <w:t>Osteoporosis-related peripheral fractures</w:t>
            </w:r>
          </w:p>
          <w:p w:rsidR="00A5171B" w:rsidRDefault="00A5171B">
            <w:pPr>
              <w:ind w:right="255"/>
              <w:rPr>
                <w:rFonts w:ascii="Arial" w:hAnsi="Arial" w:cs="Arial"/>
                <w:sz w:val="20"/>
                <w:lang w:val="en-US"/>
              </w:rPr>
            </w:pPr>
          </w:p>
        </w:tc>
        <w:tc>
          <w:tcPr>
            <w:tcW w:w="1394" w:type="dxa"/>
            <w:tcBorders>
              <w:top w:val="nil"/>
              <w:bottom w:val="nil"/>
              <w:right w:val="single" w:sz="6" w:space="0" w:color="auto"/>
            </w:tcBorders>
          </w:tcPr>
          <w:p w:rsidR="00A5171B" w:rsidRDefault="00A5171B">
            <w:pPr>
              <w:spacing w:before="60" w:after="60"/>
              <w:ind w:left="334" w:right="255"/>
              <w:rPr>
                <w:rFonts w:ascii="Arial" w:hAnsi="Arial" w:cs="Arial"/>
                <w:sz w:val="20"/>
                <w:lang w:val="en-US"/>
              </w:rPr>
            </w:pPr>
            <w:r>
              <w:rPr>
                <w:rFonts w:ascii="Arial" w:hAnsi="Arial" w:cs="Arial"/>
                <w:sz w:val="20"/>
                <w:lang w:val="en-US"/>
              </w:rPr>
              <w:t>11.6%</w:t>
            </w:r>
          </w:p>
        </w:tc>
        <w:tc>
          <w:tcPr>
            <w:tcW w:w="1418" w:type="dxa"/>
            <w:tcBorders>
              <w:top w:val="nil"/>
              <w:left w:val="single" w:sz="6" w:space="0" w:color="auto"/>
              <w:bottom w:val="nil"/>
              <w:right w:val="single" w:sz="6" w:space="0" w:color="auto"/>
            </w:tcBorders>
          </w:tcPr>
          <w:p w:rsidR="00A5171B" w:rsidRDefault="00A5171B">
            <w:pPr>
              <w:spacing w:before="60" w:after="60"/>
              <w:ind w:left="174" w:right="255"/>
              <w:rPr>
                <w:rFonts w:ascii="Arial" w:hAnsi="Arial" w:cs="Arial"/>
                <w:sz w:val="20"/>
                <w:lang w:val="en-US"/>
              </w:rPr>
            </w:pPr>
            <w:r>
              <w:rPr>
                <w:rFonts w:ascii="Arial" w:hAnsi="Arial" w:cs="Arial"/>
                <w:sz w:val="20"/>
                <w:lang w:val="en-US"/>
              </w:rPr>
              <w:t xml:space="preserve">   13.1%</w:t>
            </w:r>
          </w:p>
          <w:p w:rsidR="00A5171B" w:rsidRDefault="00A5171B">
            <w:pPr>
              <w:spacing w:before="60" w:after="60"/>
              <w:ind w:right="255"/>
              <w:jc w:val="center"/>
              <w:rPr>
                <w:rFonts w:ascii="Arial" w:hAnsi="Arial" w:cs="Arial"/>
                <w:sz w:val="20"/>
                <w:lang w:val="en-US"/>
              </w:rPr>
            </w:pPr>
          </w:p>
        </w:tc>
        <w:tc>
          <w:tcPr>
            <w:tcW w:w="172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67</w:t>
            </w:r>
            <w:r>
              <w:rPr>
                <w:rFonts w:ascii="Arial" w:hAnsi="Arial" w:cs="Arial"/>
                <w:sz w:val="20"/>
                <w:lang w:val="en-US"/>
              </w:rPr>
              <w:br/>
              <w:t>(30-331)</w:t>
            </w:r>
          </w:p>
        </w:tc>
        <w:tc>
          <w:tcPr>
            <w:tcW w:w="188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15% (1-26)</w:t>
            </w:r>
            <w:r>
              <w:rPr>
                <w:rFonts w:ascii="Arial" w:hAnsi="Arial" w:cs="Arial"/>
                <w:sz w:val="20"/>
                <w:lang w:val="en-US"/>
              </w:rPr>
              <w:br/>
              <w:t>p=0.033</w:t>
            </w:r>
          </w:p>
        </w:tc>
      </w:tr>
      <w:tr w:rsidR="00A5171B">
        <w:tblPrEx>
          <w:tblCellMar>
            <w:top w:w="0" w:type="dxa"/>
            <w:bottom w:w="0" w:type="dxa"/>
          </w:tblCellMar>
        </w:tblPrEx>
        <w:trPr>
          <w:jc w:val="center"/>
        </w:trPr>
        <w:tc>
          <w:tcPr>
            <w:tcW w:w="2138" w:type="dxa"/>
            <w:tcBorders>
              <w:top w:val="nil"/>
              <w:left w:val="single" w:sz="6" w:space="0" w:color="auto"/>
              <w:bottom w:val="nil"/>
              <w:right w:val="nil"/>
            </w:tcBorders>
          </w:tcPr>
          <w:p w:rsidR="00A5171B" w:rsidRDefault="00A5171B">
            <w:pPr>
              <w:autoSpaceDE w:val="0"/>
              <w:autoSpaceDN w:val="0"/>
              <w:adjustRightInd w:val="0"/>
              <w:ind w:right="255"/>
              <w:rPr>
                <w:rFonts w:ascii="Arial" w:hAnsi="Arial" w:cs="Arial"/>
                <w:sz w:val="20"/>
                <w:lang w:val="en-US"/>
              </w:rPr>
            </w:pPr>
            <w:r>
              <w:rPr>
                <w:rFonts w:ascii="Arial" w:hAnsi="Arial" w:cs="Arial"/>
                <w:b/>
                <w:bCs/>
                <w:sz w:val="20"/>
                <w:szCs w:val="18"/>
                <w:lang w:val="en-US"/>
              </w:rPr>
              <w:t>Any osteoporosis-related fractures</w:t>
            </w:r>
          </w:p>
          <w:p w:rsidR="00A5171B" w:rsidRDefault="00A5171B">
            <w:pPr>
              <w:autoSpaceDE w:val="0"/>
              <w:autoSpaceDN w:val="0"/>
              <w:adjustRightInd w:val="0"/>
              <w:ind w:right="255"/>
              <w:rPr>
                <w:rFonts w:ascii="Arial" w:hAnsi="Arial" w:cs="Arial"/>
                <w:b/>
                <w:bCs/>
                <w:sz w:val="20"/>
                <w:szCs w:val="18"/>
                <w:lang w:val="en-US"/>
              </w:rPr>
            </w:pPr>
          </w:p>
        </w:tc>
        <w:tc>
          <w:tcPr>
            <w:tcW w:w="1394" w:type="dxa"/>
            <w:tcBorders>
              <w:top w:val="nil"/>
              <w:bottom w:val="nil"/>
              <w:right w:val="single" w:sz="6" w:space="0" w:color="auto"/>
            </w:tcBorders>
          </w:tcPr>
          <w:p w:rsidR="00A5171B" w:rsidRDefault="00A5171B">
            <w:pPr>
              <w:spacing w:before="60" w:after="60"/>
              <w:ind w:left="334" w:right="255"/>
              <w:rPr>
                <w:rFonts w:ascii="Arial" w:hAnsi="Arial" w:cs="Arial"/>
                <w:sz w:val="20"/>
                <w:lang w:val="en-US"/>
              </w:rPr>
            </w:pPr>
            <w:r>
              <w:rPr>
                <w:rFonts w:ascii="Arial" w:hAnsi="Arial" w:cs="Arial"/>
                <w:sz w:val="20"/>
                <w:lang w:val="en-US"/>
              </w:rPr>
              <w:t>21.1%</w:t>
            </w:r>
          </w:p>
          <w:p w:rsidR="00A5171B" w:rsidRDefault="00A5171B">
            <w:pPr>
              <w:spacing w:before="60" w:after="60"/>
              <w:ind w:right="255"/>
              <w:jc w:val="center"/>
              <w:rPr>
                <w:rFonts w:ascii="Arial" w:hAnsi="Arial" w:cs="Arial"/>
                <w:sz w:val="20"/>
                <w:lang w:val="en-US"/>
              </w:rPr>
            </w:pPr>
          </w:p>
        </w:tc>
        <w:tc>
          <w:tcPr>
            <w:tcW w:w="1418" w:type="dxa"/>
            <w:tcBorders>
              <w:top w:val="nil"/>
              <w:left w:val="single" w:sz="6" w:space="0" w:color="auto"/>
              <w:bottom w:val="nil"/>
              <w:right w:val="single" w:sz="6" w:space="0" w:color="auto"/>
            </w:tcBorders>
          </w:tcPr>
          <w:p w:rsidR="00A5171B" w:rsidRDefault="00A5171B">
            <w:pPr>
              <w:tabs>
                <w:tab w:val="left" w:pos="218"/>
                <w:tab w:val="center" w:pos="497"/>
              </w:tabs>
              <w:spacing w:before="60" w:after="60"/>
              <w:ind w:right="255"/>
              <w:rPr>
                <w:rFonts w:ascii="Arial" w:hAnsi="Arial" w:cs="Arial"/>
                <w:sz w:val="20"/>
                <w:lang w:val="en-US"/>
              </w:rPr>
            </w:pPr>
            <w:r>
              <w:rPr>
                <w:rFonts w:ascii="Arial" w:hAnsi="Arial" w:cs="Arial"/>
                <w:sz w:val="20"/>
                <w:lang w:val="en-US"/>
              </w:rPr>
              <w:t xml:space="preserve">       29.1%</w:t>
            </w:r>
          </w:p>
        </w:tc>
        <w:tc>
          <w:tcPr>
            <w:tcW w:w="172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13</w:t>
            </w:r>
            <w:r>
              <w:rPr>
                <w:rFonts w:ascii="Arial" w:hAnsi="Arial" w:cs="Arial"/>
                <w:sz w:val="20"/>
                <w:lang w:val="en-US"/>
              </w:rPr>
              <w:br/>
              <w:t>(10-17)</w:t>
            </w:r>
          </w:p>
        </w:tc>
        <w:tc>
          <w:tcPr>
            <w:tcW w:w="188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31% (23-38)</w:t>
            </w:r>
            <w:r>
              <w:rPr>
                <w:rFonts w:ascii="Arial" w:hAnsi="Arial" w:cs="Arial"/>
                <w:sz w:val="20"/>
                <w:lang w:val="en-US"/>
              </w:rPr>
              <w:br/>
              <w:t>p&lt;0.001</w:t>
            </w:r>
          </w:p>
        </w:tc>
      </w:tr>
      <w:tr w:rsidR="00A5171B">
        <w:tblPrEx>
          <w:tblCellMar>
            <w:top w:w="0" w:type="dxa"/>
            <w:bottom w:w="0" w:type="dxa"/>
          </w:tblCellMar>
        </w:tblPrEx>
        <w:trPr>
          <w:jc w:val="center"/>
        </w:trPr>
        <w:tc>
          <w:tcPr>
            <w:tcW w:w="2138" w:type="dxa"/>
            <w:tcBorders>
              <w:top w:val="nil"/>
              <w:left w:val="single" w:sz="6" w:space="0" w:color="auto"/>
              <w:bottom w:val="nil"/>
              <w:right w:val="nil"/>
            </w:tcBorders>
          </w:tcPr>
          <w:p w:rsidR="00A5171B" w:rsidRDefault="00A5171B">
            <w:pPr>
              <w:autoSpaceDE w:val="0"/>
              <w:autoSpaceDN w:val="0"/>
              <w:adjustRightInd w:val="0"/>
              <w:ind w:right="255"/>
              <w:rPr>
                <w:rFonts w:ascii="Arial" w:hAnsi="Arial" w:cs="Arial"/>
                <w:b/>
                <w:bCs/>
                <w:sz w:val="20"/>
                <w:lang w:val="en-US"/>
              </w:rPr>
            </w:pPr>
            <w:r>
              <w:rPr>
                <w:rFonts w:ascii="Arial" w:hAnsi="Arial" w:cs="Arial"/>
                <w:b/>
                <w:bCs/>
                <w:sz w:val="20"/>
                <w:szCs w:val="18"/>
                <w:lang w:val="en-US"/>
              </w:rPr>
              <w:t>Any clinical osteoporosis-related fractures</w:t>
            </w:r>
          </w:p>
        </w:tc>
        <w:tc>
          <w:tcPr>
            <w:tcW w:w="1394" w:type="dxa"/>
            <w:tcBorders>
              <w:top w:val="nil"/>
              <w:bottom w:val="nil"/>
              <w:right w:val="single" w:sz="6" w:space="0" w:color="auto"/>
            </w:tcBorders>
          </w:tcPr>
          <w:p w:rsidR="00A5171B" w:rsidRDefault="00A5171B">
            <w:pPr>
              <w:spacing w:before="60" w:after="60"/>
              <w:ind w:left="334" w:right="255"/>
              <w:rPr>
                <w:rFonts w:ascii="Arial" w:hAnsi="Arial" w:cs="Arial"/>
                <w:sz w:val="20"/>
                <w:lang w:val="en-US"/>
              </w:rPr>
            </w:pPr>
            <w:r>
              <w:rPr>
                <w:rFonts w:ascii="Arial" w:hAnsi="Arial" w:cs="Arial"/>
                <w:sz w:val="20"/>
                <w:lang w:val="en-US"/>
              </w:rPr>
              <w:t>16.6%</w:t>
            </w:r>
          </w:p>
          <w:p w:rsidR="00A5171B" w:rsidRDefault="00A5171B">
            <w:pPr>
              <w:spacing w:before="60" w:after="60"/>
              <w:ind w:right="255"/>
              <w:jc w:val="center"/>
              <w:rPr>
                <w:rFonts w:ascii="Arial" w:hAnsi="Arial" w:cs="Arial"/>
                <w:sz w:val="20"/>
                <w:lang w:val="en-US"/>
              </w:rPr>
            </w:pPr>
          </w:p>
        </w:tc>
        <w:tc>
          <w:tcPr>
            <w:tcW w:w="1418" w:type="dxa"/>
            <w:tcBorders>
              <w:top w:val="nil"/>
              <w:left w:val="single" w:sz="6" w:space="0" w:color="auto"/>
              <w:bottom w:val="nil"/>
              <w:right w:val="single" w:sz="6" w:space="0" w:color="auto"/>
            </w:tcBorders>
          </w:tcPr>
          <w:p w:rsidR="00A5171B" w:rsidRDefault="00A5171B">
            <w:pPr>
              <w:spacing w:before="60" w:after="60"/>
              <w:ind w:left="174" w:right="255"/>
              <w:rPr>
                <w:rFonts w:ascii="Arial" w:hAnsi="Arial" w:cs="Arial"/>
                <w:sz w:val="20"/>
                <w:lang w:val="en-US"/>
              </w:rPr>
            </w:pPr>
            <w:r>
              <w:rPr>
                <w:rFonts w:ascii="Arial" w:hAnsi="Arial" w:cs="Arial"/>
                <w:sz w:val="20"/>
                <w:lang w:val="en-US"/>
              </w:rPr>
              <w:t xml:space="preserve">    20.0%</w:t>
            </w:r>
          </w:p>
          <w:p w:rsidR="00A5171B" w:rsidRDefault="00A5171B">
            <w:pPr>
              <w:spacing w:before="60" w:after="60"/>
              <w:ind w:right="255"/>
              <w:jc w:val="center"/>
              <w:rPr>
                <w:rFonts w:ascii="Arial" w:hAnsi="Arial" w:cs="Arial"/>
                <w:sz w:val="20"/>
                <w:lang w:val="en-US"/>
              </w:rPr>
            </w:pPr>
          </w:p>
        </w:tc>
        <w:tc>
          <w:tcPr>
            <w:tcW w:w="172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29</w:t>
            </w:r>
            <w:r>
              <w:rPr>
                <w:rFonts w:ascii="Arial" w:hAnsi="Arial" w:cs="Arial"/>
                <w:sz w:val="20"/>
                <w:lang w:val="en-US"/>
              </w:rPr>
              <w:br/>
              <w:t>(18-72)</w:t>
            </w:r>
          </w:p>
        </w:tc>
        <w:tc>
          <w:tcPr>
            <w:tcW w:w="188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20% (10-29)</w:t>
            </w:r>
            <w:r>
              <w:rPr>
                <w:rFonts w:ascii="Arial" w:hAnsi="Arial" w:cs="Arial"/>
                <w:sz w:val="20"/>
                <w:lang w:val="en-US"/>
              </w:rPr>
              <w:br/>
              <w:t>p&lt;0.001</w:t>
            </w:r>
          </w:p>
        </w:tc>
      </w:tr>
      <w:tr w:rsidR="00A5171B">
        <w:tblPrEx>
          <w:tblCellMar>
            <w:top w:w="0" w:type="dxa"/>
            <w:bottom w:w="0" w:type="dxa"/>
          </w:tblCellMar>
        </w:tblPrEx>
        <w:trPr>
          <w:cantSplit/>
          <w:jc w:val="center"/>
        </w:trPr>
        <w:tc>
          <w:tcPr>
            <w:tcW w:w="8558" w:type="dxa"/>
            <w:gridSpan w:val="5"/>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Patients older than 80 years</w:t>
            </w:r>
          </w:p>
        </w:tc>
      </w:tr>
      <w:tr w:rsidR="00A5171B">
        <w:tblPrEx>
          <w:tblCellMar>
            <w:top w:w="0" w:type="dxa"/>
            <w:bottom w:w="0" w:type="dxa"/>
          </w:tblCellMar>
        </w:tblPrEx>
        <w:trPr>
          <w:jc w:val="center"/>
        </w:trPr>
        <w:tc>
          <w:tcPr>
            <w:tcW w:w="2138" w:type="dxa"/>
            <w:tcBorders>
              <w:top w:val="nil"/>
              <w:left w:val="single" w:sz="6" w:space="0" w:color="auto"/>
              <w:bottom w:val="nil"/>
              <w:right w:val="nil"/>
            </w:tcBorders>
          </w:tcPr>
          <w:p w:rsidR="00A5171B" w:rsidRDefault="00A5171B">
            <w:pPr>
              <w:autoSpaceDE w:val="0"/>
              <w:autoSpaceDN w:val="0"/>
              <w:adjustRightInd w:val="0"/>
              <w:ind w:right="255"/>
              <w:jc w:val="center"/>
              <w:rPr>
                <w:rFonts w:ascii="Arial" w:hAnsi="Arial" w:cs="Arial"/>
                <w:b/>
                <w:bCs/>
                <w:sz w:val="20"/>
                <w:szCs w:val="18"/>
                <w:lang w:val="en-US"/>
              </w:rPr>
            </w:pPr>
          </w:p>
        </w:tc>
        <w:tc>
          <w:tcPr>
            <w:tcW w:w="1394" w:type="dxa"/>
            <w:tcBorders>
              <w:top w:val="nil"/>
              <w:bottom w:val="nil"/>
              <w:right w:val="single" w:sz="6" w:space="0" w:color="auto"/>
            </w:tcBorders>
          </w:tcPr>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N=739</w:t>
            </w:r>
          </w:p>
        </w:tc>
        <w:tc>
          <w:tcPr>
            <w:tcW w:w="1418"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N=749</w:t>
            </w:r>
          </w:p>
        </w:tc>
        <w:tc>
          <w:tcPr>
            <w:tcW w:w="172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p>
        </w:tc>
        <w:tc>
          <w:tcPr>
            <w:tcW w:w="188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p>
        </w:tc>
      </w:tr>
      <w:tr w:rsidR="00A5171B">
        <w:tblPrEx>
          <w:tblCellMar>
            <w:top w:w="0" w:type="dxa"/>
            <w:bottom w:w="0" w:type="dxa"/>
          </w:tblCellMar>
        </w:tblPrEx>
        <w:trPr>
          <w:jc w:val="center"/>
        </w:trPr>
        <w:tc>
          <w:tcPr>
            <w:tcW w:w="2138" w:type="dxa"/>
            <w:tcBorders>
              <w:top w:val="nil"/>
              <w:left w:val="single" w:sz="6" w:space="0" w:color="auto"/>
              <w:bottom w:val="nil"/>
              <w:right w:val="nil"/>
            </w:tcBorders>
          </w:tcPr>
          <w:p w:rsidR="00A5171B" w:rsidRDefault="00A5171B">
            <w:pPr>
              <w:autoSpaceDE w:val="0"/>
              <w:autoSpaceDN w:val="0"/>
              <w:adjustRightInd w:val="0"/>
              <w:ind w:right="255"/>
              <w:rPr>
                <w:rFonts w:ascii="Arial" w:hAnsi="Arial" w:cs="Arial"/>
                <w:b/>
                <w:bCs/>
                <w:sz w:val="20"/>
                <w:szCs w:val="18"/>
                <w:lang w:val="en-US"/>
              </w:rPr>
            </w:pPr>
            <w:r>
              <w:rPr>
                <w:rFonts w:ascii="Arial" w:hAnsi="Arial" w:cs="Arial"/>
                <w:b/>
                <w:bCs/>
                <w:sz w:val="20"/>
                <w:szCs w:val="18"/>
                <w:lang w:val="en-US"/>
              </w:rPr>
              <w:t>Osteoporosis-related peripheral fractures</w:t>
            </w:r>
          </w:p>
        </w:tc>
        <w:tc>
          <w:tcPr>
            <w:tcW w:w="1394" w:type="dxa"/>
            <w:tcBorders>
              <w:top w:val="nil"/>
              <w:bottom w:val="nil"/>
              <w:right w:val="single" w:sz="6" w:space="0" w:color="auto"/>
            </w:tcBorders>
          </w:tcPr>
          <w:p w:rsidR="00A5171B" w:rsidRDefault="00A5171B">
            <w:pPr>
              <w:spacing w:before="60" w:after="60"/>
              <w:ind w:right="255"/>
              <w:rPr>
                <w:rFonts w:ascii="Arial" w:hAnsi="Arial" w:cs="Arial"/>
                <w:sz w:val="20"/>
                <w:lang w:val="nl-NL"/>
              </w:rPr>
            </w:pPr>
            <w:r>
              <w:rPr>
                <w:rFonts w:ascii="Arial" w:hAnsi="Arial" w:cs="Arial"/>
                <w:sz w:val="20"/>
                <w:lang w:val="en-US"/>
              </w:rPr>
              <w:t xml:space="preserve">       </w:t>
            </w:r>
            <w:r>
              <w:rPr>
                <w:rFonts w:ascii="Arial" w:hAnsi="Arial" w:cs="Arial"/>
                <w:sz w:val="20"/>
                <w:lang w:val="nl-NL"/>
              </w:rPr>
              <w:t>14.2%</w:t>
            </w:r>
          </w:p>
          <w:p w:rsidR="00A5171B" w:rsidRDefault="00A5171B">
            <w:pPr>
              <w:spacing w:before="60" w:after="60"/>
              <w:ind w:right="255"/>
              <w:jc w:val="center"/>
              <w:rPr>
                <w:rFonts w:ascii="Arial" w:hAnsi="Arial" w:cs="Arial"/>
                <w:sz w:val="20"/>
                <w:lang w:val="nl-NL"/>
              </w:rPr>
            </w:pPr>
          </w:p>
        </w:tc>
        <w:tc>
          <w:tcPr>
            <w:tcW w:w="1418" w:type="dxa"/>
            <w:tcBorders>
              <w:top w:val="nil"/>
              <w:left w:val="single" w:sz="6" w:space="0" w:color="auto"/>
              <w:bottom w:val="nil"/>
              <w:right w:val="single" w:sz="6" w:space="0" w:color="auto"/>
            </w:tcBorders>
          </w:tcPr>
          <w:p w:rsidR="00A5171B" w:rsidRDefault="00A5171B">
            <w:pPr>
              <w:spacing w:before="60" w:after="60"/>
              <w:ind w:left="355" w:right="255"/>
              <w:rPr>
                <w:rFonts w:ascii="Arial" w:hAnsi="Arial" w:cs="Arial"/>
                <w:sz w:val="20"/>
                <w:lang w:val="nl-NL"/>
              </w:rPr>
            </w:pPr>
            <w:r>
              <w:rPr>
                <w:rFonts w:ascii="Arial" w:hAnsi="Arial" w:cs="Arial"/>
                <w:sz w:val="20"/>
                <w:lang w:val="nl-NL"/>
              </w:rPr>
              <w:t>19.7%</w:t>
            </w:r>
          </w:p>
          <w:p w:rsidR="00A5171B" w:rsidRDefault="00A5171B">
            <w:pPr>
              <w:spacing w:before="60" w:after="60"/>
              <w:ind w:right="255"/>
              <w:jc w:val="center"/>
              <w:rPr>
                <w:rFonts w:ascii="Arial" w:hAnsi="Arial" w:cs="Arial"/>
                <w:sz w:val="20"/>
                <w:lang w:val="nl-NL"/>
              </w:rPr>
            </w:pPr>
          </w:p>
        </w:tc>
        <w:tc>
          <w:tcPr>
            <w:tcW w:w="172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nl-NL"/>
              </w:rPr>
            </w:pPr>
            <w:r>
              <w:rPr>
                <w:rFonts w:ascii="Arial" w:hAnsi="Arial" w:cs="Arial"/>
                <w:sz w:val="20"/>
                <w:lang w:val="nl-NL"/>
              </w:rPr>
              <w:t>18</w:t>
            </w:r>
            <w:r>
              <w:rPr>
                <w:rFonts w:ascii="Arial" w:hAnsi="Arial" w:cs="Arial"/>
                <w:sz w:val="20"/>
                <w:lang w:val="nl-NL"/>
              </w:rPr>
              <w:br/>
              <w:t>(10-126)</w:t>
            </w:r>
          </w:p>
        </w:tc>
        <w:tc>
          <w:tcPr>
            <w:tcW w:w="188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nl-NL"/>
              </w:rPr>
            </w:pPr>
            <w:r>
              <w:rPr>
                <w:rFonts w:ascii="Arial" w:hAnsi="Arial" w:cs="Arial"/>
                <w:sz w:val="20"/>
                <w:lang w:val="nl-NL"/>
              </w:rPr>
              <w:t>31% (8-48)</w:t>
            </w:r>
            <w:r>
              <w:rPr>
                <w:rFonts w:ascii="Arial" w:hAnsi="Arial" w:cs="Arial"/>
                <w:sz w:val="20"/>
                <w:lang w:val="nl-NL"/>
              </w:rPr>
              <w:br/>
              <w:t>p=0.011</w:t>
            </w:r>
          </w:p>
        </w:tc>
      </w:tr>
      <w:tr w:rsidR="00A5171B">
        <w:tblPrEx>
          <w:tblCellMar>
            <w:top w:w="0" w:type="dxa"/>
            <w:bottom w:w="0" w:type="dxa"/>
          </w:tblCellMar>
        </w:tblPrEx>
        <w:trPr>
          <w:jc w:val="center"/>
        </w:trPr>
        <w:tc>
          <w:tcPr>
            <w:tcW w:w="2138" w:type="dxa"/>
            <w:tcBorders>
              <w:top w:val="nil"/>
              <w:left w:val="single" w:sz="6" w:space="0" w:color="auto"/>
              <w:bottom w:val="nil"/>
              <w:right w:val="nil"/>
            </w:tcBorders>
          </w:tcPr>
          <w:p w:rsidR="00A5171B" w:rsidRDefault="00A5171B">
            <w:pPr>
              <w:autoSpaceDE w:val="0"/>
              <w:autoSpaceDN w:val="0"/>
              <w:adjustRightInd w:val="0"/>
              <w:ind w:right="255"/>
              <w:rPr>
                <w:rFonts w:ascii="Arial" w:hAnsi="Arial" w:cs="Arial"/>
                <w:b/>
                <w:bCs/>
                <w:sz w:val="20"/>
                <w:szCs w:val="18"/>
                <w:lang w:val="nl-NL"/>
              </w:rPr>
            </w:pPr>
          </w:p>
        </w:tc>
        <w:tc>
          <w:tcPr>
            <w:tcW w:w="1394" w:type="dxa"/>
            <w:tcBorders>
              <w:top w:val="nil"/>
              <w:bottom w:val="nil"/>
              <w:right w:val="single" w:sz="6" w:space="0" w:color="auto"/>
            </w:tcBorders>
          </w:tcPr>
          <w:p w:rsidR="00A5171B" w:rsidRDefault="00A5171B">
            <w:pPr>
              <w:spacing w:before="60" w:after="60"/>
              <w:ind w:right="255"/>
              <w:jc w:val="both"/>
              <w:rPr>
                <w:rFonts w:ascii="Arial" w:hAnsi="Arial" w:cs="Arial"/>
                <w:b/>
                <w:bCs/>
                <w:sz w:val="20"/>
                <w:lang w:val="nl-NL"/>
              </w:rPr>
            </w:pPr>
            <w:r>
              <w:rPr>
                <w:rFonts w:ascii="Arial" w:hAnsi="Arial" w:cs="Arial"/>
                <w:b/>
                <w:bCs/>
                <w:sz w:val="20"/>
                <w:lang w:val="nl-NL"/>
              </w:rPr>
              <w:t xml:space="preserve">        n=443</w:t>
            </w:r>
          </w:p>
        </w:tc>
        <w:tc>
          <w:tcPr>
            <w:tcW w:w="1418" w:type="dxa"/>
            <w:tcBorders>
              <w:top w:val="nil"/>
              <w:left w:val="single" w:sz="6" w:space="0" w:color="auto"/>
              <w:bottom w:val="nil"/>
              <w:right w:val="single" w:sz="6" w:space="0" w:color="auto"/>
            </w:tcBorders>
          </w:tcPr>
          <w:p w:rsidR="00A5171B" w:rsidRDefault="00A5171B">
            <w:pPr>
              <w:spacing w:before="60" w:after="60"/>
              <w:ind w:left="355" w:right="255"/>
              <w:rPr>
                <w:rFonts w:ascii="Arial" w:hAnsi="Arial" w:cs="Arial"/>
                <w:b/>
                <w:bCs/>
                <w:sz w:val="20"/>
                <w:lang w:val="nl-NL"/>
              </w:rPr>
            </w:pPr>
            <w:r>
              <w:rPr>
                <w:rFonts w:ascii="Arial" w:hAnsi="Arial" w:cs="Arial"/>
                <w:b/>
                <w:bCs/>
                <w:sz w:val="20"/>
                <w:lang w:val="nl-NL"/>
              </w:rPr>
              <w:t>n=452</w:t>
            </w:r>
          </w:p>
        </w:tc>
        <w:tc>
          <w:tcPr>
            <w:tcW w:w="172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nl-NL"/>
              </w:rPr>
            </w:pPr>
          </w:p>
        </w:tc>
        <w:tc>
          <w:tcPr>
            <w:tcW w:w="188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nl-NL"/>
              </w:rPr>
            </w:pPr>
          </w:p>
        </w:tc>
      </w:tr>
      <w:tr w:rsidR="00A5171B">
        <w:tblPrEx>
          <w:tblCellMar>
            <w:top w:w="0" w:type="dxa"/>
            <w:bottom w:w="0" w:type="dxa"/>
          </w:tblCellMar>
        </w:tblPrEx>
        <w:trPr>
          <w:jc w:val="center"/>
        </w:trPr>
        <w:tc>
          <w:tcPr>
            <w:tcW w:w="2138" w:type="dxa"/>
            <w:tcBorders>
              <w:top w:val="nil"/>
              <w:left w:val="single" w:sz="6" w:space="0" w:color="auto"/>
              <w:bottom w:val="nil"/>
              <w:right w:val="nil"/>
            </w:tcBorders>
          </w:tcPr>
          <w:p w:rsidR="00A5171B" w:rsidRDefault="00A5171B">
            <w:pPr>
              <w:autoSpaceDE w:val="0"/>
              <w:autoSpaceDN w:val="0"/>
              <w:adjustRightInd w:val="0"/>
              <w:ind w:right="255"/>
              <w:rPr>
                <w:rFonts w:ascii="Arial" w:hAnsi="Arial" w:cs="Arial"/>
                <w:b/>
                <w:bCs/>
                <w:sz w:val="20"/>
                <w:szCs w:val="18"/>
                <w:lang w:val="en-US"/>
              </w:rPr>
            </w:pPr>
            <w:r>
              <w:rPr>
                <w:rFonts w:ascii="Arial" w:hAnsi="Arial" w:cs="Arial"/>
                <w:b/>
                <w:bCs/>
                <w:sz w:val="20"/>
                <w:szCs w:val="18"/>
                <w:lang w:val="en-US"/>
              </w:rPr>
              <w:t>Vertebral fractures</w:t>
            </w:r>
          </w:p>
        </w:tc>
        <w:tc>
          <w:tcPr>
            <w:tcW w:w="1394" w:type="dxa"/>
            <w:tcBorders>
              <w:top w:val="nil"/>
              <w:bottom w:val="nil"/>
              <w:right w:val="single" w:sz="6" w:space="0" w:color="auto"/>
            </w:tcBorders>
          </w:tcPr>
          <w:p w:rsidR="00A5171B" w:rsidRDefault="00A5171B">
            <w:pPr>
              <w:spacing w:before="60" w:after="60"/>
              <w:ind w:right="255"/>
              <w:jc w:val="both"/>
              <w:rPr>
                <w:rFonts w:ascii="Arial" w:hAnsi="Arial" w:cs="Arial"/>
                <w:sz w:val="20"/>
                <w:lang w:val="en-US"/>
              </w:rPr>
            </w:pPr>
            <w:r>
              <w:rPr>
                <w:rFonts w:ascii="Arial" w:hAnsi="Arial" w:cs="Arial"/>
                <w:sz w:val="20"/>
                <w:lang w:val="en-US"/>
              </w:rPr>
              <w:t xml:space="preserve">        19.1%</w:t>
            </w:r>
          </w:p>
        </w:tc>
        <w:tc>
          <w:tcPr>
            <w:tcW w:w="1418" w:type="dxa"/>
            <w:tcBorders>
              <w:top w:val="nil"/>
              <w:left w:val="single" w:sz="6" w:space="0" w:color="auto"/>
              <w:bottom w:val="nil"/>
              <w:right w:val="single" w:sz="6" w:space="0" w:color="auto"/>
            </w:tcBorders>
          </w:tcPr>
          <w:p w:rsidR="00A5171B" w:rsidRDefault="00A5171B">
            <w:pPr>
              <w:spacing w:before="60" w:after="60"/>
              <w:ind w:left="355" w:right="255"/>
              <w:rPr>
                <w:rFonts w:ascii="Arial" w:hAnsi="Arial" w:cs="Arial"/>
                <w:sz w:val="20"/>
                <w:lang w:val="en-US"/>
              </w:rPr>
            </w:pPr>
            <w:r>
              <w:rPr>
                <w:rFonts w:ascii="Arial" w:hAnsi="Arial" w:cs="Arial"/>
                <w:sz w:val="20"/>
                <w:lang w:val="en-US"/>
              </w:rPr>
              <w:t>26.5%</w:t>
            </w:r>
          </w:p>
        </w:tc>
        <w:tc>
          <w:tcPr>
            <w:tcW w:w="172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13</w:t>
            </w:r>
            <w:r>
              <w:rPr>
                <w:rFonts w:ascii="Arial" w:hAnsi="Arial" w:cs="Arial"/>
                <w:sz w:val="20"/>
                <w:lang w:val="en-US"/>
              </w:rPr>
              <w:br/>
              <w:t>(7-80)</w:t>
            </w:r>
          </w:p>
        </w:tc>
        <w:tc>
          <w:tcPr>
            <w:tcW w:w="188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lang w:val="en-US"/>
              </w:rPr>
            </w:pPr>
            <w:r>
              <w:rPr>
                <w:rFonts w:ascii="Arial" w:hAnsi="Arial" w:cs="Arial"/>
                <w:sz w:val="20"/>
                <w:lang w:val="en-US"/>
              </w:rPr>
              <w:t>32% (8-50)</w:t>
            </w:r>
            <w:r>
              <w:rPr>
                <w:rFonts w:ascii="Arial" w:hAnsi="Arial" w:cs="Arial"/>
                <w:sz w:val="20"/>
                <w:lang w:val="en-US"/>
              </w:rPr>
              <w:br/>
              <w:t>p=0.013</w:t>
            </w:r>
          </w:p>
        </w:tc>
      </w:tr>
      <w:tr w:rsidR="00A5171B">
        <w:tblPrEx>
          <w:tblCellMar>
            <w:top w:w="0" w:type="dxa"/>
            <w:bottom w:w="0" w:type="dxa"/>
          </w:tblCellMar>
        </w:tblPrEx>
        <w:trPr>
          <w:cantSplit/>
          <w:jc w:val="center"/>
        </w:trPr>
        <w:tc>
          <w:tcPr>
            <w:tcW w:w="8558" w:type="dxa"/>
            <w:gridSpan w:val="5"/>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b/>
                <w:bCs/>
                <w:sz w:val="20"/>
                <w:lang w:val="en-US"/>
              </w:rPr>
            </w:pPr>
            <w:r>
              <w:rPr>
                <w:rFonts w:ascii="Arial" w:hAnsi="Arial" w:cs="Arial"/>
                <w:b/>
                <w:bCs/>
                <w:sz w:val="20"/>
                <w:lang w:val="en-US"/>
              </w:rPr>
              <w:t>Patients with Osteopenia</w:t>
            </w:r>
          </w:p>
        </w:tc>
      </w:tr>
      <w:tr w:rsidR="00A5171B">
        <w:tblPrEx>
          <w:tblCellMar>
            <w:top w:w="0" w:type="dxa"/>
            <w:bottom w:w="0" w:type="dxa"/>
          </w:tblCellMar>
        </w:tblPrEx>
        <w:trPr>
          <w:jc w:val="center"/>
        </w:trPr>
        <w:tc>
          <w:tcPr>
            <w:tcW w:w="2138" w:type="dxa"/>
            <w:tcBorders>
              <w:top w:val="nil"/>
              <w:left w:val="single" w:sz="6" w:space="0" w:color="auto"/>
              <w:bottom w:val="nil"/>
              <w:right w:val="nil"/>
            </w:tcBorders>
          </w:tcPr>
          <w:p w:rsidR="00A5171B" w:rsidRDefault="00A5171B">
            <w:pPr>
              <w:autoSpaceDE w:val="0"/>
              <w:autoSpaceDN w:val="0"/>
              <w:adjustRightInd w:val="0"/>
              <w:ind w:right="255"/>
              <w:rPr>
                <w:rFonts w:ascii="Arial" w:hAnsi="Arial" w:cs="Arial"/>
                <w:b/>
                <w:bCs/>
                <w:sz w:val="20"/>
                <w:szCs w:val="18"/>
                <w:lang w:val="en-US"/>
              </w:rPr>
            </w:pPr>
          </w:p>
        </w:tc>
        <w:tc>
          <w:tcPr>
            <w:tcW w:w="1394" w:type="dxa"/>
            <w:tcBorders>
              <w:top w:val="nil"/>
              <w:bottom w:val="nil"/>
              <w:right w:val="single" w:sz="6" w:space="0" w:color="auto"/>
            </w:tcBorders>
          </w:tcPr>
          <w:p w:rsidR="00A5171B" w:rsidRDefault="00A5171B">
            <w:pPr>
              <w:spacing w:before="60" w:after="60"/>
              <w:ind w:right="255"/>
              <w:jc w:val="both"/>
              <w:rPr>
                <w:rFonts w:ascii="Arial" w:hAnsi="Arial" w:cs="Arial"/>
                <w:b/>
                <w:bCs/>
                <w:sz w:val="20"/>
              </w:rPr>
            </w:pPr>
            <w:r>
              <w:rPr>
                <w:rFonts w:ascii="Arial" w:hAnsi="Arial" w:cs="Arial"/>
                <w:b/>
                <w:bCs/>
                <w:sz w:val="20"/>
              </w:rPr>
              <w:t xml:space="preserve">         N=206</w:t>
            </w:r>
          </w:p>
        </w:tc>
        <w:tc>
          <w:tcPr>
            <w:tcW w:w="1418" w:type="dxa"/>
            <w:tcBorders>
              <w:top w:val="nil"/>
              <w:left w:val="single" w:sz="6" w:space="0" w:color="auto"/>
              <w:bottom w:val="nil"/>
              <w:right w:val="single" w:sz="6" w:space="0" w:color="auto"/>
            </w:tcBorders>
          </w:tcPr>
          <w:p w:rsidR="00A5171B" w:rsidRDefault="00A5171B">
            <w:pPr>
              <w:spacing w:before="60" w:after="60"/>
              <w:ind w:left="355" w:right="255"/>
              <w:rPr>
                <w:rFonts w:ascii="Arial" w:hAnsi="Arial" w:cs="Arial"/>
                <w:b/>
                <w:bCs/>
                <w:sz w:val="20"/>
              </w:rPr>
            </w:pPr>
            <w:r>
              <w:rPr>
                <w:rFonts w:ascii="Arial" w:hAnsi="Arial" w:cs="Arial"/>
                <w:b/>
                <w:bCs/>
                <w:sz w:val="20"/>
              </w:rPr>
              <w:t>N=203</w:t>
            </w:r>
          </w:p>
        </w:tc>
        <w:tc>
          <w:tcPr>
            <w:tcW w:w="172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rPr>
            </w:pPr>
          </w:p>
        </w:tc>
        <w:tc>
          <w:tcPr>
            <w:tcW w:w="1884" w:type="dxa"/>
            <w:tcBorders>
              <w:top w:val="nil"/>
              <w:left w:val="single" w:sz="6" w:space="0" w:color="auto"/>
              <w:bottom w:val="nil"/>
              <w:right w:val="single" w:sz="6" w:space="0" w:color="auto"/>
            </w:tcBorders>
          </w:tcPr>
          <w:p w:rsidR="00A5171B" w:rsidRDefault="00A5171B">
            <w:pPr>
              <w:spacing w:before="60" w:after="60"/>
              <w:ind w:right="255"/>
              <w:jc w:val="center"/>
              <w:rPr>
                <w:rFonts w:ascii="Arial" w:hAnsi="Arial" w:cs="Arial"/>
                <w:sz w:val="20"/>
              </w:rPr>
            </w:pPr>
          </w:p>
        </w:tc>
      </w:tr>
      <w:tr w:rsidR="00A5171B">
        <w:tblPrEx>
          <w:tblCellMar>
            <w:top w:w="0" w:type="dxa"/>
            <w:bottom w:w="0" w:type="dxa"/>
          </w:tblCellMar>
        </w:tblPrEx>
        <w:trPr>
          <w:jc w:val="center"/>
        </w:trPr>
        <w:tc>
          <w:tcPr>
            <w:tcW w:w="2138" w:type="dxa"/>
            <w:tcBorders>
              <w:top w:val="nil"/>
              <w:left w:val="single" w:sz="6" w:space="0" w:color="auto"/>
              <w:bottom w:val="single" w:sz="6" w:space="0" w:color="auto"/>
              <w:right w:val="nil"/>
            </w:tcBorders>
          </w:tcPr>
          <w:p w:rsidR="00A5171B" w:rsidRDefault="00A5171B">
            <w:pPr>
              <w:autoSpaceDE w:val="0"/>
              <w:autoSpaceDN w:val="0"/>
              <w:adjustRightInd w:val="0"/>
              <w:ind w:right="255"/>
              <w:rPr>
                <w:rFonts w:ascii="Arial" w:hAnsi="Arial" w:cs="Arial"/>
                <w:b/>
                <w:bCs/>
                <w:sz w:val="20"/>
                <w:szCs w:val="18"/>
                <w:lang w:val="en-US"/>
              </w:rPr>
            </w:pPr>
            <w:r>
              <w:rPr>
                <w:rFonts w:ascii="Arial" w:hAnsi="Arial" w:cs="Arial"/>
                <w:b/>
                <w:bCs/>
                <w:sz w:val="20"/>
                <w:szCs w:val="18"/>
                <w:lang w:val="en-US"/>
              </w:rPr>
              <w:t>Vertebral fractures</w:t>
            </w:r>
          </w:p>
        </w:tc>
        <w:tc>
          <w:tcPr>
            <w:tcW w:w="1394" w:type="dxa"/>
            <w:tcBorders>
              <w:top w:val="nil"/>
              <w:bottom w:val="single" w:sz="6" w:space="0" w:color="auto"/>
              <w:right w:val="single" w:sz="6" w:space="0" w:color="auto"/>
            </w:tcBorders>
          </w:tcPr>
          <w:p w:rsidR="00A5171B" w:rsidRDefault="00A5171B">
            <w:pPr>
              <w:spacing w:before="60" w:after="60"/>
              <w:ind w:right="255"/>
              <w:jc w:val="both"/>
              <w:rPr>
                <w:rFonts w:ascii="Arial" w:hAnsi="Arial" w:cs="Arial"/>
                <w:sz w:val="20"/>
              </w:rPr>
            </w:pPr>
            <w:r>
              <w:rPr>
                <w:rFonts w:ascii="Arial" w:hAnsi="Arial" w:cs="Arial"/>
                <w:sz w:val="20"/>
              </w:rPr>
              <w:t xml:space="preserve">         8.1%</w:t>
            </w:r>
          </w:p>
        </w:tc>
        <w:tc>
          <w:tcPr>
            <w:tcW w:w="1418" w:type="dxa"/>
            <w:tcBorders>
              <w:top w:val="nil"/>
              <w:left w:val="single" w:sz="6" w:space="0" w:color="auto"/>
              <w:bottom w:val="single" w:sz="6" w:space="0" w:color="auto"/>
              <w:right w:val="single" w:sz="6" w:space="0" w:color="auto"/>
            </w:tcBorders>
          </w:tcPr>
          <w:p w:rsidR="00A5171B" w:rsidRDefault="00A5171B">
            <w:pPr>
              <w:spacing w:before="60" w:after="60"/>
              <w:ind w:left="355" w:right="255"/>
              <w:rPr>
                <w:rFonts w:ascii="Arial" w:hAnsi="Arial" w:cs="Arial"/>
                <w:sz w:val="20"/>
              </w:rPr>
            </w:pPr>
            <w:r>
              <w:rPr>
                <w:rFonts w:ascii="Arial" w:hAnsi="Arial" w:cs="Arial"/>
                <w:sz w:val="20"/>
              </w:rPr>
              <w:t>18.6%</w:t>
            </w:r>
          </w:p>
        </w:tc>
        <w:tc>
          <w:tcPr>
            <w:tcW w:w="1724" w:type="dxa"/>
            <w:tcBorders>
              <w:top w:val="nil"/>
              <w:left w:val="single" w:sz="6" w:space="0" w:color="auto"/>
              <w:bottom w:val="single" w:sz="6" w:space="0" w:color="auto"/>
              <w:right w:val="single" w:sz="6" w:space="0" w:color="auto"/>
            </w:tcBorders>
          </w:tcPr>
          <w:p w:rsidR="00A5171B" w:rsidRDefault="00A5171B">
            <w:pPr>
              <w:spacing w:before="60" w:after="60"/>
              <w:ind w:right="255"/>
              <w:jc w:val="center"/>
              <w:rPr>
                <w:rFonts w:ascii="Arial" w:hAnsi="Arial" w:cs="Arial"/>
                <w:sz w:val="20"/>
              </w:rPr>
            </w:pPr>
            <w:r>
              <w:rPr>
                <w:rFonts w:ascii="Arial" w:hAnsi="Arial" w:cs="Arial"/>
                <w:sz w:val="20"/>
              </w:rPr>
              <w:t>10</w:t>
            </w:r>
            <w:r>
              <w:rPr>
                <w:rFonts w:ascii="Arial" w:hAnsi="Arial" w:cs="Arial"/>
                <w:sz w:val="20"/>
              </w:rPr>
              <w:br/>
              <w:t>(6-28)</w:t>
            </w:r>
          </w:p>
        </w:tc>
        <w:tc>
          <w:tcPr>
            <w:tcW w:w="1884" w:type="dxa"/>
            <w:tcBorders>
              <w:top w:val="nil"/>
              <w:left w:val="single" w:sz="6" w:space="0" w:color="auto"/>
              <w:bottom w:val="single" w:sz="6" w:space="0" w:color="auto"/>
              <w:right w:val="single" w:sz="6" w:space="0" w:color="auto"/>
            </w:tcBorders>
          </w:tcPr>
          <w:p w:rsidR="00A5171B" w:rsidRDefault="00A5171B">
            <w:pPr>
              <w:spacing w:before="60" w:after="60"/>
              <w:ind w:right="255"/>
              <w:jc w:val="center"/>
              <w:rPr>
                <w:rFonts w:ascii="Arial" w:hAnsi="Arial" w:cs="Arial"/>
                <w:sz w:val="20"/>
              </w:rPr>
            </w:pPr>
            <w:r>
              <w:rPr>
                <w:rFonts w:ascii="Arial" w:hAnsi="Arial" w:cs="Arial"/>
                <w:sz w:val="20"/>
              </w:rPr>
              <w:t>62% (30-79)</w:t>
            </w:r>
            <w:r>
              <w:rPr>
                <w:rFonts w:ascii="Arial" w:hAnsi="Arial" w:cs="Arial"/>
                <w:sz w:val="20"/>
              </w:rPr>
              <w:br/>
              <w:t>p=0.001</w:t>
            </w:r>
          </w:p>
        </w:tc>
      </w:tr>
    </w:tbl>
    <w:p w:rsidR="004831E4" w:rsidRPr="00A43AD0" w:rsidRDefault="00365AA3" w:rsidP="007955DB">
      <w:pPr>
        <w:shd w:val="clear" w:color="auto" w:fill="FFFFFF"/>
        <w:autoSpaceDE w:val="0"/>
        <w:autoSpaceDN w:val="0"/>
        <w:adjustRightInd w:val="0"/>
        <w:ind w:right="-29"/>
        <w:rPr>
          <w:rFonts w:ascii="Arial" w:hAnsi="Arial" w:cs="Arial"/>
          <w:b/>
          <w:bCs/>
          <w:sz w:val="22"/>
        </w:rPr>
      </w:pPr>
      <w:r>
        <w:rPr>
          <w:rFonts w:ascii="Arial" w:hAnsi="Arial" w:cs="Arial"/>
          <w:b/>
          <w:bCs/>
          <w:sz w:val="22"/>
        </w:rPr>
        <w:br w:type="page"/>
      </w:r>
      <w:r w:rsidR="004831E4" w:rsidRPr="00A43AD0">
        <w:rPr>
          <w:rFonts w:ascii="Arial" w:hAnsi="Arial" w:cs="Arial"/>
          <w:b/>
          <w:bCs/>
          <w:sz w:val="22"/>
        </w:rPr>
        <w:lastRenderedPageBreak/>
        <w:t>Treatment of Osteoporosis in men</w:t>
      </w:r>
    </w:p>
    <w:p w:rsidR="004831E4" w:rsidRPr="00A43AD0" w:rsidRDefault="004831E4" w:rsidP="007955DB">
      <w:pPr>
        <w:shd w:val="clear" w:color="auto" w:fill="FFFFFF"/>
        <w:autoSpaceDE w:val="0"/>
        <w:autoSpaceDN w:val="0"/>
        <w:adjustRightInd w:val="0"/>
        <w:ind w:right="-29"/>
        <w:rPr>
          <w:rFonts w:ascii="Arial" w:hAnsi="Arial" w:cs="Arial"/>
          <w:sz w:val="22"/>
        </w:rPr>
      </w:pPr>
      <w:r w:rsidRPr="00A43AD0">
        <w:rPr>
          <w:rFonts w:ascii="Arial" w:hAnsi="Arial" w:cs="Arial"/>
          <w:sz w:val="22"/>
        </w:rPr>
        <w:t>The efficacy of PROTOS was demonstrated in men with osteoporosis in a double-blind, placebo-controlled study with the primary analysis at one year, in patients at high risk of fracture. The intention to treat (ITT) population comprised 243 patients, of which 161 received strontium ranelate 2g/day. Patients had a mean age of 72.7 years and a mean lumbar BMD T-score value of -2.6. Twenty-eight per cent had a prevalent vertebral fracture.</w:t>
      </w:r>
    </w:p>
    <w:p w:rsidR="004831E4" w:rsidRPr="00A43AD0" w:rsidRDefault="004831E4" w:rsidP="007955DB">
      <w:pPr>
        <w:shd w:val="clear" w:color="auto" w:fill="FFFFFF"/>
        <w:autoSpaceDE w:val="0"/>
        <w:autoSpaceDN w:val="0"/>
        <w:adjustRightInd w:val="0"/>
        <w:ind w:right="-29"/>
        <w:rPr>
          <w:rFonts w:ascii="Arial" w:hAnsi="Arial" w:cs="Arial"/>
          <w:sz w:val="22"/>
        </w:rPr>
      </w:pPr>
      <w:r w:rsidRPr="00A43AD0">
        <w:rPr>
          <w:rFonts w:ascii="Arial" w:hAnsi="Arial" w:cs="Arial"/>
          <w:sz w:val="22"/>
        </w:rPr>
        <w:t>All patients received daily supplemental calcium (1000 mg) and vitamin D (800 IU).</w:t>
      </w:r>
    </w:p>
    <w:p w:rsidR="007500D2" w:rsidRPr="00A43AD0" w:rsidRDefault="007500D2" w:rsidP="007955DB">
      <w:pPr>
        <w:shd w:val="clear" w:color="auto" w:fill="FFFFFF"/>
        <w:autoSpaceDE w:val="0"/>
        <w:autoSpaceDN w:val="0"/>
        <w:adjustRightInd w:val="0"/>
        <w:rPr>
          <w:rFonts w:ascii="Arial" w:hAnsi="Arial" w:cs="Arial"/>
          <w:sz w:val="22"/>
        </w:rPr>
      </w:pPr>
      <w:r w:rsidRPr="00A43AD0">
        <w:rPr>
          <w:rFonts w:ascii="Arial" w:hAnsi="Arial" w:cs="Arial"/>
          <w:sz w:val="22"/>
        </w:rPr>
        <w:t>The primary efficacy endpoint was the percentage change from baseline to end of lumbar L2-L4 BMD.</w:t>
      </w:r>
    </w:p>
    <w:p w:rsidR="004831E4" w:rsidRPr="00A43AD0" w:rsidRDefault="004831E4" w:rsidP="007955DB">
      <w:pPr>
        <w:shd w:val="clear" w:color="auto" w:fill="FFFFFF"/>
        <w:autoSpaceDE w:val="0"/>
        <w:autoSpaceDN w:val="0"/>
        <w:adjustRightInd w:val="0"/>
        <w:ind w:right="-29"/>
        <w:rPr>
          <w:rFonts w:ascii="Arial" w:hAnsi="Arial" w:cs="Arial"/>
          <w:sz w:val="22"/>
        </w:rPr>
      </w:pPr>
      <w:r w:rsidRPr="00A43AD0">
        <w:rPr>
          <w:rFonts w:ascii="Arial" w:hAnsi="Arial" w:cs="Arial"/>
          <w:sz w:val="22"/>
        </w:rPr>
        <w:t>Statistically significant increases in BMD were observed as early as 6 months following initiation of PROTOS treatment versus placebo.</w:t>
      </w:r>
    </w:p>
    <w:p w:rsidR="004831E4" w:rsidRPr="00A43AD0" w:rsidRDefault="004831E4" w:rsidP="007955DB">
      <w:pPr>
        <w:shd w:val="clear" w:color="auto" w:fill="FFFFFF"/>
        <w:autoSpaceDE w:val="0"/>
        <w:autoSpaceDN w:val="0"/>
        <w:adjustRightInd w:val="0"/>
        <w:ind w:right="-29"/>
        <w:rPr>
          <w:rFonts w:ascii="Arial" w:hAnsi="Arial" w:cs="Arial"/>
          <w:sz w:val="22"/>
        </w:rPr>
      </w:pPr>
      <w:r w:rsidRPr="00A43AD0">
        <w:rPr>
          <w:rFonts w:ascii="Arial" w:hAnsi="Arial" w:cs="Arial"/>
          <w:sz w:val="22"/>
        </w:rPr>
        <w:t>Over 12 months, a statistically significant increase in mean lumbar spine BMD, main efficacy criteria (p&lt;0.001), similar to that observed in the pivotal anti-fracture phase III studies carried-out in postmenopausal women, was observed.</w:t>
      </w:r>
    </w:p>
    <w:p w:rsidR="004831E4" w:rsidRPr="00A43AD0" w:rsidRDefault="004831E4" w:rsidP="007955DB">
      <w:pPr>
        <w:shd w:val="clear" w:color="auto" w:fill="FFFFFF"/>
        <w:ind w:right="-29"/>
        <w:rPr>
          <w:rFonts w:ascii="Arial" w:hAnsi="Arial" w:cs="Arial"/>
          <w:sz w:val="22"/>
        </w:rPr>
      </w:pPr>
      <w:r w:rsidRPr="00A43AD0">
        <w:rPr>
          <w:rFonts w:ascii="Arial" w:hAnsi="Arial" w:cs="Arial"/>
          <w:sz w:val="22"/>
        </w:rPr>
        <w:t>Statistically significant increases in femoral neck BMD and total hip BMD (p&lt;0.001) were also observed.</w:t>
      </w:r>
    </w:p>
    <w:p w:rsidR="00523E40" w:rsidRDefault="00523E40" w:rsidP="00D63EA1">
      <w:pPr>
        <w:tabs>
          <w:tab w:val="left" w:pos="7655"/>
          <w:tab w:val="left" w:pos="8647"/>
        </w:tabs>
        <w:ind w:right="-29"/>
        <w:rPr>
          <w:rFonts w:ascii="Arial" w:hAnsi="Arial" w:cs="Arial"/>
          <w:sz w:val="22"/>
        </w:rPr>
      </w:pPr>
      <w:r w:rsidRPr="00107DB3">
        <w:rPr>
          <w:rFonts w:ascii="Arial" w:hAnsi="Arial" w:cs="Arial"/>
          <w:sz w:val="22"/>
        </w:rPr>
        <w:t xml:space="preserve">Osteoporosis </w:t>
      </w:r>
      <w:r w:rsidR="00B80535">
        <w:rPr>
          <w:rFonts w:ascii="Arial" w:hAnsi="Arial" w:cs="Arial"/>
          <w:sz w:val="22"/>
        </w:rPr>
        <w:t>was</w:t>
      </w:r>
      <w:r w:rsidR="00B80535" w:rsidRPr="00107DB3">
        <w:rPr>
          <w:rFonts w:ascii="Arial" w:hAnsi="Arial" w:cs="Arial"/>
          <w:sz w:val="22"/>
        </w:rPr>
        <w:t xml:space="preserve"> </w:t>
      </w:r>
      <w:r w:rsidRPr="00107DB3">
        <w:rPr>
          <w:rFonts w:ascii="Arial" w:hAnsi="Arial" w:cs="Arial"/>
          <w:sz w:val="22"/>
        </w:rPr>
        <w:t xml:space="preserve">confirmed by the finding of low bone mass of at least </w:t>
      </w:r>
      <w:r w:rsidR="008A38CF">
        <w:rPr>
          <w:rFonts w:ascii="Arial" w:hAnsi="Arial" w:cs="Arial"/>
          <w:sz w:val="22"/>
        </w:rPr>
        <w:t>2.5</w:t>
      </w:r>
      <w:r w:rsidR="008A38CF" w:rsidRPr="00107DB3">
        <w:rPr>
          <w:rFonts w:ascii="Arial" w:hAnsi="Arial" w:cs="Arial"/>
          <w:sz w:val="22"/>
        </w:rPr>
        <w:t xml:space="preserve"> </w:t>
      </w:r>
      <w:r w:rsidRPr="00107DB3">
        <w:rPr>
          <w:rFonts w:ascii="Arial" w:hAnsi="Arial" w:cs="Arial"/>
          <w:sz w:val="22"/>
        </w:rPr>
        <w:t>standard deviations below the gender specific mean for young adults, or by the presence of osteoporotic fracture.</w:t>
      </w:r>
    </w:p>
    <w:p w:rsidR="00A5171B" w:rsidRDefault="00A5171B" w:rsidP="00365AA3">
      <w:pPr>
        <w:pStyle w:val="Heading1"/>
      </w:pPr>
      <w:r>
        <w:t>INDICATIONS</w:t>
      </w:r>
    </w:p>
    <w:p w:rsidR="00A5171B" w:rsidRDefault="00A5171B">
      <w:pPr>
        <w:tabs>
          <w:tab w:val="left" w:pos="8477"/>
        </w:tabs>
        <w:ind w:right="-29"/>
        <w:rPr>
          <w:rFonts w:ascii="Arial" w:hAnsi="Arial" w:cs="Arial"/>
          <w:sz w:val="22"/>
        </w:rPr>
      </w:pPr>
      <w:r>
        <w:rPr>
          <w:rFonts w:ascii="Arial" w:hAnsi="Arial" w:cs="Arial"/>
          <w:sz w:val="22"/>
        </w:rPr>
        <w:t xml:space="preserve">Treatment of postmenopausal osteoporosis to reduce the risk of fracture.  </w:t>
      </w:r>
    </w:p>
    <w:p w:rsidR="004831E4" w:rsidRPr="00107DB3" w:rsidRDefault="004831E4" w:rsidP="00107DB3">
      <w:pPr>
        <w:shd w:val="clear" w:color="auto" w:fill="FFFFFF"/>
        <w:autoSpaceDE w:val="0"/>
        <w:autoSpaceDN w:val="0"/>
        <w:adjustRightInd w:val="0"/>
        <w:rPr>
          <w:rFonts w:ascii="TimesNewRomanPSMT" w:hAnsi="TimesNewRomanPSMT"/>
          <w:sz w:val="20"/>
          <w:lang w:val="en-US" w:eastAsia="fr-FR"/>
        </w:rPr>
      </w:pPr>
      <w:r w:rsidRPr="00107DB3">
        <w:rPr>
          <w:rFonts w:ascii="Arial" w:hAnsi="Arial" w:cs="Arial"/>
          <w:sz w:val="22"/>
        </w:rPr>
        <w:t xml:space="preserve">Treatment of osteoporosis in men at increased risk of fracture. </w:t>
      </w:r>
    </w:p>
    <w:p w:rsidR="00A5171B" w:rsidRDefault="00A5171B" w:rsidP="00365AA3">
      <w:pPr>
        <w:pStyle w:val="Heading1"/>
      </w:pPr>
      <w:r>
        <w:t>CONTRAINDICATIONS</w:t>
      </w:r>
    </w:p>
    <w:p w:rsidR="00A5171B" w:rsidRDefault="00A5171B">
      <w:pPr>
        <w:numPr>
          <w:ilvl w:val="0"/>
          <w:numId w:val="4"/>
        </w:numPr>
        <w:tabs>
          <w:tab w:val="left" w:pos="8477"/>
        </w:tabs>
        <w:ind w:right="-29"/>
        <w:rPr>
          <w:rFonts w:ascii="Arial" w:hAnsi="Arial" w:cs="Arial"/>
          <w:sz w:val="22"/>
        </w:rPr>
      </w:pPr>
      <w:r>
        <w:rPr>
          <w:rFonts w:ascii="Arial" w:hAnsi="Arial" w:cs="Arial"/>
          <w:sz w:val="22"/>
        </w:rPr>
        <w:t>Known hypersensitivity to strontium ranelate or to any of the excipients</w:t>
      </w:r>
    </w:p>
    <w:p w:rsidR="00A5171B" w:rsidRDefault="00A5171B">
      <w:pPr>
        <w:numPr>
          <w:ilvl w:val="0"/>
          <w:numId w:val="4"/>
        </w:numPr>
        <w:tabs>
          <w:tab w:val="left" w:pos="-720"/>
          <w:tab w:val="left" w:pos="0"/>
          <w:tab w:val="left" w:pos="8477"/>
        </w:tabs>
        <w:ind w:right="-29"/>
        <w:jc w:val="both"/>
        <w:rPr>
          <w:rFonts w:ascii="Arial" w:hAnsi="Arial" w:cs="Arial"/>
          <w:sz w:val="22"/>
        </w:rPr>
      </w:pPr>
      <w:r>
        <w:rPr>
          <w:rFonts w:ascii="Arial" w:hAnsi="Arial" w:cs="Arial"/>
          <w:sz w:val="22"/>
        </w:rPr>
        <w:t>Severe renal impairment (see Pharmacokinetics – Special Populations)</w:t>
      </w:r>
    </w:p>
    <w:p w:rsidR="00743B2B" w:rsidRPr="00107DB3" w:rsidRDefault="00743B2B" w:rsidP="00107DB3">
      <w:pPr>
        <w:pStyle w:val="ListParagraph"/>
        <w:numPr>
          <w:ilvl w:val="0"/>
          <w:numId w:val="4"/>
        </w:numPr>
        <w:rPr>
          <w:rFonts w:ascii="Arial" w:hAnsi="Arial" w:cs="Arial"/>
          <w:sz w:val="22"/>
        </w:rPr>
      </w:pPr>
      <w:r w:rsidRPr="00107DB3">
        <w:rPr>
          <w:rFonts w:ascii="Arial" w:hAnsi="Arial" w:cs="Arial"/>
          <w:sz w:val="22"/>
        </w:rPr>
        <w:t>Current or previous venous thromboembolic events (VTE), including deep vein thrombosis and pulmonary embolism.</w:t>
      </w:r>
    </w:p>
    <w:p w:rsidR="00743B2B" w:rsidRPr="00107DB3" w:rsidRDefault="00743B2B" w:rsidP="00107DB3">
      <w:pPr>
        <w:pStyle w:val="ListParagraph"/>
        <w:numPr>
          <w:ilvl w:val="0"/>
          <w:numId w:val="4"/>
        </w:numPr>
        <w:rPr>
          <w:rFonts w:ascii="Arial" w:hAnsi="Arial" w:cs="Arial"/>
          <w:sz w:val="22"/>
        </w:rPr>
      </w:pPr>
      <w:r w:rsidRPr="00107DB3">
        <w:rPr>
          <w:rFonts w:ascii="Arial" w:hAnsi="Arial" w:cs="Arial"/>
          <w:sz w:val="22"/>
        </w:rPr>
        <w:t>Temporary or permanent immobilisation (e.g. post-surgical recovery or prolonged bed rest).</w:t>
      </w:r>
    </w:p>
    <w:p w:rsidR="00A5171B" w:rsidRPr="00A43AD0" w:rsidRDefault="00A5171B" w:rsidP="00365AA3">
      <w:pPr>
        <w:pStyle w:val="Heading1"/>
      </w:pPr>
      <w:r w:rsidRPr="00A43AD0">
        <w:t>PRECAUTIONS</w:t>
      </w:r>
    </w:p>
    <w:p w:rsidR="00A5171B" w:rsidRDefault="00A5171B">
      <w:pPr>
        <w:tabs>
          <w:tab w:val="left" w:pos="8477"/>
        </w:tabs>
        <w:ind w:right="-29"/>
        <w:rPr>
          <w:rFonts w:ascii="Arial" w:hAnsi="Arial" w:cs="Arial"/>
          <w:sz w:val="22"/>
        </w:rPr>
      </w:pPr>
      <w:r w:rsidRPr="00A43AD0">
        <w:rPr>
          <w:rFonts w:ascii="Arial" w:hAnsi="Arial" w:cs="Arial"/>
          <w:sz w:val="22"/>
        </w:rPr>
        <w:t xml:space="preserve">Calcium and vitamin D deficiencies occur frequently in the elderly, particularly in the institutionalised or those who </w:t>
      </w:r>
      <w:r w:rsidRPr="003F2F7B">
        <w:rPr>
          <w:rFonts w:ascii="Arial" w:hAnsi="Arial" w:cs="Arial"/>
          <w:sz w:val="22"/>
        </w:rPr>
        <w:t>avoid direct sun exposure.  Patients should receive vitamin D and calcium supplements if dietary intake is inadequate.</w:t>
      </w:r>
    </w:p>
    <w:p w:rsidR="00EB5336" w:rsidRPr="003F2F7B" w:rsidRDefault="00EB5336">
      <w:pPr>
        <w:tabs>
          <w:tab w:val="left" w:pos="8477"/>
        </w:tabs>
        <w:ind w:right="-29"/>
        <w:rPr>
          <w:rFonts w:ascii="Arial" w:hAnsi="Arial" w:cs="Arial"/>
          <w:sz w:val="22"/>
        </w:rPr>
      </w:pPr>
      <w:r w:rsidRPr="00107DB3">
        <w:rPr>
          <w:rFonts w:ascii="Arial" w:hAnsi="Arial" w:cs="Arial"/>
          <w:sz w:val="22"/>
        </w:rPr>
        <w:lastRenderedPageBreak/>
        <w:t>All men with osteoporosis should be investigated for</w:t>
      </w:r>
      <w:r w:rsidR="007F2E74" w:rsidRPr="00107DB3">
        <w:rPr>
          <w:rFonts w:ascii="Arial" w:hAnsi="Arial" w:cs="Arial"/>
          <w:sz w:val="22"/>
        </w:rPr>
        <w:t xml:space="preserve"> secondary osteoporosis e.g.</w:t>
      </w:r>
      <w:r w:rsidRPr="00107DB3">
        <w:rPr>
          <w:rFonts w:ascii="Arial" w:hAnsi="Arial" w:cs="Arial"/>
          <w:sz w:val="22"/>
        </w:rPr>
        <w:t xml:space="preserve"> hypogonadism</w:t>
      </w:r>
      <w:r w:rsidR="006F04F0" w:rsidRPr="00107DB3">
        <w:rPr>
          <w:rFonts w:ascii="Arial" w:hAnsi="Arial" w:cs="Arial"/>
          <w:sz w:val="22"/>
        </w:rPr>
        <w:t xml:space="preserve"> and, if necessary, treated for th</w:t>
      </w:r>
      <w:r w:rsidR="007F2E74" w:rsidRPr="00107DB3">
        <w:rPr>
          <w:rFonts w:ascii="Arial" w:hAnsi="Arial" w:cs="Arial"/>
          <w:sz w:val="22"/>
        </w:rPr>
        <w:t>at</w:t>
      </w:r>
      <w:r w:rsidR="006F04F0" w:rsidRPr="00107DB3">
        <w:rPr>
          <w:rFonts w:ascii="Arial" w:hAnsi="Arial" w:cs="Arial"/>
          <w:sz w:val="22"/>
        </w:rPr>
        <w:t xml:space="preserve"> condition.</w:t>
      </w:r>
    </w:p>
    <w:p w:rsidR="00675BF2" w:rsidRPr="00050CEA" w:rsidRDefault="00675BF2" w:rsidP="00790F40">
      <w:pPr>
        <w:tabs>
          <w:tab w:val="left" w:pos="8477"/>
        </w:tabs>
        <w:ind w:right="-28"/>
        <w:rPr>
          <w:rFonts w:ascii="Arial" w:hAnsi="Arial" w:cs="Arial"/>
          <w:b/>
          <w:bCs/>
          <w:sz w:val="22"/>
        </w:rPr>
      </w:pPr>
      <w:r w:rsidRPr="00050CEA">
        <w:rPr>
          <w:rFonts w:ascii="Arial" w:hAnsi="Arial" w:cs="Arial"/>
          <w:b/>
          <w:bCs/>
          <w:sz w:val="22"/>
        </w:rPr>
        <w:t>Venous thromboembolism</w:t>
      </w:r>
    </w:p>
    <w:p w:rsidR="00456F48" w:rsidRPr="00790F40" w:rsidRDefault="00A5171B" w:rsidP="00790F40">
      <w:pPr>
        <w:rPr>
          <w:rFonts w:ascii="Arial" w:hAnsi="Arial" w:cs="Arial"/>
          <w:bCs/>
          <w:kern w:val="2"/>
          <w:sz w:val="22"/>
          <w:szCs w:val="22"/>
        </w:rPr>
      </w:pPr>
      <w:r w:rsidRPr="00790F40">
        <w:rPr>
          <w:rFonts w:ascii="Arial" w:hAnsi="Arial" w:cs="Arial"/>
          <w:sz w:val="22"/>
        </w:rPr>
        <w:t>In phase III placebo controlled studies, strontium ranelate treatment was associated with an increase in the annual incidence of venous thromboembolism (VTE), including pulmonary embolism (see Adverse Reactions section). The cause of this finding is unknown.</w:t>
      </w:r>
    </w:p>
    <w:p w:rsidR="00456F48" w:rsidRPr="00790F40" w:rsidRDefault="00456F48" w:rsidP="00790F40">
      <w:pPr>
        <w:rPr>
          <w:rFonts w:ascii="Arial" w:hAnsi="Arial" w:cs="Arial"/>
          <w:bCs/>
          <w:kern w:val="2"/>
          <w:sz w:val="22"/>
          <w:szCs w:val="22"/>
        </w:rPr>
      </w:pPr>
      <w:r w:rsidRPr="00790F40">
        <w:rPr>
          <w:rFonts w:ascii="Arial" w:hAnsi="Arial" w:cs="Arial"/>
          <w:bCs/>
          <w:kern w:val="2"/>
          <w:sz w:val="22"/>
          <w:szCs w:val="22"/>
        </w:rPr>
        <w:t>PROTOS is contraindicated in patients with a past history of venous thromboembolic events (see CONTRAINDICATIONS) and should be used with caution in patients at risk of VTE.</w:t>
      </w:r>
    </w:p>
    <w:p w:rsidR="00456F48" w:rsidRPr="00790F40" w:rsidRDefault="00456F48" w:rsidP="00790F40">
      <w:pPr>
        <w:rPr>
          <w:rFonts w:ascii="Arial" w:hAnsi="Arial" w:cs="Arial"/>
          <w:bCs/>
          <w:kern w:val="2"/>
          <w:sz w:val="22"/>
          <w:szCs w:val="22"/>
        </w:rPr>
      </w:pPr>
      <w:r w:rsidRPr="00790F40">
        <w:rPr>
          <w:rFonts w:ascii="Arial" w:hAnsi="Arial" w:cs="Arial"/>
          <w:bCs/>
          <w:kern w:val="2"/>
          <w:sz w:val="22"/>
          <w:szCs w:val="22"/>
        </w:rPr>
        <w:t>In patients over 80 years at risk of VTE, ongoing treatment with PROTOS should be re-evaluated.</w:t>
      </w:r>
    </w:p>
    <w:p w:rsidR="00456F48" w:rsidRPr="00790F40" w:rsidRDefault="00456F48" w:rsidP="00790F40">
      <w:pPr>
        <w:rPr>
          <w:rFonts w:ascii="Arial" w:hAnsi="Arial" w:cs="Arial"/>
          <w:b/>
          <w:bCs/>
          <w:kern w:val="2"/>
          <w:sz w:val="22"/>
          <w:szCs w:val="22"/>
        </w:rPr>
      </w:pPr>
      <w:r w:rsidRPr="00790F40">
        <w:rPr>
          <w:rFonts w:ascii="Arial" w:hAnsi="Arial" w:cs="Arial"/>
          <w:bCs/>
          <w:kern w:val="2"/>
          <w:sz w:val="22"/>
          <w:szCs w:val="22"/>
        </w:rPr>
        <w:t>In the event of an illness or a condition leading to immobilisation (see CONTRAINDICATIONS), PROTOS should be discontinued as soon as possible and adequate preventive measures taken. Therapy should not be restarted until the event has resolved and the patient is mobile. PROTOS should be stopped if VTE occurs</w:t>
      </w:r>
      <w:r w:rsidRPr="00790F40">
        <w:rPr>
          <w:rFonts w:ascii="Arial" w:hAnsi="Arial" w:cs="Arial"/>
          <w:b/>
          <w:bCs/>
          <w:kern w:val="2"/>
          <w:sz w:val="22"/>
          <w:szCs w:val="22"/>
        </w:rPr>
        <w:t>.</w:t>
      </w:r>
    </w:p>
    <w:p w:rsidR="00A5171B" w:rsidRDefault="00A5171B">
      <w:pPr>
        <w:ind w:right="-29"/>
        <w:rPr>
          <w:rFonts w:ascii="Arial" w:hAnsi="Arial" w:cs="Arial"/>
          <w:sz w:val="22"/>
        </w:rPr>
      </w:pPr>
      <w:r>
        <w:rPr>
          <w:rFonts w:ascii="Arial" w:hAnsi="Arial" w:cs="Arial"/>
          <w:sz w:val="22"/>
        </w:rPr>
        <w:t>PROTOS contains aspartame, a source of phenylalanine, which may be harmful f</w:t>
      </w:r>
      <w:r w:rsidR="00A10DD3">
        <w:rPr>
          <w:rFonts w:ascii="Arial" w:hAnsi="Arial" w:cs="Arial"/>
          <w:sz w:val="22"/>
        </w:rPr>
        <w:t>or people with phenylketonuria.</w:t>
      </w:r>
    </w:p>
    <w:p w:rsidR="00A5171B" w:rsidRDefault="00A5171B">
      <w:pPr>
        <w:ind w:right="-29"/>
        <w:rPr>
          <w:rFonts w:ascii="Arial" w:hAnsi="Arial" w:cs="Arial"/>
          <w:sz w:val="22"/>
        </w:rPr>
      </w:pPr>
      <w:r>
        <w:rPr>
          <w:rFonts w:ascii="Arial" w:hAnsi="Arial" w:cs="Arial"/>
          <w:sz w:val="22"/>
        </w:rPr>
        <w:t>Treatment with PROTOS should be discontinued in case of allergic reaction to strontium ranelate or to any of the excipients.</w:t>
      </w:r>
    </w:p>
    <w:p w:rsidR="00A5171B" w:rsidRDefault="00A5171B">
      <w:pPr>
        <w:tabs>
          <w:tab w:val="left" w:pos="8477"/>
        </w:tabs>
        <w:ind w:right="-29"/>
        <w:rPr>
          <w:rFonts w:ascii="Arial" w:hAnsi="Arial" w:cs="Arial"/>
          <w:b/>
          <w:bCs/>
          <w:sz w:val="22"/>
        </w:rPr>
      </w:pPr>
      <w:bookmarkStart w:id="1" w:name="OLE_LINK3"/>
      <w:r>
        <w:rPr>
          <w:rFonts w:ascii="Arial" w:hAnsi="Arial" w:cs="Arial"/>
          <w:b/>
          <w:bCs/>
          <w:sz w:val="22"/>
        </w:rPr>
        <w:t>Hypersensitivity reactions</w:t>
      </w:r>
    </w:p>
    <w:p w:rsidR="00456F48" w:rsidRPr="00107DB3" w:rsidRDefault="00456F48" w:rsidP="00A10DD3">
      <w:pPr>
        <w:pStyle w:val="Default"/>
        <w:spacing w:before="120" w:after="120"/>
        <w:ind w:right="-28"/>
        <w:rPr>
          <w:rFonts w:ascii="Arial" w:hAnsi="Arial"/>
          <w:bCs/>
          <w:color w:val="auto"/>
          <w:sz w:val="22"/>
          <w:szCs w:val="22"/>
        </w:rPr>
      </w:pPr>
      <w:bookmarkStart w:id="2" w:name="OLE_LINK4"/>
      <w:r w:rsidRPr="00107DB3">
        <w:rPr>
          <w:rFonts w:ascii="Arial" w:hAnsi="Arial"/>
          <w:bCs/>
          <w:color w:val="auto"/>
          <w:sz w:val="22"/>
          <w:szCs w:val="22"/>
        </w:rPr>
        <w:t>Cases of life-threatening cutaneous reactions [Stevens-Johnson syndrome (SJS), toxic epidermal necrolysis (TEN) and drug rash with eosinophilia and systemic symptoms (DRESS)] have been reported with the use of PROTOS.</w:t>
      </w:r>
    </w:p>
    <w:p w:rsidR="00456F48" w:rsidRPr="00107DB3" w:rsidRDefault="00456F48" w:rsidP="00A10DD3">
      <w:pPr>
        <w:pStyle w:val="Default"/>
        <w:spacing w:before="120" w:after="120"/>
        <w:ind w:right="-28"/>
        <w:rPr>
          <w:rFonts w:ascii="Arial" w:hAnsi="Arial"/>
          <w:bCs/>
          <w:color w:val="auto"/>
          <w:sz w:val="22"/>
          <w:szCs w:val="22"/>
        </w:rPr>
      </w:pPr>
      <w:r w:rsidRPr="00107DB3">
        <w:rPr>
          <w:rFonts w:ascii="Arial" w:hAnsi="Arial"/>
          <w:bCs/>
          <w:color w:val="auto"/>
          <w:sz w:val="22"/>
          <w:szCs w:val="22"/>
        </w:rPr>
        <w:t xml:space="preserve">Patients should be advised of the signs and symptoms and monitored closely for skin reactions. The highest risk for occurrence of SJS or TEN is within the first weeks of treatment and usually around 3-6 weeks for DRESS. </w:t>
      </w:r>
    </w:p>
    <w:p w:rsidR="00456F48" w:rsidRPr="00107DB3" w:rsidRDefault="00456F48" w:rsidP="00A10DD3">
      <w:pPr>
        <w:pStyle w:val="Default"/>
        <w:spacing w:before="120" w:after="120"/>
        <w:ind w:right="-28"/>
        <w:rPr>
          <w:rFonts w:ascii="Arial" w:hAnsi="Arial"/>
          <w:bCs/>
          <w:color w:val="auto"/>
          <w:sz w:val="22"/>
          <w:szCs w:val="22"/>
        </w:rPr>
      </w:pPr>
      <w:r w:rsidRPr="00107DB3">
        <w:rPr>
          <w:rFonts w:ascii="Arial" w:hAnsi="Arial"/>
          <w:bCs/>
          <w:color w:val="auto"/>
          <w:sz w:val="22"/>
          <w:szCs w:val="22"/>
        </w:rPr>
        <w:t xml:space="preserve">If symptoms or signs of SJS or TEN (e.g. progressive skin rash often with blisters or mucosal lesions) or DRESS [e.g. rash, fever, eosinophilia and systemic involvement (e.g. adenopathy, hepatitis, interstitial nephropathy, interstitial lung disease)] are present, PROTOS treatment should be discontinued immediately. </w:t>
      </w:r>
    </w:p>
    <w:p w:rsidR="00456F48" w:rsidRPr="00107DB3" w:rsidRDefault="00456F48" w:rsidP="00A10DD3">
      <w:pPr>
        <w:pStyle w:val="Default"/>
        <w:spacing w:before="120" w:after="120"/>
        <w:ind w:right="-28"/>
        <w:rPr>
          <w:rFonts w:ascii="Arial" w:hAnsi="Arial"/>
          <w:bCs/>
          <w:color w:val="auto"/>
          <w:sz w:val="22"/>
          <w:szCs w:val="22"/>
        </w:rPr>
      </w:pPr>
      <w:r w:rsidRPr="00107DB3">
        <w:rPr>
          <w:rFonts w:ascii="Arial" w:hAnsi="Arial"/>
          <w:bCs/>
          <w:color w:val="auto"/>
          <w:sz w:val="22"/>
          <w:szCs w:val="22"/>
        </w:rPr>
        <w:t>Early diagnosis and immediate discontinuation of the suspected drug is associated with a better prognosis</w:t>
      </w:r>
      <w:r w:rsidRPr="00107DB3">
        <w:rPr>
          <w:color w:val="auto"/>
        </w:rPr>
        <w:t xml:space="preserve"> </w:t>
      </w:r>
      <w:r w:rsidRPr="00107DB3">
        <w:rPr>
          <w:rFonts w:ascii="Arial" w:hAnsi="Arial" w:cs="Arial"/>
          <w:color w:val="auto"/>
          <w:sz w:val="22"/>
          <w:szCs w:val="22"/>
        </w:rPr>
        <w:t>of</w:t>
      </w:r>
      <w:r w:rsidRPr="00107DB3">
        <w:rPr>
          <w:color w:val="auto"/>
        </w:rPr>
        <w:t xml:space="preserve"> </w:t>
      </w:r>
      <w:r w:rsidRPr="00107DB3">
        <w:rPr>
          <w:rFonts w:ascii="Arial" w:hAnsi="Arial"/>
          <w:bCs/>
          <w:color w:val="auto"/>
          <w:sz w:val="22"/>
          <w:szCs w:val="22"/>
        </w:rPr>
        <w:t xml:space="preserve">SJS, TEN or DRESS. </w:t>
      </w:r>
      <w:r w:rsidR="00450A7C" w:rsidRPr="00107DB3">
        <w:rPr>
          <w:rFonts w:ascii="Arial" w:hAnsi="Arial"/>
          <w:bCs/>
          <w:color w:val="auto"/>
          <w:sz w:val="22"/>
          <w:szCs w:val="22"/>
        </w:rPr>
        <w:t xml:space="preserve">In cases of DRESS consider initiation of corticosteroid therapy following discontinuation of </w:t>
      </w:r>
      <w:r w:rsidR="00523E40" w:rsidRPr="00107DB3">
        <w:rPr>
          <w:rFonts w:ascii="Arial" w:hAnsi="Arial"/>
          <w:bCs/>
          <w:color w:val="auto"/>
          <w:sz w:val="22"/>
          <w:szCs w:val="22"/>
        </w:rPr>
        <w:t>PROTOS</w:t>
      </w:r>
      <w:r w:rsidR="00450A7C" w:rsidRPr="00107DB3">
        <w:rPr>
          <w:rFonts w:ascii="Arial" w:hAnsi="Arial"/>
          <w:bCs/>
          <w:color w:val="auto"/>
          <w:sz w:val="22"/>
          <w:szCs w:val="22"/>
        </w:rPr>
        <w:t xml:space="preserve">. </w:t>
      </w:r>
      <w:r w:rsidRPr="00107DB3">
        <w:rPr>
          <w:rFonts w:ascii="Arial" w:hAnsi="Arial"/>
          <w:bCs/>
          <w:color w:val="auto"/>
          <w:sz w:val="22"/>
          <w:szCs w:val="22"/>
        </w:rPr>
        <w:t>Recovery from DRESS could be slow and recurrences have been reported in some cases after discontinuation of corticosteroid therapy.</w:t>
      </w:r>
    </w:p>
    <w:p w:rsidR="00456F48" w:rsidRPr="00107DB3" w:rsidRDefault="00456F48" w:rsidP="00A10DD3">
      <w:pPr>
        <w:pStyle w:val="Default"/>
        <w:spacing w:before="120" w:after="120"/>
        <w:ind w:right="-28"/>
        <w:rPr>
          <w:rFonts w:ascii="Arial" w:hAnsi="Arial"/>
          <w:bCs/>
          <w:color w:val="auto"/>
          <w:sz w:val="22"/>
          <w:szCs w:val="22"/>
        </w:rPr>
      </w:pPr>
      <w:r w:rsidRPr="00107DB3">
        <w:rPr>
          <w:rFonts w:ascii="Arial" w:hAnsi="Arial"/>
          <w:bCs/>
          <w:color w:val="auto"/>
          <w:sz w:val="22"/>
          <w:szCs w:val="22"/>
        </w:rPr>
        <w:t>If the patient has developed SJS, TEN or DRESS with the use of PROTOS, PROTOS must not be re-started.</w:t>
      </w:r>
    </w:p>
    <w:bookmarkEnd w:id="1"/>
    <w:bookmarkEnd w:id="2"/>
    <w:p w:rsidR="00A5171B" w:rsidRPr="00A43AD0" w:rsidRDefault="00A5171B">
      <w:pPr>
        <w:pStyle w:val="Heading2"/>
        <w:tabs>
          <w:tab w:val="left" w:pos="8505"/>
        </w:tabs>
        <w:ind w:right="-29"/>
        <w:rPr>
          <w:rFonts w:ascii="Arial" w:hAnsi="Arial" w:cs="Arial"/>
        </w:rPr>
      </w:pPr>
      <w:r w:rsidRPr="00A43AD0">
        <w:rPr>
          <w:rFonts w:ascii="Arial" w:hAnsi="Arial" w:cs="Arial"/>
        </w:rPr>
        <w:lastRenderedPageBreak/>
        <w:t xml:space="preserve">Carcinogenicity </w:t>
      </w:r>
    </w:p>
    <w:p w:rsidR="00A5171B" w:rsidRPr="00F373B6" w:rsidRDefault="00A5171B">
      <w:pPr>
        <w:tabs>
          <w:tab w:val="left" w:pos="-720"/>
          <w:tab w:val="left" w:pos="8505"/>
        </w:tabs>
        <w:ind w:right="-29"/>
        <w:jc w:val="both"/>
        <w:rPr>
          <w:rFonts w:ascii="Arial" w:hAnsi="Arial" w:cs="Arial"/>
          <w:bCs/>
          <w:sz w:val="22"/>
        </w:rPr>
      </w:pPr>
      <w:r w:rsidRPr="003F2F7B">
        <w:rPr>
          <w:rFonts w:ascii="Arial" w:hAnsi="Arial" w:cs="Arial"/>
          <w:bCs/>
          <w:sz w:val="22"/>
        </w:rPr>
        <w:t xml:space="preserve">Strontium ranelate was non-genotoxic in a battery of assays including </w:t>
      </w:r>
      <w:r w:rsidRPr="003F2F7B">
        <w:rPr>
          <w:rFonts w:ascii="Arial" w:hAnsi="Arial" w:cs="Arial"/>
          <w:bCs/>
          <w:i/>
          <w:iCs/>
          <w:sz w:val="22"/>
        </w:rPr>
        <w:t>in vitro</w:t>
      </w:r>
      <w:r w:rsidRPr="003F2F7B">
        <w:rPr>
          <w:rFonts w:ascii="Arial" w:hAnsi="Arial" w:cs="Arial"/>
          <w:bCs/>
          <w:sz w:val="22"/>
        </w:rPr>
        <w:t xml:space="preserve"> bacterial gene mutation (</w:t>
      </w:r>
      <w:r w:rsidRPr="003F2F7B">
        <w:rPr>
          <w:rFonts w:ascii="Arial" w:hAnsi="Arial" w:cs="Arial"/>
          <w:bCs/>
          <w:i/>
          <w:iCs/>
          <w:sz w:val="22"/>
        </w:rPr>
        <w:t>Salmonella typhimurium and E. coli</w:t>
      </w:r>
      <w:r w:rsidRPr="003F2F7B">
        <w:rPr>
          <w:rFonts w:ascii="Arial" w:hAnsi="Arial" w:cs="Arial"/>
          <w:bCs/>
          <w:sz w:val="22"/>
        </w:rPr>
        <w:t xml:space="preserve">), </w:t>
      </w:r>
      <w:r w:rsidRPr="003F2F7B">
        <w:rPr>
          <w:rFonts w:ascii="Arial" w:hAnsi="Arial" w:cs="Arial"/>
          <w:bCs/>
          <w:i/>
          <w:iCs/>
          <w:sz w:val="22"/>
        </w:rPr>
        <w:t>in vitro</w:t>
      </w:r>
      <w:r w:rsidRPr="003F2F7B">
        <w:rPr>
          <w:rFonts w:ascii="Arial" w:hAnsi="Arial" w:cs="Arial"/>
          <w:bCs/>
          <w:sz w:val="22"/>
        </w:rPr>
        <w:t xml:space="preserve"> mammalian cell gene mutation (Chinese hamster fibroblast cells), </w:t>
      </w:r>
      <w:r w:rsidRPr="00FA2BC0">
        <w:rPr>
          <w:rFonts w:ascii="Arial" w:hAnsi="Arial" w:cs="Arial"/>
          <w:bCs/>
          <w:i/>
          <w:iCs/>
          <w:sz w:val="22"/>
        </w:rPr>
        <w:t>in vitro</w:t>
      </w:r>
      <w:r w:rsidRPr="00FA2BC0">
        <w:rPr>
          <w:rFonts w:ascii="Arial" w:hAnsi="Arial" w:cs="Arial"/>
          <w:bCs/>
          <w:sz w:val="22"/>
        </w:rPr>
        <w:t xml:space="preserve"> chromosome</w:t>
      </w:r>
      <w:r w:rsidRPr="00550B8B">
        <w:rPr>
          <w:rFonts w:ascii="Arial" w:hAnsi="Arial" w:cs="Arial"/>
          <w:bCs/>
          <w:sz w:val="22"/>
        </w:rPr>
        <w:t xml:space="preserve"> aberration (human lymphocytes), </w:t>
      </w:r>
      <w:r w:rsidRPr="00550B8B">
        <w:rPr>
          <w:rFonts w:ascii="Arial" w:hAnsi="Arial" w:cs="Arial"/>
          <w:bCs/>
          <w:i/>
          <w:iCs/>
          <w:sz w:val="22"/>
        </w:rPr>
        <w:t>in vitro</w:t>
      </w:r>
      <w:r w:rsidRPr="003E5B1D">
        <w:rPr>
          <w:rFonts w:ascii="Arial" w:hAnsi="Arial" w:cs="Arial"/>
          <w:bCs/>
          <w:sz w:val="22"/>
        </w:rPr>
        <w:t xml:space="preserve"> unscheduled DNA synthesis in rat hepatocytes, and </w:t>
      </w:r>
      <w:r w:rsidRPr="00F373B6">
        <w:rPr>
          <w:rFonts w:ascii="Arial" w:hAnsi="Arial" w:cs="Arial"/>
          <w:bCs/>
          <w:i/>
          <w:iCs/>
          <w:sz w:val="22"/>
        </w:rPr>
        <w:t>in vivo</w:t>
      </w:r>
      <w:r w:rsidRPr="00F373B6">
        <w:rPr>
          <w:rFonts w:ascii="Arial" w:hAnsi="Arial" w:cs="Arial"/>
          <w:bCs/>
          <w:sz w:val="22"/>
        </w:rPr>
        <w:t xml:space="preserve"> bone marrow micronucleus formation in rodents.</w:t>
      </w:r>
    </w:p>
    <w:p w:rsidR="00726864" w:rsidRPr="00A43AD0" w:rsidRDefault="00726864">
      <w:pPr>
        <w:tabs>
          <w:tab w:val="left" w:pos="-720"/>
          <w:tab w:val="left" w:pos="8505"/>
        </w:tabs>
        <w:ind w:right="-29"/>
        <w:jc w:val="both"/>
        <w:rPr>
          <w:rFonts w:ascii="Arial" w:hAnsi="Arial" w:cs="Arial"/>
          <w:b/>
          <w:bCs/>
        </w:rPr>
      </w:pPr>
      <w:r w:rsidRPr="00A43AD0">
        <w:rPr>
          <w:rFonts w:ascii="Arial" w:hAnsi="Arial" w:cs="Arial"/>
          <w:b/>
          <w:bCs/>
        </w:rPr>
        <w:t>Mutagenicity</w:t>
      </w:r>
    </w:p>
    <w:p w:rsidR="00A5171B" w:rsidRPr="003F2F7B" w:rsidRDefault="00A5171B">
      <w:pPr>
        <w:tabs>
          <w:tab w:val="left" w:pos="-720"/>
          <w:tab w:val="left" w:pos="8647"/>
        </w:tabs>
        <w:ind w:right="-29"/>
        <w:jc w:val="both"/>
        <w:rPr>
          <w:rFonts w:ascii="Arial" w:hAnsi="Arial" w:cs="Arial"/>
          <w:bCs/>
          <w:sz w:val="22"/>
        </w:rPr>
      </w:pPr>
      <w:r w:rsidRPr="003F2F7B">
        <w:rPr>
          <w:rFonts w:ascii="Arial" w:hAnsi="Arial" w:cs="Arial"/>
          <w:bCs/>
          <w:sz w:val="22"/>
        </w:rPr>
        <w:t>Long-term studies with strontium ranelate at oral doses (in the diet) up to 1800 mg/kg/day in mice and 625/900 (male/female) mg/kg/day in rats showed no treatment-related increase in the incidence of tumours. These doses resulted in plasma strontium and ranelic acid AUC values approximately 2 and 4-6 times the average clinical value, respectively.</w:t>
      </w:r>
    </w:p>
    <w:p w:rsidR="00726864" w:rsidRPr="00A43AD0" w:rsidRDefault="00726864" w:rsidP="00726864">
      <w:pPr>
        <w:pStyle w:val="Heading2"/>
        <w:tabs>
          <w:tab w:val="left" w:pos="8505"/>
        </w:tabs>
        <w:ind w:right="-29"/>
        <w:rPr>
          <w:rFonts w:ascii="Arial" w:hAnsi="Arial" w:cs="Arial"/>
        </w:rPr>
      </w:pPr>
      <w:r w:rsidRPr="00A43AD0">
        <w:rPr>
          <w:rFonts w:ascii="Arial" w:hAnsi="Arial" w:cs="Arial"/>
        </w:rPr>
        <w:t>Effects on Fertility</w:t>
      </w:r>
    </w:p>
    <w:p w:rsidR="00A5171B" w:rsidRDefault="00A5171B">
      <w:pPr>
        <w:tabs>
          <w:tab w:val="left" w:pos="-720"/>
          <w:tab w:val="left" w:pos="8647"/>
          <w:tab w:val="left" w:pos="9072"/>
        </w:tabs>
        <w:ind w:right="-29"/>
        <w:jc w:val="both"/>
        <w:rPr>
          <w:rFonts w:ascii="Arial" w:hAnsi="Arial" w:cs="Arial"/>
          <w:bCs/>
          <w:sz w:val="22"/>
        </w:rPr>
      </w:pPr>
      <w:bookmarkStart w:id="3" w:name="OLE_LINK2"/>
      <w:r w:rsidRPr="003F2F7B">
        <w:rPr>
          <w:rFonts w:ascii="Arial" w:hAnsi="Arial" w:cs="Arial"/>
          <w:bCs/>
          <w:sz w:val="22"/>
        </w:rPr>
        <w:t>Male and Female fertility in rats were unaffected by strontium ranelate</w:t>
      </w:r>
      <w:r>
        <w:rPr>
          <w:rFonts w:ascii="Arial" w:hAnsi="Arial" w:cs="Arial"/>
          <w:bCs/>
          <w:sz w:val="22"/>
        </w:rPr>
        <w:t xml:space="preserve"> treatment (1000mg/kg/day, with plasma AUC values for strontium similar to the average clinical value).</w:t>
      </w:r>
      <w:bookmarkEnd w:id="3"/>
    </w:p>
    <w:p w:rsidR="00A5171B" w:rsidRDefault="00A5171B">
      <w:pPr>
        <w:pStyle w:val="Heading2"/>
        <w:tabs>
          <w:tab w:val="left" w:pos="8477"/>
        </w:tabs>
        <w:ind w:right="-29"/>
        <w:rPr>
          <w:rFonts w:ascii="Arial" w:hAnsi="Arial" w:cs="Arial"/>
        </w:rPr>
      </w:pPr>
      <w:r>
        <w:rPr>
          <w:rFonts w:ascii="Arial" w:hAnsi="Arial" w:cs="Arial"/>
        </w:rPr>
        <w:t>Use in Pregnancy - Category B3</w:t>
      </w:r>
    </w:p>
    <w:p w:rsidR="00A5171B" w:rsidRPr="003F2F7B" w:rsidRDefault="00A5171B" w:rsidP="00107DB3">
      <w:pPr>
        <w:shd w:val="clear" w:color="auto" w:fill="FFFFFF"/>
        <w:tabs>
          <w:tab w:val="left" w:pos="8505"/>
        </w:tabs>
        <w:ind w:right="-29"/>
      </w:pPr>
      <w:r w:rsidRPr="00107DB3">
        <w:rPr>
          <w:rFonts w:ascii="Arial" w:hAnsi="Arial" w:cs="Arial"/>
          <w:sz w:val="22"/>
        </w:rPr>
        <w:t>PROTOS is intended for use in postmenopausal women.</w:t>
      </w:r>
    </w:p>
    <w:p w:rsidR="00A5171B" w:rsidRDefault="00A5171B">
      <w:pPr>
        <w:ind w:right="-29"/>
        <w:rPr>
          <w:rFonts w:ascii="Arial" w:hAnsi="Arial" w:cs="Arial"/>
          <w:sz w:val="22"/>
        </w:rPr>
      </w:pPr>
      <w:r>
        <w:rPr>
          <w:rFonts w:ascii="Arial" w:hAnsi="Arial" w:cs="Arial"/>
          <w:sz w:val="22"/>
        </w:rPr>
        <w:t>No clinical data on exposed pregnancies are available for strontium ranelate.  Animal reproductive studies showed bone abnormalities (eg. bent bones, wavy ribs, arthrogryposis) of the foetus from pregnant rats and rabbits at oral doses ≥ 500mg/kg/day, which results in plasma AUC values for strontium and ranelic acid lower than or similar to the average clinical value. These effects were reversible eight weeks after cessation of treatment. If women taking PROTOS become pregnant, they should stop taking it immediately.</w:t>
      </w:r>
    </w:p>
    <w:p w:rsidR="00A5171B" w:rsidRDefault="00A5171B">
      <w:pPr>
        <w:pStyle w:val="Heading2"/>
        <w:ind w:right="-29"/>
        <w:rPr>
          <w:rFonts w:ascii="Arial" w:hAnsi="Arial" w:cs="Arial"/>
        </w:rPr>
      </w:pPr>
      <w:r>
        <w:rPr>
          <w:rFonts w:ascii="Arial" w:hAnsi="Arial" w:cs="Arial"/>
        </w:rPr>
        <w:t>Use in Lactation</w:t>
      </w:r>
    </w:p>
    <w:p w:rsidR="00A5171B" w:rsidRPr="002D35B1" w:rsidRDefault="00A5171B">
      <w:pPr>
        <w:ind w:right="-29"/>
        <w:rPr>
          <w:rFonts w:ascii="Arial" w:hAnsi="Arial" w:cs="Arial"/>
          <w:sz w:val="22"/>
        </w:rPr>
      </w:pPr>
      <w:r>
        <w:rPr>
          <w:rFonts w:ascii="Arial" w:hAnsi="Arial" w:cs="Arial"/>
          <w:sz w:val="22"/>
        </w:rPr>
        <w:t>Strontium accumulates in rat milk, giving milk/plasma ratios up to 73 at an oral dose of 750mg/kg/day strontium ranelate. High levels of strontium were detected in the plasma of suckling neonates of lactating rats treated with strontium ranelate. Strontium ranelate treatment of lactating rats delayed incisor eruption of the offspring. PROTOS should not be given to breast-feeding women.</w:t>
      </w:r>
    </w:p>
    <w:p w:rsidR="00A5171B" w:rsidRDefault="00A5171B">
      <w:pPr>
        <w:pStyle w:val="Heading2"/>
        <w:tabs>
          <w:tab w:val="left" w:pos="8477"/>
        </w:tabs>
        <w:ind w:right="-29"/>
        <w:rPr>
          <w:rFonts w:ascii="Arial" w:hAnsi="Arial" w:cs="Arial"/>
        </w:rPr>
      </w:pPr>
      <w:r>
        <w:rPr>
          <w:rFonts w:ascii="Arial" w:hAnsi="Arial" w:cs="Arial"/>
        </w:rPr>
        <w:t>Paediatric Use</w:t>
      </w:r>
    </w:p>
    <w:p w:rsidR="00A5171B" w:rsidRDefault="00A5171B">
      <w:pPr>
        <w:tabs>
          <w:tab w:val="left" w:pos="-720"/>
          <w:tab w:val="left" w:pos="0"/>
          <w:tab w:val="left" w:pos="8477"/>
        </w:tabs>
        <w:ind w:left="720" w:right="-29" w:hanging="720"/>
        <w:jc w:val="both"/>
        <w:rPr>
          <w:rFonts w:ascii="Arial" w:hAnsi="Arial" w:cs="Arial"/>
          <w:sz w:val="22"/>
        </w:rPr>
      </w:pPr>
      <w:r>
        <w:rPr>
          <w:rFonts w:ascii="Arial" w:hAnsi="Arial" w:cs="Arial"/>
          <w:sz w:val="22"/>
        </w:rPr>
        <w:t>Use not recommended, as no data are available in children.</w:t>
      </w:r>
    </w:p>
    <w:p w:rsidR="00A5171B" w:rsidRDefault="00A5171B">
      <w:pPr>
        <w:pStyle w:val="Heading2"/>
        <w:tabs>
          <w:tab w:val="left" w:pos="8505"/>
        </w:tabs>
        <w:ind w:right="-29"/>
        <w:rPr>
          <w:rFonts w:ascii="Arial" w:hAnsi="Arial" w:cs="Arial"/>
        </w:rPr>
      </w:pPr>
      <w:r>
        <w:rPr>
          <w:rFonts w:ascii="Arial" w:hAnsi="Arial" w:cs="Arial"/>
        </w:rPr>
        <w:t>Effects on Ability to Drive and Use Machines</w:t>
      </w:r>
    </w:p>
    <w:p w:rsidR="00A5171B" w:rsidRDefault="00A5171B">
      <w:pPr>
        <w:tabs>
          <w:tab w:val="left" w:pos="-720"/>
          <w:tab w:val="left" w:pos="0"/>
          <w:tab w:val="left" w:pos="8477"/>
        </w:tabs>
        <w:ind w:right="-29"/>
        <w:jc w:val="both"/>
        <w:rPr>
          <w:rFonts w:ascii="Arial" w:hAnsi="Arial" w:cs="Arial"/>
          <w:sz w:val="22"/>
        </w:rPr>
      </w:pPr>
      <w:r>
        <w:rPr>
          <w:rFonts w:ascii="Arial" w:hAnsi="Arial" w:cs="Arial"/>
          <w:sz w:val="22"/>
        </w:rPr>
        <w:t>There are no data to suggest that PROTOS affects the ability to drive or use machines.</w:t>
      </w:r>
    </w:p>
    <w:p w:rsidR="00A5171B" w:rsidRDefault="00C0018D">
      <w:pPr>
        <w:pStyle w:val="Heading2"/>
        <w:tabs>
          <w:tab w:val="left" w:pos="8505"/>
        </w:tabs>
        <w:ind w:right="-29"/>
        <w:rPr>
          <w:rFonts w:ascii="Arial" w:hAnsi="Arial" w:cs="Arial"/>
          <w:bCs w:val="0"/>
        </w:rPr>
      </w:pPr>
      <w:r w:rsidRPr="00C11960">
        <w:rPr>
          <w:rFonts w:ascii="Arial" w:hAnsi="Arial" w:cs="Arial"/>
          <w:bCs w:val="0"/>
        </w:rPr>
        <w:lastRenderedPageBreak/>
        <w:t>INTERACTIONS WITH OTHER MEDICINES</w:t>
      </w:r>
    </w:p>
    <w:p w:rsidR="00A5171B" w:rsidRDefault="00A5171B">
      <w:pPr>
        <w:tabs>
          <w:tab w:val="left" w:pos="8505"/>
        </w:tabs>
        <w:ind w:right="-29"/>
        <w:rPr>
          <w:rFonts w:ascii="Arial" w:hAnsi="Arial" w:cs="Arial"/>
          <w:sz w:val="22"/>
        </w:rPr>
      </w:pPr>
      <w:r>
        <w:rPr>
          <w:rFonts w:ascii="Arial" w:hAnsi="Arial" w:cs="Arial"/>
          <w:sz w:val="22"/>
        </w:rPr>
        <w:t>Food, milk and derivative products, and medicines containing calcium may reduce the bioavailability of strontium ranelate. Therefore, PROTOS should preferably be taken at least two hours after such products (see Pharmacokinetics).</w:t>
      </w:r>
    </w:p>
    <w:p w:rsidR="00A5171B" w:rsidRDefault="00A5171B">
      <w:pPr>
        <w:tabs>
          <w:tab w:val="left" w:pos="8505"/>
        </w:tabs>
        <w:ind w:right="-29"/>
        <w:rPr>
          <w:rFonts w:ascii="Arial" w:eastAsia="Arial Unicode MS" w:hAnsi="Arial" w:cs="Arial"/>
          <w:sz w:val="22"/>
          <w:szCs w:val="24"/>
        </w:rPr>
      </w:pPr>
      <w:r>
        <w:rPr>
          <w:rFonts w:ascii="Arial" w:hAnsi="Arial" w:cs="Arial"/>
          <w:sz w:val="22"/>
        </w:rPr>
        <w:t>As divalent cations form a complex with oral tetracycline and quinolone antibiotics at the gastro-intestinal level, thus reducing their absorption, simultaneous administration of strontium ranelate with these drugs is not recommended.  As a precautionary measure, PROTOS treatment should be suspended during treatment with oral tetracycline or quinolone antibiotics and reintroduced the day following the last antibiotic dose.</w:t>
      </w:r>
    </w:p>
    <w:p w:rsidR="00A5171B" w:rsidRDefault="00A5171B">
      <w:pPr>
        <w:tabs>
          <w:tab w:val="left" w:pos="8505"/>
        </w:tabs>
        <w:ind w:right="-29"/>
        <w:rPr>
          <w:rFonts w:ascii="Arial" w:hAnsi="Arial" w:cs="Arial"/>
          <w:sz w:val="22"/>
        </w:rPr>
      </w:pPr>
      <w:r>
        <w:rPr>
          <w:rFonts w:ascii="Arial" w:hAnsi="Arial" w:cs="Arial"/>
          <w:sz w:val="22"/>
        </w:rPr>
        <w:t>Strontium ranelate is not metabolised, does not inhibit cytochrome P</w:t>
      </w:r>
      <w:r>
        <w:rPr>
          <w:rFonts w:ascii="Arial" w:hAnsi="Arial" w:cs="Arial"/>
          <w:sz w:val="22"/>
          <w:vertAlign w:val="subscript"/>
        </w:rPr>
        <w:t>450</w:t>
      </w:r>
      <w:r>
        <w:rPr>
          <w:rFonts w:ascii="Arial" w:hAnsi="Arial" w:cs="Arial"/>
          <w:sz w:val="22"/>
        </w:rPr>
        <w:t xml:space="preserve"> enzymes and has low protein binding.  As a consequence, PROTOS is not expected to interact with other medicinal products.</w:t>
      </w:r>
    </w:p>
    <w:p w:rsidR="00A5171B" w:rsidRDefault="00A5171B">
      <w:pPr>
        <w:tabs>
          <w:tab w:val="left" w:pos="8505"/>
        </w:tabs>
        <w:ind w:right="-29"/>
        <w:rPr>
          <w:rFonts w:ascii="Arial" w:hAnsi="Arial" w:cs="Arial"/>
          <w:sz w:val="22"/>
        </w:rPr>
      </w:pPr>
      <w:r>
        <w:rPr>
          <w:rFonts w:ascii="Arial" w:hAnsi="Arial" w:cs="Arial"/>
          <w:sz w:val="22"/>
        </w:rPr>
        <w:t>No interaction was observed with oral supplementation of vitamin D.</w:t>
      </w:r>
    </w:p>
    <w:p w:rsidR="00A5171B" w:rsidRDefault="00A5171B">
      <w:pPr>
        <w:tabs>
          <w:tab w:val="left" w:pos="-720"/>
          <w:tab w:val="left" w:pos="8505"/>
        </w:tabs>
        <w:ind w:right="113"/>
        <w:jc w:val="both"/>
        <w:rPr>
          <w:rFonts w:ascii="Arial" w:hAnsi="Arial" w:cs="Arial"/>
          <w:bCs/>
          <w:sz w:val="22"/>
        </w:rPr>
      </w:pPr>
      <w:r>
        <w:rPr>
          <w:rFonts w:ascii="Arial" w:hAnsi="Arial" w:cs="Arial"/>
          <w:bCs/>
          <w:sz w:val="22"/>
        </w:rPr>
        <w:t>There are no clinical data concerning the concomitant medication with one or more bisphosphonates and such concomitant medication is not recommended.</w:t>
      </w:r>
    </w:p>
    <w:p w:rsidR="00A5171B" w:rsidRDefault="00A5171B">
      <w:pPr>
        <w:pStyle w:val="Heading2"/>
        <w:tabs>
          <w:tab w:val="left" w:pos="8505"/>
        </w:tabs>
        <w:ind w:right="113"/>
        <w:rPr>
          <w:rFonts w:ascii="Arial" w:hAnsi="Arial" w:cs="Arial"/>
        </w:rPr>
      </w:pPr>
      <w:r>
        <w:rPr>
          <w:rFonts w:ascii="Arial" w:hAnsi="Arial" w:cs="Arial"/>
        </w:rPr>
        <w:t>Effects on Laboratory Tests</w:t>
      </w:r>
    </w:p>
    <w:p w:rsidR="00A5171B" w:rsidRDefault="00A5171B">
      <w:pPr>
        <w:ind w:right="113"/>
        <w:rPr>
          <w:rFonts w:ascii="Arial" w:hAnsi="Arial" w:cs="Arial"/>
          <w:sz w:val="22"/>
        </w:rPr>
      </w:pPr>
      <w:r>
        <w:rPr>
          <w:rFonts w:ascii="Arial" w:hAnsi="Arial" w:cs="Arial"/>
          <w:sz w:val="22"/>
        </w:rPr>
        <w:t>Strontium interferes with colorimetric methods for the determination of blood and urinary calcium levels.  Therefore, in medical practice, inductively coupled plasma atomic emission spectrometry or atomic absorption spectrometry methods should be used to ensure an accurate assessment of blood and urinary calcium levels.</w:t>
      </w:r>
    </w:p>
    <w:p w:rsidR="00A5171B" w:rsidRDefault="00A5171B">
      <w:pPr>
        <w:tabs>
          <w:tab w:val="left" w:pos="708"/>
          <w:tab w:val="left" w:pos="8505"/>
        </w:tabs>
        <w:ind w:right="113"/>
        <w:rPr>
          <w:rFonts w:ascii="Arial" w:hAnsi="Arial" w:cs="Arial"/>
          <w:sz w:val="22"/>
        </w:rPr>
      </w:pPr>
      <w:r>
        <w:rPr>
          <w:rFonts w:ascii="Arial" w:hAnsi="Arial" w:cs="Arial"/>
          <w:sz w:val="22"/>
        </w:rPr>
        <w:t>The combined effects of the atomic weight and increased X-ray absorption of strontium as compared to calcium, lead to an amplification of bone mineral density (BMD) measurement by dual-photon X-ray absorptiometry (DXA). Available data indicate that these factors account for approximately 50% of the measured change in BMD over 3 years of treatment with PROTOS 2g/day. This should be taken into account when interpreting BMD changes during treatment with PROTOS.</w:t>
      </w:r>
    </w:p>
    <w:p w:rsidR="00A5171B" w:rsidRDefault="00A5171B" w:rsidP="00365AA3">
      <w:pPr>
        <w:pStyle w:val="Heading1"/>
      </w:pPr>
      <w:r>
        <w:t>ADVERSE REACTIONS</w:t>
      </w:r>
    </w:p>
    <w:p w:rsidR="00A5171B" w:rsidRDefault="00A5171B" w:rsidP="00335C9B">
      <w:pPr>
        <w:tabs>
          <w:tab w:val="left" w:pos="8647"/>
          <w:tab w:val="left" w:pos="9072"/>
        </w:tabs>
        <w:ind w:right="113"/>
        <w:rPr>
          <w:rFonts w:ascii="Arial" w:hAnsi="Arial" w:cs="Arial"/>
          <w:sz w:val="22"/>
        </w:rPr>
      </w:pPr>
      <w:r w:rsidRPr="00307FD8">
        <w:rPr>
          <w:rFonts w:ascii="Arial" w:hAnsi="Arial" w:cs="Arial"/>
          <w:sz w:val="22"/>
        </w:rPr>
        <w:t xml:space="preserve">Safety data in humans is currently available for </w:t>
      </w:r>
      <w:r w:rsidRPr="00335C9B">
        <w:rPr>
          <w:rFonts w:ascii="Arial" w:hAnsi="Arial" w:cs="Arial"/>
          <w:sz w:val="22"/>
        </w:rPr>
        <w:t>8</w:t>
      </w:r>
      <w:r w:rsidRPr="00307FD8">
        <w:rPr>
          <w:rFonts w:ascii="Arial" w:hAnsi="Arial" w:cs="Arial"/>
          <w:sz w:val="22"/>
        </w:rPr>
        <w:t xml:space="preserve"> years.</w:t>
      </w:r>
      <w:r>
        <w:rPr>
          <w:rFonts w:ascii="Arial" w:hAnsi="Arial" w:cs="Arial"/>
          <w:sz w:val="22"/>
        </w:rPr>
        <w:t xml:space="preserve"> </w:t>
      </w:r>
    </w:p>
    <w:p w:rsidR="00A5171B" w:rsidRPr="00365AA3" w:rsidRDefault="00A5171B">
      <w:pPr>
        <w:tabs>
          <w:tab w:val="left" w:pos="8647"/>
          <w:tab w:val="left" w:pos="9072"/>
        </w:tabs>
        <w:ind w:right="113"/>
        <w:rPr>
          <w:rFonts w:ascii="Arial" w:hAnsi="Arial" w:cs="Arial"/>
          <w:strike/>
          <w:sz w:val="22"/>
          <w:u w:val="single"/>
        </w:rPr>
      </w:pPr>
      <w:r>
        <w:rPr>
          <w:rFonts w:ascii="Arial" w:hAnsi="Arial" w:cs="Arial"/>
          <w:sz w:val="22"/>
        </w:rPr>
        <w:t>PROTOS has been studied in clinical trials involving nearly 8,000 participants.  Long-term safety has been evaluated in postmenopausal women with osteoporosis treated for up to 5 years with PROTOS (n=3,352) or placebo (n=3,317) in phase III studies.  Mean age was 75 years at inclusion and 23% of the patients enrolled were 80 to 100 years of age</w:t>
      </w:r>
      <w:r w:rsidRPr="00365AA3">
        <w:rPr>
          <w:rFonts w:ascii="Arial" w:hAnsi="Arial" w:cs="Arial"/>
          <w:sz w:val="22"/>
        </w:rPr>
        <w:t xml:space="preserve">. </w:t>
      </w:r>
    </w:p>
    <w:p w:rsidR="00A5171B" w:rsidRDefault="00A5171B">
      <w:pPr>
        <w:tabs>
          <w:tab w:val="left" w:pos="8647"/>
          <w:tab w:val="left" w:pos="9072"/>
        </w:tabs>
        <w:ind w:right="113"/>
        <w:rPr>
          <w:rFonts w:ascii="Arial" w:hAnsi="Arial" w:cs="Arial"/>
          <w:sz w:val="22"/>
        </w:rPr>
      </w:pPr>
      <w:r>
        <w:rPr>
          <w:rFonts w:ascii="Arial" w:hAnsi="Arial" w:cs="Arial"/>
          <w:sz w:val="22"/>
        </w:rPr>
        <w:t>Overall incidence rate for adverse events with strontium ranelate did not differ from placebo group and adverse events were usually mild and transient.  The most common adverse events consisted of nausea and diarrhoea, which were generally reported at the beginning of treatment with no noticeable difference between groups afterwards.  Discontinuation of therapy was mainly due to nausea (1.3% and 2.2% in the placebo and strontium ranelate groups respectively).</w:t>
      </w:r>
    </w:p>
    <w:p w:rsidR="00A5171B" w:rsidRDefault="00A5171B">
      <w:pPr>
        <w:tabs>
          <w:tab w:val="left" w:pos="8647"/>
          <w:tab w:val="left" w:pos="9072"/>
        </w:tabs>
        <w:ind w:right="-29"/>
        <w:rPr>
          <w:rFonts w:ascii="Arial" w:hAnsi="Arial" w:cs="Arial"/>
          <w:sz w:val="22"/>
        </w:rPr>
      </w:pPr>
      <w:r>
        <w:rPr>
          <w:rFonts w:ascii="Arial" w:hAnsi="Arial" w:cs="Arial"/>
          <w:sz w:val="22"/>
        </w:rPr>
        <w:lastRenderedPageBreak/>
        <w:t>In an extension study, osteoporotic women who received PROTOS during a 5-year period in phase III studies, were treated with the drug for an additional 3 years. The frequencies of undesirable effects associated with the use of strontium ranelate during years 6-8 of PROTOS treatment were lower than those in years 0-3.</w:t>
      </w:r>
    </w:p>
    <w:p w:rsidR="00A10DD3" w:rsidRDefault="00A5171B">
      <w:pPr>
        <w:tabs>
          <w:tab w:val="left" w:pos="8647"/>
          <w:tab w:val="left" w:pos="9072"/>
        </w:tabs>
        <w:ind w:right="-29"/>
        <w:rPr>
          <w:rFonts w:ascii="Arial" w:hAnsi="Arial" w:cs="Arial"/>
          <w:sz w:val="22"/>
        </w:rPr>
      </w:pPr>
      <w:r>
        <w:rPr>
          <w:rFonts w:ascii="Arial" w:hAnsi="Arial" w:cs="Arial"/>
          <w:sz w:val="22"/>
        </w:rPr>
        <w:t>The undesirable effects associated with the use of strontium ranelate in phase III studies over an 8-year period, are the following (frequencies versus placebo):</w:t>
      </w:r>
    </w:p>
    <w:tbl>
      <w:tblPr>
        <w:tblW w:w="0" w:type="auto"/>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6"/>
        <w:gridCol w:w="2192"/>
        <w:gridCol w:w="2191"/>
        <w:gridCol w:w="2082"/>
      </w:tblGrid>
      <w:tr w:rsidR="00A5171B">
        <w:tblPrEx>
          <w:tblCellMar>
            <w:top w:w="0" w:type="dxa"/>
            <w:bottom w:w="0" w:type="dxa"/>
          </w:tblCellMar>
        </w:tblPrEx>
        <w:tc>
          <w:tcPr>
            <w:tcW w:w="1646" w:type="dxa"/>
          </w:tcPr>
          <w:p w:rsidR="00A5171B" w:rsidRDefault="00A10DD3">
            <w:pPr>
              <w:tabs>
                <w:tab w:val="left" w:pos="8647"/>
                <w:tab w:val="left" w:pos="9072"/>
              </w:tabs>
              <w:ind w:right="255"/>
              <w:jc w:val="center"/>
              <w:rPr>
                <w:rFonts w:ascii="Arial" w:hAnsi="Arial" w:cs="Arial"/>
                <w:b/>
                <w:bCs/>
                <w:sz w:val="20"/>
                <w:lang w:val="en-US"/>
              </w:rPr>
            </w:pPr>
            <w:r>
              <w:rPr>
                <w:rFonts w:ascii="Arial" w:hAnsi="Arial" w:cs="Arial"/>
                <w:sz w:val="22"/>
              </w:rPr>
              <w:br w:type="page"/>
            </w:r>
          </w:p>
        </w:tc>
        <w:tc>
          <w:tcPr>
            <w:tcW w:w="2192" w:type="dxa"/>
          </w:tcPr>
          <w:p w:rsidR="00A5171B" w:rsidRDefault="00A5171B">
            <w:pPr>
              <w:tabs>
                <w:tab w:val="left" w:pos="8647"/>
                <w:tab w:val="left" w:pos="9072"/>
              </w:tabs>
              <w:ind w:right="255"/>
              <w:jc w:val="center"/>
              <w:rPr>
                <w:rFonts w:ascii="Arial" w:hAnsi="Arial" w:cs="Arial"/>
                <w:b/>
                <w:bCs/>
                <w:sz w:val="20"/>
                <w:lang w:val="en-US"/>
              </w:rPr>
            </w:pPr>
            <w:r>
              <w:rPr>
                <w:rFonts w:ascii="Arial" w:hAnsi="Arial" w:cs="Arial"/>
                <w:b/>
                <w:bCs/>
                <w:sz w:val="20"/>
                <w:lang w:val="en-US"/>
              </w:rPr>
              <w:t xml:space="preserve">Years 0-3 </w:t>
            </w:r>
          </w:p>
        </w:tc>
        <w:tc>
          <w:tcPr>
            <w:tcW w:w="2191" w:type="dxa"/>
          </w:tcPr>
          <w:p w:rsidR="00A5171B" w:rsidRDefault="00A5171B">
            <w:pPr>
              <w:tabs>
                <w:tab w:val="left" w:pos="8647"/>
                <w:tab w:val="left" w:pos="9072"/>
              </w:tabs>
              <w:ind w:right="255"/>
              <w:jc w:val="center"/>
              <w:rPr>
                <w:rFonts w:ascii="Arial" w:hAnsi="Arial" w:cs="Arial"/>
                <w:b/>
                <w:bCs/>
                <w:sz w:val="20"/>
                <w:lang w:val="en-US"/>
              </w:rPr>
            </w:pPr>
            <w:r>
              <w:rPr>
                <w:rFonts w:ascii="Arial" w:hAnsi="Arial" w:cs="Arial"/>
                <w:b/>
                <w:bCs/>
                <w:sz w:val="20"/>
                <w:lang w:val="en-US"/>
              </w:rPr>
              <w:t>Years 0-5</w:t>
            </w:r>
          </w:p>
        </w:tc>
        <w:tc>
          <w:tcPr>
            <w:tcW w:w="2082" w:type="dxa"/>
          </w:tcPr>
          <w:p w:rsidR="00A5171B" w:rsidRDefault="00A5171B">
            <w:pPr>
              <w:tabs>
                <w:tab w:val="left" w:pos="8647"/>
                <w:tab w:val="left" w:pos="9072"/>
              </w:tabs>
              <w:ind w:right="255"/>
              <w:jc w:val="center"/>
              <w:rPr>
                <w:rFonts w:ascii="Arial" w:hAnsi="Arial" w:cs="Arial"/>
                <w:b/>
                <w:bCs/>
                <w:sz w:val="20"/>
                <w:lang w:val="en-US"/>
              </w:rPr>
            </w:pPr>
            <w:r>
              <w:rPr>
                <w:rFonts w:ascii="Arial" w:hAnsi="Arial" w:cs="Arial"/>
                <w:b/>
                <w:bCs/>
                <w:sz w:val="20"/>
                <w:lang w:val="en-US"/>
              </w:rPr>
              <w:t>Years 6-8*</w:t>
            </w:r>
          </w:p>
        </w:tc>
      </w:tr>
      <w:tr w:rsidR="00A5171B">
        <w:tblPrEx>
          <w:tblCellMar>
            <w:top w:w="0" w:type="dxa"/>
            <w:bottom w:w="0" w:type="dxa"/>
          </w:tblCellMar>
        </w:tblPrEx>
        <w:tc>
          <w:tcPr>
            <w:tcW w:w="1646" w:type="dxa"/>
          </w:tcPr>
          <w:p w:rsidR="00A5171B" w:rsidRDefault="00A5171B">
            <w:pPr>
              <w:tabs>
                <w:tab w:val="left" w:pos="284"/>
                <w:tab w:val="left" w:pos="8647"/>
                <w:tab w:val="left" w:pos="9072"/>
              </w:tabs>
              <w:ind w:left="74"/>
              <w:rPr>
                <w:rFonts w:ascii="Arial" w:hAnsi="Arial" w:cs="Arial"/>
                <w:b/>
                <w:bCs/>
                <w:sz w:val="20"/>
              </w:rPr>
            </w:pPr>
            <w:r>
              <w:rPr>
                <w:rFonts w:ascii="Arial" w:hAnsi="Arial" w:cs="Arial"/>
                <w:b/>
                <w:bCs/>
                <w:sz w:val="20"/>
              </w:rPr>
              <w:t xml:space="preserve">Nausea </w:t>
            </w:r>
          </w:p>
        </w:tc>
        <w:tc>
          <w:tcPr>
            <w:tcW w:w="2192" w:type="dxa"/>
          </w:tcPr>
          <w:p w:rsidR="00A5171B" w:rsidRDefault="00A5171B">
            <w:pPr>
              <w:tabs>
                <w:tab w:val="left" w:pos="284"/>
                <w:tab w:val="left" w:pos="8647"/>
                <w:tab w:val="left" w:pos="9072"/>
              </w:tabs>
              <w:ind w:left="74"/>
              <w:jc w:val="center"/>
              <w:rPr>
                <w:rFonts w:ascii="Arial" w:hAnsi="Arial" w:cs="Arial"/>
                <w:sz w:val="20"/>
              </w:rPr>
            </w:pPr>
            <w:r>
              <w:rPr>
                <w:rFonts w:ascii="Arial" w:hAnsi="Arial" w:cs="Arial"/>
                <w:sz w:val="20"/>
              </w:rPr>
              <w:t>6.6% v 4.3%</w:t>
            </w:r>
          </w:p>
        </w:tc>
        <w:tc>
          <w:tcPr>
            <w:tcW w:w="2191" w:type="dxa"/>
          </w:tcPr>
          <w:p w:rsidR="00A5171B" w:rsidRDefault="00A5171B">
            <w:pPr>
              <w:tabs>
                <w:tab w:val="left" w:pos="284"/>
                <w:tab w:val="left" w:pos="8647"/>
                <w:tab w:val="left" w:pos="9072"/>
              </w:tabs>
              <w:jc w:val="center"/>
              <w:rPr>
                <w:rFonts w:ascii="Arial" w:hAnsi="Arial" w:cs="Arial"/>
                <w:sz w:val="20"/>
              </w:rPr>
            </w:pPr>
            <w:r>
              <w:rPr>
                <w:rFonts w:ascii="Arial" w:hAnsi="Arial" w:cs="Arial"/>
                <w:sz w:val="20"/>
              </w:rPr>
              <w:t>7.1% v 4.6%</w:t>
            </w:r>
          </w:p>
        </w:tc>
        <w:tc>
          <w:tcPr>
            <w:tcW w:w="2082" w:type="dxa"/>
          </w:tcPr>
          <w:p w:rsidR="00A5171B" w:rsidRDefault="00A5171B">
            <w:pPr>
              <w:tabs>
                <w:tab w:val="left" w:pos="472"/>
                <w:tab w:val="left" w:pos="8647"/>
                <w:tab w:val="left" w:pos="9072"/>
              </w:tabs>
              <w:jc w:val="center"/>
              <w:rPr>
                <w:rFonts w:ascii="Arial" w:hAnsi="Arial" w:cs="Arial"/>
                <w:sz w:val="20"/>
              </w:rPr>
            </w:pPr>
            <w:r>
              <w:rPr>
                <w:rFonts w:ascii="Arial" w:hAnsi="Arial" w:cs="Arial"/>
                <w:sz w:val="20"/>
              </w:rPr>
              <w:t>0.9% v na</w:t>
            </w:r>
          </w:p>
        </w:tc>
      </w:tr>
      <w:tr w:rsidR="00A5171B">
        <w:tblPrEx>
          <w:tblCellMar>
            <w:top w:w="0" w:type="dxa"/>
            <w:bottom w:w="0" w:type="dxa"/>
          </w:tblCellMar>
        </w:tblPrEx>
        <w:tc>
          <w:tcPr>
            <w:tcW w:w="1646" w:type="dxa"/>
          </w:tcPr>
          <w:p w:rsidR="00A5171B" w:rsidRDefault="00A5171B">
            <w:pPr>
              <w:tabs>
                <w:tab w:val="left" w:pos="284"/>
                <w:tab w:val="left" w:pos="8647"/>
                <w:tab w:val="left" w:pos="9072"/>
              </w:tabs>
              <w:ind w:left="74"/>
              <w:rPr>
                <w:rFonts w:ascii="Arial" w:hAnsi="Arial" w:cs="Arial"/>
                <w:b/>
                <w:bCs/>
                <w:sz w:val="20"/>
              </w:rPr>
            </w:pPr>
            <w:r>
              <w:rPr>
                <w:rFonts w:ascii="Arial" w:hAnsi="Arial" w:cs="Arial"/>
                <w:b/>
                <w:bCs/>
                <w:sz w:val="20"/>
              </w:rPr>
              <w:t xml:space="preserve">Diarrhoea </w:t>
            </w:r>
          </w:p>
        </w:tc>
        <w:tc>
          <w:tcPr>
            <w:tcW w:w="2192" w:type="dxa"/>
          </w:tcPr>
          <w:p w:rsidR="00A5171B" w:rsidRDefault="00A5171B">
            <w:pPr>
              <w:tabs>
                <w:tab w:val="left" w:pos="284"/>
                <w:tab w:val="left" w:pos="8647"/>
                <w:tab w:val="left" w:pos="9072"/>
              </w:tabs>
              <w:ind w:left="74"/>
              <w:jc w:val="center"/>
              <w:rPr>
                <w:rFonts w:ascii="Arial" w:hAnsi="Arial" w:cs="Arial"/>
                <w:sz w:val="20"/>
                <w:lang w:val="de-DE"/>
              </w:rPr>
            </w:pPr>
            <w:r>
              <w:rPr>
                <w:rFonts w:ascii="Arial" w:hAnsi="Arial" w:cs="Arial"/>
                <w:sz w:val="20"/>
                <w:lang w:val="de-DE"/>
              </w:rPr>
              <w:t>6.5% v 4.6%</w:t>
            </w:r>
          </w:p>
        </w:tc>
        <w:tc>
          <w:tcPr>
            <w:tcW w:w="2191" w:type="dxa"/>
          </w:tcPr>
          <w:p w:rsidR="00A5171B" w:rsidRDefault="00A5171B">
            <w:pPr>
              <w:tabs>
                <w:tab w:val="left" w:pos="284"/>
                <w:tab w:val="left" w:pos="8647"/>
                <w:tab w:val="left" w:pos="9072"/>
              </w:tabs>
              <w:ind w:left="74"/>
              <w:jc w:val="center"/>
              <w:rPr>
                <w:rFonts w:ascii="Arial" w:hAnsi="Arial" w:cs="Arial"/>
                <w:sz w:val="20"/>
                <w:lang w:val="de-DE"/>
              </w:rPr>
            </w:pPr>
            <w:r>
              <w:rPr>
                <w:rFonts w:ascii="Arial" w:hAnsi="Arial" w:cs="Arial"/>
                <w:sz w:val="20"/>
                <w:lang w:val="de-DE"/>
              </w:rPr>
              <w:t>7.0% v 5.0%</w:t>
            </w:r>
          </w:p>
        </w:tc>
        <w:tc>
          <w:tcPr>
            <w:tcW w:w="2082" w:type="dxa"/>
          </w:tcPr>
          <w:p w:rsidR="00A5171B" w:rsidRDefault="00A5171B">
            <w:pPr>
              <w:tabs>
                <w:tab w:val="left" w:pos="472"/>
                <w:tab w:val="left" w:pos="8647"/>
                <w:tab w:val="left" w:pos="9072"/>
              </w:tabs>
              <w:ind w:left="74"/>
              <w:rPr>
                <w:rFonts w:ascii="Arial" w:hAnsi="Arial" w:cs="Arial"/>
                <w:sz w:val="20"/>
                <w:lang w:val="de-DE"/>
              </w:rPr>
            </w:pPr>
            <w:r>
              <w:rPr>
                <w:rFonts w:ascii="Arial" w:hAnsi="Arial" w:cs="Arial"/>
                <w:sz w:val="20"/>
                <w:lang w:val="de-DE"/>
              </w:rPr>
              <w:t xml:space="preserve">      2.7%</w:t>
            </w:r>
            <w:r>
              <w:rPr>
                <w:rFonts w:ascii="Arial" w:hAnsi="Arial" w:cs="Arial"/>
                <w:sz w:val="20"/>
              </w:rPr>
              <w:t xml:space="preserve"> v na</w:t>
            </w:r>
          </w:p>
        </w:tc>
      </w:tr>
      <w:tr w:rsidR="00A5171B">
        <w:tblPrEx>
          <w:tblCellMar>
            <w:top w:w="0" w:type="dxa"/>
            <w:bottom w:w="0" w:type="dxa"/>
          </w:tblCellMar>
        </w:tblPrEx>
        <w:tc>
          <w:tcPr>
            <w:tcW w:w="1646" w:type="dxa"/>
          </w:tcPr>
          <w:p w:rsidR="00A5171B" w:rsidRDefault="00A5171B">
            <w:pPr>
              <w:tabs>
                <w:tab w:val="left" w:pos="284"/>
                <w:tab w:val="left" w:pos="8647"/>
                <w:tab w:val="left" w:pos="9072"/>
              </w:tabs>
              <w:rPr>
                <w:rFonts w:ascii="Arial" w:hAnsi="Arial" w:cs="Arial"/>
                <w:b/>
                <w:bCs/>
                <w:sz w:val="20"/>
                <w:lang w:val="de-DE"/>
              </w:rPr>
            </w:pPr>
            <w:r>
              <w:rPr>
                <w:rFonts w:ascii="Arial" w:hAnsi="Arial" w:cs="Arial"/>
                <w:b/>
                <w:bCs/>
                <w:sz w:val="20"/>
                <w:lang w:val="de-DE"/>
              </w:rPr>
              <w:t xml:space="preserve"> Headache </w:t>
            </w:r>
          </w:p>
        </w:tc>
        <w:tc>
          <w:tcPr>
            <w:tcW w:w="2192" w:type="dxa"/>
          </w:tcPr>
          <w:p w:rsidR="00A5171B" w:rsidRDefault="00A5171B">
            <w:pPr>
              <w:tabs>
                <w:tab w:val="left" w:pos="284"/>
                <w:tab w:val="left" w:pos="8647"/>
                <w:tab w:val="left" w:pos="9072"/>
              </w:tabs>
              <w:ind w:left="74"/>
              <w:jc w:val="center"/>
              <w:rPr>
                <w:rFonts w:ascii="Arial" w:hAnsi="Arial" w:cs="Arial"/>
                <w:sz w:val="20"/>
                <w:lang w:val="de-DE"/>
              </w:rPr>
            </w:pPr>
            <w:r>
              <w:rPr>
                <w:rFonts w:ascii="Arial" w:hAnsi="Arial" w:cs="Arial"/>
                <w:sz w:val="20"/>
                <w:lang w:val="de-DE"/>
              </w:rPr>
              <w:t>3.0% v 2.4%</w:t>
            </w:r>
          </w:p>
        </w:tc>
        <w:tc>
          <w:tcPr>
            <w:tcW w:w="2191" w:type="dxa"/>
          </w:tcPr>
          <w:p w:rsidR="00A5171B" w:rsidRDefault="00A5171B">
            <w:pPr>
              <w:tabs>
                <w:tab w:val="left" w:pos="284"/>
                <w:tab w:val="left" w:pos="8647"/>
                <w:tab w:val="left" w:pos="9072"/>
              </w:tabs>
              <w:ind w:left="74"/>
              <w:jc w:val="center"/>
              <w:rPr>
                <w:rFonts w:ascii="Arial" w:hAnsi="Arial" w:cs="Arial"/>
                <w:sz w:val="20"/>
                <w:lang w:val="de-DE"/>
              </w:rPr>
            </w:pPr>
            <w:r>
              <w:rPr>
                <w:rFonts w:ascii="Arial" w:hAnsi="Arial" w:cs="Arial"/>
                <w:sz w:val="20"/>
                <w:lang w:val="de-DE"/>
              </w:rPr>
              <w:t>3.3% v 2.7%</w:t>
            </w:r>
          </w:p>
        </w:tc>
        <w:tc>
          <w:tcPr>
            <w:tcW w:w="2082" w:type="dxa"/>
          </w:tcPr>
          <w:p w:rsidR="00A5171B" w:rsidRDefault="00A5171B">
            <w:pPr>
              <w:tabs>
                <w:tab w:val="left" w:pos="472"/>
                <w:tab w:val="left" w:pos="8647"/>
                <w:tab w:val="left" w:pos="9072"/>
              </w:tabs>
              <w:ind w:left="74"/>
              <w:rPr>
                <w:rFonts w:ascii="Arial" w:hAnsi="Arial" w:cs="Arial"/>
                <w:sz w:val="20"/>
                <w:lang w:val="de-DE"/>
              </w:rPr>
            </w:pPr>
            <w:r>
              <w:rPr>
                <w:rFonts w:ascii="Arial" w:hAnsi="Arial" w:cs="Arial"/>
                <w:sz w:val="20"/>
                <w:lang w:val="de-DE"/>
              </w:rPr>
              <w:t xml:space="preserve">      0.7%</w:t>
            </w:r>
            <w:r>
              <w:rPr>
                <w:rFonts w:ascii="Arial" w:hAnsi="Arial" w:cs="Arial"/>
                <w:sz w:val="20"/>
              </w:rPr>
              <w:t xml:space="preserve"> v na</w:t>
            </w:r>
          </w:p>
        </w:tc>
      </w:tr>
      <w:tr w:rsidR="00A5171B">
        <w:tblPrEx>
          <w:tblCellMar>
            <w:top w:w="0" w:type="dxa"/>
            <w:bottom w:w="0" w:type="dxa"/>
          </w:tblCellMar>
        </w:tblPrEx>
        <w:tc>
          <w:tcPr>
            <w:tcW w:w="1646" w:type="dxa"/>
          </w:tcPr>
          <w:p w:rsidR="00A5171B" w:rsidRDefault="00A5171B">
            <w:pPr>
              <w:tabs>
                <w:tab w:val="left" w:pos="284"/>
                <w:tab w:val="left" w:pos="8647"/>
                <w:tab w:val="left" w:pos="9072"/>
              </w:tabs>
              <w:ind w:left="74"/>
              <w:rPr>
                <w:rFonts w:ascii="Arial" w:hAnsi="Arial" w:cs="Arial"/>
                <w:b/>
                <w:bCs/>
                <w:sz w:val="20"/>
                <w:lang w:val="de-DE"/>
              </w:rPr>
            </w:pPr>
            <w:r>
              <w:rPr>
                <w:rFonts w:ascii="Arial" w:hAnsi="Arial" w:cs="Arial"/>
                <w:b/>
                <w:bCs/>
                <w:sz w:val="20"/>
                <w:lang w:val="de-DE"/>
              </w:rPr>
              <w:t xml:space="preserve">Dermatitis </w:t>
            </w:r>
          </w:p>
        </w:tc>
        <w:tc>
          <w:tcPr>
            <w:tcW w:w="2192" w:type="dxa"/>
          </w:tcPr>
          <w:p w:rsidR="00A5171B" w:rsidRDefault="00A5171B">
            <w:pPr>
              <w:tabs>
                <w:tab w:val="left" w:pos="284"/>
                <w:tab w:val="left" w:pos="8647"/>
                <w:tab w:val="left" w:pos="9072"/>
              </w:tabs>
              <w:ind w:left="74"/>
              <w:jc w:val="center"/>
              <w:rPr>
                <w:rFonts w:ascii="Arial" w:hAnsi="Arial" w:cs="Arial"/>
                <w:sz w:val="20"/>
                <w:lang w:val="pl-PL"/>
              </w:rPr>
            </w:pPr>
            <w:r>
              <w:rPr>
                <w:rFonts w:ascii="Arial" w:hAnsi="Arial" w:cs="Arial"/>
                <w:sz w:val="20"/>
                <w:lang w:val="pl-PL"/>
              </w:rPr>
              <w:t>2.1% v 1.6%</w:t>
            </w:r>
          </w:p>
        </w:tc>
        <w:tc>
          <w:tcPr>
            <w:tcW w:w="2191" w:type="dxa"/>
          </w:tcPr>
          <w:p w:rsidR="00A5171B" w:rsidRDefault="00A5171B">
            <w:pPr>
              <w:tabs>
                <w:tab w:val="left" w:pos="284"/>
                <w:tab w:val="left" w:pos="8647"/>
                <w:tab w:val="left" w:pos="9072"/>
              </w:tabs>
              <w:ind w:left="74"/>
              <w:jc w:val="center"/>
              <w:rPr>
                <w:rFonts w:ascii="Arial" w:hAnsi="Arial" w:cs="Arial"/>
                <w:sz w:val="20"/>
                <w:lang w:val="pl-PL"/>
              </w:rPr>
            </w:pPr>
            <w:r>
              <w:rPr>
                <w:rFonts w:ascii="Arial" w:hAnsi="Arial" w:cs="Arial"/>
                <w:sz w:val="20"/>
                <w:lang w:val="pl-PL"/>
              </w:rPr>
              <w:t>2.3% v 2.0%</w:t>
            </w:r>
          </w:p>
        </w:tc>
        <w:tc>
          <w:tcPr>
            <w:tcW w:w="2082" w:type="dxa"/>
          </w:tcPr>
          <w:p w:rsidR="00A5171B" w:rsidRDefault="00A5171B">
            <w:pPr>
              <w:tabs>
                <w:tab w:val="left" w:pos="472"/>
                <w:tab w:val="left" w:pos="8647"/>
                <w:tab w:val="left" w:pos="9072"/>
              </w:tabs>
              <w:ind w:left="74"/>
              <w:rPr>
                <w:rFonts w:ascii="Arial" w:hAnsi="Arial" w:cs="Arial"/>
                <w:sz w:val="20"/>
                <w:lang w:val="pl-PL"/>
              </w:rPr>
            </w:pPr>
            <w:r>
              <w:rPr>
                <w:rFonts w:ascii="Arial" w:hAnsi="Arial" w:cs="Arial"/>
                <w:sz w:val="20"/>
                <w:lang w:val="pl-PL"/>
              </w:rPr>
              <w:t xml:space="preserve">    &lt;1.0%</w:t>
            </w:r>
            <w:r>
              <w:rPr>
                <w:rFonts w:ascii="Arial" w:hAnsi="Arial" w:cs="Arial"/>
                <w:sz w:val="20"/>
              </w:rPr>
              <w:t xml:space="preserve"> v na</w:t>
            </w:r>
          </w:p>
        </w:tc>
      </w:tr>
      <w:tr w:rsidR="00A5171B">
        <w:tblPrEx>
          <w:tblCellMar>
            <w:top w:w="0" w:type="dxa"/>
            <w:bottom w:w="0" w:type="dxa"/>
          </w:tblCellMar>
        </w:tblPrEx>
        <w:tc>
          <w:tcPr>
            <w:tcW w:w="1646" w:type="dxa"/>
          </w:tcPr>
          <w:p w:rsidR="00A5171B" w:rsidRDefault="00A5171B">
            <w:pPr>
              <w:tabs>
                <w:tab w:val="left" w:pos="284"/>
                <w:tab w:val="left" w:pos="8647"/>
                <w:tab w:val="left" w:pos="9072"/>
              </w:tabs>
              <w:ind w:left="74"/>
              <w:rPr>
                <w:rFonts w:ascii="Arial" w:hAnsi="Arial" w:cs="Arial"/>
                <w:b/>
                <w:bCs/>
                <w:sz w:val="20"/>
                <w:lang w:val="pl-PL"/>
              </w:rPr>
            </w:pPr>
            <w:r>
              <w:rPr>
                <w:rFonts w:ascii="Arial" w:hAnsi="Arial" w:cs="Arial"/>
                <w:b/>
                <w:bCs/>
                <w:sz w:val="20"/>
                <w:lang w:val="pl-PL"/>
              </w:rPr>
              <w:t xml:space="preserve">Eczema </w:t>
            </w:r>
          </w:p>
        </w:tc>
        <w:tc>
          <w:tcPr>
            <w:tcW w:w="2192" w:type="dxa"/>
          </w:tcPr>
          <w:p w:rsidR="00A5171B" w:rsidRDefault="00A5171B">
            <w:pPr>
              <w:tabs>
                <w:tab w:val="left" w:pos="284"/>
                <w:tab w:val="left" w:pos="8647"/>
                <w:tab w:val="left" w:pos="9072"/>
              </w:tabs>
              <w:ind w:left="74"/>
              <w:jc w:val="center"/>
              <w:rPr>
                <w:rFonts w:ascii="Arial" w:hAnsi="Arial" w:cs="Arial"/>
                <w:sz w:val="20"/>
                <w:lang w:val="en-US"/>
              </w:rPr>
            </w:pPr>
            <w:r>
              <w:rPr>
                <w:rFonts w:ascii="Arial" w:hAnsi="Arial" w:cs="Arial"/>
                <w:sz w:val="20"/>
                <w:lang w:val="en-US"/>
              </w:rPr>
              <w:t>1.5% v 1.2%</w:t>
            </w:r>
          </w:p>
        </w:tc>
        <w:tc>
          <w:tcPr>
            <w:tcW w:w="2191" w:type="dxa"/>
          </w:tcPr>
          <w:p w:rsidR="00A5171B" w:rsidRDefault="00A5171B">
            <w:pPr>
              <w:tabs>
                <w:tab w:val="left" w:pos="284"/>
                <w:tab w:val="left" w:pos="8647"/>
                <w:tab w:val="left" w:pos="9072"/>
              </w:tabs>
              <w:ind w:left="74"/>
              <w:jc w:val="center"/>
              <w:rPr>
                <w:rFonts w:ascii="Arial" w:hAnsi="Arial" w:cs="Arial"/>
                <w:sz w:val="20"/>
                <w:lang w:val="en-US"/>
              </w:rPr>
            </w:pPr>
            <w:r>
              <w:rPr>
                <w:rFonts w:ascii="Arial" w:hAnsi="Arial" w:cs="Arial"/>
                <w:sz w:val="20"/>
                <w:lang w:val="en-US"/>
              </w:rPr>
              <w:t>1.8% v 1.4%</w:t>
            </w:r>
          </w:p>
        </w:tc>
        <w:tc>
          <w:tcPr>
            <w:tcW w:w="2082" w:type="dxa"/>
          </w:tcPr>
          <w:p w:rsidR="00A5171B" w:rsidRDefault="00A5171B">
            <w:pPr>
              <w:tabs>
                <w:tab w:val="left" w:pos="472"/>
                <w:tab w:val="left" w:pos="8647"/>
                <w:tab w:val="left" w:pos="9072"/>
              </w:tabs>
              <w:ind w:left="74"/>
              <w:rPr>
                <w:rFonts w:ascii="Arial" w:hAnsi="Arial" w:cs="Arial"/>
                <w:sz w:val="20"/>
                <w:lang w:val="en-US"/>
              </w:rPr>
            </w:pPr>
            <w:r>
              <w:rPr>
                <w:rFonts w:ascii="Arial" w:hAnsi="Arial" w:cs="Arial"/>
                <w:sz w:val="20"/>
                <w:lang w:val="pl-PL"/>
              </w:rPr>
              <w:t xml:space="preserve">    &lt;1.0%</w:t>
            </w:r>
            <w:r>
              <w:rPr>
                <w:rFonts w:ascii="Arial" w:hAnsi="Arial" w:cs="Arial"/>
                <w:sz w:val="20"/>
              </w:rPr>
              <w:t xml:space="preserve"> v na</w:t>
            </w:r>
          </w:p>
        </w:tc>
      </w:tr>
      <w:tr w:rsidR="00A5171B">
        <w:tblPrEx>
          <w:tblCellMar>
            <w:top w:w="0" w:type="dxa"/>
            <w:bottom w:w="0" w:type="dxa"/>
          </w:tblCellMar>
        </w:tblPrEx>
        <w:tc>
          <w:tcPr>
            <w:tcW w:w="1646" w:type="dxa"/>
          </w:tcPr>
          <w:p w:rsidR="00A5171B" w:rsidRDefault="00A5171B">
            <w:pPr>
              <w:tabs>
                <w:tab w:val="left" w:pos="284"/>
                <w:tab w:val="left" w:pos="8647"/>
                <w:tab w:val="left" w:pos="9072"/>
              </w:tabs>
              <w:ind w:left="74"/>
              <w:rPr>
                <w:rFonts w:ascii="Arial" w:hAnsi="Arial" w:cs="Arial"/>
                <w:b/>
                <w:bCs/>
                <w:sz w:val="20"/>
                <w:lang w:val="en-US"/>
              </w:rPr>
            </w:pPr>
            <w:r>
              <w:rPr>
                <w:rFonts w:ascii="Arial" w:hAnsi="Arial" w:cs="Arial"/>
                <w:b/>
                <w:bCs/>
                <w:sz w:val="20"/>
                <w:lang w:val="en-US"/>
              </w:rPr>
              <w:t xml:space="preserve">Loose stools </w:t>
            </w:r>
          </w:p>
        </w:tc>
        <w:tc>
          <w:tcPr>
            <w:tcW w:w="2192" w:type="dxa"/>
          </w:tcPr>
          <w:p w:rsidR="00A5171B" w:rsidRDefault="00A5171B">
            <w:pPr>
              <w:tabs>
                <w:tab w:val="left" w:pos="284"/>
                <w:tab w:val="left" w:pos="8647"/>
                <w:tab w:val="left" w:pos="9072"/>
              </w:tabs>
              <w:ind w:left="74"/>
              <w:jc w:val="center"/>
              <w:rPr>
                <w:rFonts w:ascii="Arial" w:hAnsi="Arial" w:cs="Arial"/>
                <w:sz w:val="20"/>
                <w:lang w:val="pl-PL"/>
              </w:rPr>
            </w:pPr>
            <w:r>
              <w:rPr>
                <w:rFonts w:ascii="Arial" w:hAnsi="Arial" w:cs="Arial"/>
                <w:sz w:val="20"/>
                <w:lang w:val="pl-PL"/>
              </w:rPr>
              <w:t>1.1% v 0.2%</w:t>
            </w:r>
          </w:p>
        </w:tc>
        <w:tc>
          <w:tcPr>
            <w:tcW w:w="2191" w:type="dxa"/>
          </w:tcPr>
          <w:p w:rsidR="00A5171B" w:rsidRDefault="00A5171B">
            <w:pPr>
              <w:tabs>
                <w:tab w:val="left" w:pos="284"/>
                <w:tab w:val="left" w:pos="8647"/>
                <w:tab w:val="left" w:pos="9072"/>
              </w:tabs>
              <w:ind w:left="74"/>
              <w:jc w:val="center"/>
              <w:rPr>
                <w:rFonts w:ascii="Arial" w:hAnsi="Arial" w:cs="Arial"/>
                <w:sz w:val="20"/>
                <w:lang w:val="pl-PL"/>
              </w:rPr>
            </w:pPr>
            <w:r>
              <w:rPr>
                <w:rFonts w:ascii="Arial" w:hAnsi="Arial" w:cs="Arial"/>
                <w:sz w:val="20"/>
                <w:lang w:val="pl-PL"/>
              </w:rPr>
              <w:t>1.0% v 0.2%</w:t>
            </w:r>
          </w:p>
        </w:tc>
        <w:tc>
          <w:tcPr>
            <w:tcW w:w="2082" w:type="dxa"/>
          </w:tcPr>
          <w:p w:rsidR="00A5171B" w:rsidRDefault="00A5171B">
            <w:pPr>
              <w:tabs>
                <w:tab w:val="left" w:pos="472"/>
                <w:tab w:val="left" w:pos="8647"/>
                <w:tab w:val="left" w:pos="9072"/>
              </w:tabs>
              <w:ind w:right="255"/>
              <w:jc w:val="center"/>
              <w:rPr>
                <w:rFonts w:ascii="Arial" w:hAnsi="Arial" w:cs="Arial"/>
                <w:sz w:val="20"/>
                <w:lang w:val="pl-PL"/>
              </w:rPr>
            </w:pPr>
            <w:r>
              <w:rPr>
                <w:rFonts w:ascii="Arial" w:hAnsi="Arial" w:cs="Arial"/>
                <w:sz w:val="20"/>
                <w:lang w:val="pl-PL"/>
              </w:rPr>
              <w:t xml:space="preserve">    0.1% v na</w:t>
            </w:r>
          </w:p>
        </w:tc>
      </w:tr>
    </w:tbl>
    <w:p w:rsidR="00A5171B" w:rsidRDefault="00A5171B">
      <w:pPr>
        <w:tabs>
          <w:tab w:val="left" w:pos="8647"/>
          <w:tab w:val="left" w:pos="9072"/>
        </w:tabs>
        <w:ind w:left="426" w:right="255"/>
        <w:rPr>
          <w:rFonts w:ascii="Arial" w:hAnsi="Arial" w:cs="Arial"/>
          <w:sz w:val="16"/>
          <w:lang w:val="en-US"/>
        </w:rPr>
      </w:pPr>
      <w:r>
        <w:rPr>
          <w:rFonts w:ascii="Arial" w:hAnsi="Arial" w:cs="Arial"/>
          <w:sz w:val="16"/>
          <w:lang w:val="en-US"/>
        </w:rPr>
        <w:t>*Incidence rates are not versus placebo as all women included in the 3-year extension study were treated with PROTOS (i.e. no placebo arm).</w:t>
      </w:r>
    </w:p>
    <w:p w:rsidR="00A5171B" w:rsidRDefault="00A5171B">
      <w:pPr>
        <w:tabs>
          <w:tab w:val="left" w:pos="7655"/>
          <w:tab w:val="left" w:pos="8647"/>
        </w:tabs>
        <w:ind w:right="-29"/>
        <w:rPr>
          <w:rFonts w:ascii="Arial" w:hAnsi="Arial" w:cs="Arial"/>
          <w:sz w:val="22"/>
        </w:rPr>
      </w:pPr>
      <w:r>
        <w:rPr>
          <w:rFonts w:ascii="Arial" w:hAnsi="Arial" w:cs="Arial"/>
          <w:sz w:val="22"/>
        </w:rPr>
        <w:t>There were no differences in the nature and frequency of adverse events between treatment groups regardless of whether patients were aged below or above 80 at inclusion.</w:t>
      </w:r>
    </w:p>
    <w:p w:rsidR="00A5171B" w:rsidRDefault="00A5171B">
      <w:pPr>
        <w:tabs>
          <w:tab w:val="left" w:pos="7655"/>
          <w:tab w:val="left" w:pos="8647"/>
        </w:tabs>
        <w:ind w:right="-29"/>
        <w:rPr>
          <w:rFonts w:ascii="Arial" w:hAnsi="Arial" w:cs="Arial"/>
          <w:sz w:val="22"/>
        </w:rPr>
      </w:pPr>
      <w:r>
        <w:rPr>
          <w:rFonts w:ascii="Arial" w:hAnsi="Arial" w:cs="Arial"/>
          <w:sz w:val="22"/>
        </w:rPr>
        <w:t>During phase III studies, the observed annual incidences of venous thromboembolism (VTE) were</w:t>
      </w:r>
      <w:r>
        <w:rPr>
          <w:rFonts w:ascii="Arial" w:hAnsi="Arial" w:cs="Arial"/>
          <w:b/>
          <w:bCs/>
          <w:sz w:val="22"/>
        </w:rPr>
        <w:t xml:space="preserve"> </w:t>
      </w:r>
      <w:r>
        <w:rPr>
          <w:rFonts w:ascii="Arial" w:hAnsi="Arial" w:cs="Arial"/>
          <w:sz w:val="22"/>
        </w:rPr>
        <w:t>0.9% and 0.6% in strontium ranelate and placebo groups respectively.</w:t>
      </w:r>
      <w:r>
        <w:rPr>
          <w:rFonts w:ascii="Arial" w:hAnsi="Arial" w:cs="Arial"/>
          <w:b/>
          <w:bCs/>
          <w:sz w:val="22"/>
        </w:rPr>
        <w:t xml:space="preserve"> </w:t>
      </w:r>
      <w:r>
        <w:rPr>
          <w:rFonts w:ascii="Arial" w:hAnsi="Arial" w:cs="Arial"/>
          <w:sz w:val="22"/>
        </w:rPr>
        <w:t xml:space="preserve">These incidences were consistent with that expected in the age range of the studied population. Despite the increasing age of patients treated with PROTOS in the 3-year extension study, the incidence of VTE remained unchanged. </w:t>
      </w:r>
    </w:p>
    <w:p w:rsidR="00A5171B" w:rsidRDefault="00A5171B">
      <w:pPr>
        <w:tabs>
          <w:tab w:val="left" w:pos="7655"/>
          <w:tab w:val="left" w:pos="8647"/>
        </w:tabs>
        <w:ind w:right="-29"/>
        <w:rPr>
          <w:rFonts w:ascii="Arial" w:hAnsi="Arial" w:cs="Arial"/>
          <w:sz w:val="22"/>
        </w:rPr>
      </w:pPr>
      <w:r>
        <w:rPr>
          <w:rFonts w:ascii="Arial" w:hAnsi="Arial" w:cs="Arial"/>
          <w:sz w:val="22"/>
        </w:rPr>
        <w:t>Adequate prevention measures should be taken in patients encountering high-risk of VTE (see PRECAUTIONS).</w:t>
      </w:r>
    </w:p>
    <w:p w:rsidR="00A5171B" w:rsidRPr="00107DB3" w:rsidRDefault="00A5171B" w:rsidP="00107DB3">
      <w:pPr>
        <w:shd w:val="clear" w:color="auto" w:fill="FFFFFF"/>
        <w:tabs>
          <w:tab w:val="left" w:pos="7655"/>
        </w:tabs>
        <w:ind w:right="-29"/>
        <w:rPr>
          <w:rFonts w:ascii="Arial" w:hAnsi="Arial" w:cs="Arial"/>
          <w:sz w:val="22"/>
        </w:rPr>
      </w:pPr>
      <w:r w:rsidRPr="00107DB3">
        <w:rPr>
          <w:rFonts w:ascii="Arial" w:hAnsi="Arial" w:cs="Arial"/>
          <w:sz w:val="22"/>
        </w:rPr>
        <w:t>The following adverse reactions have been reported during clinical studies with strontium ranelate.</w:t>
      </w:r>
    </w:p>
    <w:p w:rsidR="00A5171B" w:rsidRPr="00107DB3" w:rsidRDefault="00A5171B" w:rsidP="00C92AA8">
      <w:pPr>
        <w:shd w:val="clear" w:color="auto" w:fill="FFFFFF"/>
        <w:tabs>
          <w:tab w:val="left" w:pos="7655"/>
          <w:tab w:val="left" w:pos="8080"/>
          <w:tab w:val="left" w:pos="8647"/>
        </w:tabs>
        <w:spacing w:after="120"/>
        <w:ind w:right="-28"/>
        <w:rPr>
          <w:rFonts w:ascii="Arial" w:hAnsi="Arial" w:cs="Arial"/>
          <w:sz w:val="20"/>
        </w:rPr>
      </w:pPr>
      <w:r w:rsidRPr="00107DB3">
        <w:rPr>
          <w:rFonts w:ascii="Arial" w:hAnsi="Arial" w:cs="Arial"/>
          <w:sz w:val="22"/>
        </w:rPr>
        <w:t xml:space="preserve">Adverse reactions, defined as adverse events considered at least possibly  attributable to strontium ranelate treatment in phase III studies are listed below using the following convention: </w:t>
      </w:r>
      <w:r w:rsidRPr="00107DB3">
        <w:rPr>
          <w:rFonts w:ascii="Arial" w:hAnsi="Arial" w:cs="Arial"/>
          <w:sz w:val="22"/>
          <w:lang w:val="en-GB"/>
        </w:rPr>
        <w:t>v</w:t>
      </w:r>
      <w:r w:rsidRPr="00107DB3">
        <w:rPr>
          <w:rFonts w:ascii="Arial" w:hAnsi="Arial" w:cs="Arial"/>
          <w:snapToGrid w:val="0"/>
          <w:sz w:val="22"/>
          <w:lang w:val="en-GB"/>
        </w:rPr>
        <w:t>ery common (&gt;1/10); common (&gt;1/100, &lt;1/10); uncommon (&gt;1/1,000, &lt;1/100); rare (&gt;1/10,000, &lt;1/1,000); very rare (&lt;1/10,000)</w:t>
      </w:r>
      <w:r w:rsidRPr="00107DB3">
        <w:rPr>
          <w:rFonts w:ascii="Arial" w:hAnsi="Arial" w:cs="Arial"/>
          <w:sz w:val="22"/>
        </w:rPr>
        <w:t>.</w:t>
      </w:r>
    </w:p>
    <w:tbl>
      <w:tblPr>
        <w:tblW w:w="8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315"/>
        <w:gridCol w:w="1559"/>
        <w:gridCol w:w="1418"/>
      </w:tblGrid>
      <w:tr w:rsidR="00A5171B" w:rsidRPr="00107DB3">
        <w:tblPrEx>
          <w:tblCellMar>
            <w:top w:w="0" w:type="dxa"/>
            <w:bottom w:w="0" w:type="dxa"/>
          </w:tblCellMar>
        </w:tblPrEx>
        <w:trPr>
          <w:cantSplit/>
          <w:trHeight w:val="1054"/>
        </w:trPr>
        <w:tc>
          <w:tcPr>
            <w:tcW w:w="5315" w:type="dxa"/>
            <w:vMerge w:val="restart"/>
            <w:tcBorders>
              <w:top w:val="single" w:sz="4" w:space="0" w:color="auto"/>
              <w:left w:val="single" w:sz="4" w:space="0" w:color="auto"/>
              <w:bottom w:val="single" w:sz="4" w:space="0" w:color="auto"/>
              <w:right w:val="single" w:sz="4" w:space="0" w:color="auto"/>
            </w:tcBorders>
            <w:vAlign w:val="center"/>
          </w:tcPr>
          <w:p w:rsidR="00A5171B" w:rsidRPr="00107DB3" w:rsidRDefault="00A5171B" w:rsidP="00107DB3">
            <w:pPr>
              <w:pStyle w:val="Heading2"/>
              <w:shd w:val="clear" w:color="auto" w:fill="FFFFFF"/>
              <w:rPr>
                <w:rFonts w:ascii="Helvetica" w:hAnsi="Helvetica" w:cs="Arial"/>
                <w:sz w:val="22"/>
              </w:rPr>
            </w:pPr>
            <w:bookmarkStart w:id="4" w:name="OLE_LINK6"/>
            <w:r w:rsidRPr="00107DB3">
              <w:rPr>
                <w:rFonts w:ascii="Arial" w:hAnsi="Arial" w:cs="Arial"/>
                <w:i/>
                <w:sz w:val="22"/>
              </w:rPr>
              <w:lastRenderedPageBreak/>
              <w:t>System Organ Class (SOC)</w:t>
            </w:r>
          </w:p>
          <w:p w:rsidR="00A5171B" w:rsidRPr="00107DB3" w:rsidRDefault="00A5171B" w:rsidP="00107DB3">
            <w:pPr>
              <w:shd w:val="clear" w:color="auto" w:fill="FFFFFF"/>
              <w:rPr>
                <w:rFonts w:ascii="Helvetica" w:hAnsi="Helvetica" w:cs="Arial"/>
                <w:b/>
                <w:bCs/>
                <w:i/>
                <w:iCs/>
                <w:sz w:val="22"/>
                <w:lang w:val="en-GB"/>
              </w:rPr>
            </w:pPr>
            <w:r w:rsidRPr="00107DB3">
              <w:rPr>
                <w:rFonts w:ascii="Arial" w:hAnsi="Arial" w:cs="Arial"/>
                <w:b/>
                <w:bCs/>
                <w:i/>
                <w:iCs/>
                <w:sz w:val="22"/>
              </w:rPr>
              <w:t>Frequency category</w:t>
            </w:r>
          </w:p>
          <w:p w:rsidR="00A5171B" w:rsidRPr="00107DB3" w:rsidRDefault="00A5171B" w:rsidP="00107DB3">
            <w:pPr>
              <w:shd w:val="clear" w:color="auto" w:fill="FFFFFF"/>
              <w:rPr>
                <w:rFonts w:ascii="Helvetica" w:hAnsi="Helvetica" w:cs="Arial"/>
                <w:b/>
                <w:bCs/>
                <w:strike/>
                <w:sz w:val="22"/>
              </w:rPr>
            </w:pPr>
            <w:r w:rsidRPr="00107DB3">
              <w:rPr>
                <w:rFonts w:ascii="Helvetica" w:hAnsi="Helvetica" w:cs="Arial"/>
                <w:b/>
                <w:bCs/>
                <w:sz w:val="22"/>
              </w:rPr>
              <w:t>Adverse Drug Reaction</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5171B" w:rsidRPr="00107DB3" w:rsidRDefault="00A5171B" w:rsidP="00107DB3">
            <w:pPr>
              <w:shd w:val="clear" w:color="auto" w:fill="FFFFFF"/>
              <w:jc w:val="center"/>
              <w:rPr>
                <w:rFonts w:ascii="Helvetica" w:hAnsi="Helvetica" w:cs="Arial"/>
                <w:b/>
                <w:bCs/>
                <w:sz w:val="22"/>
              </w:rPr>
            </w:pPr>
            <w:r w:rsidRPr="00107DB3">
              <w:rPr>
                <w:rFonts w:ascii="Helvetica" w:hAnsi="Helvetica" w:cs="Arial"/>
                <w:b/>
                <w:bCs/>
                <w:sz w:val="22"/>
              </w:rPr>
              <w:t>Patients Experiencing the ADR</w:t>
            </w:r>
          </w:p>
          <w:p w:rsidR="00A5171B" w:rsidRPr="00107DB3" w:rsidRDefault="00A5171B" w:rsidP="00107DB3">
            <w:pPr>
              <w:shd w:val="clear" w:color="auto" w:fill="FFFFFF"/>
              <w:jc w:val="center"/>
              <w:rPr>
                <w:rFonts w:ascii="Helvetica" w:hAnsi="Helvetica" w:cs="Arial"/>
                <w:b/>
                <w:bCs/>
                <w:sz w:val="22"/>
              </w:rPr>
            </w:pPr>
            <w:r w:rsidRPr="00107DB3">
              <w:rPr>
                <w:rFonts w:ascii="Helvetica" w:hAnsi="Helvetica" w:cs="Arial"/>
                <w:b/>
                <w:bCs/>
                <w:sz w:val="22"/>
              </w:rPr>
              <w:t>(%)</w:t>
            </w:r>
          </w:p>
        </w:tc>
      </w:tr>
      <w:tr w:rsidR="00A5171B" w:rsidRPr="00107DB3">
        <w:tblPrEx>
          <w:tblCellMar>
            <w:top w:w="0" w:type="dxa"/>
            <w:bottom w:w="0" w:type="dxa"/>
          </w:tblCellMar>
        </w:tblPrEx>
        <w:trPr>
          <w:cantSplit/>
        </w:trPr>
        <w:tc>
          <w:tcPr>
            <w:tcW w:w="5315" w:type="dxa"/>
            <w:vMerge/>
            <w:tcBorders>
              <w:left w:val="single" w:sz="4" w:space="0" w:color="auto"/>
              <w:bottom w:val="single" w:sz="4" w:space="0" w:color="auto"/>
            </w:tcBorders>
          </w:tcPr>
          <w:p w:rsidR="00A5171B" w:rsidRPr="00107DB3" w:rsidRDefault="00A5171B" w:rsidP="00107DB3">
            <w:pPr>
              <w:shd w:val="clear" w:color="auto" w:fill="FFFFFF"/>
              <w:rPr>
                <w:rFonts w:ascii="Arial" w:hAnsi="Arial" w:cs="Arial"/>
                <w:b/>
                <w:bCs/>
                <w:sz w:val="22"/>
              </w:rPr>
            </w:pPr>
          </w:p>
        </w:tc>
        <w:tc>
          <w:tcPr>
            <w:tcW w:w="1559" w:type="dxa"/>
            <w:tcBorders>
              <w:bottom w:val="single" w:sz="4" w:space="0" w:color="auto"/>
            </w:tcBorders>
            <w:vAlign w:val="center"/>
          </w:tcPr>
          <w:p w:rsidR="00A5171B" w:rsidRPr="00107DB3" w:rsidRDefault="00A5171B" w:rsidP="00107DB3">
            <w:pPr>
              <w:shd w:val="clear" w:color="auto" w:fill="FFFFFF"/>
              <w:jc w:val="center"/>
              <w:rPr>
                <w:rFonts w:ascii="Arial" w:hAnsi="Arial" w:cs="Arial"/>
                <w:b/>
                <w:bCs/>
                <w:sz w:val="22"/>
              </w:rPr>
            </w:pPr>
            <w:r w:rsidRPr="00107DB3">
              <w:rPr>
                <w:rFonts w:ascii="Arial" w:hAnsi="Arial" w:cs="Arial"/>
                <w:b/>
                <w:bCs/>
                <w:sz w:val="22"/>
              </w:rPr>
              <w:t>Strontium ranelate</w:t>
            </w:r>
          </w:p>
          <w:p w:rsidR="00A5171B" w:rsidRPr="00107DB3" w:rsidRDefault="00A5171B" w:rsidP="00107DB3">
            <w:pPr>
              <w:shd w:val="clear" w:color="auto" w:fill="FFFFFF"/>
              <w:jc w:val="center"/>
              <w:rPr>
                <w:rFonts w:ascii="Arial" w:hAnsi="Arial" w:cs="Arial"/>
                <w:b/>
                <w:bCs/>
                <w:sz w:val="22"/>
              </w:rPr>
            </w:pPr>
            <w:r w:rsidRPr="00107DB3">
              <w:rPr>
                <w:rFonts w:ascii="Arial" w:hAnsi="Arial" w:cs="Arial"/>
                <w:b/>
                <w:bCs/>
                <w:sz w:val="22"/>
              </w:rPr>
              <w:t>(n=3352)</w:t>
            </w:r>
          </w:p>
        </w:tc>
        <w:tc>
          <w:tcPr>
            <w:tcW w:w="1418" w:type="dxa"/>
            <w:tcBorders>
              <w:bottom w:val="single" w:sz="4" w:space="0" w:color="auto"/>
              <w:right w:val="single" w:sz="4" w:space="0" w:color="auto"/>
            </w:tcBorders>
            <w:vAlign w:val="center"/>
          </w:tcPr>
          <w:p w:rsidR="00A5171B" w:rsidRPr="00107DB3" w:rsidRDefault="00A5171B" w:rsidP="00107DB3">
            <w:pPr>
              <w:shd w:val="clear" w:color="auto" w:fill="FFFFFF"/>
              <w:jc w:val="center"/>
              <w:rPr>
                <w:rFonts w:ascii="Arial" w:hAnsi="Arial" w:cs="Arial"/>
                <w:b/>
                <w:bCs/>
                <w:sz w:val="22"/>
              </w:rPr>
            </w:pPr>
            <w:r w:rsidRPr="00107DB3">
              <w:rPr>
                <w:rFonts w:ascii="Arial" w:hAnsi="Arial" w:cs="Arial"/>
                <w:b/>
                <w:bCs/>
                <w:sz w:val="22"/>
              </w:rPr>
              <w:t>Placebo</w:t>
            </w:r>
          </w:p>
          <w:p w:rsidR="00A5171B" w:rsidRPr="00107DB3" w:rsidRDefault="00A5171B" w:rsidP="00107DB3">
            <w:pPr>
              <w:shd w:val="clear" w:color="auto" w:fill="FFFFFF"/>
              <w:jc w:val="center"/>
              <w:rPr>
                <w:rFonts w:ascii="Arial" w:hAnsi="Arial" w:cs="Arial"/>
                <w:b/>
                <w:bCs/>
                <w:sz w:val="22"/>
              </w:rPr>
            </w:pPr>
            <w:r w:rsidRPr="00107DB3">
              <w:rPr>
                <w:rFonts w:ascii="Arial" w:hAnsi="Arial" w:cs="Arial"/>
                <w:b/>
                <w:bCs/>
                <w:sz w:val="22"/>
              </w:rPr>
              <w:t>(n=3317)</w:t>
            </w:r>
          </w:p>
        </w:tc>
      </w:tr>
      <w:tr w:rsidR="00A5171B" w:rsidRPr="00107DB3">
        <w:tblPrEx>
          <w:tblCellMar>
            <w:top w:w="0" w:type="dxa"/>
            <w:bottom w:w="0" w:type="dxa"/>
          </w:tblCellMar>
        </w:tblPrEx>
        <w:tc>
          <w:tcPr>
            <w:tcW w:w="5315" w:type="dxa"/>
            <w:tcBorders>
              <w:top w:val="single" w:sz="4" w:space="0" w:color="auto"/>
              <w:bottom w:val="nil"/>
            </w:tcBorders>
          </w:tcPr>
          <w:p w:rsidR="00A5171B" w:rsidRPr="00107DB3" w:rsidRDefault="00A5171B" w:rsidP="00107DB3">
            <w:pPr>
              <w:pStyle w:val="Heading2"/>
              <w:shd w:val="clear" w:color="auto" w:fill="FFFFFF"/>
              <w:rPr>
                <w:rFonts w:ascii="Arial" w:hAnsi="Arial" w:cs="Arial"/>
                <w:iCs/>
                <w:sz w:val="22"/>
              </w:rPr>
            </w:pPr>
            <w:r w:rsidRPr="00107DB3">
              <w:rPr>
                <w:rFonts w:ascii="Arial" w:hAnsi="Arial" w:cs="Arial"/>
                <w:iCs/>
                <w:sz w:val="22"/>
              </w:rPr>
              <w:t>Nervous system disorders</w:t>
            </w:r>
          </w:p>
        </w:tc>
        <w:tc>
          <w:tcPr>
            <w:tcW w:w="1559" w:type="dxa"/>
            <w:tcBorders>
              <w:top w:val="single" w:sz="4" w:space="0" w:color="auto"/>
              <w:bottom w:val="nil"/>
            </w:tcBorders>
          </w:tcPr>
          <w:p w:rsidR="00A5171B" w:rsidRPr="00107DB3" w:rsidRDefault="00A5171B" w:rsidP="00107DB3">
            <w:pPr>
              <w:shd w:val="clear" w:color="auto" w:fill="FFFFFF"/>
              <w:rPr>
                <w:rFonts w:ascii="Arial" w:hAnsi="Arial" w:cs="Arial"/>
                <w:iCs/>
                <w:sz w:val="22"/>
              </w:rPr>
            </w:pPr>
          </w:p>
        </w:tc>
        <w:tc>
          <w:tcPr>
            <w:tcW w:w="1418" w:type="dxa"/>
            <w:tcBorders>
              <w:top w:val="single" w:sz="4" w:space="0" w:color="auto"/>
              <w:bottom w:val="nil"/>
            </w:tcBorders>
          </w:tcPr>
          <w:p w:rsidR="00A5171B" w:rsidRPr="00107DB3" w:rsidRDefault="00A5171B" w:rsidP="00107DB3">
            <w:pPr>
              <w:shd w:val="clear" w:color="auto" w:fill="FFFFFF"/>
              <w:rPr>
                <w:rFonts w:ascii="Arial" w:hAnsi="Arial" w:cs="Arial"/>
                <w:iCs/>
                <w:sz w:val="22"/>
              </w:rPr>
            </w:pP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iCs/>
                <w:sz w:val="22"/>
              </w:rPr>
            </w:pPr>
            <w:r w:rsidRPr="00107DB3">
              <w:rPr>
                <w:rFonts w:ascii="Arial" w:hAnsi="Arial" w:cs="Arial"/>
                <w:i/>
                <w:iCs/>
                <w:sz w:val="22"/>
              </w:rPr>
              <w:t xml:space="preserve">Common: </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sz w:val="22"/>
              </w:rPr>
            </w:pP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sz w:val="22"/>
              </w:rPr>
            </w:pP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i/>
                <w:iCs/>
                <w:sz w:val="22"/>
                <w:highlight w:val="yellow"/>
              </w:rPr>
            </w:pPr>
            <w:r w:rsidRPr="00107DB3">
              <w:rPr>
                <w:rFonts w:ascii="Arial" w:hAnsi="Arial" w:cs="Arial"/>
                <w:sz w:val="22"/>
              </w:rPr>
              <w:t xml:space="preserve">Headache </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3.3</w:t>
            </w: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2.7</w:t>
            </w: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sz w:val="22"/>
              </w:rPr>
            </w:pPr>
            <w:r w:rsidRPr="00107DB3">
              <w:rPr>
                <w:rFonts w:ascii="Arial" w:hAnsi="Arial" w:cs="Arial"/>
                <w:sz w:val="22"/>
              </w:rPr>
              <w:t>Disturbances in consciousness</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2.6</w:t>
            </w: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2.1</w:t>
            </w: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sz w:val="22"/>
              </w:rPr>
            </w:pPr>
            <w:r w:rsidRPr="00107DB3">
              <w:rPr>
                <w:rFonts w:ascii="Arial" w:hAnsi="Arial" w:cs="Arial"/>
                <w:sz w:val="22"/>
              </w:rPr>
              <w:t>Memory loss</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2.5</w:t>
            </w: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2.0</w:t>
            </w: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sz w:val="22"/>
              </w:rPr>
            </w:pPr>
            <w:r w:rsidRPr="00107DB3">
              <w:rPr>
                <w:rFonts w:ascii="Arial" w:hAnsi="Arial" w:cs="Arial"/>
                <w:i/>
                <w:iCs/>
                <w:sz w:val="22"/>
              </w:rPr>
              <w:t>Uncommon:</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p>
        </w:tc>
      </w:tr>
      <w:tr w:rsidR="00A5171B" w:rsidRPr="00107DB3">
        <w:tblPrEx>
          <w:tblCellMar>
            <w:top w:w="0" w:type="dxa"/>
            <w:bottom w:w="0" w:type="dxa"/>
          </w:tblCellMar>
        </w:tblPrEx>
        <w:tc>
          <w:tcPr>
            <w:tcW w:w="5315" w:type="dxa"/>
            <w:tcBorders>
              <w:top w:val="nil"/>
              <w:left w:val="single" w:sz="4" w:space="0" w:color="auto"/>
              <w:bottom w:val="single" w:sz="4" w:space="0" w:color="auto"/>
              <w:right w:val="single" w:sz="4" w:space="0" w:color="auto"/>
            </w:tcBorders>
          </w:tcPr>
          <w:p w:rsidR="00A5171B" w:rsidRPr="00107DB3" w:rsidRDefault="00A5171B" w:rsidP="00107DB3">
            <w:pPr>
              <w:shd w:val="clear" w:color="auto" w:fill="FFFFFF"/>
              <w:rPr>
                <w:rFonts w:ascii="Arial" w:hAnsi="Arial" w:cs="Arial"/>
                <w:sz w:val="22"/>
              </w:rPr>
            </w:pPr>
            <w:r w:rsidRPr="00107DB3">
              <w:rPr>
                <w:rFonts w:ascii="Arial" w:hAnsi="Arial" w:cs="Arial"/>
                <w:sz w:val="22"/>
              </w:rPr>
              <w:t>Seizures</w:t>
            </w:r>
          </w:p>
        </w:tc>
        <w:tc>
          <w:tcPr>
            <w:tcW w:w="1559" w:type="dxa"/>
            <w:tcBorders>
              <w:top w:val="nil"/>
              <w:left w:val="single" w:sz="4" w:space="0" w:color="auto"/>
              <w:bottom w:val="single" w:sz="4" w:space="0" w:color="auto"/>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0.4</w:t>
            </w:r>
          </w:p>
        </w:tc>
        <w:tc>
          <w:tcPr>
            <w:tcW w:w="1418" w:type="dxa"/>
            <w:tcBorders>
              <w:top w:val="nil"/>
              <w:left w:val="single" w:sz="4" w:space="0" w:color="auto"/>
              <w:bottom w:val="single" w:sz="4" w:space="0" w:color="auto"/>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0.1</w:t>
            </w:r>
          </w:p>
        </w:tc>
      </w:tr>
      <w:tr w:rsidR="00A5171B" w:rsidRPr="00107DB3">
        <w:tblPrEx>
          <w:tblCellMar>
            <w:top w:w="0" w:type="dxa"/>
            <w:bottom w:w="0" w:type="dxa"/>
          </w:tblCellMar>
        </w:tblPrEx>
        <w:tc>
          <w:tcPr>
            <w:tcW w:w="5315" w:type="dxa"/>
            <w:tcBorders>
              <w:top w:val="single" w:sz="4" w:space="0" w:color="auto"/>
              <w:left w:val="single" w:sz="4" w:space="0" w:color="auto"/>
              <w:bottom w:val="nil"/>
              <w:right w:val="single" w:sz="4" w:space="0" w:color="auto"/>
            </w:tcBorders>
          </w:tcPr>
          <w:p w:rsidR="00A5171B" w:rsidRPr="00107DB3" w:rsidRDefault="00A5171B" w:rsidP="00107DB3">
            <w:pPr>
              <w:pStyle w:val="Heading2"/>
              <w:shd w:val="clear" w:color="auto" w:fill="FFFFFF"/>
              <w:rPr>
                <w:rFonts w:ascii="Arial" w:hAnsi="Arial" w:cs="Arial"/>
                <w:iCs/>
                <w:sz w:val="22"/>
              </w:rPr>
            </w:pPr>
            <w:r w:rsidRPr="00107DB3">
              <w:rPr>
                <w:rFonts w:ascii="Arial" w:hAnsi="Arial" w:cs="Arial"/>
                <w:iCs/>
                <w:sz w:val="22"/>
              </w:rPr>
              <w:t>Gastrointestinal disorders</w:t>
            </w:r>
          </w:p>
        </w:tc>
        <w:tc>
          <w:tcPr>
            <w:tcW w:w="1559" w:type="dxa"/>
            <w:tcBorders>
              <w:top w:val="single" w:sz="4" w:space="0" w:color="auto"/>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iCs/>
                <w:sz w:val="22"/>
              </w:rPr>
            </w:pPr>
          </w:p>
        </w:tc>
        <w:tc>
          <w:tcPr>
            <w:tcW w:w="1418" w:type="dxa"/>
            <w:tcBorders>
              <w:top w:val="single" w:sz="4" w:space="0" w:color="auto"/>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iCs/>
                <w:sz w:val="22"/>
              </w:rPr>
            </w:pP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iCs/>
                <w:sz w:val="22"/>
              </w:rPr>
            </w:pPr>
            <w:r w:rsidRPr="00107DB3">
              <w:rPr>
                <w:rFonts w:ascii="Arial" w:hAnsi="Arial" w:cs="Arial"/>
                <w:i/>
                <w:iCs/>
                <w:sz w:val="22"/>
              </w:rPr>
              <w:t xml:space="preserve">Common: </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sz w:val="22"/>
              </w:rPr>
            </w:pPr>
            <w:r w:rsidRPr="00107DB3">
              <w:rPr>
                <w:rFonts w:ascii="Arial" w:hAnsi="Arial" w:cs="Arial"/>
                <w:sz w:val="22"/>
              </w:rPr>
              <w:t>Nausea</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7.1</w:t>
            </w: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4.6</w:t>
            </w: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sz w:val="22"/>
              </w:rPr>
            </w:pPr>
            <w:r w:rsidRPr="00107DB3">
              <w:rPr>
                <w:rFonts w:ascii="Arial" w:hAnsi="Arial" w:cs="Arial"/>
                <w:sz w:val="22"/>
              </w:rPr>
              <w:t>Diarrhoea</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7.0</w:t>
            </w: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5.0</w:t>
            </w: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sz w:val="22"/>
              </w:rPr>
            </w:pPr>
            <w:r w:rsidRPr="00107DB3">
              <w:rPr>
                <w:rFonts w:ascii="Arial" w:hAnsi="Arial" w:cs="Arial"/>
                <w:sz w:val="22"/>
              </w:rPr>
              <w:t>Loose stools</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1.0</w:t>
            </w: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0.2</w:t>
            </w:r>
          </w:p>
        </w:tc>
      </w:tr>
      <w:tr w:rsidR="00A5171B" w:rsidRPr="00107DB3">
        <w:tblPrEx>
          <w:tblCellMar>
            <w:top w:w="0" w:type="dxa"/>
            <w:bottom w:w="0" w:type="dxa"/>
          </w:tblCellMar>
        </w:tblPrEx>
        <w:tc>
          <w:tcPr>
            <w:tcW w:w="5315" w:type="dxa"/>
            <w:tcBorders>
              <w:top w:val="single" w:sz="4" w:space="0" w:color="auto"/>
              <w:left w:val="single" w:sz="4" w:space="0" w:color="auto"/>
              <w:bottom w:val="nil"/>
              <w:right w:val="single" w:sz="4" w:space="0" w:color="auto"/>
            </w:tcBorders>
          </w:tcPr>
          <w:p w:rsidR="00A5171B" w:rsidRPr="00107DB3" w:rsidRDefault="00A5171B" w:rsidP="00107DB3">
            <w:pPr>
              <w:pStyle w:val="Heading2"/>
              <w:shd w:val="clear" w:color="auto" w:fill="FFFFFF"/>
              <w:rPr>
                <w:rFonts w:ascii="Arial" w:hAnsi="Arial" w:cs="Arial"/>
                <w:b w:val="0"/>
                <w:bCs w:val="0"/>
                <w:iCs/>
                <w:sz w:val="22"/>
              </w:rPr>
            </w:pPr>
            <w:r w:rsidRPr="00107DB3">
              <w:rPr>
                <w:rFonts w:ascii="Arial" w:hAnsi="Arial" w:cs="Arial"/>
                <w:iCs/>
                <w:sz w:val="22"/>
              </w:rPr>
              <w:t>Skin and subcutaneous tissue disorders</w:t>
            </w:r>
          </w:p>
        </w:tc>
        <w:tc>
          <w:tcPr>
            <w:tcW w:w="1559" w:type="dxa"/>
            <w:tcBorders>
              <w:top w:val="single" w:sz="4" w:space="0" w:color="auto"/>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iCs/>
                <w:sz w:val="22"/>
              </w:rPr>
            </w:pPr>
          </w:p>
        </w:tc>
        <w:tc>
          <w:tcPr>
            <w:tcW w:w="1418" w:type="dxa"/>
            <w:tcBorders>
              <w:top w:val="single" w:sz="4" w:space="0" w:color="auto"/>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iCs/>
                <w:sz w:val="22"/>
              </w:rPr>
            </w:pP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i/>
                <w:iCs/>
                <w:sz w:val="22"/>
              </w:rPr>
            </w:pPr>
            <w:r w:rsidRPr="00107DB3">
              <w:rPr>
                <w:rFonts w:ascii="Arial" w:hAnsi="Arial" w:cs="Arial"/>
                <w:i/>
                <w:iCs/>
                <w:sz w:val="22"/>
              </w:rPr>
              <w:t>Common:</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sz w:val="22"/>
              </w:rPr>
            </w:pPr>
            <w:r w:rsidRPr="00107DB3">
              <w:rPr>
                <w:rFonts w:ascii="Arial" w:hAnsi="Arial" w:cs="Arial"/>
                <w:sz w:val="22"/>
              </w:rPr>
              <w:t xml:space="preserve">Dermatitis         </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2.3</w:t>
            </w: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2.0</w:t>
            </w: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sz w:val="22"/>
              </w:rPr>
            </w:pPr>
            <w:r w:rsidRPr="00107DB3">
              <w:rPr>
                <w:rFonts w:ascii="Arial" w:hAnsi="Arial" w:cs="Arial"/>
                <w:sz w:val="22"/>
              </w:rPr>
              <w:t>Eczema</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1.8</w:t>
            </w: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1.4</w:t>
            </w:r>
          </w:p>
        </w:tc>
      </w:tr>
      <w:tr w:rsidR="00A5171B" w:rsidRPr="00107DB3">
        <w:tblPrEx>
          <w:tblCellMar>
            <w:top w:w="0" w:type="dxa"/>
            <w:bottom w:w="0" w:type="dxa"/>
          </w:tblCellMar>
        </w:tblPrEx>
        <w:tc>
          <w:tcPr>
            <w:tcW w:w="5315" w:type="dxa"/>
            <w:tcBorders>
              <w:top w:val="single" w:sz="4" w:space="0" w:color="auto"/>
              <w:left w:val="single" w:sz="4" w:space="0" w:color="auto"/>
              <w:bottom w:val="nil"/>
              <w:right w:val="single" w:sz="4" w:space="0" w:color="auto"/>
            </w:tcBorders>
          </w:tcPr>
          <w:p w:rsidR="00A5171B" w:rsidRPr="00107DB3" w:rsidRDefault="00A5171B" w:rsidP="00107DB3">
            <w:pPr>
              <w:pStyle w:val="Heading2"/>
              <w:shd w:val="clear" w:color="auto" w:fill="FFFFFF"/>
              <w:rPr>
                <w:rFonts w:ascii="Arial" w:hAnsi="Arial" w:cs="Arial"/>
                <w:iCs/>
                <w:sz w:val="22"/>
              </w:rPr>
            </w:pPr>
            <w:r w:rsidRPr="00107DB3">
              <w:rPr>
                <w:rFonts w:ascii="Arial" w:hAnsi="Arial" w:cs="Arial"/>
                <w:iCs/>
                <w:sz w:val="22"/>
              </w:rPr>
              <w:t>Vascular disorders</w:t>
            </w:r>
          </w:p>
        </w:tc>
        <w:tc>
          <w:tcPr>
            <w:tcW w:w="1559" w:type="dxa"/>
            <w:tcBorders>
              <w:top w:val="single" w:sz="4" w:space="0" w:color="auto"/>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iCs/>
                <w:sz w:val="22"/>
              </w:rPr>
            </w:pPr>
          </w:p>
        </w:tc>
        <w:tc>
          <w:tcPr>
            <w:tcW w:w="1418" w:type="dxa"/>
            <w:tcBorders>
              <w:top w:val="single" w:sz="4" w:space="0" w:color="auto"/>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iCs/>
                <w:sz w:val="22"/>
              </w:rPr>
            </w:pP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b/>
                <w:bCs/>
                <w:i/>
                <w:sz w:val="22"/>
              </w:rPr>
            </w:pPr>
            <w:r w:rsidRPr="00107DB3">
              <w:rPr>
                <w:rFonts w:ascii="Arial" w:hAnsi="Arial" w:cs="Arial"/>
                <w:i/>
                <w:iCs/>
                <w:sz w:val="22"/>
              </w:rPr>
              <w:t>Common:</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p>
        </w:tc>
      </w:tr>
      <w:tr w:rsidR="00A5171B" w:rsidRPr="00107DB3">
        <w:tblPrEx>
          <w:tblCellMar>
            <w:top w:w="0" w:type="dxa"/>
            <w:bottom w:w="0" w:type="dxa"/>
          </w:tblCellMar>
        </w:tblPrEx>
        <w:tc>
          <w:tcPr>
            <w:tcW w:w="5315" w:type="dxa"/>
            <w:tcBorders>
              <w:top w:val="nil"/>
              <w:left w:val="single" w:sz="4" w:space="0" w:color="auto"/>
              <w:bottom w:val="single" w:sz="4" w:space="0" w:color="auto"/>
              <w:right w:val="single" w:sz="4" w:space="0" w:color="auto"/>
            </w:tcBorders>
          </w:tcPr>
          <w:p w:rsidR="00A5171B" w:rsidRPr="00107DB3" w:rsidRDefault="00A5171B" w:rsidP="00107DB3">
            <w:pPr>
              <w:shd w:val="clear" w:color="auto" w:fill="FFFFFF"/>
              <w:rPr>
                <w:rFonts w:ascii="Arial" w:hAnsi="Arial" w:cs="Arial"/>
                <w:b/>
                <w:bCs/>
                <w:iCs/>
                <w:sz w:val="22"/>
              </w:rPr>
            </w:pPr>
            <w:r w:rsidRPr="00107DB3">
              <w:rPr>
                <w:rFonts w:ascii="Arial" w:hAnsi="Arial" w:cs="Arial"/>
                <w:sz w:val="22"/>
              </w:rPr>
              <w:t>Venous thromboembolism (VTE)</w:t>
            </w:r>
          </w:p>
        </w:tc>
        <w:tc>
          <w:tcPr>
            <w:tcW w:w="1559" w:type="dxa"/>
            <w:tcBorders>
              <w:top w:val="nil"/>
              <w:left w:val="single" w:sz="4" w:space="0" w:color="auto"/>
              <w:bottom w:val="single" w:sz="4" w:space="0" w:color="auto"/>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2.7</w:t>
            </w:r>
          </w:p>
        </w:tc>
        <w:tc>
          <w:tcPr>
            <w:tcW w:w="1418" w:type="dxa"/>
            <w:tcBorders>
              <w:top w:val="nil"/>
              <w:left w:val="single" w:sz="4" w:space="0" w:color="auto"/>
              <w:bottom w:val="single" w:sz="4" w:space="0" w:color="auto"/>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1.9</w:t>
            </w:r>
          </w:p>
        </w:tc>
      </w:tr>
      <w:tr w:rsidR="00A5171B" w:rsidRPr="00107DB3">
        <w:tblPrEx>
          <w:tblCellMar>
            <w:top w:w="0" w:type="dxa"/>
            <w:bottom w:w="0" w:type="dxa"/>
          </w:tblCellMar>
        </w:tblPrEx>
        <w:tc>
          <w:tcPr>
            <w:tcW w:w="5315" w:type="dxa"/>
            <w:tcBorders>
              <w:top w:val="single" w:sz="4" w:space="0" w:color="auto"/>
              <w:left w:val="single" w:sz="4" w:space="0" w:color="auto"/>
              <w:bottom w:val="nil"/>
              <w:right w:val="single" w:sz="4" w:space="0" w:color="auto"/>
            </w:tcBorders>
          </w:tcPr>
          <w:p w:rsidR="00A5171B" w:rsidRPr="00107DB3" w:rsidRDefault="00A5171B" w:rsidP="00107DB3">
            <w:pPr>
              <w:pStyle w:val="Heading2"/>
              <w:shd w:val="clear" w:color="auto" w:fill="FFFFFF"/>
              <w:rPr>
                <w:rFonts w:ascii="Arial" w:hAnsi="Arial" w:cs="Arial"/>
                <w:iCs/>
                <w:sz w:val="22"/>
              </w:rPr>
            </w:pPr>
            <w:r w:rsidRPr="00107DB3">
              <w:rPr>
                <w:rFonts w:ascii="Arial" w:hAnsi="Arial" w:cs="Arial"/>
                <w:iCs/>
                <w:sz w:val="22"/>
              </w:rPr>
              <w:t>Investigations</w:t>
            </w:r>
          </w:p>
        </w:tc>
        <w:tc>
          <w:tcPr>
            <w:tcW w:w="1559" w:type="dxa"/>
            <w:tcBorders>
              <w:top w:val="single" w:sz="4" w:space="0" w:color="auto"/>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iCs/>
                <w:sz w:val="22"/>
              </w:rPr>
            </w:pPr>
          </w:p>
        </w:tc>
        <w:tc>
          <w:tcPr>
            <w:tcW w:w="1418" w:type="dxa"/>
            <w:tcBorders>
              <w:top w:val="single" w:sz="4" w:space="0" w:color="auto"/>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iCs/>
                <w:sz w:val="22"/>
              </w:rPr>
            </w:pPr>
          </w:p>
        </w:tc>
      </w:tr>
      <w:tr w:rsidR="00A5171B" w:rsidRPr="00107DB3">
        <w:tblPrEx>
          <w:tblCellMar>
            <w:top w:w="0" w:type="dxa"/>
            <w:bottom w:w="0" w:type="dxa"/>
          </w:tblCellMar>
        </w:tblPrEx>
        <w:tc>
          <w:tcPr>
            <w:tcW w:w="5315" w:type="dxa"/>
            <w:tcBorders>
              <w:top w:val="nil"/>
              <w:left w:val="single" w:sz="4" w:space="0" w:color="auto"/>
              <w:bottom w:val="nil"/>
              <w:right w:val="single" w:sz="4" w:space="0" w:color="auto"/>
            </w:tcBorders>
          </w:tcPr>
          <w:p w:rsidR="00A5171B" w:rsidRPr="00107DB3" w:rsidRDefault="00A5171B" w:rsidP="00107DB3">
            <w:pPr>
              <w:shd w:val="clear" w:color="auto" w:fill="FFFFFF"/>
              <w:rPr>
                <w:rFonts w:ascii="Arial" w:hAnsi="Arial" w:cs="Arial"/>
                <w:i/>
                <w:iCs/>
                <w:sz w:val="22"/>
              </w:rPr>
            </w:pPr>
            <w:r w:rsidRPr="00107DB3">
              <w:rPr>
                <w:rFonts w:ascii="Arial" w:hAnsi="Arial" w:cs="Arial"/>
                <w:i/>
                <w:iCs/>
                <w:sz w:val="22"/>
              </w:rPr>
              <w:t>Common:</w:t>
            </w:r>
          </w:p>
        </w:tc>
        <w:tc>
          <w:tcPr>
            <w:tcW w:w="1559"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p>
        </w:tc>
        <w:tc>
          <w:tcPr>
            <w:tcW w:w="1418" w:type="dxa"/>
            <w:tcBorders>
              <w:top w:val="nil"/>
              <w:left w:val="single" w:sz="4" w:space="0" w:color="auto"/>
              <w:bottom w:val="nil"/>
              <w:right w:val="single" w:sz="4" w:space="0" w:color="auto"/>
            </w:tcBorders>
          </w:tcPr>
          <w:p w:rsidR="00A5171B" w:rsidRPr="00107DB3" w:rsidRDefault="00A5171B" w:rsidP="00107DB3">
            <w:pPr>
              <w:shd w:val="clear" w:color="auto" w:fill="FFFFFF"/>
              <w:jc w:val="center"/>
              <w:rPr>
                <w:rFonts w:ascii="Arial" w:hAnsi="Arial" w:cs="Arial"/>
                <w:sz w:val="22"/>
              </w:rPr>
            </w:pPr>
          </w:p>
        </w:tc>
      </w:tr>
      <w:tr w:rsidR="00A5171B" w:rsidRPr="00107DB3">
        <w:tblPrEx>
          <w:tblCellMar>
            <w:top w:w="0" w:type="dxa"/>
            <w:bottom w:w="0" w:type="dxa"/>
          </w:tblCellMar>
        </w:tblPrEx>
        <w:tc>
          <w:tcPr>
            <w:tcW w:w="5315" w:type="dxa"/>
            <w:tcBorders>
              <w:top w:val="nil"/>
              <w:left w:val="single" w:sz="4" w:space="0" w:color="auto"/>
              <w:bottom w:val="single" w:sz="4" w:space="0" w:color="auto"/>
              <w:right w:val="single" w:sz="4" w:space="0" w:color="auto"/>
            </w:tcBorders>
          </w:tcPr>
          <w:p w:rsidR="00A5171B" w:rsidRPr="00107DB3" w:rsidRDefault="00A5171B" w:rsidP="00107DB3">
            <w:pPr>
              <w:shd w:val="clear" w:color="auto" w:fill="FFFFFF"/>
              <w:rPr>
                <w:rFonts w:ascii="Arial" w:hAnsi="Arial" w:cs="Arial"/>
                <w:sz w:val="22"/>
              </w:rPr>
            </w:pPr>
            <w:r w:rsidRPr="00107DB3">
              <w:rPr>
                <w:rFonts w:ascii="Arial" w:hAnsi="Arial" w:cs="Arial"/>
                <w:sz w:val="22"/>
              </w:rPr>
              <w:lastRenderedPageBreak/>
              <w:t>Blood Creatin</w:t>
            </w:r>
            <w:r w:rsidRPr="00107DB3">
              <w:rPr>
                <w:rFonts w:ascii="Helvetica" w:hAnsi="Helvetica" w:cs="Arial"/>
                <w:sz w:val="22"/>
              </w:rPr>
              <w:t xml:space="preserve">e </w:t>
            </w:r>
            <w:r w:rsidRPr="00107DB3">
              <w:rPr>
                <w:rFonts w:ascii="Arial" w:hAnsi="Arial" w:cs="Arial"/>
                <w:sz w:val="22"/>
              </w:rPr>
              <w:t>phosphokinase (CPK) increase</w:t>
            </w:r>
            <w:r w:rsidRPr="00107DB3">
              <w:rPr>
                <w:rFonts w:ascii="Arial" w:hAnsi="Arial" w:cs="Arial"/>
                <w:sz w:val="22"/>
                <w:vertAlign w:val="superscript"/>
              </w:rPr>
              <w:t>a</w:t>
            </w:r>
          </w:p>
        </w:tc>
        <w:tc>
          <w:tcPr>
            <w:tcW w:w="1559" w:type="dxa"/>
            <w:tcBorders>
              <w:top w:val="nil"/>
              <w:left w:val="single" w:sz="4" w:space="0" w:color="auto"/>
              <w:bottom w:val="single" w:sz="4" w:space="0" w:color="auto"/>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1.4</w:t>
            </w:r>
          </w:p>
        </w:tc>
        <w:tc>
          <w:tcPr>
            <w:tcW w:w="1418" w:type="dxa"/>
            <w:tcBorders>
              <w:top w:val="nil"/>
              <w:left w:val="single" w:sz="4" w:space="0" w:color="auto"/>
              <w:bottom w:val="single" w:sz="4" w:space="0" w:color="auto"/>
              <w:right w:val="single" w:sz="4" w:space="0" w:color="auto"/>
            </w:tcBorders>
          </w:tcPr>
          <w:p w:rsidR="00A5171B" w:rsidRPr="00107DB3" w:rsidRDefault="00A5171B" w:rsidP="00107DB3">
            <w:pPr>
              <w:shd w:val="clear" w:color="auto" w:fill="FFFFFF"/>
              <w:jc w:val="center"/>
              <w:rPr>
                <w:rFonts w:ascii="Arial" w:hAnsi="Arial" w:cs="Arial"/>
                <w:sz w:val="22"/>
              </w:rPr>
            </w:pPr>
            <w:r w:rsidRPr="00107DB3">
              <w:rPr>
                <w:rFonts w:ascii="Arial" w:hAnsi="Arial" w:cs="Arial"/>
                <w:sz w:val="22"/>
              </w:rPr>
              <w:t>0.6</w:t>
            </w:r>
          </w:p>
        </w:tc>
      </w:tr>
    </w:tbl>
    <w:bookmarkEnd w:id="4"/>
    <w:p w:rsidR="00A5171B" w:rsidRPr="00107DB3" w:rsidRDefault="00A5171B" w:rsidP="00107DB3">
      <w:pPr>
        <w:shd w:val="clear" w:color="auto" w:fill="FFFFFF"/>
        <w:rPr>
          <w:rFonts w:ascii="Arial" w:hAnsi="Arial" w:cs="Arial"/>
          <w:sz w:val="20"/>
        </w:rPr>
      </w:pPr>
      <w:r w:rsidRPr="00107DB3">
        <w:rPr>
          <w:rFonts w:ascii="Arial" w:hAnsi="Arial" w:cs="Arial"/>
          <w:sz w:val="16"/>
          <w:vertAlign w:val="superscript"/>
        </w:rPr>
        <w:t>a</w:t>
      </w:r>
      <w:r w:rsidRPr="00107DB3">
        <w:rPr>
          <w:rFonts w:ascii="Arial" w:hAnsi="Arial" w:cs="Arial"/>
          <w:sz w:val="16"/>
        </w:rPr>
        <w:t xml:space="preserve"> Musculo-skeletal fraction &gt; 3 times the upper limit of the normal range. In most cases, these values spontaneously reverted to normal without change in treatment.</w:t>
      </w:r>
    </w:p>
    <w:p w:rsidR="00A5171B" w:rsidRPr="00107DB3" w:rsidRDefault="00A5171B" w:rsidP="00107DB3">
      <w:pPr>
        <w:pStyle w:val="Heading2"/>
        <w:shd w:val="clear" w:color="auto" w:fill="FFFFFF"/>
        <w:tabs>
          <w:tab w:val="left" w:pos="7797"/>
        </w:tabs>
        <w:ind w:right="-29"/>
        <w:rPr>
          <w:rFonts w:ascii="Arial" w:hAnsi="Arial" w:cs="Arial"/>
          <w:u w:val="single"/>
        </w:rPr>
      </w:pPr>
      <w:r w:rsidRPr="00107DB3">
        <w:rPr>
          <w:rFonts w:ascii="Arial" w:hAnsi="Arial" w:cs="Arial"/>
          <w:u w:val="single"/>
        </w:rPr>
        <w:t>Post Marketing Experience</w:t>
      </w:r>
    </w:p>
    <w:p w:rsidR="00A5171B" w:rsidRPr="00107DB3" w:rsidRDefault="00A5171B" w:rsidP="00107DB3">
      <w:pPr>
        <w:shd w:val="clear" w:color="auto" w:fill="FFFFFF"/>
        <w:tabs>
          <w:tab w:val="left" w:pos="7655"/>
        </w:tabs>
        <w:rPr>
          <w:rFonts w:ascii="Arial" w:hAnsi="Arial" w:cs="Arial"/>
          <w:i/>
          <w:sz w:val="22"/>
        </w:rPr>
      </w:pPr>
      <w:r w:rsidRPr="00107DB3">
        <w:rPr>
          <w:rFonts w:ascii="Arial" w:hAnsi="Arial" w:cs="Arial"/>
          <w:sz w:val="22"/>
        </w:rPr>
        <w:t xml:space="preserve">The </w:t>
      </w:r>
      <w:r w:rsidRPr="00107DB3">
        <w:rPr>
          <w:rFonts w:ascii="Helvetica" w:hAnsi="Helvetica" w:cs="Arial"/>
          <w:sz w:val="22"/>
        </w:rPr>
        <w:t>following</w:t>
      </w:r>
      <w:r w:rsidRPr="00107DB3">
        <w:rPr>
          <w:rFonts w:ascii="Arial" w:hAnsi="Arial" w:cs="Arial"/>
          <w:sz w:val="22"/>
        </w:rPr>
        <w:t xml:space="preserve"> adverse reactions have been reported in post-marketing use with strontium ranelate. The frequency of these events is unknown. </w:t>
      </w:r>
    </w:p>
    <w:p w:rsidR="007D368D" w:rsidRDefault="007D368D" w:rsidP="007D368D">
      <w:pPr>
        <w:tabs>
          <w:tab w:val="left" w:pos="9214"/>
        </w:tabs>
        <w:ind w:right="-28"/>
        <w:rPr>
          <w:rFonts w:ascii="Arial" w:hAnsi="Arial" w:cs="Arial"/>
          <w:snapToGrid w:val="0"/>
          <w:sz w:val="22"/>
          <w:u w:val="single"/>
        </w:rPr>
      </w:pPr>
      <w:r>
        <w:rPr>
          <w:rFonts w:ascii="Arial" w:hAnsi="Arial" w:cs="Arial"/>
          <w:snapToGrid w:val="0"/>
          <w:sz w:val="22"/>
          <w:u w:val="single"/>
        </w:rPr>
        <w:t>Gastrointestinal disorders:</w:t>
      </w:r>
    </w:p>
    <w:p w:rsidR="007D368D" w:rsidRPr="00181EBA" w:rsidRDefault="007D368D" w:rsidP="00107DB3">
      <w:pPr>
        <w:shd w:val="clear" w:color="auto" w:fill="FFFFFF"/>
        <w:tabs>
          <w:tab w:val="left" w:pos="9214"/>
        </w:tabs>
        <w:ind w:right="-28"/>
        <w:rPr>
          <w:rFonts w:ascii="Arial" w:hAnsi="Arial" w:cs="Arial"/>
          <w:snapToGrid w:val="0"/>
          <w:color w:val="0000FF"/>
          <w:sz w:val="22"/>
          <w:u w:val="single"/>
        </w:rPr>
      </w:pPr>
      <w:r>
        <w:rPr>
          <w:rFonts w:ascii="Arial" w:hAnsi="Arial" w:cs="Arial"/>
          <w:snapToGrid w:val="0"/>
          <w:sz w:val="22"/>
        </w:rPr>
        <w:t>Vomiting</w:t>
      </w:r>
      <w:r>
        <w:rPr>
          <w:rFonts w:ascii="Arial" w:hAnsi="Arial" w:cs="Arial"/>
          <w:sz w:val="22"/>
          <w:lang w:val="en-US"/>
        </w:rPr>
        <w:t xml:space="preserve">, </w:t>
      </w:r>
      <w:r>
        <w:rPr>
          <w:rFonts w:ascii="Arial" w:hAnsi="Arial" w:cs="Arial"/>
          <w:snapToGrid w:val="0"/>
          <w:sz w:val="22"/>
        </w:rPr>
        <w:t>abdominal pain, oral mucosal irritation including; stomatitis and/or mouth ulceration</w:t>
      </w:r>
      <w:r w:rsidR="00181EBA">
        <w:rPr>
          <w:rFonts w:ascii="Arial" w:hAnsi="Arial" w:cs="Arial"/>
          <w:snapToGrid w:val="0"/>
          <w:sz w:val="22"/>
        </w:rPr>
        <w:t xml:space="preserve">, </w:t>
      </w:r>
      <w:r w:rsidR="00181EBA" w:rsidRPr="00107DB3">
        <w:rPr>
          <w:rFonts w:ascii="Arial" w:hAnsi="Arial" w:cs="Arial"/>
          <w:snapToGrid w:val="0"/>
          <w:sz w:val="22"/>
          <w:shd w:val="clear" w:color="auto" w:fill="FFFFFF"/>
        </w:rPr>
        <w:t>dyspepsia, gastro-oesophageal reflux, constipation, flatulence</w:t>
      </w:r>
    </w:p>
    <w:p w:rsidR="007D368D" w:rsidRDefault="00C92AA8" w:rsidP="007D368D">
      <w:pPr>
        <w:rPr>
          <w:rStyle w:val="Emphasis"/>
          <w:rFonts w:ascii="Arial" w:hAnsi="Arial" w:cs="Arial"/>
          <w:i w:val="0"/>
          <w:iCs w:val="0"/>
          <w:sz w:val="22"/>
          <w:u w:val="single"/>
          <w:lang w:val="en-US"/>
        </w:rPr>
      </w:pPr>
      <w:r>
        <w:rPr>
          <w:rStyle w:val="Emphasis"/>
          <w:rFonts w:ascii="Arial" w:hAnsi="Arial" w:cs="Arial"/>
          <w:i w:val="0"/>
          <w:iCs w:val="0"/>
          <w:sz w:val="22"/>
          <w:u w:val="single"/>
          <w:lang w:val="en-US"/>
        </w:rPr>
        <w:br w:type="page"/>
      </w:r>
      <w:r w:rsidR="007D368D">
        <w:rPr>
          <w:rStyle w:val="Emphasis"/>
          <w:rFonts w:ascii="Arial" w:hAnsi="Arial" w:cs="Arial"/>
          <w:i w:val="0"/>
          <w:iCs w:val="0"/>
          <w:sz w:val="22"/>
          <w:u w:val="single"/>
          <w:lang w:val="en-US"/>
        </w:rPr>
        <w:lastRenderedPageBreak/>
        <w:t>Musculoskeletal and connective tissue disorders</w:t>
      </w:r>
    </w:p>
    <w:p w:rsidR="007D368D" w:rsidRDefault="007D368D" w:rsidP="007D368D">
      <w:pPr>
        <w:rPr>
          <w:rFonts w:ascii="Arial" w:hAnsi="Arial" w:cs="Arial"/>
          <w:sz w:val="22"/>
          <w:lang w:val="en-GB"/>
        </w:rPr>
      </w:pPr>
      <w:r>
        <w:rPr>
          <w:rFonts w:ascii="Arial" w:hAnsi="Arial" w:cs="Arial"/>
          <w:sz w:val="22"/>
          <w:lang w:val="en-GB"/>
        </w:rPr>
        <w:t>Musculoskeletal pain including muscle spasm, myalgia, bone pain, art</w:t>
      </w:r>
      <w:r w:rsidR="005C4B48">
        <w:rPr>
          <w:rFonts w:ascii="Arial" w:hAnsi="Arial" w:cs="Arial"/>
          <w:sz w:val="22"/>
          <w:lang w:val="en-GB"/>
        </w:rPr>
        <w:t>hralgia and pain in extremities</w:t>
      </w:r>
    </w:p>
    <w:p w:rsidR="007D368D" w:rsidRDefault="007D368D" w:rsidP="007D368D">
      <w:pPr>
        <w:tabs>
          <w:tab w:val="left" w:pos="9214"/>
        </w:tabs>
        <w:ind w:right="-28"/>
        <w:rPr>
          <w:rFonts w:ascii="Arial" w:hAnsi="Arial" w:cs="Arial"/>
          <w:sz w:val="22"/>
          <w:u w:val="single"/>
          <w:lang w:val="en-US"/>
        </w:rPr>
      </w:pPr>
      <w:r>
        <w:rPr>
          <w:rFonts w:ascii="Arial" w:hAnsi="Arial" w:cs="Arial"/>
          <w:sz w:val="22"/>
          <w:u w:val="single"/>
          <w:lang w:val="en-US"/>
        </w:rPr>
        <w:t>Skin and subcutaneous tissue disorders:</w:t>
      </w:r>
    </w:p>
    <w:p w:rsidR="00FD2911" w:rsidRPr="00107DB3" w:rsidRDefault="00FD2911" w:rsidP="00107DB3">
      <w:pPr>
        <w:tabs>
          <w:tab w:val="left" w:pos="9214"/>
        </w:tabs>
        <w:ind w:right="-28"/>
        <w:rPr>
          <w:rFonts w:ascii="Arial" w:hAnsi="Arial" w:cs="Arial"/>
          <w:sz w:val="22"/>
          <w:szCs w:val="22"/>
        </w:rPr>
      </w:pPr>
      <w:r w:rsidRPr="00107DB3">
        <w:rPr>
          <w:rFonts w:ascii="Arial" w:hAnsi="Arial" w:cs="Arial"/>
          <w:sz w:val="22"/>
        </w:rPr>
        <w:t>Unknown: H</w:t>
      </w:r>
      <w:r w:rsidRPr="00107DB3">
        <w:rPr>
          <w:rFonts w:ascii="Arial" w:hAnsi="Arial" w:cs="Arial"/>
          <w:snapToGrid w:val="0"/>
          <w:sz w:val="22"/>
        </w:rPr>
        <w:t xml:space="preserve">ypersensitivity skin reactions including rash, pruritus, urticaria, </w:t>
      </w:r>
      <w:r w:rsidRPr="00107DB3">
        <w:rPr>
          <w:rFonts w:ascii="Arial" w:hAnsi="Arial" w:cs="Arial"/>
          <w:sz w:val="22"/>
          <w:szCs w:val="22"/>
        </w:rPr>
        <w:t xml:space="preserve">angioedema, </w:t>
      </w:r>
      <w:r w:rsidRPr="00107DB3">
        <w:rPr>
          <w:rFonts w:ascii="Arial" w:hAnsi="Arial" w:cs="Arial"/>
          <w:iCs/>
          <w:sz w:val="22"/>
        </w:rPr>
        <w:t>alopecia</w:t>
      </w:r>
    </w:p>
    <w:p w:rsidR="00FD2911" w:rsidRPr="00107DB3" w:rsidRDefault="00FD2911" w:rsidP="00107DB3">
      <w:pPr>
        <w:ind w:right="-28"/>
        <w:rPr>
          <w:rFonts w:ascii="Arial" w:hAnsi="Arial" w:cs="Arial"/>
          <w:sz w:val="22"/>
          <w:szCs w:val="22"/>
        </w:rPr>
      </w:pPr>
      <w:r w:rsidRPr="00107DB3">
        <w:rPr>
          <w:rFonts w:ascii="Arial" w:hAnsi="Arial" w:cs="Arial"/>
          <w:sz w:val="22"/>
          <w:szCs w:val="22"/>
        </w:rPr>
        <w:t>Rare: Cases of severe hypersensitivity syndromes including drug rash with eosinophilia and systemic symptoms (DRESS) (see PRECAUTIONS)</w:t>
      </w:r>
    </w:p>
    <w:p w:rsidR="00FD2911" w:rsidRPr="00107DB3" w:rsidRDefault="00FD2911" w:rsidP="00107DB3">
      <w:pPr>
        <w:ind w:right="-28"/>
        <w:rPr>
          <w:rFonts w:ascii="Arial" w:hAnsi="Arial" w:cs="Arial"/>
          <w:sz w:val="22"/>
          <w:szCs w:val="22"/>
        </w:rPr>
      </w:pPr>
      <w:r w:rsidRPr="00107DB3">
        <w:rPr>
          <w:rFonts w:ascii="Arial" w:hAnsi="Arial" w:cs="Arial"/>
          <w:sz w:val="22"/>
          <w:szCs w:val="22"/>
        </w:rPr>
        <w:t>Very rare: Severe cutaneous adverse reactions: Stevens-Johnson syndrome (SJS) and toxic epidermal necrolysis (TEN) (see PRECAUTIONS)</w:t>
      </w:r>
    </w:p>
    <w:p w:rsidR="00AB6F61" w:rsidRPr="00107DB3" w:rsidRDefault="00AB6F61" w:rsidP="00107DB3">
      <w:pPr>
        <w:shd w:val="clear" w:color="auto" w:fill="FFFFFF"/>
        <w:rPr>
          <w:rFonts w:ascii="Helvetica" w:hAnsi="Helvetica" w:cs="Arial"/>
          <w:iCs/>
          <w:sz w:val="22"/>
          <w:u w:val="single"/>
        </w:rPr>
      </w:pPr>
      <w:r w:rsidRPr="00107DB3">
        <w:rPr>
          <w:rFonts w:ascii="Helvetica" w:hAnsi="Helvetica" w:cs="Arial"/>
          <w:iCs/>
          <w:sz w:val="22"/>
          <w:u w:val="single"/>
        </w:rPr>
        <w:t xml:space="preserve">Blood and Lymphatic system disorders: </w:t>
      </w:r>
    </w:p>
    <w:p w:rsidR="00F20716" w:rsidRPr="00107DB3" w:rsidRDefault="00AB6F61" w:rsidP="00107DB3">
      <w:pPr>
        <w:shd w:val="clear" w:color="auto" w:fill="FFFFFF"/>
        <w:tabs>
          <w:tab w:val="left" w:pos="9214"/>
        </w:tabs>
        <w:rPr>
          <w:rFonts w:ascii="Arial" w:hAnsi="Arial" w:cs="Arial"/>
          <w:sz w:val="22"/>
          <w:szCs w:val="22"/>
        </w:rPr>
      </w:pPr>
      <w:r w:rsidRPr="00107DB3">
        <w:rPr>
          <w:rFonts w:ascii="Arial" w:hAnsi="Arial" w:cs="Arial"/>
          <w:sz w:val="22"/>
          <w:szCs w:val="22"/>
        </w:rPr>
        <w:t>Bone marrow failure, eosinophilia (in association with hypersensitivity skin reactions)</w:t>
      </w:r>
      <w:r w:rsidR="00F20716" w:rsidRPr="00107DB3">
        <w:rPr>
          <w:rFonts w:ascii="Arial" w:hAnsi="Arial" w:cs="Arial"/>
          <w:sz w:val="22"/>
          <w:szCs w:val="22"/>
        </w:rPr>
        <w:t xml:space="preserve">, </w:t>
      </w:r>
      <w:r w:rsidR="00F20716" w:rsidRPr="00107DB3">
        <w:rPr>
          <w:rFonts w:ascii="Arial" w:hAnsi="Arial" w:cs="Arial"/>
          <w:sz w:val="22"/>
          <w:szCs w:val="22"/>
          <w:shd w:val="clear" w:color="auto" w:fill="FFFFFF"/>
        </w:rPr>
        <w:t>lymphadenopathy (in association with hypersensitivity skin reactions)</w:t>
      </w:r>
    </w:p>
    <w:p w:rsidR="00AB6F61" w:rsidRPr="00107DB3" w:rsidRDefault="00AB6F61" w:rsidP="00107DB3">
      <w:pPr>
        <w:shd w:val="clear" w:color="auto" w:fill="FFFFFF"/>
        <w:rPr>
          <w:rFonts w:ascii="Helvetica" w:hAnsi="Helvetica" w:cs="Arial"/>
          <w:iCs/>
          <w:sz w:val="22"/>
          <w:u w:val="single"/>
        </w:rPr>
      </w:pPr>
      <w:r w:rsidRPr="00107DB3">
        <w:rPr>
          <w:rFonts w:ascii="Helvetica" w:hAnsi="Helvetica" w:cs="Arial"/>
          <w:iCs/>
          <w:sz w:val="22"/>
          <w:u w:val="single"/>
        </w:rPr>
        <w:t xml:space="preserve">Hepatobiliary disorders: </w:t>
      </w:r>
    </w:p>
    <w:p w:rsidR="00AB6F61" w:rsidRPr="00107DB3" w:rsidRDefault="00AB6F61" w:rsidP="00107DB3">
      <w:pPr>
        <w:shd w:val="clear" w:color="auto" w:fill="FFFFFF"/>
        <w:rPr>
          <w:rFonts w:ascii="Arial" w:hAnsi="Arial" w:cs="Arial"/>
          <w:iCs/>
          <w:sz w:val="22"/>
        </w:rPr>
      </w:pPr>
      <w:r w:rsidRPr="00107DB3">
        <w:rPr>
          <w:rFonts w:ascii="Arial" w:hAnsi="Arial" w:cs="Arial"/>
          <w:iCs/>
          <w:sz w:val="22"/>
        </w:rPr>
        <w:t>Serum transaminase increase (in association with hypersensitivity skin reactions)</w:t>
      </w:r>
      <w:r w:rsidR="009A278E" w:rsidRPr="00107DB3">
        <w:rPr>
          <w:rFonts w:ascii="Arial" w:hAnsi="Arial" w:cs="Arial"/>
          <w:iCs/>
          <w:sz w:val="22"/>
          <w:shd w:val="clear" w:color="auto" w:fill="FFFFFF"/>
        </w:rPr>
        <w:t>, hepatitis</w:t>
      </w:r>
    </w:p>
    <w:p w:rsidR="00AB6F61" w:rsidRPr="00107DB3" w:rsidRDefault="00AB6F61" w:rsidP="00107DB3">
      <w:pPr>
        <w:pStyle w:val="Header"/>
        <w:shd w:val="clear" w:color="auto" w:fill="FFFFFF"/>
        <w:tabs>
          <w:tab w:val="clear" w:pos="8640"/>
        </w:tabs>
        <w:rPr>
          <w:rFonts w:ascii="Helvetica" w:hAnsi="Helvetica" w:cs="Arial"/>
          <w:iCs/>
          <w:sz w:val="22"/>
          <w:u w:val="single"/>
        </w:rPr>
      </w:pPr>
      <w:r w:rsidRPr="00107DB3">
        <w:rPr>
          <w:rFonts w:ascii="Helvetica" w:hAnsi="Helvetica" w:cs="Arial"/>
          <w:iCs/>
          <w:sz w:val="22"/>
          <w:u w:val="single"/>
        </w:rPr>
        <w:t xml:space="preserve">General disorders and administration site conditions: </w:t>
      </w:r>
    </w:p>
    <w:p w:rsidR="00AB6F61" w:rsidRPr="00107DB3" w:rsidRDefault="00AB6F61" w:rsidP="00107DB3">
      <w:pPr>
        <w:shd w:val="clear" w:color="auto" w:fill="FFFFFF"/>
        <w:rPr>
          <w:rFonts w:ascii="Arial" w:hAnsi="Arial" w:cs="Arial"/>
          <w:sz w:val="22"/>
        </w:rPr>
      </w:pPr>
      <w:r w:rsidRPr="00107DB3">
        <w:rPr>
          <w:rFonts w:ascii="Arial" w:hAnsi="Arial" w:cs="Arial"/>
          <w:sz w:val="22"/>
        </w:rPr>
        <w:t>Peripheral oedema, pyrexia (in association with hypersensitivity skin reactions)</w:t>
      </w:r>
    </w:p>
    <w:p w:rsidR="00AB6F61" w:rsidRPr="00107DB3" w:rsidRDefault="00AB6F61" w:rsidP="00107DB3">
      <w:pPr>
        <w:pStyle w:val="Header"/>
        <w:shd w:val="clear" w:color="auto" w:fill="FFFFFF"/>
        <w:tabs>
          <w:tab w:val="clear" w:pos="8640"/>
        </w:tabs>
        <w:rPr>
          <w:rFonts w:ascii="Helvetica" w:hAnsi="Helvetica" w:cs="Arial"/>
          <w:iCs/>
          <w:sz w:val="22"/>
          <w:u w:val="single"/>
        </w:rPr>
      </w:pPr>
      <w:r w:rsidRPr="00107DB3">
        <w:rPr>
          <w:rFonts w:ascii="Helvetica" w:hAnsi="Helvetica" w:cs="Arial"/>
          <w:iCs/>
          <w:sz w:val="22"/>
          <w:u w:val="single"/>
        </w:rPr>
        <w:t xml:space="preserve">Respiratory, thoracic and mediastinal disorders: </w:t>
      </w:r>
    </w:p>
    <w:p w:rsidR="00AB6F61" w:rsidRPr="00C92AA8" w:rsidRDefault="00AB6F61" w:rsidP="00107DB3">
      <w:pPr>
        <w:pStyle w:val="Header"/>
        <w:shd w:val="clear" w:color="auto" w:fill="FFFFFF"/>
        <w:tabs>
          <w:tab w:val="clear" w:pos="8640"/>
        </w:tabs>
        <w:rPr>
          <w:rFonts w:ascii="Helvetica" w:hAnsi="Helvetica" w:cs="Arial"/>
          <w:iCs/>
          <w:sz w:val="22"/>
          <w:u w:val="single"/>
          <w:lang w:val="en-AU"/>
        </w:rPr>
      </w:pPr>
      <w:r w:rsidRPr="00107DB3">
        <w:rPr>
          <w:rFonts w:ascii="Arial" w:hAnsi="Arial" w:cs="Arial"/>
          <w:iCs/>
          <w:sz w:val="22"/>
        </w:rPr>
        <w:t>Bronchial hyperreactivity</w:t>
      </w:r>
      <w:r w:rsidR="004C22DA" w:rsidRPr="00107DB3">
        <w:rPr>
          <w:rFonts w:ascii="Arial" w:hAnsi="Arial" w:cs="Arial"/>
          <w:iCs/>
          <w:sz w:val="22"/>
        </w:rPr>
        <w:t xml:space="preserve"> </w:t>
      </w:r>
      <w:r w:rsidRPr="00107DB3">
        <w:rPr>
          <w:rFonts w:ascii="Helvetica" w:hAnsi="Helvetica" w:cs="Arial"/>
          <w:iCs/>
          <w:sz w:val="22"/>
          <w:u w:val="single"/>
        </w:rPr>
        <w:t>Psychiatric disorders:</w:t>
      </w:r>
    </w:p>
    <w:p w:rsidR="00AB6F61" w:rsidRPr="00107DB3" w:rsidRDefault="00AB6F61" w:rsidP="00107DB3">
      <w:pPr>
        <w:pStyle w:val="Header"/>
        <w:shd w:val="clear" w:color="auto" w:fill="FFFFFF"/>
        <w:tabs>
          <w:tab w:val="clear" w:pos="8640"/>
        </w:tabs>
        <w:rPr>
          <w:rFonts w:ascii="Arial" w:hAnsi="Arial" w:cs="Arial"/>
          <w:iCs/>
          <w:sz w:val="22"/>
        </w:rPr>
      </w:pPr>
      <w:r w:rsidRPr="00107DB3">
        <w:rPr>
          <w:rFonts w:ascii="Arial" w:hAnsi="Arial" w:cs="Arial"/>
          <w:iCs/>
          <w:sz w:val="22"/>
        </w:rPr>
        <w:t>Confusional state</w:t>
      </w:r>
      <w:r w:rsidR="00D5217D" w:rsidRPr="00107DB3">
        <w:rPr>
          <w:rFonts w:ascii="Arial" w:hAnsi="Arial" w:cs="Arial"/>
          <w:iCs/>
          <w:sz w:val="22"/>
        </w:rPr>
        <w:t xml:space="preserve">, </w:t>
      </w:r>
      <w:r w:rsidR="00D5217D" w:rsidRPr="00107DB3">
        <w:rPr>
          <w:rFonts w:ascii="Arial" w:hAnsi="Arial" w:cs="Arial"/>
          <w:iCs/>
          <w:sz w:val="22"/>
          <w:shd w:val="clear" w:color="auto" w:fill="FFFFFF"/>
        </w:rPr>
        <w:t>insomnia</w:t>
      </w:r>
    </w:p>
    <w:p w:rsidR="00A5171B" w:rsidRDefault="00A5171B">
      <w:pPr>
        <w:pStyle w:val="Heading2"/>
        <w:tabs>
          <w:tab w:val="left" w:pos="7655"/>
          <w:tab w:val="left" w:pos="8647"/>
        </w:tabs>
        <w:ind w:right="1530"/>
        <w:rPr>
          <w:rFonts w:ascii="Arial" w:hAnsi="Arial" w:cs="Arial"/>
        </w:rPr>
      </w:pPr>
      <w:r>
        <w:rPr>
          <w:rFonts w:ascii="Arial" w:hAnsi="Arial" w:cs="Arial"/>
        </w:rPr>
        <w:t>Laboratory Findings</w:t>
      </w:r>
    </w:p>
    <w:p w:rsidR="00A5171B" w:rsidRDefault="00A5171B" w:rsidP="00713097">
      <w:pPr>
        <w:tabs>
          <w:tab w:val="left" w:pos="7655"/>
          <w:tab w:val="left" w:pos="8647"/>
        </w:tabs>
        <w:ind w:right="-29"/>
        <w:rPr>
          <w:rFonts w:ascii="Arial" w:hAnsi="Arial" w:cs="Arial"/>
          <w:sz w:val="22"/>
        </w:rPr>
      </w:pPr>
      <w:r>
        <w:rPr>
          <w:rFonts w:ascii="Arial" w:hAnsi="Arial" w:cs="Arial"/>
          <w:sz w:val="22"/>
        </w:rPr>
        <w:t>Creatine phosphokinase (CPK) was systematically assessed at each visit in phase III studies.  Without it having been associated with clinical muscular symptoms or other biological abnormalities, transient emergent increases (&gt;3 times the upper limit of the normal range) in CPK (musculo-skeletal fraction) were reported in 1.4% and 0.6% of the strontium ranelate and placebo groups respectively.  These values spontaneously normalised with no treatment change.</w:t>
      </w:r>
    </w:p>
    <w:p w:rsidR="00A5171B" w:rsidRDefault="00A5171B" w:rsidP="00365AA3">
      <w:pPr>
        <w:pStyle w:val="Heading1"/>
      </w:pPr>
      <w:r>
        <w:t>DOSAGE AND ADMINISTRATION</w:t>
      </w:r>
    </w:p>
    <w:p w:rsidR="00A5171B" w:rsidRDefault="00A5171B" w:rsidP="00D63EA1">
      <w:pPr>
        <w:tabs>
          <w:tab w:val="left" w:pos="7655"/>
          <w:tab w:val="left" w:pos="8647"/>
        </w:tabs>
        <w:ind w:right="-29"/>
        <w:rPr>
          <w:rFonts w:ascii="Arial" w:hAnsi="Arial" w:cs="Arial"/>
          <w:sz w:val="22"/>
        </w:rPr>
      </w:pPr>
      <w:r>
        <w:rPr>
          <w:rFonts w:ascii="Arial" w:hAnsi="Arial" w:cs="Arial"/>
          <w:sz w:val="22"/>
        </w:rPr>
        <w:t>The recommended daily dose for the treatment of osteoporosis is one</w:t>
      </w:r>
      <w:r>
        <w:rPr>
          <w:rFonts w:ascii="Arial" w:hAnsi="Arial" w:cs="Arial"/>
          <w:b/>
          <w:sz w:val="22"/>
        </w:rPr>
        <w:t xml:space="preserve"> </w:t>
      </w:r>
      <w:r>
        <w:rPr>
          <w:rFonts w:ascii="Arial" w:hAnsi="Arial" w:cs="Arial"/>
          <w:sz w:val="22"/>
        </w:rPr>
        <w:t>2g sachet</w:t>
      </w:r>
      <w:r>
        <w:rPr>
          <w:rFonts w:ascii="Arial" w:hAnsi="Arial" w:cs="Arial"/>
          <w:b/>
          <w:sz w:val="22"/>
        </w:rPr>
        <w:t xml:space="preserve"> </w:t>
      </w:r>
      <w:r>
        <w:rPr>
          <w:rFonts w:ascii="Arial" w:hAnsi="Arial" w:cs="Arial"/>
          <w:bCs/>
          <w:sz w:val="22"/>
        </w:rPr>
        <w:t>once daily</w:t>
      </w:r>
      <w:r>
        <w:rPr>
          <w:rFonts w:ascii="Arial" w:hAnsi="Arial" w:cs="Arial"/>
          <w:b/>
          <w:sz w:val="22"/>
        </w:rPr>
        <w:t xml:space="preserve"> </w:t>
      </w:r>
      <w:r>
        <w:rPr>
          <w:rFonts w:ascii="Arial" w:hAnsi="Arial" w:cs="Arial"/>
          <w:sz w:val="22"/>
        </w:rPr>
        <w:t>by oral administration</w:t>
      </w:r>
      <w:r w:rsidR="00886646">
        <w:rPr>
          <w:rFonts w:ascii="Arial" w:hAnsi="Arial" w:cs="Arial"/>
          <w:sz w:val="22"/>
        </w:rPr>
        <w:t xml:space="preserve"> (see Clinical Trials section)</w:t>
      </w:r>
      <w:r w:rsidR="00C92AA8">
        <w:rPr>
          <w:rFonts w:ascii="Arial" w:hAnsi="Arial" w:cs="Arial"/>
          <w:sz w:val="22"/>
        </w:rPr>
        <w:t>.</w:t>
      </w:r>
    </w:p>
    <w:p w:rsidR="00A5171B" w:rsidRDefault="00A5171B" w:rsidP="00D63EA1">
      <w:pPr>
        <w:tabs>
          <w:tab w:val="left" w:pos="7655"/>
          <w:tab w:val="left" w:pos="8647"/>
        </w:tabs>
        <w:ind w:right="-29"/>
        <w:rPr>
          <w:rFonts w:ascii="Arial" w:hAnsi="Arial" w:cs="Arial"/>
          <w:sz w:val="20"/>
        </w:rPr>
      </w:pPr>
      <w:r>
        <w:rPr>
          <w:rFonts w:ascii="Arial" w:hAnsi="Arial" w:cs="Arial"/>
          <w:sz w:val="22"/>
        </w:rPr>
        <w:lastRenderedPageBreak/>
        <w:t xml:space="preserve">Due to the nature of this disease, PROTOS is intended for long-term use (see </w:t>
      </w:r>
      <w:r w:rsidRPr="00107DB3">
        <w:rPr>
          <w:rFonts w:ascii="Arial" w:hAnsi="Arial" w:cs="Arial"/>
          <w:sz w:val="22"/>
        </w:rPr>
        <w:t xml:space="preserve">Adverse Reactions section). </w:t>
      </w:r>
      <w:r w:rsidR="00A23AFF" w:rsidRPr="00107DB3">
        <w:rPr>
          <w:rFonts w:ascii="Arial" w:hAnsi="Arial" w:cs="Arial"/>
          <w:sz w:val="22"/>
        </w:rPr>
        <w:t>As wi</w:t>
      </w:r>
      <w:r w:rsidR="00523E40" w:rsidRPr="00107DB3">
        <w:rPr>
          <w:rFonts w:ascii="Arial" w:hAnsi="Arial" w:cs="Arial"/>
          <w:sz w:val="22"/>
        </w:rPr>
        <w:t>th</w:t>
      </w:r>
      <w:r w:rsidR="00A23AFF" w:rsidRPr="00107DB3">
        <w:rPr>
          <w:rFonts w:ascii="Arial" w:hAnsi="Arial" w:cs="Arial"/>
          <w:sz w:val="22"/>
        </w:rPr>
        <w:t xml:space="preserve"> all chronic diseases, </w:t>
      </w:r>
      <w:r w:rsidR="003B316F" w:rsidRPr="00107DB3">
        <w:rPr>
          <w:rFonts w:ascii="Arial" w:hAnsi="Arial" w:cs="Arial"/>
          <w:sz w:val="22"/>
        </w:rPr>
        <w:t xml:space="preserve">the management of osteoporosis should </w:t>
      </w:r>
      <w:r w:rsidR="00802EEC" w:rsidRPr="00687075">
        <w:rPr>
          <w:rFonts w:ascii="Arial" w:hAnsi="Arial" w:cs="Arial"/>
          <w:sz w:val="22"/>
        </w:rPr>
        <w:t>be</w:t>
      </w:r>
      <w:r w:rsidR="00802EEC" w:rsidRPr="00107DB3">
        <w:rPr>
          <w:rFonts w:ascii="Arial" w:hAnsi="Arial" w:cs="Arial"/>
          <w:sz w:val="22"/>
          <w:u w:val="single"/>
        </w:rPr>
        <w:t xml:space="preserve"> </w:t>
      </w:r>
      <w:r w:rsidR="00523E40" w:rsidRPr="00107DB3">
        <w:rPr>
          <w:rFonts w:ascii="Arial" w:hAnsi="Arial" w:cs="Arial"/>
          <w:sz w:val="22"/>
        </w:rPr>
        <w:t>reviewed on a regular basis</w:t>
      </w:r>
      <w:r w:rsidR="00E65DB5" w:rsidRPr="00E65DB5">
        <w:rPr>
          <w:rFonts w:ascii="Arial" w:hAnsi="Arial" w:cs="Arial"/>
          <w:sz w:val="22"/>
          <w:szCs w:val="22"/>
        </w:rPr>
        <w:t xml:space="preserve"> </w:t>
      </w:r>
      <w:r w:rsidR="00E65DB5" w:rsidRPr="008B68B9">
        <w:rPr>
          <w:rFonts w:ascii="Arial" w:hAnsi="Arial" w:cs="Arial"/>
          <w:sz w:val="22"/>
          <w:szCs w:val="22"/>
        </w:rPr>
        <w:t>and current practice guidelines should be consulted</w:t>
      </w:r>
      <w:r w:rsidR="00523E40" w:rsidRPr="00E65DB5">
        <w:rPr>
          <w:rFonts w:ascii="Arial" w:hAnsi="Arial" w:cs="Arial"/>
          <w:sz w:val="22"/>
          <w:szCs w:val="22"/>
        </w:rPr>
        <w:t>.</w:t>
      </w:r>
    </w:p>
    <w:p w:rsidR="00A5171B" w:rsidRDefault="00A5171B" w:rsidP="00713097">
      <w:pPr>
        <w:pStyle w:val="Heading2"/>
        <w:tabs>
          <w:tab w:val="left" w:pos="7655"/>
          <w:tab w:val="left" w:pos="8647"/>
        </w:tabs>
        <w:ind w:right="-29"/>
        <w:rPr>
          <w:rFonts w:ascii="Arial" w:hAnsi="Arial" w:cs="Arial"/>
        </w:rPr>
      </w:pPr>
      <w:r>
        <w:rPr>
          <w:rFonts w:ascii="Arial" w:hAnsi="Arial" w:cs="Arial"/>
        </w:rPr>
        <w:t>Method of Administration</w:t>
      </w:r>
    </w:p>
    <w:p w:rsidR="00A5171B" w:rsidRDefault="00A5171B" w:rsidP="00713097">
      <w:pPr>
        <w:tabs>
          <w:tab w:val="left" w:pos="7655"/>
          <w:tab w:val="left" w:pos="8647"/>
        </w:tabs>
        <w:ind w:right="-29"/>
        <w:rPr>
          <w:rFonts w:ascii="Arial" w:hAnsi="Arial" w:cs="Arial"/>
          <w:b/>
          <w:bCs/>
          <w:i/>
          <w:iCs/>
          <w:sz w:val="22"/>
        </w:rPr>
      </w:pPr>
      <w:r>
        <w:rPr>
          <w:rFonts w:ascii="Arial" w:hAnsi="Arial" w:cs="Arial"/>
          <w:sz w:val="22"/>
        </w:rPr>
        <w:t>Patients should preferably take PROTOS at bedtime since the absorption of strontium ranelate may be affected by food intake (see Drug Interactions and Pharmacokinetics).  PROTOS can be taken on an empty stomach.</w:t>
      </w:r>
    </w:p>
    <w:p w:rsidR="00A5171B" w:rsidRDefault="00A5171B" w:rsidP="00713097">
      <w:pPr>
        <w:tabs>
          <w:tab w:val="left" w:pos="7655"/>
          <w:tab w:val="left" w:pos="8647"/>
        </w:tabs>
        <w:ind w:right="-29"/>
        <w:rPr>
          <w:rFonts w:ascii="Arial" w:hAnsi="Arial" w:cs="Arial"/>
          <w:sz w:val="22"/>
        </w:rPr>
      </w:pPr>
      <w:r>
        <w:rPr>
          <w:rFonts w:ascii="Arial" w:hAnsi="Arial" w:cs="Arial"/>
          <w:sz w:val="22"/>
        </w:rPr>
        <w:t>The granules in the sachets must be taken as a suspension in a glass containing a minimum of 30ml (approximately one third of a standard glass) of water. Although in-use studies have demonstrated that strontium ranelate is stable in suspension for 24 hours after preparation, the suspension should be drunk immediately after preparation.</w:t>
      </w:r>
    </w:p>
    <w:p w:rsidR="00A5171B" w:rsidRDefault="00A5171B" w:rsidP="00713097">
      <w:pPr>
        <w:pStyle w:val="Heading3"/>
        <w:tabs>
          <w:tab w:val="left" w:pos="7655"/>
          <w:tab w:val="left" w:pos="8647"/>
        </w:tabs>
        <w:ind w:right="-29"/>
        <w:rPr>
          <w:rFonts w:ascii="Arial" w:hAnsi="Arial" w:cs="Arial"/>
          <w:lang w:val="en-AU"/>
        </w:rPr>
      </w:pPr>
      <w:r>
        <w:rPr>
          <w:rFonts w:ascii="Arial" w:hAnsi="Arial" w:cs="Arial"/>
          <w:lang w:val="en-AU"/>
        </w:rPr>
        <w:t xml:space="preserve">Use in </w:t>
      </w:r>
      <w:r w:rsidR="00342D23" w:rsidRPr="00107DB3">
        <w:rPr>
          <w:rFonts w:ascii="Arial" w:hAnsi="Arial" w:cs="Arial"/>
          <w:lang w:val="en-AU"/>
        </w:rPr>
        <w:t>the</w:t>
      </w:r>
      <w:r w:rsidR="00342D23">
        <w:rPr>
          <w:rFonts w:ascii="Arial" w:hAnsi="Arial" w:cs="Arial"/>
          <w:lang w:val="en-AU"/>
        </w:rPr>
        <w:t xml:space="preserve"> </w:t>
      </w:r>
      <w:r>
        <w:rPr>
          <w:rFonts w:ascii="Arial" w:hAnsi="Arial" w:cs="Arial"/>
          <w:lang w:val="en-AU"/>
        </w:rPr>
        <w:t>Elderly</w:t>
      </w:r>
    </w:p>
    <w:p w:rsidR="00A5171B" w:rsidRDefault="00A5171B" w:rsidP="00713097">
      <w:pPr>
        <w:tabs>
          <w:tab w:val="left" w:pos="7655"/>
          <w:tab w:val="left" w:pos="8647"/>
        </w:tabs>
        <w:ind w:right="-29"/>
        <w:rPr>
          <w:rFonts w:ascii="Arial" w:hAnsi="Arial" w:cs="Arial"/>
          <w:sz w:val="22"/>
        </w:rPr>
      </w:pPr>
      <w:r>
        <w:rPr>
          <w:rFonts w:ascii="Arial" w:hAnsi="Arial" w:cs="Arial"/>
          <w:sz w:val="22"/>
        </w:rPr>
        <w:t>The efficacy and safety of PROTOS have been established in a broad age range (up to 100 years at inclusion) of postmenopausal women with osteoporosis.  No dosage adjustment is required in relation to age, even in the very elderly.</w:t>
      </w:r>
    </w:p>
    <w:p w:rsidR="00A5171B" w:rsidRDefault="00A5171B" w:rsidP="00713097">
      <w:pPr>
        <w:pStyle w:val="Heading3"/>
        <w:tabs>
          <w:tab w:val="left" w:pos="7655"/>
          <w:tab w:val="left" w:pos="8647"/>
        </w:tabs>
        <w:ind w:right="-29"/>
        <w:rPr>
          <w:rFonts w:ascii="Arial" w:hAnsi="Arial" w:cs="Arial"/>
          <w:lang w:val="en-AU"/>
        </w:rPr>
      </w:pPr>
      <w:r>
        <w:rPr>
          <w:rFonts w:ascii="Arial" w:hAnsi="Arial" w:cs="Arial"/>
          <w:lang w:val="en-AU"/>
        </w:rPr>
        <w:t>Use in Renal Impairment</w:t>
      </w:r>
    </w:p>
    <w:p w:rsidR="00A5171B" w:rsidRDefault="00A5171B" w:rsidP="00713097">
      <w:pPr>
        <w:tabs>
          <w:tab w:val="left" w:pos="7655"/>
          <w:tab w:val="left" w:pos="8647"/>
        </w:tabs>
        <w:ind w:right="-29"/>
        <w:rPr>
          <w:rFonts w:ascii="Arial" w:hAnsi="Arial" w:cs="Arial"/>
          <w:sz w:val="22"/>
        </w:rPr>
      </w:pPr>
      <w:r>
        <w:rPr>
          <w:rFonts w:ascii="Arial" w:hAnsi="Arial" w:cs="Arial"/>
          <w:sz w:val="22"/>
        </w:rPr>
        <w:t>No dosage adjustment is required in patients with mild to moderate renal impairment.</w:t>
      </w:r>
    </w:p>
    <w:p w:rsidR="00A5171B" w:rsidRDefault="00A5171B" w:rsidP="00713097">
      <w:pPr>
        <w:tabs>
          <w:tab w:val="left" w:pos="7655"/>
          <w:tab w:val="left" w:pos="8647"/>
        </w:tabs>
        <w:ind w:right="-29"/>
        <w:rPr>
          <w:rFonts w:ascii="Arial" w:hAnsi="Arial" w:cs="Arial"/>
          <w:sz w:val="20"/>
        </w:rPr>
      </w:pPr>
      <w:r>
        <w:rPr>
          <w:rFonts w:ascii="Arial" w:hAnsi="Arial" w:cs="Arial"/>
          <w:sz w:val="22"/>
        </w:rPr>
        <w:t>PROTOS is contraindicated in patients with severe renal impairment (see CONTRAINDICATIONS and Pharmacokinetics – Special Populations).</w:t>
      </w:r>
    </w:p>
    <w:p w:rsidR="00A5171B" w:rsidRDefault="00A5171B" w:rsidP="00713097">
      <w:pPr>
        <w:pStyle w:val="Heading3"/>
        <w:tabs>
          <w:tab w:val="left" w:pos="7655"/>
          <w:tab w:val="left" w:pos="8647"/>
        </w:tabs>
        <w:ind w:right="-29"/>
        <w:rPr>
          <w:rFonts w:ascii="Arial" w:hAnsi="Arial" w:cs="Arial"/>
          <w:lang w:val="en-AU"/>
        </w:rPr>
      </w:pPr>
      <w:r>
        <w:rPr>
          <w:rFonts w:ascii="Arial" w:hAnsi="Arial" w:cs="Arial"/>
          <w:lang w:val="en-AU"/>
        </w:rPr>
        <w:t>Use in Hepatic Impairment</w:t>
      </w:r>
    </w:p>
    <w:p w:rsidR="00A5171B" w:rsidRDefault="00A5171B" w:rsidP="00713097">
      <w:pPr>
        <w:tabs>
          <w:tab w:val="left" w:pos="7655"/>
          <w:tab w:val="left" w:pos="8647"/>
        </w:tabs>
        <w:ind w:right="-29"/>
        <w:rPr>
          <w:rFonts w:ascii="Arial" w:hAnsi="Arial" w:cs="Arial"/>
          <w:sz w:val="22"/>
        </w:rPr>
      </w:pPr>
      <w:r>
        <w:rPr>
          <w:rFonts w:ascii="Arial" w:hAnsi="Arial" w:cs="Arial"/>
          <w:sz w:val="22"/>
        </w:rPr>
        <w:t>As strontium ranelate is not metabolised, no dosage adjustment is required in patients with hepatic impairment.</w:t>
      </w:r>
    </w:p>
    <w:p w:rsidR="00A5171B" w:rsidRDefault="00A5171B" w:rsidP="00365AA3">
      <w:pPr>
        <w:pStyle w:val="Heading1"/>
      </w:pPr>
      <w:r>
        <w:t>OVERDOSAGE</w:t>
      </w:r>
    </w:p>
    <w:p w:rsidR="00A5171B" w:rsidRDefault="00A5171B" w:rsidP="00713097">
      <w:pPr>
        <w:tabs>
          <w:tab w:val="left" w:pos="7655"/>
          <w:tab w:val="left" w:pos="8647"/>
        </w:tabs>
        <w:ind w:right="-29"/>
        <w:rPr>
          <w:rFonts w:ascii="Arial" w:hAnsi="Arial" w:cs="Arial"/>
          <w:sz w:val="22"/>
        </w:rPr>
      </w:pPr>
      <w:r>
        <w:rPr>
          <w:rFonts w:ascii="Arial" w:hAnsi="Arial" w:cs="Arial"/>
          <w:sz w:val="22"/>
        </w:rPr>
        <w:t xml:space="preserve">Good tolerance was shown in a clinical study investigating the repeated administration of 4g strontium ranelate per day over 25 days in healthy postmenopausal women.  Single administration of doses up to 11g in healthy young male volunteers did not cause any particular symptoms. </w:t>
      </w:r>
    </w:p>
    <w:p w:rsidR="00A5171B" w:rsidRDefault="00A5171B" w:rsidP="00713097">
      <w:pPr>
        <w:tabs>
          <w:tab w:val="left" w:pos="7655"/>
        </w:tabs>
        <w:ind w:right="-29"/>
        <w:rPr>
          <w:rFonts w:ascii="Arial" w:hAnsi="Arial" w:cs="Arial"/>
          <w:sz w:val="22"/>
        </w:rPr>
      </w:pPr>
      <w:r>
        <w:rPr>
          <w:rFonts w:ascii="Arial" w:hAnsi="Arial" w:cs="Arial"/>
          <w:sz w:val="22"/>
        </w:rPr>
        <w:t>Following episodes of overdoses during clinical trials (up to 4g/day for a maximal duration of 147 days), no clinically relevant events were observed.</w:t>
      </w:r>
    </w:p>
    <w:p w:rsidR="00A5171B" w:rsidRDefault="00A5171B" w:rsidP="00713097">
      <w:pPr>
        <w:pStyle w:val="BodyText2"/>
        <w:tabs>
          <w:tab w:val="left" w:pos="7655"/>
          <w:tab w:val="left" w:pos="8647"/>
        </w:tabs>
        <w:ind w:left="0" w:right="-29" w:firstLine="0"/>
        <w:rPr>
          <w:rFonts w:ascii="Arial" w:hAnsi="Arial" w:cs="Arial"/>
          <w:b w:val="0"/>
          <w:lang w:val="en-AU"/>
        </w:rPr>
      </w:pPr>
      <w:r>
        <w:rPr>
          <w:rFonts w:ascii="Arial" w:hAnsi="Arial" w:cs="Arial"/>
          <w:b w:val="0"/>
          <w:lang w:val="en-AU"/>
        </w:rPr>
        <w:t>Administration of milk or antacids may be helpful to reduce the absorption of the drug.  In the event of substantial overdose, vomiting may be considered to remove unabsorbed drug.</w:t>
      </w:r>
    </w:p>
    <w:p w:rsidR="00A5171B" w:rsidRDefault="00A5171B" w:rsidP="00713097">
      <w:pPr>
        <w:tabs>
          <w:tab w:val="left" w:pos="-720"/>
          <w:tab w:val="left" w:pos="7655"/>
          <w:tab w:val="left" w:pos="8647"/>
        </w:tabs>
        <w:ind w:right="-29"/>
        <w:jc w:val="both"/>
        <w:rPr>
          <w:rFonts w:ascii="Arial" w:hAnsi="Arial" w:cs="Arial"/>
          <w:sz w:val="22"/>
        </w:rPr>
      </w:pPr>
      <w:r>
        <w:rPr>
          <w:rFonts w:ascii="Arial" w:hAnsi="Arial" w:cs="Arial"/>
          <w:sz w:val="22"/>
        </w:rPr>
        <w:t>Advice on overdose management can be obtained from the national Poisons Information Centre by telephoning 131126.</w:t>
      </w:r>
    </w:p>
    <w:p w:rsidR="00A5171B" w:rsidRDefault="00A5171B" w:rsidP="00365AA3">
      <w:pPr>
        <w:pStyle w:val="Heading1"/>
      </w:pPr>
      <w:r>
        <w:lastRenderedPageBreak/>
        <w:t>PRESENTATION</w:t>
      </w:r>
    </w:p>
    <w:p w:rsidR="00A5171B" w:rsidRDefault="00A5171B" w:rsidP="00713097">
      <w:pPr>
        <w:tabs>
          <w:tab w:val="left" w:pos="7655"/>
          <w:tab w:val="left" w:pos="8647"/>
        </w:tabs>
        <w:ind w:right="-29"/>
        <w:rPr>
          <w:rFonts w:ascii="Arial" w:hAnsi="Arial" w:cs="Arial"/>
          <w:sz w:val="22"/>
        </w:rPr>
      </w:pPr>
      <w:r>
        <w:rPr>
          <w:rFonts w:ascii="Arial" w:hAnsi="Arial" w:cs="Arial"/>
          <w:sz w:val="22"/>
        </w:rPr>
        <w:t>Granules for oral suspension.  PROTOS 2g sachets contain 2g strontium ranelate as a yellow powder.  Boxes contain 7 or 28 sachets (</w:t>
      </w:r>
      <w:r>
        <w:rPr>
          <w:rFonts w:ascii="Arial" w:eastAsia="MS Mincho" w:hAnsi="Arial" w:cs="Arial"/>
          <w:sz w:val="22"/>
          <w:lang w:eastAsia="fr-FR"/>
        </w:rPr>
        <w:t>paper/polyethylene/a</w:t>
      </w:r>
      <w:r w:rsidR="00C92AA8">
        <w:rPr>
          <w:rFonts w:ascii="Arial" w:eastAsia="MS Mincho" w:hAnsi="Arial" w:cs="Arial"/>
          <w:sz w:val="22"/>
          <w:lang w:eastAsia="fr-FR"/>
        </w:rPr>
        <w:t>luminium/polyethylene sachets).</w:t>
      </w:r>
    </w:p>
    <w:p w:rsidR="00A5171B" w:rsidRDefault="00A5171B" w:rsidP="00365AA3">
      <w:pPr>
        <w:pStyle w:val="Heading1"/>
      </w:pPr>
      <w:r>
        <w:t>STORAGE</w:t>
      </w:r>
    </w:p>
    <w:p w:rsidR="00A5171B" w:rsidRDefault="00A5171B" w:rsidP="00713097">
      <w:pPr>
        <w:tabs>
          <w:tab w:val="left" w:pos="-720"/>
          <w:tab w:val="left" w:pos="7655"/>
          <w:tab w:val="left" w:pos="8647"/>
        </w:tabs>
        <w:ind w:right="-29"/>
        <w:jc w:val="both"/>
        <w:rPr>
          <w:rFonts w:ascii="Arial" w:hAnsi="Arial" w:cs="Arial"/>
          <w:sz w:val="22"/>
        </w:rPr>
      </w:pPr>
      <w:r>
        <w:rPr>
          <w:rFonts w:ascii="Arial" w:hAnsi="Arial" w:cs="Arial"/>
          <w:sz w:val="22"/>
        </w:rPr>
        <w:t>St</w:t>
      </w:r>
      <w:r w:rsidR="00C92AA8">
        <w:rPr>
          <w:rFonts w:ascii="Arial" w:hAnsi="Arial" w:cs="Arial"/>
          <w:sz w:val="22"/>
        </w:rPr>
        <w:t>ore in a dry place below 30ºC.</w:t>
      </w:r>
    </w:p>
    <w:p w:rsidR="00A5171B" w:rsidRDefault="00A5171B" w:rsidP="00713097">
      <w:pPr>
        <w:tabs>
          <w:tab w:val="left" w:pos="-720"/>
          <w:tab w:val="left" w:pos="7655"/>
          <w:tab w:val="left" w:pos="8647"/>
        </w:tabs>
        <w:ind w:right="-29"/>
        <w:jc w:val="both"/>
        <w:rPr>
          <w:rFonts w:ascii="Arial" w:hAnsi="Arial" w:cs="Arial"/>
          <w:sz w:val="22"/>
        </w:rPr>
      </w:pPr>
      <w:r>
        <w:rPr>
          <w:rFonts w:ascii="Arial" w:hAnsi="Arial" w:cs="Arial"/>
          <w:sz w:val="22"/>
        </w:rPr>
        <w:t>Shelf life: three years in original packaging.  24 hours after suspension in drinking water.</w:t>
      </w:r>
    </w:p>
    <w:p w:rsidR="00A5171B" w:rsidRDefault="00A5171B" w:rsidP="00365AA3">
      <w:pPr>
        <w:pStyle w:val="Heading1"/>
      </w:pPr>
      <w:r>
        <w:t>POISONS SCHEDULE</w:t>
      </w:r>
    </w:p>
    <w:p w:rsidR="00A5171B" w:rsidRDefault="00A5171B" w:rsidP="00713097">
      <w:pPr>
        <w:tabs>
          <w:tab w:val="left" w:pos="-720"/>
          <w:tab w:val="left" w:pos="7655"/>
          <w:tab w:val="left" w:pos="8647"/>
        </w:tabs>
        <w:ind w:right="-29"/>
        <w:jc w:val="both"/>
        <w:rPr>
          <w:rFonts w:ascii="Arial" w:hAnsi="Arial" w:cs="Arial"/>
          <w:sz w:val="22"/>
        </w:rPr>
      </w:pPr>
      <w:r>
        <w:rPr>
          <w:rFonts w:ascii="Arial" w:hAnsi="Arial" w:cs="Arial"/>
          <w:sz w:val="22"/>
        </w:rPr>
        <w:t>S4</w:t>
      </w:r>
    </w:p>
    <w:p w:rsidR="00A5171B" w:rsidRDefault="00A5171B" w:rsidP="00365AA3">
      <w:pPr>
        <w:pStyle w:val="Heading1"/>
      </w:pPr>
      <w:r>
        <w:t>NAME AND ADDRESS OF THE SPONSOR</w:t>
      </w:r>
    </w:p>
    <w:p w:rsidR="00A5171B" w:rsidRDefault="00A5171B" w:rsidP="00C92AA8">
      <w:pPr>
        <w:tabs>
          <w:tab w:val="left" w:pos="-720"/>
          <w:tab w:val="left" w:pos="7655"/>
          <w:tab w:val="left" w:pos="8647"/>
        </w:tabs>
        <w:spacing w:before="0"/>
        <w:ind w:right="-28"/>
        <w:jc w:val="both"/>
        <w:rPr>
          <w:rFonts w:ascii="Arial" w:hAnsi="Arial" w:cs="Arial"/>
          <w:bCs/>
          <w:sz w:val="22"/>
        </w:rPr>
      </w:pPr>
      <w:r>
        <w:rPr>
          <w:rFonts w:ascii="Arial" w:hAnsi="Arial" w:cs="Arial"/>
          <w:bCs/>
          <w:sz w:val="22"/>
        </w:rPr>
        <w:t>SERVIER LABORATORIES (AUSTRALIA) PTY LTD</w:t>
      </w:r>
    </w:p>
    <w:p w:rsidR="00A5171B" w:rsidRDefault="00A5171B" w:rsidP="00C92AA8">
      <w:pPr>
        <w:tabs>
          <w:tab w:val="left" w:pos="-720"/>
          <w:tab w:val="left" w:pos="7655"/>
          <w:tab w:val="left" w:pos="8647"/>
        </w:tabs>
        <w:spacing w:before="0"/>
        <w:ind w:right="-28"/>
        <w:jc w:val="both"/>
        <w:rPr>
          <w:rFonts w:ascii="Arial" w:hAnsi="Arial" w:cs="Arial"/>
          <w:sz w:val="22"/>
        </w:rPr>
      </w:pPr>
      <w:r>
        <w:rPr>
          <w:rFonts w:ascii="Arial" w:hAnsi="Arial" w:cs="Arial"/>
          <w:sz w:val="22"/>
        </w:rPr>
        <w:t xml:space="preserve">8 Cato Street, </w:t>
      </w:r>
    </w:p>
    <w:p w:rsidR="00A5171B" w:rsidRDefault="00A5171B" w:rsidP="00C92AA8">
      <w:pPr>
        <w:tabs>
          <w:tab w:val="left" w:pos="-720"/>
          <w:tab w:val="left" w:pos="7655"/>
          <w:tab w:val="left" w:pos="8647"/>
        </w:tabs>
        <w:spacing w:before="0"/>
        <w:ind w:right="-28"/>
        <w:jc w:val="both"/>
        <w:rPr>
          <w:rFonts w:ascii="Arial" w:hAnsi="Arial" w:cs="Arial"/>
          <w:sz w:val="22"/>
        </w:rPr>
      </w:pPr>
      <w:r>
        <w:rPr>
          <w:rFonts w:ascii="Arial" w:hAnsi="Arial" w:cs="Arial"/>
          <w:sz w:val="22"/>
        </w:rPr>
        <w:t>Hawthorn, Victoria 3122</w:t>
      </w:r>
    </w:p>
    <w:p w:rsidR="00A5171B" w:rsidRDefault="00A5171B" w:rsidP="00C92AA8">
      <w:pPr>
        <w:tabs>
          <w:tab w:val="left" w:pos="-720"/>
          <w:tab w:val="left" w:pos="7655"/>
          <w:tab w:val="left" w:pos="8647"/>
        </w:tabs>
        <w:spacing w:before="0"/>
        <w:ind w:right="-28"/>
        <w:jc w:val="both"/>
        <w:rPr>
          <w:rFonts w:ascii="Arial" w:hAnsi="Arial" w:cs="Arial"/>
          <w:sz w:val="22"/>
        </w:rPr>
      </w:pPr>
      <w:r>
        <w:rPr>
          <w:rFonts w:ascii="Arial" w:hAnsi="Arial" w:cs="Arial"/>
          <w:sz w:val="22"/>
        </w:rPr>
        <w:t>Australia</w:t>
      </w:r>
    </w:p>
    <w:p w:rsidR="00A5171B" w:rsidRDefault="00A5171B" w:rsidP="00C92AA8">
      <w:pPr>
        <w:pStyle w:val="a"/>
        <w:tabs>
          <w:tab w:val="clear" w:pos="9071"/>
          <w:tab w:val="left" w:pos="709"/>
          <w:tab w:val="left" w:pos="7655"/>
          <w:tab w:val="left" w:pos="8647"/>
        </w:tabs>
        <w:ind w:right="-28"/>
        <w:rPr>
          <w:rFonts w:ascii="Arial" w:hAnsi="Arial" w:cs="Arial"/>
          <w:lang w:val="en-AU"/>
        </w:rPr>
      </w:pPr>
      <w:r>
        <w:rPr>
          <w:rFonts w:ascii="Arial" w:hAnsi="Arial" w:cs="Arial"/>
          <w:sz w:val="22"/>
          <w:lang w:val="en-AU"/>
        </w:rPr>
        <w:t>ABN 54 004 838 500</w:t>
      </w:r>
    </w:p>
    <w:p w:rsidR="00A5171B" w:rsidRDefault="00A5171B" w:rsidP="00C92AA8">
      <w:pPr>
        <w:tabs>
          <w:tab w:val="left" w:pos="7655"/>
        </w:tabs>
        <w:ind w:right="-28"/>
        <w:rPr>
          <w:rFonts w:ascii="Helvetica" w:hAnsi="Helvetica" w:cs="Arial"/>
          <w:sz w:val="22"/>
        </w:rPr>
      </w:pPr>
      <w:r>
        <w:rPr>
          <w:rFonts w:ascii="Helvetica" w:hAnsi="Helvetica" w:cs="Arial"/>
          <w:sz w:val="22"/>
        </w:rPr>
        <w:t xml:space="preserve">SERVIER LABORATORIES (NEW ZEALAND) LTD </w:t>
      </w:r>
    </w:p>
    <w:p w:rsidR="00A5171B" w:rsidRDefault="00A5171B" w:rsidP="00C92AA8">
      <w:pPr>
        <w:tabs>
          <w:tab w:val="left" w:pos="7655"/>
        </w:tabs>
        <w:spacing w:before="0"/>
        <w:ind w:right="-28"/>
        <w:rPr>
          <w:rFonts w:ascii="Helvetica" w:hAnsi="Helvetica" w:cs="Arial"/>
          <w:sz w:val="22"/>
        </w:rPr>
      </w:pPr>
      <w:r>
        <w:rPr>
          <w:rFonts w:ascii="Helvetica" w:hAnsi="Helvetica" w:cs="Arial"/>
          <w:sz w:val="22"/>
        </w:rPr>
        <w:t>12th Floor, Citibank Building</w:t>
      </w:r>
    </w:p>
    <w:p w:rsidR="00A5171B" w:rsidRDefault="00A5171B" w:rsidP="00C92AA8">
      <w:pPr>
        <w:tabs>
          <w:tab w:val="left" w:pos="7655"/>
        </w:tabs>
        <w:spacing w:before="0"/>
        <w:ind w:right="-28"/>
        <w:rPr>
          <w:rFonts w:ascii="Helvetica" w:hAnsi="Helvetica" w:cs="Arial"/>
          <w:sz w:val="22"/>
        </w:rPr>
      </w:pPr>
      <w:r>
        <w:rPr>
          <w:rFonts w:ascii="Helvetica" w:hAnsi="Helvetica" w:cs="Arial"/>
          <w:sz w:val="22"/>
        </w:rPr>
        <w:t>23 Customs Street</w:t>
      </w:r>
    </w:p>
    <w:p w:rsidR="00A5171B" w:rsidRDefault="00A5171B" w:rsidP="00C92AA8">
      <w:pPr>
        <w:tabs>
          <w:tab w:val="left" w:pos="7655"/>
        </w:tabs>
        <w:spacing w:before="0"/>
        <w:ind w:right="-28"/>
        <w:rPr>
          <w:rFonts w:ascii="Arial" w:hAnsi="Arial" w:cs="Arial"/>
          <w:sz w:val="22"/>
        </w:rPr>
      </w:pPr>
      <w:r>
        <w:rPr>
          <w:rFonts w:ascii="Helvetica" w:hAnsi="Helvetica" w:cs="Arial"/>
          <w:sz w:val="22"/>
        </w:rPr>
        <w:t>Auckland</w:t>
      </w:r>
    </w:p>
    <w:p w:rsidR="00A5171B" w:rsidRDefault="00A5171B" w:rsidP="00713097">
      <w:pPr>
        <w:tabs>
          <w:tab w:val="left" w:pos="-720"/>
          <w:tab w:val="left" w:pos="7655"/>
          <w:tab w:val="left" w:pos="8647"/>
        </w:tabs>
        <w:ind w:right="-29"/>
        <w:jc w:val="both"/>
        <w:rPr>
          <w:rFonts w:ascii="Arial" w:hAnsi="Arial" w:cs="Arial"/>
          <w:sz w:val="20"/>
        </w:rPr>
      </w:pPr>
      <w:r>
        <w:rPr>
          <w:rFonts w:ascii="Arial" w:hAnsi="Arial" w:cs="Arial"/>
          <w:b/>
          <w:bCs/>
        </w:rPr>
        <w:t>AUST R</w:t>
      </w:r>
      <w:r>
        <w:rPr>
          <w:rFonts w:ascii="Arial" w:hAnsi="Arial" w:cs="Arial"/>
          <w:sz w:val="20"/>
        </w:rPr>
        <w:t xml:space="preserve"> </w:t>
      </w:r>
      <w:r>
        <w:rPr>
          <w:rFonts w:ascii="Arial" w:hAnsi="Arial" w:cs="Arial"/>
          <w:sz w:val="22"/>
        </w:rPr>
        <w:t>99978</w:t>
      </w:r>
    </w:p>
    <w:p w:rsidR="009C033B" w:rsidRPr="00C92AA8" w:rsidRDefault="009C033B" w:rsidP="00107DB3">
      <w:pPr>
        <w:autoSpaceDE w:val="0"/>
        <w:autoSpaceDN w:val="0"/>
        <w:adjustRightInd w:val="0"/>
        <w:ind w:right="-29"/>
        <w:rPr>
          <w:rFonts w:ascii="Arial" w:hAnsi="Arial" w:cs="Arial"/>
          <w:b/>
          <w:bCs/>
          <w:sz w:val="22"/>
          <w:szCs w:val="22"/>
          <w:u w:val="single"/>
          <w:lang w:eastAsia="en-AU"/>
        </w:rPr>
      </w:pPr>
      <w:r w:rsidRPr="00107DB3">
        <w:rPr>
          <w:rFonts w:ascii="Arial" w:hAnsi="Arial" w:cs="Arial"/>
          <w:b/>
          <w:bCs/>
          <w:sz w:val="22"/>
          <w:szCs w:val="22"/>
          <w:lang w:eastAsia="en-AU"/>
        </w:rPr>
        <w:t>DATE OF FIRST INCLUSION IN THE AUSTRALIAN REGISTER OF THERAPEUTIC GOODS (THE ARTG)</w:t>
      </w:r>
    </w:p>
    <w:p w:rsidR="00A5171B" w:rsidRPr="00C92AA8" w:rsidRDefault="00760A66" w:rsidP="00107DB3">
      <w:pPr>
        <w:tabs>
          <w:tab w:val="left" w:pos="-720"/>
          <w:tab w:val="left" w:pos="8647"/>
        </w:tabs>
        <w:ind w:right="-29"/>
        <w:jc w:val="both"/>
        <w:rPr>
          <w:rFonts w:ascii="Helvetica" w:hAnsi="Helvetica" w:cs="Arial"/>
          <w:sz w:val="22"/>
          <w:szCs w:val="22"/>
        </w:rPr>
      </w:pPr>
      <w:r w:rsidRPr="00C92AA8">
        <w:rPr>
          <w:rFonts w:ascii="Helvetica" w:hAnsi="Helvetica" w:cs="Arial"/>
          <w:sz w:val="22"/>
          <w:szCs w:val="22"/>
        </w:rPr>
        <w:t>21 June 2005</w:t>
      </w:r>
    </w:p>
    <w:p w:rsidR="006F0ED6" w:rsidRDefault="009C033B" w:rsidP="00107DB3">
      <w:pPr>
        <w:tabs>
          <w:tab w:val="left" w:pos="-720"/>
          <w:tab w:val="left" w:pos="7655"/>
          <w:tab w:val="left" w:pos="8647"/>
        </w:tabs>
        <w:ind w:right="-29"/>
        <w:jc w:val="both"/>
        <w:rPr>
          <w:rFonts w:ascii="Helvetica" w:hAnsi="Helvetica" w:cs="Arial"/>
          <w:b/>
          <w:sz w:val="22"/>
        </w:rPr>
      </w:pPr>
      <w:r w:rsidRPr="00107DB3">
        <w:rPr>
          <w:rFonts w:ascii="Helvetica" w:hAnsi="Helvetica" w:cs="Arial"/>
          <w:b/>
          <w:sz w:val="22"/>
        </w:rPr>
        <w:t>DATE OF MOST RECENT AMENDMENT</w:t>
      </w:r>
    </w:p>
    <w:p w:rsidR="004B63F6" w:rsidRPr="004B63F6" w:rsidRDefault="004B63F6" w:rsidP="00107DB3">
      <w:pPr>
        <w:tabs>
          <w:tab w:val="left" w:pos="-720"/>
          <w:tab w:val="left" w:pos="7655"/>
          <w:tab w:val="left" w:pos="8647"/>
        </w:tabs>
        <w:ind w:right="-29"/>
        <w:jc w:val="both"/>
      </w:pPr>
      <w:r w:rsidRPr="004B63F6">
        <w:rPr>
          <w:rFonts w:ascii="Helvetica" w:hAnsi="Helvetica" w:cs="Arial"/>
          <w:sz w:val="22"/>
        </w:rPr>
        <w:t>4 May 2012</w:t>
      </w:r>
    </w:p>
    <w:sectPr w:rsidR="004B63F6" w:rsidRPr="004B63F6" w:rsidSect="00107DB3">
      <w:headerReference w:type="even" r:id="rId9"/>
      <w:headerReference w:type="default" r:id="rId10"/>
      <w:footerReference w:type="default" r:id="rId11"/>
      <w:headerReference w:type="first" r:id="rId12"/>
      <w:footerReference w:type="first" r:id="rId13"/>
      <w:footnotePr>
        <w:numFmt w:val="chicago"/>
        <w:numStart w:val="4"/>
      </w:footnotePr>
      <w:endnotePr>
        <w:numFmt w:val="decimal"/>
      </w:endnotePr>
      <w:pgSz w:w="11907" w:h="16840" w:code="9"/>
      <w:pgMar w:top="1134" w:right="1559" w:bottom="709" w:left="1304" w:header="567" w:footer="56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0AA" w:rsidRDefault="007200AA">
      <w:r>
        <w:separator/>
      </w:r>
    </w:p>
  </w:endnote>
  <w:endnote w:type="continuationSeparator" w:id="0">
    <w:p w:rsidR="007200AA" w:rsidRDefault="007200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altName w:val="Arial Unicode MS"/>
    <w:panose1 w:val="00000000000000000000"/>
    <w:charset w:val="00"/>
    <w:family w:val="roman"/>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40" w:rsidRPr="009118FF" w:rsidRDefault="00F72D40" w:rsidP="009118FF">
    <w:pPr>
      <w:pStyle w:val="Footer"/>
      <w:pBdr>
        <w:top w:val="single" w:sz="4" w:space="1" w:color="auto"/>
      </w:pBdr>
      <w:rPr>
        <w:rFonts w:ascii="Arial" w:hAnsi="Arial" w:cs="Arial"/>
        <w:sz w:val="22"/>
        <w:szCs w:val="22"/>
      </w:rPr>
    </w:pPr>
    <w:r w:rsidRPr="009118FF">
      <w:rPr>
        <w:rFonts w:ascii="Arial" w:hAnsi="Arial" w:cs="Arial"/>
        <w:sz w:val="22"/>
        <w:szCs w:val="22"/>
      </w:rPr>
      <w:t xml:space="preserve">Version </w:t>
    </w:r>
    <w:r>
      <w:rPr>
        <w:rFonts w:ascii="Arial" w:hAnsi="Arial" w:cs="Arial"/>
        <w:sz w:val="22"/>
        <w:szCs w:val="22"/>
      </w:rPr>
      <w:t>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40" w:rsidRDefault="00F72D40">
    <w:pPr>
      <w:pStyle w:val="Footer"/>
      <w:jc w:val="center"/>
      <w:rPr>
        <w:rFonts w:ascii="Arial Narrow" w:hAnsi="Arial Narrow"/>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0AA" w:rsidRDefault="007200AA">
      <w:r>
        <w:rPr>
          <w:rFonts w:ascii="Courier" w:hAnsi="Courier"/>
        </w:rPr>
        <w:separator/>
      </w:r>
    </w:p>
  </w:footnote>
  <w:footnote w:type="continuationSeparator" w:id="0">
    <w:p w:rsidR="007200AA" w:rsidRDefault="007200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40" w:rsidRDefault="00F72D40">
    <w:pPr>
      <w:tabs>
        <w:tab w:val="center" w:pos="4513"/>
        <w:tab w:val="right" w:pos="9026"/>
      </w:tabs>
    </w:pPr>
    <w:r>
      <w:rPr>
        <w:rFonts w:ascii="Courier" w:hAnsi="Courier"/>
      </w:rPr>
      <w:tab/>
    </w:r>
    <w:fldSimple w:instr="PAGE \* ARABIC">
      <w:r>
        <w:rPr>
          <w:noProof/>
        </w:rPr>
        <w:t>4</w:t>
      </w:r>
    </w:fldSimple>
  </w:p>
  <w:p w:rsidR="00F72D40" w:rsidRDefault="00F72D40">
    <w:pPr>
      <w:spacing w:after="480" w:line="-1" w:lineRule="auto"/>
      <w:rPr>
        <w:rFonts w:ascii="Courier" w:hAnsi="Courie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40" w:rsidRDefault="00F72D40">
    <w:pPr>
      <w:pStyle w:val="Header"/>
      <w:tabs>
        <w:tab w:val="clear" w:pos="4320"/>
        <w:tab w:val="clear" w:pos="8640"/>
      </w:tabs>
      <w:rPr>
        <w:rFonts w:ascii="Arial" w:hAnsi="Arial" w:cs="Arial"/>
        <w:iCs/>
        <w:sz w:val="20"/>
      </w:rPr>
    </w:pPr>
    <w:r>
      <w:rPr>
        <w:rFonts w:ascii="Arial" w:hAnsi="Arial" w:cs="Arial"/>
        <w:b/>
        <w:bCs/>
        <w:iCs/>
        <w:sz w:val="20"/>
      </w:rPr>
      <w:t>PROTOS</w:t>
    </w:r>
    <w:r>
      <w:rPr>
        <w:rFonts w:ascii="Arial" w:hAnsi="Arial" w:cs="Arial"/>
        <w:b/>
        <w:bCs/>
        <w:i/>
        <w:iCs/>
        <w:sz w:val="20"/>
        <w:vertAlign w:val="superscript"/>
        <w:lang w:val="de-DE"/>
      </w:rPr>
      <w:t>®</w:t>
    </w:r>
    <w:r>
      <w:rPr>
        <w:rFonts w:ascii="Arial" w:hAnsi="Arial" w:cs="Arial"/>
        <w:b/>
        <w:bCs/>
        <w:iCs/>
        <w:sz w:val="20"/>
      </w:rPr>
      <w:t xml:space="preserve"> 2g – Product Information</w:t>
    </w:r>
    <w:r>
      <w:rPr>
        <w:rFonts w:cs="Arial"/>
        <w:iCs/>
        <w:sz w:val="20"/>
      </w:rPr>
      <w:tab/>
    </w:r>
    <w:r>
      <w:rPr>
        <w:rFonts w:cs="Arial"/>
        <w:iCs/>
        <w:sz w:val="20"/>
      </w:rPr>
      <w:tab/>
    </w:r>
    <w:r>
      <w:rPr>
        <w:rFonts w:cs="Arial"/>
        <w:iCs/>
        <w:sz w:val="20"/>
      </w:rPr>
      <w:tab/>
    </w:r>
    <w:r>
      <w:rPr>
        <w:rFonts w:cs="Arial"/>
        <w:iCs/>
        <w:sz w:val="20"/>
      </w:rPr>
      <w:tab/>
    </w:r>
    <w:r>
      <w:rPr>
        <w:rFonts w:ascii="Arial" w:hAnsi="Arial" w:cs="Arial"/>
        <w:iCs/>
        <w:sz w:val="20"/>
      </w:rPr>
      <w:tab/>
      <w:t xml:space="preserve">           </w:t>
    </w:r>
    <w:r>
      <w:rPr>
        <w:rFonts w:ascii="Arial" w:hAnsi="Arial" w:cs="Arial"/>
        <w:iCs/>
        <w:sz w:val="20"/>
      </w:rPr>
      <w:tab/>
    </w:r>
    <w:r>
      <w:rPr>
        <w:rFonts w:ascii="Arial" w:hAnsi="Arial" w:cs="Arial"/>
        <w:iCs/>
        <w:sz w:val="20"/>
      </w:rPr>
      <w:tab/>
    </w:r>
    <w:r>
      <w:rPr>
        <w:rFonts w:ascii="Arial" w:hAnsi="Arial" w:cs="Arial"/>
        <w:iCs/>
        <w:sz w:val="20"/>
      </w:rPr>
      <w:fldChar w:fldCharType="begin"/>
    </w:r>
    <w:r>
      <w:rPr>
        <w:rFonts w:ascii="Arial" w:hAnsi="Arial" w:cs="Arial"/>
        <w:iCs/>
        <w:sz w:val="20"/>
      </w:rPr>
      <w:instrText xml:space="preserve"> PAGE  \* MERGEFORMAT </w:instrText>
    </w:r>
    <w:r>
      <w:rPr>
        <w:rFonts w:ascii="Arial" w:hAnsi="Arial" w:cs="Arial"/>
        <w:iCs/>
        <w:sz w:val="20"/>
      </w:rPr>
      <w:fldChar w:fldCharType="separate"/>
    </w:r>
    <w:r w:rsidR="00E141BD">
      <w:rPr>
        <w:rFonts w:ascii="Arial" w:hAnsi="Arial" w:cs="Arial"/>
        <w:iCs/>
        <w:noProof/>
        <w:sz w:val="20"/>
      </w:rPr>
      <w:t>2</w:t>
    </w:r>
    <w:r>
      <w:rPr>
        <w:rFonts w:ascii="Arial" w:hAnsi="Arial" w:cs="Arial"/>
        <w:iCs/>
        <w:sz w:val="20"/>
      </w:rPr>
      <w:fldChar w:fldCharType="end"/>
    </w:r>
    <w:r>
      <w:rPr>
        <w:rFonts w:ascii="Arial" w:hAnsi="Arial" w:cs="Arial"/>
        <w:iCs/>
        <w:sz w:val="20"/>
      </w:rPr>
      <w:t xml:space="preserve">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sidR="00E141BD">
      <w:rPr>
        <w:rStyle w:val="PageNumber"/>
        <w:rFonts w:ascii="Arial" w:hAnsi="Arial" w:cs="Arial"/>
        <w:noProof/>
        <w:sz w:val="20"/>
      </w:rPr>
      <w:t>16</w:t>
    </w:r>
    <w:r>
      <w:rPr>
        <w:rStyle w:val="PageNumber"/>
        <w:rFonts w:ascii="Arial" w:hAnsi="Arial" w:cs="Arial"/>
        <w:sz w:val="20"/>
      </w:rPr>
      <w:fldChar w:fldCharType="end"/>
    </w:r>
    <w:r>
      <w:rPr>
        <w:rFonts w:ascii="Arial" w:hAnsi="Arial" w:cs="Arial"/>
        <w:iCs/>
        <w:sz w:val="20"/>
      </w:rPr>
      <w:t>)</w:t>
    </w:r>
  </w:p>
  <w:p w:rsidR="00F72D40" w:rsidRPr="00F72D40" w:rsidRDefault="00F72D40" w:rsidP="00F72D40">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 w:val="20"/>
      </w:rPr>
    </w:pPr>
    <w:r w:rsidRPr="00F72D40">
      <w:rPr>
        <w:rFonts w:ascii="Cambria" w:hAnsi="Cambria"/>
        <w:b/>
        <w:sz w:val="20"/>
      </w:rPr>
      <w:t>Attachment 1: Product information for AusPAR Protos Strontium ranelate Servier Laboratories (Australia) Pty Ltd PM-2011-00498-3-5 Final 7 January 2013. This Product Information was approved at the time this AusPAR was published.</w:t>
    </w:r>
  </w:p>
  <w:p w:rsidR="00F72D40" w:rsidRDefault="00F72D40" w:rsidP="00A10DD3">
    <w:pPr>
      <w:pStyle w:val="Header"/>
      <w:pBdr>
        <w:bottom w:val="single" w:sz="4" w:space="1" w:color="auto"/>
      </w:pBdr>
      <w:spacing w:before="0"/>
      <w:rPr>
        <w:rFonts w:ascii="Arial" w:hAnsi="Arial" w:cs="Arial"/>
        <w:sz w:val="20"/>
      </w:rPr>
    </w:pPr>
  </w:p>
  <w:p w:rsidR="00F72D40" w:rsidRDefault="00F72D40" w:rsidP="00A10DD3">
    <w:pPr>
      <w:pStyle w:val="Header"/>
      <w:spacing w:befor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D40" w:rsidRDefault="00F72D40">
    <w:pPr>
      <w:pStyle w:val="Header"/>
      <w:jc w:val="center"/>
    </w:pPr>
  </w:p>
  <w:p w:rsidR="00F72D40" w:rsidRDefault="00F72D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2C90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D8ABF7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8E00E88"/>
    <w:lvl w:ilvl="0">
      <w:start w:val="1"/>
      <w:numFmt w:val="decimal"/>
      <w:pStyle w:val="ListNumber3"/>
      <w:lvlText w:val="%1."/>
      <w:lvlJc w:val="left"/>
      <w:pPr>
        <w:tabs>
          <w:tab w:val="num" w:pos="926"/>
        </w:tabs>
        <w:ind w:left="926" w:hanging="360"/>
      </w:pPr>
    </w:lvl>
  </w:abstractNum>
  <w:abstractNum w:abstractNumId="3">
    <w:nsid w:val="FFFFFF7F"/>
    <w:multiLevelType w:val="singleLevel"/>
    <w:tmpl w:val="73C6FB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B48607C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5FAE9B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B34DB9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7BB42DA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B0A2676"/>
    <w:lvl w:ilvl="0">
      <w:start w:val="1"/>
      <w:numFmt w:val="decimal"/>
      <w:pStyle w:val="ListNumber"/>
      <w:lvlText w:val="%1."/>
      <w:lvlJc w:val="left"/>
      <w:pPr>
        <w:tabs>
          <w:tab w:val="num" w:pos="360"/>
        </w:tabs>
        <w:ind w:left="360" w:hanging="360"/>
      </w:pPr>
    </w:lvl>
  </w:abstractNum>
  <w:abstractNum w:abstractNumId="9">
    <w:nsid w:val="FFFFFF89"/>
    <w:multiLevelType w:val="singleLevel"/>
    <w:tmpl w:val="E0303F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73C45C2"/>
    <w:multiLevelType w:val="hybridMultilevel"/>
    <w:tmpl w:val="F15E48D6"/>
    <w:lvl w:ilvl="0" w:tplc="71CC2F0A">
      <w:start w:val="1"/>
      <w:numFmt w:val="decimal"/>
      <w:lvlText w:val="(%1)"/>
      <w:lvlJc w:val="left"/>
      <w:pPr>
        <w:tabs>
          <w:tab w:val="num" w:pos="1004"/>
        </w:tabs>
        <w:ind w:left="1004" w:hanging="360"/>
      </w:pPr>
      <w:rPr>
        <w:rFonts w:hint="default"/>
      </w:r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
    <w:nsid w:val="4F48465D"/>
    <w:multiLevelType w:val="hybridMultilevel"/>
    <w:tmpl w:val="EAFE9B1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F1325"/>
    <w:multiLevelType w:val="hybridMultilevel"/>
    <w:tmpl w:val="740EC87A"/>
    <w:lvl w:ilvl="0" w:tplc="82BE37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221716"/>
    <w:multiLevelType w:val="hybridMultilevel"/>
    <w:tmpl w:val="146E08A0"/>
    <w:lvl w:ilvl="0" w:tplc="DD1AD234">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8F3982"/>
    <w:multiLevelType w:val="singleLevel"/>
    <w:tmpl w:val="FEEA03C8"/>
    <w:lvl w:ilvl="0">
      <w:start w:val="3"/>
      <w:numFmt w:val="bullet"/>
      <w:lvlText w:val="-"/>
      <w:lvlJc w:val="left"/>
      <w:pPr>
        <w:tabs>
          <w:tab w:val="num" w:pos="434"/>
        </w:tabs>
        <w:ind w:left="434" w:hanging="360"/>
      </w:pPr>
      <w:rPr>
        <w:rFonts w:hint="default"/>
      </w:rPr>
    </w:lvl>
  </w:abstractNum>
  <w:abstractNum w:abstractNumId="15">
    <w:nsid w:val="66702F9E"/>
    <w:multiLevelType w:val="hybridMultilevel"/>
    <w:tmpl w:val="EAEE6E9A"/>
    <w:lvl w:ilvl="0" w:tplc="8EF0FB4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699410E"/>
    <w:multiLevelType w:val="hybridMultilevel"/>
    <w:tmpl w:val="F88A6E64"/>
    <w:lvl w:ilvl="0" w:tplc="FFFFFFFF">
      <w:start w:val="1"/>
      <w:numFmt w:val="bullet"/>
      <w:lvlText w:val="-"/>
      <w:lvlJc w:val="left"/>
      <w:pPr>
        <w:tabs>
          <w:tab w:val="num" w:pos="780"/>
        </w:tabs>
        <w:ind w:left="780" w:hanging="360"/>
      </w:pPr>
      <w:rPr>
        <w:rFonts w:ascii="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7">
    <w:nsid w:val="759E01DD"/>
    <w:multiLevelType w:val="hybridMultilevel"/>
    <w:tmpl w:val="40821538"/>
    <w:lvl w:ilvl="0" w:tplc="EA182D10">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4"/>
  </w:num>
  <w:num w:numId="3">
    <w:abstractNumId w:val="16"/>
  </w:num>
  <w:num w:numId="4">
    <w:abstractNumId w:val="1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1"/>
  </w:num>
  <w:num w:numId="16">
    <w:abstractNumId w:val="12"/>
  </w:num>
  <w:num w:numId="17">
    <w:abstractNumId w:val="1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Fmt w:val="chicago"/>
    <w:numStart w:val="4"/>
    <w:footnote w:id="-1"/>
    <w:footnote w:id="0"/>
  </w:footnotePr>
  <w:endnotePr>
    <w:numFmt w:val="decimal"/>
    <w:endnote w:id="-1"/>
    <w:endnote w:id="0"/>
  </w:endnotePr>
  <w:compat/>
  <w:rsids>
    <w:rsidRoot w:val="00A5171B"/>
    <w:rsid w:val="0001579E"/>
    <w:rsid w:val="00051544"/>
    <w:rsid w:val="00055945"/>
    <w:rsid w:val="0005777A"/>
    <w:rsid w:val="000703AF"/>
    <w:rsid w:val="00095B83"/>
    <w:rsid w:val="000A35F5"/>
    <w:rsid w:val="000A541F"/>
    <w:rsid w:val="000C0F15"/>
    <w:rsid w:val="000D2B73"/>
    <w:rsid w:val="000E5B5F"/>
    <w:rsid w:val="00107DB3"/>
    <w:rsid w:val="0011090E"/>
    <w:rsid w:val="001246B7"/>
    <w:rsid w:val="001402A6"/>
    <w:rsid w:val="00143518"/>
    <w:rsid w:val="00151F22"/>
    <w:rsid w:val="00181EBA"/>
    <w:rsid w:val="00184312"/>
    <w:rsid w:val="001B361B"/>
    <w:rsid w:val="001C28FD"/>
    <w:rsid w:val="001E22F0"/>
    <w:rsid w:val="0022647A"/>
    <w:rsid w:val="00240125"/>
    <w:rsid w:val="00240A39"/>
    <w:rsid w:val="00242798"/>
    <w:rsid w:val="00265218"/>
    <w:rsid w:val="00296E40"/>
    <w:rsid w:val="002A1071"/>
    <w:rsid w:val="002B1153"/>
    <w:rsid w:val="002B7545"/>
    <w:rsid w:val="002C243C"/>
    <w:rsid w:val="002D35B1"/>
    <w:rsid w:val="002E21EF"/>
    <w:rsid w:val="00302203"/>
    <w:rsid w:val="00307FD8"/>
    <w:rsid w:val="00322753"/>
    <w:rsid w:val="00335C9B"/>
    <w:rsid w:val="00342D23"/>
    <w:rsid w:val="0034434D"/>
    <w:rsid w:val="00365AA3"/>
    <w:rsid w:val="0038411D"/>
    <w:rsid w:val="00391B1E"/>
    <w:rsid w:val="003A4350"/>
    <w:rsid w:val="003B316F"/>
    <w:rsid w:val="003B409B"/>
    <w:rsid w:val="003D44BC"/>
    <w:rsid w:val="003E5B1D"/>
    <w:rsid w:val="003F1236"/>
    <w:rsid w:val="003F2F7B"/>
    <w:rsid w:val="003F7B5C"/>
    <w:rsid w:val="00401012"/>
    <w:rsid w:val="00450A7C"/>
    <w:rsid w:val="00456F48"/>
    <w:rsid w:val="00462B02"/>
    <w:rsid w:val="004756A0"/>
    <w:rsid w:val="004831E4"/>
    <w:rsid w:val="00491CC2"/>
    <w:rsid w:val="00493DC5"/>
    <w:rsid w:val="004943C8"/>
    <w:rsid w:val="004A1703"/>
    <w:rsid w:val="004A7C63"/>
    <w:rsid w:val="004B63F6"/>
    <w:rsid w:val="004C095D"/>
    <w:rsid w:val="004C22DA"/>
    <w:rsid w:val="004C7846"/>
    <w:rsid w:val="004E3BAE"/>
    <w:rsid w:val="004F0097"/>
    <w:rsid w:val="005117CB"/>
    <w:rsid w:val="00517C4D"/>
    <w:rsid w:val="00523E40"/>
    <w:rsid w:val="005302B9"/>
    <w:rsid w:val="00546D5C"/>
    <w:rsid w:val="00550B8B"/>
    <w:rsid w:val="0055203B"/>
    <w:rsid w:val="00556662"/>
    <w:rsid w:val="00576263"/>
    <w:rsid w:val="005B5E50"/>
    <w:rsid w:val="005C4B48"/>
    <w:rsid w:val="005D0FA0"/>
    <w:rsid w:val="005E2040"/>
    <w:rsid w:val="005E41E6"/>
    <w:rsid w:val="005F4002"/>
    <w:rsid w:val="00610BE1"/>
    <w:rsid w:val="006207CE"/>
    <w:rsid w:val="00636CA7"/>
    <w:rsid w:val="0066536B"/>
    <w:rsid w:val="0066786A"/>
    <w:rsid w:val="0067035B"/>
    <w:rsid w:val="00675BF2"/>
    <w:rsid w:val="006829AA"/>
    <w:rsid w:val="0068641C"/>
    <w:rsid w:val="00687075"/>
    <w:rsid w:val="00695647"/>
    <w:rsid w:val="00697580"/>
    <w:rsid w:val="006A737E"/>
    <w:rsid w:val="006C5A26"/>
    <w:rsid w:val="006E283D"/>
    <w:rsid w:val="006F04F0"/>
    <w:rsid w:val="006F0ED6"/>
    <w:rsid w:val="00713097"/>
    <w:rsid w:val="007200AA"/>
    <w:rsid w:val="00726864"/>
    <w:rsid w:val="00743B2B"/>
    <w:rsid w:val="00747A66"/>
    <w:rsid w:val="007500D2"/>
    <w:rsid w:val="00751C6D"/>
    <w:rsid w:val="007540AF"/>
    <w:rsid w:val="00760A66"/>
    <w:rsid w:val="00761E74"/>
    <w:rsid w:val="00762902"/>
    <w:rsid w:val="007639DB"/>
    <w:rsid w:val="00776980"/>
    <w:rsid w:val="00790F40"/>
    <w:rsid w:val="007955DB"/>
    <w:rsid w:val="007955E3"/>
    <w:rsid w:val="00795E13"/>
    <w:rsid w:val="007B07DB"/>
    <w:rsid w:val="007B166F"/>
    <w:rsid w:val="007D368D"/>
    <w:rsid w:val="007E05A6"/>
    <w:rsid w:val="007F2E74"/>
    <w:rsid w:val="00802EEC"/>
    <w:rsid w:val="00817EE1"/>
    <w:rsid w:val="00821CAC"/>
    <w:rsid w:val="0082609B"/>
    <w:rsid w:val="008529C4"/>
    <w:rsid w:val="00863DA9"/>
    <w:rsid w:val="008853C4"/>
    <w:rsid w:val="00886646"/>
    <w:rsid w:val="00890497"/>
    <w:rsid w:val="00892936"/>
    <w:rsid w:val="008A052F"/>
    <w:rsid w:val="008A38CF"/>
    <w:rsid w:val="008B68B9"/>
    <w:rsid w:val="008C713C"/>
    <w:rsid w:val="008D51CB"/>
    <w:rsid w:val="008E68AF"/>
    <w:rsid w:val="008F06FF"/>
    <w:rsid w:val="009118FF"/>
    <w:rsid w:val="009517A6"/>
    <w:rsid w:val="0095210E"/>
    <w:rsid w:val="009A278E"/>
    <w:rsid w:val="009C033B"/>
    <w:rsid w:val="009C1BA8"/>
    <w:rsid w:val="009C36BF"/>
    <w:rsid w:val="009E2B56"/>
    <w:rsid w:val="009E30EA"/>
    <w:rsid w:val="009F65BF"/>
    <w:rsid w:val="00A04B8E"/>
    <w:rsid w:val="00A10DD3"/>
    <w:rsid w:val="00A152C7"/>
    <w:rsid w:val="00A22A82"/>
    <w:rsid w:val="00A23AFF"/>
    <w:rsid w:val="00A32ABF"/>
    <w:rsid w:val="00A43AD0"/>
    <w:rsid w:val="00A47F92"/>
    <w:rsid w:val="00A5171B"/>
    <w:rsid w:val="00A61A97"/>
    <w:rsid w:val="00AA7607"/>
    <w:rsid w:val="00AB6F61"/>
    <w:rsid w:val="00AE4302"/>
    <w:rsid w:val="00B040FD"/>
    <w:rsid w:val="00B226AC"/>
    <w:rsid w:val="00B41BAF"/>
    <w:rsid w:val="00B4585E"/>
    <w:rsid w:val="00B62483"/>
    <w:rsid w:val="00B7782A"/>
    <w:rsid w:val="00B80535"/>
    <w:rsid w:val="00B85232"/>
    <w:rsid w:val="00B85D47"/>
    <w:rsid w:val="00B96FF8"/>
    <w:rsid w:val="00BC03AF"/>
    <w:rsid w:val="00BC09C6"/>
    <w:rsid w:val="00BC63A7"/>
    <w:rsid w:val="00BE602E"/>
    <w:rsid w:val="00BF670A"/>
    <w:rsid w:val="00C0018D"/>
    <w:rsid w:val="00C00953"/>
    <w:rsid w:val="00C11960"/>
    <w:rsid w:val="00C2309B"/>
    <w:rsid w:val="00C23964"/>
    <w:rsid w:val="00C23E93"/>
    <w:rsid w:val="00C43472"/>
    <w:rsid w:val="00C87E83"/>
    <w:rsid w:val="00C92AA8"/>
    <w:rsid w:val="00CC65D3"/>
    <w:rsid w:val="00CD6DDB"/>
    <w:rsid w:val="00D5217D"/>
    <w:rsid w:val="00D56F83"/>
    <w:rsid w:val="00D63EA1"/>
    <w:rsid w:val="00D71286"/>
    <w:rsid w:val="00D92AC4"/>
    <w:rsid w:val="00DA6C07"/>
    <w:rsid w:val="00DC5A20"/>
    <w:rsid w:val="00DC7789"/>
    <w:rsid w:val="00DD5902"/>
    <w:rsid w:val="00DD782A"/>
    <w:rsid w:val="00E11CF4"/>
    <w:rsid w:val="00E141BD"/>
    <w:rsid w:val="00E40B16"/>
    <w:rsid w:val="00E47065"/>
    <w:rsid w:val="00E65DB5"/>
    <w:rsid w:val="00E81DF3"/>
    <w:rsid w:val="00E9685F"/>
    <w:rsid w:val="00EA0D43"/>
    <w:rsid w:val="00EB5336"/>
    <w:rsid w:val="00ED1EC0"/>
    <w:rsid w:val="00F16451"/>
    <w:rsid w:val="00F20716"/>
    <w:rsid w:val="00F23FEB"/>
    <w:rsid w:val="00F373B6"/>
    <w:rsid w:val="00F560FB"/>
    <w:rsid w:val="00F65DBA"/>
    <w:rsid w:val="00F67FA7"/>
    <w:rsid w:val="00F72D40"/>
    <w:rsid w:val="00F75697"/>
    <w:rsid w:val="00F96A7D"/>
    <w:rsid w:val="00FA2BC0"/>
    <w:rsid w:val="00FA56A8"/>
    <w:rsid w:val="00FB464F"/>
    <w:rsid w:val="00FC3192"/>
    <w:rsid w:val="00FD2911"/>
    <w:rsid w:val="00FF4AA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AA3"/>
    <w:pPr>
      <w:spacing w:before="240"/>
    </w:pPr>
    <w:rPr>
      <w:rFonts w:ascii="Tms Rmn" w:hAnsi="Tms Rmn"/>
      <w:sz w:val="24"/>
      <w:lang w:eastAsia="en-US"/>
    </w:rPr>
  </w:style>
  <w:style w:type="paragraph" w:styleId="Heading1">
    <w:name w:val="heading 1"/>
    <w:aliases w:val="D70AR,Info rubrik 1,titel 1"/>
    <w:basedOn w:val="Normal"/>
    <w:next w:val="Normal"/>
    <w:qFormat/>
    <w:rsid w:val="00365AA3"/>
    <w:pPr>
      <w:keepNext/>
      <w:tabs>
        <w:tab w:val="left" w:pos="7655"/>
      </w:tabs>
      <w:ind w:right="-28"/>
      <w:jc w:val="both"/>
      <w:outlineLvl w:val="0"/>
    </w:pPr>
    <w:rPr>
      <w:rFonts w:ascii="Arial" w:hAnsi="Arial" w:cs="Arial"/>
      <w:b/>
      <w:bCs/>
      <w:iCs/>
    </w:rPr>
  </w:style>
  <w:style w:type="paragraph" w:styleId="Heading2">
    <w:name w:val="heading 2"/>
    <w:aliases w:val="D70AR2"/>
    <w:basedOn w:val="Normal"/>
    <w:next w:val="Normal"/>
    <w:qFormat/>
    <w:pPr>
      <w:keepNext/>
      <w:tabs>
        <w:tab w:val="left" w:pos="-720"/>
      </w:tabs>
      <w:jc w:val="both"/>
      <w:outlineLvl w:val="1"/>
    </w:pPr>
    <w:rPr>
      <w:b/>
      <w:bCs/>
    </w:rPr>
  </w:style>
  <w:style w:type="paragraph" w:styleId="Heading3">
    <w:name w:val="heading 3"/>
    <w:basedOn w:val="Normal"/>
    <w:next w:val="Normal"/>
    <w:qFormat/>
    <w:pPr>
      <w:keepNext/>
      <w:outlineLvl w:val="2"/>
    </w:pPr>
    <w:rPr>
      <w:b/>
      <w:bCs/>
      <w:lang w:val="en-GB"/>
    </w:rPr>
  </w:style>
  <w:style w:type="paragraph" w:styleId="Heading4">
    <w:name w:val="heading 4"/>
    <w:basedOn w:val="Normal"/>
    <w:next w:val="Normal"/>
    <w:qFormat/>
    <w:pPr>
      <w:keepNext/>
      <w:spacing w:after="60"/>
      <w:outlineLvl w:val="3"/>
    </w:pPr>
    <w:rPr>
      <w:rFonts w:ascii="Times New Roman" w:hAnsi="Times New Roman"/>
      <w:b/>
      <w:bCs/>
      <w:sz w:val="28"/>
      <w:szCs w:val="28"/>
    </w:rPr>
  </w:style>
  <w:style w:type="paragraph" w:styleId="Heading5">
    <w:name w:val="heading 5"/>
    <w:basedOn w:val="Normal"/>
    <w:next w:val="Normal"/>
    <w:qFormat/>
    <w:pPr>
      <w:spacing w:after="60"/>
      <w:outlineLvl w:val="4"/>
    </w:pPr>
    <w:rPr>
      <w:b/>
      <w:bCs/>
      <w:i/>
      <w:iCs/>
      <w:sz w:val="26"/>
      <w:szCs w:val="26"/>
    </w:rPr>
  </w:style>
  <w:style w:type="paragraph" w:styleId="Heading6">
    <w:name w:val="heading 6"/>
    <w:basedOn w:val="Normal"/>
    <w:next w:val="Normal"/>
    <w:qFormat/>
    <w:pPr>
      <w:spacing w:after="60"/>
      <w:outlineLvl w:val="5"/>
    </w:pPr>
    <w:rPr>
      <w:rFonts w:ascii="Times New Roman" w:hAnsi="Times New Roman"/>
      <w:b/>
      <w:bCs/>
      <w:sz w:val="22"/>
      <w:szCs w:val="22"/>
    </w:rPr>
  </w:style>
  <w:style w:type="paragraph" w:styleId="Heading7">
    <w:name w:val="heading 7"/>
    <w:basedOn w:val="Normal"/>
    <w:next w:val="Normal"/>
    <w:qFormat/>
    <w:pPr>
      <w:spacing w:after="60"/>
      <w:outlineLvl w:val="6"/>
    </w:pPr>
    <w:rPr>
      <w:rFonts w:ascii="Times New Roman" w:hAnsi="Times New Roman"/>
      <w:szCs w:val="24"/>
    </w:rPr>
  </w:style>
  <w:style w:type="paragraph" w:styleId="Heading8">
    <w:name w:val="heading 8"/>
    <w:basedOn w:val="Normal"/>
    <w:next w:val="Normal"/>
    <w:qFormat/>
    <w:pPr>
      <w:spacing w:after="60"/>
      <w:outlineLvl w:val="7"/>
    </w:pPr>
    <w:rPr>
      <w:rFonts w:ascii="Times New Roman" w:hAnsi="Times New Roman"/>
      <w:i/>
      <w:iCs/>
      <w:szCs w:val="24"/>
    </w:rPr>
  </w:style>
  <w:style w:type="paragraph" w:styleId="Heading9">
    <w:name w:val="heading 9"/>
    <w:basedOn w:val="Normal"/>
    <w:next w:val="Normal"/>
    <w:qFormat/>
    <w:pPr>
      <w:spacing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rPr>
      <w:lang/>
    </w:rPr>
  </w:style>
  <w:style w:type="paragraph" w:styleId="Footer">
    <w:name w:val="footer"/>
    <w:basedOn w:val="Normal"/>
    <w:semiHidden/>
    <w:pPr>
      <w:tabs>
        <w:tab w:val="center" w:pos="4153"/>
        <w:tab w:val="right" w:pos="8306"/>
      </w:tabs>
    </w:pPr>
  </w:style>
  <w:style w:type="paragraph" w:customStyle="1" w:styleId="a">
    <w:name w:val="( "/>
    <w:pPr>
      <w:tabs>
        <w:tab w:val="center" w:pos="4819"/>
        <w:tab w:val="right" w:pos="9071"/>
      </w:tabs>
    </w:pPr>
    <w:rPr>
      <w:lang w:val="fr-FR" w:eastAsia="en-US"/>
    </w:rPr>
  </w:style>
  <w:style w:type="character" w:styleId="PageNumber">
    <w:name w:val="page number"/>
    <w:basedOn w:val="DefaultParagraphFont"/>
    <w:semiHidden/>
  </w:style>
  <w:style w:type="paragraph" w:styleId="BodyText3">
    <w:name w:val="Body Text 3"/>
    <w:basedOn w:val="Normal"/>
    <w:semiHidden/>
    <w:pPr>
      <w:tabs>
        <w:tab w:val="left" w:pos="567"/>
      </w:tabs>
      <w:spacing w:line="260" w:lineRule="exact"/>
      <w:jc w:val="both"/>
    </w:pPr>
    <w:rPr>
      <w:rFonts w:ascii="Times New Roman" w:hAnsi="Times New Roman"/>
      <w:b/>
      <w:i/>
      <w:sz w:val="22"/>
      <w:lang w:val="en-GB"/>
    </w:rPr>
  </w:style>
  <w:style w:type="paragraph" w:styleId="BodyText2">
    <w:name w:val="Body Text 2"/>
    <w:basedOn w:val="Normal"/>
    <w:semiHidden/>
    <w:pPr>
      <w:ind w:left="567" w:hanging="567"/>
    </w:pPr>
    <w:rPr>
      <w:rFonts w:ascii="Times New Roman" w:hAnsi="Times New Roman"/>
      <w:b/>
      <w:sz w:val="22"/>
      <w:lang w:val="en-GB"/>
    </w:rPr>
  </w:style>
  <w:style w:type="paragraph" w:styleId="BodyText">
    <w:name w:val="Body Text"/>
    <w:basedOn w:val="Normal"/>
    <w:semiHidden/>
    <w:pPr>
      <w:jc w:val="both"/>
    </w:pPr>
  </w:style>
  <w:style w:type="paragraph" w:styleId="EndnoteText">
    <w:name w:val="endnote text"/>
    <w:basedOn w:val="Normal"/>
    <w:next w:val="Normal"/>
    <w:semiHidden/>
    <w:pPr>
      <w:tabs>
        <w:tab w:val="left" w:pos="567"/>
      </w:tabs>
    </w:pPr>
    <w:rPr>
      <w:rFonts w:ascii="Times New Roman" w:hAnsi="Times New Roman"/>
      <w:sz w:val="22"/>
      <w:lang w:val="en-GB"/>
    </w:rPr>
  </w:style>
  <w:style w:type="character" w:styleId="EndnoteReference">
    <w:name w:val="endnote reference"/>
    <w:semiHidden/>
    <w:rPr>
      <w:vertAlign w:val="superscript"/>
    </w:rPr>
  </w:style>
  <w:style w:type="paragraph" w:styleId="FootnoteText">
    <w:name w:val="footnote text"/>
    <w:basedOn w:val="Normal"/>
    <w:link w:val="FootnoteTextChar"/>
    <w:semiHidden/>
    <w:rPr>
      <w:sz w:val="20"/>
      <w:lang/>
    </w:rPr>
  </w:style>
  <w:style w:type="character" w:styleId="FootnoteReference">
    <w:name w:val="footnote reference"/>
    <w:semiHidden/>
    <w:rPr>
      <w:vertAlign w:val="superscript"/>
    </w:rPr>
  </w:style>
  <w:style w:type="paragraph" w:styleId="EnvelopeAddress">
    <w:name w:val="envelope address"/>
    <w:basedOn w:val="Normal"/>
    <w:semiHidden/>
    <w:pPr>
      <w:framePr w:w="7938" w:h="1985" w:hRule="exact" w:hSpace="141" w:wrap="auto" w:hAnchor="page" w:xAlign="center" w:yAlign="bottom"/>
      <w:ind w:left="2835"/>
    </w:pPr>
    <w:rPr>
      <w:rFonts w:ascii="Arial" w:hAnsi="Arial" w:cs="Arial"/>
      <w:szCs w:val="24"/>
    </w:rPr>
  </w:style>
  <w:style w:type="paragraph" w:styleId="EnvelopeReturn">
    <w:name w:val="envelope return"/>
    <w:basedOn w:val="Normal"/>
    <w:semiHidden/>
    <w:rPr>
      <w:rFonts w:ascii="Arial" w:hAnsi="Arial" w:cs="Arial"/>
      <w:sz w:val="20"/>
    </w:rPr>
  </w:style>
  <w:style w:type="paragraph" w:styleId="HTMLAddress">
    <w:name w:val="HTML Address"/>
    <w:basedOn w:val="Normal"/>
    <w:semiHidden/>
    <w:rPr>
      <w:i/>
      <w:iCs/>
    </w:rPr>
  </w:style>
  <w:style w:type="paragraph" w:styleId="CommentText">
    <w:name w:val="annotation text"/>
    <w:basedOn w:val="Normal"/>
    <w:link w:val="CommentTextChar"/>
    <w:semiHidden/>
    <w:rPr>
      <w:sz w:val="20"/>
      <w:lang/>
    </w:rPr>
  </w:style>
  <w:style w:type="paragraph" w:styleId="Date">
    <w:name w:val="Date"/>
    <w:basedOn w:val="Normal"/>
    <w:next w:val="Normal"/>
    <w:semiHidden/>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Caption">
    <w:name w:val="caption"/>
    <w:basedOn w:val="Normal"/>
    <w:next w:val="Normal"/>
    <w:qFormat/>
    <w:pPr>
      <w:spacing w:before="120" w:after="120"/>
    </w:pPr>
    <w:rPr>
      <w:b/>
      <w:bCs/>
      <w:sz w:val="20"/>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Number">
    <w:name w:val="List Number"/>
    <w:basedOn w:val="Normal"/>
    <w:semiHidden/>
    <w:pPr>
      <w:numPr>
        <w:numId w:val="5"/>
      </w:numPr>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semiHidden/>
    <w:pPr>
      <w:numPr>
        <w:numId w:val="8"/>
      </w:numPr>
    </w:pPr>
  </w:style>
  <w:style w:type="paragraph" w:styleId="ListNumber5">
    <w:name w:val="List Number 5"/>
    <w:basedOn w:val="Normal"/>
    <w:semiHidden/>
    <w:pPr>
      <w:numPr>
        <w:numId w:val="9"/>
      </w:numPr>
    </w:pPr>
  </w:style>
  <w:style w:type="paragraph" w:styleId="ListBullet">
    <w:name w:val="List Bullet"/>
    <w:basedOn w:val="Normal"/>
    <w:autoRedefine/>
    <w:semiHidden/>
    <w:pPr>
      <w:numPr>
        <w:numId w:val="10"/>
      </w:numPr>
    </w:pPr>
  </w:style>
  <w:style w:type="paragraph" w:styleId="ListBullet2">
    <w:name w:val="List Bullet 2"/>
    <w:basedOn w:val="Normal"/>
    <w:autoRedefine/>
    <w:semiHidden/>
    <w:pPr>
      <w:numPr>
        <w:numId w:val="11"/>
      </w:numPr>
    </w:pPr>
  </w:style>
  <w:style w:type="paragraph" w:styleId="ListBullet3">
    <w:name w:val="List Bullet 3"/>
    <w:basedOn w:val="Normal"/>
    <w:autoRedefine/>
    <w:semiHidden/>
    <w:pPr>
      <w:numPr>
        <w:numId w:val="12"/>
      </w:numPr>
    </w:pPr>
  </w:style>
  <w:style w:type="paragraph" w:styleId="ListBullet4">
    <w:name w:val="List Bullet 4"/>
    <w:basedOn w:val="Normal"/>
    <w:autoRedefine/>
    <w:semiHidden/>
    <w:pPr>
      <w:numPr>
        <w:numId w:val="13"/>
      </w:numPr>
    </w:pPr>
  </w:style>
  <w:style w:type="paragraph" w:styleId="ListBullet5">
    <w:name w:val="List Bullet 5"/>
    <w:basedOn w:val="Normal"/>
    <w:autoRedefine/>
    <w:semiHidden/>
    <w:pPr>
      <w:numPr>
        <w:numId w:val="14"/>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NormalWeb">
    <w:name w:val="Normal (Web)"/>
    <w:basedOn w:val="Normal"/>
    <w:semiHidden/>
    <w:rPr>
      <w:rFonts w:ascii="Times New Roman" w:hAnsi="Times New Roman"/>
      <w:szCs w:val="24"/>
    </w:rPr>
  </w:style>
  <w:style w:type="paragraph" w:styleId="BlockText">
    <w:name w:val="Block Text"/>
    <w:basedOn w:val="Normal"/>
    <w:semiHidden/>
    <w:pPr>
      <w:spacing w:after="120"/>
      <w:ind w:left="1440" w:right="1440"/>
    </w:pPr>
  </w:style>
  <w:style w:type="paragraph" w:styleId="HTMLPreformatted">
    <w:name w:val="HTML Preformatted"/>
    <w:basedOn w:val="Normal"/>
    <w:semiHidden/>
    <w:rPr>
      <w:rFonts w:ascii="Courier New" w:hAnsi="Courier New" w:cs="Courier New"/>
      <w:sz w:val="20"/>
    </w:rPr>
  </w:style>
  <w:style w:type="paragraph" w:styleId="BodyTextFirstIndent">
    <w:name w:val="Body Text First Indent"/>
    <w:basedOn w:val="BodyText"/>
    <w:semiHidden/>
    <w:pPr>
      <w:spacing w:after="120"/>
      <w:ind w:firstLine="210"/>
      <w:jc w:val="left"/>
    </w:pPr>
  </w:style>
  <w:style w:type="paragraph" w:styleId="BodyTextIndent">
    <w:name w:val="Body Text Indent"/>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FirstIndent2">
    <w:name w:val="Body Text First Indent 2"/>
    <w:basedOn w:val="BodyTextIndent"/>
    <w:semiHidden/>
    <w:pPr>
      <w:ind w:firstLine="210"/>
    </w:pPr>
  </w:style>
  <w:style w:type="paragraph" w:styleId="NormalIndent">
    <w:name w:val="Normal Indent"/>
    <w:basedOn w:val="Normal"/>
    <w:semiHidden/>
    <w:pPr>
      <w:ind w:left="708"/>
    </w:pPr>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E-mailSignature">
    <w:name w:val="E-mail Signature"/>
    <w:basedOn w:val="Normal"/>
    <w:semiHidden/>
  </w:style>
  <w:style w:type="paragraph" w:styleId="Subtitle">
    <w:name w:val="Subtitle"/>
    <w:basedOn w:val="Normal"/>
    <w:qFormat/>
    <w:pPr>
      <w:spacing w:after="60"/>
      <w:jc w:val="center"/>
      <w:outlineLvl w:val="1"/>
    </w:pPr>
    <w:rPr>
      <w:rFonts w:ascii="Arial" w:hAnsi="Arial" w:cs="Arial"/>
      <w:szCs w:val="24"/>
    </w:rPr>
  </w:style>
  <w:style w:type="paragraph" w:styleId="TableofFigures">
    <w:name w:val="table of figures"/>
    <w:basedOn w:val="Normal"/>
    <w:next w:val="Normal"/>
    <w:semiHidden/>
    <w:pPr>
      <w:ind w:left="480" w:hanging="480"/>
    </w:pPr>
  </w:style>
  <w:style w:type="paragraph" w:styleId="TableofAuthorities">
    <w:name w:val="table of authorities"/>
    <w:basedOn w:val="Normal"/>
    <w:next w:val="Normal"/>
    <w:semiHidden/>
    <w:pPr>
      <w:ind w:left="240" w:hanging="240"/>
    </w:pPr>
  </w:style>
  <w:style w:type="paragraph" w:styleId="PlainText">
    <w:name w:val="Plain Text"/>
    <w:basedOn w:val="Normal"/>
    <w:semiHidden/>
    <w:rPr>
      <w:rFonts w:ascii="Courier New" w:hAnsi="Courier New" w:cs="Courier New"/>
      <w:sz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itle">
    <w:name w:val="Title"/>
    <w:basedOn w:val="Normal"/>
    <w:qFormat/>
    <w:pPr>
      <w:spacing w:after="60"/>
      <w:jc w:val="center"/>
      <w:outlineLvl w:val="0"/>
    </w:pPr>
    <w:rPr>
      <w:rFonts w:ascii="Arial" w:hAnsi="Arial" w:cs="Arial"/>
      <w:b/>
      <w:bCs/>
      <w:kern w:val="28"/>
      <w:sz w:val="32"/>
      <w:szCs w:val="32"/>
    </w:rPr>
  </w:style>
  <w:style w:type="paragraph" w:styleId="NoteHeading">
    <w:name w:val="Note Heading"/>
    <w:basedOn w:val="Normal"/>
    <w:next w:val="Normal"/>
    <w:semiHidden/>
  </w:style>
  <w:style w:type="paragraph" w:styleId="IndexHeading">
    <w:name w:val="index heading"/>
    <w:basedOn w:val="Normal"/>
    <w:next w:val="Index1"/>
    <w:semiHidden/>
    <w:rPr>
      <w:rFonts w:ascii="Arial" w:hAnsi="Arial" w:cs="Arial"/>
      <w:b/>
      <w:bCs/>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Default">
    <w:name w:val="Default"/>
    <w:pPr>
      <w:autoSpaceDE w:val="0"/>
      <w:autoSpaceDN w:val="0"/>
      <w:adjustRightInd w:val="0"/>
    </w:pPr>
    <w:rPr>
      <w:color w:val="000000"/>
      <w:sz w:val="24"/>
      <w:szCs w:val="24"/>
      <w:lang w:val="en-US" w:eastAsia="en-US"/>
    </w:rPr>
  </w:style>
  <w:style w:type="character" w:styleId="CommentReference">
    <w:name w:val="annotation reference"/>
    <w:semiHidden/>
    <w:rPr>
      <w:sz w:val="16"/>
      <w:szCs w:val="16"/>
    </w:rPr>
  </w:style>
  <w:style w:type="character" w:styleId="Strong">
    <w:name w:val="Strong"/>
    <w:qFormat/>
    <w:rPr>
      <w:b/>
      <w:bCs/>
    </w:rPr>
  </w:style>
  <w:style w:type="character" w:styleId="Emphasis">
    <w:name w:val="Emphasis"/>
    <w:qFormat/>
    <w:rPr>
      <w:i/>
      <w:iCs/>
    </w:rPr>
  </w:style>
  <w:style w:type="paragraph" w:styleId="CommentSubject">
    <w:name w:val="annotation subject"/>
    <w:basedOn w:val="CommentText"/>
    <w:next w:val="CommentText"/>
    <w:link w:val="CommentSubjectChar"/>
    <w:uiPriority w:val="99"/>
    <w:semiHidden/>
    <w:unhideWhenUsed/>
    <w:rsid w:val="00307FD8"/>
    <w:rPr>
      <w:b/>
      <w:bCs/>
    </w:rPr>
  </w:style>
  <w:style w:type="character" w:customStyle="1" w:styleId="CommentTextChar">
    <w:name w:val="Comment Text Char"/>
    <w:link w:val="CommentText"/>
    <w:semiHidden/>
    <w:rsid w:val="00307FD8"/>
    <w:rPr>
      <w:rFonts w:ascii="Tms Rmn" w:hAnsi="Tms Rmn"/>
      <w:lang w:eastAsia="en-US"/>
    </w:rPr>
  </w:style>
  <w:style w:type="character" w:customStyle="1" w:styleId="CommentSubjectChar">
    <w:name w:val="Comment Subject Char"/>
    <w:link w:val="CommentSubject"/>
    <w:uiPriority w:val="99"/>
    <w:semiHidden/>
    <w:rsid w:val="00307FD8"/>
    <w:rPr>
      <w:rFonts w:ascii="Tms Rmn" w:hAnsi="Tms Rmn"/>
      <w:b/>
      <w:bCs/>
      <w:lang w:eastAsia="en-US"/>
    </w:rPr>
  </w:style>
  <w:style w:type="paragraph" w:styleId="BalloonText">
    <w:name w:val="Balloon Text"/>
    <w:basedOn w:val="Normal"/>
    <w:link w:val="BalloonTextChar"/>
    <w:uiPriority w:val="99"/>
    <w:semiHidden/>
    <w:unhideWhenUsed/>
    <w:rsid w:val="00307FD8"/>
    <w:rPr>
      <w:rFonts w:ascii="Tahoma" w:hAnsi="Tahoma"/>
      <w:sz w:val="16"/>
      <w:szCs w:val="16"/>
      <w:lang/>
    </w:rPr>
  </w:style>
  <w:style w:type="character" w:customStyle="1" w:styleId="BalloonTextChar">
    <w:name w:val="Balloon Text Char"/>
    <w:link w:val="BalloonText"/>
    <w:uiPriority w:val="99"/>
    <w:semiHidden/>
    <w:rsid w:val="00307FD8"/>
    <w:rPr>
      <w:rFonts w:ascii="Tahoma" w:hAnsi="Tahoma" w:cs="Tahoma"/>
      <w:sz w:val="16"/>
      <w:szCs w:val="16"/>
      <w:lang w:eastAsia="en-US"/>
    </w:rPr>
  </w:style>
  <w:style w:type="paragraph" w:styleId="ListParagraph">
    <w:name w:val="List Paragraph"/>
    <w:basedOn w:val="Normal"/>
    <w:uiPriority w:val="34"/>
    <w:qFormat/>
    <w:rsid w:val="00743B2B"/>
    <w:pPr>
      <w:ind w:left="720"/>
      <w:contextualSpacing/>
    </w:pPr>
  </w:style>
  <w:style w:type="character" w:customStyle="1" w:styleId="FootnoteTextChar">
    <w:name w:val="Footnote Text Char"/>
    <w:link w:val="FootnoteText"/>
    <w:semiHidden/>
    <w:rsid w:val="00FD2911"/>
    <w:rPr>
      <w:rFonts w:ascii="Tms Rmn" w:hAnsi="Tms Rmn"/>
      <w:lang w:eastAsia="en-US"/>
    </w:rPr>
  </w:style>
  <w:style w:type="character" w:customStyle="1" w:styleId="HeaderChar">
    <w:name w:val="Header Char"/>
    <w:link w:val="Header"/>
    <w:semiHidden/>
    <w:rsid w:val="0068641C"/>
    <w:rPr>
      <w:rFonts w:ascii="Tms Rmn" w:hAnsi="Tms Rmn"/>
      <w:sz w:val="24"/>
      <w:lang w:eastAsia="en-US"/>
    </w:rPr>
  </w:style>
  <w:style w:type="table" w:styleId="TableGrid">
    <w:name w:val="Table Grid"/>
    <w:basedOn w:val="TableNormal"/>
    <w:uiPriority w:val="59"/>
    <w:rsid w:val="00F72D40"/>
    <w:rPr>
      <w:rFonts w:ascii="Calibri" w:eastAsia="Cambria"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9002-634B-4307-B0FF-3B6CE359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4402</Words>
  <Characters>23996</Characters>
  <Application>Microsoft Office Word</Application>
  <DocSecurity>0</DocSecurity>
  <Lines>461</Lines>
  <Paragraphs>244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Product information for strontium ranelate</vt:lpstr>
      <vt:lpstr>PROTOS®</vt:lpstr>
    </vt:vector>
  </TitlesOfParts>
  <Company>Servier Laboratories</Company>
  <LinksUpToDate>false</LinksUpToDate>
  <CharactersWithSpaces>28154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strontium ranelate</dc:title>
  <dc:subject>prescription medicine regulation</dc:subject>
  <dc:creator>Servier Laboratories (Australia) Pty Ltd</dc:creator>
  <cp:keywords>auspar, prescription, medicine, assessment, regulation, australia, protos, strontium ranelate</cp:keywords>
  <cp:lastModifiedBy>Sheppard, Fran</cp:lastModifiedBy>
  <cp:revision>2</cp:revision>
  <cp:lastPrinted>2012-04-17T03:25:00Z</cp:lastPrinted>
  <dcterms:created xsi:type="dcterms:W3CDTF">2013-01-31T00:49:00Z</dcterms:created>
  <dcterms:modified xsi:type="dcterms:W3CDTF">2013-01-31T00:49:00Z</dcterms:modified>
</cp:coreProperties>
</file>