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F30EFE" w14:paraId="14A801BB" w14:textId="77777777" w:rsidTr="00BF1190">
        <w:trPr>
          <w:trHeight w:val="1863"/>
        </w:trPr>
        <w:tc>
          <w:tcPr>
            <w:tcW w:w="3652" w:type="dxa"/>
            <w:tcBorders>
              <w:top w:val="nil"/>
              <w:left w:val="nil"/>
              <w:bottom w:val="nil"/>
              <w:right w:val="nil"/>
            </w:tcBorders>
          </w:tcPr>
          <w:p w14:paraId="24315C20" w14:textId="5AEC1493" w:rsidR="008E7846" w:rsidRPr="00F30EFE" w:rsidRDefault="00760FF8" w:rsidP="00096AA7">
            <w:pPr>
              <w:rPr>
                <w:rFonts w:ascii="Arial" w:hAnsi="Arial" w:cs="Arial"/>
                <w:b/>
                <w:color w:val="002C47"/>
                <w:sz w:val="36"/>
                <w:szCs w:val="36"/>
              </w:rPr>
            </w:pPr>
            <w:bookmarkStart w:id="0" w:name="_GoBack"/>
            <w:bookmarkEnd w:id="0"/>
            <w:r>
              <w:rPr>
                <w:rFonts w:ascii="Arial" w:hAnsi="Arial" w:cs="Arial"/>
                <w:b/>
                <w:color w:val="002C47"/>
                <w:sz w:val="36"/>
                <w:szCs w:val="36"/>
              </w:rPr>
              <w:t>November</w:t>
            </w:r>
            <w:r w:rsidR="005E0C8F" w:rsidRPr="00F30EFE">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F30EFE" w14:paraId="07B54146" w14:textId="77777777" w:rsidTr="0032583B">
        <w:trPr>
          <w:trHeight w:val="868"/>
        </w:trPr>
        <w:tc>
          <w:tcPr>
            <w:tcW w:w="9079" w:type="dxa"/>
          </w:tcPr>
          <w:p w14:paraId="0C572F10" w14:textId="77777777" w:rsidR="0032583B" w:rsidRPr="00F30EFE" w:rsidRDefault="0032583B" w:rsidP="00A964D1">
            <w:pPr>
              <w:pStyle w:val="Title"/>
              <w:rPr>
                <w:color w:val="FFFFFF" w:themeColor="background1"/>
              </w:rPr>
            </w:pPr>
            <w:r w:rsidRPr="00F30EFE">
              <w:rPr>
                <w:color w:val="FFFFFF" w:themeColor="background1"/>
              </w:rPr>
              <w:t xml:space="preserve">Australian Public Assessment Report for </w:t>
            </w:r>
            <w:r w:rsidR="005E0C8F" w:rsidRPr="00F30EFE">
              <w:rPr>
                <w:color w:val="FFFFFF" w:themeColor="background1"/>
              </w:rPr>
              <w:t>Stiripentol</w:t>
            </w:r>
          </w:p>
        </w:tc>
      </w:tr>
      <w:tr w:rsidR="0032583B" w:rsidRPr="00F30EFE" w14:paraId="3F00C65D" w14:textId="77777777" w:rsidTr="0032583B">
        <w:tc>
          <w:tcPr>
            <w:tcW w:w="9079" w:type="dxa"/>
          </w:tcPr>
          <w:p w14:paraId="4F95C058" w14:textId="77777777" w:rsidR="0032583B" w:rsidRPr="00F30EFE" w:rsidRDefault="0032583B" w:rsidP="0032583B">
            <w:pPr>
              <w:pStyle w:val="Subtitle"/>
              <w:rPr>
                <w:color w:val="FFFFFF" w:themeColor="background1"/>
              </w:rPr>
            </w:pPr>
            <w:r w:rsidRPr="00F30EFE">
              <w:rPr>
                <w:color w:val="FFFFFF" w:themeColor="background1"/>
              </w:rPr>
              <w:t xml:space="preserve">Proprietary Product Name: </w:t>
            </w:r>
            <w:r w:rsidR="005E0C8F" w:rsidRPr="00F30EFE">
              <w:rPr>
                <w:color w:val="FFFFFF" w:themeColor="background1"/>
              </w:rPr>
              <w:t>Diacomit</w:t>
            </w:r>
          </w:p>
        </w:tc>
      </w:tr>
      <w:tr w:rsidR="0032583B" w:rsidRPr="00F30EFE" w14:paraId="2E3ACC6F" w14:textId="77777777" w:rsidTr="0032583B">
        <w:trPr>
          <w:trHeight w:val="486"/>
        </w:trPr>
        <w:tc>
          <w:tcPr>
            <w:tcW w:w="9079" w:type="dxa"/>
          </w:tcPr>
          <w:p w14:paraId="1BC6A1D3" w14:textId="77777777" w:rsidR="0032583B" w:rsidRPr="00F30EFE" w:rsidRDefault="0032583B" w:rsidP="0032583B">
            <w:pPr>
              <w:pStyle w:val="Subtitle"/>
              <w:rPr>
                <w:color w:val="FFFFFF" w:themeColor="background1"/>
              </w:rPr>
            </w:pPr>
            <w:r w:rsidRPr="00F30EFE">
              <w:rPr>
                <w:color w:val="FFFFFF" w:themeColor="background1"/>
              </w:rPr>
              <w:t xml:space="preserve">Sponsor: </w:t>
            </w:r>
            <w:r w:rsidR="005E0C8F" w:rsidRPr="00F30EFE">
              <w:rPr>
                <w:color w:val="FFFFFF" w:themeColor="background1"/>
              </w:rPr>
              <w:t>Emerge Health Australia Pty Ltd</w:t>
            </w:r>
          </w:p>
        </w:tc>
      </w:tr>
    </w:tbl>
    <w:p w14:paraId="20C17B51" w14:textId="77777777" w:rsidR="008E7846" w:rsidRPr="00F30EFE" w:rsidRDefault="008E7846" w:rsidP="0085156D">
      <w:r w:rsidRPr="00F30EFE">
        <w:br w:type="page"/>
      </w:r>
    </w:p>
    <w:p w14:paraId="39A4A6B9" w14:textId="77777777" w:rsidR="008E7846" w:rsidRPr="00F30EFE" w:rsidRDefault="008E7846" w:rsidP="008E7846">
      <w:pPr>
        <w:pStyle w:val="NonTOCHeading2"/>
      </w:pPr>
      <w:r w:rsidRPr="00F30EFE">
        <w:lastRenderedPageBreak/>
        <w:t>About the Therapeutic Goods Administration (TGA)</w:t>
      </w:r>
    </w:p>
    <w:p w14:paraId="7C9CC7F1" w14:textId="77777777" w:rsidR="008E7846" w:rsidRPr="00F30EFE" w:rsidRDefault="008E7846" w:rsidP="00271666">
      <w:pPr>
        <w:pStyle w:val="ListBullet"/>
        <w:numPr>
          <w:ilvl w:val="0"/>
          <w:numId w:val="1"/>
        </w:numPr>
        <w:ind w:left="357" w:hanging="357"/>
      </w:pPr>
      <w:r w:rsidRPr="00F30EFE">
        <w:t xml:space="preserve">The Therapeutic Goods Administration (TGA) is </w:t>
      </w:r>
      <w:r w:rsidR="00E624A5" w:rsidRPr="00F30EFE">
        <w:t xml:space="preserve">part </w:t>
      </w:r>
      <w:r w:rsidRPr="00F30EFE">
        <w:t>of the Australian Government Department of Health and is responsible for regulating medicines and medical devices.</w:t>
      </w:r>
    </w:p>
    <w:p w14:paraId="25AF665B" w14:textId="77777777" w:rsidR="008E7846" w:rsidRPr="00F30EFE" w:rsidRDefault="00C80137" w:rsidP="00271666">
      <w:pPr>
        <w:pStyle w:val="ListBullet"/>
        <w:numPr>
          <w:ilvl w:val="0"/>
          <w:numId w:val="1"/>
        </w:numPr>
        <w:ind w:left="357" w:hanging="357"/>
      </w:pPr>
      <w:r w:rsidRPr="00F30EFE">
        <w:t xml:space="preserve">The </w:t>
      </w:r>
      <w:r w:rsidR="008E7846" w:rsidRPr="00F30EFE">
        <w:t xml:space="preserve">TGA administers the </w:t>
      </w:r>
      <w:r w:rsidR="008E7846" w:rsidRPr="00F30EFE">
        <w:rPr>
          <w:i/>
        </w:rPr>
        <w:t>Therapeutic Goods Act 1989</w:t>
      </w:r>
      <w:r w:rsidR="00785717" w:rsidRPr="00F30EFE">
        <w:rPr>
          <w:i/>
        </w:rPr>
        <w:t xml:space="preserve"> </w:t>
      </w:r>
      <w:r w:rsidR="00785717" w:rsidRPr="00F30EFE">
        <w:t>(the Act)</w:t>
      </w:r>
      <w:r w:rsidR="008E7846" w:rsidRPr="00F30EFE">
        <w:t>, applying a risk management approach designed to ensure therapeutic goods supplied in Australia meet acceptable standards of quality, safety and efficacy (performance) when necessary.</w:t>
      </w:r>
    </w:p>
    <w:p w14:paraId="54F689FF" w14:textId="77777777" w:rsidR="008E7846" w:rsidRPr="00F30EFE" w:rsidRDefault="008E7846" w:rsidP="00271666">
      <w:pPr>
        <w:pStyle w:val="ListBullet"/>
        <w:numPr>
          <w:ilvl w:val="0"/>
          <w:numId w:val="1"/>
        </w:numPr>
        <w:ind w:left="357" w:hanging="357"/>
      </w:pPr>
      <w:r w:rsidRPr="00F30EFE">
        <w:t>The work of the TGA is based on applying scientific and clinical expertise to decision-making, to ensure that the benefits to consumers outweigh any risks associated with the use of medicines and medical devices.</w:t>
      </w:r>
    </w:p>
    <w:p w14:paraId="1118ECC8" w14:textId="77777777" w:rsidR="008E7846" w:rsidRPr="00F30EFE" w:rsidRDefault="008E7846" w:rsidP="00271666">
      <w:pPr>
        <w:pStyle w:val="ListBullet"/>
        <w:numPr>
          <w:ilvl w:val="0"/>
          <w:numId w:val="1"/>
        </w:numPr>
        <w:ind w:left="357" w:hanging="357"/>
      </w:pPr>
      <w:r w:rsidRPr="00F30EFE">
        <w:t>The TGA relies on the public, healthcare professionals and industry to report problems with medicines or medical devices. TGA investigates reports received by it to determine any necessary regulatory action.</w:t>
      </w:r>
    </w:p>
    <w:p w14:paraId="044072C7" w14:textId="77777777" w:rsidR="00441C3F" w:rsidRPr="00F30EFE" w:rsidRDefault="008E7846" w:rsidP="00271666">
      <w:pPr>
        <w:pStyle w:val="ListBullet"/>
        <w:numPr>
          <w:ilvl w:val="0"/>
          <w:numId w:val="1"/>
        </w:numPr>
        <w:ind w:left="357" w:hanging="357"/>
      </w:pPr>
      <w:r w:rsidRPr="00F30EFE">
        <w:t xml:space="preserve">To report a problem with a medicine or medical device, please see the information on </w:t>
      </w:r>
      <w:r w:rsidR="00441C3F" w:rsidRPr="00F30EFE">
        <w:t>the TGA website &lt;</w:t>
      </w:r>
      <w:hyperlink r:id="rId8" w:history="1">
        <w:r w:rsidR="00441C3F" w:rsidRPr="00F30EFE">
          <w:rPr>
            <w:rStyle w:val="Hyperlink"/>
          </w:rPr>
          <w:t>https://www.tga.gov.au</w:t>
        </w:r>
      </w:hyperlink>
      <w:r w:rsidR="00441C3F" w:rsidRPr="00F30EFE">
        <w:t>&gt;.</w:t>
      </w:r>
    </w:p>
    <w:p w14:paraId="377FDFA9" w14:textId="77777777" w:rsidR="008E7846" w:rsidRPr="00F30EFE" w:rsidRDefault="008E7846" w:rsidP="00875A6B">
      <w:pPr>
        <w:pStyle w:val="NonTOCHeading2"/>
      </w:pPr>
      <w:r w:rsidRPr="00F30EFE">
        <w:t>About AusPARs</w:t>
      </w:r>
    </w:p>
    <w:p w14:paraId="3FB4260B" w14:textId="77777777" w:rsidR="008E7846" w:rsidRPr="00F30EFE" w:rsidRDefault="008E7846" w:rsidP="00271666">
      <w:pPr>
        <w:pStyle w:val="ListBullet"/>
        <w:numPr>
          <w:ilvl w:val="0"/>
          <w:numId w:val="1"/>
        </w:numPr>
        <w:ind w:left="357" w:hanging="357"/>
      </w:pPr>
      <w:r w:rsidRPr="00F30EFE">
        <w:t>An Australian Public Assessment Re</w:t>
      </w:r>
      <w:r w:rsidR="00133A1B" w:rsidRPr="00F30EFE">
        <w:t>port</w:t>
      </w:r>
      <w:r w:rsidRPr="00F30EFE">
        <w:t xml:space="preserve"> (AusPAR) provides information about the evaluation of a prescription medicine and the considerations that led the TGA to approve or not approve a pr</w:t>
      </w:r>
      <w:r w:rsidR="00441C3F" w:rsidRPr="00F30EFE">
        <w:t>escription medicine submission.</w:t>
      </w:r>
    </w:p>
    <w:p w14:paraId="7D24510E" w14:textId="77777777" w:rsidR="008E7846" w:rsidRPr="00F30EFE" w:rsidRDefault="008E7846" w:rsidP="00271666">
      <w:pPr>
        <w:pStyle w:val="ListBullet"/>
        <w:numPr>
          <w:ilvl w:val="0"/>
          <w:numId w:val="1"/>
        </w:numPr>
        <w:ind w:left="357" w:hanging="357"/>
      </w:pPr>
      <w:r w:rsidRPr="00F30EFE">
        <w:t>AusPARs are prepared and published by the TGA.</w:t>
      </w:r>
    </w:p>
    <w:p w14:paraId="754676DA" w14:textId="77777777" w:rsidR="008E7846" w:rsidRPr="00F30EFE" w:rsidRDefault="008E7846" w:rsidP="00271666">
      <w:pPr>
        <w:pStyle w:val="ListBullet"/>
        <w:numPr>
          <w:ilvl w:val="0"/>
          <w:numId w:val="1"/>
        </w:numPr>
        <w:ind w:left="357" w:hanging="357"/>
      </w:pPr>
      <w:r w:rsidRPr="00F30EFE">
        <w:t>An AusPAR is prepared for submissions that relate to new chemical entities, generic medicines, major variations and extensions of indications.</w:t>
      </w:r>
    </w:p>
    <w:p w14:paraId="2B4A7146" w14:textId="77777777" w:rsidR="008E7846" w:rsidRPr="00F30EFE" w:rsidRDefault="008E7846" w:rsidP="00271666">
      <w:pPr>
        <w:pStyle w:val="ListBullet"/>
        <w:numPr>
          <w:ilvl w:val="0"/>
          <w:numId w:val="1"/>
        </w:numPr>
        <w:ind w:left="357" w:hanging="357"/>
      </w:pPr>
      <w:r w:rsidRPr="00F30EFE">
        <w:t>An AusPAR is a static document</w:t>
      </w:r>
      <w:r w:rsidR="00133A1B" w:rsidRPr="00F30EFE">
        <w:t>;</w:t>
      </w:r>
      <w:r w:rsidRPr="00F30EFE">
        <w:t xml:space="preserve"> it provide</w:t>
      </w:r>
      <w:r w:rsidR="00133A1B" w:rsidRPr="00F30EFE">
        <w:t>s</w:t>
      </w:r>
      <w:r w:rsidRPr="00F30EFE">
        <w:t xml:space="preserve"> information that relates to a submission at a particular point in time.</w:t>
      </w:r>
    </w:p>
    <w:p w14:paraId="61E84971" w14:textId="77777777" w:rsidR="00B452CE" w:rsidRPr="00F30EFE" w:rsidRDefault="008E7846" w:rsidP="00271666">
      <w:pPr>
        <w:pStyle w:val="ListBullet"/>
        <w:numPr>
          <w:ilvl w:val="0"/>
          <w:numId w:val="1"/>
        </w:numPr>
        <w:ind w:left="357" w:hanging="357"/>
      </w:pPr>
      <w:r w:rsidRPr="00F30EFE">
        <w:t>A new AusPAR will be developed to reflect changes to indications and/or major variations to a prescription medicine subject to evaluation by the TGA.</w:t>
      </w:r>
    </w:p>
    <w:p w14:paraId="27566B0A" w14:textId="77777777" w:rsidR="00924482" w:rsidRPr="00F30EFE" w:rsidRDefault="00924482" w:rsidP="00F54B65">
      <w:pPr>
        <w:pStyle w:val="LegalSubheading"/>
        <w:spacing w:before="3120"/>
      </w:pPr>
      <w:r w:rsidRPr="00F30EFE">
        <w:t>Copyright</w:t>
      </w:r>
    </w:p>
    <w:p w14:paraId="39552331" w14:textId="77777777" w:rsidR="00924482" w:rsidRPr="00F30EFE" w:rsidRDefault="00924482" w:rsidP="00924482">
      <w:pPr>
        <w:pStyle w:val="LegalCopy"/>
      </w:pPr>
      <w:r w:rsidRPr="00F30EFE">
        <w:rPr>
          <w:rFonts w:cs="Arial"/>
        </w:rPr>
        <w:t>© Commonwealth of Australia 201</w:t>
      </w:r>
      <w:r w:rsidR="00C52E24" w:rsidRPr="00F30EFE">
        <w:rPr>
          <w:rFonts w:cs="Arial"/>
        </w:rPr>
        <w:t>9</w:t>
      </w:r>
      <w:r w:rsidRPr="00F30EFE">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F30EFE">
        <w:rPr>
          <w:rFonts w:cs="Arial"/>
          <w:i/>
        </w:rPr>
        <w:t>Copyright Act 1968</w:t>
      </w:r>
      <w:r w:rsidRPr="00F30EFE">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F30EFE">
          <w:rPr>
            <w:rStyle w:val="Hyperlink"/>
            <w:rFonts w:cs="Arial"/>
          </w:rPr>
          <w:t>tga.copyright@tga.gov.au</w:t>
        </w:r>
      </w:hyperlink>
      <w:r w:rsidRPr="00F30EFE">
        <w:rPr>
          <w:rFonts w:cs="Arial"/>
        </w:rPr>
        <w:t>&gt;.</w:t>
      </w:r>
    </w:p>
    <w:p w14:paraId="1233F05C" w14:textId="77777777" w:rsidR="00924482" w:rsidRPr="00F30EFE" w:rsidRDefault="00924482" w:rsidP="00924482">
      <w:pPr>
        <w:pStyle w:val="LegalCopy"/>
        <w:sectPr w:rsidR="00924482" w:rsidRPr="00F30EFE"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D98BFED" w14:textId="77777777" w:rsidR="0089635C" w:rsidRPr="00F30EFE" w:rsidRDefault="0089635C" w:rsidP="0010788A">
          <w:pPr>
            <w:pStyle w:val="Contents"/>
          </w:pPr>
          <w:r w:rsidRPr="00F30EFE">
            <w:t>Contents</w:t>
          </w:r>
        </w:p>
        <w:p w14:paraId="0C151377" w14:textId="74B9E186" w:rsidR="00B56707" w:rsidRDefault="00DB6124">
          <w:pPr>
            <w:pStyle w:val="TOC2"/>
            <w:rPr>
              <w:rFonts w:asciiTheme="minorHAnsi" w:eastAsiaTheme="minorEastAsia" w:hAnsiTheme="minorHAnsi" w:cstheme="minorBidi"/>
              <w:b w:val="0"/>
              <w:noProof/>
              <w:sz w:val="22"/>
              <w:lang w:eastAsia="en-AU"/>
            </w:rPr>
          </w:pPr>
          <w:r w:rsidRPr="00F30EFE">
            <w:fldChar w:fldCharType="begin"/>
          </w:r>
          <w:r w:rsidR="0089635C" w:rsidRPr="00F30EFE">
            <w:instrText xml:space="preserve"> TOC \o "1-3" \h \z \u </w:instrText>
          </w:r>
          <w:r w:rsidRPr="00F30EFE">
            <w:fldChar w:fldCharType="separate"/>
          </w:r>
          <w:hyperlink w:anchor="_Toc27645577" w:history="1">
            <w:r w:rsidR="00B56707" w:rsidRPr="00AE3D04">
              <w:rPr>
                <w:rStyle w:val="Hyperlink"/>
                <w:noProof/>
              </w:rPr>
              <w:t>Common abbreviations</w:t>
            </w:r>
            <w:r w:rsidR="00B56707">
              <w:rPr>
                <w:noProof/>
                <w:webHidden/>
              </w:rPr>
              <w:tab/>
            </w:r>
            <w:r w:rsidR="00B56707">
              <w:rPr>
                <w:noProof/>
                <w:webHidden/>
              </w:rPr>
              <w:fldChar w:fldCharType="begin"/>
            </w:r>
            <w:r w:rsidR="00B56707">
              <w:rPr>
                <w:noProof/>
                <w:webHidden/>
              </w:rPr>
              <w:instrText xml:space="preserve"> PAGEREF _Toc27645577 \h </w:instrText>
            </w:r>
            <w:r w:rsidR="00B56707">
              <w:rPr>
                <w:noProof/>
                <w:webHidden/>
              </w:rPr>
            </w:r>
            <w:r w:rsidR="00B56707">
              <w:rPr>
                <w:noProof/>
                <w:webHidden/>
              </w:rPr>
              <w:fldChar w:fldCharType="separate"/>
            </w:r>
            <w:r w:rsidR="00B56707">
              <w:rPr>
                <w:noProof/>
                <w:webHidden/>
              </w:rPr>
              <w:t>4</w:t>
            </w:r>
            <w:r w:rsidR="00B56707">
              <w:rPr>
                <w:noProof/>
                <w:webHidden/>
              </w:rPr>
              <w:fldChar w:fldCharType="end"/>
            </w:r>
          </w:hyperlink>
        </w:p>
        <w:p w14:paraId="1F9873FB" w14:textId="06F264CA" w:rsidR="00B56707" w:rsidRDefault="00C12465">
          <w:pPr>
            <w:pStyle w:val="TOC2"/>
            <w:rPr>
              <w:rFonts w:asciiTheme="minorHAnsi" w:eastAsiaTheme="minorEastAsia" w:hAnsiTheme="minorHAnsi" w:cstheme="minorBidi"/>
              <w:b w:val="0"/>
              <w:noProof/>
              <w:sz w:val="22"/>
              <w:lang w:eastAsia="en-AU"/>
            </w:rPr>
          </w:pPr>
          <w:hyperlink w:anchor="_Toc27645578" w:history="1">
            <w:r w:rsidR="00B56707" w:rsidRPr="00AE3D04">
              <w:rPr>
                <w:rStyle w:val="Hyperlink"/>
                <w:noProof/>
              </w:rPr>
              <w:t>I. Introduction to product submission</w:t>
            </w:r>
            <w:r w:rsidR="00B56707">
              <w:rPr>
                <w:noProof/>
                <w:webHidden/>
              </w:rPr>
              <w:tab/>
            </w:r>
            <w:r w:rsidR="00B56707">
              <w:rPr>
                <w:noProof/>
                <w:webHidden/>
              </w:rPr>
              <w:fldChar w:fldCharType="begin"/>
            </w:r>
            <w:r w:rsidR="00B56707">
              <w:rPr>
                <w:noProof/>
                <w:webHidden/>
              </w:rPr>
              <w:instrText xml:space="preserve"> PAGEREF _Toc27645578 \h </w:instrText>
            </w:r>
            <w:r w:rsidR="00B56707">
              <w:rPr>
                <w:noProof/>
                <w:webHidden/>
              </w:rPr>
            </w:r>
            <w:r w:rsidR="00B56707">
              <w:rPr>
                <w:noProof/>
                <w:webHidden/>
              </w:rPr>
              <w:fldChar w:fldCharType="separate"/>
            </w:r>
            <w:r w:rsidR="00B56707">
              <w:rPr>
                <w:noProof/>
                <w:webHidden/>
              </w:rPr>
              <w:t>7</w:t>
            </w:r>
            <w:r w:rsidR="00B56707">
              <w:rPr>
                <w:noProof/>
                <w:webHidden/>
              </w:rPr>
              <w:fldChar w:fldCharType="end"/>
            </w:r>
          </w:hyperlink>
        </w:p>
        <w:p w14:paraId="36A61D0E" w14:textId="0559F746" w:rsidR="00B56707" w:rsidRDefault="00C12465">
          <w:pPr>
            <w:pStyle w:val="TOC3"/>
            <w:rPr>
              <w:rFonts w:asciiTheme="minorHAnsi" w:eastAsiaTheme="minorEastAsia" w:hAnsiTheme="minorHAnsi" w:cstheme="minorBidi"/>
              <w:noProof/>
              <w:lang w:eastAsia="en-AU"/>
            </w:rPr>
          </w:pPr>
          <w:hyperlink w:anchor="_Toc27645579" w:history="1">
            <w:r w:rsidR="00B56707" w:rsidRPr="00AE3D04">
              <w:rPr>
                <w:rStyle w:val="Hyperlink"/>
                <w:noProof/>
                <w:lang w:eastAsia="en-AU"/>
              </w:rPr>
              <w:t>Submission details</w:t>
            </w:r>
            <w:r w:rsidR="00B56707">
              <w:rPr>
                <w:noProof/>
                <w:webHidden/>
              </w:rPr>
              <w:tab/>
            </w:r>
            <w:r w:rsidR="00B56707">
              <w:rPr>
                <w:noProof/>
                <w:webHidden/>
              </w:rPr>
              <w:fldChar w:fldCharType="begin"/>
            </w:r>
            <w:r w:rsidR="00B56707">
              <w:rPr>
                <w:noProof/>
                <w:webHidden/>
              </w:rPr>
              <w:instrText xml:space="preserve"> PAGEREF _Toc27645579 \h </w:instrText>
            </w:r>
            <w:r w:rsidR="00B56707">
              <w:rPr>
                <w:noProof/>
                <w:webHidden/>
              </w:rPr>
            </w:r>
            <w:r w:rsidR="00B56707">
              <w:rPr>
                <w:noProof/>
                <w:webHidden/>
              </w:rPr>
              <w:fldChar w:fldCharType="separate"/>
            </w:r>
            <w:r w:rsidR="00B56707">
              <w:rPr>
                <w:noProof/>
                <w:webHidden/>
              </w:rPr>
              <w:t>7</w:t>
            </w:r>
            <w:r w:rsidR="00B56707">
              <w:rPr>
                <w:noProof/>
                <w:webHidden/>
              </w:rPr>
              <w:fldChar w:fldCharType="end"/>
            </w:r>
          </w:hyperlink>
        </w:p>
        <w:p w14:paraId="1DB576C2" w14:textId="1E245641" w:rsidR="00B56707" w:rsidRDefault="00C12465">
          <w:pPr>
            <w:pStyle w:val="TOC3"/>
            <w:rPr>
              <w:rFonts w:asciiTheme="minorHAnsi" w:eastAsiaTheme="minorEastAsia" w:hAnsiTheme="minorHAnsi" w:cstheme="minorBidi"/>
              <w:noProof/>
              <w:lang w:eastAsia="en-AU"/>
            </w:rPr>
          </w:pPr>
          <w:hyperlink w:anchor="_Toc27645580" w:history="1">
            <w:r w:rsidR="00B56707" w:rsidRPr="00AE3D04">
              <w:rPr>
                <w:rStyle w:val="Hyperlink"/>
                <w:noProof/>
              </w:rPr>
              <w:t>Product background</w:t>
            </w:r>
            <w:r w:rsidR="00B56707">
              <w:rPr>
                <w:noProof/>
                <w:webHidden/>
              </w:rPr>
              <w:tab/>
            </w:r>
            <w:r w:rsidR="00B56707">
              <w:rPr>
                <w:noProof/>
                <w:webHidden/>
              </w:rPr>
              <w:fldChar w:fldCharType="begin"/>
            </w:r>
            <w:r w:rsidR="00B56707">
              <w:rPr>
                <w:noProof/>
                <w:webHidden/>
              </w:rPr>
              <w:instrText xml:space="preserve"> PAGEREF _Toc27645580 \h </w:instrText>
            </w:r>
            <w:r w:rsidR="00B56707">
              <w:rPr>
                <w:noProof/>
                <w:webHidden/>
              </w:rPr>
            </w:r>
            <w:r w:rsidR="00B56707">
              <w:rPr>
                <w:noProof/>
                <w:webHidden/>
              </w:rPr>
              <w:fldChar w:fldCharType="separate"/>
            </w:r>
            <w:r w:rsidR="00B56707">
              <w:rPr>
                <w:noProof/>
                <w:webHidden/>
              </w:rPr>
              <w:t>8</w:t>
            </w:r>
            <w:r w:rsidR="00B56707">
              <w:rPr>
                <w:noProof/>
                <w:webHidden/>
              </w:rPr>
              <w:fldChar w:fldCharType="end"/>
            </w:r>
          </w:hyperlink>
        </w:p>
        <w:p w14:paraId="5599ADB1" w14:textId="781372DB" w:rsidR="00B56707" w:rsidRDefault="00C12465">
          <w:pPr>
            <w:pStyle w:val="TOC3"/>
            <w:rPr>
              <w:rFonts w:asciiTheme="minorHAnsi" w:eastAsiaTheme="minorEastAsia" w:hAnsiTheme="minorHAnsi" w:cstheme="minorBidi"/>
              <w:noProof/>
              <w:lang w:eastAsia="en-AU"/>
            </w:rPr>
          </w:pPr>
          <w:hyperlink w:anchor="_Toc27645581" w:history="1">
            <w:r w:rsidR="00B56707" w:rsidRPr="00AE3D04">
              <w:rPr>
                <w:rStyle w:val="Hyperlink"/>
                <w:noProof/>
              </w:rPr>
              <w:t>Regulatory status</w:t>
            </w:r>
            <w:r w:rsidR="00B56707">
              <w:rPr>
                <w:noProof/>
                <w:webHidden/>
              </w:rPr>
              <w:tab/>
            </w:r>
            <w:r w:rsidR="00B56707">
              <w:rPr>
                <w:noProof/>
                <w:webHidden/>
              </w:rPr>
              <w:fldChar w:fldCharType="begin"/>
            </w:r>
            <w:r w:rsidR="00B56707">
              <w:rPr>
                <w:noProof/>
                <w:webHidden/>
              </w:rPr>
              <w:instrText xml:space="preserve"> PAGEREF _Toc27645581 \h </w:instrText>
            </w:r>
            <w:r w:rsidR="00B56707">
              <w:rPr>
                <w:noProof/>
                <w:webHidden/>
              </w:rPr>
            </w:r>
            <w:r w:rsidR="00B56707">
              <w:rPr>
                <w:noProof/>
                <w:webHidden/>
              </w:rPr>
              <w:fldChar w:fldCharType="separate"/>
            </w:r>
            <w:r w:rsidR="00B56707">
              <w:rPr>
                <w:noProof/>
                <w:webHidden/>
              </w:rPr>
              <w:t>9</w:t>
            </w:r>
            <w:r w:rsidR="00B56707">
              <w:rPr>
                <w:noProof/>
                <w:webHidden/>
              </w:rPr>
              <w:fldChar w:fldCharType="end"/>
            </w:r>
          </w:hyperlink>
        </w:p>
        <w:p w14:paraId="03A94881" w14:textId="096415B1" w:rsidR="00B56707" w:rsidRDefault="00C12465">
          <w:pPr>
            <w:pStyle w:val="TOC3"/>
            <w:rPr>
              <w:rFonts w:asciiTheme="minorHAnsi" w:eastAsiaTheme="minorEastAsia" w:hAnsiTheme="minorHAnsi" w:cstheme="minorBidi"/>
              <w:noProof/>
              <w:lang w:eastAsia="en-AU"/>
            </w:rPr>
          </w:pPr>
          <w:hyperlink w:anchor="_Toc27645582" w:history="1">
            <w:r w:rsidR="00B56707" w:rsidRPr="00AE3D04">
              <w:rPr>
                <w:rStyle w:val="Hyperlink"/>
                <w:noProof/>
              </w:rPr>
              <w:t>Product Information</w:t>
            </w:r>
            <w:r w:rsidR="00B56707">
              <w:rPr>
                <w:noProof/>
                <w:webHidden/>
              </w:rPr>
              <w:tab/>
            </w:r>
            <w:r w:rsidR="00B56707">
              <w:rPr>
                <w:noProof/>
                <w:webHidden/>
              </w:rPr>
              <w:fldChar w:fldCharType="begin"/>
            </w:r>
            <w:r w:rsidR="00B56707">
              <w:rPr>
                <w:noProof/>
                <w:webHidden/>
              </w:rPr>
              <w:instrText xml:space="preserve"> PAGEREF _Toc27645582 \h </w:instrText>
            </w:r>
            <w:r w:rsidR="00B56707">
              <w:rPr>
                <w:noProof/>
                <w:webHidden/>
              </w:rPr>
            </w:r>
            <w:r w:rsidR="00B56707">
              <w:rPr>
                <w:noProof/>
                <w:webHidden/>
              </w:rPr>
              <w:fldChar w:fldCharType="separate"/>
            </w:r>
            <w:r w:rsidR="00B56707">
              <w:rPr>
                <w:noProof/>
                <w:webHidden/>
              </w:rPr>
              <w:t>10</w:t>
            </w:r>
            <w:r w:rsidR="00B56707">
              <w:rPr>
                <w:noProof/>
                <w:webHidden/>
              </w:rPr>
              <w:fldChar w:fldCharType="end"/>
            </w:r>
          </w:hyperlink>
        </w:p>
        <w:p w14:paraId="104F313E" w14:textId="04848285" w:rsidR="00B56707" w:rsidRDefault="00C12465">
          <w:pPr>
            <w:pStyle w:val="TOC2"/>
            <w:rPr>
              <w:rFonts w:asciiTheme="minorHAnsi" w:eastAsiaTheme="minorEastAsia" w:hAnsiTheme="minorHAnsi" w:cstheme="minorBidi"/>
              <w:b w:val="0"/>
              <w:noProof/>
              <w:sz w:val="22"/>
              <w:lang w:eastAsia="en-AU"/>
            </w:rPr>
          </w:pPr>
          <w:hyperlink w:anchor="_Toc27645583" w:history="1">
            <w:r w:rsidR="00B56707" w:rsidRPr="00AE3D04">
              <w:rPr>
                <w:rStyle w:val="Hyperlink"/>
                <w:noProof/>
              </w:rPr>
              <w:t>II. Registration timeline</w:t>
            </w:r>
            <w:r w:rsidR="00B56707">
              <w:rPr>
                <w:noProof/>
                <w:webHidden/>
              </w:rPr>
              <w:tab/>
            </w:r>
            <w:r w:rsidR="00B56707">
              <w:rPr>
                <w:noProof/>
                <w:webHidden/>
              </w:rPr>
              <w:fldChar w:fldCharType="begin"/>
            </w:r>
            <w:r w:rsidR="00B56707">
              <w:rPr>
                <w:noProof/>
                <w:webHidden/>
              </w:rPr>
              <w:instrText xml:space="preserve"> PAGEREF _Toc27645583 \h </w:instrText>
            </w:r>
            <w:r w:rsidR="00B56707">
              <w:rPr>
                <w:noProof/>
                <w:webHidden/>
              </w:rPr>
            </w:r>
            <w:r w:rsidR="00B56707">
              <w:rPr>
                <w:noProof/>
                <w:webHidden/>
              </w:rPr>
              <w:fldChar w:fldCharType="separate"/>
            </w:r>
            <w:r w:rsidR="00B56707">
              <w:rPr>
                <w:noProof/>
                <w:webHidden/>
              </w:rPr>
              <w:t>10</w:t>
            </w:r>
            <w:r w:rsidR="00B56707">
              <w:rPr>
                <w:noProof/>
                <w:webHidden/>
              </w:rPr>
              <w:fldChar w:fldCharType="end"/>
            </w:r>
          </w:hyperlink>
        </w:p>
        <w:p w14:paraId="4920C9BA" w14:textId="6B07074B" w:rsidR="00B56707" w:rsidRDefault="00C12465">
          <w:pPr>
            <w:pStyle w:val="TOC2"/>
            <w:rPr>
              <w:rFonts w:asciiTheme="minorHAnsi" w:eastAsiaTheme="minorEastAsia" w:hAnsiTheme="minorHAnsi" w:cstheme="minorBidi"/>
              <w:b w:val="0"/>
              <w:noProof/>
              <w:sz w:val="22"/>
              <w:lang w:eastAsia="en-AU"/>
            </w:rPr>
          </w:pPr>
          <w:hyperlink w:anchor="_Toc27645584" w:history="1">
            <w:r w:rsidR="00B56707" w:rsidRPr="00AE3D04">
              <w:rPr>
                <w:rStyle w:val="Hyperlink"/>
                <w:noProof/>
              </w:rPr>
              <w:t>III. Submission overview and risk/benefit assessment</w:t>
            </w:r>
            <w:r w:rsidR="00B56707">
              <w:rPr>
                <w:noProof/>
                <w:webHidden/>
              </w:rPr>
              <w:tab/>
            </w:r>
            <w:r w:rsidR="00B56707">
              <w:rPr>
                <w:noProof/>
                <w:webHidden/>
              </w:rPr>
              <w:fldChar w:fldCharType="begin"/>
            </w:r>
            <w:r w:rsidR="00B56707">
              <w:rPr>
                <w:noProof/>
                <w:webHidden/>
              </w:rPr>
              <w:instrText xml:space="preserve"> PAGEREF _Toc27645584 \h </w:instrText>
            </w:r>
            <w:r w:rsidR="00B56707">
              <w:rPr>
                <w:noProof/>
                <w:webHidden/>
              </w:rPr>
            </w:r>
            <w:r w:rsidR="00B56707">
              <w:rPr>
                <w:noProof/>
                <w:webHidden/>
              </w:rPr>
              <w:fldChar w:fldCharType="separate"/>
            </w:r>
            <w:r w:rsidR="00B56707">
              <w:rPr>
                <w:noProof/>
                <w:webHidden/>
              </w:rPr>
              <w:t>11</w:t>
            </w:r>
            <w:r w:rsidR="00B56707">
              <w:rPr>
                <w:noProof/>
                <w:webHidden/>
              </w:rPr>
              <w:fldChar w:fldCharType="end"/>
            </w:r>
          </w:hyperlink>
        </w:p>
        <w:p w14:paraId="09E7B2E0" w14:textId="7C8AAB8E" w:rsidR="00B56707" w:rsidRDefault="00C12465">
          <w:pPr>
            <w:pStyle w:val="TOC3"/>
            <w:rPr>
              <w:rFonts w:asciiTheme="minorHAnsi" w:eastAsiaTheme="minorEastAsia" w:hAnsiTheme="minorHAnsi" w:cstheme="minorBidi"/>
              <w:noProof/>
              <w:lang w:eastAsia="en-AU"/>
            </w:rPr>
          </w:pPr>
          <w:hyperlink w:anchor="_Toc27645585" w:history="1">
            <w:r w:rsidR="00B56707" w:rsidRPr="00AE3D04">
              <w:rPr>
                <w:rStyle w:val="Hyperlink"/>
                <w:noProof/>
              </w:rPr>
              <w:t>Quality</w:t>
            </w:r>
            <w:r w:rsidR="00B56707">
              <w:rPr>
                <w:noProof/>
                <w:webHidden/>
              </w:rPr>
              <w:tab/>
            </w:r>
            <w:r w:rsidR="00B56707">
              <w:rPr>
                <w:noProof/>
                <w:webHidden/>
              </w:rPr>
              <w:fldChar w:fldCharType="begin"/>
            </w:r>
            <w:r w:rsidR="00B56707">
              <w:rPr>
                <w:noProof/>
                <w:webHidden/>
              </w:rPr>
              <w:instrText xml:space="preserve"> PAGEREF _Toc27645585 \h </w:instrText>
            </w:r>
            <w:r w:rsidR="00B56707">
              <w:rPr>
                <w:noProof/>
                <w:webHidden/>
              </w:rPr>
            </w:r>
            <w:r w:rsidR="00B56707">
              <w:rPr>
                <w:noProof/>
                <w:webHidden/>
              </w:rPr>
              <w:fldChar w:fldCharType="separate"/>
            </w:r>
            <w:r w:rsidR="00B56707">
              <w:rPr>
                <w:noProof/>
                <w:webHidden/>
              </w:rPr>
              <w:t>11</w:t>
            </w:r>
            <w:r w:rsidR="00B56707">
              <w:rPr>
                <w:noProof/>
                <w:webHidden/>
              </w:rPr>
              <w:fldChar w:fldCharType="end"/>
            </w:r>
          </w:hyperlink>
        </w:p>
        <w:p w14:paraId="18C5E7BC" w14:textId="3C1D7F3F" w:rsidR="00B56707" w:rsidRDefault="00C12465">
          <w:pPr>
            <w:pStyle w:val="TOC3"/>
            <w:rPr>
              <w:rFonts w:asciiTheme="minorHAnsi" w:eastAsiaTheme="minorEastAsia" w:hAnsiTheme="minorHAnsi" w:cstheme="minorBidi"/>
              <w:noProof/>
              <w:lang w:eastAsia="en-AU"/>
            </w:rPr>
          </w:pPr>
          <w:hyperlink w:anchor="_Toc27645586" w:history="1">
            <w:r w:rsidR="00B56707" w:rsidRPr="00AE3D04">
              <w:rPr>
                <w:rStyle w:val="Hyperlink"/>
                <w:noProof/>
              </w:rPr>
              <w:t>Nonclinical</w:t>
            </w:r>
            <w:r w:rsidR="00B56707">
              <w:rPr>
                <w:noProof/>
                <w:webHidden/>
              </w:rPr>
              <w:tab/>
            </w:r>
            <w:r w:rsidR="00B56707">
              <w:rPr>
                <w:noProof/>
                <w:webHidden/>
              </w:rPr>
              <w:fldChar w:fldCharType="begin"/>
            </w:r>
            <w:r w:rsidR="00B56707">
              <w:rPr>
                <w:noProof/>
                <w:webHidden/>
              </w:rPr>
              <w:instrText xml:space="preserve"> PAGEREF _Toc27645586 \h </w:instrText>
            </w:r>
            <w:r w:rsidR="00B56707">
              <w:rPr>
                <w:noProof/>
                <w:webHidden/>
              </w:rPr>
            </w:r>
            <w:r w:rsidR="00B56707">
              <w:rPr>
                <w:noProof/>
                <w:webHidden/>
              </w:rPr>
              <w:fldChar w:fldCharType="separate"/>
            </w:r>
            <w:r w:rsidR="00B56707">
              <w:rPr>
                <w:noProof/>
                <w:webHidden/>
              </w:rPr>
              <w:t>11</w:t>
            </w:r>
            <w:r w:rsidR="00B56707">
              <w:rPr>
                <w:noProof/>
                <w:webHidden/>
              </w:rPr>
              <w:fldChar w:fldCharType="end"/>
            </w:r>
          </w:hyperlink>
        </w:p>
        <w:p w14:paraId="7B57DF26" w14:textId="57974820" w:rsidR="00B56707" w:rsidRDefault="00C12465">
          <w:pPr>
            <w:pStyle w:val="TOC3"/>
            <w:rPr>
              <w:rFonts w:asciiTheme="minorHAnsi" w:eastAsiaTheme="minorEastAsia" w:hAnsiTheme="minorHAnsi" w:cstheme="minorBidi"/>
              <w:noProof/>
              <w:lang w:eastAsia="en-AU"/>
            </w:rPr>
          </w:pPr>
          <w:hyperlink w:anchor="_Toc27645587" w:history="1">
            <w:r w:rsidR="00B56707" w:rsidRPr="00AE3D04">
              <w:rPr>
                <w:rStyle w:val="Hyperlink"/>
                <w:noProof/>
              </w:rPr>
              <w:t>Clinical</w:t>
            </w:r>
            <w:r w:rsidR="00B56707">
              <w:rPr>
                <w:noProof/>
                <w:webHidden/>
              </w:rPr>
              <w:tab/>
            </w:r>
            <w:r w:rsidR="00B56707">
              <w:rPr>
                <w:noProof/>
                <w:webHidden/>
              </w:rPr>
              <w:fldChar w:fldCharType="begin"/>
            </w:r>
            <w:r w:rsidR="00B56707">
              <w:rPr>
                <w:noProof/>
                <w:webHidden/>
              </w:rPr>
              <w:instrText xml:space="preserve"> PAGEREF _Toc27645587 \h </w:instrText>
            </w:r>
            <w:r w:rsidR="00B56707">
              <w:rPr>
                <w:noProof/>
                <w:webHidden/>
              </w:rPr>
            </w:r>
            <w:r w:rsidR="00B56707">
              <w:rPr>
                <w:noProof/>
                <w:webHidden/>
              </w:rPr>
              <w:fldChar w:fldCharType="separate"/>
            </w:r>
            <w:r w:rsidR="00B56707">
              <w:rPr>
                <w:noProof/>
                <w:webHidden/>
              </w:rPr>
              <w:t>13</w:t>
            </w:r>
            <w:r w:rsidR="00B56707">
              <w:rPr>
                <w:noProof/>
                <w:webHidden/>
              </w:rPr>
              <w:fldChar w:fldCharType="end"/>
            </w:r>
          </w:hyperlink>
        </w:p>
        <w:p w14:paraId="7518BC6C" w14:textId="1EA507C3" w:rsidR="00B56707" w:rsidRDefault="00C12465">
          <w:pPr>
            <w:pStyle w:val="TOC3"/>
            <w:rPr>
              <w:rFonts w:asciiTheme="minorHAnsi" w:eastAsiaTheme="minorEastAsia" w:hAnsiTheme="minorHAnsi" w:cstheme="minorBidi"/>
              <w:noProof/>
              <w:lang w:eastAsia="en-AU"/>
            </w:rPr>
          </w:pPr>
          <w:hyperlink w:anchor="_Toc27645588" w:history="1">
            <w:r w:rsidR="00B56707" w:rsidRPr="00AE3D04">
              <w:rPr>
                <w:rStyle w:val="Hyperlink"/>
                <w:noProof/>
              </w:rPr>
              <w:t>Risk management plan (RMP)</w:t>
            </w:r>
            <w:r w:rsidR="00B56707">
              <w:rPr>
                <w:noProof/>
                <w:webHidden/>
              </w:rPr>
              <w:tab/>
            </w:r>
            <w:r w:rsidR="00B56707">
              <w:rPr>
                <w:noProof/>
                <w:webHidden/>
              </w:rPr>
              <w:fldChar w:fldCharType="begin"/>
            </w:r>
            <w:r w:rsidR="00B56707">
              <w:rPr>
                <w:noProof/>
                <w:webHidden/>
              </w:rPr>
              <w:instrText xml:space="preserve"> PAGEREF _Toc27645588 \h </w:instrText>
            </w:r>
            <w:r w:rsidR="00B56707">
              <w:rPr>
                <w:noProof/>
                <w:webHidden/>
              </w:rPr>
            </w:r>
            <w:r w:rsidR="00B56707">
              <w:rPr>
                <w:noProof/>
                <w:webHidden/>
              </w:rPr>
              <w:fldChar w:fldCharType="separate"/>
            </w:r>
            <w:r w:rsidR="00B56707">
              <w:rPr>
                <w:noProof/>
                <w:webHidden/>
              </w:rPr>
              <w:t>32</w:t>
            </w:r>
            <w:r w:rsidR="00B56707">
              <w:rPr>
                <w:noProof/>
                <w:webHidden/>
              </w:rPr>
              <w:fldChar w:fldCharType="end"/>
            </w:r>
          </w:hyperlink>
        </w:p>
        <w:p w14:paraId="510172BF" w14:textId="7019FF70" w:rsidR="00B56707" w:rsidRDefault="00C12465">
          <w:pPr>
            <w:pStyle w:val="TOC3"/>
            <w:rPr>
              <w:rFonts w:asciiTheme="minorHAnsi" w:eastAsiaTheme="minorEastAsia" w:hAnsiTheme="minorHAnsi" w:cstheme="minorBidi"/>
              <w:noProof/>
              <w:lang w:eastAsia="en-AU"/>
            </w:rPr>
          </w:pPr>
          <w:hyperlink w:anchor="_Toc27645589" w:history="1">
            <w:r w:rsidR="00B56707" w:rsidRPr="00AE3D04">
              <w:rPr>
                <w:rStyle w:val="Hyperlink"/>
                <w:noProof/>
              </w:rPr>
              <w:t>Risk-benefit analysis</w:t>
            </w:r>
            <w:r w:rsidR="00B56707">
              <w:rPr>
                <w:noProof/>
                <w:webHidden/>
              </w:rPr>
              <w:tab/>
            </w:r>
            <w:r w:rsidR="00B56707">
              <w:rPr>
                <w:noProof/>
                <w:webHidden/>
              </w:rPr>
              <w:fldChar w:fldCharType="begin"/>
            </w:r>
            <w:r w:rsidR="00B56707">
              <w:rPr>
                <w:noProof/>
                <w:webHidden/>
              </w:rPr>
              <w:instrText xml:space="preserve"> PAGEREF _Toc27645589 \h </w:instrText>
            </w:r>
            <w:r w:rsidR="00B56707">
              <w:rPr>
                <w:noProof/>
                <w:webHidden/>
              </w:rPr>
            </w:r>
            <w:r w:rsidR="00B56707">
              <w:rPr>
                <w:noProof/>
                <w:webHidden/>
              </w:rPr>
              <w:fldChar w:fldCharType="separate"/>
            </w:r>
            <w:r w:rsidR="00B56707">
              <w:rPr>
                <w:noProof/>
                <w:webHidden/>
              </w:rPr>
              <w:t>34</w:t>
            </w:r>
            <w:r w:rsidR="00B56707">
              <w:rPr>
                <w:noProof/>
                <w:webHidden/>
              </w:rPr>
              <w:fldChar w:fldCharType="end"/>
            </w:r>
          </w:hyperlink>
        </w:p>
        <w:p w14:paraId="3F9BD870" w14:textId="4871C7FA" w:rsidR="00B56707" w:rsidRDefault="00C12465">
          <w:pPr>
            <w:pStyle w:val="TOC3"/>
            <w:rPr>
              <w:rFonts w:asciiTheme="minorHAnsi" w:eastAsiaTheme="minorEastAsia" w:hAnsiTheme="minorHAnsi" w:cstheme="minorBidi"/>
              <w:noProof/>
              <w:lang w:eastAsia="en-AU"/>
            </w:rPr>
          </w:pPr>
          <w:hyperlink w:anchor="_Toc27645590" w:history="1">
            <w:r w:rsidR="00B56707" w:rsidRPr="00AE3D04">
              <w:rPr>
                <w:rStyle w:val="Hyperlink"/>
                <w:noProof/>
              </w:rPr>
              <w:t>Outcome</w:t>
            </w:r>
            <w:r w:rsidR="00B56707">
              <w:rPr>
                <w:noProof/>
                <w:webHidden/>
              </w:rPr>
              <w:tab/>
            </w:r>
            <w:r w:rsidR="00B56707">
              <w:rPr>
                <w:noProof/>
                <w:webHidden/>
              </w:rPr>
              <w:fldChar w:fldCharType="begin"/>
            </w:r>
            <w:r w:rsidR="00B56707">
              <w:rPr>
                <w:noProof/>
                <w:webHidden/>
              </w:rPr>
              <w:instrText xml:space="preserve"> PAGEREF _Toc27645590 \h </w:instrText>
            </w:r>
            <w:r w:rsidR="00B56707">
              <w:rPr>
                <w:noProof/>
                <w:webHidden/>
              </w:rPr>
            </w:r>
            <w:r w:rsidR="00B56707">
              <w:rPr>
                <w:noProof/>
                <w:webHidden/>
              </w:rPr>
              <w:fldChar w:fldCharType="separate"/>
            </w:r>
            <w:r w:rsidR="00B56707">
              <w:rPr>
                <w:noProof/>
                <w:webHidden/>
              </w:rPr>
              <w:t>36</w:t>
            </w:r>
            <w:r w:rsidR="00B56707">
              <w:rPr>
                <w:noProof/>
                <w:webHidden/>
              </w:rPr>
              <w:fldChar w:fldCharType="end"/>
            </w:r>
          </w:hyperlink>
        </w:p>
        <w:p w14:paraId="58CB0C5D" w14:textId="46758295" w:rsidR="00B56707" w:rsidRDefault="00C12465">
          <w:pPr>
            <w:pStyle w:val="TOC2"/>
            <w:rPr>
              <w:rFonts w:asciiTheme="minorHAnsi" w:eastAsiaTheme="minorEastAsia" w:hAnsiTheme="minorHAnsi" w:cstheme="minorBidi"/>
              <w:b w:val="0"/>
              <w:noProof/>
              <w:sz w:val="22"/>
              <w:lang w:eastAsia="en-AU"/>
            </w:rPr>
          </w:pPr>
          <w:hyperlink w:anchor="_Toc27645591" w:history="1">
            <w:r w:rsidR="00B56707" w:rsidRPr="00AE3D04">
              <w:rPr>
                <w:rStyle w:val="Hyperlink"/>
                <w:noProof/>
              </w:rPr>
              <w:t>Attachment 1. Product Information</w:t>
            </w:r>
            <w:r w:rsidR="00B56707">
              <w:rPr>
                <w:noProof/>
                <w:webHidden/>
              </w:rPr>
              <w:tab/>
            </w:r>
            <w:r w:rsidR="00B56707">
              <w:rPr>
                <w:noProof/>
                <w:webHidden/>
              </w:rPr>
              <w:fldChar w:fldCharType="begin"/>
            </w:r>
            <w:r w:rsidR="00B56707">
              <w:rPr>
                <w:noProof/>
                <w:webHidden/>
              </w:rPr>
              <w:instrText xml:space="preserve"> PAGEREF _Toc27645591 \h </w:instrText>
            </w:r>
            <w:r w:rsidR="00B56707">
              <w:rPr>
                <w:noProof/>
                <w:webHidden/>
              </w:rPr>
            </w:r>
            <w:r w:rsidR="00B56707">
              <w:rPr>
                <w:noProof/>
                <w:webHidden/>
              </w:rPr>
              <w:fldChar w:fldCharType="separate"/>
            </w:r>
            <w:r w:rsidR="00B56707">
              <w:rPr>
                <w:noProof/>
                <w:webHidden/>
              </w:rPr>
              <w:t>37</w:t>
            </w:r>
            <w:r w:rsidR="00B56707">
              <w:rPr>
                <w:noProof/>
                <w:webHidden/>
              </w:rPr>
              <w:fldChar w:fldCharType="end"/>
            </w:r>
          </w:hyperlink>
        </w:p>
        <w:p w14:paraId="7D94CC5E" w14:textId="458EA321" w:rsidR="003A7F6C" w:rsidRPr="00F30EFE" w:rsidRDefault="00DB6124" w:rsidP="00B811C6">
          <w:pPr>
            <w:pStyle w:val="TOC2"/>
          </w:pPr>
          <w:r w:rsidRPr="00F30EFE">
            <w:fldChar w:fldCharType="end"/>
          </w:r>
        </w:p>
      </w:sdtContent>
    </w:sdt>
    <w:bookmarkStart w:id="3" w:name="_Toc314842482" w:displacedByCustomXml="prev"/>
    <w:p w14:paraId="507122EA" w14:textId="77777777" w:rsidR="00FD119B" w:rsidRPr="00F30EFE" w:rsidRDefault="00FD119B">
      <w:pPr>
        <w:spacing w:before="0" w:after="200" w:line="0" w:lineRule="auto"/>
      </w:pPr>
      <w:r w:rsidRPr="00F30EFE">
        <w:br w:type="page"/>
      </w:r>
    </w:p>
    <w:p w14:paraId="1F555316" w14:textId="77777777" w:rsidR="00C52E24" w:rsidRPr="00F30EFE" w:rsidRDefault="00441C3F" w:rsidP="00246D13">
      <w:pPr>
        <w:pStyle w:val="Heading2"/>
      </w:pPr>
      <w:bookmarkStart w:id="4" w:name="_Toc351716269"/>
      <w:bookmarkStart w:id="5" w:name="_Toc351718881"/>
      <w:bookmarkStart w:id="6" w:name="_Toc355338616"/>
      <w:bookmarkStart w:id="7" w:name="_Toc356306144"/>
      <w:bookmarkStart w:id="8" w:name="_Toc27645577"/>
      <w:r w:rsidRPr="00F30EFE">
        <w:lastRenderedPageBreak/>
        <w:t>Common</w:t>
      </w:r>
      <w:r w:rsidR="00FD119B" w:rsidRPr="00F30EFE">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30EFE" w14:paraId="6E1FA25D"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276131EF" w14:textId="77777777" w:rsidR="00FD119B" w:rsidRPr="00F30EFE" w:rsidRDefault="00FD119B" w:rsidP="00FD119B">
            <w:pPr>
              <w:keepNext w:val="0"/>
              <w:ind w:left="0" w:right="0"/>
              <w:rPr>
                <w:szCs w:val="22"/>
                <w:lang w:eastAsia="en-US"/>
              </w:rPr>
            </w:pPr>
            <w:r w:rsidRPr="00F30EFE">
              <w:rPr>
                <w:szCs w:val="22"/>
                <w:lang w:eastAsia="en-US"/>
              </w:rPr>
              <w:t>Abbreviation</w:t>
            </w:r>
          </w:p>
        </w:tc>
        <w:tc>
          <w:tcPr>
            <w:tcW w:w="6911" w:type="dxa"/>
          </w:tcPr>
          <w:p w14:paraId="56C5677A" w14:textId="77777777" w:rsidR="00FD119B" w:rsidRPr="00F30EFE" w:rsidRDefault="00FD119B" w:rsidP="00FD119B">
            <w:pPr>
              <w:keepNext w:val="0"/>
              <w:ind w:left="0" w:right="0"/>
              <w:rPr>
                <w:szCs w:val="22"/>
                <w:lang w:eastAsia="en-US"/>
              </w:rPr>
            </w:pPr>
            <w:r w:rsidRPr="00F30EFE">
              <w:rPr>
                <w:szCs w:val="22"/>
                <w:lang w:eastAsia="en-US"/>
              </w:rPr>
              <w:t>Meaning</w:t>
            </w:r>
          </w:p>
        </w:tc>
      </w:tr>
      <w:tr w:rsidR="003877CD" w:rsidRPr="00F30EFE" w14:paraId="0D3D8EA8" w14:textId="77777777" w:rsidTr="00FD119B">
        <w:tc>
          <w:tcPr>
            <w:tcW w:w="1809" w:type="dxa"/>
          </w:tcPr>
          <w:p w14:paraId="4EA4AAF7" w14:textId="77777777" w:rsidR="003877CD" w:rsidRPr="00F30EFE" w:rsidRDefault="003877CD" w:rsidP="00246D13">
            <w:r w:rsidRPr="00F30EFE">
              <w:t>AAT</w:t>
            </w:r>
          </w:p>
        </w:tc>
        <w:tc>
          <w:tcPr>
            <w:tcW w:w="6911" w:type="dxa"/>
          </w:tcPr>
          <w:p w14:paraId="1E3FB633" w14:textId="77777777" w:rsidR="003877CD" w:rsidRPr="00F30EFE" w:rsidRDefault="003877CD" w:rsidP="003877CD">
            <w:r w:rsidRPr="00F30EFE">
              <w:t>Alpha-1 antitrypsin protein</w:t>
            </w:r>
          </w:p>
        </w:tc>
      </w:tr>
      <w:tr w:rsidR="003C03F3" w:rsidRPr="00F30EFE" w14:paraId="28776455" w14:textId="77777777" w:rsidTr="00FD119B">
        <w:tc>
          <w:tcPr>
            <w:tcW w:w="1809" w:type="dxa"/>
          </w:tcPr>
          <w:p w14:paraId="0D968B7E" w14:textId="77777777" w:rsidR="003C03F3" w:rsidRPr="00F30EFE" w:rsidRDefault="003C03F3" w:rsidP="00246D13">
            <w:r w:rsidRPr="00F30EFE">
              <w:t>ACM</w:t>
            </w:r>
          </w:p>
        </w:tc>
        <w:tc>
          <w:tcPr>
            <w:tcW w:w="6911" w:type="dxa"/>
          </w:tcPr>
          <w:p w14:paraId="637206AF" w14:textId="77777777" w:rsidR="003C03F3" w:rsidRPr="00F30EFE" w:rsidRDefault="003C03F3" w:rsidP="003C03F3">
            <w:r w:rsidRPr="00F30EFE">
              <w:t>Advisory Committee on Medicines</w:t>
            </w:r>
          </w:p>
        </w:tc>
      </w:tr>
      <w:tr w:rsidR="00246D13" w:rsidRPr="00F30EFE" w14:paraId="2EE45129" w14:textId="77777777" w:rsidTr="00FD119B">
        <w:tc>
          <w:tcPr>
            <w:tcW w:w="1809" w:type="dxa"/>
          </w:tcPr>
          <w:p w14:paraId="0750D4EB" w14:textId="77777777" w:rsidR="00246D13" w:rsidRPr="00F30EFE" w:rsidRDefault="00246D13" w:rsidP="00246D13">
            <w:r w:rsidRPr="00F30EFE">
              <w:t>AE</w:t>
            </w:r>
          </w:p>
        </w:tc>
        <w:tc>
          <w:tcPr>
            <w:tcW w:w="6911" w:type="dxa"/>
          </w:tcPr>
          <w:p w14:paraId="4304EC26" w14:textId="77777777" w:rsidR="00246D13" w:rsidRPr="00F30EFE" w:rsidRDefault="00246D13" w:rsidP="00246D13">
            <w:r w:rsidRPr="00F30EFE">
              <w:t>Adverse event</w:t>
            </w:r>
          </w:p>
        </w:tc>
      </w:tr>
      <w:tr w:rsidR="00246D13" w:rsidRPr="00F30EFE" w14:paraId="04765394" w14:textId="77777777" w:rsidTr="00FD119B">
        <w:tc>
          <w:tcPr>
            <w:tcW w:w="1809" w:type="dxa"/>
          </w:tcPr>
          <w:p w14:paraId="080A6631" w14:textId="77777777" w:rsidR="00246D13" w:rsidRPr="00F30EFE" w:rsidRDefault="00246D13" w:rsidP="00246D13">
            <w:r w:rsidRPr="00F30EFE">
              <w:rPr>
                <w:lang w:eastAsia="ja-JP"/>
              </w:rPr>
              <w:t>AED</w:t>
            </w:r>
          </w:p>
        </w:tc>
        <w:tc>
          <w:tcPr>
            <w:tcW w:w="6911" w:type="dxa"/>
          </w:tcPr>
          <w:p w14:paraId="11FF268B" w14:textId="77777777" w:rsidR="00246D13" w:rsidRPr="00F30EFE" w:rsidRDefault="00246D13" w:rsidP="00246D13">
            <w:pPr>
              <w:rPr>
                <w:lang w:eastAsia="ja-JP"/>
              </w:rPr>
            </w:pPr>
            <w:r w:rsidRPr="00F30EFE">
              <w:rPr>
                <w:lang w:eastAsia="ja-JP"/>
              </w:rPr>
              <w:t>Anti-epileptic drug</w:t>
            </w:r>
          </w:p>
        </w:tc>
      </w:tr>
      <w:tr w:rsidR="00246D13" w:rsidRPr="00F30EFE" w14:paraId="7E586AF9" w14:textId="77777777" w:rsidTr="00FD119B">
        <w:tc>
          <w:tcPr>
            <w:tcW w:w="1809" w:type="dxa"/>
          </w:tcPr>
          <w:p w14:paraId="4A710744" w14:textId="77777777" w:rsidR="00246D13" w:rsidRPr="00F30EFE" w:rsidRDefault="00246D13" w:rsidP="00246D13">
            <w:r w:rsidRPr="00F30EFE">
              <w:t>ALT</w:t>
            </w:r>
          </w:p>
        </w:tc>
        <w:tc>
          <w:tcPr>
            <w:tcW w:w="6911" w:type="dxa"/>
          </w:tcPr>
          <w:p w14:paraId="6D30A5E0" w14:textId="77777777" w:rsidR="00246D13" w:rsidRPr="00F30EFE" w:rsidRDefault="00246D13" w:rsidP="00246D13">
            <w:r w:rsidRPr="00F30EFE">
              <w:t>Alanine aminotransferase</w:t>
            </w:r>
          </w:p>
        </w:tc>
      </w:tr>
      <w:tr w:rsidR="00246D13" w:rsidRPr="00F30EFE" w14:paraId="7503987D" w14:textId="77777777" w:rsidTr="00FD119B">
        <w:tc>
          <w:tcPr>
            <w:tcW w:w="1809" w:type="dxa"/>
          </w:tcPr>
          <w:p w14:paraId="210CC22D" w14:textId="77777777" w:rsidR="00246D13" w:rsidRPr="00F30EFE" w:rsidRDefault="00246D13" w:rsidP="00246D13">
            <w:r w:rsidRPr="00F30EFE">
              <w:t>ARTG</w:t>
            </w:r>
          </w:p>
        </w:tc>
        <w:tc>
          <w:tcPr>
            <w:tcW w:w="6911" w:type="dxa"/>
          </w:tcPr>
          <w:p w14:paraId="01820B99" w14:textId="77777777" w:rsidR="00246D13" w:rsidRPr="00F30EFE" w:rsidRDefault="00246D13" w:rsidP="00246D13">
            <w:r w:rsidRPr="00F30EFE">
              <w:t>Australian Register of Therapeutic Goods</w:t>
            </w:r>
          </w:p>
        </w:tc>
      </w:tr>
      <w:tr w:rsidR="003877CD" w:rsidRPr="00F30EFE" w14:paraId="4949FB5E" w14:textId="77777777" w:rsidTr="00FD119B">
        <w:tc>
          <w:tcPr>
            <w:tcW w:w="1809" w:type="dxa"/>
          </w:tcPr>
          <w:p w14:paraId="25FDDE30" w14:textId="77777777" w:rsidR="003877CD" w:rsidRPr="00F30EFE" w:rsidRDefault="003877CD" w:rsidP="00246D13">
            <w:r w:rsidRPr="00F30EFE">
              <w:t>ASA</w:t>
            </w:r>
          </w:p>
        </w:tc>
        <w:tc>
          <w:tcPr>
            <w:tcW w:w="6911" w:type="dxa"/>
          </w:tcPr>
          <w:p w14:paraId="17419050" w14:textId="77777777" w:rsidR="003877CD" w:rsidRPr="00F30EFE" w:rsidRDefault="003877CD" w:rsidP="003877CD">
            <w:r w:rsidRPr="00F30EFE">
              <w:t>Australian Specific Annex</w:t>
            </w:r>
          </w:p>
        </w:tc>
      </w:tr>
      <w:tr w:rsidR="00491676" w:rsidRPr="00F30EFE" w14:paraId="1B37704F" w14:textId="77777777" w:rsidTr="00FD119B">
        <w:tc>
          <w:tcPr>
            <w:tcW w:w="1809" w:type="dxa"/>
          </w:tcPr>
          <w:p w14:paraId="363D28BB" w14:textId="77777777" w:rsidR="00491676" w:rsidRPr="00F30EFE" w:rsidRDefault="00491676" w:rsidP="00246D13">
            <w:r w:rsidRPr="00F30EFE">
              <w:t>AUC</w:t>
            </w:r>
          </w:p>
        </w:tc>
        <w:tc>
          <w:tcPr>
            <w:tcW w:w="6911" w:type="dxa"/>
          </w:tcPr>
          <w:p w14:paraId="635050C5" w14:textId="77777777" w:rsidR="00491676" w:rsidRPr="00F30EFE" w:rsidRDefault="00491676" w:rsidP="00246D13">
            <w:r w:rsidRPr="00F30EFE">
              <w:t>Area under the concentration-time curve</w:t>
            </w:r>
          </w:p>
        </w:tc>
      </w:tr>
      <w:tr w:rsidR="00540DD8" w:rsidRPr="00F30EFE" w14:paraId="07976B11" w14:textId="77777777" w:rsidTr="00FD119B">
        <w:tc>
          <w:tcPr>
            <w:tcW w:w="1809" w:type="dxa"/>
          </w:tcPr>
          <w:p w14:paraId="38DC38E7" w14:textId="77777777" w:rsidR="00540DD8" w:rsidRPr="00F30EFE" w:rsidRDefault="00540DD8" w:rsidP="00246D13">
            <w:r w:rsidRPr="00F30EFE">
              <w:t>BCRP</w:t>
            </w:r>
          </w:p>
        </w:tc>
        <w:tc>
          <w:tcPr>
            <w:tcW w:w="6911" w:type="dxa"/>
          </w:tcPr>
          <w:p w14:paraId="737FC437" w14:textId="77777777" w:rsidR="00540DD8" w:rsidRPr="00F30EFE" w:rsidRDefault="00540DD8" w:rsidP="00540DD8">
            <w:r w:rsidRPr="00F30EFE">
              <w:t>Breast cancer resistance protein</w:t>
            </w:r>
          </w:p>
        </w:tc>
      </w:tr>
      <w:tr w:rsidR="005E47B1" w:rsidRPr="00F30EFE" w14:paraId="64C26B41" w14:textId="77777777" w:rsidTr="00FD119B">
        <w:tc>
          <w:tcPr>
            <w:tcW w:w="1809" w:type="dxa"/>
          </w:tcPr>
          <w:p w14:paraId="56F33308" w14:textId="77777777" w:rsidR="005E47B1" w:rsidRPr="00F30EFE" w:rsidRDefault="005E47B1" w:rsidP="00246D13">
            <w:r w:rsidRPr="00F30EFE">
              <w:t>BCS</w:t>
            </w:r>
          </w:p>
        </w:tc>
        <w:tc>
          <w:tcPr>
            <w:tcW w:w="6911" w:type="dxa"/>
          </w:tcPr>
          <w:p w14:paraId="4AF99B2A" w14:textId="77777777" w:rsidR="005E47B1" w:rsidRPr="00F30EFE" w:rsidRDefault="005E47B1" w:rsidP="005E47B1">
            <w:r w:rsidRPr="00F30EFE">
              <w:t>Biopharmaceutical Classification System</w:t>
            </w:r>
          </w:p>
        </w:tc>
      </w:tr>
      <w:tr w:rsidR="00246D13" w:rsidRPr="00F30EFE" w14:paraId="101B102A" w14:textId="77777777" w:rsidTr="00FD119B">
        <w:tc>
          <w:tcPr>
            <w:tcW w:w="1809" w:type="dxa"/>
          </w:tcPr>
          <w:p w14:paraId="11998404" w14:textId="77777777" w:rsidR="00246D13" w:rsidRPr="00F30EFE" w:rsidRDefault="00246D13" w:rsidP="00246D13">
            <w:pPr>
              <w:rPr>
                <w:lang w:eastAsia="ja-JP"/>
              </w:rPr>
            </w:pPr>
            <w:r w:rsidRPr="00F30EFE">
              <w:rPr>
                <w:lang w:eastAsia="ja-JP"/>
              </w:rPr>
              <w:t>CHMP</w:t>
            </w:r>
          </w:p>
        </w:tc>
        <w:tc>
          <w:tcPr>
            <w:tcW w:w="6911" w:type="dxa"/>
          </w:tcPr>
          <w:p w14:paraId="496A5A67" w14:textId="77777777" w:rsidR="00246D13" w:rsidRPr="00F30EFE" w:rsidRDefault="00246D13" w:rsidP="00246D13">
            <w:pPr>
              <w:rPr>
                <w:lang w:eastAsia="ja-JP"/>
              </w:rPr>
            </w:pPr>
            <w:r w:rsidRPr="00F30EFE">
              <w:rPr>
                <w:lang w:eastAsia="ja-JP"/>
              </w:rPr>
              <w:t>Committee for Medicinal Products for Human Use (EU)</w:t>
            </w:r>
          </w:p>
        </w:tc>
      </w:tr>
      <w:tr w:rsidR="00E84D5C" w:rsidRPr="00F30EFE" w14:paraId="02911C77" w14:textId="77777777" w:rsidTr="00FD119B">
        <w:tc>
          <w:tcPr>
            <w:tcW w:w="1809" w:type="dxa"/>
          </w:tcPr>
          <w:p w14:paraId="7947E090" w14:textId="77777777" w:rsidR="00E84D5C" w:rsidRPr="00F30EFE" w:rsidRDefault="00E84D5C" w:rsidP="00246D13">
            <w:pPr>
              <w:rPr>
                <w:lang w:eastAsia="ja-JP"/>
              </w:rPr>
            </w:pPr>
            <w:r w:rsidRPr="00F30EFE">
              <w:rPr>
                <w:lang w:eastAsia="ja-JP"/>
              </w:rPr>
              <w:t>CI</w:t>
            </w:r>
          </w:p>
        </w:tc>
        <w:tc>
          <w:tcPr>
            <w:tcW w:w="6911" w:type="dxa"/>
          </w:tcPr>
          <w:p w14:paraId="557EF530" w14:textId="77777777" w:rsidR="00E84D5C" w:rsidRPr="00F30EFE" w:rsidRDefault="00E84D5C" w:rsidP="00246D13">
            <w:pPr>
              <w:rPr>
                <w:lang w:eastAsia="ja-JP"/>
              </w:rPr>
            </w:pPr>
            <w:r w:rsidRPr="00F30EFE">
              <w:rPr>
                <w:lang w:eastAsia="ja-JP"/>
              </w:rPr>
              <w:t>Confidence interval</w:t>
            </w:r>
          </w:p>
        </w:tc>
      </w:tr>
      <w:tr w:rsidR="00246D13" w:rsidRPr="00F30EFE" w14:paraId="6F82B3C9" w14:textId="77777777" w:rsidTr="00FD119B">
        <w:tc>
          <w:tcPr>
            <w:tcW w:w="1809" w:type="dxa"/>
          </w:tcPr>
          <w:p w14:paraId="13FDB589" w14:textId="77777777" w:rsidR="00246D13" w:rsidRPr="00F30EFE" w:rsidRDefault="00246D13" w:rsidP="00246D13">
            <w:r w:rsidRPr="00F30EFE">
              <w:t>CLB</w:t>
            </w:r>
          </w:p>
        </w:tc>
        <w:tc>
          <w:tcPr>
            <w:tcW w:w="6911" w:type="dxa"/>
          </w:tcPr>
          <w:p w14:paraId="0729F402" w14:textId="77777777" w:rsidR="00246D13" w:rsidRPr="00F30EFE" w:rsidRDefault="00246D13" w:rsidP="00246D13">
            <w:r w:rsidRPr="00F30EFE">
              <w:t>Clobazam</w:t>
            </w:r>
          </w:p>
        </w:tc>
      </w:tr>
      <w:tr w:rsidR="006A226A" w:rsidRPr="00F30EFE" w14:paraId="08E5FA89" w14:textId="77777777" w:rsidTr="00FD119B">
        <w:tc>
          <w:tcPr>
            <w:tcW w:w="1809" w:type="dxa"/>
          </w:tcPr>
          <w:p w14:paraId="043815AB" w14:textId="77777777" w:rsidR="006A226A" w:rsidRPr="00F30EFE" w:rsidRDefault="006A226A" w:rsidP="00246D13">
            <w:r w:rsidRPr="00F30EFE">
              <w:t>CL/F</w:t>
            </w:r>
          </w:p>
        </w:tc>
        <w:tc>
          <w:tcPr>
            <w:tcW w:w="6911" w:type="dxa"/>
          </w:tcPr>
          <w:p w14:paraId="76A3E71B" w14:textId="77777777" w:rsidR="006A226A" w:rsidRPr="00F30EFE" w:rsidRDefault="006A226A" w:rsidP="00246D13">
            <w:r w:rsidRPr="00F30EFE">
              <w:t>Apparent clearance</w:t>
            </w:r>
          </w:p>
        </w:tc>
      </w:tr>
      <w:tr w:rsidR="0089289F" w:rsidRPr="00F30EFE" w14:paraId="5EADF41E" w14:textId="77777777" w:rsidTr="00FD119B">
        <w:tc>
          <w:tcPr>
            <w:tcW w:w="1809" w:type="dxa"/>
          </w:tcPr>
          <w:p w14:paraId="79C919D4" w14:textId="77777777" w:rsidR="0089289F" w:rsidRPr="00F30EFE" w:rsidRDefault="0089289F" w:rsidP="00246D13">
            <w:r w:rsidRPr="00F30EFE">
              <w:t>C</w:t>
            </w:r>
            <w:r w:rsidRPr="00F30EFE">
              <w:rPr>
                <w:vertAlign w:val="subscript"/>
              </w:rPr>
              <w:t>max</w:t>
            </w:r>
          </w:p>
        </w:tc>
        <w:tc>
          <w:tcPr>
            <w:tcW w:w="6911" w:type="dxa"/>
          </w:tcPr>
          <w:p w14:paraId="32F0E5D5" w14:textId="77777777" w:rsidR="0089289F" w:rsidRPr="00F30EFE" w:rsidRDefault="0089289F" w:rsidP="00246D13">
            <w:r w:rsidRPr="00F30EFE">
              <w:t>Maximum plasma concentration</w:t>
            </w:r>
          </w:p>
        </w:tc>
      </w:tr>
      <w:tr w:rsidR="003C03F3" w:rsidRPr="00F30EFE" w14:paraId="4BBE0504" w14:textId="77777777" w:rsidTr="00FD119B">
        <w:tc>
          <w:tcPr>
            <w:tcW w:w="1809" w:type="dxa"/>
          </w:tcPr>
          <w:p w14:paraId="527B17A3" w14:textId="77777777" w:rsidR="003C03F3" w:rsidRPr="00F30EFE" w:rsidRDefault="003C03F3" w:rsidP="00246D13">
            <w:r w:rsidRPr="00F30EFE">
              <w:rPr>
                <w:bCs/>
              </w:rPr>
              <w:t>CMI</w:t>
            </w:r>
          </w:p>
        </w:tc>
        <w:tc>
          <w:tcPr>
            <w:tcW w:w="6911" w:type="dxa"/>
          </w:tcPr>
          <w:p w14:paraId="5746A1E7" w14:textId="77777777" w:rsidR="003C03F3" w:rsidRPr="00F30EFE" w:rsidRDefault="003C03F3" w:rsidP="003C03F3">
            <w:r w:rsidRPr="00F30EFE">
              <w:rPr>
                <w:bCs/>
              </w:rPr>
              <w:t>Consumer Medicines Information</w:t>
            </w:r>
          </w:p>
        </w:tc>
      </w:tr>
      <w:tr w:rsidR="002648A0" w:rsidRPr="00F30EFE" w14:paraId="57B08F63" w14:textId="77777777" w:rsidTr="00FD119B">
        <w:tc>
          <w:tcPr>
            <w:tcW w:w="1809" w:type="dxa"/>
          </w:tcPr>
          <w:p w14:paraId="53D34C15" w14:textId="77777777" w:rsidR="002648A0" w:rsidRPr="00F30EFE" w:rsidRDefault="002648A0" w:rsidP="00246D13">
            <w:r w:rsidRPr="00F30EFE">
              <w:rPr>
                <w:szCs w:val="22"/>
              </w:rPr>
              <w:t>C</w:t>
            </w:r>
            <w:r w:rsidRPr="00F30EFE">
              <w:rPr>
                <w:szCs w:val="22"/>
                <w:vertAlign w:val="subscript"/>
              </w:rPr>
              <w:t>min</w:t>
            </w:r>
          </w:p>
        </w:tc>
        <w:tc>
          <w:tcPr>
            <w:tcW w:w="6911" w:type="dxa"/>
          </w:tcPr>
          <w:p w14:paraId="6C1AB577" w14:textId="77777777" w:rsidR="002648A0" w:rsidRPr="00F30EFE" w:rsidRDefault="002648A0" w:rsidP="002648A0">
            <w:r w:rsidRPr="00F30EFE">
              <w:rPr>
                <w:szCs w:val="22"/>
              </w:rPr>
              <w:t>Minimum plasma concentration</w:t>
            </w:r>
          </w:p>
        </w:tc>
      </w:tr>
      <w:tr w:rsidR="00246D13" w:rsidRPr="00F30EFE" w14:paraId="6BE4DA99" w14:textId="77777777" w:rsidTr="00FD119B">
        <w:tc>
          <w:tcPr>
            <w:tcW w:w="1809" w:type="dxa"/>
          </w:tcPr>
          <w:p w14:paraId="2B79BE3B" w14:textId="77777777" w:rsidR="00246D13" w:rsidRPr="00F30EFE" w:rsidRDefault="00246D13" w:rsidP="00246D13">
            <w:r w:rsidRPr="00F30EFE">
              <w:t>CNS</w:t>
            </w:r>
          </w:p>
        </w:tc>
        <w:tc>
          <w:tcPr>
            <w:tcW w:w="6911" w:type="dxa"/>
          </w:tcPr>
          <w:p w14:paraId="78839B2C" w14:textId="77777777" w:rsidR="00246D13" w:rsidRPr="00F30EFE" w:rsidRDefault="00246D13" w:rsidP="00246D13">
            <w:r w:rsidRPr="00F30EFE">
              <w:t>Central nervous system</w:t>
            </w:r>
          </w:p>
        </w:tc>
      </w:tr>
      <w:tr w:rsidR="00540DD8" w:rsidRPr="00F30EFE" w14:paraId="5707E73C" w14:textId="77777777" w:rsidTr="00FD119B">
        <w:tc>
          <w:tcPr>
            <w:tcW w:w="1809" w:type="dxa"/>
          </w:tcPr>
          <w:p w14:paraId="45A303E9" w14:textId="77777777" w:rsidR="00540DD8" w:rsidRPr="00F30EFE" w:rsidRDefault="00540DD8" w:rsidP="00246D13">
            <w:pPr>
              <w:rPr>
                <w:lang w:eastAsia="ja-JP"/>
              </w:rPr>
            </w:pPr>
            <w:r w:rsidRPr="00F30EFE">
              <w:t>CYP1A2</w:t>
            </w:r>
          </w:p>
        </w:tc>
        <w:tc>
          <w:tcPr>
            <w:tcW w:w="6911" w:type="dxa"/>
          </w:tcPr>
          <w:p w14:paraId="19D9E3E1" w14:textId="77777777" w:rsidR="00540DD8" w:rsidRPr="00F30EFE" w:rsidRDefault="00540DD8" w:rsidP="00540DD8">
            <w:pPr>
              <w:rPr>
                <w:lang w:eastAsia="ja-JP"/>
              </w:rPr>
            </w:pPr>
            <w:r w:rsidRPr="00F30EFE">
              <w:t>Cytochrome P450 1A2</w:t>
            </w:r>
          </w:p>
        </w:tc>
      </w:tr>
      <w:tr w:rsidR="00540DD8" w:rsidRPr="00F30EFE" w14:paraId="165D9C43" w14:textId="77777777" w:rsidTr="00FD119B">
        <w:tc>
          <w:tcPr>
            <w:tcW w:w="1809" w:type="dxa"/>
          </w:tcPr>
          <w:p w14:paraId="653EC0FC" w14:textId="77777777" w:rsidR="00540DD8" w:rsidRPr="00F30EFE" w:rsidRDefault="00540DD8" w:rsidP="00246D13">
            <w:r w:rsidRPr="00F30EFE">
              <w:t>CYP2B/3A</w:t>
            </w:r>
          </w:p>
        </w:tc>
        <w:tc>
          <w:tcPr>
            <w:tcW w:w="6911" w:type="dxa"/>
          </w:tcPr>
          <w:p w14:paraId="337E7BBC" w14:textId="77777777" w:rsidR="00540DD8" w:rsidRPr="00F30EFE" w:rsidRDefault="00540DD8" w:rsidP="00540DD8">
            <w:r w:rsidRPr="00F30EFE">
              <w:t>Cytochromes P450 2B/3A</w:t>
            </w:r>
          </w:p>
        </w:tc>
      </w:tr>
      <w:tr w:rsidR="00246D13" w:rsidRPr="00F30EFE" w14:paraId="246619F8" w14:textId="77777777" w:rsidTr="00FD119B">
        <w:tc>
          <w:tcPr>
            <w:tcW w:w="1809" w:type="dxa"/>
          </w:tcPr>
          <w:p w14:paraId="20407C53" w14:textId="77777777" w:rsidR="00246D13" w:rsidRPr="00F30EFE" w:rsidRDefault="00246D13" w:rsidP="00246D13">
            <w:pPr>
              <w:rPr>
                <w:lang w:eastAsia="ja-JP"/>
              </w:rPr>
            </w:pPr>
            <w:r w:rsidRPr="00F30EFE">
              <w:rPr>
                <w:lang w:eastAsia="ja-JP"/>
              </w:rPr>
              <w:t>EMA</w:t>
            </w:r>
          </w:p>
        </w:tc>
        <w:tc>
          <w:tcPr>
            <w:tcW w:w="6911" w:type="dxa"/>
          </w:tcPr>
          <w:p w14:paraId="64EE48A7" w14:textId="4FBFE013" w:rsidR="00246D13" w:rsidRPr="00F30EFE" w:rsidRDefault="00246D13" w:rsidP="00246D13">
            <w:pPr>
              <w:rPr>
                <w:lang w:eastAsia="ja-JP"/>
              </w:rPr>
            </w:pPr>
            <w:r w:rsidRPr="00F30EFE">
              <w:rPr>
                <w:lang w:eastAsia="ja-JP"/>
              </w:rPr>
              <w:t>European Medicines Agency</w:t>
            </w:r>
            <w:r w:rsidR="00FB062B">
              <w:rPr>
                <w:lang w:eastAsia="ja-JP"/>
              </w:rPr>
              <w:t xml:space="preserve"> (EU)</w:t>
            </w:r>
          </w:p>
        </w:tc>
      </w:tr>
      <w:tr w:rsidR="00246D13" w:rsidRPr="00F30EFE" w14:paraId="5E6BF588" w14:textId="77777777" w:rsidTr="00FD119B">
        <w:tc>
          <w:tcPr>
            <w:tcW w:w="1809" w:type="dxa"/>
          </w:tcPr>
          <w:p w14:paraId="7BFEF6C3" w14:textId="77777777" w:rsidR="00246D13" w:rsidRPr="00F30EFE" w:rsidRDefault="00246D13" w:rsidP="00246D13">
            <w:pPr>
              <w:rPr>
                <w:lang w:eastAsia="ja-JP"/>
              </w:rPr>
            </w:pPr>
            <w:r w:rsidRPr="00F30EFE">
              <w:rPr>
                <w:lang w:eastAsia="ja-JP"/>
              </w:rPr>
              <w:t>EU</w:t>
            </w:r>
          </w:p>
        </w:tc>
        <w:tc>
          <w:tcPr>
            <w:tcW w:w="6911" w:type="dxa"/>
          </w:tcPr>
          <w:p w14:paraId="7F4D9577" w14:textId="77777777" w:rsidR="00246D13" w:rsidRPr="00F30EFE" w:rsidRDefault="00246D13" w:rsidP="00246D13">
            <w:pPr>
              <w:rPr>
                <w:lang w:eastAsia="ja-JP"/>
              </w:rPr>
            </w:pPr>
            <w:r w:rsidRPr="00F30EFE">
              <w:rPr>
                <w:lang w:eastAsia="ja-JP"/>
              </w:rPr>
              <w:t>European Union</w:t>
            </w:r>
          </w:p>
        </w:tc>
      </w:tr>
      <w:tr w:rsidR="00BB2E75" w:rsidRPr="00F30EFE" w14:paraId="1EFF6B61" w14:textId="77777777" w:rsidTr="00FD119B">
        <w:tc>
          <w:tcPr>
            <w:tcW w:w="1809" w:type="dxa"/>
          </w:tcPr>
          <w:p w14:paraId="6EB7539F" w14:textId="77777777" w:rsidR="00BB2E75" w:rsidRPr="00F30EFE" w:rsidRDefault="00BB2E75" w:rsidP="00246D13">
            <w:pPr>
              <w:rPr>
                <w:lang w:eastAsia="ja-JP"/>
              </w:rPr>
            </w:pPr>
            <w:r w:rsidRPr="00F30EFE">
              <w:t>EU-RMP</w:t>
            </w:r>
          </w:p>
        </w:tc>
        <w:tc>
          <w:tcPr>
            <w:tcW w:w="6911" w:type="dxa"/>
          </w:tcPr>
          <w:p w14:paraId="0A0FE636" w14:textId="77777777" w:rsidR="00BB2E75" w:rsidRPr="00F30EFE" w:rsidRDefault="00BB2E75" w:rsidP="00BB2E75">
            <w:pPr>
              <w:rPr>
                <w:lang w:eastAsia="ja-JP"/>
              </w:rPr>
            </w:pPr>
            <w:r w:rsidRPr="00F30EFE">
              <w:t>European Union–Risk Management Plan</w:t>
            </w:r>
          </w:p>
        </w:tc>
      </w:tr>
      <w:tr w:rsidR="00246D13" w:rsidRPr="00F30EFE" w14:paraId="22492A8C" w14:textId="77777777" w:rsidTr="00FD119B">
        <w:tc>
          <w:tcPr>
            <w:tcW w:w="1809" w:type="dxa"/>
          </w:tcPr>
          <w:p w14:paraId="47C71FD6" w14:textId="77777777" w:rsidR="00246D13" w:rsidRPr="00F30EFE" w:rsidRDefault="00246D13" w:rsidP="00246D13">
            <w:r w:rsidRPr="00F30EFE">
              <w:rPr>
                <w:lang w:eastAsia="ja-JP"/>
              </w:rPr>
              <w:t>FaSSIF</w:t>
            </w:r>
          </w:p>
        </w:tc>
        <w:tc>
          <w:tcPr>
            <w:tcW w:w="6911" w:type="dxa"/>
          </w:tcPr>
          <w:p w14:paraId="3D1D260A" w14:textId="62462BBB" w:rsidR="00246D13" w:rsidRPr="00F30EFE" w:rsidRDefault="00FB062B" w:rsidP="00FB062B">
            <w:pPr>
              <w:rPr>
                <w:lang w:eastAsia="ja-JP"/>
              </w:rPr>
            </w:pPr>
            <w:r w:rsidRPr="00F30EFE">
              <w:rPr>
                <w:lang w:eastAsia="ja-JP"/>
              </w:rPr>
              <w:t xml:space="preserve">Fasted </w:t>
            </w:r>
            <w:r>
              <w:rPr>
                <w:lang w:eastAsia="ja-JP"/>
              </w:rPr>
              <w:t>s</w:t>
            </w:r>
            <w:r w:rsidRPr="00F30EFE">
              <w:rPr>
                <w:lang w:eastAsia="ja-JP"/>
              </w:rPr>
              <w:t xml:space="preserve">tate </w:t>
            </w:r>
            <w:r>
              <w:rPr>
                <w:lang w:eastAsia="ja-JP"/>
              </w:rPr>
              <w:t>s</w:t>
            </w:r>
            <w:r w:rsidRPr="00F30EFE">
              <w:rPr>
                <w:lang w:eastAsia="ja-JP"/>
              </w:rPr>
              <w:t xml:space="preserve">imulated </w:t>
            </w:r>
            <w:r>
              <w:rPr>
                <w:lang w:eastAsia="ja-JP"/>
              </w:rPr>
              <w:t>i</w:t>
            </w:r>
            <w:r w:rsidRPr="00F30EFE">
              <w:rPr>
                <w:lang w:eastAsia="ja-JP"/>
              </w:rPr>
              <w:t xml:space="preserve">ntestinal </w:t>
            </w:r>
            <w:r>
              <w:rPr>
                <w:lang w:eastAsia="ja-JP"/>
              </w:rPr>
              <w:t>f</w:t>
            </w:r>
            <w:r w:rsidRPr="00F30EFE">
              <w:rPr>
                <w:lang w:eastAsia="ja-JP"/>
              </w:rPr>
              <w:t>luid</w:t>
            </w:r>
          </w:p>
        </w:tc>
      </w:tr>
      <w:tr w:rsidR="00246D13" w:rsidRPr="00F30EFE" w14:paraId="6465616D" w14:textId="77777777" w:rsidTr="00FD119B">
        <w:tc>
          <w:tcPr>
            <w:tcW w:w="1809" w:type="dxa"/>
          </w:tcPr>
          <w:p w14:paraId="6BF1F953" w14:textId="77777777" w:rsidR="00246D13" w:rsidRPr="00F30EFE" w:rsidRDefault="00246D13" w:rsidP="00246D13">
            <w:r w:rsidRPr="00F30EFE">
              <w:rPr>
                <w:lang w:eastAsia="ja-JP"/>
              </w:rPr>
              <w:t>FeSSIF</w:t>
            </w:r>
          </w:p>
        </w:tc>
        <w:tc>
          <w:tcPr>
            <w:tcW w:w="6911" w:type="dxa"/>
          </w:tcPr>
          <w:p w14:paraId="3CF6D565" w14:textId="419BBBFE" w:rsidR="00246D13" w:rsidRPr="00F30EFE" w:rsidRDefault="00246D13" w:rsidP="00FB062B">
            <w:pPr>
              <w:rPr>
                <w:lang w:eastAsia="ja-JP"/>
              </w:rPr>
            </w:pPr>
            <w:r w:rsidRPr="00F30EFE">
              <w:rPr>
                <w:lang w:eastAsia="ja-JP"/>
              </w:rPr>
              <w:t xml:space="preserve">Fed </w:t>
            </w:r>
            <w:r w:rsidR="00FB062B" w:rsidRPr="00F30EFE">
              <w:rPr>
                <w:lang w:eastAsia="ja-JP"/>
              </w:rPr>
              <w:t>state simulated intestinal fluid</w:t>
            </w:r>
            <w:r w:rsidR="00FB062B" w:rsidRPr="00F30EFE" w:rsidDel="00FB062B">
              <w:rPr>
                <w:lang w:eastAsia="ja-JP"/>
              </w:rPr>
              <w:t xml:space="preserve"> </w:t>
            </w:r>
          </w:p>
        </w:tc>
      </w:tr>
      <w:tr w:rsidR="00D71869" w:rsidRPr="00F30EFE" w14:paraId="1FD299CD" w14:textId="77777777" w:rsidTr="00FD119B">
        <w:tc>
          <w:tcPr>
            <w:tcW w:w="1809" w:type="dxa"/>
          </w:tcPr>
          <w:p w14:paraId="2057755B" w14:textId="77777777" w:rsidR="00D71869" w:rsidRPr="00F30EFE" w:rsidRDefault="00D71869" w:rsidP="00246D13">
            <w:r w:rsidRPr="00F30EFE">
              <w:lastRenderedPageBreak/>
              <w:t>GABA</w:t>
            </w:r>
          </w:p>
        </w:tc>
        <w:tc>
          <w:tcPr>
            <w:tcW w:w="6911" w:type="dxa"/>
          </w:tcPr>
          <w:p w14:paraId="563DE6F8" w14:textId="51E28647" w:rsidR="00D71869" w:rsidRPr="00F30EFE" w:rsidRDefault="00FB062B" w:rsidP="00D71869">
            <w:r>
              <w:t>Gamma (</w:t>
            </w:r>
            <w:r w:rsidR="00D71869" w:rsidRPr="00F30EFE">
              <w:t>γ</w:t>
            </w:r>
            <w:r>
              <w:t>)</w:t>
            </w:r>
            <w:r w:rsidR="00D71869" w:rsidRPr="00F30EFE">
              <w:t>-aminobutyric acid</w:t>
            </w:r>
          </w:p>
        </w:tc>
      </w:tr>
      <w:tr w:rsidR="00246D13" w:rsidRPr="00F30EFE" w14:paraId="4D96B2B5" w14:textId="77777777" w:rsidTr="00FD119B">
        <w:tc>
          <w:tcPr>
            <w:tcW w:w="1809" w:type="dxa"/>
          </w:tcPr>
          <w:p w14:paraId="6D6321EA" w14:textId="77777777" w:rsidR="00246D13" w:rsidRPr="00F30EFE" w:rsidRDefault="00246D13" w:rsidP="00246D13">
            <w:r w:rsidRPr="00F30EFE">
              <w:t>GGT</w:t>
            </w:r>
          </w:p>
        </w:tc>
        <w:tc>
          <w:tcPr>
            <w:tcW w:w="6911" w:type="dxa"/>
          </w:tcPr>
          <w:p w14:paraId="0F19030D" w14:textId="32A801E3" w:rsidR="00246D13" w:rsidRPr="00F30EFE" w:rsidRDefault="003C03F3" w:rsidP="00246D13">
            <w:r w:rsidRPr="00F30EFE">
              <w:t>Gamma</w:t>
            </w:r>
            <w:r w:rsidR="00FB062B">
              <w:t>(</w:t>
            </w:r>
            <w:r w:rsidR="00FB062B" w:rsidRPr="00F30EFE">
              <w:t>γ</w:t>
            </w:r>
            <w:r w:rsidR="00FB062B">
              <w:t>)-</w:t>
            </w:r>
            <w:r w:rsidRPr="00F30EFE">
              <w:t>glutamyl transferase</w:t>
            </w:r>
          </w:p>
        </w:tc>
      </w:tr>
      <w:tr w:rsidR="00DF44AB" w:rsidRPr="00F30EFE" w14:paraId="253BE936" w14:textId="77777777" w:rsidTr="00FD119B">
        <w:tc>
          <w:tcPr>
            <w:tcW w:w="1809" w:type="dxa"/>
          </w:tcPr>
          <w:p w14:paraId="2952B14E" w14:textId="77777777" w:rsidR="00DF44AB" w:rsidRPr="00F30EFE" w:rsidRDefault="00DF44AB" w:rsidP="00246D13">
            <w:r w:rsidRPr="00F30EFE">
              <w:t>GIT</w:t>
            </w:r>
          </w:p>
        </w:tc>
        <w:tc>
          <w:tcPr>
            <w:tcW w:w="6911" w:type="dxa"/>
          </w:tcPr>
          <w:p w14:paraId="6468D839" w14:textId="77777777" w:rsidR="00DF44AB" w:rsidRPr="00F30EFE" w:rsidRDefault="00DF44AB" w:rsidP="00DF44AB">
            <w:r w:rsidRPr="00F30EFE">
              <w:t>Gastrointestinal tract</w:t>
            </w:r>
          </w:p>
        </w:tc>
      </w:tr>
      <w:tr w:rsidR="00540DD8" w:rsidRPr="00F30EFE" w14:paraId="596ADC9A" w14:textId="77777777" w:rsidTr="00FD119B">
        <w:tc>
          <w:tcPr>
            <w:tcW w:w="1809" w:type="dxa"/>
          </w:tcPr>
          <w:p w14:paraId="066E82AE" w14:textId="77777777" w:rsidR="00540DD8" w:rsidRPr="00F30EFE" w:rsidRDefault="00540DD8" w:rsidP="00246D13">
            <w:r w:rsidRPr="00F30EFE">
              <w:t>GLP</w:t>
            </w:r>
          </w:p>
        </w:tc>
        <w:tc>
          <w:tcPr>
            <w:tcW w:w="6911" w:type="dxa"/>
          </w:tcPr>
          <w:p w14:paraId="5897FA51" w14:textId="77777777" w:rsidR="00540DD8" w:rsidRPr="00F30EFE" w:rsidRDefault="00540DD8" w:rsidP="00540DD8">
            <w:r w:rsidRPr="00F30EFE">
              <w:t>Good Laboratory Practice</w:t>
            </w:r>
          </w:p>
        </w:tc>
      </w:tr>
      <w:tr w:rsidR="00F61F96" w:rsidRPr="00F30EFE" w14:paraId="574C2C18" w14:textId="77777777" w:rsidTr="00FD119B">
        <w:tc>
          <w:tcPr>
            <w:tcW w:w="1809" w:type="dxa"/>
          </w:tcPr>
          <w:p w14:paraId="739DDE5A" w14:textId="77777777" w:rsidR="00F61F96" w:rsidRPr="00F30EFE" w:rsidRDefault="00F61F96" w:rsidP="00246D13">
            <w:r w:rsidRPr="00F30EFE">
              <w:t>GVP</w:t>
            </w:r>
          </w:p>
        </w:tc>
        <w:tc>
          <w:tcPr>
            <w:tcW w:w="6911" w:type="dxa"/>
          </w:tcPr>
          <w:p w14:paraId="0A681DCE" w14:textId="1133CB75" w:rsidR="00F61F96" w:rsidRPr="00F30EFE" w:rsidRDefault="00F61F96" w:rsidP="00F61F96">
            <w:r w:rsidRPr="00F30EFE">
              <w:t>Good Pharmacovigilance Practice</w:t>
            </w:r>
            <w:r w:rsidR="00FB062B">
              <w:t>(</w:t>
            </w:r>
            <w:r w:rsidRPr="00F30EFE">
              <w:t>s</w:t>
            </w:r>
            <w:r w:rsidR="00FB062B">
              <w:t>)</w:t>
            </w:r>
          </w:p>
        </w:tc>
      </w:tr>
      <w:tr w:rsidR="00003BFA" w:rsidRPr="00F30EFE" w14:paraId="25B67196" w14:textId="77777777" w:rsidTr="00FD119B">
        <w:tc>
          <w:tcPr>
            <w:tcW w:w="1809" w:type="dxa"/>
          </w:tcPr>
          <w:p w14:paraId="204480C5" w14:textId="77777777" w:rsidR="00003BFA" w:rsidRPr="00F30EFE" w:rsidRDefault="00003BFA" w:rsidP="00246D13">
            <w:r w:rsidRPr="00F30EFE">
              <w:t>h</w:t>
            </w:r>
          </w:p>
        </w:tc>
        <w:tc>
          <w:tcPr>
            <w:tcW w:w="6911" w:type="dxa"/>
          </w:tcPr>
          <w:p w14:paraId="7F0CB631" w14:textId="1B26B672" w:rsidR="00003BFA" w:rsidRPr="00F30EFE" w:rsidRDefault="00003BFA" w:rsidP="00246D13">
            <w:r w:rsidRPr="00F30EFE">
              <w:t>Hour(s)</w:t>
            </w:r>
          </w:p>
        </w:tc>
      </w:tr>
      <w:tr w:rsidR="00F1790A" w:rsidRPr="00F30EFE" w14:paraId="617A70C1" w14:textId="77777777" w:rsidTr="00FD119B">
        <w:tc>
          <w:tcPr>
            <w:tcW w:w="1809" w:type="dxa"/>
          </w:tcPr>
          <w:p w14:paraId="2354D8DF" w14:textId="31448AB5" w:rsidR="00F1790A" w:rsidRPr="00F30EFE" w:rsidRDefault="00F1790A" w:rsidP="00246D13">
            <w:r>
              <w:t>ICH</w:t>
            </w:r>
          </w:p>
        </w:tc>
        <w:tc>
          <w:tcPr>
            <w:tcW w:w="6911" w:type="dxa"/>
          </w:tcPr>
          <w:p w14:paraId="0910B849" w14:textId="2D8A1F7E" w:rsidR="00F1790A" w:rsidRPr="00F30EFE" w:rsidRDefault="00F1790A" w:rsidP="00246D13">
            <w:r>
              <w:t>International Conference on Harmonisation</w:t>
            </w:r>
          </w:p>
        </w:tc>
      </w:tr>
      <w:tr w:rsidR="00246D13" w:rsidRPr="00F30EFE" w14:paraId="2B2AD5A8" w14:textId="77777777" w:rsidTr="00FD119B">
        <w:tc>
          <w:tcPr>
            <w:tcW w:w="1809" w:type="dxa"/>
          </w:tcPr>
          <w:p w14:paraId="63303DAA" w14:textId="77777777" w:rsidR="00246D13" w:rsidRPr="00F30EFE" w:rsidRDefault="00246D13" w:rsidP="00246D13">
            <w:r w:rsidRPr="00F30EFE">
              <w:rPr>
                <w:lang w:eastAsia="ja-JP"/>
              </w:rPr>
              <w:t>ISE</w:t>
            </w:r>
          </w:p>
        </w:tc>
        <w:tc>
          <w:tcPr>
            <w:tcW w:w="6911" w:type="dxa"/>
          </w:tcPr>
          <w:p w14:paraId="4CBA891C" w14:textId="77777777" w:rsidR="00246D13" w:rsidRPr="00F30EFE" w:rsidRDefault="00246D13" w:rsidP="00246D13">
            <w:pPr>
              <w:rPr>
                <w:lang w:eastAsia="ja-JP"/>
              </w:rPr>
            </w:pPr>
            <w:r w:rsidRPr="00F30EFE">
              <w:rPr>
                <w:lang w:eastAsia="ja-JP"/>
              </w:rPr>
              <w:t>Integrated Summary of Effectiveness</w:t>
            </w:r>
          </w:p>
        </w:tc>
      </w:tr>
      <w:tr w:rsidR="00397EAE" w:rsidRPr="00F30EFE" w14:paraId="5742153B" w14:textId="77777777" w:rsidTr="00FD119B">
        <w:tc>
          <w:tcPr>
            <w:tcW w:w="1809" w:type="dxa"/>
          </w:tcPr>
          <w:p w14:paraId="255369BF" w14:textId="77777777" w:rsidR="00397EAE" w:rsidRPr="00F30EFE" w:rsidRDefault="00397EAE" w:rsidP="00246D13">
            <w:pPr>
              <w:rPr>
                <w:lang w:eastAsia="ja-JP"/>
              </w:rPr>
            </w:pPr>
            <w:r w:rsidRPr="00F30EFE">
              <w:rPr>
                <w:lang w:eastAsia="ja-JP"/>
              </w:rPr>
              <w:t>ITT</w:t>
            </w:r>
          </w:p>
        </w:tc>
        <w:tc>
          <w:tcPr>
            <w:tcW w:w="6911" w:type="dxa"/>
          </w:tcPr>
          <w:p w14:paraId="0C0C8474" w14:textId="77777777" w:rsidR="00397EAE" w:rsidRPr="00F30EFE" w:rsidRDefault="00397EAE" w:rsidP="00397EAE">
            <w:pPr>
              <w:rPr>
                <w:lang w:eastAsia="ja-JP"/>
              </w:rPr>
            </w:pPr>
            <w:r w:rsidRPr="00F30EFE">
              <w:rPr>
                <w:lang w:eastAsia="ja-JP"/>
              </w:rPr>
              <w:t>Intention to treat</w:t>
            </w:r>
          </w:p>
        </w:tc>
      </w:tr>
      <w:tr w:rsidR="00DF44AB" w:rsidRPr="00F30EFE" w14:paraId="76696B1D" w14:textId="77777777" w:rsidTr="00FD119B">
        <w:tc>
          <w:tcPr>
            <w:tcW w:w="1809" w:type="dxa"/>
          </w:tcPr>
          <w:p w14:paraId="1D355007" w14:textId="1755C84A" w:rsidR="00DF44AB" w:rsidRPr="00F30EFE" w:rsidRDefault="00DF44AB" w:rsidP="00246D13">
            <w:r w:rsidRPr="00F30EFE">
              <w:t>LFT</w:t>
            </w:r>
          </w:p>
        </w:tc>
        <w:tc>
          <w:tcPr>
            <w:tcW w:w="6911" w:type="dxa"/>
          </w:tcPr>
          <w:p w14:paraId="214BDCFC" w14:textId="0492F54E" w:rsidR="00DF44AB" w:rsidRPr="00F30EFE" w:rsidRDefault="00DF44AB" w:rsidP="00DF44AB">
            <w:r w:rsidRPr="00F30EFE">
              <w:t>Liver function test</w:t>
            </w:r>
          </w:p>
        </w:tc>
      </w:tr>
      <w:tr w:rsidR="00003BFA" w:rsidRPr="00F30EFE" w14:paraId="45C2705B" w14:textId="77777777" w:rsidTr="00FD119B">
        <w:tc>
          <w:tcPr>
            <w:tcW w:w="1809" w:type="dxa"/>
          </w:tcPr>
          <w:p w14:paraId="453F20E2" w14:textId="77777777" w:rsidR="00003BFA" w:rsidRPr="00F30EFE" w:rsidRDefault="00003BFA" w:rsidP="00246D13">
            <w:r w:rsidRPr="00F30EFE">
              <w:t>MRT</w:t>
            </w:r>
          </w:p>
        </w:tc>
        <w:tc>
          <w:tcPr>
            <w:tcW w:w="6911" w:type="dxa"/>
          </w:tcPr>
          <w:p w14:paraId="21DD66EE" w14:textId="77777777" w:rsidR="00003BFA" w:rsidRPr="00F30EFE" w:rsidRDefault="00003BFA" w:rsidP="00003BFA">
            <w:r w:rsidRPr="00F30EFE">
              <w:t>Mean residence times</w:t>
            </w:r>
          </w:p>
        </w:tc>
      </w:tr>
      <w:tr w:rsidR="00246D13" w:rsidRPr="00F30EFE" w14:paraId="10B35341" w14:textId="77777777" w:rsidTr="00FD119B">
        <w:tc>
          <w:tcPr>
            <w:tcW w:w="1809" w:type="dxa"/>
          </w:tcPr>
          <w:p w14:paraId="4F5D403A" w14:textId="77777777" w:rsidR="00246D13" w:rsidRPr="00F30EFE" w:rsidRDefault="00246D13" w:rsidP="00246D13">
            <w:r w:rsidRPr="00F30EFE">
              <w:t>NCLB</w:t>
            </w:r>
          </w:p>
        </w:tc>
        <w:tc>
          <w:tcPr>
            <w:tcW w:w="6911" w:type="dxa"/>
          </w:tcPr>
          <w:p w14:paraId="4775E3DC" w14:textId="77777777" w:rsidR="00246D13" w:rsidRPr="00F30EFE" w:rsidRDefault="00246D13" w:rsidP="00246D13">
            <w:r w:rsidRPr="00F30EFE">
              <w:t>Norclobazam</w:t>
            </w:r>
          </w:p>
        </w:tc>
      </w:tr>
      <w:tr w:rsidR="00540DD8" w:rsidRPr="00F30EFE" w14:paraId="24FADBCC" w14:textId="77777777" w:rsidTr="00FD119B">
        <w:tc>
          <w:tcPr>
            <w:tcW w:w="1809" w:type="dxa"/>
          </w:tcPr>
          <w:p w14:paraId="4A8DA068" w14:textId="77777777" w:rsidR="00540DD8" w:rsidRPr="00F30EFE" w:rsidRDefault="00540DD8" w:rsidP="00246D13">
            <w:r w:rsidRPr="00F30EFE">
              <w:t>OATP1B1</w:t>
            </w:r>
          </w:p>
        </w:tc>
        <w:tc>
          <w:tcPr>
            <w:tcW w:w="6911" w:type="dxa"/>
          </w:tcPr>
          <w:p w14:paraId="364F8DAC" w14:textId="600649C0" w:rsidR="00540DD8" w:rsidRPr="00F30EFE" w:rsidRDefault="00FB062B" w:rsidP="00540DD8">
            <w:r>
              <w:t>(</w:t>
            </w:r>
            <w:r w:rsidR="00540DD8" w:rsidRPr="00F30EFE">
              <w:t>Solute carrier</w:t>
            </w:r>
            <w:r>
              <w:t>)</w:t>
            </w:r>
            <w:r w:rsidR="00540DD8" w:rsidRPr="00F30EFE">
              <w:t xml:space="preserve"> organic anion transporter family member 1B1</w:t>
            </w:r>
          </w:p>
        </w:tc>
      </w:tr>
      <w:tr w:rsidR="00540DD8" w:rsidRPr="00F30EFE" w14:paraId="791BA8E9" w14:textId="77777777" w:rsidTr="00FD119B">
        <w:tc>
          <w:tcPr>
            <w:tcW w:w="1809" w:type="dxa"/>
          </w:tcPr>
          <w:p w14:paraId="46CEF28E" w14:textId="77777777" w:rsidR="00540DD8" w:rsidRPr="00F30EFE" w:rsidRDefault="00540DD8" w:rsidP="00246D13">
            <w:r w:rsidRPr="00F30EFE">
              <w:t>OAT3</w:t>
            </w:r>
          </w:p>
        </w:tc>
        <w:tc>
          <w:tcPr>
            <w:tcW w:w="6911" w:type="dxa"/>
          </w:tcPr>
          <w:p w14:paraId="0C3C1C70" w14:textId="2B98AE03" w:rsidR="00540DD8" w:rsidRPr="00F30EFE" w:rsidRDefault="00FB062B" w:rsidP="00540DD8">
            <w:r>
              <w:t>(</w:t>
            </w:r>
            <w:r w:rsidR="00540DD8" w:rsidRPr="00F30EFE">
              <w:t>Solute carrier</w:t>
            </w:r>
            <w:r>
              <w:t>)</w:t>
            </w:r>
            <w:r w:rsidR="00540DD8" w:rsidRPr="00F30EFE">
              <w:t xml:space="preserve"> organic anion transporter family member 3</w:t>
            </w:r>
          </w:p>
        </w:tc>
      </w:tr>
      <w:tr w:rsidR="00E84D5C" w:rsidRPr="00F30EFE" w14:paraId="02B17674" w14:textId="77777777" w:rsidTr="00FD119B">
        <w:tc>
          <w:tcPr>
            <w:tcW w:w="1809" w:type="dxa"/>
          </w:tcPr>
          <w:p w14:paraId="352BE3A3" w14:textId="77777777" w:rsidR="00E84D5C" w:rsidRPr="00F30EFE" w:rsidRDefault="00E84D5C" w:rsidP="00246D13">
            <w:r w:rsidRPr="00F30EFE">
              <w:t>OR</w:t>
            </w:r>
          </w:p>
        </w:tc>
        <w:tc>
          <w:tcPr>
            <w:tcW w:w="6911" w:type="dxa"/>
          </w:tcPr>
          <w:p w14:paraId="6FC8BAC1" w14:textId="77777777" w:rsidR="00E84D5C" w:rsidRPr="00F30EFE" w:rsidRDefault="00E84D5C" w:rsidP="00540DD8">
            <w:r w:rsidRPr="00F30EFE">
              <w:t>Odds ratio</w:t>
            </w:r>
          </w:p>
        </w:tc>
      </w:tr>
      <w:tr w:rsidR="00540DD8" w:rsidRPr="00F30EFE" w14:paraId="795700BF" w14:textId="77777777" w:rsidTr="00FD119B">
        <w:tc>
          <w:tcPr>
            <w:tcW w:w="1809" w:type="dxa"/>
          </w:tcPr>
          <w:p w14:paraId="6D19E8D3" w14:textId="77777777" w:rsidR="00540DD8" w:rsidRPr="00F30EFE" w:rsidRDefault="00540DD8" w:rsidP="00246D13">
            <w:r w:rsidRPr="00F30EFE">
              <w:t>P-gp</w:t>
            </w:r>
          </w:p>
        </w:tc>
        <w:tc>
          <w:tcPr>
            <w:tcW w:w="6911" w:type="dxa"/>
          </w:tcPr>
          <w:p w14:paraId="1605D8B3" w14:textId="77777777" w:rsidR="00540DD8" w:rsidRPr="00F30EFE" w:rsidRDefault="00540DD8" w:rsidP="00540DD8">
            <w:r w:rsidRPr="00F30EFE">
              <w:t>P-glycoprotein</w:t>
            </w:r>
          </w:p>
        </w:tc>
      </w:tr>
      <w:tr w:rsidR="00F1790A" w:rsidRPr="00F30EFE" w14:paraId="71D62A52" w14:textId="77777777" w:rsidTr="00FD119B">
        <w:tc>
          <w:tcPr>
            <w:tcW w:w="1809" w:type="dxa"/>
          </w:tcPr>
          <w:p w14:paraId="0EA65049" w14:textId="042891A7" w:rsidR="00F1790A" w:rsidRPr="00F30EFE" w:rsidRDefault="00F1790A" w:rsidP="00246D13">
            <w:r>
              <w:t>PD</w:t>
            </w:r>
          </w:p>
        </w:tc>
        <w:tc>
          <w:tcPr>
            <w:tcW w:w="6911" w:type="dxa"/>
          </w:tcPr>
          <w:p w14:paraId="1D62C96D" w14:textId="23685649" w:rsidR="00F1790A" w:rsidRPr="00F30EFE" w:rsidRDefault="00F1790A" w:rsidP="00540DD8">
            <w:r>
              <w:t>Pharmacodynamic(s)</w:t>
            </w:r>
          </w:p>
        </w:tc>
      </w:tr>
      <w:tr w:rsidR="00F1790A" w:rsidRPr="00F30EFE" w14:paraId="2F0AB042" w14:textId="77777777" w:rsidTr="00FD119B">
        <w:tc>
          <w:tcPr>
            <w:tcW w:w="1809" w:type="dxa"/>
          </w:tcPr>
          <w:p w14:paraId="7138A9B3" w14:textId="481891DE" w:rsidR="00F1790A" w:rsidRDefault="00F1790A" w:rsidP="00246D13">
            <w:r>
              <w:t>PK</w:t>
            </w:r>
          </w:p>
        </w:tc>
        <w:tc>
          <w:tcPr>
            <w:tcW w:w="6911" w:type="dxa"/>
          </w:tcPr>
          <w:p w14:paraId="25D31CF5" w14:textId="71A0CCD5" w:rsidR="00F1790A" w:rsidRDefault="00F1790A" w:rsidP="00540DD8">
            <w:r>
              <w:t>Pharmacokinetic(s)</w:t>
            </w:r>
          </w:p>
        </w:tc>
      </w:tr>
      <w:tr w:rsidR="00397EAE" w:rsidRPr="00F30EFE" w14:paraId="5EF96233" w14:textId="77777777" w:rsidTr="00FD119B">
        <w:tc>
          <w:tcPr>
            <w:tcW w:w="1809" w:type="dxa"/>
          </w:tcPr>
          <w:p w14:paraId="19C4A8A8" w14:textId="77777777" w:rsidR="00397EAE" w:rsidRPr="00F30EFE" w:rsidRDefault="00397EAE" w:rsidP="00246D13">
            <w:r w:rsidRPr="00F30EFE">
              <w:t>PP</w:t>
            </w:r>
          </w:p>
        </w:tc>
        <w:tc>
          <w:tcPr>
            <w:tcW w:w="6911" w:type="dxa"/>
          </w:tcPr>
          <w:p w14:paraId="288705E1" w14:textId="77777777" w:rsidR="00397EAE" w:rsidRPr="00F30EFE" w:rsidRDefault="00397EAE" w:rsidP="00540DD8">
            <w:r w:rsidRPr="00F30EFE">
              <w:t>Per protocol</w:t>
            </w:r>
          </w:p>
        </w:tc>
      </w:tr>
      <w:tr w:rsidR="00246D13" w:rsidRPr="00F30EFE" w14:paraId="258E377B" w14:textId="77777777" w:rsidTr="00FD119B">
        <w:tc>
          <w:tcPr>
            <w:tcW w:w="1809" w:type="dxa"/>
          </w:tcPr>
          <w:p w14:paraId="20393A16" w14:textId="77777777" w:rsidR="00246D13" w:rsidRPr="00F30EFE" w:rsidRDefault="00246D13" w:rsidP="00246D13">
            <w:r w:rsidRPr="00F30EFE">
              <w:t>PSUR</w:t>
            </w:r>
          </w:p>
        </w:tc>
        <w:tc>
          <w:tcPr>
            <w:tcW w:w="6911" w:type="dxa"/>
          </w:tcPr>
          <w:p w14:paraId="4E7625A0" w14:textId="77777777" w:rsidR="00246D13" w:rsidRPr="00F30EFE" w:rsidRDefault="00246D13" w:rsidP="00246D13">
            <w:r w:rsidRPr="00F30EFE">
              <w:t>Periodic safety update report</w:t>
            </w:r>
          </w:p>
        </w:tc>
      </w:tr>
      <w:tr w:rsidR="00540DD8" w:rsidRPr="00F30EFE" w14:paraId="51C227ED" w14:textId="77777777" w:rsidTr="00FD119B">
        <w:tc>
          <w:tcPr>
            <w:tcW w:w="1809" w:type="dxa"/>
          </w:tcPr>
          <w:p w14:paraId="5BF320AE" w14:textId="77777777" w:rsidR="00540DD8" w:rsidRPr="00F30EFE" w:rsidRDefault="00540DD8" w:rsidP="00246D13">
            <w:r w:rsidRPr="00F30EFE">
              <w:rPr>
                <w:kern w:val="2"/>
              </w:rPr>
              <w:t>QSAR</w:t>
            </w:r>
          </w:p>
        </w:tc>
        <w:tc>
          <w:tcPr>
            <w:tcW w:w="6911" w:type="dxa"/>
          </w:tcPr>
          <w:p w14:paraId="1939997E" w14:textId="77777777" w:rsidR="00540DD8" w:rsidRPr="00F30EFE" w:rsidRDefault="00540DD8" w:rsidP="00540DD8">
            <w:r w:rsidRPr="00F30EFE">
              <w:rPr>
                <w:kern w:val="2"/>
              </w:rPr>
              <w:t>Quantitative structure-activity relationship</w:t>
            </w:r>
          </w:p>
        </w:tc>
      </w:tr>
      <w:tr w:rsidR="003C03F3" w:rsidRPr="00F30EFE" w14:paraId="0C7C5891" w14:textId="77777777" w:rsidTr="00FD119B">
        <w:tc>
          <w:tcPr>
            <w:tcW w:w="1809" w:type="dxa"/>
          </w:tcPr>
          <w:p w14:paraId="20828EEF" w14:textId="77777777" w:rsidR="003C03F3" w:rsidRPr="00F30EFE" w:rsidRDefault="003C03F3" w:rsidP="00246D13">
            <w:r w:rsidRPr="00F30EFE">
              <w:t>RMP</w:t>
            </w:r>
          </w:p>
        </w:tc>
        <w:tc>
          <w:tcPr>
            <w:tcW w:w="6911" w:type="dxa"/>
          </w:tcPr>
          <w:p w14:paraId="4BB22683" w14:textId="77777777" w:rsidR="003C03F3" w:rsidRPr="00F30EFE" w:rsidRDefault="003C03F3" w:rsidP="00246D13">
            <w:r w:rsidRPr="00F30EFE">
              <w:t>Risk management plan</w:t>
            </w:r>
          </w:p>
        </w:tc>
      </w:tr>
      <w:tr w:rsidR="00E84D5C" w:rsidRPr="00F30EFE" w14:paraId="75D9E3B4" w14:textId="77777777" w:rsidTr="00FD119B">
        <w:tc>
          <w:tcPr>
            <w:tcW w:w="1809" w:type="dxa"/>
          </w:tcPr>
          <w:p w14:paraId="195E7883" w14:textId="77777777" w:rsidR="00E84D5C" w:rsidRPr="00F30EFE" w:rsidRDefault="00E84D5C" w:rsidP="00246D13">
            <w:r w:rsidRPr="00F30EFE">
              <w:t>SAE</w:t>
            </w:r>
          </w:p>
        </w:tc>
        <w:tc>
          <w:tcPr>
            <w:tcW w:w="6911" w:type="dxa"/>
          </w:tcPr>
          <w:p w14:paraId="5841F827" w14:textId="77777777" w:rsidR="00E84D5C" w:rsidRPr="00F30EFE" w:rsidRDefault="00E84D5C" w:rsidP="00E84D5C">
            <w:r w:rsidRPr="00F30EFE">
              <w:t>Serious adverse event</w:t>
            </w:r>
          </w:p>
        </w:tc>
      </w:tr>
      <w:tr w:rsidR="0027755C" w:rsidRPr="00F30EFE" w14:paraId="4C28130F" w14:textId="77777777" w:rsidTr="00FD119B">
        <w:tc>
          <w:tcPr>
            <w:tcW w:w="1809" w:type="dxa"/>
          </w:tcPr>
          <w:p w14:paraId="4301740A" w14:textId="77777777" w:rsidR="0027755C" w:rsidRPr="00F30EFE" w:rsidRDefault="0027755C" w:rsidP="00246D13">
            <w:r w:rsidRPr="00F30EFE">
              <w:t>SCN1A</w:t>
            </w:r>
          </w:p>
        </w:tc>
        <w:tc>
          <w:tcPr>
            <w:tcW w:w="6911" w:type="dxa"/>
          </w:tcPr>
          <w:p w14:paraId="29CD8305" w14:textId="77777777" w:rsidR="0027755C" w:rsidRPr="00F30EFE" w:rsidRDefault="0027755C" w:rsidP="00246D13">
            <w:r w:rsidRPr="00F30EFE">
              <w:t>Sodium voltage-gated channel alpha subunit 1</w:t>
            </w:r>
          </w:p>
        </w:tc>
      </w:tr>
      <w:tr w:rsidR="00246D13" w:rsidRPr="00F30EFE" w14:paraId="1CB1AECB" w14:textId="77777777" w:rsidTr="00FD119B">
        <w:tc>
          <w:tcPr>
            <w:tcW w:w="1809" w:type="dxa"/>
          </w:tcPr>
          <w:p w14:paraId="387001CA" w14:textId="77777777" w:rsidR="00246D13" w:rsidRPr="00F30EFE" w:rsidRDefault="00246D13" w:rsidP="00246D13">
            <w:pPr>
              <w:rPr>
                <w:lang w:eastAsia="ja-JP"/>
              </w:rPr>
            </w:pPr>
            <w:r w:rsidRPr="00F30EFE">
              <w:rPr>
                <w:lang w:eastAsia="ja-JP"/>
              </w:rPr>
              <w:t>SGF</w:t>
            </w:r>
          </w:p>
        </w:tc>
        <w:tc>
          <w:tcPr>
            <w:tcW w:w="6911" w:type="dxa"/>
          </w:tcPr>
          <w:p w14:paraId="3C0165F8" w14:textId="77777777" w:rsidR="00246D13" w:rsidRPr="00F30EFE" w:rsidRDefault="00246D13" w:rsidP="00246D13">
            <w:r w:rsidRPr="00F30EFE">
              <w:t>Simulated gastric fluid</w:t>
            </w:r>
          </w:p>
        </w:tc>
      </w:tr>
      <w:tr w:rsidR="00FB062B" w:rsidRPr="00F30EFE" w14:paraId="3EE8BFDE" w14:textId="77777777" w:rsidTr="00FD119B">
        <w:tc>
          <w:tcPr>
            <w:tcW w:w="1809" w:type="dxa"/>
          </w:tcPr>
          <w:p w14:paraId="7CAF3304" w14:textId="02157FC5" w:rsidR="00FB062B" w:rsidRPr="00F30EFE" w:rsidRDefault="00FB062B" w:rsidP="00246D13">
            <w:pPr>
              <w:rPr>
                <w:lang w:eastAsia="ja-JP"/>
              </w:rPr>
            </w:pPr>
            <w:r>
              <w:rPr>
                <w:lang w:eastAsia="ja-JP"/>
              </w:rPr>
              <w:t>SMEI</w:t>
            </w:r>
          </w:p>
        </w:tc>
        <w:tc>
          <w:tcPr>
            <w:tcW w:w="6911" w:type="dxa"/>
          </w:tcPr>
          <w:p w14:paraId="68451FFB" w14:textId="3E994735" w:rsidR="00FB062B" w:rsidRPr="00F30EFE" w:rsidRDefault="00FB062B" w:rsidP="00246D13">
            <w:r>
              <w:t>S</w:t>
            </w:r>
            <w:r w:rsidRPr="00FB062B">
              <w:t>evere myoclonic epilepsy in infancy</w:t>
            </w:r>
            <w:r>
              <w:t xml:space="preserve"> (also known as Dravet </w:t>
            </w:r>
            <w:r>
              <w:lastRenderedPageBreak/>
              <w:t>syndrome)</w:t>
            </w:r>
          </w:p>
        </w:tc>
      </w:tr>
      <w:tr w:rsidR="006A226A" w:rsidRPr="00F30EFE" w14:paraId="018BCBA5" w14:textId="77777777" w:rsidTr="00FD119B">
        <w:tc>
          <w:tcPr>
            <w:tcW w:w="1809" w:type="dxa"/>
          </w:tcPr>
          <w:p w14:paraId="678B5119" w14:textId="77777777" w:rsidR="006A226A" w:rsidRPr="00F30EFE" w:rsidRDefault="006A226A" w:rsidP="00246D13">
            <w:pPr>
              <w:rPr>
                <w:lang w:eastAsia="ja-JP"/>
              </w:rPr>
            </w:pPr>
            <w:r w:rsidRPr="00F30EFE">
              <w:lastRenderedPageBreak/>
              <w:t>SS</w:t>
            </w:r>
          </w:p>
        </w:tc>
        <w:tc>
          <w:tcPr>
            <w:tcW w:w="6911" w:type="dxa"/>
          </w:tcPr>
          <w:p w14:paraId="66B3247D" w14:textId="77777777" w:rsidR="006A226A" w:rsidRPr="00F30EFE" w:rsidRDefault="006A226A" w:rsidP="006A226A">
            <w:r w:rsidRPr="00F30EFE">
              <w:t>Steady state</w:t>
            </w:r>
          </w:p>
        </w:tc>
      </w:tr>
      <w:tr w:rsidR="00246D13" w:rsidRPr="00F30EFE" w14:paraId="63B56275" w14:textId="77777777" w:rsidTr="00FD119B">
        <w:tc>
          <w:tcPr>
            <w:tcW w:w="1809" w:type="dxa"/>
          </w:tcPr>
          <w:p w14:paraId="6B10328F" w14:textId="77777777" w:rsidR="00246D13" w:rsidRPr="00F30EFE" w:rsidRDefault="00246D13" w:rsidP="00246D13">
            <w:r w:rsidRPr="00F30EFE">
              <w:rPr>
                <w:lang w:eastAsia="ja-JP"/>
              </w:rPr>
              <w:t>STP</w:t>
            </w:r>
          </w:p>
        </w:tc>
        <w:tc>
          <w:tcPr>
            <w:tcW w:w="6911" w:type="dxa"/>
          </w:tcPr>
          <w:p w14:paraId="67708BF0" w14:textId="77777777" w:rsidR="00246D13" w:rsidRPr="00F30EFE" w:rsidRDefault="00246D13" w:rsidP="00246D13">
            <w:pPr>
              <w:rPr>
                <w:lang w:eastAsia="ja-JP"/>
              </w:rPr>
            </w:pPr>
            <w:r w:rsidRPr="00F30EFE">
              <w:rPr>
                <w:lang w:eastAsia="ja-JP"/>
              </w:rPr>
              <w:t>Stiripentol</w:t>
            </w:r>
          </w:p>
        </w:tc>
      </w:tr>
      <w:tr w:rsidR="00620E19" w:rsidRPr="00F30EFE" w14:paraId="6457559E" w14:textId="77777777" w:rsidTr="00FD119B">
        <w:tc>
          <w:tcPr>
            <w:tcW w:w="1809" w:type="dxa"/>
          </w:tcPr>
          <w:p w14:paraId="408F0E67" w14:textId="57E6503F" w:rsidR="00620E19" w:rsidRPr="00F30EFE" w:rsidRDefault="00FB062B" w:rsidP="00246D13">
            <w:r>
              <w:t>T</w:t>
            </w:r>
            <w:r w:rsidR="00620E19" w:rsidRPr="00F30EFE">
              <w:rPr>
                <w:vertAlign w:val="subscript"/>
              </w:rPr>
              <w:t>max</w:t>
            </w:r>
          </w:p>
        </w:tc>
        <w:tc>
          <w:tcPr>
            <w:tcW w:w="6911" w:type="dxa"/>
          </w:tcPr>
          <w:p w14:paraId="4B284E79" w14:textId="77777777" w:rsidR="00620E19" w:rsidRPr="00F30EFE" w:rsidRDefault="00620E19" w:rsidP="00246D13">
            <w:r w:rsidRPr="00F30EFE">
              <w:t>Time of maximum plasma concentration</w:t>
            </w:r>
          </w:p>
        </w:tc>
      </w:tr>
      <w:tr w:rsidR="00003BFA" w:rsidRPr="00F30EFE" w14:paraId="27212EED" w14:textId="77777777" w:rsidTr="00FD119B">
        <w:tc>
          <w:tcPr>
            <w:tcW w:w="1809" w:type="dxa"/>
          </w:tcPr>
          <w:p w14:paraId="057C6A31" w14:textId="1585D86D" w:rsidR="00003BFA" w:rsidRPr="00F30EFE" w:rsidRDefault="00FB062B" w:rsidP="00246D13">
            <w:r>
              <w:t>T</w:t>
            </w:r>
            <w:r w:rsidR="00003BFA" w:rsidRPr="00F30EFE">
              <w:rPr>
                <w:vertAlign w:val="subscript"/>
              </w:rPr>
              <w:t>1/2</w:t>
            </w:r>
          </w:p>
        </w:tc>
        <w:tc>
          <w:tcPr>
            <w:tcW w:w="6911" w:type="dxa"/>
          </w:tcPr>
          <w:p w14:paraId="11027A79" w14:textId="77777777" w:rsidR="00003BFA" w:rsidRPr="00F30EFE" w:rsidRDefault="00003BFA" w:rsidP="00003BFA">
            <w:r w:rsidRPr="00F30EFE">
              <w:t>Biological half-life</w:t>
            </w:r>
          </w:p>
        </w:tc>
      </w:tr>
      <w:tr w:rsidR="00246D13" w:rsidRPr="00F30EFE" w14:paraId="7EEE0D0B" w14:textId="77777777" w:rsidTr="00FD119B">
        <w:tc>
          <w:tcPr>
            <w:tcW w:w="1809" w:type="dxa"/>
          </w:tcPr>
          <w:p w14:paraId="3F121210" w14:textId="77777777" w:rsidR="00246D13" w:rsidRPr="00F30EFE" w:rsidRDefault="00246D13" w:rsidP="00246D13">
            <w:pPr>
              <w:rPr>
                <w:lang w:eastAsia="ja-JP"/>
              </w:rPr>
            </w:pPr>
            <w:r w:rsidRPr="00F30EFE">
              <w:rPr>
                <w:lang w:eastAsia="ja-JP"/>
              </w:rPr>
              <w:t>ULN</w:t>
            </w:r>
          </w:p>
        </w:tc>
        <w:tc>
          <w:tcPr>
            <w:tcW w:w="6911" w:type="dxa"/>
          </w:tcPr>
          <w:p w14:paraId="334BD318" w14:textId="77777777" w:rsidR="00246D13" w:rsidRPr="00F30EFE" w:rsidRDefault="00246D13" w:rsidP="00246D13">
            <w:r w:rsidRPr="00F30EFE">
              <w:t>Upper limit of normal</w:t>
            </w:r>
          </w:p>
        </w:tc>
      </w:tr>
      <w:tr w:rsidR="00246D13" w:rsidRPr="00F30EFE" w14:paraId="72E30166" w14:textId="77777777" w:rsidTr="00FD119B">
        <w:tc>
          <w:tcPr>
            <w:tcW w:w="1809" w:type="dxa"/>
          </w:tcPr>
          <w:p w14:paraId="0D774A39" w14:textId="77777777" w:rsidR="00246D13" w:rsidRPr="00F30EFE" w:rsidRDefault="00246D13" w:rsidP="00246D13">
            <w:r w:rsidRPr="00F30EFE">
              <w:t>US</w:t>
            </w:r>
          </w:p>
        </w:tc>
        <w:tc>
          <w:tcPr>
            <w:tcW w:w="6911" w:type="dxa"/>
          </w:tcPr>
          <w:p w14:paraId="34671D7D" w14:textId="77777777" w:rsidR="00246D13" w:rsidRPr="00F30EFE" w:rsidRDefault="00246D13" w:rsidP="00246D13">
            <w:r w:rsidRPr="00F30EFE">
              <w:t>United States</w:t>
            </w:r>
          </w:p>
        </w:tc>
      </w:tr>
      <w:tr w:rsidR="00442FFF" w:rsidRPr="00F30EFE" w14:paraId="7D3D14A7" w14:textId="77777777" w:rsidTr="00FD119B">
        <w:tc>
          <w:tcPr>
            <w:tcW w:w="1809" w:type="dxa"/>
          </w:tcPr>
          <w:p w14:paraId="09B9A0B7" w14:textId="77777777" w:rsidR="00442FFF" w:rsidRPr="00F30EFE" w:rsidRDefault="00442FFF" w:rsidP="00246D13">
            <w:r w:rsidRPr="00F30EFE">
              <w:t>V/F</w:t>
            </w:r>
          </w:p>
        </w:tc>
        <w:tc>
          <w:tcPr>
            <w:tcW w:w="6911" w:type="dxa"/>
          </w:tcPr>
          <w:p w14:paraId="31574D4B" w14:textId="77777777" w:rsidR="00442FFF" w:rsidRPr="00F30EFE" w:rsidRDefault="00442FFF" w:rsidP="00246D13">
            <w:r w:rsidRPr="00F30EFE">
              <w:t>Apparent volume of distribution</w:t>
            </w:r>
          </w:p>
        </w:tc>
      </w:tr>
      <w:tr w:rsidR="00246D13" w:rsidRPr="00F30EFE" w14:paraId="1043B846" w14:textId="77777777" w:rsidTr="00FD119B">
        <w:tc>
          <w:tcPr>
            <w:tcW w:w="1809" w:type="dxa"/>
          </w:tcPr>
          <w:p w14:paraId="2B4E45C7" w14:textId="77777777" w:rsidR="00246D13" w:rsidRPr="00F30EFE" w:rsidRDefault="00246D13" w:rsidP="00246D13">
            <w:r w:rsidRPr="00F30EFE">
              <w:t>VPA</w:t>
            </w:r>
          </w:p>
        </w:tc>
        <w:tc>
          <w:tcPr>
            <w:tcW w:w="6911" w:type="dxa"/>
          </w:tcPr>
          <w:p w14:paraId="74D7A78D" w14:textId="77777777" w:rsidR="00246D13" w:rsidRPr="00F30EFE" w:rsidRDefault="00246D13" w:rsidP="00246D13">
            <w:r w:rsidRPr="00F30EFE">
              <w:t>Sodium valproate</w:t>
            </w:r>
          </w:p>
        </w:tc>
      </w:tr>
    </w:tbl>
    <w:p w14:paraId="11010636" w14:textId="77777777" w:rsidR="00FD119B" w:rsidRPr="00F30EFE" w:rsidRDefault="00FD119B" w:rsidP="00FD119B"/>
    <w:p w14:paraId="6F58029B" w14:textId="77777777" w:rsidR="00FD119B" w:rsidRPr="00F30EFE" w:rsidRDefault="00FD119B" w:rsidP="00FD119B">
      <w:pPr>
        <w:spacing w:before="0" w:after="200" w:line="0" w:lineRule="auto"/>
        <w:rPr>
          <w:b/>
          <w:i/>
          <w:sz w:val="24"/>
          <w:szCs w:val="24"/>
        </w:rPr>
      </w:pPr>
      <w:r w:rsidRPr="00F30EFE">
        <w:rPr>
          <w:b/>
          <w:i/>
          <w:sz w:val="24"/>
          <w:szCs w:val="24"/>
        </w:rPr>
        <w:br w:type="page"/>
      </w:r>
    </w:p>
    <w:p w14:paraId="1E68EEF8" w14:textId="77777777" w:rsidR="008E7846" w:rsidRPr="00F30EFE" w:rsidRDefault="00F53C07" w:rsidP="008E7846">
      <w:pPr>
        <w:pStyle w:val="Heading2"/>
      </w:pPr>
      <w:bookmarkStart w:id="9" w:name="_Toc27645578"/>
      <w:r w:rsidRPr="00F30EFE">
        <w:lastRenderedPageBreak/>
        <w:t>I.</w:t>
      </w:r>
      <w:r w:rsidR="008E7846" w:rsidRPr="00F30EFE">
        <w:t xml:space="preserve"> Introduction to product submission</w:t>
      </w:r>
      <w:bookmarkEnd w:id="9"/>
      <w:bookmarkEnd w:id="1"/>
      <w:bookmarkEnd w:id="3"/>
    </w:p>
    <w:p w14:paraId="3AA460E8" w14:textId="77777777" w:rsidR="008E7846" w:rsidRPr="00F30EFE" w:rsidRDefault="008E7846" w:rsidP="008E7846">
      <w:pPr>
        <w:pStyle w:val="Heading3"/>
        <w:rPr>
          <w:lang w:eastAsia="en-AU"/>
        </w:rPr>
      </w:pPr>
      <w:bookmarkStart w:id="10" w:name="_Toc247691502"/>
      <w:bookmarkStart w:id="11" w:name="_Toc314842483"/>
      <w:bookmarkStart w:id="12" w:name="_Toc27645579"/>
      <w:r w:rsidRPr="00F30EFE">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F30EFE" w14:paraId="6112B18B" w14:textId="77777777" w:rsidTr="003735BC">
        <w:tc>
          <w:tcPr>
            <w:tcW w:w="2907" w:type="dxa"/>
          </w:tcPr>
          <w:p w14:paraId="4F2682B1" w14:textId="77777777" w:rsidR="008E7846" w:rsidRPr="00F30EFE" w:rsidRDefault="001B5C90" w:rsidP="001B5C90">
            <w:pPr>
              <w:rPr>
                <w:i/>
              </w:rPr>
            </w:pPr>
            <w:r w:rsidRPr="00F30EFE">
              <w:rPr>
                <w:i/>
              </w:rPr>
              <w:t>Type of s</w:t>
            </w:r>
            <w:r w:rsidR="008E7846" w:rsidRPr="00F30EFE">
              <w:rPr>
                <w:i/>
              </w:rPr>
              <w:t>ubmission</w:t>
            </w:r>
            <w:r w:rsidRPr="00F30EFE">
              <w:rPr>
                <w:i/>
              </w:rPr>
              <w:t>:</w:t>
            </w:r>
          </w:p>
        </w:tc>
        <w:tc>
          <w:tcPr>
            <w:tcW w:w="6307" w:type="dxa"/>
          </w:tcPr>
          <w:p w14:paraId="1370950C" w14:textId="77777777" w:rsidR="008E7846" w:rsidRPr="00F30EFE" w:rsidRDefault="008E7846" w:rsidP="005E0C8F">
            <w:r w:rsidRPr="00F30EFE">
              <w:t xml:space="preserve">New </w:t>
            </w:r>
            <w:r w:rsidR="001B5C90" w:rsidRPr="00F30EFE">
              <w:t>c</w:t>
            </w:r>
            <w:r w:rsidRPr="00F30EFE">
              <w:t xml:space="preserve">hemical </w:t>
            </w:r>
            <w:r w:rsidR="001B5C90" w:rsidRPr="00F30EFE">
              <w:t>e</w:t>
            </w:r>
            <w:r w:rsidR="005E0C8F" w:rsidRPr="00F30EFE">
              <w:t>ntity</w:t>
            </w:r>
          </w:p>
        </w:tc>
      </w:tr>
      <w:tr w:rsidR="008E7846" w:rsidRPr="00F30EFE" w14:paraId="410D6CFF" w14:textId="77777777" w:rsidTr="003735BC">
        <w:tc>
          <w:tcPr>
            <w:tcW w:w="2907" w:type="dxa"/>
          </w:tcPr>
          <w:p w14:paraId="25320694" w14:textId="77777777" w:rsidR="008E7846" w:rsidRPr="00F30EFE" w:rsidRDefault="008E7846" w:rsidP="003D1E62">
            <w:r w:rsidRPr="00F30EFE">
              <w:rPr>
                <w:i/>
              </w:rPr>
              <w:t>Decision</w:t>
            </w:r>
            <w:r w:rsidRPr="00F30EFE">
              <w:t>:</w:t>
            </w:r>
          </w:p>
        </w:tc>
        <w:tc>
          <w:tcPr>
            <w:tcW w:w="6307" w:type="dxa"/>
          </w:tcPr>
          <w:p w14:paraId="0B331085" w14:textId="77777777" w:rsidR="008E7846" w:rsidRPr="00F30EFE" w:rsidRDefault="005E0C8F" w:rsidP="005E0C8F">
            <w:r w:rsidRPr="00F30EFE">
              <w:t>Approved</w:t>
            </w:r>
          </w:p>
        </w:tc>
      </w:tr>
      <w:tr w:rsidR="008E7846" w:rsidRPr="00F30EFE" w14:paraId="1793FF97" w14:textId="77777777" w:rsidTr="003735BC">
        <w:tc>
          <w:tcPr>
            <w:tcW w:w="2907" w:type="dxa"/>
          </w:tcPr>
          <w:p w14:paraId="3B1B52B2" w14:textId="77777777" w:rsidR="008E7846" w:rsidRPr="00F30EFE" w:rsidRDefault="008E7846" w:rsidP="001B5C90">
            <w:pPr>
              <w:rPr>
                <w:i/>
              </w:rPr>
            </w:pPr>
            <w:r w:rsidRPr="00F30EFE">
              <w:rPr>
                <w:i/>
              </w:rPr>
              <w:t xml:space="preserve">Date of </w:t>
            </w:r>
            <w:r w:rsidR="001B5C90" w:rsidRPr="00F30EFE">
              <w:rPr>
                <w:i/>
              </w:rPr>
              <w:t>d</w:t>
            </w:r>
            <w:r w:rsidRPr="00F30EFE">
              <w:rPr>
                <w:i/>
              </w:rPr>
              <w:t>ecision:</w:t>
            </w:r>
          </w:p>
        </w:tc>
        <w:tc>
          <w:tcPr>
            <w:tcW w:w="6307" w:type="dxa"/>
          </w:tcPr>
          <w:p w14:paraId="22404B43" w14:textId="77777777" w:rsidR="008E7846" w:rsidRPr="00F30EFE" w:rsidRDefault="005E0C8F" w:rsidP="001B5C90">
            <w:r w:rsidRPr="00F30EFE">
              <w:t>11 September 2019</w:t>
            </w:r>
          </w:p>
        </w:tc>
      </w:tr>
      <w:tr w:rsidR="00ED2922" w:rsidRPr="00F30EFE" w14:paraId="0FDF0B30" w14:textId="77777777" w:rsidTr="003735BC">
        <w:tc>
          <w:tcPr>
            <w:tcW w:w="2907" w:type="dxa"/>
          </w:tcPr>
          <w:p w14:paraId="23C10AD1" w14:textId="77777777" w:rsidR="00ED2922" w:rsidRPr="00F30EFE" w:rsidRDefault="00ED2922" w:rsidP="001B5C90">
            <w:pPr>
              <w:rPr>
                <w:i/>
              </w:rPr>
            </w:pPr>
            <w:r w:rsidRPr="00F30EFE">
              <w:rPr>
                <w:i/>
              </w:rPr>
              <w:t>Date of entry onto ARTG</w:t>
            </w:r>
            <w:r w:rsidR="00500337" w:rsidRPr="00F30EFE">
              <w:rPr>
                <w:i/>
              </w:rPr>
              <w:t>:</w:t>
            </w:r>
          </w:p>
        </w:tc>
        <w:tc>
          <w:tcPr>
            <w:tcW w:w="6307" w:type="dxa"/>
          </w:tcPr>
          <w:p w14:paraId="3FC8A7ED" w14:textId="77777777" w:rsidR="00ED2922" w:rsidRPr="00F30EFE" w:rsidRDefault="005E0C8F" w:rsidP="00D153D8">
            <w:pPr>
              <w:rPr>
                <w:i/>
              </w:rPr>
            </w:pPr>
            <w:r w:rsidRPr="00F30EFE">
              <w:t>13 September 2019</w:t>
            </w:r>
          </w:p>
        </w:tc>
      </w:tr>
      <w:tr w:rsidR="00500337" w:rsidRPr="00F30EFE" w14:paraId="65454E72" w14:textId="77777777" w:rsidTr="003735BC">
        <w:tc>
          <w:tcPr>
            <w:tcW w:w="2907" w:type="dxa"/>
          </w:tcPr>
          <w:p w14:paraId="7ABCECFA" w14:textId="77777777" w:rsidR="00500337" w:rsidRPr="00F30EFE" w:rsidRDefault="005E0C8F" w:rsidP="001B5C90">
            <w:pPr>
              <w:rPr>
                <w:i/>
              </w:rPr>
            </w:pPr>
            <w:r w:rsidRPr="00F30EFE">
              <w:rPr>
                <w:i/>
              </w:rPr>
              <w:t>ARTG numbers</w:t>
            </w:r>
            <w:r w:rsidR="00500337" w:rsidRPr="00F30EFE">
              <w:rPr>
                <w:i/>
              </w:rPr>
              <w:t>:</w:t>
            </w:r>
          </w:p>
        </w:tc>
        <w:tc>
          <w:tcPr>
            <w:tcW w:w="6307" w:type="dxa"/>
          </w:tcPr>
          <w:p w14:paraId="3CDC2A08" w14:textId="77777777" w:rsidR="00500337" w:rsidRPr="00F30EFE" w:rsidRDefault="005E0C8F" w:rsidP="00EC463D">
            <w:r w:rsidRPr="00F30EFE">
              <w:t>281461, 281460, 281294 and 280985</w:t>
            </w:r>
          </w:p>
        </w:tc>
      </w:tr>
      <w:tr w:rsidR="003735BC" w:rsidRPr="00F30EFE" w14:paraId="35751428" w14:textId="77777777" w:rsidTr="003735BC">
        <w:tc>
          <w:tcPr>
            <w:tcW w:w="2907" w:type="dxa"/>
          </w:tcPr>
          <w:p w14:paraId="2EDF4794" w14:textId="77777777" w:rsidR="003735BC" w:rsidRPr="00F30EFE" w:rsidRDefault="00FA5069" w:rsidP="001B5C90">
            <w:pPr>
              <w:rPr>
                <w:i/>
              </w:rPr>
            </w:pPr>
            <w:r w:rsidRPr="00F30EFE">
              <w:rPr>
                <w:rFonts w:ascii="Wingdings 3" w:hAnsi="Wingdings 3"/>
                <w:sz w:val="34"/>
                <w:szCs w:val="34"/>
                <w:lang w:eastAsia="en-AU"/>
              </w:rPr>
              <w:t></w:t>
            </w:r>
            <w:r w:rsidR="003735BC" w:rsidRPr="00F30EFE">
              <w:rPr>
                <w:i/>
              </w:rPr>
              <w:t>Black Triangle Scheme</w:t>
            </w:r>
          </w:p>
        </w:tc>
        <w:tc>
          <w:tcPr>
            <w:tcW w:w="6307" w:type="dxa"/>
          </w:tcPr>
          <w:p w14:paraId="46C9BC47" w14:textId="77777777" w:rsidR="003735BC" w:rsidRPr="00F30EFE" w:rsidRDefault="005E0C8F" w:rsidP="003735BC">
            <w:r w:rsidRPr="00F30EFE">
              <w:t>Yes</w:t>
            </w:r>
          </w:p>
          <w:p w14:paraId="4448BC85" w14:textId="77777777" w:rsidR="003735BC" w:rsidRPr="00F30EFE" w:rsidRDefault="003735BC" w:rsidP="003735BC">
            <w:r w:rsidRPr="00F30EFE">
              <w:t xml:space="preserve">This product will remain in the scheme for 5 years, starting on the date the product is first supplied in </w:t>
            </w:r>
            <w:r w:rsidR="005E0C8F" w:rsidRPr="00F30EFE">
              <w:t>Australia</w:t>
            </w:r>
          </w:p>
        </w:tc>
      </w:tr>
      <w:tr w:rsidR="008E7846" w:rsidRPr="00F30EFE" w14:paraId="3905DB5B" w14:textId="77777777" w:rsidTr="00BF1190">
        <w:tc>
          <w:tcPr>
            <w:tcW w:w="2907" w:type="dxa"/>
          </w:tcPr>
          <w:p w14:paraId="107AE849" w14:textId="77777777" w:rsidR="008E7846" w:rsidRPr="00F30EFE" w:rsidRDefault="005E0C8F" w:rsidP="00E45619">
            <w:pPr>
              <w:rPr>
                <w:i/>
              </w:rPr>
            </w:pPr>
            <w:r w:rsidRPr="00F30EFE">
              <w:rPr>
                <w:i/>
              </w:rPr>
              <w:t>Active ingredient</w:t>
            </w:r>
            <w:r w:rsidR="001B5C90" w:rsidRPr="00F30EFE">
              <w:rPr>
                <w:i/>
              </w:rPr>
              <w:t>:</w:t>
            </w:r>
          </w:p>
        </w:tc>
        <w:tc>
          <w:tcPr>
            <w:tcW w:w="6307" w:type="dxa"/>
          </w:tcPr>
          <w:p w14:paraId="562DE061" w14:textId="77777777" w:rsidR="008E7846" w:rsidRPr="00F30EFE" w:rsidRDefault="005E0C8F" w:rsidP="00E55CB0">
            <w:r w:rsidRPr="00F30EFE">
              <w:rPr>
                <w:rFonts w:eastAsia="Calibri"/>
              </w:rPr>
              <w:t>Stiripentol</w:t>
            </w:r>
          </w:p>
        </w:tc>
      </w:tr>
      <w:tr w:rsidR="008E7846" w:rsidRPr="00F30EFE" w14:paraId="59C32CB0" w14:textId="77777777" w:rsidTr="00BF1190">
        <w:tc>
          <w:tcPr>
            <w:tcW w:w="2907" w:type="dxa"/>
          </w:tcPr>
          <w:p w14:paraId="30BCFE0A" w14:textId="77777777" w:rsidR="008E7846" w:rsidRPr="00F30EFE" w:rsidRDefault="008E7846" w:rsidP="001B5C90">
            <w:pPr>
              <w:rPr>
                <w:i/>
              </w:rPr>
            </w:pPr>
            <w:r w:rsidRPr="00F30EFE">
              <w:rPr>
                <w:i/>
              </w:rPr>
              <w:t>Product</w:t>
            </w:r>
            <w:r w:rsidR="005E0C8F" w:rsidRPr="00F30EFE">
              <w:rPr>
                <w:i/>
              </w:rPr>
              <w:t xml:space="preserve"> name</w:t>
            </w:r>
            <w:r w:rsidR="001B5C90" w:rsidRPr="00F30EFE">
              <w:rPr>
                <w:i/>
              </w:rPr>
              <w:t>:</w:t>
            </w:r>
          </w:p>
        </w:tc>
        <w:tc>
          <w:tcPr>
            <w:tcW w:w="6307" w:type="dxa"/>
          </w:tcPr>
          <w:p w14:paraId="5D6A8026" w14:textId="77777777" w:rsidR="008E7846" w:rsidRPr="00F30EFE" w:rsidRDefault="005E0C8F" w:rsidP="00E45619">
            <w:r w:rsidRPr="00F30EFE">
              <w:rPr>
                <w:rFonts w:eastAsia="Calibri"/>
              </w:rPr>
              <w:t>Diacomit</w:t>
            </w:r>
          </w:p>
        </w:tc>
      </w:tr>
      <w:tr w:rsidR="008E7846" w:rsidRPr="00F30EFE" w14:paraId="3ACA2A80" w14:textId="77777777" w:rsidTr="00BF1190">
        <w:tc>
          <w:tcPr>
            <w:tcW w:w="2907" w:type="dxa"/>
          </w:tcPr>
          <w:p w14:paraId="2F963195" w14:textId="77777777" w:rsidR="008E7846" w:rsidRPr="00F30EFE" w:rsidRDefault="008E7846" w:rsidP="001B5C90">
            <w:pPr>
              <w:rPr>
                <w:i/>
              </w:rPr>
            </w:pPr>
            <w:r w:rsidRPr="00F30EFE">
              <w:rPr>
                <w:i/>
              </w:rPr>
              <w:t xml:space="preserve">Sponsor’s </w:t>
            </w:r>
            <w:r w:rsidR="001B5C90" w:rsidRPr="00F30EFE">
              <w:rPr>
                <w:i/>
              </w:rPr>
              <w:t>n</w:t>
            </w:r>
            <w:r w:rsidRPr="00F30EFE">
              <w:rPr>
                <w:i/>
              </w:rPr>
              <w:t xml:space="preserve">ame and </w:t>
            </w:r>
            <w:r w:rsidR="001B5C90" w:rsidRPr="00F30EFE">
              <w:rPr>
                <w:i/>
              </w:rPr>
              <w:t>a</w:t>
            </w:r>
            <w:r w:rsidRPr="00F30EFE">
              <w:rPr>
                <w:i/>
              </w:rPr>
              <w:t>ddress:</w:t>
            </w:r>
          </w:p>
        </w:tc>
        <w:tc>
          <w:tcPr>
            <w:tcW w:w="6307" w:type="dxa"/>
          </w:tcPr>
          <w:p w14:paraId="2FF8EC35" w14:textId="77777777" w:rsidR="005E0C8F" w:rsidRPr="00F30EFE" w:rsidRDefault="005E0C8F" w:rsidP="005E0C8F">
            <w:r w:rsidRPr="00F30EFE">
              <w:t>Emerge Health Pty Ltd</w:t>
            </w:r>
          </w:p>
          <w:p w14:paraId="7B8A873D" w14:textId="77777777" w:rsidR="005E0C8F" w:rsidRPr="00F30EFE" w:rsidRDefault="005E0C8F" w:rsidP="005E0C8F">
            <w:r w:rsidRPr="00F30EFE">
              <w:t>22 Gillman St</w:t>
            </w:r>
          </w:p>
          <w:p w14:paraId="0C733523" w14:textId="77777777" w:rsidR="008E7846" w:rsidRPr="00F30EFE" w:rsidRDefault="005E0C8F" w:rsidP="005E0C8F">
            <w:r w:rsidRPr="00F30EFE">
              <w:t>Hawthorn East VIC 3123</w:t>
            </w:r>
          </w:p>
        </w:tc>
      </w:tr>
      <w:tr w:rsidR="008E7846" w:rsidRPr="00F30EFE" w14:paraId="72ED2C1C" w14:textId="77777777" w:rsidTr="00BF1190">
        <w:tc>
          <w:tcPr>
            <w:tcW w:w="2907" w:type="dxa"/>
          </w:tcPr>
          <w:p w14:paraId="78CD3F79" w14:textId="77777777" w:rsidR="008E7846" w:rsidRPr="00F30EFE" w:rsidRDefault="005E0C8F" w:rsidP="00E45619">
            <w:pPr>
              <w:rPr>
                <w:i/>
              </w:rPr>
            </w:pPr>
            <w:r w:rsidRPr="00F30EFE">
              <w:rPr>
                <w:i/>
              </w:rPr>
              <w:t>Dose forms</w:t>
            </w:r>
            <w:r w:rsidR="001B5C90" w:rsidRPr="00F30EFE">
              <w:rPr>
                <w:i/>
              </w:rPr>
              <w:t>:</w:t>
            </w:r>
          </w:p>
        </w:tc>
        <w:tc>
          <w:tcPr>
            <w:tcW w:w="6307" w:type="dxa"/>
          </w:tcPr>
          <w:p w14:paraId="7508F007" w14:textId="77777777" w:rsidR="008E7846" w:rsidRPr="00F30EFE" w:rsidRDefault="005E0C8F" w:rsidP="00E45619">
            <w:r w:rsidRPr="00F30EFE">
              <w:t>Capsule and powder</w:t>
            </w:r>
          </w:p>
        </w:tc>
      </w:tr>
      <w:tr w:rsidR="008E7846" w:rsidRPr="00F30EFE" w14:paraId="03CD6015" w14:textId="77777777" w:rsidTr="00BF1190">
        <w:tc>
          <w:tcPr>
            <w:tcW w:w="2907" w:type="dxa"/>
          </w:tcPr>
          <w:p w14:paraId="0FC219D9" w14:textId="77777777" w:rsidR="008E7846" w:rsidRPr="00F30EFE" w:rsidRDefault="005E0C8F" w:rsidP="00E45619">
            <w:pPr>
              <w:rPr>
                <w:i/>
              </w:rPr>
            </w:pPr>
            <w:r w:rsidRPr="00F30EFE">
              <w:rPr>
                <w:i/>
              </w:rPr>
              <w:t>Strengths</w:t>
            </w:r>
            <w:r w:rsidR="008E7846" w:rsidRPr="00F30EFE">
              <w:rPr>
                <w:i/>
              </w:rPr>
              <w:t xml:space="preserve">: </w:t>
            </w:r>
          </w:p>
        </w:tc>
        <w:tc>
          <w:tcPr>
            <w:tcW w:w="6307" w:type="dxa"/>
          </w:tcPr>
          <w:p w14:paraId="24664E0F" w14:textId="77777777" w:rsidR="008E7846" w:rsidRPr="00F30EFE" w:rsidRDefault="005E0C8F" w:rsidP="00E45619">
            <w:r w:rsidRPr="00F30EFE">
              <w:t>250 mg and 500 mg</w:t>
            </w:r>
          </w:p>
        </w:tc>
      </w:tr>
      <w:tr w:rsidR="008E7846" w:rsidRPr="00F30EFE" w14:paraId="7C9C9F08" w14:textId="77777777" w:rsidTr="00BF1190">
        <w:tc>
          <w:tcPr>
            <w:tcW w:w="2907" w:type="dxa"/>
          </w:tcPr>
          <w:p w14:paraId="78EBB5CE" w14:textId="77777777" w:rsidR="008E7846" w:rsidRPr="00F30EFE" w:rsidRDefault="005E0C8F" w:rsidP="00E45619">
            <w:pPr>
              <w:rPr>
                <w:i/>
              </w:rPr>
            </w:pPr>
            <w:r w:rsidRPr="00F30EFE">
              <w:rPr>
                <w:i/>
              </w:rPr>
              <w:t>Containers</w:t>
            </w:r>
            <w:r w:rsidR="008E7846" w:rsidRPr="00F30EFE">
              <w:rPr>
                <w:i/>
              </w:rPr>
              <w:t>:</w:t>
            </w:r>
          </w:p>
        </w:tc>
        <w:tc>
          <w:tcPr>
            <w:tcW w:w="6307" w:type="dxa"/>
          </w:tcPr>
          <w:p w14:paraId="05AA982D" w14:textId="77777777" w:rsidR="008E7846" w:rsidRPr="00F30EFE" w:rsidRDefault="005E0C8F" w:rsidP="005E0C8F">
            <w:r w:rsidRPr="00F30EFE">
              <w:t>Bottle and sachet</w:t>
            </w:r>
          </w:p>
        </w:tc>
      </w:tr>
      <w:tr w:rsidR="008E7846" w:rsidRPr="00F30EFE" w14:paraId="2BEB0744" w14:textId="77777777" w:rsidTr="00BF1190">
        <w:tc>
          <w:tcPr>
            <w:tcW w:w="2907" w:type="dxa"/>
          </w:tcPr>
          <w:p w14:paraId="1F8DE7F3" w14:textId="77777777" w:rsidR="008E7846" w:rsidRPr="00F30EFE" w:rsidRDefault="005E0C8F" w:rsidP="00E45619">
            <w:pPr>
              <w:rPr>
                <w:i/>
              </w:rPr>
            </w:pPr>
            <w:r w:rsidRPr="00F30EFE">
              <w:rPr>
                <w:i/>
              </w:rPr>
              <w:t>Pack size</w:t>
            </w:r>
            <w:r w:rsidR="008E7846" w:rsidRPr="00F30EFE">
              <w:rPr>
                <w:i/>
              </w:rPr>
              <w:t>:</w:t>
            </w:r>
          </w:p>
        </w:tc>
        <w:tc>
          <w:tcPr>
            <w:tcW w:w="6307" w:type="dxa"/>
          </w:tcPr>
          <w:p w14:paraId="22081A70" w14:textId="77777777" w:rsidR="008E7846" w:rsidRPr="00F30EFE" w:rsidRDefault="005E0C8F" w:rsidP="00E45619">
            <w:r w:rsidRPr="00F30EFE">
              <w:t>60</w:t>
            </w:r>
          </w:p>
        </w:tc>
      </w:tr>
      <w:tr w:rsidR="008E7846" w:rsidRPr="00F30EFE" w14:paraId="514FA659" w14:textId="77777777" w:rsidTr="00BF1190">
        <w:tc>
          <w:tcPr>
            <w:tcW w:w="2907" w:type="dxa"/>
          </w:tcPr>
          <w:p w14:paraId="7282879A" w14:textId="77777777" w:rsidR="008E7846" w:rsidRPr="00F30EFE" w:rsidRDefault="008E7846" w:rsidP="001B5C90">
            <w:pPr>
              <w:rPr>
                <w:i/>
              </w:rPr>
            </w:pPr>
            <w:r w:rsidRPr="00F30EFE">
              <w:rPr>
                <w:i/>
              </w:rPr>
              <w:t xml:space="preserve">Approved </w:t>
            </w:r>
            <w:r w:rsidR="001B5C90" w:rsidRPr="00F30EFE">
              <w:rPr>
                <w:i/>
              </w:rPr>
              <w:t>t</w:t>
            </w:r>
            <w:r w:rsidRPr="00F30EFE">
              <w:rPr>
                <w:i/>
              </w:rPr>
              <w:t>herapeutic use:</w:t>
            </w:r>
          </w:p>
        </w:tc>
        <w:tc>
          <w:tcPr>
            <w:tcW w:w="6307" w:type="dxa"/>
          </w:tcPr>
          <w:p w14:paraId="14991F3A" w14:textId="77777777" w:rsidR="008E7846" w:rsidRPr="00F30EFE" w:rsidRDefault="005E0C8F" w:rsidP="00E45619">
            <w:pPr>
              <w:rPr>
                <w:rFonts w:eastAsia="MS Mincho"/>
                <w:i/>
                <w:lang w:eastAsia="ja-JP"/>
              </w:rPr>
            </w:pPr>
            <w:r w:rsidRPr="00F30EFE">
              <w:rPr>
                <w:i/>
              </w:rPr>
              <w:t>Diacomit is indicated for adjunctive treatment of generalised tonic-clonic and clonic seizures associated with severe myoclonic epilepsy in infancy (SMEI, also known as Dravet syndrome) in patients whose seizures are not adequately controlled with a benzodiazepine (usually clobazam) and valproate.</w:t>
            </w:r>
          </w:p>
        </w:tc>
      </w:tr>
      <w:tr w:rsidR="008E7846" w:rsidRPr="00F30EFE" w14:paraId="1B3FDE2B" w14:textId="77777777" w:rsidTr="00BF1190">
        <w:tc>
          <w:tcPr>
            <w:tcW w:w="2907" w:type="dxa"/>
          </w:tcPr>
          <w:p w14:paraId="77AD7999" w14:textId="77777777" w:rsidR="008E7846" w:rsidRPr="00F30EFE" w:rsidRDefault="00246D13" w:rsidP="00E45619">
            <w:pPr>
              <w:rPr>
                <w:i/>
              </w:rPr>
            </w:pPr>
            <w:r w:rsidRPr="00F30EFE">
              <w:rPr>
                <w:i/>
              </w:rPr>
              <w:t>Route</w:t>
            </w:r>
            <w:r w:rsidR="008E7846" w:rsidRPr="00F30EFE">
              <w:rPr>
                <w:i/>
              </w:rPr>
              <w:t xml:space="preserve"> of administration:</w:t>
            </w:r>
          </w:p>
        </w:tc>
        <w:tc>
          <w:tcPr>
            <w:tcW w:w="6307" w:type="dxa"/>
          </w:tcPr>
          <w:p w14:paraId="551ED78B" w14:textId="77777777" w:rsidR="008E7846" w:rsidRPr="00F30EFE" w:rsidRDefault="005E0C8F" w:rsidP="005E0C8F">
            <w:r w:rsidRPr="00F30EFE">
              <w:t>Oral</w:t>
            </w:r>
          </w:p>
        </w:tc>
      </w:tr>
      <w:tr w:rsidR="008E7846" w:rsidRPr="00F30EFE" w14:paraId="0FD79996" w14:textId="77777777" w:rsidTr="00BF1190">
        <w:tc>
          <w:tcPr>
            <w:tcW w:w="2907" w:type="dxa"/>
          </w:tcPr>
          <w:p w14:paraId="7C3AD5F5" w14:textId="77777777" w:rsidR="008E7846" w:rsidRPr="00F30EFE" w:rsidRDefault="008E7846" w:rsidP="00E45619">
            <w:pPr>
              <w:rPr>
                <w:i/>
              </w:rPr>
            </w:pPr>
            <w:r w:rsidRPr="00F30EFE">
              <w:rPr>
                <w:i/>
              </w:rPr>
              <w:t>Dosage:</w:t>
            </w:r>
          </w:p>
        </w:tc>
        <w:tc>
          <w:tcPr>
            <w:tcW w:w="6307" w:type="dxa"/>
          </w:tcPr>
          <w:p w14:paraId="782F1D00" w14:textId="77777777" w:rsidR="005E0C8F" w:rsidRPr="00F30EFE" w:rsidRDefault="005E0C8F" w:rsidP="005E0C8F">
            <w:r w:rsidRPr="00F30EFE">
              <w:t>The dose of stiripentol is calculated on a mg/kg body weight basis. It is recommended to split the daily dose in two or three daily intakes (totalling the daily recommended dose per kg and per day). The initiation of adjunctive therapy with stiripentol should be undertaken gradually using upwards dose escalation to reach the recommended dose of 50 mg/kg/day.</w:t>
            </w:r>
          </w:p>
          <w:p w14:paraId="427872B9" w14:textId="77777777" w:rsidR="00246D13" w:rsidRPr="00F30EFE" w:rsidRDefault="005E0C8F" w:rsidP="005E0C8F">
            <w:r w:rsidRPr="00F30EFE">
              <w:t>Stiripentol dosage escalation should be gradual, starting with 20</w:t>
            </w:r>
            <w:r w:rsidR="0090180A" w:rsidRPr="00F30EFE">
              <w:t> </w:t>
            </w:r>
            <w:r w:rsidRPr="00F30EFE">
              <w:t>mg/kg/day for 1 week, then 30 mg/kg/day for 1 week. Further dosage</w:t>
            </w:r>
            <w:r w:rsidR="00246D13" w:rsidRPr="00F30EFE">
              <w:t xml:space="preserve"> escalation is age dependent:</w:t>
            </w:r>
          </w:p>
          <w:p w14:paraId="21D60870" w14:textId="1B7EC161" w:rsidR="00246D13" w:rsidRPr="00F30EFE" w:rsidRDefault="00246D13" w:rsidP="00246D13">
            <w:pPr>
              <w:pStyle w:val="ListBullet"/>
            </w:pPr>
            <w:r w:rsidRPr="00F30EFE">
              <w:t>C</w:t>
            </w:r>
            <w:r w:rsidR="005E0C8F" w:rsidRPr="00F30EFE">
              <w:t xml:space="preserve">hildren less than 6 years </w:t>
            </w:r>
            <w:r w:rsidR="00FC4287" w:rsidRPr="00F30EFE">
              <w:t xml:space="preserve">should receive an additional </w:t>
            </w:r>
            <w:r w:rsidR="00FC4287" w:rsidRPr="00F30EFE">
              <w:lastRenderedPageBreak/>
              <w:t>20 </w:t>
            </w:r>
            <w:r w:rsidR="005E0C8F" w:rsidRPr="00F30EFE">
              <w:t>mg/kg/day in the third week, thus achieving the recommended dose of</w:t>
            </w:r>
            <w:r w:rsidRPr="00F30EFE">
              <w:t xml:space="preserve"> 50 mg/kg/day in three weeks</w:t>
            </w:r>
            <w:r w:rsidR="00FB062B">
              <w:t>.</w:t>
            </w:r>
          </w:p>
          <w:p w14:paraId="2B0E7360" w14:textId="1AEDF4C0" w:rsidR="00246D13" w:rsidRPr="00F30EFE" w:rsidRDefault="00246D13" w:rsidP="00246D13">
            <w:pPr>
              <w:pStyle w:val="ListBullet"/>
            </w:pPr>
            <w:r w:rsidRPr="00F30EFE">
              <w:t>C</w:t>
            </w:r>
            <w:r w:rsidR="005E0C8F" w:rsidRPr="00F30EFE">
              <w:t>hildren from 6 to less than 12 years should receive an additional 10 mg/kg/day each week, thus achieving the recommended dose o</w:t>
            </w:r>
            <w:r w:rsidRPr="00F30EFE">
              <w:t>f 50 mg/kg/day in four weeks</w:t>
            </w:r>
            <w:r w:rsidR="00FB062B">
              <w:t>.</w:t>
            </w:r>
          </w:p>
          <w:p w14:paraId="646CF6AD" w14:textId="77777777" w:rsidR="005E0C8F" w:rsidRPr="00F30EFE" w:rsidRDefault="00246D13" w:rsidP="00246D13">
            <w:pPr>
              <w:pStyle w:val="ListBullet"/>
            </w:pPr>
            <w:r w:rsidRPr="00F30EFE">
              <w:t>C</w:t>
            </w:r>
            <w:r w:rsidR="005E0C8F" w:rsidRPr="00F30EFE">
              <w:t>hildren and adolescents 12 years and older should receive an additional 5 mg/kg/day each week until the optimum dose is reached based on clinical judgment.</w:t>
            </w:r>
          </w:p>
          <w:p w14:paraId="43402BA8" w14:textId="77777777" w:rsidR="008E7846" w:rsidRPr="00F30EFE" w:rsidRDefault="005E0C8F" w:rsidP="005E0C8F">
            <w:r w:rsidRPr="00F30EFE">
              <w:t>For further information refer to the Product Information</w:t>
            </w:r>
            <w:r w:rsidR="006D5966" w:rsidRPr="00F30EFE">
              <w:t xml:space="preserve"> (PI).</w:t>
            </w:r>
          </w:p>
        </w:tc>
      </w:tr>
    </w:tbl>
    <w:p w14:paraId="5D2BC2E4" w14:textId="77777777" w:rsidR="008E7846" w:rsidRPr="00F30EFE" w:rsidRDefault="008E7846" w:rsidP="008E7846">
      <w:pPr>
        <w:pStyle w:val="Heading3"/>
      </w:pPr>
      <w:bookmarkStart w:id="13" w:name="_Toc247691503"/>
      <w:bookmarkStart w:id="14" w:name="_Toc314842484"/>
      <w:bookmarkStart w:id="15" w:name="_Toc27645580"/>
      <w:r w:rsidRPr="00F30EFE">
        <w:lastRenderedPageBreak/>
        <w:t>Product background</w:t>
      </w:r>
      <w:bookmarkEnd w:id="13"/>
      <w:bookmarkEnd w:id="14"/>
      <w:bookmarkEnd w:id="15"/>
    </w:p>
    <w:p w14:paraId="72E095E4" w14:textId="77777777" w:rsidR="008E7846" w:rsidRPr="00F30EFE" w:rsidRDefault="00940A89" w:rsidP="00940A89">
      <w:r w:rsidRPr="00F30EFE">
        <w:t xml:space="preserve">This AusPAR describes the application by </w:t>
      </w:r>
      <w:r w:rsidR="006D5966" w:rsidRPr="00F30EFE">
        <w:t>Emerge Health Pty Ltd (</w:t>
      </w:r>
      <w:r w:rsidRPr="00F30EFE">
        <w:t>the sponsor</w:t>
      </w:r>
      <w:r w:rsidR="006D5966" w:rsidRPr="00F30EFE">
        <w:t>)</w:t>
      </w:r>
      <w:r w:rsidRPr="00F30EFE">
        <w:t xml:space="preserve"> to register </w:t>
      </w:r>
      <w:r w:rsidR="005E0C8F" w:rsidRPr="00F30EFE">
        <w:rPr>
          <w:rFonts w:eastAsia="Calibri"/>
        </w:rPr>
        <w:t>Diacomit (stiripentol)</w:t>
      </w:r>
      <w:r w:rsidRPr="00F30EFE">
        <w:t xml:space="preserve"> f</w:t>
      </w:r>
      <w:r w:rsidR="005E0C8F" w:rsidRPr="00F30EFE">
        <w:t xml:space="preserve">or the following </w:t>
      </w:r>
      <w:r w:rsidR="00246D13" w:rsidRPr="00F30EFE">
        <w:t xml:space="preserve">proposed </w:t>
      </w:r>
      <w:r w:rsidR="005E0C8F" w:rsidRPr="00F30EFE">
        <w:t>indication:</w:t>
      </w:r>
    </w:p>
    <w:p w14:paraId="2CE34FB4" w14:textId="77777777" w:rsidR="00246D13" w:rsidRPr="00F30EFE" w:rsidRDefault="00246D13" w:rsidP="00246D13">
      <w:pPr>
        <w:ind w:left="720"/>
        <w:rPr>
          <w:i/>
        </w:rPr>
      </w:pPr>
      <w:r w:rsidRPr="00F30EFE">
        <w:rPr>
          <w:i/>
        </w:rPr>
        <w:t>Diacomit is intended for the treatment of severe myoclonic epilepsy in infancy (SMEI also known as Dravet syndrome).</w:t>
      </w:r>
    </w:p>
    <w:p w14:paraId="27757A3E" w14:textId="334DC8D0" w:rsidR="0090180A" w:rsidRPr="00F30EFE" w:rsidRDefault="0090180A" w:rsidP="0090180A">
      <w:pPr>
        <w:rPr>
          <w:lang w:eastAsia="ja-JP"/>
        </w:rPr>
      </w:pPr>
      <w:r w:rsidRPr="00F30EFE">
        <w:rPr>
          <w:lang w:eastAsia="ja-JP"/>
        </w:rPr>
        <w:t>Epilepsy is a chronic neurological disorder characterised by intermittent, synchronised, abnormal electrical activity in part of the brain, resulting in localised or generalised activati</w:t>
      </w:r>
      <w:r w:rsidR="00C235B1" w:rsidRPr="00F30EFE">
        <w:rPr>
          <w:lang w:eastAsia="ja-JP"/>
        </w:rPr>
        <w:t>on of motor manifestations (for example,</w:t>
      </w:r>
      <w:r w:rsidRPr="00F30EFE">
        <w:rPr>
          <w:lang w:eastAsia="ja-JP"/>
        </w:rPr>
        <w:t xml:space="preserve"> seizure</w:t>
      </w:r>
      <w:r w:rsidR="00C235B1" w:rsidRPr="00F30EFE">
        <w:rPr>
          <w:lang w:eastAsia="ja-JP"/>
        </w:rPr>
        <w:t>s), sensory manifestations (for example,</w:t>
      </w:r>
      <w:r w:rsidRPr="00F30EFE">
        <w:rPr>
          <w:lang w:eastAsia="ja-JP"/>
        </w:rPr>
        <w:t xml:space="preserve"> sensory impressions)</w:t>
      </w:r>
      <w:r w:rsidR="00C235B1" w:rsidRPr="00F30EFE">
        <w:rPr>
          <w:lang w:eastAsia="ja-JP"/>
        </w:rPr>
        <w:t>, autonomic manifestations (for example,</w:t>
      </w:r>
      <w:r w:rsidRPr="00F30EFE">
        <w:rPr>
          <w:lang w:eastAsia="ja-JP"/>
        </w:rPr>
        <w:t xml:space="preserve"> salivation) or complex manifesta</w:t>
      </w:r>
      <w:r w:rsidR="00C235B1" w:rsidRPr="00F30EFE">
        <w:rPr>
          <w:lang w:eastAsia="ja-JP"/>
        </w:rPr>
        <w:t>tions (for example,</w:t>
      </w:r>
      <w:r w:rsidRPr="00F30EFE">
        <w:rPr>
          <w:lang w:eastAsia="ja-JP"/>
        </w:rPr>
        <w:t xml:space="preserve"> cognitive or emotional). Seizures can be provoked or unprovoked.</w:t>
      </w:r>
      <w:r w:rsidR="002F5CF4" w:rsidRPr="00F30EFE">
        <w:rPr>
          <w:lang w:eastAsia="ja-JP"/>
        </w:rPr>
        <w:t xml:space="preserve"> </w:t>
      </w:r>
      <w:r w:rsidRPr="00F30EFE">
        <w:rPr>
          <w:lang w:eastAsia="ja-JP"/>
        </w:rPr>
        <w:t>Primary generalised seizures involve the entire cortex from the seizure onset, whereas partial seizure</w:t>
      </w:r>
      <w:r w:rsidR="00F30EFE">
        <w:rPr>
          <w:lang w:eastAsia="ja-JP"/>
        </w:rPr>
        <w:t>s</w:t>
      </w:r>
      <w:r w:rsidRPr="00F30EFE">
        <w:rPr>
          <w:lang w:eastAsia="ja-JP"/>
        </w:rPr>
        <w:t xml:space="preserve"> are defined by their focal onset, regardless of their e</w:t>
      </w:r>
      <w:r w:rsidR="006D5966" w:rsidRPr="00F30EFE">
        <w:rPr>
          <w:lang w:eastAsia="ja-JP"/>
        </w:rPr>
        <w:t>ventual extent or severity, that is,</w:t>
      </w:r>
      <w:r w:rsidRPr="00F30EFE">
        <w:rPr>
          <w:lang w:eastAsia="ja-JP"/>
        </w:rPr>
        <w:t xml:space="preserve"> they can develop into a secondary generalised seizure by recruiting other parts of the brain. Partial seizures can be idiopathic, be ca</w:t>
      </w:r>
      <w:r w:rsidR="006D5966" w:rsidRPr="00F30EFE">
        <w:rPr>
          <w:lang w:eastAsia="ja-JP"/>
        </w:rPr>
        <w:t>used by structural lesions (for example,</w:t>
      </w:r>
      <w:r w:rsidRPr="00F30EFE">
        <w:rPr>
          <w:lang w:eastAsia="ja-JP"/>
        </w:rPr>
        <w:t xml:space="preserve"> tumour, scar, developmental abnormality) or be caused by regionally</w:t>
      </w:r>
      <w:r w:rsidR="006D5966" w:rsidRPr="00F30EFE">
        <w:rPr>
          <w:lang w:eastAsia="ja-JP"/>
        </w:rPr>
        <w:t xml:space="preserve"> expressed genetic defects (for example,</w:t>
      </w:r>
      <w:r w:rsidR="00FB062B">
        <w:rPr>
          <w:lang w:eastAsia="ja-JP"/>
        </w:rPr>
        <w:t xml:space="preserve"> channelopathies</w:t>
      </w:r>
      <w:r w:rsidRPr="00F30EFE">
        <w:rPr>
          <w:lang w:eastAsia="ja-JP"/>
        </w:rPr>
        <w:t>).</w:t>
      </w:r>
    </w:p>
    <w:p w14:paraId="60DF6BCC" w14:textId="2A87787A" w:rsidR="0090180A" w:rsidRPr="00F30EFE" w:rsidRDefault="0090180A" w:rsidP="0090180A">
      <w:pPr>
        <w:rPr>
          <w:lang w:eastAsia="ja-JP"/>
        </w:rPr>
      </w:pPr>
      <w:r w:rsidRPr="00F30EFE">
        <w:rPr>
          <w:lang w:eastAsia="ja-JP"/>
        </w:rPr>
        <w:t xml:space="preserve">Dravet syndrome (also known as severe myoclonic epilepsy of infancy (SMEI)) is a genetic epilepsy syndrome and an epileptic encephalopathy. It was first described by Charlotte Dravet, a French neuropsychiatrist, in 1978. Most patients with Dravet syndrome (70 to 80%) have mutations in the </w:t>
      </w:r>
      <w:r w:rsidR="0027755C" w:rsidRPr="00F30EFE">
        <w:t>SCN1A</w:t>
      </w:r>
      <w:r w:rsidRPr="00F30EFE">
        <w:rPr>
          <w:lang w:eastAsia="ja-JP"/>
        </w:rPr>
        <w:t xml:space="preserve"> gene</w:t>
      </w:r>
      <w:r w:rsidR="00FB062B">
        <w:rPr>
          <w:lang w:eastAsia="ja-JP"/>
        </w:rPr>
        <w:t>;</w:t>
      </w:r>
      <w:r w:rsidR="00FB062B">
        <w:rPr>
          <w:rStyle w:val="FootnoteReference"/>
          <w:lang w:eastAsia="ja-JP"/>
        </w:rPr>
        <w:footnoteReference w:id="1"/>
      </w:r>
      <w:r w:rsidRPr="00F30EFE">
        <w:rPr>
          <w:lang w:eastAsia="ja-JP"/>
        </w:rPr>
        <w:t xml:space="preserve"> which affects the associated voltage-gated sodium channel alpha-1 subunit</w:t>
      </w:r>
      <w:r w:rsidR="000918CE">
        <w:rPr>
          <w:lang w:eastAsia="ja-JP"/>
        </w:rPr>
        <w:t xml:space="preserve"> protein</w:t>
      </w:r>
      <w:r w:rsidRPr="00F30EFE">
        <w:rPr>
          <w:lang w:eastAsia="ja-JP"/>
        </w:rPr>
        <w:t>.</w:t>
      </w:r>
      <w:r w:rsidR="006D5966" w:rsidRPr="00F30EFE">
        <w:rPr>
          <w:rStyle w:val="FootnoteReference"/>
          <w:lang w:eastAsia="ja-JP"/>
        </w:rPr>
        <w:footnoteReference w:id="2"/>
      </w:r>
      <w:r w:rsidR="007E76F2">
        <w:rPr>
          <w:vertAlign w:val="superscript"/>
          <w:lang w:eastAsia="ja-JP"/>
        </w:rPr>
        <w:t>,</w:t>
      </w:r>
      <w:r w:rsidR="006D5966" w:rsidRPr="00F30EFE">
        <w:rPr>
          <w:rStyle w:val="FootnoteReference"/>
          <w:lang w:eastAsia="ja-JP"/>
        </w:rPr>
        <w:footnoteReference w:id="3"/>
      </w:r>
      <w:r w:rsidR="002F5CF4" w:rsidRPr="00F30EFE">
        <w:rPr>
          <w:rFonts w:eastAsia="Times New Roman" w:cs="Arial"/>
          <w:color w:val="222222"/>
          <w:lang w:eastAsia="en-AU"/>
        </w:rPr>
        <w:t>Seizures associated with Dravet syndrome could be generali</w:t>
      </w:r>
      <w:r w:rsidR="000918CE">
        <w:rPr>
          <w:rFonts w:eastAsia="Times New Roman" w:cs="Arial"/>
          <w:color w:val="222222"/>
          <w:lang w:eastAsia="en-AU"/>
        </w:rPr>
        <w:t>s</w:t>
      </w:r>
      <w:r w:rsidR="002F5CF4" w:rsidRPr="00F30EFE">
        <w:rPr>
          <w:rFonts w:eastAsia="Times New Roman" w:cs="Arial"/>
          <w:color w:val="222222"/>
          <w:lang w:eastAsia="en-AU"/>
        </w:rPr>
        <w:t>ed, partial or myoclonic.</w:t>
      </w:r>
    </w:p>
    <w:p w14:paraId="763751B0" w14:textId="77777777" w:rsidR="0090180A" w:rsidRPr="00F30EFE" w:rsidRDefault="0090180A" w:rsidP="0090180A">
      <w:pPr>
        <w:rPr>
          <w:lang w:eastAsia="ja-JP"/>
        </w:rPr>
      </w:pPr>
      <w:r w:rsidRPr="00F30EFE">
        <w:rPr>
          <w:lang w:eastAsia="ja-JP"/>
        </w:rPr>
        <w:t>There is a variety of options to treat epileptic disorders. F</w:t>
      </w:r>
      <w:r w:rsidR="002F5CF4" w:rsidRPr="00F30EFE">
        <w:rPr>
          <w:lang w:eastAsia="ja-JP"/>
        </w:rPr>
        <w:t>or Dravet syndrome specifically t</w:t>
      </w:r>
      <w:r w:rsidRPr="00F30EFE">
        <w:rPr>
          <w:lang w:eastAsia="ja-JP"/>
        </w:rPr>
        <w:t xml:space="preserve">he </w:t>
      </w:r>
      <w:r w:rsidR="002F5CF4" w:rsidRPr="00F30EFE">
        <w:rPr>
          <w:lang w:eastAsia="ja-JP"/>
        </w:rPr>
        <w:t xml:space="preserve">main objectives are </w:t>
      </w:r>
      <w:r w:rsidRPr="00F30EFE">
        <w:rPr>
          <w:lang w:eastAsia="ja-JP"/>
        </w:rPr>
        <w:t>to reduce the length and number of seizures</w:t>
      </w:r>
      <w:r w:rsidR="002F5CF4" w:rsidRPr="00F30EFE">
        <w:rPr>
          <w:lang w:eastAsia="ja-JP"/>
        </w:rPr>
        <w:t>; to prevent status epilepticus and</w:t>
      </w:r>
      <w:r w:rsidRPr="00F30EFE">
        <w:rPr>
          <w:lang w:eastAsia="ja-JP"/>
        </w:rPr>
        <w:t xml:space="preserve"> to improve quality of life overal</w:t>
      </w:r>
      <w:r w:rsidR="006D5966" w:rsidRPr="00F30EFE">
        <w:rPr>
          <w:lang w:eastAsia="ja-JP"/>
        </w:rPr>
        <w:t>l. Both pharmacological and non</w:t>
      </w:r>
      <w:r w:rsidR="006D5966" w:rsidRPr="00F30EFE">
        <w:rPr>
          <w:lang w:eastAsia="ja-JP"/>
        </w:rPr>
        <w:noBreakHyphen/>
      </w:r>
      <w:r w:rsidRPr="00F30EFE">
        <w:rPr>
          <w:lang w:eastAsia="ja-JP"/>
        </w:rPr>
        <w:t>pharmacological measures should be used:</w:t>
      </w:r>
    </w:p>
    <w:p w14:paraId="4345D24F" w14:textId="77777777" w:rsidR="0090180A" w:rsidRPr="00F30EFE" w:rsidRDefault="0090180A" w:rsidP="0090180A">
      <w:pPr>
        <w:pStyle w:val="ListBullet"/>
        <w:rPr>
          <w:lang w:eastAsia="ja-JP"/>
        </w:rPr>
      </w:pPr>
      <w:r w:rsidRPr="00F30EFE">
        <w:rPr>
          <w:lang w:eastAsia="ja-JP"/>
        </w:rPr>
        <w:t xml:space="preserve">Non-pharmacological management includes adherence to a ketogenic diet, </w:t>
      </w:r>
      <w:r w:rsidR="002F5CF4" w:rsidRPr="00F30EFE">
        <w:rPr>
          <w:lang w:eastAsia="ja-JP"/>
        </w:rPr>
        <w:t>neuromodulation techniques (for example,</w:t>
      </w:r>
      <w:r w:rsidRPr="00F30EFE">
        <w:rPr>
          <w:lang w:eastAsia="ja-JP"/>
        </w:rPr>
        <w:t xml:space="preserve"> vagus nerve stimulation or deep brain stimulation), and avoidance of seizure triggers.</w:t>
      </w:r>
    </w:p>
    <w:p w14:paraId="68A206D3" w14:textId="143EB2DF" w:rsidR="0090180A" w:rsidRPr="00F30EFE" w:rsidRDefault="0090180A" w:rsidP="0090180A">
      <w:pPr>
        <w:pStyle w:val="ListBullet"/>
        <w:rPr>
          <w:lang w:eastAsia="ja-JP"/>
        </w:rPr>
      </w:pPr>
      <w:r w:rsidRPr="00F30EFE">
        <w:rPr>
          <w:lang w:eastAsia="ja-JP"/>
        </w:rPr>
        <w:t>Pharmacological management employs the use of certain antiepileptic</w:t>
      </w:r>
      <w:r w:rsidR="000918CE">
        <w:rPr>
          <w:lang w:eastAsia="ja-JP"/>
        </w:rPr>
        <w:t xml:space="preserve"> drugs</w:t>
      </w:r>
      <w:r w:rsidRPr="00F30EFE">
        <w:rPr>
          <w:lang w:eastAsia="ja-JP"/>
        </w:rPr>
        <w:t xml:space="preserve"> while avoiding others: valproate, clobazam, topiramate, levetiracetam, phenobarbital, ethosuximide</w:t>
      </w:r>
      <w:r w:rsidR="000918CE">
        <w:rPr>
          <w:lang w:eastAsia="ja-JP"/>
        </w:rPr>
        <w:t>,</w:t>
      </w:r>
      <w:r w:rsidRPr="00F30EFE">
        <w:rPr>
          <w:lang w:eastAsia="ja-JP"/>
        </w:rPr>
        <w:t xml:space="preserve"> and bromides can be used, whereas carbamazepine and carbamazepine </w:t>
      </w:r>
      <w:r w:rsidRPr="00F30EFE">
        <w:rPr>
          <w:lang w:eastAsia="ja-JP"/>
        </w:rPr>
        <w:lastRenderedPageBreak/>
        <w:t>analogues</w:t>
      </w:r>
      <w:r w:rsidR="000918CE">
        <w:rPr>
          <w:lang w:eastAsia="ja-JP"/>
        </w:rPr>
        <w:t>;</w:t>
      </w:r>
      <w:r w:rsidRPr="00F30EFE">
        <w:rPr>
          <w:lang w:eastAsia="ja-JP"/>
        </w:rPr>
        <w:t xml:space="preserve"> phenytoin, and lamotrigine should be avoided, as they can worsen the condition in most patients with Dravet syndrome.</w:t>
      </w:r>
    </w:p>
    <w:p w14:paraId="2AECBC99" w14:textId="77777777" w:rsidR="00E45FE7" w:rsidRPr="00F30EFE" w:rsidRDefault="002F5CF4" w:rsidP="00E45FE7">
      <w:r w:rsidRPr="00F30EFE">
        <w:t xml:space="preserve">Valproate with or without clobazam is typically used as first-line treatment. In some </w:t>
      </w:r>
      <w:r w:rsidR="00E52F30" w:rsidRPr="00F30EFE">
        <w:rPr>
          <w:lang w:eastAsia="ja-JP"/>
        </w:rPr>
        <w:t>Dravet syndrome</w:t>
      </w:r>
      <w:r w:rsidRPr="00F30EFE">
        <w:t xml:space="preserve"> patients, the first-line therapies are not sufficient and ad</w:t>
      </w:r>
      <w:r w:rsidR="00E52F30" w:rsidRPr="00F30EFE">
        <w:t xml:space="preserve">ditional therapy is needed. Stiripentol is a second generation anti-epileptic drug </w:t>
      </w:r>
      <w:r w:rsidRPr="00F30EFE">
        <w:t>targeti</w:t>
      </w:r>
      <w:r w:rsidR="00E52F30" w:rsidRPr="00F30EFE">
        <w:t>ng generalised clonic and tonic</w:t>
      </w:r>
      <w:r w:rsidR="00E52F30" w:rsidRPr="00F30EFE">
        <w:noBreakHyphen/>
      </w:r>
      <w:r w:rsidRPr="00F30EFE">
        <w:t xml:space="preserve">clonic seizures which may be associated with </w:t>
      </w:r>
      <w:r w:rsidR="00E52F30" w:rsidRPr="00F30EFE">
        <w:rPr>
          <w:lang w:eastAsia="ja-JP"/>
        </w:rPr>
        <w:t>Dravet syndrome</w:t>
      </w:r>
      <w:r w:rsidRPr="00F30EFE">
        <w:t>.</w:t>
      </w:r>
      <w:r w:rsidR="00FC4287" w:rsidRPr="00F30EFE">
        <w:t xml:space="preserve"> </w:t>
      </w:r>
      <w:r w:rsidR="00E45FE7" w:rsidRPr="00F30EFE">
        <w:t>While its exact mechanism of action is unknown, two main mechanisms of acti</w:t>
      </w:r>
      <w:r w:rsidR="006D5966" w:rsidRPr="00F30EFE">
        <w:t>on are proposed by the sponsor:</w:t>
      </w:r>
    </w:p>
    <w:p w14:paraId="570BFB4B" w14:textId="21106E10" w:rsidR="00E45FE7" w:rsidRPr="00F30EFE" w:rsidRDefault="00B738F3" w:rsidP="00D71869">
      <w:pPr>
        <w:pStyle w:val="ListBullet"/>
      </w:pPr>
      <w:r>
        <w:t>P</w:t>
      </w:r>
      <w:r w:rsidR="000918CE" w:rsidRPr="00F30EFE">
        <w:t xml:space="preserve">ositive </w:t>
      </w:r>
      <w:r w:rsidR="00E45FE7" w:rsidRPr="00F30EFE">
        <w:t xml:space="preserve">modulation of the </w:t>
      </w:r>
      <w:r w:rsidR="00D71869" w:rsidRPr="00F30EFE">
        <w:t>γ-</w:t>
      </w:r>
      <w:r w:rsidR="003438C1" w:rsidRPr="00F30EFE" w:rsidDel="003438C1">
        <w:t xml:space="preserve"> </w:t>
      </w:r>
      <w:r w:rsidR="00E45FE7" w:rsidRPr="00F30EFE">
        <w:t>GABAergic system</w:t>
      </w:r>
      <w:r w:rsidR="003438C1">
        <w:t>;</w:t>
      </w:r>
      <w:r w:rsidR="003438C1">
        <w:rPr>
          <w:rStyle w:val="FootnoteReference"/>
        </w:rPr>
        <w:footnoteReference w:id="4"/>
      </w:r>
      <w:r w:rsidR="00E45FE7" w:rsidRPr="00F30EFE">
        <w:t xml:space="preserve"> (direct effect);</w:t>
      </w:r>
      <w:r w:rsidR="00FA4399">
        <w:t xml:space="preserve"> and</w:t>
      </w:r>
    </w:p>
    <w:p w14:paraId="01B4518E" w14:textId="0AEE376D" w:rsidR="00E45FE7" w:rsidRPr="00F30EFE" w:rsidRDefault="00B738F3" w:rsidP="00E45FE7">
      <w:pPr>
        <w:pStyle w:val="ListBullet"/>
      </w:pPr>
      <w:r>
        <w:t>H</w:t>
      </w:r>
      <w:r w:rsidR="00FA4399" w:rsidRPr="00F30EFE">
        <w:t xml:space="preserve">epatic </w:t>
      </w:r>
      <w:r w:rsidR="00E45FE7" w:rsidRPr="00F30EFE">
        <w:t>clearance isozyme inhibition (indirect effect; reduction in clearance of concomitantly administered anticonvulsants which potentiates their effects).</w:t>
      </w:r>
    </w:p>
    <w:p w14:paraId="7DA957E0" w14:textId="77777777" w:rsidR="008E7846" w:rsidRPr="00F30EFE" w:rsidRDefault="00386150" w:rsidP="008E7846">
      <w:pPr>
        <w:pStyle w:val="Heading3"/>
      </w:pPr>
      <w:bookmarkStart w:id="16" w:name="_Toc314842485"/>
      <w:bookmarkStart w:id="17" w:name="_Toc247691504"/>
      <w:bookmarkStart w:id="18" w:name="_Toc27645581"/>
      <w:r w:rsidRPr="00F30EFE">
        <w:t>Regulatory s</w:t>
      </w:r>
      <w:r w:rsidR="008E7846" w:rsidRPr="00F30EFE">
        <w:t>tatus</w:t>
      </w:r>
      <w:bookmarkEnd w:id="16"/>
      <w:bookmarkEnd w:id="17"/>
      <w:bookmarkEnd w:id="18"/>
    </w:p>
    <w:p w14:paraId="649D1B6B" w14:textId="77777777" w:rsidR="00C1398C" w:rsidRPr="00F30EFE" w:rsidRDefault="00C1398C" w:rsidP="0089289F">
      <w:bookmarkStart w:id="19" w:name="_Toc247691505"/>
      <w:bookmarkStart w:id="20" w:name="_Toc314842486"/>
      <w:r w:rsidRPr="00F30EFE">
        <w:t>Diacomit (stiripentol) is a new chemical entity for Australian regulatory purposes.</w:t>
      </w:r>
    </w:p>
    <w:p w14:paraId="011F6B54" w14:textId="77777777" w:rsidR="00FA4399" w:rsidRDefault="00246D13" w:rsidP="0089289F">
      <w:r w:rsidRPr="00F30EFE">
        <w:t>On 23 June 2016, the TGA designate</w:t>
      </w:r>
      <w:r w:rsidR="006D5966" w:rsidRPr="00F30EFE">
        <w:t>d stiripentol (Diacomit) as an O</w:t>
      </w:r>
      <w:r w:rsidR="00D71869" w:rsidRPr="00F30EFE">
        <w:t>rphan drug for</w:t>
      </w:r>
      <w:r w:rsidR="00FA4399">
        <w:t>:</w:t>
      </w:r>
    </w:p>
    <w:p w14:paraId="7A31D021" w14:textId="34A92314" w:rsidR="00246D13" w:rsidRPr="00B738F3" w:rsidRDefault="00D71869" w:rsidP="00B738F3">
      <w:pPr>
        <w:ind w:left="720"/>
        <w:rPr>
          <w:i/>
        </w:rPr>
      </w:pPr>
      <w:r w:rsidRPr="00F30EFE">
        <w:t>‘</w:t>
      </w:r>
      <w:r w:rsidR="00246D13" w:rsidRPr="00B738F3">
        <w:rPr>
          <w:i/>
        </w:rPr>
        <w:t>the treatment of severe myoclonic epilepsy in infancy (SMEI</w:t>
      </w:r>
      <w:r w:rsidRPr="00B738F3">
        <w:rPr>
          <w:i/>
        </w:rPr>
        <w:t xml:space="preserve"> also known as Dravet syndrome)’</w:t>
      </w:r>
      <w:r w:rsidR="00246D13" w:rsidRPr="00B738F3">
        <w:rPr>
          <w:i/>
        </w:rPr>
        <w:t>.</w:t>
      </w:r>
    </w:p>
    <w:p w14:paraId="640A7048" w14:textId="4751CC89" w:rsidR="00940A89" w:rsidRPr="00F30EFE" w:rsidRDefault="00940A89" w:rsidP="00246D13">
      <w:r w:rsidRPr="00F30EFE">
        <w:t xml:space="preserve">At the time the TGA considered this application, a similar application had been approved </w:t>
      </w:r>
      <w:r w:rsidR="00F93968">
        <w:t xml:space="preserve">in the </w:t>
      </w:r>
      <w:r w:rsidR="00D71869" w:rsidRPr="00F30EFE">
        <w:t xml:space="preserve">European Union (EU; </w:t>
      </w:r>
      <w:r w:rsidR="00FA4399">
        <w:t xml:space="preserve">via the </w:t>
      </w:r>
      <w:r w:rsidR="00C1398C" w:rsidRPr="00F30EFE">
        <w:t>centralised procedure), Canada</w:t>
      </w:r>
      <w:r w:rsidR="00F93968">
        <w:t xml:space="preserve"> and</w:t>
      </w:r>
      <w:r w:rsidR="00C1398C" w:rsidRPr="00F30EFE">
        <w:t xml:space="preserve"> Japan, </w:t>
      </w:r>
      <w:r w:rsidR="00F93968">
        <w:t xml:space="preserve">and had been submitted to the </w:t>
      </w:r>
      <w:r w:rsidR="00D71869" w:rsidRPr="00F30EFE">
        <w:t>United States (</w:t>
      </w:r>
      <w:r w:rsidR="00333A81" w:rsidRPr="00F30EFE">
        <w:t>US</w:t>
      </w:r>
      <w:r w:rsidR="00D71869" w:rsidRPr="00F30EFE">
        <w:t>)</w:t>
      </w:r>
      <w:r w:rsidR="00333A81" w:rsidRPr="00F30EFE">
        <w:t xml:space="preserve"> and </w:t>
      </w:r>
      <w:r w:rsidR="00F93968">
        <w:t xml:space="preserve">to </w:t>
      </w:r>
      <w:r w:rsidR="00333A81" w:rsidRPr="00F30EFE">
        <w:t xml:space="preserve">Switzerland (see </w:t>
      </w:r>
      <w:r w:rsidR="00333A81" w:rsidRPr="00F30EFE">
        <w:fldChar w:fldCharType="begin"/>
      </w:r>
      <w:r w:rsidR="00333A81" w:rsidRPr="00F30EFE">
        <w:instrText xml:space="preserve"> REF _Ref22628388 \h </w:instrText>
      </w:r>
      <w:r w:rsidR="00246D13" w:rsidRPr="00F30EFE">
        <w:instrText xml:space="preserve"> \* MERGEFORMAT </w:instrText>
      </w:r>
      <w:r w:rsidR="00333A81" w:rsidRPr="00F30EFE">
        <w:fldChar w:fldCharType="separate"/>
      </w:r>
      <w:r w:rsidR="00333A81" w:rsidRPr="00F30EFE">
        <w:t xml:space="preserve">Table </w:t>
      </w:r>
      <w:r w:rsidR="00333A81" w:rsidRPr="00F30EFE">
        <w:rPr>
          <w:noProof/>
        </w:rPr>
        <w:t>1</w:t>
      </w:r>
      <w:r w:rsidR="00333A81" w:rsidRPr="00F30EFE">
        <w:fldChar w:fldCharType="end"/>
      </w:r>
      <w:r w:rsidR="00C1398C" w:rsidRPr="00F30EFE">
        <w:t>)</w:t>
      </w:r>
      <w:r w:rsidRPr="00F30EFE">
        <w:t>.</w:t>
      </w:r>
    </w:p>
    <w:p w14:paraId="7F826261" w14:textId="77777777" w:rsidR="00333A81" w:rsidRPr="00F30EFE" w:rsidRDefault="00333A81" w:rsidP="00333A81">
      <w:pPr>
        <w:pStyle w:val="TableTitle"/>
      </w:pPr>
      <w:bookmarkStart w:id="21" w:name="_Ref22628388"/>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1</w:t>
      </w:r>
      <w:r w:rsidR="00C12465">
        <w:rPr>
          <w:noProof/>
        </w:rPr>
        <w:fldChar w:fldCharType="end"/>
      </w:r>
      <w:bookmarkEnd w:id="21"/>
      <w:r w:rsidRPr="00F30EFE">
        <w:t>: International regulatory status of Diacomit (stiripentol) as of 15 July 2019</w:t>
      </w:r>
    </w:p>
    <w:tbl>
      <w:tblPr>
        <w:tblStyle w:val="TableTGAblue"/>
        <w:tblW w:w="0" w:type="auto"/>
        <w:tblLayout w:type="fixed"/>
        <w:tblLook w:val="04A0" w:firstRow="1" w:lastRow="0" w:firstColumn="1" w:lastColumn="0" w:noHBand="0" w:noVBand="1"/>
      </w:tblPr>
      <w:tblGrid>
        <w:gridCol w:w="1243"/>
        <w:gridCol w:w="1842"/>
        <w:gridCol w:w="1843"/>
        <w:gridCol w:w="3792"/>
      </w:tblGrid>
      <w:tr w:rsidR="00333A81" w:rsidRPr="00F30EFE" w14:paraId="484FCA85" w14:textId="77777777" w:rsidTr="00B738F3">
        <w:trPr>
          <w:cnfStyle w:val="100000000000" w:firstRow="1" w:lastRow="0" w:firstColumn="0" w:lastColumn="0" w:oddVBand="0" w:evenVBand="0" w:oddHBand="0" w:evenHBand="0" w:firstRowFirstColumn="0" w:firstRowLastColumn="0" w:lastRowFirstColumn="0" w:lastRowLastColumn="0"/>
        </w:trPr>
        <w:tc>
          <w:tcPr>
            <w:tcW w:w="1243" w:type="dxa"/>
          </w:tcPr>
          <w:p w14:paraId="4805167A" w14:textId="77777777" w:rsidR="00333A81" w:rsidRPr="00F30EFE" w:rsidRDefault="00333A81" w:rsidP="00333A81">
            <w:pPr>
              <w:ind w:left="0" w:right="0"/>
              <w:rPr>
                <w:sz w:val="20"/>
                <w:szCs w:val="20"/>
              </w:rPr>
            </w:pPr>
            <w:r w:rsidRPr="00F30EFE">
              <w:rPr>
                <w:sz w:val="20"/>
                <w:szCs w:val="20"/>
              </w:rPr>
              <w:t>Region</w:t>
            </w:r>
          </w:p>
        </w:tc>
        <w:tc>
          <w:tcPr>
            <w:tcW w:w="1842" w:type="dxa"/>
          </w:tcPr>
          <w:p w14:paraId="063C2E40" w14:textId="77777777" w:rsidR="00333A81" w:rsidRPr="00F30EFE" w:rsidRDefault="00333A81" w:rsidP="00333A81">
            <w:pPr>
              <w:ind w:left="0" w:right="0"/>
              <w:rPr>
                <w:sz w:val="20"/>
                <w:szCs w:val="20"/>
              </w:rPr>
            </w:pPr>
            <w:r w:rsidRPr="00F30EFE">
              <w:rPr>
                <w:sz w:val="20"/>
                <w:szCs w:val="20"/>
              </w:rPr>
              <w:t>Submission date</w:t>
            </w:r>
          </w:p>
        </w:tc>
        <w:tc>
          <w:tcPr>
            <w:tcW w:w="1843" w:type="dxa"/>
          </w:tcPr>
          <w:p w14:paraId="4DC6FE41" w14:textId="77777777" w:rsidR="00333A81" w:rsidRPr="00F30EFE" w:rsidRDefault="00333A81" w:rsidP="00333A81">
            <w:pPr>
              <w:ind w:left="0" w:right="0"/>
              <w:rPr>
                <w:sz w:val="20"/>
                <w:szCs w:val="20"/>
              </w:rPr>
            </w:pPr>
            <w:r w:rsidRPr="00F30EFE">
              <w:rPr>
                <w:sz w:val="20"/>
                <w:szCs w:val="20"/>
              </w:rPr>
              <w:t>Status</w:t>
            </w:r>
          </w:p>
        </w:tc>
        <w:tc>
          <w:tcPr>
            <w:tcW w:w="3792" w:type="dxa"/>
          </w:tcPr>
          <w:p w14:paraId="6614D582" w14:textId="77777777" w:rsidR="00333A81" w:rsidRPr="00F30EFE" w:rsidRDefault="00333A81" w:rsidP="00333A81">
            <w:pPr>
              <w:ind w:left="0" w:right="0"/>
              <w:rPr>
                <w:sz w:val="20"/>
                <w:szCs w:val="20"/>
              </w:rPr>
            </w:pPr>
            <w:r w:rsidRPr="00F30EFE">
              <w:rPr>
                <w:sz w:val="20"/>
                <w:szCs w:val="20"/>
              </w:rPr>
              <w:t>Indication</w:t>
            </w:r>
          </w:p>
        </w:tc>
      </w:tr>
      <w:tr w:rsidR="00333A81" w:rsidRPr="00F30EFE" w14:paraId="1E775834" w14:textId="77777777" w:rsidTr="00B738F3">
        <w:tc>
          <w:tcPr>
            <w:tcW w:w="1243" w:type="dxa"/>
          </w:tcPr>
          <w:p w14:paraId="3819388B" w14:textId="77777777" w:rsidR="00333A81" w:rsidRPr="00F30EFE" w:rsidRDefault="00333A81" w:rsidP="00333A81">
            <w:pPr>
              <w:ind w:left="0" w:right="0"/>
              <w:rPr>
                <w:sz w:val="20"/>
                <w:szCs w:val="20"/>
              </w:rPr>
            </w:pPr>
            <w:r w:rsidRPr="00F30EFE">
              <w:rPr>
                <w:sz w:val="20"/>
                <w:szCs w:val="20"/>
              </w:rPr>
              <w:t>EU (centralised procedure)</w:t>
            </w:r>
          </w:p>
        </w:tc>
        <w:tc>
          <w:tcPr>
            <w:tcW w:w="1842" w:type="dxa"/>
          </w:tcPr>
          <w:p w14:paraId="3A9AF960" w14:textId="77777777" w:rsidR="00333A81" w:rsidRPr="00F30EFE" w:rsidRDefault="00333A81" w:rsidP="00333A81">
            <w:pPr>
              <w:ind w:left="0" w:right="0"/>
              <w:rPr>
                <w:sz w:val="20"/>
                <w:szCs w:val="20"/>
              </w:rPr>
            </w:pPr>
            <w:r w:rsidRPr="00F30EFE">
              <w:rPr>
                <w:sz w:val="20"/>
                <w:szCs w:val="20"/>
              </w:rPr>
              <w:t>18 May 2005</w:t>
            </w:r>
          </w:p>
        </w:tc>
        <w:tc>
          <w:tcPr>
            <w:tcW w:w="1843" w:type="dxa"/>
          </w:tcPr>
          <w:p w14:paraId="665D9949" w14:textId="2B88C606" w:rsidR="00333A81" w:rsidRPr="00F30EFE" w:rsidRDefault="00333A81" w:rsidP="00333A81">
            <w:pPr>
              <w:ind w:left="0" w:right="0"/>
              <w:rPr>
                <w:sz w:val="20"/>
                <w:szCs w:val="20"/>
              </w:rPr>
            </w:pPr>
            <w:r w:rsidRPr="00F30EFE">
              <w:rPr>
                <w:sz w:val="20"/>
                <w:szCs w:val="20"/>
              </w:rPr>
              <w:t>Approved as conditional marketing authori</w:t>
            </w:r>
            <w:r w:rsidR="00FA4399">
              <w:rPr>
                <w:sz w:val="20"/>
                <w:szCs w:val="20"/>
              </w:rPr>
              <w:t>s</w:t>
            </w:r>
            <w:r w:rsidRPr="00F30EFE">
              <w:rPr>
                <w:sz w:val="20"/>
                <w:szCs w:val="20"/>
              </w:rPr>
              <w:t>ation on 4</w:t>
            </w:r>
            <w:r w:rsidR="00FA4399">
              <w:rPr>
                <w:sz w:val="20"/>
                <w:szCs w:val="20"/>
              </w:rPr>
              <w:t> </w:t>
            </w:r>
            <w:r w:rsidRPr="00F30EFE">
              <w:rPr>
                <w:sz w:val="20"/>
                <w:szCs w:val="20"/>
              </w:rPr>
              <w:t>January 2007. Switched to full marketing authorisation on 8</w:t>
            </w:r>
            <w:r w:rsidR="00FA4399">
              <w:rPr>
                <w:sz w:val="20"/>
                <w:szCs w:val="20"/>
              </w:rPr>
              <w:t> </w:t>
            </w:r>
            <w:r w:rsidRPr="00F30EFE">
              <w:rPr>
                <w:sz w:val="20"/>
                <w:szCs w:val="20"/>
              </w:rPr>
              <w:t>January 2014 (unlimited)</w:t>
            </w:r>
          </w:p>
        </w:tc>
        <w:tc>
          <w:tcPr>
            <w:tcW w:w="3792" w:type="dxa"/>
          </w:tcPr>
          <w:p w14:paraId="2FCE7550" w14:textId="77777777" w:rsidR="00333A81" w:rsidRPr="00F30EFE" w:rsidRDefault="00333A81" w:rsidP="00333A81">
            <w:pPr>
              <w:ind w:left="0" w:right="0"/>
              <w:rPr>
                <w:i/>
                <w:sz w:val="20"/>
                <w:szCs w:val="20"/>
              </w:rPr>
            </w:pPr>
            <w:r w:rsidRPr="00F30EFE">
              <w:rPr>
                <w:i/>
                <w:sz w:val="20"/>
                <w:szCs w:val="20"/>
              </w:rPr>
              <w:t>Diacomit is indicated for use in conjunction with clobazam and valproate as adjunctive therapy of refractory generalized tonic clonic seizures in patients with severe myoclonic epilepsy in infancy (SMEI, Dravet’s syndrome) whose seizures are not adequately controlled with clobazam and valproate.</w:t>
            </w:r>
          </w:p>
        </w:tc>
      </w:tr>
      <w:tr w:rsidR="00333A81" w:rsidRPr="00F30EFE" w14:paraId="3E010590" w14:textId="77777777" w:rsidTr="00B738F3">
        <w:tc>
          <w:tcPr>
            <w:tcW w:w="1243" w:type="dxa"/>
          </w:tcPr>
          <w:p w14:paraId="637F8A12" w14:textId="77777777" w:rsidR="00333A81" w:rsidRPr="00F30EFE" w:rsidRDefault="00333A81" w:rsidP="00333A81">
            <w:pPr>
              <w:ind w:left="0" w:right="0"/>
              <w:rPr>
                <w:sz w:val="20"/>
                <w:szCs w:val="20"/>
              </w:rPr>
            </w:pPr>
            <w:r w:rsidRPr="00F30EFE">
              <w:rPr>
                <w:sz w:val="20"/>
                <w:szCs w:val="20"/>
              </w:rPr>
              <w:t>Canada</w:t>
            </w:r>
          </w:p>
        </w:tc>
        <w:tc>
          <w:tcPr>
            <w:tcW w:w="1842" w:type="dxa"/>
          </w:tcPr>
          <w:p w14:paraId="2EE0C3CF" w14:textId="77777777" w:rsidR="00333A81" w:rsidRPr="00F30EFE" w:rsidRDefault="00333A81" w:rsidP="00333A81">
            <w:pPr>
              <w:ind w:left="0" w:right="0"/>
              <w:rPr>
                <w:sz w:val="20"/>
                <w:szCs w:val="20"/>
              </w:rPr>
            </w:pPr>
            <w:r w:rsidRPr="00F30EFE">
              <w:rPr>
                <w:sz w:val="20"/>
                <w:szCs w:val="20"/>
              </w:rPr>
              <w:t>8 October 2010</w:t>
            </w:r>
          </w:p>
        </w:tc>
        <w:tc>
          <w:tcPr>
            <w:tcW w:w="1843" w:type="dxa"/>
          </w:tcPr>
          <w:p w14:paraId="7FC4ABEB" w14:textId="52A3C5C0" w:rsidR="00333A81" w:rsidRPr="00F30EFE" w:rsidRDefault="00333A81" w:rsidP="00333A81">
            <w:pPr>
              <w:ind w:left="0" w:right="0"/>
              <w:rPr>
                <w:sz w:val="20"/>
                <w:szCs w:val="20"/>
              </w:rPr>
            </w:pPr>
            <w:r w:rsidRPr="00F30EFE">
              <w:rPr>
                <w:sz w:val="20"/>
                <w:szCs w:val="20"/>
              </w:rPr>
              <w:t>Approved 21</w:t>
            </w:r>
            <w:r w:rsidR="00FA4399">
              <w:rPr>
                <w:sz w:val="20"/>
                <w:szCs w:val="20"/>
              </w:rPr>
              <w:t> </w:t>
            </w:r>
            <w:r w:rsidRPr="00F30EFE">
              <w:rPr>
                <w:sz w:val="20"/>
                <w:szCs w:val="20"/>
              </w:rPr>
              <w:t>December 2012</w:t>
            </w:r>
          </w:p>
        </w:tc>
        <w:tc>
          <w:tcPr>
            <w:tcW w:w="3792" w:type="dxa"/>
          </w:tcPr>
          <w:p w14:paraId="370460C4" w14:textId="77777777" w:rsidR="00333A81" w:rsidRPr="00F30EFE" w:rsidRDefault="00333A81" w:rsidP="00333A81">
            <w:pPr>
              <w:ind w:left="0" w:right="0"/>
              <w:rPr>
                <w:i/>
                <w:sz w:val="20"/>
                <w:szCs w:val="20"/>
              </w:rPr>
            </w:pPr>
            <w:r w:rsidRPr="00F30EFE">
              <w:rPr>
                <w:i/>
                <w:sz w:val="20"/>
                <w:szCs w:val="20"/>
              </w:rPr>
              <w:t>Diacomit (stiripentol) is indicated for use in conjunction with clobazam and valproate as adjunctive therapy of refractory generalized tonic clonic seizures in patients with severe myoclonic epilepsy in infancy (SMEI, Dravet syndrome) whose seizures are not adequately controlled with clobazam and valproate alone.</w:t>
            </w:r>
          </w:p>
        </w:tc>
      </w:tr>
      <w:tr w:rsidR="00333A81" w:rsidRPr="00F30EFE" w14:paraId="5B624483" w14:textId="77777777" w:rsidTr="00B738F3">
        <w:tc>
          <w:tcPr>
            <w:tcW w:w="1243" w:type="dxa"/>
          </w:tcPr>
          <w:p w14:paraId="483F2E4B" w14:textId="77777777" w:rsidR="00333A81" w:rsidRPr="00F30EFE" w:rsidRDefault="00333A81" w:rsidP="00333A81">
            <w:pPr>
              <w:ind w:left="0" w:right="0"/>
              <w:rPr>
                <w:sz w:val="20"/>
                <w:szCs w:val="20"/>
              </w:rPr>
            </w:pPr>
            <w:r w:rsidRPr="00F30EFE">
              <w:rPr>
                <w:sz w:val="20"/>
                <w:szCs w:val="20"/>
              </w:rPr>
              <w:t>Japan</w:t>
            </w:r>
          </w:p>
        </w:tc>
        <w:tc>
          <w:tcPr>
            <w:tcW w:w="1842" w:type="dxa"/>
          </w:tcPr>
          <w:p w14:paraId="3ADFC9F0" w14:textId="77777777" w:rsidR="00333A81" w:rsidRPr="00F30EFE" w:rsidRDefault="00333A81" w:rsidP="00333A81">
            <w:pPr>
              <w:ind w:left="0" w:right="0"/>
              <w:rPr>
                <w:sz w:val="20"/>
                <w:szCs w:val="20"/>
              </w:rPr>
            </w:pPr>
            <w:r w:rsidRPr="00F30EFE">
              <w:rPr>
                <w:sz w:val="20"/>
                <w:szCs w:val="20"/>
              </w:rPr>
              <w:t>6 January 2011</w:t>
            </w:r>
          </w:p>
        </w:tc>
        <w:tc>
          <w:tcPr>
            <w:tcW w:w="1843" w:type="dxa"/>
          </w:tcPr>
          <w:p w14:paraId="3652DC19" w14:textId="6FECD0DA" w:rsidR="00333A81" w:rsidRPr="00F30EFE" w:rsidRDefault="00333A81" w:rsidP="00333A81">
            <w:pPr>
              <w:ind w:left="0" w:right="0"/>
              <w:rPr>
                <w:sz w:val="20"/>
                <w:szCs w:val="20"/>
              </w:rPr>
            </w:pPr>
            <w:r w:rsidRPr="00F30EFE">
              <w:rPr>
                <w:sz w:val="20"/>
                <w:szCs w:val="20"/>
              </w:rPr>
              <w:t>Approved 28</w:t>
            </w:r>
            <w:r w:rsidR="00FA4399">
              <w:rPr>
                <w:sz w:val="20"/>
                <w:szCs w:val="20"/>
              </w:rPr>
              <w:t> </w:t>
            </w:r>
            <w:r w:rsidRPr="00F30EFE">
              <w:rPr>
                <w:sz w:val="20"/>
                <w:szCs w:val="20"/>
              </w:rPr>
              <w:t>September 2012</w:t>
            </w:r>
          </w:p>
        </w:tc>
        <w:tc>
          <w:tcPr>
            <w:tcW w:w="3792" w:type="dxa"/>
          </w:tcPr>
          <w:p w14:paraId="23D271BE" w14:textId="77777777" w:rsidR="00333A81" w:rsidRPr="00F30EFE" w:rsidRDefault="00333A81" w:rsidP="00333A81">
            <w:pPr>
              <w:ind w:left="0" w:right="0"/>
              <w:rPr>
                <w:i/>
                <w:sz w:val="20"/>
                <w:szCs w:val="20"/>
              </w:rPr>
            </w:pPr>
            <w:r w:rsidRPr="00F30EFE">
              <w:rPr>
                <w:i/>
                <w:sz w:val="20"/>
                <w:szCs w:val="20"/>
              </w:rPr>
              <w:t xml:space="preserve">Diacomit is indicated for combination treatment with clobazam and sodium valproate for clonic seizure or tonic clonic seizure in patients with Dravet syndrome </w:t>
            </w:r>
            <w:r w:rsidRPr="00F30EFE">
              <w:rPr>
                <w:i/>
                <w:sz w:val="20"/>
                <w:szCs w:val="20"/>
              </w:rPr>
              <w:lastRenderedPageBreak/>
              <w:t>for which clobazam and sodium valproate are not fully effective.</w:t>
            </w:r>
          </w:p>
        </w:tc>
      </w:tr>
      <w:tr w:rsidR="00333A81" w:rsidRPr="00F30EFE" w14:paraId="413D9BC0" w14:textId="77777777" w:rsidTr="00B738F3">
        <w:tc>
          <w:tcPr>
            <w:tcW w:w="1243" w:type="dxa"/>
          </w:tcPr>
          <w:p w14:paraId="63EB4229" w14:textId="77777777" w:rsidR="00333A81" w:rsidRPr="00F30EFE" w:rsidRDefault="00333A81" w:rsidP="00333A81">
            <w:pPr>
              <w:ind w:left="0" w:right="0"/>
              <w:rPr>
                <w:sz w:val="20"/>
                <w:szCs w:val="20"/>
              </w:rPr>
            </w:pPr>
            <w:r w:rsidRPr="00F30EFE">
              <w:rPr>
                <w:sz w:val="20"/>
                <w:szCs w:val="20"/>
              </w:rPr>
              <w:lastRenderedPageBreak/>
              <w:t>US</w:t>
            </w:r>
          </w:p>
        </w:tc>
        <w:tc>
          <w:tcPr>
            <w:tcW w:w="1842" w:type="dxa"/>
          </w:tcPr>
          <w:p w14:paraId="5356004D" w14:textId="77777777" w:rsidR="00333A81" w:rsidRPr="00F30EFE" w:rsidRDefault="00333A81" w:rsidP="00333A81">
            <w:pPr>
              <w:ind w:left="0" w:right="0"/>
              <w:rPr>
                <w:sz w:val="20"/>
                <w:szCs w:val="20"/>
              </w:rPr>
            </w:pPr>
            <w:r w:rsidRPr="00F30EFE">
              <w:rPr>
                <w:sz w:val="20"/>
                <w:szCs w:val="20"/>
              </w:rPr>
              <w:t>27 October 2015</w:t>
            </w:r>
          </w:p>
        </w:tc>
        <w:tc>
          <w:tcPr>
            <w:tcW w:w="1843" w:type="dxa"/>
          </w:tcPr>
          <w:p w14:paraId="255668E9" w14:textId="3509F800" w:rsidR="00333A81" w:rsidRPr="00F30EFE" w:rsidRDefault="00333A81" w:rsidP="00333A81">
            <w:pPr>
              <w:ind w:left="0" w:right="0"/>
              <w:rPr>
                <w:sz w:val="20"/>
                <w:szCs w:val="20"/>
              </w:rPr>
            </w:pPr>
            <w:r w:rsidRPr="00F30EFE">
              <w:rPr>
                <w:sz w:val="20"/>
                <w:szCs w:val="20"/>
              </w:rPr>
              <w:t>Approved 20</w:t>
            </w:r>
            <w:r w:rsidR="00FA4399">
              <w:rPr>
                <w:sz w:val="20"/>
                <w:szCs w:val="20"/>
              </w:rPr>
              <w:t> </w:t>
            </w:r>
            <w:r w:rsidRPr="00F30EFE">
              <w:rPr>
                <w:sz w:val="20"/>
                <w:szCs w:val="20"/>
              </w:rPr>
              <w:t>August 2018</w:t>
            </w:r>
          </w:p>
        </w:tc>
        <w:tc>
          <w:tcPr>
            <w:tcW w:w="3792" w:type="dxa"/>
          </w:tcPr>
          <w:p w14:paraId="7F036B70" w14:textId="77777777" w:rsidR="00333A81" w:rsidRPr="00F30EFE" w:rsidRDefault="00333A81" w:rsidP="00333A81">
            <w:pPr>
              <w:ind w:left="0" w:right="0"/>
              <w:rPr>
                <w:i/>
                <w:sz w:val="20"/>
                <w:szCs w:val="20"/>
              </w:rPr>
            </w:pPr>
            <w:r w:rsidRPr="00F30EFE">
              <w:rPr>
                <w:i/>
                <w:sz w:val="20"/>
                <w:szCs w:val="20"/>
              </w:rPr>
              <w:t>Diacomit is indicated for the treatment of seizures associated with Dravet syndrome in patients 2 years of age and older taking clobazam. There are no clinical data to support the use of Diacomit as monotherapy in Dravet syndrome.</w:t>
            </w:r>
          </w:p>
        </w:tc>
      </w:tr>
      <w:tr w:rsidR="00333A81" w:rsidRPr="00F30EFE" w14:paraId="419E6A9D" w14:textId="77777777" w:rsidTr="00B738F3">
        <w:tc>
          <w:tcPr>
            <w:tcW w:w="1243" w:type="dxa"/>
          </w:tcPr>
          <w:p w14:paraId="738CFC86" w14:textId="77777777" w:rsidR="00333A81" w:rsidRPr="00F30EFE" w:rsidRDefault="00333A81" w:rsidP="00333A81">
            <w:pPr>
              <w:ind w:left="0" w:right="0"/>
              <w:rPr>
                <w:sz w:val="20"/>
                <w:szCs w:val="20"/>
              </w:rPr>
            </w:pPr>
            <w:r w:rsidRPr="00F30EFE">
              <w:rPr>
                <w:sz w:val="20"/>
                <w:szCs w:val="20"/>
              </w:rPr>
              <w:t>Switzerland</w:t>
            </w:r>
          </w:p>
        </w:tc>
        <w:tc>
          <w:tcPr>
            <w:tcW w:w="1842" w:type="dxa"/>
          </w:tcPr>
          <w:p w14:paraId="02C0907A" w14:textId="77777777" w:rsidR="00333A81" w:rsidRPr="00F30EFE" w:rsidRDefault="00333A81" w:rsidP="00333A81">
            <w:pPr>
              <w:ind w:left="0" w:right="0"/>
              <w:rPr>
                <w:sz w:val="20"/>
                <w:szCs w:val="20"/>
              </w:rPr>
            </w:pPr>
            <w:r w:rsidRPr="00F30EFE">
              <w:rPr>
                <w:sz w:val="20"/>
                <w:szCs w:val="20"/>
              </w:rPr>
              <w:t>9 November 2016</w:t>
            </w:r>
          </w:p>
        </w:tc>
        <w:tc>
          <w:tcPr>
            <w:tcW w:w="1843" w:type="dxa"/>
          </w:tcPr>
          <w:p w14:paraId="30734C19" w14:textId="77777777" w:rsidR="00333A81" w:rsidRPr="00F30EFE" w:rsidRDefault="00333A81" w:rsidP="00333A81">
            <w:pPr>
              <w:ind w:left="0" w:right="0"/>
              <w:rPr>
                <w:sz w:val="20"/>
                <w:szCs w:val="20"/>
              </w:rPr>
            </w:pPr>
            <w:r w:rsidRPr="00F30EFE">
              <w:rPr>
                <w:sz w:val="20"/>
                <w:szCs w:val="20"/>
              </w:rPr>
              <w:t>Approved 24 July 2018</w:t>
            </w:r>
          </w:p>
        </w:tc>
        <w:tc>
          <w:tcPr>
            <w:tcW w:w="3792" w:type="dxa"/>
          </w:tcPr>
          <w:p w14:paraId="523B2244" w14:textId="77777777" w:rsidR="00333A81" w:rsidRPr="00F30EFE" w:rsidRDefault="00333A81" w:rsidP="00333A81">
            <w:pPr>
              <w:ind w:left="0" w:right="0"/>
              <w:rPr>
                <w:i/>
                <w:sz w:val="20"/>
                <w:szCs w:val="20"/>
              </w:rPr>
            </w:pPr>
            <w:r w:rsidRPr="00F30EFE">
              <w:rPr>
                <w:i/>
                <w:sz w:val="20"/>
                <w:szCs w:val="20"/>
              </w:rPr>
              <w:t>Diacomit is indicated for use in conjunction with clobazam and valproate as adjunctive therapy of refractory generalized tonic-clonic seizures in patients with severe myoclonic epilepsy in infancy (SMEI, Dravet’s syndrome) whose seizures are not adequately controlled with clobazam and valproate.</w:t>
            </w:r>
          </w:p>
        </w:tc>
      </w:tr>
    </w:tbl>
    <w:p w14:paraId="6A689E27" w14:textId="77777777" w:rsidR="008E7846" w:rsidRPr="00F30EFE" w:rsidRDefault="008E7846" w:rsidP="00940A89">
      <w:pPr>
        <w:pStyle w:val="Heading3"/>
      </w:pPr>
      <w:bookmarkStart w:id="22" w:name="_Toc27645582"/>
      <w:r w:rsidRPr="00F30EFE">
        <w:t>Product Information</w:t>
      </w:r>
      <w:bookmarkEnd w:id="19"/>
      <w:bookmarkEnd w:id="20"/>
      <w:bookmarkEnd w:id="22"/>
    </w:p>
    <w:p w14:paraId="4A882AE3" w14:textId="77777777" w:rsidR="00940A89" w:rsidRPr="00F30EFE" w:rsidRDefault="006136D7" w:rsidP="00940A89">
      <w:bookmarkStart w:id="23" w:name="_Toc247691506"/>
      <w:bookmarkStart w:id="24" w:name="_Toc314842487"/>
      <w:r w:rsidRPr="00F30EFE">
        <w:t xml:space="preserve">The Product Information (PI) approved with the submission which is described in this AusPAR can be found as Attachment 1. For the most recent PI, please refer to the TGA website at </w:t>
      </w:r>
      <w:r w:rsidR="00441C3F" w:rsidRPr="00F30EFE">
        <w:t>&lt;</w:t>
      </w:r>
      <w:hyperlink r:id="rId16" w:history="1">
        <w:r w:rsidR="00441C3F" w:rsidRPr="00F30EFE">
          <w:rPr>
            <w:rStyle w:val="Hyperlink"/>
          </w:rPr>
          <w:t>https://www.tga.gov.au/product-information-pi</w:t>
        </w:r>
      </w:hyperlink>
      <w:r w:rsidR="00441C3F" w:rsidRPr="00F30EFE">
        <w:t>&gt;</w:t>
      </w:r>
      <w:r w:rsidR="00940A89" w:rsidRPr="00F30EFE">
        <w:t>.</w:t>
      </w:r>
    </w:p>
    <w:p w14:paraId="64E235CE" w14:textId="56A241C1" w:rsidR="00500337" w:rsidRPr="00F30EFE" w:rsidRDefault="00500337" w:rsidP="00500337">
      <w:pPr>
        <w:pStyle w:val="Heading2"/>
      </w:pPr>
      <w:bookmarkStart w:id="25" w:name="_Toc504480011"/>
      <w:bookmarkStart w:id="26" w:name="_Toc27645583"/>
      <w:r w:rsidRPr="00F30EFE">
        <w:t xml:space="preserve">II. Registration </w:t>
      </w:r>
      <w:bookmarkEnd w:id="25"/>
      <w:r w:rsidR="00F30EFE" w:rsidRPr="00F30EFE">
        <w:t>timeline</w:t>
      </w:r>
      <w:bookmarkEnd w:id="26"/>
    </w:p>
    <w:p w14:paraId="55371CE4" w14:textId="77777777" w:rsidR="00500337" w:rsidRPr="00F30EFE" w:rsidRDefault="006662D8" w:rsidP="00500337">
      <w:r w:rsidRPr="00F30EFE">
        <w:fldChar w:fldCharType="begin"/>
      </w:r>
      <w:r w:rsidRPr="00F30EFE">
        <w:instrText xml:space="preserve"> REF _Ref22628793 \h </w:instrText>
      </w:r>
      <w:r w:rsidRPr="00F30EFE">
        <w:fldChar w:fldCharType="separate"/>
      </w:r>
      <w:r w:rsidRPr="00F30EFE">
        <w:t xml:space="preserve">Table </w:t>
      </w:r>
      <w:r w:rsidRPr="00F30EFE">
        <w:rPr>
          <w:noProof/>
        </w:rPr>
        <w:t>2</w:t>
      </w:r>
      <w:r w:rsidRPr="00F30EFE">
        <w:fldChar w:fldCharType="end"/>
      </w:r>
      <w:r w:rsidR="00500337" w:rsidRPr="00F30EFE">
        <w:t xml:space="preserve"> captures the key steps and dates for this application and which are detailed and discussed</w:t>
      </w:r>
      <w:r w:rsidRPr="00F30EFE">
        <w:t xml:space="preserve"> in this AusPAR</w:t>
      </w:r>
      <w:r w:rsidR="00500337" w:rsidRPr="00F30EFE">
        <w:t>.</w:t>
      </w:r>
    </w:p>
    <w:p w14:paraId="3E5C36BD" w14:textId="77777777" w:rsidR="00500337" w:rsidRPr="00F30EFE" w:rsidRDefault="006662D8" w:rsidP="006662D8">
      <w:pPr>
        <w:pStyle w:val="TableTitle"/>
      </w:pPr>
      <w:bookmarkStart w:id="27" w:name="_Ref22628793"/>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2</w:t>
      </w:r>
      <w:r w:rsidR="00C12465">
        <w:rPr>
          <w:noProof/>
        </w:rPr>
        <w:fldChar w:fldCharType="end"/>
      </w:r>
      <w:bookmarkEnd w:id="27"/>
      <w:r w:rsidRPr="00F30EFE">
        <w:t xml:space="preserve">: </w:t>
      </w:r>
      <w:r w:rsidR="006A58A8" w:rsidRPr="00F30EFE">
        <w:t xml:space="preserve">Timeline for Submission </w:t>
      </w:r>
      <w:r w:rsidR="005E0C8F" w:rsidRPr="00F30EFE">
        <w:t>PM-2016-02336-1-1</w:t>
      </w:r>
    </w:p>
    <w:tbl>
      <w:tblPr>
        <w:tblStyle w:val="TableTGAblue"/>
        <w:tblW w:w="0" w:type="auto"/>
        <w:tblLook w:val="04A0" w:firstRow="1" w:lastRow="0" w:firstColumn="1" w:lastColumn="0" w:noHBand="0" w:noVBand="1"/>
      </w:tblPr>
      <w:tblGrid>
        <w:gridCol w:w="4360"/>
        <w:gridCol w:w="4360"/>
      </w:tblGrid>
      <w:tr w:rsidR="00500337" w:rsidRPr="00F30EFE" w14:paraId="40162784"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72ACB751" w14:textId="77777777" w:rsidR="00500337" w:rsidRPr="00F30EFE" w:rsidRDefault="00500337" w:rsidP="00500337">
            <w:pPr>
              <w:ind w:left="0" w:right="0"/>
            </w:pPr>
            <w:r w:rsidRPr="00F30EFE">
              <w:t>Description</w:t>
            </w:r>
          </w:p>
        </w:tc>
        <w:tc>
          <w:tcPr>
            <w:tcW w:w="4360" w:type="dxa"/>
          </w:tcPr>
          <w:p w14:paraId="67018347" w14:textId="77777777" w:rsidR="00500337" w:rsidRPr="00F30EFE" w:rsidRDefault="00500337" w:rsidP="00500337">
            <w:pPr>
              <w:ind w:left="0" w:right="0"/>
            </w:pPr>
            <w:r w:rsidRPr="00F30EFE">
              <w:t>Date</w:t>
            </w:r>
          </w:p>
        </w:tc>
      </w:tr>
      <w:tr w:rsidR="005E0C8F" w:rsidRPr="00F30EFE" w14:paraId="2F5F25DD" w14:textId="77777777" w:rsidTr="00500337">
        <w:tc>
          <w:tcPr>
            <w:tcW w:w="4360" w:type="dxa"/>
          </w:tcPr>
          <w:p w14:paraId="2CF6BBEF" w14:textId="77777777" w:rsidR="005E0C8F" w:rsidRPr="00F30EFE" w:rsidRDefault="005E0C8F" w:rsidP="005E0C8F">
            <w:pPr>
              <w:ind w:left="0" w:right="0"/>
            </w:pPr>
            <w:r w:rsidRPr="00F30EFE">
              <w:t>Submission dossier accepted and first round evaluation commenced</w:t>
            </w:r>
          </w:p>
        </w:tc>
        <w:tc>
          <w:tcPr>
            <w:tcW w:w="4360" w:type="dxa"/>
          </w:tcPr>
          <w:p w14:paraId="10949685" w14:textId="77777777" w:rsidR="005E0C8F" w:rsidRPr="00F30EFE" w:rsidRDefault="005E0C8F" w:rsidP="005E0C8F">
            <w:r w:rsidRPr="00F30EFE">
              <w:t>31 October 2016</w:t>
            </w:r>
          </w:p>
        </w:tc>
      </w:tr>
      <w:tr w:rsidR="005E0C8F" w:rsidRPr="00F30EFE" w14:paraId="5755D323" w14:textId="77777777" w:rsidTr="00500337">
        <w:tc>
          <w:tcPr>
            <w:tcW w:w="4360" w:type="dxa"/>
          </w:tcPr>
          <w:p w14:paraId="703C55F1" w14:textId="77777777" w:rsidR="005E0C8F" w:rsidRPr="00F30EFE" w:rsidRDefault="005E0C8F" w:rsidP="005E0C8F">
            <w:pPr>
              <w:ind w:left="0" w:right="0"/>
            </w:pPr>
            <w:r w:rsidRPr="00F30EFE">
              <w:t>First round evaluation completed</w:t>
            </w:r>
          </w:p>
        </w:tc>
        <w:tc>
          <w:tcPr>
            <w:tcW w:w="4360" w:type="dxa"/>
          </w:tcPr>
          <w:p w14:paraId="55B9E367" w14:textId="77777777" w:rsidR="005E0C8F" w:rsidRPr="00F30EFE" w:rsidRDefault="005E0C8F" w:rsidP="005E0C8F">
            <w:r w:rsidRPr="00F30EFE">
              <w:t>26 April 2017</w:t>
            </w:r>
          </w:p>
        </w:tc>
      </w:tr>
      <w:tr w:rsidR="005E0C8F" w:rsidRPr="00F30EFE" w14:paraId="56927FFC" w14:textId="77777777" w:rsidTr="00500337">
        <w:tc>
          <w:tcPr>
            <w:tcW w:w="4360" w:type="dxa"/>
          </w:tcPr>
          <w:p w14:paraId="1291D510" w14:textId="77777777" w:rsidR="005E0C8F" w:rsidRPr="00F30EFE" w:rsidRDefault="005E0C8F" w:rsidP="005E0C8F">
            <w:pPr>
              <w:ind w:left="0" w:right="0"/>
            </w:pPr>
            <w:r w:rsidRPr="00F30EFE">
              <w:t>Sponsor provides responses on questions raised in first round evaluation</w:t>
            </w:r>
          </w:p>
        </w:tc>
        <w:tc>
          <w:tcPr>
            <w:tcW w:w="4360" w:type="dxa"/>
          </w:tcPr>
          <w:p w14:paraId="7FA77723" w14:textId="77777777" w:rsidR="005E0C8F" w:rsidRPr="00F30EFE" w:rsidRDefault="005E0C8F" w:rsidP="005E0C8F">
            <w:r w:rsidRPr="00F30EFE">
              <w:t>27 May 2017</w:t>
            </w:r>
          </w:p>
        </w:tc>
      </w:tr>
      <w:tr w:rsidR="005E0C8F" w:rsidRPr="00F30EFE" w14:paraId="021F959E" w14:textId="77777777" w:rsidTr="00500337">
        <w:tc>
          <w:tcPr>
            <w:tcW w:w="4360" w:type="dxa"/>
          </w:tcPr>
          <w:p w14:paraId="4D44D391" w14:textId="77777777" w:rsidR="005E0C8F" w:rsidRPr="00F30EFE" w:rsidRDefault="005E0C8F" w:rsidP="005E0C8F">
            <w:pPr>
              <w:ind w:left="0" w:right="0"/>
            </w:pPr>
            <w:r w:rsidRPr="00F30EFE">
              <w:t>Second round evaluation completed</w:t>
            </w:r>
          </w:p>
        </w:tc>
        <w:tc>
          <w:tcPr>
            <w:tcW w:w="4360" w:type="dxa"/>
          </w:tcPr>
          <w:p w14:paraId="64754687" w14:textId="77777777" w:rsidR="005E0C8F" w:rsidRPr="00F30EFE" w:rsidRDefault="005E0C8F" w:rsidP="005E0C8F">
            <w:r w:rsidRPr="00F30EFE">
              <w:t>21 August 2017</w:t>
            </w:r>
          </w:p>
        </w:tc>
      </w:tr>
      <w:tr w:rsidR="005E0C8F" w:rsidRPr="00F30EFE" w14:paraId="2FD7C3B6" w14:textId="77777777" w:rsidTr="00500337">
        <w:tc>
          <w:tcPr>
            <w:tcW w:w="4360" w:type="dxa"/>
          </w:tcPr>
          <w:p w14:paraId="10BB8972" w14:textId="77777777" w:rsidR="005E0C8F" w:rsidRPr="00F30EFE" w:rsidRDefault="005E0C8F" w:rsidP="005E0C8F">
            <w:pPr>
              <w:ind w:left="0" w:right="0"/>
            </w:pPr>
            <w:r w:rsidRPr="00F30EFE">
              <w:t>Delegate’s Overall benefit-risk assessment and request for Advisory Committee advice</w:t>
            </w:r>
          </w:p>
        </w:tc>
        <w:tc>
          <w:tcPr>
            <w:tcW w:w="4360" w:type="dxa"/>
          </w:tcPr>
          <w:p w14:paraId="059492FE" w14:textId="77777777" w:rsidR="005E0C8F" w:rsidRPr="00F30EFE" w:rsidRDefault="005E0C8F" w:rsidP="005E0C8F">
            <w:r w:rsidRPr="00F30EFE">
              <w:t>2 July 2019</w:t>
            </w:r>
          </w:p>
        </w:tc>
      </w:tr>
      <w:tr w:rsidR="005E0C8F" w:rsidRPr="00F30EFE" w14:paraId="3970452E" w14:textId="77777777" w:rsidTr="00500337">
        <w:tc>
          <w:tcPr>
            <w:tcW w:w="4360" w:type="dxa"/>
          </w:tcPr>
          <w:p w14:paraId="037BE1C1" w14:textId="77777777" w:rsidR="005E0C8F" w:rsidRPr="00F30EFE" w:rsidRDefault="005E0C8F" w:rsidP="005E0C8F">
            <w:pPr>
              <w:ind w:left="0" w:right="0"/>
            </w:pPr>
            <w:r w:rsidRPr="00F30EFE">
              <w:t>Sponsor’s pre-Advisory Committee response</w:t>
            </w:r>
          </w:p>
        </w:tc>
        <w:tc>
          <w:tcPr>
            <w:tcW w:w="4360" w:type="dxa"/>
          </w:tcPr>
          <w:p w14:paraId="42906B46" w14:textId="77777777" w:rsidR="005E0C8F" w:rsidRPr="00F30EFE" w:rsidRDefault="005E0C8F" w:rsidP="005E0C8F">
            <w:r w:rsidRPr="00F30EFE">
              <w:t>16 July 2019</w:t>
            </w:r>
          </w:p>
        </w:tc>
      </w:tr>
      <w:tr w:rsidR="005E0C8F" w:rsidRPr="00F30EFE" w14:paraId="26F58B4D" w14:textId="77777777" w:rsidTr="00500337">
        <w:tc>
          <w:tcPr>
            <w:tcW w:w="4360" w:type="dxa"/>
          </w:tcPr>
          <w:p w14:paraId="231ACD01" w14:textId="77777777" w:rsidR="005E0C8F" w:rsidRPr="00F30EFE" w:rsidRDefault="005E0C8F" w:rsidP="005E0C8F">
            <w:pPr>
              <w:ind w:left="0" w:right="0"/>
            </w:pPr>
            <w:r w:rsidRPr="00F30EFE">
              <w:t>Advisory Committee meeting</w:t>
            </w:r>
          </w:p>
        </w:tc>
        <w:tc>
          <w:tcPr>
            <w:tcW w:w="4360" w:type="dxa"/>
          </w:tcPr>
          <w:p w14:paraId="56376A4A" w14:textId="77777777" w:rsidR="005E0C8F" w:rsidRPr="00F30EFE" w:rsidRDefault="005E0C8F" w:rsidP="005E0C8F">
            <w:r w:rsidRPr="00F30EFE">
              <w:t>1-2 August 2019</w:t>
            </w:r>
          </w:p>
        </w:tc>
      </w:tr>
      <w:tr w:rsidR="005E0C8F" w:rsidRPr="00F30EFE" w14:paraId="4EDAC3B8" w14:textId="77777777" w:rsidTr="00500337">
        <w:tc>
          <w:tcPr>
            <w:tcW w:w="4360" w:type="dxa"/>
          </w:tcPr>
          <w:p w14:paraId="34EDCA76" w14:textId="77777777" w:rsidR="005E0C8F" w:rsidRPr="00F30EFE" w:rsidRDefault="005E0C8F" w:rsidP="005E0C8F">
            <w:pPr>
              <w:ind w:left="0" w:right="0"/>
            </w:pPr>
            <w:r w:rsidRPr="00F30EFE">
              <w:lastRenderedPageBreak/>
              <w:t>Registration decision (Outcome)</w:t>
            </w:r>
          </w:p>
        </w:tc>
        <w:tc>
          <w:tcPr>
            <w:tcW w:w="4360" w:type="dxa"/>
          </w:tcPr>
          <w:p w14:paraId="217CE144" w14:textId="77777777" w:rsidR="005E0C8F" w:rsidRPr="00F30EFE" w:rsidRDefault="005E0C8F" w:rsidP="005E0C8F">
            <w:r w:rsidRPr="00F30EFE">
              <w:t>11 September 2019</w:t>
            </w:r>
          </w:p>
        </w:tc>
      </w:tr>
      <w:tr w:rsidR="005E0C8F" w:rsidRPr="00F30EFE" w14:paraId="1FB4BEFA" w14:textId="77777777" w:rsidTr="00500337">
        <w:tc>
          <w:tcPr>
            <w:tcW w:w="4360" w:type="dxa"/>
          </w:tcPr>
          <w:p w14:paraId="399357C4" w14:textId="77777777" w:rsidR="005E0C8F" w:rsidRPr="00F30EFE" w:rsidRDefault="005E0C8F" w:rsidP="005E0C8F">
            <w:pPr>
              <w:ind w:left="0" w:right="0"/>
            </w:pPr>
            <w:r w:rsidRPr="00F30EFE">
              <w:t>Completion of administrative activities and registration on ARTG</w:t>
            </w:r>
          </w:p>
        </w:tc>
        <w:tc>
          <w:tcPr>
            <w:tcW w:w="4360" w:type="dxa"/>
          </w:tcPr>
          <w:p w14:paraId="649ABF96" w14:textId="77777777" w:rsidR="005E0C8F" w:rsidRPr="00F30EFE" w:rsidRDefault="005E0C8F" w:rsidP="005E0C8F">
            <w:r w:rsidRPr="00F30EFE">
              <w:t>13 September 2019</w:t>
            </w:r>
          </w:p>
        </w:tc>
      </w:tr>
      <w:tr w:rsidR="005E0C8F" w:rsidRPr="00F30EFE" w14:paraId="0B662D05" w14:textId="77777777" w:rsidTr="00500337">
        <w:tc>
          <w:tcPr>
            <w:tcW w:w="4360" w:type="dxa"/>
          </w:tcPr>
          <w:p w14:paraId="740F3C5B" w14:textId="77777777" w:rsidR="005E0C8F" w:rsidRPr="00F30EFE" w:rsidRDefault="005E0C8F" w:rsidP="005E0C8F">
            <w:pPr>
              <w:ind w:left="0" w:right="0"/>
            </w:pPr>
            <w:r w:rsidRPr="00F30EFE">
              <w:t>Number of working days from submission dossier acceptance to registration decision*</w:t>
            </w:r>
          </w:p>
        </w:tc>
        <w:tc>
          <w:tcPr>
            <w:tcW w:w="4360" w:type="dxa"/>
          </w:tcPr>
          <w:p w14:paraId="078B7077" w14:textId="77777777" w:rsidR="005E0C8F" w:rsidRPr="00F30EFE" w:rsidRDefault="005E0C8F" w:rsidP="005E0C8F">
            <w:r w:rsidRPr="00F30EFE">
              <w:t>242</w:t>
            </w:r>
          </w:p>
        </w:tc>
      </w:tr>
    </w:tbl>
    <w:p w14:paraId="69D9DD99" w14:textId="77777777" w:rsidR="00500337" w:rsidRPr="00F30EFE" w:rsidRDefault="00500337" w:rsidP="00500337">
      <w:pPr>
        <w:pStyle w:val="TableDescription"/>
      </w:pPr>
      <w:r w:rsidRPr="00F30EFE">
        <w:t>*</w:t>
      </w:r>
      <w:r w:rsidR="00BF3774" w:rsidRPr="00F30EFE">
        <w:t xml:space="preserve">Statutory </w:t>
      </w:r>
      <w:r w:rsidRPr="00F30EFE">
        <w:t>timeframe for standard applications is 2</w:t>
      </w:r>
      <w:r w:rsidR="00BF3774" w:rsidRPr="00F30EFE">
        <w:t>55</w:t>
      </w:r>
      <w:r w:rsidRPr="00F30EFE">
        <w:t xml:space="preserve"> working days</w:t>
      </w:r>
    </w:p>
    <w:p w14:paraId="2227DF82" w14:textId="379AB887" w:rsidR="008E7846" w:rsidRPr="00F30EFE" w:rsidRDefault="00456765" w:rsidP="008E7846">
      <w:pPr>
        <w:pStyle w:val="Heading2"/>
      </w:pPr>
      <w:bookmarkStart w:id="28" w:name="_Toc196046504"/>
      <w:bookmarkStart w:id="29" w:name="_Toc247691527"/>
      <w:bookmarkStart w:id="30" w:name="_Toc314842510"/>
      <w:bookmarkStart w:id="31" w:name="_Toc27645584"/>
      <w:bookmarkStart w:id="32" w:name="_Toc163441390"/>
      <w:bookmarkEnd w:id="23"/>
      <w:bookmarkEnd w:id="24"/>
      <w:bookmarkEnd w:id="2"/>
      <w:r w:rsidRPr="00F30EFE">
        <w:t>I</w:t>
      </w:r>
      <w:r w:rsidR="00DA64CB" w:rsidRPr="00F30EFE">
        <w:t>I</w:t>
      </w:r>
      <w:r w:rsidR="008E7846" w:rsidRPr="00F30EFE">
        <w:t xml:space="preserve">I. </w:t>
      </w:r>
      <w:r w:rsidR="004940B7">
        <w:t>Submission overview</w:t>
      </w:r>
      <w:r w:rsidR="008E7846" w:rsidRPr="00F30EFE">
        <w:t xml:space="preserve"> and risk/benefit assessment</w:t>
      </w:r>
      <w:bookmarkEnd w:id="28"/>
      <w:bookmarkEnd w:id="29"/>
      <w:bookmarkEnd w:id="30"/>
      <w:bookmarkEnd w:id="31"/>
    </w:p>
    <w:p w14:paraId="6EB62FE7" w14:textId="4BA14092" w:rsidR="00B03A02" w:rsidRPr="00F30EFE" w:rsidRDefault="008E7846" w:rsidP="00B03A02">
      <w:bookmarkStart w:id="33" w:name="_Toc247691528"/>
      <w:r w:rsidRPr="00F30EFE">
        <w:t>The submission was summarised in the following Delegate’s overview and recommendation</w:t>
      </w:r>
      <w:bookmarkStart w:id="34" w:name="_Toc314842511"/>
      <w:r w:rsidR="00DF6412" w:rsidRPr="00F30EFE">
        <w:t>s</w:t>
      </w:r>
      <w:r w:rsidR="00FA4399">
        <w:t>.</w:t>
      </w:r>
    </w:p>
    <w:p w14:paraId="5E589B2A" w14:textId="77777777" w:rsidR="00730F8A" w:rsidRPr="00F30EFE" w:rsidRDefault="008E7846" w:rsidP="006662D8">
      <w:pPr>
        <w:pStyle w:val="Heading3"/>
      </w:pPr>
      <w:bookmarkStart w:id="35" w:name="_Toc27645585"/>
      <w:r w:rsidRPr="00F30EFE">
        <w:t>Quality</w:t>
      </w:r>
      <w:bookmarkEnd w:id="33"/>
      <w:bookmarkEnd w:id="34"/>
      <w:bookmarkEnd w:id="35"/>
    </w:p>
    <w:p w14:paraId="084589FB" w14:textId="77777777" w:rsidR="00B03A02" w:rsidRPr="00F30EFE" w:rsidRDefault="00B03A02" w:rsidP="00B2268B">
      <w:bookmarkStart w:id="36" w:name="_Toc314842512"/>
      <w:r w:rsidRPr="00F30EFE">
        <w:t xml:space="preserve">Approval </w:t>
      </w:r>
      <w:r w:rsidR="00B2268B" w:rsidRPr="00F30EFE">
        <w:t xml:space="preserve">is recommended </w:t>
      </w:r>
      <w:r w:rsidRPr="00F30EFE">
        <w:t>for registration of the proposed product</w:t>
      </w:r>
      <w:r w:rsidRPr="00F30EFE">
        <w:rPr>
          <w:b/>
        </w:rPr>
        <w:t xml:space="preserve"> </w:t>
      </w:r>
      <w:r w:rsidRPr="00F30EFE">
        <w:t>from a pharma</w:t>
      </w:r>
      <w:r w:rsidR="006662D8" w:rsidRPr="00F30EFE">
        <w:t>ceutical chemistry perspective.</w:t>
      </w:r>
    </w:p>
    <w:p w14:paraId="6ECB0EFD" w14:textId="77777777" w:rsidR="00B03A02" w:rsidRPr="00F30EFE" w:rsidRDefault="00B03A02" w:rsidP="00B2268B">
      <w:pPr>
        <w:pStyle w:val="Heading4"/>
      </w:pPr>
      <w:r w:rsidRPr="00F30EFE">
        <w:t>Bioequiva</w:t>
      </w:r>
      <w:r w:rsidR="00D71869" w:rsidRPr="00F30EFE">
        <w:t>lence study (capsule versus</w:t>
      </w:r>
      <w:r w:rsidR="006662D8" w:rsidRPr="00F30EFE">
        <w:t xml:space="preserve"> sachet)</w:t>
      </w:r>
    </w:p>
    <w:p w14:paraId="7F0AF193" w14:textId="097DD816" w:rsidR="00B03A02" w:rsidRPr="00F30EFE" w:rsidRDefault="00FA4399" w:rsidP="00B2268B">
      <w:r>
        <w:t>This was a s</w:t>
      </w:r>
      <w:r w:rsidR="00B03A02" w:rsidRPr="00F30EFE">
        <w:t xml:space="preserve">ingle centre, single </w:t>
      </w:r>
      <w:r w:rsidR="006662D8" w:rsidRPr="00F30EFE">
        <w:t xml:space="preserve">dose, open label, randomised, 2 period, 2 </w:t>
      </w:r>
      <w:r w:rsidR="00B03A02" w:rsidRPr="00F30EFE">
        <w:t xml:space="preserve">sequence period crossover bioequivalence study between </w:t>
      </w:r>
      <w:r w:rsidR="006662D8" w:rsidRPr="00F30EFE">
        <w:t xml:space="preserve">2 </w:t>
      </w:r>
      <w:r w:rsidR="00F1790A">
        <w:t>x</w:t>
      </w:r>
      <w:r w:rsidR="00F1790A" w:rsidRPr="00F30EFE">
        <w:t xml:space="preserve"> </w:t>
      </w:r>
      <w:r w:rsidR="00B03A02" w:rsidRPr="00F30EFE">
        <w:t>500 mg stiripentol capsule</w:t>
      </w:r>
      <w:r w:rsidR="006662D8" w:rsidRPr="00F30EFE">
        <w:t xml:space="preserve"> versus</w:t>
      </w:r>
      <w:r w:rsidR="00B03A02" w:rsidRPr="00F30EFE">
        <w:t xml:space="preserve"> </w:t>
      </w:r>
      <w:r w:rsidR="006662D8" w:rsidRPr="00F30EFE">
        <w:t>2</w:t>
      </w:r>
      <w:r w:rsidR="00F1790A">
        <w:t> x </w:t>
      </w:r>
      <w:r w:rsidR="00B03A02" w:rsidRPr="00F30EFE">
        <w:t>500</w:t>
      </w:r>
      <w:r w:rsidR="00F1790A">
        <w:t> </w:t>
      </w:r>
      <w:r w:rsidR="00B03A02" w:rsidRPr="00F30EFE">
        <w:t>mg stiripentol powder for oral suspension sachet in 24 healthy male volunteers</w:t>
      </w:r>
      <w:r w:rsidR="00FC4287" w:rsidRPr="00F30EFE">
        <w:t>,</w:t>
      </w:r>
      <w:r w:rsidR="00B03A02" w:rsidRPr="00F30EFE">
        <w:t xml:space="preserve"> under fed conditions.</w:t>
      </w:r>
    </w:p>
    <w:p w14:paraId="61E2835F" w14:textId="77777777" w:rsidR="00B03A02" w:rsidRPr="00F30EFE" w:rsidRDefault="006662D8" w:rsidP="00B2268B">
      <w:pPr>
        <w:pStyle w:val="Heading5"/>
      </w:pPr>
      <w:r w:rsidRPr="00F30EFE">
        <w:t>Conclusion</w:t>
      </w:r>
    </w:p>
    <w:p w14:paraId="49D6ADCD" w14:textId="77777777" w:rsidR="00B03A02" w:rsidRPr="00F30EFE" w:rsidRDefault="00B03A02" w:rsidP="00B2268B">
      <w:pPr>
        <w:rPr>
          <w:b/>
        </w:rPr>
      </w:pPr>
      <w:r w:rsidRPr="00F30EFE">
        <w:t xml:space="preserve">Stiripentol powder for oral suspension sachet is not bioequivalent to stiripentol in capsule form with regards to the 90% </w:t>
      </w:r>
      <w:r w:rsidR="00E84D5C" w:rsidRPr="00F30EFE">
        <w:t>confidence interval (</w:t>
      </w:r>
      <w:r w:rsidRPr="00F30EFE">
        <w:t>CI</w:t>
      </w:r>
      <w:r w:rsidR="00E84D5C" w:rsidRPr="00F30EFE">
        <w:t>)</w:t>
      </w:r>
      <w:r w:rsidRPr="00F30EFE">
        <w:t xml:space="preserve"> of the geometric mean ratio of </w:t>
      </w:r>
      <w:r w:rsidR="0089289F" w:rsidRPr="00F30EFE">
        <w:t>maximum plasma concentration (</w:t>
      </w:r>
      <w:r w:rsidRPr="00F30EFE">
        <w:t>C</w:t>
      </w:r>
      <w:r w:rsidRPr="00F30EFE">
        <w:rPr>
          <w:vertAlign w:val="subscript"/>
        </w:rPr>
        <w:t>max</w:t>
      </w:r>
      <w:r w:rsidR="0089289F" w:rsidRPr="00F30EFE">
        <w:t>)</w:t>
      </w:r>
      <w:r w:rsidRPr="00F30EFE">
        <w:rPr>
          <w:vertAlign w:val="subscript"/>
        </w:rPr>
        <w:t xml:space="preserve"> </w:t>
      </w:r>
      <w:r w:rsidRPr="00F30EFE">
        <w:t>being outside the acceptance criteria to conclude equivalence.</w:t>
      </w:r>
    </w:p>
    <w:p w14:paraId="4BD66697" w14:textId="77777777" w:rsidR="00B03A02" w:rsidRPr="00F30EFE" w:rsidRDefault="00B03A02" w:rsidP="00B2268B">
      <w:r w:rsidRPr="00F30EFE">
        <w:t>C</w:t>
      </w:r>
      <w:r w:rsidRPr="00F30EFE">
        <w:rPr>
          <w:vertAlign w:val="subscript"/>
        </w:rPr>
        <w:t>max</w:t>
      </w:r>
      <w:r w:rsidRPr="00F30EFE">
        <w:t xml:space="preserve"> of stiripentol</w:t>
      </w:r>
      <w:r w:rsidRPr="00F30EFE">
        <w:rPr>
          <w:vertAlign w:val="subscript"/>
        </w:rPr>
        <w:t xml:space="preserve"> </w:t>
      </w:r>
      <w:r w:rsidRPr="00F30EFE">
        <w:t xml:space="preserve">in the powder in sachet is 23% higher than in the capsule dosage form. This information has been captured in the </w:t>
      </w:r>
      <w:r w:rsidR="0089289F" w:rsidRPr="00F30EFE">
        <w:t>PI</w:t>
      </w:r>
      <w:r w:rsidRPr="00F30EFE">
        <w:t>.</w:t>
      </w:r>
    </w:p>
    <w:p w14:paraId="7B2A95E1" w14:textId="77777777" w:rsidR="00B03A02" w:rsidRPr="00F30EFE" w:rsidRDefault="00B03A02" w:rsidP="006662D8">
      <w:pPr>
        <w:pStyle w:val="Heading4"/>
      </w:pPr>
      <w:r w:rsidRPr="00F30EFE">
        <w:t>Biowaver of the 250 mg strength (for both capsule and pow</w:t>
      </w:r>
      <w:r w:rsidR="006662D8" w:rsidRPr="00F30EFE">
        <w:t>der for oral suspension sachet)</w:t>
      </w:r>
    </w:p>
    <w:p w14:paraId="2BC4CF93" w14:textId="77777777" w:rsidR="00B03A02" w:rsidRPr="00F30EFE" w:rsidRDefault="00B03A02" w:rsidP="00B2268B">
      <w:r w:rsidRPr="00F30EFE">
        <w:t xml:space="preserve">The bioequivalence study between capsule and powder in sachet were performed </w:t>
      </w:r>
      <w:r w:rsidR="006662D8" w:rsidRPr="00F30EFE">
        <w:t>using only the 500 mg strength.</w:t>
      </w:r>
    </w:p>
    <w:p w14:paraId="385C178A" w14:textId="77777777" w:rsidR="00DC1948" w:rsidRPr="00F30EFE" w:rsidRDefault="008E7846" w:rsidP="006662D8">
      <w:pPr>
        <w:pStyle w:val="Heading3"/>
      </w:pPr>
      <w:bookmarkStart w:id="37" w:name="_Toc27645586"/>
      <w:r w:rsidRPr="00F30EFE">
        <w:t>Nonclinical</w:t>
      </w:r>
      <w:bookmarkEnd w:id="36"/>
      <w:bookmarkEnd w:id="37"/>
    </w:p>
    <w:p w14:paraId="3FFFDA81" w14:textId="77777777" w:rsidR="0089289F" w:rsidRPr="00F30EFE" w:rsidRDefault="0089289F" w:rsidP="0089289F">
      <w:r w:rsidRPr="00F30EFE">
        <w:t xml:space="preserve">The maximum recommended human dose is 50 mg/kg/day, which may be administered in 2 or 3 divided doses. Stiripentol is a pentenol derivative having no structural similarities in common with other known antiepileptic drugs (AEDs). </w:t>
      </w:r>
      <w:r w:rsidR="006626AF" w:rsidRPr="00F30EFE">
        <w:t>Nonclinical</w:t>
      </w:r>
      <w:r w:rsidRPr="00F30EFE">
        <w:t xml:space="preserve"> studies were conducted over a period of 30 years, and some of the earlier studies (dating back to the mid 1970s) were undertaken before the introduction of Good Laboratory Practice (GLP) and International Council for Harmonisation (ICH) guidelines. However, the pivotal repeat dose toxicity studies were generally in accordance with the relevant ICH guideline for the </w:t>
      </w:r>
      <w:r w:rsidRPr="00F30EFE">
        <w:lastRenderedPageBreak/>
        <w:t>nonclinical assessment of pharmaceutical medicines and were GLP compliant. Studies conducted by the sponsor have been supplemented with published reports.</w:t>
      </w:r>
    </w:p>
    <w:p w14:paraId="556E6ABE" w14:textId="77777777" w:rsidR="006626AF" w:rsidRPr="00F30EFE" w:rsidRDefault="006626AF" w:rsidP="0089289F">
      <w:r w:rsidRPr="00F30EFE">
        <w:t>Summary of nonclinical evaluation report:</w:t>
      </w:r>
    </w:p>
    <w:p w14:paraId="0801D9BD" w14:textId="77777777" w:rsidR="00B03A02" w:rsidRPr="00F30EFE" w:rsidRDefault="00B03A02" w:rsidP="00B2268B">
      <w:pPr>
        <w:pStyle w:val="ListBullet"/>
        <w:rPr>
          <w:kern w:val="2"/>
        </w:rPr>
      </w:pPr>
      <w:r w:rsidRPr="00F30EFE">
        <w:t>There are some gaps and deficiencies in the nonclinical dataset which will need to be adequately addressed by clinical data, as detailed below.</w:t>
      </w:r>
    </w:p>
    <w:p w14:paraId="4A0ACB8D" w14:textId="77777777" w:rsidR="00B03A02" w:rsidRPr="00F30EFE" w:rsidRDefault="00B03A02" w:rsidP="00B2268B">
      <w:pPr>
        <w:pStyle w:val="ListBullet"/>
        <w:rPr>
          <w:kern w:val="2"/>
        </w:rPr>
      </w:pPr>
      <w:r w:rsidRPr="00F30EFE">
        <w:rPr>
          <w:kern w:val="2"/>
        </w:rPr>
        <w:t>The primary pharma</w:t>
      </w:r>
      <w:r w:rsidR="006662D8" w:rsidRPr="00F30EFE">
        <w:rPr>
          <w:kern w:val="2"/>
        </w:rPr>
        <w:t>cology data is supportive of stiripentol</w:t>
      </w:r>
      <w:r w:rsidRPr="00F30EFE">
        <w:rPr>
          <w:kern w:val="2"/>
        </w:rPr>
        <w:t xml:space="preserve"> activity for the proposed indication, although nonclinical data in support of the proposed combination (in particular, valproate) are limited.</w:t>
      </w:r>
    </w:p>
    <w:p w14:paraId="1B2FBA4A" w14:textId="77777777" w:rsidR="00B03A02" w:rsidRPr="00F30EFE" w:rsidRDefault="00B03A02" w:rsidP="00B2268B">
      <w:pPr>
        <w:pStyle w:val="ListBullet"/>
      </w:pPr>
      <w:r w:rsidRPr="00F30EFE">
        <w:rPr>
          <w:kern w:val="2"/>
        </w:rPr>
        <w:t xml:space="preserve">Adverse </w:t>
      </w:r>
      <w:r w:rsidR="00540DD8" w:rsidRPr="00F30EFE">
        <w:t>central nervous system (CNS)</w:t>
      </w:r>
      <w:r w:rsidRPr="00F30EFE">
        <w:t xml:space="preserve"> effects comparable to those seen with other anticonvulsant drugs are likely to be clinically relevant. Stiripentol is likely to interact with ethanol, benzodiazepines and barbiturates.</w:t>
      </w:r>
    </w:p>
    <w:p w14:paraId="110A6919" w14:textId="727E0CBF" w:rsidR="00B03A02" w:rsidRPr="00F30EFE" w:rsidRDefault="00B03A02" w:rsidP="00B2268B">
      <w:pPr>
        <w:pStyle w:val="ListBullet"/>
      </w:pPr>
      <w:r w:rsidRPr="00F30EFE">
        <w:t>The potential for adverse cardiovascular effects was not extensively investigated</w:t>
      </w:r>
      <w:r w:rsidR="006662D8" w:rsidRPr="00F30EFE">
        <w:t xml:space="preserve">, with no </w:t>
      </w:r>
      <w:r w:rsidR="00F1790A">
        <w:t>human ether-à-go-go (</w:t>
      </w:r>
      <w:r w:rsidR="006662D8" w:rsidRPr="00F30EFE">
        <w:t>hERG</w:t>
      </w:r>
      <w:r w:rsidR="00F1790A">
        <w:t>) potassium ion</w:t>
      </w:r>
      <w:r w:rsidR="006662D8" w:rsidRPr="00F30EFE">
        <w:t xml:space="preserve"> assay provided. </w:t>
      </w:r>
      <w:r w:rsidRPr="00F30EFE">
        <w:t xml:space="preserve">There is limited evidence based on animal data for a lack of pro-arrhythmic potential for </w:t>
      </w:r>
      <w:r w:rsidR="006662D8" w:rsidRPr="00F30EFE">
        <w:rPr>
          <w:kern w:val="2"/>
        </w:rPr>
        <w:t>stiripentol</w:t>
      </w:r>
      <w:r w:rsidRPr="00F30EFE">
        <w:t xml:space="preserve"> alone. It is conceivable that </w:t>
      </w:r>
      <w:r w:rsidR="006662D8" w:rsidRPr="00F30EFE">
        <w:rPr>
          <w:kern w:val="2"/>
        </w:rPr>
        <w:t>stiripentol</w:t>
      </w:r>
      <w:r w:rsidRPr="00F30EFE">
        <w:t xml:space="preserve"> may enhance the pro-arrhythmic activity of co</w:t>
      </w:r>
      <w:r w:rsidR="00F1790A">
        <w:noBreakHyphen/>
      </w:r>
      <w:r w:rsidRPr="00F30EFE">
        <w:t>administered drugs throug</w:t>
      </w:r>
      <w:r w:rsidR="00196823" w:rsidRPr="00F30EFE">
        <w:t>h pharmacokinetic interactions.</w:t>
      </w:r>
    </w:p>
    <w:p w14:paraId="576EB11B" w14:textId="77777777" w:rsidR="00B03A02" w:rsidRPr="00F30EFE" w:rsidRDefault="00B03A02" w:rsidP="00196823">
      <w:pPr>
        <w:pStyle w:val="ListBullet"/>
      </w:pPr>
      <w:r w:rsidRPr="00F30EFE">
        <w:t xml:space="preserve">The potential for interactions based on the induction of hepatic drug metabolising enzymes (most notably </w:t>
      </w:r>
      <w:r w:rsidR="00196823" w:rsidRPr="00F30EFE">
        <w:t>cytochrome P450 1A2 (</w:t>
      </w:r>
      <w:r w:rsidRPr="00F30EFE">
        <w:t>CYP1A2</w:t>
      </w:r>
      <w:r w:rsidR="00196823" w:rsidRPr="00F30EFE">
        <w:t>)</w:t>
      </w:r>
      <w:r w:rsidRPr="00F30EFE">
        <w:t xml:space="preserve">, </w:t>
      </w:r>
      <w:r w:rsidR="00196823" w:rsidRPr="00F30EFE">
        <w:t>cytochromes P450 2B/3A (</w:t>
      </w:r>
      <w:r w:rsidRPr="00F30EFE">
        <w:t>CYP2B/3A</w:t>
      </w:r>
      <w:r w:rsidR="00196823" w:rsidRPr="00F30EFE">
        <w:t>)</w:t>
      </w:r>
      <w:r w:rsidRPr="00F30EFE">
        <w:t xml:space="preserve"> and glucur</w:t>
      </w:r>
      <w:r w:rsidR="006662D8" w:rsidRPr="00F30EFE">
        <w:t>onyl transferase) is uncertain.</w:t>
      </w:r>
    </w:p>
    <w:p w14:paraId="4C8D4E85" w14:textId="77777777" w:rsidR="00B03A02" w:rsidRPr="00F30EFE" w:rsidRDefault="006662D8" w:rsidP="00196823">
      <w:pPr>
        <w:pStyle w:val="ListBullet"/>
      </w:pPr>
      <w:r w:rsidRPr="00F30EFE">
        <w:rPr>
          <w:kern w:val="2"/>
        </w:rPr>
        <w:t>Stiripentol</w:t>
      </w:r>
      <w:r w:rsidR="00B03A02" w:rsidRPr="00F30EFE">
        <w:t xml:space="preserve"> may also increase the systemic exposure of </w:t>
      </w:r>
      <w:r w:rsidR="00196823" w:rsidRPr="00F30EFE">
        <w:t>P-glycoprotein (</w:t>
      </w:r>
      <w:r w:rsidR="00B03A02" w:rsidRPr="00F30EFE">
        <w:t>P-gp</w:t>
      </w:r>
      <w:r w:rsidR="00196823" w:rsidRPr="00F30EFE">
        <w:t>)</w:t>
      </w:r>
      <w:r w:rsidR="00B03A02" w:rsidRPr="00F30EFE">
        <w:t xml:space="preserve">, </w:t>
      </w:r>
      <w:r w:rsidR="00196823" w:rsidRPr="00F30EFE">
        <w:t>breast cancer resistance protein (</w:t>
      </w:r>
      <w:r w:rsidR="00B03A02" w:rsidRPr="00F30EFE">
        <w:t>BCRP</w:t>
      </w:r>
      <w:r w:rsidR="00196823" w:rsidRPr="00F30EFE">
        <w:t>)</w:t>
      </w:r>
      <w:r w:rsidR="00B03A02" w:rsidRPr="00F30EFE">
        <w:t xml:space="preserve">, </w:t>
      </w:r>
      <w:r w:rsidR="00196823" w:rsidRPr="00F30EFE">
        <w:t>solute carrier organic anion transporter family member 1B1 (</w:t>
      </w:r>
      <w:r w:rsidR="00B03A02" w:rsidRPr="00F30EFE">
        <w:t>OATP1B1</w:t>
      </w:r>
      <w:r w:rsidR="00196823" w:rsidRPr="00F30EFE">
        <w:t>)</w:t>
      </w:r>
      <w:r w:rsidR="00B03A02" w:rsidRPr="00F30EFE">
        <w:t xml:space="preserve"> and </w:t>
      </w:r>
      <w:r w:rsidR="00540DD8" w:rsidRPr="00F30EFE">
        <w:t>solute carrier organic anion transporter family member 3 (</w:t>
      </w:r>
      <w:r w:rsidR="00B03A02" w:rsidRPr="00F30EFE">
        <w:t>OAT3</w:t>
      </w:r>
      <w:r w:rsidR="00540DD8" w:rsidRPr="00F30EFE">
        <w:t>)</w:t>
      </w:r>
      <w:r w:rsidR="00B03A02" w:rsidRPr="00F30EFE">
        <w:t xml:space="preserve"> substrates.</w:t>
      </w:r>
    </w:p>
    <w:p w14:paraId="640A2BDE" w14:textId="77777777" w:rsidR="00B03A02" w:rsidRPr="00F30EFE" w:rsidRDefault="00B03A02" w:rsidP="00B2268B">
      <w:pPr>
        <w:pStyle w:val="ListBullet"/>
      </w:pPr>
      <w:r w:rsidRPr="00F30EFE">
        <w:t xml:space="preserve">In repeat dose toxicity studies, the identified target organs were the CNS, liver and kidney. Based on the modest exposure margins, these effects are of possible clinical relevance. The potential for increased toxicity due to co-administration with other drugs (including clobazam and valproate) was not investigated nonclinically. Although there was no evidence of human-relevant hepatotoxicity, </w:t>
      </w:r>
      <w:r w:rsidR="006662D8" w:rsidRPr="00F30EFE">
        <w:rPr>
          <w:kern w:val="2"/>
        </w:rPr>
        <w:t>stiripentol</w:t>
      </w:r>
      <w:r w:rsidRPr="00F30EFE">
        <w:t xml:space="preserve"> and clobazam each produce similar hepatotoxic effects in animals, and this together with </w:t>
      </w:r>
      <w:r w:rsidR="006662D8" w:rsidRPr="00F30EFE">
        <w:rPr>
          <w:kern w:val="2"/>
        </w:rPr>
        <w:t>stiripentol</w:t>
      </w:r>
      <w:r w:rsidRPr="00F30EFE">
        <w:t xml:space="preserve"> inhibition of clobazam metabolism may be a concern.</w:t>
      </w:r>
    </w:p>
    <w:p w14:paraId="7541BE89" w14:textId="77777777" w:rsidR="00B03A02" w:rsidRPr="00F30EFE" w:rsidRDefault="00B03A02" w:rsidP="00B2268B">
      <w:pPr>
        <w:pStyle w:val="ListBullet"/>
        <w:rPr>
          <w:kern w:val="2"/>
        </w:rPr>
      </w:pPr>
      <w:r w:rsidRPr="00F30EFE">
        <w:rPr>
          <w:kern w:val="2"/>
        </w:rPr>
        <w:t>Stiripentol is non-genotoxic, and the occurrence of hepatocellular adenomas and carcinomas in the mouse carcinogenicity assay is considered to be a species-specific effect resulting from hepatic enzyme induction, of unlikely clinical relevance.</w:t>
      </w:r>
    </w:p>
    <w:p w14:paraId="76377445" w14:textId="63541D91" w:rsidR="00B03A02" w:rsidRPr="00F30EFE" w:rsidRDefault="00B03A02" w:rsidP="00B2268B">
      <w:pPr>
        <w:pStyle w:val="ListBullet"/>
        <w:rPr>
          <w:kern w:val="2"/>
        </w:rPr>
      </w:pPr>
      <w:r w:rsidRPr="00F30EFE">
        <w:rPr>
          <w:kern w:val="2"/>
        </w:rPr>
        <w:t>The p</w:t>
      </w:r>
      <w:r w:rsidR="00FC4287" w:rsidRPr="00F30EFE">
        <w:rPr>
          <w:kern w:val="2"/>
        </w:rPr>
        <w:t>roposed Pregnancy Category B1;</w:t>
      </w:r>
      <w:r w:rsidR="00FC4287" w:rsidRPr="00F30EFE">
        <w:rPr>
          <w:rStyle w:val="FootnoteReference"/>
          <w:kern w:val="2"/>
        </w:rPr>
        <w:footnoteReference w:id="5"/>
      </w:r>
      <w:r w:rsidRPr="00F30EFE">
        <w:rPr>
          <w:kern w:val="2"/>
        </w:rPr>
        <w:t xml:space="preserve"> is not supported by the nonclinical evaluator, mainly based on the low estimated relative exposures achieved in the reproductive toxicity studies and adverse </w:t>
      </w:r>
      <w:r w:rsidR="00CE6BB1">
        <w:rPr>
          <w:kern w:val="2"/>
        </w:rPr>
        <w:t>fetal</w:t>
      </w:r>
      <w:r w:rsidRPr="00F30EFE">
        <w:rPr>
          <w:kern w:val="2"/>
        </w:rPr>
        <w:t xml:space="preserve"> effects. Category B3 is recommended.</w:t>
      </w:r>
      <w:r w:rsidR="00FC4287" w:rsidRPr="00F30EFE">
        <w:rPr>
          <w:rStyle w:val="FootnoteReference"/>
          <w:kern w:val="2"/>
        </w:rPr>
        <w:footnoteReference w:id="6"/>
      </w:r>
    </w:p>
    <w:p w14:paraId="4874677D" w14:textId="77777777" w:rsidR="00B03A02" w:rsidRPr="00F30EFE" w:rsidRDefault="00B03A02" w:rsidP="00B2268B">
      <w:pPr>
        <w:pStyle w:val="ListBullet"/>
        <w:rPr>
          <w:kern w:val="2"/>
        </w:rPr>
      </w:pPr>
      <w:r w:rsidRPr="00F30EFE">
        <w:rPr>
          <w:kern w:val="2"/>
        </w:rPr>
        <w:t>The potential for phototoxicity was not adequately addressed in nonclinical studies.</w:t>
      </w:r>
    </w:p>
    <w:p w14:paraId="34B2F9F5" w14:textId="77777777" w:rsidR="00B03A02" w:rsidRPr="00F30EFE" w:rsidRDefault="00B03A02" w:rsidP="00E05F58">
      <w:pPr>
        <w:pStyle w:val="ListBullet"/>
        <w:rPr>
          <w:strike/>
        </w:rPr>
      </w:pPr>
      <w:r w:rsidRPr="00F30EFE">
        <w:t xml:space="preserve">Two specified impurities were claimed to lack structural alerts for mutagenicity, when in fact they had not been subjected to </w:t>
      </w:r>
      <w:r w:rsidR="00540DD8" w:rsidRPr="00F30EFE">
        <w:rPr>
          <w:kern w:val="2"/>
        </w:rPr>
        <w:t>quantitative structure-activity relationship (QSAR)</w:t>
      </w:r>
      <w:r w:rsidRPr="00F30EFE">
        <w:t xml:space="preserve"> analysis. This deficiency shou</w:t>
      </w:r>
      <w:r w:rsidR="00540DD8" w:rsidRPr="00F30EFE">
        <w:t>ld be addressed by the sponsor.</w:t>
      </w:r>
    </w:p>
    <w:p w14:paraId="512BF3C9" w14:textId="77777777" w:rsidR="00B03A02" w:rsidRPr="00F30EFE" w:rsidRDefault="00B03A02" w:rsidP="00D42757">
      <w:r w:rsidRPr="00F30EFE">
        <w:lastRenderedPageBreak/>
        <w:t xml:space="preserve">The nonclinical data provided for </w:t>
      </w:r>
      <w:r w:rsidR="00D42757" w:rsidRPr="00F30EFE">
        <w:rPr>
          <w:kern w:val="2"/>
        </w:rPr>
        <w:t>stiripentol</w:t>
      </w:r>
      <w:r w:rsidRPr="00F30EFE">
        <w:t xml:space="preserve"> and evaluated in this report have several limitations. Nonclinical support for the registration of </w:t>
      </w:r>
      <w:r w:rsidR="00D42757" w:rsidRPr="00F30EFE">
        <w:t>Diacomit</w:t>
      </w:r>
      <w:r w:rsidRPr="00F30EFE">
        <w:t xml:space="preserve"> is conditional on the above deficiencies being adequately addressed by the re</w:t>
      </w:r>
      <w:r w:rsidR="00D42757" w:rsidRPr="00F30EFE">
        <w:t>levant clinical investigations.</w:t>
      </w:r>
    </w:p>
    <w:p w14:paraId="1E34404F" w14:textId="77777777" w:rsidR="008E7846" w:rsidRPr="00F30EFE" w:rsidRDefault="00B2268B" w:rsidP="00D42757">
      <w:r w:rsidRPr="00F30EFE">
        <w:t>The Delegate subsequently commented that</w:t>
      </w:r>
      <w:r w:rsidRPr="00F30EFE">
        <w:rPr>
          <w:b/>
        </w:rPr>
        <w:t xml:space="preserve"> t</w:t>
      </w:r>
      <w:r w:rsidR="00B03A02" w:rsidRPr="00F30EFE">
        <w:t>he clinical aspects of the submitted dossier in respect of adverse effects and drug-drug interactions have been adequately assessed by the clinical evaluator, with appropr</w:t>
      </w:r>
      <w:r w:rsidR="00D42757" w:rsidRPr="00F30EFE">
        <w:t>iate recommendations in place.</w:t>
      </w:r>
    </w:p>
    <w:p w14:paraId="5593EBD1" w14:textId="77777777" w:rsidR="008E7846" w:rsidRPr="00F30EFE" w:rsidRDefault="008E7846" w:rsidP="008E7846">
      <w:pPr>
        <w:pStyle w:val="Heading3"/>
      </w:pPr>
      <w:bookmarkStart w:id="38" w:name="_Toc247691530"/>
      <w:bookmarkStart w:id="39" w:name="_Toc314842513"/>
      <w:bookmarkStart w:id="40" w:name="_Toc27645587"/>
      <w:r w:rsidRPr="00F30EFE">
        <w:t>Clinical</w:t>
      </w:r>
      <w:bookmarkEnd w:id="38"/>
      <w:bookmarkEnd w:id="39"/>
      <w:bookmarkEnd w:id="40"/>
    </w:p>
    <w:p w14:paraId="26CA97F4" w14:textId="77777777" w:rsidR="00456765" w:rsidRPr="00F30EFE" w:rsidRDefault="00D42757" w:rsidP="00D42757">
      <w:pPr>
        <w:pStyle w:val="Heading4"/>
      </w:pPr>
      <w:bookmarkStart w:id="41" w:name="_Toc314842514"/>
      <w:r w:rsidRPr="00F30EFE">
        <w:t>Pharmacokinetics</w:t>
      </w:r>
    </w:p>
    <w:p w14:paraId="45343C1D" w14:textId="77777777" w:rsidR="00D42757" w:rsidRPr="00F30EFE" w:rsidRDefault="00D42757" w:rsidP="00456765">
      <w:r w:rsidRPr="00F30EFE">
        <w:t>Studies providing ph</w:t>
      </w:r>
      <w:r w:rsidR="00620E19" w:rsidRPr="00F30EFE">
        <w:t>armacokinetic (PK) information (</w:t>
      </w:r>
      <w:r w:rsidRPr="00F30EFE">
        <w:t>general PK, bioequivalen</w:t>
      </w:r>
      <w:r w:rsidR="00620E19" w:rsidRPr="00F30EFE">
        <w:t xml:space="preserve">ce and population PK) in the submission are shown in </w:t>
      </w:r>
      <w:r w:rsidR="00620E19" w:rsidRPr="00F30EFE">
        <w:fldChar w:fldCharType="begin"/>
      </w:r>
      <w:r w:rsidR="00620E19" w:rsidRPr="00F30EFE">
        <w:instrText xml:space="preserve"> REF _Ref23154856 \h </w:instrText>
      </w:r>
      <w:r w:rsidR="00620E19" w:rsidRPr="00F30EFE">
        <w:fldChar w:fldCharType="separate"/>
      </w:r>
      <w:r w:rsidR="00620E19" w:rsidRPr="00F30EFE">
        <w:t xml:space="preserve">Table </w:t>
      </w:r>
      <w:r w:rsidR="00620E19" w:rsidRPr="00F30EFE">
        <w:rPr>
          <w:noProof/>
        </w:rPr>
        <w:t>3</w:t>
      </w:r>
      <w:r w:rsidR="00620E19" w:rsidRPr="00F30EFE">
        <w:fldChar w:fldCharType="end"/>
      </w:r>
      <w:r w:rsidR="00620E19" w:rsidRPr="00F30EFE">
        <w:t>.</w:t>
      </w:r>
    </w:p>
    <w:p w14:paraId="7FF30185" w14:textId="77777777" w:rsidR="00620E19" w:rsidRPr="00F30EFE" w:rsidRDefault="00620E19" w:rsidP="00620E19">
      <w:pPr>
        <w:pStyle w:val="TableTitle"/>
      </w:pPr>
      <w:bookmarkStart w:id="42" w:name="_Ref23154856"/>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3</w:t>
      </w:r>
      <w:r w:rsidR="00C12465">
        <w:rPr>
          <w:noProof/>
        </w:rPr>
        <w:fldChar w:fldCharType="end"/>
      </w:r>
      <w:bookmarkEnd w:id="42"/>
      <w:r w:rsidRPr="00F30EFE">
        <w:t>: Studies providing PK information</w:t>
      </w:r>
    </w:p>
    <w:tbl>
      <w:tblPr>
        <w:tblStyle w:val="TableTGAblue"/>
        <w:tblW w:w="8472" w:type="dxa"/>
        <w:tblLayout w:type="fixed"/>
        <w:tblLook w:val="04A0" w:firstRow="1" w:lastRow="0" w:firstColumn="1" w:lastColumn="0" w:noHBand="0" w:noVBand="1"/>
      </w:tblPr>
      <w:tblGrid>
        <w:gridCol w:w="1526"/>
        <w:gridCol w:w="1701"/>
        <w:gridCol w:w="1559"/>
        <w:gridCol w:w="3686"/>
      </w:tblGrid>
      <w:tr w:rsidR="00D42757" w:rsidRPr="00E05F58" w14:paraId="6A2CADB0" w14:textId="77777777" w:rsidTr="00D42757">
        <w:trPr>
          <w:cnfStyle w:val="100000000000" w:firstRow="1" w:lastRow="0" w:firstColumn="0" w:lastColumn="0" w:oddVBand="0" w:evenVBand="0" w:oddHBand="0" w:evenHBand="0" w:firstRowFirstColumn="0" w:firstRowLastColumn="0" w:lastRowFirstColumn="0" w:lastRowLastColumn="0"/>
        </w:trPr>
        <w:tc>
          <w:tcPr>
            <w:tcW w:w="1526" w:type="dxa"/>
          </w:tcPr>
          <w:p w14:paraId="288E351E" w14:textId="77777777" w:rsidR="00D42757" w:rsidRPr="00E05F58" w:rsidRDefault="00D42757" w:rsidP="00E05F58">
            <w:pPr>
              <w:ind w:left="0"/>
              <w:rPr>
                <w:b w:val="0"/>
                <w:sz w:val="20"/>
                <w:szCs w:val="20"/>
              </w:rPr>
            </w:pPr>
            <w:r w:rsidRPr="00E05F58">
              <w:rPr>
                <w:sz w:val="20"/>
                <w:szCs w:val="20"/>
              </w:rPr>
              <w:t>PK topic</w:t>
            </w:r>
          </w:p>
        </w:tc>
        <w:tc>
          <w:tcPr>
            <w:tcW w:w="1701" w:type="dxa"/>
          </w:tcPr>
          <w:p w14:paraId="729885A7" w14:textId="77777777" w:rsidR="00D42757" w:rsidRPr="00E05F58" w:rsidRDefault="00D42757" w:rsidP="00E05F58">
            <w:pPr>
              <w:rPr>
                <w:b w:val="0"/>
                <w:sz w:val="20"/>
                <w:szCs w:val="20"/>
              </w:rPr>
            </w:pPr>
            <w:r w:rsidRPr="00E05F58">
              <w:rPr>
                <w:sz w:val="20"/>
                <w:szCs w:val="20"/>
              </w:rPr>
              <w:t>Subtopic</w:t>
            </w:r>
          </w:p>
        </w:tc>
        <w:tc>
          <w:tcPr>
            <w:tcW w:w="1559" w:type="dxa"/>
          </w:tcPr>
          <w:p w14:paraId="604C5BFD" w14:textId="77777777" w:rsidR="00D42757" w:rsidRPr="00E05F58" w:rsidRDefault="00D42757" w:rsidP="00E05F58">
            <w:pPr>
              <w:rPr>
                <w:b w:val="0"/>
                <w:sz w:val="20"/>
                <w:szCs w:val="20"/>
              </w:rPr>
            </w:pPr>
            <w:r w:rsidRPr="00E05F58">
              <w:rPr>
                <w:sz w:val="20"/>
                <w:szCs w:val="20"/>
              </w:rPr>
              <w:t>Study ID</w:t>
            </w:r>
          </w:p>
        </w:tc>
        <w:tc>
          <w:tcPr>
            <w:tcW w:w="3686" w:type="dxa"/>
          </w:tcPr>
          <w:p w14:paraId="6C71F0B8" w14:textId="77777777" w:rsidR="00D42757" w:rsidRPr="00E05F58" w:rsidRDefault="00D42757" w:rsidP="00E05F58">
            <w:pPr>
              <w:rPr>
                <w:b w:val="0"/>
                <w:sz w:val="20"/>
                <w:szCs w:val="20"/>
              </w:rPr>
            </w:pPr>
            <w:r w:rsidRPr="00E05F58">
              <w:rPr>
                <w:sz w:val="20"/>
                <w:szCs w:val="20"/>
              </w:rPr>
              <w:t>Primary aim</w:t>
            </w:r>
          </w:p>
        </w:tc>
      </w:tr>
      <w:tr w:rsidR="00D42757" w:rsidRPr="00E05F58" w14:paraId="3785BE7C" w14:textId="77777777" w:rsidTr="00D42757">
        <w:tc>
          <w:tcPr>
            <w:tcW w:w="1526" w:type="dxa"/>
            <w:vMerge w:val="restart"/>
          </w:tcPr>
          <w:p w14:paraId="4F103A0A" w14:textId="77777777" w:rsidR="00D42757" w:rsidRPr="00E05F58" w:rsidRDefault="00D42757" w:rsidP="00E05F58">
            <w:pPr>
              <w:ind w:left="0"/>
              <w:rPr>
                <w:sz w:val="20"/>
                <w:szCs w:val="20"/>
              </w:rPr>
            </w:pPr>
            <w:r w:rsidRPr="00E05F58">
              <w:rPr>
                <w:sz w:val="20"/>
                <w:szCs w:val="20"/>
              </w:rPr>
              <w:t>PK in healthy adults</w:t>
            </w:r>
          </w:p>
        </w:tc>
        <w:tc>
          <w:tcPr>
            <w:tcW w:w="1701" w:type="dxa"/>
          </w:tcPr>
          <w:p w14:paraId="64E9F4D3" w14:textId="1EE0CAFC" w:rsidR="00D42757" w:rsidRPr="00E05F58" w:rsidRDefault="00D42757" w:rsidP="00E05F58">
            <w:pPr>
              <w:rPr>
                <w:sz w:val="20"/>
                <w:szCs w:val="20"/>
              </w:rPr>
            </w:pPr>
            <w:r w:rsidRPr="00E05F58">
              <w:rPr>
                <w:sz w:val="20"/>
                <w:szCs w:val="20"/>
              </w:rPr>
              <w:t>General PK</w:t>
            </w:r>
            <w:r w:rsidR="00E05F58">
              <w:rPr>
                <w:sz w:val="20"/>
                <w:szCs w:val="20"/>
              </w:rPr>
              <w:t xml:space="preserve"> </w:t>
            </w:r>
            <w:r w:rsidRPr="00E05F58">
              <w:rPr>
                <w:sz w:val="20"/>
                <w:szCs w:val="20"/>
              </w:rPr>
              <w:t>(single dose)</w:t>
            </w:r>
          </w:p>
        </w:tc>
        <w:tc>
          <w:tcPr>
            <w:tcW w:w="1559" w:type="dxa"/>
          </w:tcPr>
          <w:p w14:paraId="7E623BBC" w14:textId="77777777" w:rsidR="00D42757" w:rsidRPr="00E05F58" w:rsidRDefault="00D42757" w:rsidP="00E05F58">
            <w:pPr>
              <w:rPr>
                <w:sz w:val="20"/>
                <w:szCs w:val="20"/>
              </w:rPr>
            </w:pPr>
            <w:r w:rsidRPr="00E05F58">
              <w:rPr>
                <w:sz w:val="20"/>
                <w:szCs w:val="20"/>
              </w:rPr>
              <w:t>STIUNI (BC.337)</w:t>
            </w:r>
          </w:p>
        </w:tc>
        <w:tc>
          <w:tcPr>
            <w:tcW w:w="3686" w:type="dxa"/>
          </w:tcPr>
          <w:p w14:paraId="589A6E49" w14:textId="1E1E79CC" w:rsidR="00D42757" w:rsidRPr="00E05F58" w:rsidRDefault="00D42757" w:rsidP="00E05F58">
            <w:pPr>
              <w:rPr>
                <w:sz w:val="20"/>
                <w:szCs w:val="20"/>
              </w:rPr>
            </w:pPr>
            <w:r w:rsidRPr="00E05F58">
              <w:rPr>
                <w:sz w:val="20"/>
                <w:szCs w:val="20"/>
              </w:rPr>
              <w:t>Pharmacokinetic parameters</w:t>
            </w:r>
            <w:r w:rsidR="00E05F58">
              <w:rPr>
                <w:sz w:val="20"/>
                <w:szCs w:val="20"/>
              </w:rPr>
              <w:t xml:space="preserve"> </w:t>
            </w:r>
            <w:r w:rsidRPr="00E05F58">
              <w:rPr>
                <w:sz w:val="20"/>
                <w:szCs w:val="20"/>
              </w:rPr>
              <w:t>Pharmacokinetic linearity</w:t>
            </w:r>
          </w:p>
        </w:tc>
      </w:tr>
      <w:tr w:rsidR="00D42757" w:rsidRPr="00E05F58" w14:paraId="7EF88D2E" w14:textId="77777777" w:rsidTr="00D42757">
        <w:tc>
          <w:tcPr>
            <w:tcW w:w="1526" w:type="dxa"/>
            <w:vMerge/>
          </w:tcPr>
          <w:p w14:paraId="20E97E54" w14:textId="77777777" w:rsidR="00D42757" w:rsidRPr="00E05F58" w:rsidRDefault="00D42757" w:rsidP="00E05F58">
            <w:pPr>
              <w:ind w:left="0"/>
              <w:rPr>
                <w:sz w:val="20"/>
                <w:szCs w:val="20"/>
              </w:rPr>
            </w:pPr>
          </w:p>
        </w:tc>
        <w:tc>
          <w:tcPr>
            <w:tcW w:w="1701" w:type="dxa"/>
          </w:tcPr>
          <w:p w14:paraId="38A029D8" w14:textId="77777777" w:rsidR="00D42757" w:rsidRPr="00E05F58" w:rsidRDefault="00D42757" w:rsidP="00E05F58">
            <w:pPr>
              <w:rPr>
                <w:sz w:val="20"/>
                <w:szCs w:val="20"/>
              </w:rPr>
            </w:pPr>
            <w:r w:rsidRPr="00E05F58">
              <w:rPr>
                <w:sz w:val="20"/>
                <w:szCs w:val="20"/>
              </w:rPr>
              <w:t>Enantiomer and racemate PK</w:t>
            </w:r>
            <w:r w:rsidR="00666B24" w:rsidRPr="00E05F58">
              <w:rPr>
                <w:sz w:val="20"/>
                <w:szCs w:val="20"/>
              </w:rPr>
              <w:t xml:space="preserve"> </w:t>
            </w:r>
            <w:r w:rsidRPr="00E05F58">
              <w:rPr>
                <w:sz w:val="20"/>
                <w:szCs w:val="20"/>
              </w:rPr>
              <w:t>(single dose)</w:t>
            </w:r>
          </w:p>
        </w:tc>
        <w:tc>
          <w:tcPr>
            <w:tcW w:w="1559" w:type="dxa"/>
          </w:tcPr>
          <w:p w14:paraId="73720853" w14:textId="77777777" w:rsidR="00D42757" w:rsidRPr="00E05F58" w:rsidRDefault="00D42757" w:rsidP="00E05F58">
            <w:pPr>
              <w:rPr>
                <w:sz w:val="20"/>
                <w:szCs w:val="20"/>
              </w:rPr>
            </w:pPr>
            <w:r w:rsidRPr="00E05F58">
              <w:rPr>
                <w:sz w:val="20"/>
                <w:szCs w:val="20"/>
              </w:rPr>
              <w:t>Greig (BC.287)</w:t>
            </w:r>
          </w:p>
        </w:tc>
        <w:tc>
          <w:tcPr>
            <w:tcW w:w="3686" w:type="dxa"/>
          </w:tcPr>
          <w:p w14:paraId="05FE11AB" w14:textId="3C44A6BC" w:rsidR="00D42757" w:rsidRPr="00E05F58" w:rsidRDefault="00D42757" w:rsidP="00E05F58">
            <w:pPr>
              <w:rPr>
                <w:sz w:val="20"/>
                <w:szCs w:val="20"/>
              </w:rPr>
            </w:pPr>
            <w:r w:rsidRPr="00E05F58">
              <w:rPr>
                <w:sz w:val="20"/>
                <w:szCs w:val="20"/>
              </w:rPr>
              <w:t>Pharmacokinetic profile of stiripentol R- and S-enantiomers</w:t>
            </w:r>
            <w:r w:rsidR="00E05F58">
              <w:rPr>
                <w:sz w:val="20"/>
                <w:szCs w:val="20"/>
              </w:rPr>
              <w:t xml:space="preserve"> </w:t>
            </w:r>
            <w:r w:rsidRPr="00E05F58">
              <w:rPr>
                <w:sz w:val="20"/>
                <w:szCs w:val="20"/>
              </w:rPr>
              <w:t>Stiripentol racemate metabolism</w:t>
            </w:r>
          </w:p>
        </w:tc>
      </w:tr>
      <w:tr w:rsidR="00D42757" w:rsidRPr="00E05F58" w14:paraId="328DE756" w14:textId="77777777" w:rsidTr="00D42757">
        <w:tc>
          <w:tcPr>
            <w:tcW w:w="1526" w:type="dxa"/>
            <w:vMerge/>
          </w:tcPr>
          <w:p w14:paraId="204D2988" w14:textId="77777777" w:rsidR="00D42757" w:rsidRPr="00E05F58" w:rsidRDefault="00D42757" w:rsidP="00E05F58">
            <w:pPr>
              <w:ind w:left="0"/>
              <w:rPr>
                <w:sz w:val="20"/>
                <w:szCs w:val="20"/>
              </w:rPr>
            </w:pPr>
          </w:p>
        </w:tc>
        <w:tc>
          <w:tcPr>
            <w:tcW w:w="1701" w:type="dxa"/>
          </w:tcPr>
          <w:p w14:paraId="4B3EF7C9" w14:textId="77777777" w:rsidR="00D42757" w:rsidRPr="00E05F58" w:rsidRDefault="00D42757" w:rsidP="00E05F58">
            <w:pPr>
              <w:rPr>
                <w:sz w:val="20"/>
                <w:szCs w:val="20"/>
              </w:rPr>
            </w:pPr>
            <w:r w:rsidRPr="00E05F58">
              <w:rPr>
                <w:sz w:val="20"/>
                <w:szCs w:val="20"/>
              </w:rPr>
              <w:t>Bioequivalence †</w:t>
            </w:r>
            <w:r w:rsidR="00666B24" w:rsidRPr="00E05F58">
              <w:rPr>
                <w:sz w:val="20"/>
                <w:szCs w:val="20"/>
              </w:rPr>
              <w:t xml:space="preserve"> (single dose)</w:t>
            </w:r>
          </w:p>
        </w:tc>
        <w:tc>
          <w:tcPr>
            <w:tcW w:w="1559" w:type="dxa"/>
          </w:tcPr>
          <w:p w14:paraId="49B4A865" w14:textId="77777777" w:rsidR="00D42757" w:rsidRPr="00E05F58" w:rsidRDefault="00D42757" w:rsidP="00E05F58">
            <w:pPr>
              <w:rPr>
                <w:sz w:val="20"/>
                <w:szCs w:val="20"/>
              </w:rPr>
            </w:pPr>
            <w:r w:rsidRPr="00E05F58">
              <w:rPr>
                <w:sz w:val="20"/>
                <w:szCs w:val="20"/>
              </w:rPr>
              <w:t>STIVAL (BC.481)</w:t>
            </w:r>
          </w:p>
        </w:tc>
        <w:tc>
          <w:tcPr>
            <w:tcW w:w="3686" w:type="dxa"/>
          </w:tcPr>
          <w:p w14:paraId="32AD0462" w14:textId="77777777" w:rsidR="00D42757" w:rsidRPr="00E05F58" w:rsidRDefault="00D42757" w:rsidP="00E05F58">
            <w:pPr>
              <w:rPr>
                <w:sz w:val="20"/>
                <w:szCs w:val="20"/>
              </w:rPr>
            </w:pPr>
            <w:r w:rsidRPr="00E05F58">
              <w:rPr>
                <w:sz w:val="20"/>
                <w:szCs w:val="20"/>
              </w:rPr>
              <w:t>Relative bioavailability of stiripentol powder sachet for oral suspension, compared to stiripentol capsule</w:t>
            </w:r>
          </w:p>
        </w:tc>
      </w:tr>
      <w:tr w:rsidR="00D42757" w:rsidRPr="00E05F58" w14:paraId="76E57937" w14:textId="77777777" w:rsidTr="00D42757">
        <w:tc>
          <w:tcPr>
            <w:tcW w:w="1526" w:type="dxa"/>
            <w:vMerge/>
          </w:tcPr>
          <w:p w14:paraId="08F0AFE1" w14:textId="77777777" w:rsidR="00D42757" w:rsidRPr="00E05F58" w:rsidRDefault="00D42757" w:rsidP="00E05F58">
            <w:pPr>
              <w:ind w:left="0"/>
              <w:rPr>
                <w:sz w:val="20"/>
                <w:szCs w:val="20"/>
              </w:rPr>
            </w:pPr>
          </w:p>
        </w:tc>
        <w:tc>
          <w:tcPr>
            <w:tcW w:w="1701" w:type="dxa"/>
          </w:tcPr>
          <w:p w14:paraId="1497F1DB" w14:textId="77777777" w:rsidR="00D42757" w:rsidRPr="00E05F58" w:rsidRDefault="00D42757" w:rsidP="00E05F58">
            <w:pPr>
              <w:rPr>
                <w:sz w:val="20"/>
                <w:szCs w:val="20"/>
              </w:rPr>
            </w:pPr>
            <w:r w:rsidRPr="00E05F58">
              <w:rPr>
                <w:sz w:val="20"/>
                <w:szCs w:val="20"/>
              </w:rPr>
              <w:t>Effect on CYP enzymes</w:t>
            </w:r>
            <w:r w:rsidR="00666B24" w:rsidRPr="00E05F58">
              <w:rPr>
                <w:sz w:val="20"/>
                <w:szCs w:val="20"/>
              </w:rPr>
              <w:t xml:space="preserve"> (multi-dose)</w:t>
            </w:r>
          </w:p>
        </w:tc>
        <w:tc>
          <w:tcPr>
            <w:tcW w:w="1559" w:type="dxa"/>
          </w:tcPr>
          <w:p w14:paraId="24260AFE" w14:textId="77777777" w:rsidR="00D42757" w:rsidRPr="00E05F58" w:rsidRDefault="00D42757" w:rsidP="00E05F58">
            <w:pPr>
              <w:rPr>
                <w:sz w:val="20"/>
                <w:szCs w:val="20"/>
              </w:rPr>
            </w:pPr>
            <w:r w:rsidRPr="00E05F58">
              <w:rPr>
                <w:sz w:val="20"/>
                <w:szCs w:val="20"/>
              </w:rPr>
              <w:t>Pons (BC.345)</w:t>
            </w:r>
          </w:p>
        </w:tc>
        <w:tc>
          <w:tcPr>
            <w:tcW w:w="3686" w:type="dxa"/>
          </w:tcPr>
          <w:p w14:paraId="62808119" w14:textId="77777777" w:rsidR="00D42757" w:rsidRPr="00E05F58" w:rsidRDefault="00D42757" w:rsidP="00E05F58">
            <w:pPr>
              <w:rPr>
                <w:sz w:val="20"/>
                <w:szCs w:val="20"/>
              </w:rPr>
            </w:pPr>
            <w:r w:rsidRPr="00E05F58">
              <w:rPr>
                <w:sz w:val="20"/>
                <w:szCs w:val="20"/>
              </w:rPr>
              <w:t>Effect of stiripentol on CYP1A2, CYP2D6 and CYP3A</w:t>
            </w:r>
          </w:p>
        </w:tc>
      </w:tr>
      <w:tr w:rsidR="00D42757" w:rsidRPr="00E05F58" w14:paraId="7CF790C6" w14:textId="77777777" w:rsidTr="00D42757">
        <w:tc>
          <w:tcPr>
            <w:tcW w:w="1526" w:type="dxa"/>
            <w:vMerge/>
          </w:tcPr>
          <w:p w14:paraId="5C682AB7" w14:textId="77777777" w:rsidR="00D42757" w:rsidRPr="00E05F58" w:rsidRDefault="00D42757" w:rsidP="00E05F58">
            <w:pPr>
              <w:ind w:left="0"/>
              <w:rPr>
                <w:sz w:val="20"/>
                <w:szCs w:val="20"/>
              </w:rPr>
            </w:pPr>
          </w:p>
        </w:tc>
        <w:tc>
          <w:tcPr>
            <w:tcW w:w="1701" w:type="dxa"/>
          </w:tcPr>
          <w:p w14:paraId="233B9283" w14:textId="77777777" w:rsidR="00D42757" w:rsidRPr="00E05F58" w:rsidRDefault="00D42757" w:rsidP="00E05F58">
            <w:pPr>
              <w:rPr>
                <w:sz w:val="20"/>
                <w:szCs w:val="20"/>
              </w:rPr>
            </w:pPr>
            <w:r w:rsidRPr="00E05F58">
              <w:rPr>
                <w:sz w:val="20"/>
                <w:szCs w:val="20"/>
              </w:rPr>
              <w:t>Food effect</w:t>
            </w:r>
          </w:p>
        </w:tc>
        <w:tc>
          <w:tcPr>
            <w:tcW w:w="1559" w:type="dxa"/>
          </w:tcPr>
          <w:p w14:paraId="3F7071DF" w14:textId="77777777" w:rsidR="00D42757" w:rsidRPr="00E05F58" w:rsidRDefault="00D42757" w:rsidP="00E05F58">
            <w:pPr>
              <w:rPr>
                <w:sz w:val="20"/>
                <w:szCs w:val="20"/>
              </w:rPr>
            </w:pPr>
          </w:p>
        </w:tc>
        <w:tc>
          <w:tcPr>
            <w:tcW w:w="3686" w:type="dxa"/>
          </w:tcPr>
          <w:p w14:paraId="57CD6063" w14:textId="77777777" w:rsidR="00D42757" w:rsidRPr="00E05F58" w:rsidRDefault="00D42757" w:rsidP="00E05F58">
            <w:pPr>
              <w:rPr>
                <w:sz w:val="20"/>
                <w:szCs w:val="20"/>
              </w:rPr>
            </w:pPr>
            <w:r w:rsidRPr="00E05F58">
              <w:rPr>
                <w:sz w:val="20"/>
                <w:szCs w:val="20"/>
              </w:rPr>
              <w:t>No study conducted.</w:t>
            </w:r>
          </w:p>
        </w:tc>
      </w:tr>
      <w:tr w:rsidR="00D42757" w:rsidRPr="00E05F58" w14:paraId="18A914B4" w14:textId="77777777" w:rsidTr="00D42757">
        <w:tc>
          <w:tcPr>
            <w:tcW w:w="1526" w:type="dxa"/>
            <w:vMerge w:val="restart"/>
          </w:tcPr>
          <w:p w14:paraId="407A01D4" w14:textId="77777777" w:rsidR="00D42757" w:rsidRPr="00E05F58" w:rsidRDefault="00D42757" w:rsidP="00E05F58">
            <w:pPr>
              <w:ind w:left="0"/>
              <w:rPr>
                <w:sz w:val="20"/>
                <w:szCs w:val="20"/>
              </w:rPr>
            </w:pPr>
            <w:r w:rsidRPr="00E05F58">
              <w:rPr>
                <w:sz w:val="20"/>
                <w:szCs w:val="20"/>
              </w:rPr>
              <w:t>PK in special populations</w:t>
            </w:r>
          </w:p>
        </w:tc>
        <w:tc>
          <w:tcPr>
            <w:tcW w:w="1701" w:type="dxa"/>
          </w:tcPr>
          <w:p w14:paraId="23A4EC46" w14:textId="77777777" w:rsidR="00D42757" w:rsidRPr="00E05F58" w:rsidRDefault="00D42757" w:rsidP="00E05F58">
            <w:pPr>
              <w:rPr>
                <w:sz w:val="20"/>
                <w:szCs w:val="20"/>
              </w:rPr>
            </w:pPr>
            <w:r w:rsidRPr="00E05F58">
              <w:rPr>
                <w:sz w:val="20"/>
                <w:szCs w:val="20"/>
              </w:rPr>
              <w:t>Target population §</w:t>
            </w:r>
            <w:r w:rsidR="00666B24" w:rsidRPr="00E05F58">
              <w:rPr>
                <w:sz w:val="20"/>
                <w:szCs w:val="20"/>
              </w:rPr>
              <w:t xml:space="preserve"> (steady state), </w:t>
            </w:r>
            <w:r w:rsidRPr="00E05F58">
              <w:rPr>
                <w:sz w:val="20"/>
                <w:szCs w:val="20"/>
              </w:rPr>
              <w:t>Single dose</w:t>
            </w:r>
          </w:p>
        </w:tc>
        <w:tc>
          <w:tcPr>
            <w:tcW w:w="1559" w:type="dxa"/>
          </w:tcPr>
          <w:p w14:paraId="0908ED22" w14:textId="77777777" w:rsidR="00D42757" w:rsidRPr="00E05F58" w:rsidRDefault="00D42757" w:rsidP="00E05F58">
            <w:pPr>
              <w:rPr>
                <w:sz w:val="20"/>
                <w:szCs w:val="20"/>
              </w:rPr>
            </w:pPr>
            <w:r w:rsidRPr="00E05F58">
              <w:rPr>
                <w:sz w:val="20"/>
                <w:szCs w:val="20"/>
              </w:rPr>
              <w:t>STIPOP (STP167)</w:t>
            </w:r>
          </w:p>
        </w:tc>
        <w:tc>
          <w:tcPr>
            <w:tcW w:w="3686" w:type="dxa"/>
          </w:tcPr>
          <w:p w14:paraId="367DF191" w14:textId="77777777" w:rsidR="00D42757" w:rsidRPr="00E05F58" w:rsidRDefault="00D42757" w:rsidP="00E05F58">
            <w:pPr>
              <w:rPr>
                <w:sz w:val="20"/>
                <w:szCs w:val="20"/>
              </w:rPr>
            </w:pPr>
            <w:r w:rsidRPr="00E05F58">
              <w:rPr>
                <w:sz w:val="20"/>
                <w:szCs w:val="20"/>
              </w:rPr>
              <w:t>Steady state popula</w:t>
            </w:r>
            <w:r w:rsidR="00666B24" w:rsidRPr="00E05F58">
              <w:rPr>
                <w:sz w:val="20"/>
                <w:szCs w:val="20"/>
              </w:rPr>
              <w:t>tion pharmacokinetic parameters</w:t>
            </w:r>
          </w:p>
        </w:tc>
      </w:tr>
      <w:tr w:rsidR="00D42757" w:rsidRPr="00E05F58" w14:paraId="56FB7796" w14:textId="77777777" w:rsidTr="00D42757">
        <w:tc>
          <w:tcPr>
            <w:tcW w:w="1526" w:type="dxa"/>
            <w:vMerge/>
          </w:tcPr>
          <w:p w14:paraId="298C0CBE" w14:textId="77777777" w:rsidR="00D42757" w:rsidRPr="00E05F58" w:rsidRDefault="00D42757" w:rsidP="00E05F58">
            <w:pPr>
              <w:ind w:left="0"/>
              <w:rPr>
                <w:sz w:val="20"/>
                <w:szCs w:val="20"/>
              </w:rPr>
            </w:pPr>
          </w:p>
        </w:tc>
        <w:tc>
          <w:tcPr>
            <w:tcW w:w="1701" w:type="dxa"/>
            <w:vMerge w:val="restart"/>
          </w:tcPr>
          <w:p w14:paraId="0F7C7082" w14:textId="2AC39F07" w:rsidR="00D42757" w:rsidRPr="00E05F58" w:rsidRDefault="00D42757" w:rsidP="00E05F58">
            <w:pPr>
              <w:rPr>
                <w:sz w:val="20"/>
                <w:szCs w:val="20"/>
              </w:rPr>
            </w:pPr>
            <w:r w:rsidRPr="00E05F58">
              <w:rPr>
                <w:sz w:val="20"/>
                <w:szCs w:val="20"/>
              </w:rPr>
              <w:t>General PK data from efficacy studies in the target population §</w:t>
            </w:r>
            <w:r w:rsidR="00E05F58">
              <w:rPr>
                <w:sz w:val="20"/>
                <w:szCs w:val="20"/>
              </w:rPr>
              <w:t xml:space="preserve"> </w:t>
            </w:r>
            <w:r w:rsidRPr="00E05F58">
              <w:rPr>
                <w:sz w:val="20"/>
                <w:szCs w:val="20"/>
              </w:rPr>
              <w:t>(steady state)</w:t>
            </w:r>
          </w:p>
        </w:tc>
        <w:tc>
          <w:tcPr>
            <w:tcW w:w="1559" w:type="dxa"/>
          </w:tcPr>
          <w:p w14:paraId="55F91B13" w14:textId="090C90B8" w:rsidR="00D42757" w:rsidRPr="00E05F58" w:rsidRDefault="00D42757" w:rsidP="00E05F58">
            <w:pPr>
              <w:rPr>
                <w:sz w:val="20"/>
                <w:szCs w:val="20"/>
              </w:rPr>
            </w:pPr>
            <w:r w:rsidRPr="00E05F58">
              <w:rPr>
                <w:sz w:val="20"/>
                <w:szCs w:val="20"/>
              </w:rPr>
              <w:t>STICLO France</w:t>
            </w:r>
            <w:r w:rsidR="00E05F58">
              <w:rPr>
                <w:sz w:val="20"/>
                <w:szCs w:val="20"/>
              </w:rPr>
              <w:t xml:space="preserve"> </w:t>
            </w:r>
            <w:r w:rsidRPr="00E05F58">
              <w:rPr>
                <w:sz w:val="20"/>
                <w:szCs w:val="20"/>
              </w:rPr>
              <w:t>(BC.299)</w:t>
            </w:r>
          </w:p>
        </w:tc>
        <w:tc>
          <w:tcPr>
            <w:tcW w:w="3686" w:type="dxa"/>
          </w:tcPr>
          <w:p w14:paraId="50909D9D" w14:textId="77777777" w:rsidR="00D42757" w:rsidRPr="00E05F58" w:rsidRDefault="00D42757" w:rsidP="00E05F58">
            <w:pPr>
              <w:rPr>
                <w:sz w:val="20"/>
                <w:szCs w:val="20"/>
              </w:rPr>
            </w:pPr>
            <w:r w:rsidRPr="00E05F58">
              <w:rPr>
                <w:sz w:val="20"/>
                <w:szCs w:val="20"/>
              </w:rPr>
              <w:t>Pharmacokinetic parameters</w:t>
            </w:r>
          </w:p>
        </w:tc>
      </w:tr>
      <w:tr w:rsidR="00D42757" w:rsidRPr="00E05F58" w14:paraId="5BE22547" w14:textId="77777777" w:rsidTr="00D42757">
        <w:tc>
          <w:tcPr>
            <w:tcW w:w="1526" w:type="dxa"/>
            <w:vMerge/>
          </w:tcPr>
          <w:p w14:paraId="08279062" w14:textId="77777777" w:rsidR="00D42757" w:rsidRPr="00E05F58" w:rsidRDefault="00D42757" w:rsidP="00E05F58">
            <w:pPr>
              <w:ind w:left="0"/>
              <w:rPr>
                <w:sz w:val="20"/>
                <w:szCs w:val="20"/>
              </w:rPr>
            </w:pPr>
          </w:p>
        </w:tc>
        <w:tc>
          <w:tcPr>
            <w:tcW w:w="1701" w:type="dxa"/>
            <w:vMerge/>
          </w:tcPr>
          <w:p w14:paraId="70DABFBD" w14:textId="77777777" w:rsidR="00D42757" w:rsidRPr="00E05F58" w:rsidRDefault="00D42757" w:rsidP="00E05F58">
            <w:pPr>
              <w:rPr>
                <w:sz w:val="20"/>
                <w:szCs w:val="20"/>
              </w:rPr>
            </w:pPr>
          </w:p>
        </w:tc>
        <w:tc>
          <w:tcPr>
            <w:tcW w:w="1559" w:type="dxa"/>
          </w:tcPr>
          <w:p w14:paraId="3428D32D" w14:textId="3BACCDE5" w:rsidR="00D42757" w:rsidRPr="00E05F58" w:rsidRDefault="00D42757" w:rsidP="00E05F58">
            <w:pPr>
              <w:rPr>
                <w:sz w:val="20"/>
                <w:szCs w:val="20"/>
              </w:rPr>
            </w:pPr>
            <w:r w:rsidRPr="00E05F58">
              <w:rPr>
                <w:sz w:val="20"/>
                <w:szCs w:val="20"/>
              </w:rPr>
              <w:t>STICLO Italy</w:t>
            </w:r>
            <w:r w:rsidR="00E05F58">
              <w:rPr>
                <w:sz w:val="20"/>
                <w:szCs w:val="20"/>
              </w:rPr>
              <w:t xml:space="preserve"> </w:t>
            </w:r>
            <w:r w:rsidRPr="00E05F58">
              <w:rPr>
                <w:sz w:val="20"/>
                <w:szCs w:val="20"/>
              </w:rPr>
              <w:t>(BC.385)</w:t>
            </w:r>
          </w:p>
        </w:tc>
        <w:tc>
          <w:tcPr>
            <w:tcW w:w="3686" w:type="dxa"/>
          </w:tcPr>
          <w:p w14:paraId="1D3A2D22" w14:textId="77777777" w:rsidR="00D42757" w:rsidRPr="00E05F58" w:rsidRDefault="00D42757" w:rsidP="00E05F58">
            <w:pPr>
              <w:rPr>
                <w:sz w:val="20"/>
                <w:szCs w:val="20"/>
              </w:rPr>
            </w:pPr>
            <w:r w:rsidRPr="00E05F58">
              <w:rPr>
                <w:sz w:val="20"/>
                <w:szCs w:val="20"/>
              </w:rPr>
              <w:t>Pharmacokinetic parameters</w:t>
            </w:r>
          </w:p>
        </w:tc>
      </w:tr>
      <w:tr w:rsidR="00D42757" w:rsidRPr="00E05F58" w14:paraId="577561E0" w14:textId="77777777" w:rsidTr="00D42757">
        <w:tc>
          <w:tcPr>
            <w:tcW w:w="1526" w:type="dxa"/>
            <w:vMerge/>
          </w:tcPr>
          <w:p w14:paraId="0DBCE9EA" w14:textId="77777777" w:rsidR="00D42757" w:rsidRPr="00E05F58" w:rsidRDefault="00D42757" w:rsidP="00E05F58">
            <w:pPr>
              <w:ind w:left="0"/>
              <w:rPr>
                <w:sz w:val="20"/>
                <w:szCs w:val="20"/>
              </w:rPr>
            </w:pPr>
          </w:p>
        </w:tc>
        <w:tc>
          <w:tcPr>
            <w:tcW w:w="1701" w:type="dxa"/>
            <w:vMerge/>
          </w:tcPr>
          <w:p w14:paraId="236676AC" w14:textId="77777777" w:rsidR="00D42757" w:rsidRPr="00E05F58" w:rsidRDefault="00D42757" w:rsidP="00E05F58">
            <w:pPr>
              <w:rPr>
                <w:sz w:val="20"/>
                <w:szCs w:val="20"/>
              </w:rPr>
            </w:pPr>
          </w:p>
        </w:tc>
        <w:tc>
          <w:tcPr>
            <w:tcW w:w="1559" w:type="dxa"/>
          </w:tcPr>
          <w:p w14:paraId="2D0AB7FE" w14:textId="481F0179" w:rsidR="00D42757" w:rsidRPr="00E05F58" w:rsidRDefault="00D42757" w:rsidP="00E05F58">
            <w:pPr>
              <w:rPr>
                <w:sz w:val="20"/>
                <w:szCs w:val="20"/>
              </w:rPr>
            </w:pPr>
            <w:r w:rsidRPr="00E05F58">
              <w:rPr>
                <w:sz w:val="20"/>
                <w:szCs w:val="20"/>
              </w:rPr>
              <w:t>STP-1</w:t>
            </w:r>
            <w:r w:rsidR="00E05F58">
              <w:rPr>
                <w:sz w:val="20"/>
                <w:szCs w:val="20"/>
              </w:rPr>
              <w:t xml:space="preserve"> </w:t>
            </w:r>
            <w:r w:rsidRPr="00E05F58">
              <w:rPr>
                <w:sz w:val="20"/>
                <w:szCs w:val="20"/>
              </w:rPr>
              <w:t>(BC.609)</w:t>
            </w:r>
          </w:p>
        </w:tc>
        <w:tc>
          <w:tcPr>
            <w:tcW w:w="3686" w:type="dxa"/>
          </w:tcPr>
          <w:p w14:paraId="0F414EB6" w14:textId="77777777" w:rsidR="00D42757" w:rsidRPr="00E05F58" w:rsidRDefault="00D42757" w:rsidP="00E05F58">
            <w:pPr>
              <w:rPr>
                <w:sz w:val="20"/>
                <w:szCs w:val="20"/>
              </w:rPr>
            </w:pPr>
            <w:r w:rsidRPr="00E05F58">
              <w:rPr>
                <w:sz w:val="20"/>
                <w:szCs w:val="20"/>
              </w:rPr>
              <w:t>Pharmacokinetic parameters (including analysis of CYP2C19 genotypes)</w:t>
            </w:r>
          </w:p>
        </w:tc>
      </w:tr>
      <w:tr w:rsidR="00D42757" w:rsidRPr="00E05F58" w14:paraId="2E3209E5" w14:textId="77777777" w:rsidTr="00D42757">
        <w:tc>
          <w:tcPr>
            <w:tcW w:w="1526" w:type="dxa"/>
            <w:vMerge/>
          </w:tcPr>
          <w:p w14:paraId="4D38AC56" w14:textId="77777777" w:rsidR="00D42757" w:rsidRPr="00E05F58" w:rsidRDefault="00D42757" w:rsidP="00E05F58">
            <w:pPr>
              <w:ind w:left="0"/>
              <w:rPr>
                <w:sz w:val="20"/>
                <w:szCs w:val="20"/>
              </w:rPr>
            </w:pPr>
          </w:p>
        </w:tc>
        <w:tc>
          <w:tcPr>
            <w:tcW w:w="1701" w:type="dxa"/>
          </w:tcPr>
          <w:p w14:paraId="1238308B" w14:textId="77777777" w:rsidR="00D42757" w:rsidRPr="00E05F58" w:rsidRDefault="00D42757" w:rsidP="00E05F58">
            <w:pPr>
              <w:rPr>
                <w:sz w:val="20"/>
                <w:szCs w:val="20"/>
              </w:rPr>
            </w:pPr>
            <w:r w:rsidRPr="00E05F58">
              <w:rPr>
                <w:sz w:val="20"/>
                <w:szCs w:val="20"/>
              </w:rPr>
              <w:t>Hepatic/rena</w:t>
            </w:r>
            <w:r w:rsidRPr="00E05F58">
              <w:rPr>
                <w:sz w:val="20"/>
                <w:szCs w:val="20"/>
              </w:rPr>
              <w:lastRenderedPageBreak/>
              <w:t>l impairment</w:t>
            </w:r>
          </w:p>
        </w:tc>
        <w:tc>
          <w:tcPr>
            <w:tcW w:w="1559" w:type="dxa"/>
          </w:tcPr>
          <w:p w14:paraId="10AAFB0C" w14:textId="77777777" w:rsidR="00D42757" w:rsidRPr="00E05F58" w:rsidRDefault="00D42757" w:rsidP="00E05F58">
            <w:pPr>
              <w:rPr>
                <w:sz w:val="20"/>
                <w:szCs w:val="20"/>
              </w:rPr>
            </w:pPr>
          </w:p>
        </w:tc>
        <w:tc>
          <w:tcPr>
            <w:tcW w:w="3686" w:type="dxa"/>
          </w:tcPr>
          <w:p w14:paraId="0A6DB7D5" w14:textId="77777777" w:rsidR="00D42757" w:rsidRPr="00E05F58" w:rsidRDefault="00D42757" w:rsidP="00E05F58">
            <w:pPr>
              <w:rPr>
                <w:sz w:val="20"/>
                <w:szCs w:val="20"/>
              </w:rPr>
            </w:pPr>
            <w:r w:rsidRPr="00E05F58">
              <w:rPr>
                <w:sz w:val="20"/>
                <w:szCs w:val="20"/>
              </w:rPr>
              <w:t>No study conducted.</w:t>
            </w:r>
          </w:p>
        </w:tc>
      </w:tr>
      <w:tr w:rsidR="00D42757" w:rsidRPr="00E05F58" w14:paraId="5D7F0DAD" w14:textId="77777777" w:rsidTr="00D42757">
        <w:tc>
          <w:tcPr>
            <w:tcW w:w="1526" w:type="dxa"/>
            <w:vMerge/>
          </w:tcPr>
          <w:p w14:paraId="50B273C7" w14:textId="77777777" w:rsidR="00D42757" w:rsidRPr="00E05F58" w:rsidRDefault="00D42757" w:rsidP="00E05F58">
            <w:pPr>
              <w:ind w:left="0"/>
              <w:rPr>
                <w:sz w:val="20"/>
                <w:szCs w:val="20"/>
              </w:rPr>
            </w:pPr>
          </w:p>
        </w:tc>
        <w:tc>
          <w:tcPr>
            <w:tcW w:w="1701" w:type="dxa"/>
          </w:tcPr>
          <w:p w14:paraId="69106E1C" w14:textId="77777777" w:rsidR="00D42757" w:rsidRPr="00E05F58" w:rsidRDefault="00D42757" w:rsidP="00E05F58">
            <w:pPr>
              <w:rPr>
                <w:sz w:val="20"/>
                <w:szCs w:val="20"/>
              </w:rPr>
            </w:pPr>
            <w:r w:rsidRPr="00E05F58">
              <w:rPr>
                <w:sz w:val="20"/>
                <w:szCs w:val="20"/>
              </w:rPr>
              <w:t>Elderly</w:t>
            </w:r>
          </w:p>
        </w:tc>
        <w:tc>
          <w:tcPr>
            <w:tcW w:w="1559" w:type="dxa"/>
          </w:tcPr>
          <w:p w14:paraId="365D19B0" w14:textId="77777777" w:rsidR="00D42757" w:rsidRPr="00E05F58" w:rsidRDefault="00D42757" w:rsidP="00E05F58">
            <w:pPr>
              <w:rPr>
                <w:sz w:val="20"/>
                <w:szCs w:val="20"/>
              </w:rPr>
            </w:pPr>
          </w:p>
        </w:tc>
        <w:tc>
          <w:tcPr>
            <w:tcW w:w="3686" w:type="dxa"/>
          </w:tcPr>
          <w:p w14:paraId="2CAF55E5" w14:textId="77777777" w:rsidR="00D42757" w:rsidRPr="00E05F58" w:rsidRDefault="00D42757" w:rsidP="00E05F58">
            <w:pPr>
              <w:rPr>
                <w:sz w:val="20"/>
                <w:szCs w:val="20"/>
              </w:rPr>
            </w:pPr>
            <w:r w:rsidRPr="00E05F58">
              <w:rPr>
                <w:sz w:val="20"/>
                <w:szCs w:val="20"/>
              </w:rPr>
              <w:t>No study conducted.</w:t>
            </w:r>
          </w:p>
        </w:tc>
      </w:tr>
      <w:tr w:rsidR="00D42757" w:rsidRPr="00E05F58" w14:paraId="15502265" w14:textId="77777777" w:rsidTr="00D42757">
        <w:tc>
          <w:tcPr>
            <w:tcW w:w="1526" w:type="dxa"/>
          </w:tcPr>
          <w:p w14:paraId="6E3C9DBB" w14:textId="77777777" w:rsidR="00D42757" w:rsidRPr="00E05F58" w:rsidRDefault="00D42757" w:rsidP="00E05F58">
            <w:pPr>
              <w:ind w:left="0"/>
              <w:rPr>
                <w:sz w:val="20"/>
                <w:szCs w:val="20"/>
              </w:rPr>
            </w:pPr>
            <w:r w:rsidRPr="00E05F58">
              <w:rPr>
                <w:sz w:val="20"/>
                <w:szCs w:val="20"/>
              </w:rPr>
              <w:t>PK interactions</w:t>
            </w:r>
          </w:p>
        </w:tc>
        <w:tc>
          <w:tcPr>
            <w:tcW w:w="1701" w:type="dxa"/>
          </w:tcPr>
          <w:p w14:paraId="267C00C0" w14:textId="77777777" w:rsidR="00D42757" w:rsidRPr="00E05F58" w:rsidRDefault="00D42757" w:rsidP="00E05F58">
            <w:pPr>
              <w:rPr>
                <w:sz w:val="20"/>
                <w:szCs w:val="20"/>
              </w:rPr>
            </w:pPr>
          </w:p>
        </w:tc>
        <w:tc>
          <w:tcPr>
            <w:tcW w:w="1559" w:type="dxa"/>
          </w:tcPr>
          <w:p w14:paraId="7E359C4A" w14:textId="77777777" w:rsidR="00D42757" w:rsidRPr="00E05F58" w:rsidRDefault="00D42757" w:rsidP="00E05F58">
            <w:pPr>
              <w:rPr>
                <w:sz w:val="20"/>
                <w:szCs w:val="20"/>
              </w:rPr>
            </w:pPr>
          </w:p>
        </w:tc>
        <w:tc>
          <w:tcPr>
            <w:tcW w:w="3686" w:type="dxa"/>
          </w:tcPr>
          <w:p w14:paraId="69B9BB37" w14:textId="77777777" w:rsidR="00D42757" w:rsidRPr="00E05F58" w:rsidRDefault="00D42757" w:rsidP="00E05F58">
            <w:pPr>
              <w:rPr>
                <w:sz w:val="20"/>
                <w:szCs w:val="20"/>
              </w:rPr>
            </w:pPr>
            <w:r w:rsidRPr="00E05F58">
              <w:rPr>
                <w:sz w:val="20"/>
                <w:szCs w:val="20"/>
              </w:rPr>
              <w:t>No study conducted.</w:t>
            </w:r>
          </w:p>
        </w:tc>
      </w:tr>
      <w:tr w:rsidR="00D42757" w:rsidRPr="00E05F58" w14:paraId="171F6B78" w14:textId="77777777" w:rsidTr="00D42757">
        <w:tc>
          <w:tcPr>
            <w:tcW w:w="1526" w:type="dxa"/>
          </w:tcPr>
          <w:p w14:paraId="3E44485F" w14:textId="77777777" w:rsidR="00D42757" w:rsidRPr="00E05F58" w:rsidRDefault="00D42757" w:rsidP="00E05F58">
            <w:pPr>
              <w:ind w:left="0"/>
              <w:rPr>
                <w:sz w:val="20"/>
                <w:szCs w:val="20"/>
              </w:rPr>
            </w:pPr>
            <w:r w:rsidRPr="00E05F58">
              <w:rPr>
                <w:sz w:val="20"/>
                <w:szCs w:val="20"/>
              </w:rPr>
              <w:t>Population PK analyses</w:t>
            </w:r>
          </w:p>
        </w:tc>
        <w:tc>
          <w:tcPr>
            <w:tcW w:w="1701" w:type="dxa"/>
          </w:tcPr>
          <w:p w14:paraId="7ADAB851" w14:textId="77357868" w:rsidR="00D42757" w:rsidRPr="00E05F58" w:rsidRDefault="00D42757" w:rsidP="00E05F58">
            <w:pPr>
              <w:rPr>
                <w:sz w:val="20"/>
                <w:szCs w:val="20"/>
              </w:rPr>
            </w:pPr>
            <w:r w:rsidRPr="00E05F58">
              <w:rPr>
                <w:sz w:val="20"/>
                <w:szCs w:val="20"/>
              </w:rPr>
              <w:t>Target population §</w:t>
            </w:r>
            <w:r w:rsidR="00E05F58">
              <w:rPr>
                <w:sz w:val="20"/>
                <w:szCs w:val="20"/>
              </w:rPr>
              <w:t xml:space="preserve"> </w:t>
            </w:r>
            <w:r w:rsidRPr="00E05F58">
              <w:rPr>
                <w:sz w:val="20"/>
                <w:szCs w:val="20"/>
              </w:rPr>
              <w:t>(steady state)</w:t>
            </w:r>
          </w:p>
        </w:tc>
        <w:tc>
          <w:tcPr>
            <w:tcW w:w="1559" w:type="dxa"/>
          </w:tcPr>
          <w:p w14:paraId="33DDF5EF" w14:textId="77777777" w:rsidR="00D42757" w:rsidRPr="00E05F58" w:rsidRDefault="00D42757" w:rsidP="00E05F58">
            <w:pPr>
              <w:rPr>
                <w:sz w:val="20"/>
                <w:szCs w:val="20"/>
              </w:rPr>
            </w:pPr>
            <w:r w:rsidRPr="00E05F58">
              <w:rPr>
                <w:sz w:val="20"/>
                <w:szCs w:val="20"/>
              </w:rPr>
              <w:t>STIPOP (STP167)</w:t>
            </w:r>
          </w:p>
        </w:tc>
        <w:tc>
          <w:tcPr>
            <w:tcW w:w="3686" w:type="dxa"/>
          </w:tcPr>
          <w:p w14:paraId="6530AB10" w14:textId="77777777" w:rsidR="00D42757" w:rsidRPr="00E05F58" w:rsidRDefault="00D42757" w:rsidP="00E05F58">
            <w:pPr>
              <w:rPr>
                <w:sz w:val="20"/>
                <w:szCs w:val="20"/>
              </w:rPr>
            </w:pPr>
            <w:r w:rsidRPr="00E05F58">
              <w:rPr>
                <w:sz w:val="20"/>
                <w:szCs w:val="20"/>
              </w:rPr>
              <w:t>Steady state popula</w:t>
            </w:r>
            <w:r w:rsidR="00666B24" w:rsidRPr="00E05F58">
              <w:rPr>
                <w:sz w:val="20"/>
                <w:szCs w:val="20"/>
              </w:rPr>
              <w:t>tion pharmacokinetic parameters</w:t>
            </w:r>
          </w:p>
        </w:tc>
      </w:tr>
    </w:tbl>
    <w:p w14:paraId="2B6A883A" w14:textId="77777777" w:rsidR="00D42757" w:rsidRPr="00F30EFE" w:rsidRDefault="00D42757" w:rsidP="00D42757">
      <w:pPr>
        <w:pStyle w:val="TableDescription"/>
      </w:pPr>
      <w:r w:rsidRPr="00F30EFE">
        <w:t>† Bioequivalence of different formulations. § Subjects who would be eligible to receive the drug if approved for the proposed indication.</w:t>
      </w:r>
    </w:p>
    <w:p w14:paraId="30F8E44D" w14:textId="77777777" w:rsidR="00D42757" w:rsidRPr="00F30EFE" w:rsidRDefault="00D42757" w:rsidP="00D42757">
      <w:pPr>
        <w:pStyle w:val="ListBullet"/>
      </w:pPr>
      <w:r w:rsidRPr="00F30EFE">
        <w:t>PK studies were conducted in healthy male volunteer</w:t>
      </w:r>
      <w:r w:rsidR="00666B24" w:rsidRPr="00F30EFE">
        <w:t>s aged from 19 to 38 years old.</w:t>
      </w:r>
    </w:p>
    <w:p w14:paraId="575B1F89" w14:textId="77777777" w:rsidR="00D42757" w:rsidRPr="00F30EFE" w:rsidRDefault="00D42757" w:rsidP="00D42757">
      <w:pPr>
        <w:pStyle w:val="ListBullet"/>
      </w:pPr>
      <w:r w:rsidRPr="00F30EFE">
        <w:t xml:space="preserve">PK studies with </w:t>
      </w:r>
      <w:r w:rsidR="004B08F7" w:rsidRPr="00F30EFE">
        <w:rPr>
          <w:kern w:val="2"/>
        </w:rPr>
        <w:t>stiripentol</w:t>
      </w:r>
      <w:r w:rsidRPr="00F30EFE">
        <w:t xml:space="preserve"> were not</w:t>
      </w:r>
      <w:r w:rsidR="00666B24" w:rsidRPr="00F30EFE">
        <w:t xml:space="preserve"> conducted in healthy children.</w:t>
      </w:r>
    </w:p>
    <w:p w14:paraId="5DD5A222" w14:textId="77777777" w:rsidR="00D42757" w:rsidRPr="00F30EFE" w:rsidRDefault="00D42757" w:rsidP="00620E19">
      <w:pPr>
        <w:pStyle w:val="ListBullet"/>
      </w:pPr>
      <w:r w:rsidRPr="00F30EFE">
        <w:t xml:space="preserve">Studies in the target population that provided PK data were mainly conducted in children with </w:t>
      </w:r>
      <w:r w:rsidR="00620E19" w:rsidRPr="00F30EFE">
        <w:t>Dravet syndrome</w:t>
      </w:r>
      <w:r w:rsidRPr="00F30EFE">
        <w:t>, but also in a small number of adults.</w:t>
      </w:r>
    </w:p>
    <w:p w14:paraId="67B9EA9C" w14:textId="15A9B526" w:rsidR="00D42757" w:rsidRPr="00F30EFE" w:rsidRDefault="00D42757" w:rsidP="00D42757">
      <w:pPr>
        <w:pStyle w:val="ListBullet"/>
      </w:pPr>
      <w:r w:rsidRPr="00F30EFE">
        <w:t xml:space="preserve">Furthermore, the sponsor additionally relies on some literature sources (not evaluated for scientific rigour) to provide additional PK data, most notably: Levy </w:t>
      </w:r>
      <w:r w:rsidRPr="00F30EFE">
        <w:rPr>
          <w:i/>
        </w:rPr>
        <w:t>et al.</w:t>
      </w:r>
      <w:r w:rsidRPr="00F30EFE">
        <w:t xml:space="preserve"> (1983);</w:t>
      </w:r>
      <w:bookmarkStart w:id="43" w:name="_Ref23165695"/>
      <w:r w:rsidR="00620E19" w:rsidRPr="00F30EFE">
        <w:rPr>
          <w:rStyle w:val="FootnoteReference"/>
        </w:rPr>
        <w:footnoteReference w:id="7"/>
      </w:r>
      <w:bookmarkEnd w:id="43"/>
      <w:r w:rsidRPr="00F30EFE">
        <w:t xml:space="preserve"> Levy </w:t>
      </w:r>
      <w:r w:rsidRPr="00F30EFE">
        <w:rPr>
          <w:i/>
        </w:rPr>
        <w:t>et al.</w:t>
      </w:r>
      <w:r w:rsidRPr="00F30EFE">
        <w:t xml:space="preserve"> (1984a)</w:t>
      </w:r>
      <w:bookmarkStart w:id="44" w:name="_Ref23159439"/>
      <w:r w:rsidR="00F1790A">
        <w:t>;</w:t>
      </w:r>
      <w:r w:rsidR="008E4D05" w:rsidRPr="00F30EFE">
        <w:rPr>
          <w:rStyle w:val="FootnoteReference"/>
        </w:rPr>
        <w:footnoteReference w:id="8"/>
      </w:r>
      <w:bookmarkEnd w:id="44"/>
      <w:r w:rsidRPr="00F30EFE">
        <w:t xml:space="preserve"> Levy </w:t>
      </w:r>
      <w:r w:rsidRPr="00F30EFE">
        <w:rPr>
          <w:i/>
        </w:rPr>
        <w:t>et al.</w:t>
      </w:r>
      <w:r w:rsidRPr="00F30EFE">
        <w:t xml:space="preserve"> (1984b);</w:t>
      </w:r>
      <w:r w:rsidR="008E4D05" w:rsidRPr="00F30EFE">
        <w:rPr>
          <w:rStyle w:val="FootnoteReference"/>
        </w:rPr>
        <w:footnoteReference w:id="9"/>
      </w:r>
      <w:r w:rsidRPr="00F30EFE">
        <w:t xml:space="preserve"> May </w:t>
      </w:r>
      <w:r w:rsidRPr="00F30EFE">
        <w:rPr>
          <w:i/>
        </w:rPr>
        <w:t>et al.</w:t>
      </w:r>
      <w:r w:rsidRPr="00F30EFE">
        <w:t xml:space="preserve"> (2012);</w:t>
      </w:r>
      <w:r w:rsidR="00620E19" w:rsidRPr="00F30EFE">
        <w:rPr>
          <w:rStyle w:val="FootnoteReference"/>
        </w:rPr>
        <w:footnoteReference w:id="10"/>
      </w:r>
      <w:r w:rsidRPr="00F30EFE">
        <w:t xml:space="preserve"> Ogungbenro </w:t>
      </w:r>
      <w:r w:rsidRPr="00F30EFE">
        <w:rPr>
          <w:i/>
        </w:rPr>
        <w:t>et al.</w:t>
      </w:r>
      <w:r w:rsidRPr="00F30EFE">
        <w:t xml:space="preserve"> (2015);</w:t>
      </w:r>
      <w:bookmarkStart w:id="45" w:name="_Ref23165667"/>
      <w:r w:rsidR="008E4D05" w:rsidRPr="00F30EFE">
        <w:rPr>
          <w:rStyle w:val="FootnoteReference"/>
        </w:rPr>
        <w:footnoteReference w:id="11"/>
      </w:r>
      <w:bookmarkEnd w:id="45"/>
      <w:r w:rsidRPr="00F30EFE">
        <w:t xml:space="preserve"> Moreland </w:t>
      </w:r>
      <w:r w:rsidRPr="00F30EFE">
        <w:rPr>
          <w:i/>
        </w:rPr>
        <w:t xml:space="preserve">et al. </w:t>
      </w:r>
      <w:r w:rsidRPr="00F30EFE">
        <w:t>(1986).</w:t>
      </w:r>
      <w:r w:rsidR="008E4D05" w:rsidRPr="00F30EFE">
        <w:rPr>
          <w:rStyle w:val="FootnoteReference"/>
        </w:rPr>
        <w:footnoteReference w:id="12"/>
      </w:r>
    </w:p>
    <w:p w14:paraId="626A50F7" w14:textId="77777777" w:rsidR="00FF7952" w:rsidRPr="00F30EFE" w:rsidRDefault="00467113" w:rsidP="00467113">
      <w:pPr>
        <w:pStyle w:val="Heading5"/>
      </w:pPr>
      <w:r w:rsidRPr="00F30EFE">
        <w:t>Summary of pharmacokinetics</w:t>
      </w:r>
    </w:p>
    <w:p w14:paraId="23B0FBF5" w14:textId="6E7FBF5D" w:rsidR="00FF7952" w:rsidRPr="00F30EFE" w:rsidRDefault="00FF7952" w:rsidP="00FF7952">
      <w:r w:rsidRPr="00F30EFE">
        <w:t xml:space="preserve">After single oral, dose administration of 500, 1000, and 2000 mg of </w:t>
      </w:r>
      <w:r w:rsidRPr="00F30EFE">
        <w:rPr>
          <w:kern w:val="2"/>
        </w:rPr>
        <w:t>stiripentol</w:t>
      </w:r>
      <w:r w:rsidRPr="00F30EFE">
        <w:t>, the mean C</w:t>
      </w:r>
      <w:r w:rsidRPr="00F30EFE">
        <w:rPr>
          <w:vertAlign w:val="subscript"/>
        </w:rPr>
        <w:t>max</w:t>
      </w:r>
      <w:r w:rsidRPr="00F30EFE">
        <w:t xml:space="preserve"> values were 2.63, 6.63 and 13.8 mg/L respectively (when a non-compartmental mode</w:t>
      </w:r>
      <w:r w:rsidR="00620E19" w:rsidRPr="00F30EFE">
        <w:t>l was used). The corresponding time of maximum plasma concentration (</w:t>
      </w:r>
      <w:r w:rsidR="00F1790A">
        <w:t>T</w:t>
      </w:r>
      <w:r w:rsidR="00F1790A" w:rsidRPr="00F30EFE">
        <w:rPr>
          <w:vertAlign w:val="subscript"/>
        </w:rPr>
        <w:t>max</w:t>
      </w:r>
      <w:r w:rsidR="00620E19" w:rsidRPr="00F30EFE">
        <w:t>)</w:t>
      </w:r>
      <w:r w:rsidRPr="00F30EFE">
        <w:t xml:space="preserve"> values were 2.42, 2.42 and 2.96 h respectively (see </w:t>
      </w:r>
      <w:r w:rsidRPr="00F30EFE">
        <w:fldChar w:fldCharType="begin"/>
      </w:r>
      <w:r w:rsidRPr="00F30EFE">
        <w:instrText xml:space="preserve"> REF _Ref22631050 \h </w:instrText>
      </w:r>
      <w:r w:rsidRPr="00F30EFE">
        <w:fldChar w:fldCharType="separate"/>
      </w:r>
      <w:r w:rsidR="006A226A" w:rsidRPr="00F30EFE">
        <w:t xml:space="preserve">Table </w:t>
      </w:r>
      <w:r w:rsidR="006A226A" w:rsidRPr="00F30EFE">
        <w:rPr>
          <w:noProof/>
        </w:rPr>
        <w:t>4</w:t>
      </w:r>
      <w:r w:rsidRPr="00F30EFE">
        <w:fldChar w:fldCharType="end"/>
      </w:r>
      <w:r w:rsidRPr="00F30EFE">
        <w:t xml:space="preserve">). The mean residence times </w:t>
      </w:r>
      <w:r w:rsidR="00003BFA" w:rsidRPr="00F30EFE">
        <w:t>(MRT)</w:t>
      </w:r>
      <w:r w:rsidR="00243CB8" w:rsidRPr="00F30EFE">
        <w:t xml:space="preserve"> </w:t>
      </w:r>
      <w:r w:rsidRPr="00F30EFE">
        <w:t xml:space="preserve">for the 1000, and 2000 mg doses of </w:t>
      </w:r>
      <w:r w:rsidRPr="00F30EFE">
        <w:rPr>
          <w:kern w:val="2"/>
        </w:rPr>
        <w:t>stiripentol</w:t>
      </w:r>
      <w:r w:rsidRPr="00F30EFE">
        <w:t xml:space="preserve"> were</w:t>
      </w:r>
      <w:r w:rsidR="00003BFA" w:rsidRPr="00F30EFE">
        <w:t xml:space="preserve"> 7.67 and 11.1 hours (h)</w:t>
      </w:r>
      <w:r w:rsidRPr="00F30EFE">
        <w:t xml:space="preserve"> respectively (STIUNI </w:t>
      </w:r>
      <w:r w:rsidR="00F1790A">
        <w:t xml:space="preserve">trial </w:t>
      </w:r>
      <w:r w:rsidRPr="00F30EFE">
        <w:t>(</w:t>
      </w:r>
      <w:r w:rsidR="00F1790A">
        <w:t xml:space="preserve">Study </w:t>
      </w:r>
      <w:r w:rsidRPr="00F30EFE">
        <w:t>BC.337); healthy male subjects).</w:t>
      </w:r>
    </w:p>
    <w:p w14:paraId="57BEB2E1" w14:textId="28FE1900" w:rsidR="00FF7952" w:rsidRPr="00F30EFE" w:rsidRDefault="00FF7952" w:rsidP="00FF7952">
      <w:pPr>
        <w:pStyle w:val="TableTitle"/>
      </w:pPr>
      <w:bookmarkStart w:id="46" w:name="_Ref22631050"/>
      <w:bookmarkStart w:id="47" w:name="_Toc490668281"/>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4</w:t>
      </w:r>
      <w:r w:rsidR="00C12465">
        <w:rPr>
          <w:noProof/>
        </w:rPr>
        <w:fldChar w:fldCharType="end"/>
      </w:r>
      <w:bookmarkEnd w:id="46"/>
      <w:r w:rsidRPr="00F30EFE">
        <w:t xml:space="preserve">: STIUNI </w:t>
      </w:r>
      <w:r w:rsidR="00F1790A">
        <w:t xml:space="preserve">trial </w:t>
      </w:r>
      <w:r w:rsidRPr="00F30EFE">
        <w:t>(</w:t>
      </w:r>
      <w:r w:rsidR="00F1790A">
        <w:t xml:space="preserve">Study </w:t>
      </w:r>
      <w:r w:rsidRPr="00F30EFE">
        <w:t>BC.337); Absorption data for stiripentol single doses (500, 1000, and 2000 mg) determined using a non-compartmental model</w:t>
      </w:r>
      <w:bookmarkEnd w:id="47"/>
    </w:p>
    <w:p w14:paraId="49E14984" w14:textId="77777777" w:rsidR="00FF7952" w:rsidRPr="00F30EFE" w:rsidRDefault="00FF7952" w:rsidP="00FF7952">
      <w:r w:rsidRPr="00F30EFE">
        <w:rPr>
          <w:noProof/>
          <w:lang w:eastAsia="en-AU"/>
        </w:rPr>
        <w:drawing>
          <wp:inline distT="0" distB="0" distL="0" distR="0" wp14:anchorId="7ED21929" wp14:editId="5D1C408A">
            <wp:extent cx="5330142" cy="660449"/>
            <wp:effectExtent l="0" t="0" r="4445" b="6350"/>
            <wp:docPr id="40" name="Picture 40" descr="STIUNI (BC.337); Absorption data for stiripentol single doses (500, 1000, and 2000 mg) determined using a non-compartment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4833" cy="662269"/>
                    </a:xfrm>
                    <a:prstGeom prst="rect">
                      <a:avLst/>
                    </a:prstGeom>
                    <a:noFill/>
                    <a:ln>
                      <a:noFill/>
                    </a:ln>
                  </pic:spPr>
                </pic:pic>
              </a:graphicData>
            </a:graphic>
          </wp:inline>
        </w:drawing>
      </w:r>
    </w:p>
    <w:p w14:paraId="62CE1662" w14:textId="77777777" w:rsidR="00FF7952" w:rsidRPr="00F30EFE" w:rsidRDefault="00491676" w:rsidP="00FF7952">
      <w:pPr>
        <w:pStyle w:val="TableDescription"/>
      </w:pPr>
      <w:r w:rsidRPr="00F30EFE">
        <w:t xml:space="preserve">AUC = area under the concentration-time curve. </w:t>
      </w:r>
      <w:r w:rsidR="00FF7952" w:rsidRPr="00F30EFE">
        <w:t>AUC refers to AUC</w:t>
      </w:r>
      <w:r w:rsidR="00FF7952" w:rsidRPr="00F30EFE">
        <w:rPr>
          <w:vertAlign w:val="subscript"/>
        </w:rPr>
        <w:t>0-t</w:t>
      </w:r>
      <w:r w:rsidR="003760DC" w:rsidRPr="00F30EFE">
        <w:t>.</w:t>
      </w:r>
    </w:p>
    <w:p w14:paraId="173D87BE" w14:textId="4702CFBB" w:rsidR="00FF7952" w:rsidRPr="00F30EFE" w:rsidRDefault="00FF7952" w:rsidP="00467113">
      <w:r w:rsidRPr="00F30EFE">
        <w:t>The mean ratios of dose-normalised</w:t>
      </w:r>
      <w:r w:rsidR="00F1790A">
        <w:t xml:space="preserve"> area under the </w:t>
      </w:r>
      <w:r w:rsidR="00E15193">
        <w:t xml:space="preserve">concentration time </w:t>
      </w:r>
      <w:r w:rsidR="00F1790A">
        <w:t>curve (</w:t>
      </w:r>
      <w:r w:rsidRPr="00F30EFE">
        <w:t>AUC</w:t>
      </w:r>
      <w:r w:rsidR="00F1790A">
        <w:t>)</w:t>
      </w:r>
      <w:r w:rsidRPr="00F30EFE">
        <w:t xml:space="preserve"> for the 3 doses were: 4.03 for 1,000 mg/500 mg, 2.57 for 2,000 mg/1,000 mg and 9.63 for </w:t>
      </w:r>
      <w:r w:rsidRPr="00F30EFE">
        <w:lastRenderedPageBreak/>
        <w:t xml:space="preserve">2,000 mg/500 mg. The PK data supported a small </w:t>
      </w:r>
      <w:r w:rsidR="00467113" w:rsidRPr="00F30EFE">
        <w:t>degree non-linearity, that is,</w:t>
      </w:r>
      <w:r w:rsidRPr="00F30EFE">
        <w:t xml:space="preserve"> statistically significant more than proportional increases in C</w:t>
      </w:r>
      <w:r w:rsidRPr="00F30EFE">
        <w:rPr>
          <w:vertAlign w:val="subscript"/>
        </w:rPr>
        <w:t>max</w:t>
      </w:r>
      <w:r w:rsidRPr="00F30EFE">
        <w:t xml:space="preserve"> and </w:t>
      </w:r>
      <w:r w:rsidR="00E15193">
        <w:t>the area under the concentration-time curve from dosing (time zero) to last measurable concentration (</w:t>
      </w:r>
      <w:r w:rsidRPr="00F30EFE">
        <w:t>AUC</w:t>
      </w:r>
      <w:r w:rsidRPr="00F30EFE">
        <w:rPr>
          <w:vertAlign w:val="subscript"/>
        </w:rPr>
        <w:t>0-t</w:t>
      </w:r>
      <w:r w:rsidR="00E15193">
        <w:t>).</w:t>
      </w:r>
      <w:r w:rsidRPr="00F30EFE">
        <w:t xml:space="preserve"> The absorption phase appears to be non-linear, but eli</w:t>
      </w:r>
      <w:r w:rsidR="00467113" w:rsidRPr="00F30EFE">
        <w:t>mination appears to be linear.</w:t>
      </w:r>
    </w:p>
    <w:p w14:paraId="2E8D4B35" w14:textId="4632B462" w:rsidR="00FF7952" w:rsidRPr="00F30EFE" w:rsidRDefault="00FF7952" w:rsidP="00467113">
      <w:r w:rsidRPr="00F30EFE">
        <w:t>A com</w:t>
      </w:r>
      <w:r w:rsidR="00467113" w:rsidRPr="00F30EFE">
        <w:t>parative bioavailability study (STIVAL</w:t>
      </w:r>
      <w:r w:rsidR="00E15193">
        <w:t xml:space="preserve"> trial; Study</w:t>
      </w:r>
      <w:r w:rsidR="00467113" w:rsidRPr="00F30EFE">
        <w:t xml:space="preserve"> BC.481)</w:t>
      </w:r>
      <w:r w:rsidRPr="00F30EFE">
        <w:t xml:space="preserve"> in healthy male subjects also provided PK </w:t>
      </w:r>
      <w:r w:rsidR="00467113" w:rsidRPr="00F30EFE">
        <w:t xml:space="preserve">data after single </w:t>
      </w:r>
      <w:r w:rsidRPr="00F30EFE">
        <w:t xml:space="preserve">oral dose administration of 1000 mg of </w:t>
      </w:r>
      <w:r w:rsidR="00467113" w:rsidRPr="00F30EFE">
        <w:rPr>
          <w:kern w:val="2"/>
        </w:rPr>
        <w:t>stiripentol</w:t>
      </w:r>
      <w:r w:rsidRPr="00F30EFE">
        <w:t xml:space="preserve"> in either powder or capsule form.</w:t>
      </w:r>
    </w:p>
    <w:p w14:paraId="7D8AF928" w14:textId="4A27DB8B" w:rsidR="00FF7952" w:rsidRPr="00F30EFE" w:rsidRDefault="00467113" w:rsidP="00467113">
      <w:pPr>
        <w:pStyle w:val="TableTitle"/>
      </w:pPr>
      <w:bookmarkStart w:id="48" w:name="_Toc490668282"/>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5</w:t>
      </w:r>
      <w:r w:rsidR="00C12465">
        <w:rPr>
          <w:noProof/>
        </w:rPr>
        <w:fldChar w:fldCharType="end"/>
      </w:r>
      <w:r w:rsidRPr="00F30EFE">
        <w:t xml:space="preserve">: </w:t>
      </w:r>
      <w:r w:rsidR="00FF7952" w:rsidRPr="00F30EFE">
        <w:t xml:space="preserve">STIVAL </w:t>
      </w:r>
      <w:r w:rsidR="00E15193">
        <w:t xml:space="preserve">trial </w:t>
      </w:r>
      <w:r w:rsidR="00FF7952" w:rsidRPr="00F30EFE">
        <w:t>(</w:t>
      </w:r>
      <w:r w:rsidR="00E15193">
        <w:t xml:space="preserve">Study </w:t>
      </w:r>
      <w:r w:rsidR="00FF7952" w:rsidRPr="00F30EFE">
        <w:t>BC.481)</w:t>
      </w:r>
      <w:r w:rsidRPr="00F30EFE">
        <w:t>;</w:t>
      </w:r>
      <w:r w:rsidR="00FF7952" w:rsidRPr="00F30EFE">
        <w:t xml:space="preserve"> Absorption data for </w:t>
      </w:r>
      <w:r w:rsidRPr="00F30EFE">
        <w:rPr>
          <w:kern w:val="2"/>
        </w:rPr>
        <w:t>stiripentol</w:t>
      </w:r>
      <w:r w:rsidR="00FF7952" w:rsidRPr="00F30EFE">
        <w:t xml:space="preserve"> single</w:t>
      </w:r>
      <w:r w:rsidRPr="00F30EFE">
        <w:t xml:space="preserve"> doses (1000 </w:t>
      </w:r>
      <w:r w:rsidR="00FF7952" w:rsidRPr="00F30EFE">
        <w:t>mg only; powder versus capsule) determined using a non-compartmental model</w:t>
      </w:r>
      <w:bookmarkEnd w:id="48"/>
    </w:p>
    <w:p w14:paraId="5785699E" w14:textId="77777777" w:rsidR="00FF7952" w:rsidRPr="00F30EFE" w:rsidRDefault="00FF7952" w:rsidP="00FF7952">
      <w:r w:rsidRPr="00F30EFE">
        <w:rPr>
          <w:noProof/>
          <w:lang w:eastAsia="en-AU"/>
        </w:rPr>
        <w:drawing>
          <wp:inline distT="0" distB="0" distL="0" distR="0" wp14:anchorId="1FE4D7B6" wp14:editId="293411F9">
            <wp:extent cx="5503762" cy="993345"/>
            <wp:effectExtent l="0" t="0" r="1905" b="0"/>
            <wp:docPr id="63" name="Picture 63" descr="Study STIVAL (BC.481); Absorption data for stiripentol single doses (1000 mg only; powder versus capsule) determined using a non-compartment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6588" cy="993855"/>
                    </a:xfrm>
                    <a:prstGeom prst="rect">
                      <a:avLst/>
                    </a:prstGeom>
                    <a:noFill/>
                    <a:ln>
                      <a:noFill/>
                    </a:ln>
                  </pic:spPr>
                </pic:pic>
              </a:graphicData>
            </a:graphic>
          </wp:inline>
        </w:drawing>
      </w:r>
    </w:p>
    <w:p w14:paraId="3431B66E" w14:textId="77777777" w:rsidR="00FF7952" w:rsidRPr="00F30EFE" w:rsidRDefault="00FF7952" w:rsidP="00467113">
      <w:pPr>
        <w:pStyle w:val="ListBullet"/>
      </w:pPr>
      <w:r w:rsidRPr="00F30EFE">
        <w:t>When the compartmental model was used, it was shown that a two-compartment model with zero order absorption provided the best fit to the data.</w:t>
      </w:r>
    </w:p>
    <w:p w14:paraId="7230603E" w14:textId="77777777" w:rsidR="00FF7952" w:rsidRPr="00F30EFE" w:rsidRDefault="00467113" w:rsidP="00271666">
      <w:pPr>
        <w:pStyle w:val="ListBullet2"/>
      </w:pPr>
      <w:r w:rsidRPr="00F30EFE">
        <w:t>The lag time was 0.48 to 0.87 h;</w:t>
      </w:r>
    </w:p>
    <w:p w14:paraId="44E912E6" w14:textId="4639F749" w:rsidR="00FF7952" w:rsidRPr="00F30EFE" w:rsidRDefault="00003BFA" w:rsidP="00271666">
      <w:pPr>
        <w:pStyle w:val="ListBullet2"/>
      </w:pPr>
      <w:r w:rsidRPr="00F30EFE">
        <w:t>Biological half-life (</w:t>
      </w:r>
      <w:r w:rsidR="00E15193">
        <w:t>T</w:t>
      </w:r>
      <w:r w:rsidR="00FF7952" w:rsidRPr="00F30EFE">
        <w:rPr>
          <w:vertAlign w:val="subscript"/>
        </w:rPr>
        <w:t>1/2</w:t>
      </w:r>
      <w:r w:rsidRPr="00F30EFE">
        <w:t>)</w:t>
      </w:r>
      <w:r w:rsidR="00FF7952" w:rsidRPr="00F30EFE">
        <w:t xml:space="preserve"> beta v</w:t>
      </w:r>
      <w:r w:rsidRPr="00F30EFE">
        <w:t>alues were 4.4, 10.1 and 13.7 h</w:t>
      </w:r>
      <w:r w:rsidR="00FF7952" w:rsidRPr="00F30EFE">
        <w:t xml:space="preserve"> from the lowest to the highest dose, but the beta half-live values for the two highest doses were not statistica</w:t>
      </w:r>
      <w:r w:rsidRPr="00F30EFE">
        <w:t xml:space="preserve">lly significant (STIUNI </w:t>
      </w:r>
      <w:r w:rsidR="00E15193">
        <w:t xml:space="preserve">trial; Study </w:t>
      </w:r>
      <w:r w:rsidRPr="00F30EFE">
        <w:t>BC.337)</w:t>
      </w:r>
      <w:r w:rsidR="00467113" w:rsidRPr="00F30EFE">
        <w:t>;</w:t>
      </w:r>
    </w:p>
    <w:p w14:paraId="3C86DC71" w14:textId="606AD60D" w:rsidR="00FF7952" w:rsidRPr="00F30EFE" w:rsidRDefault="004F43D2" w:rsidP="00271666">
      <w:pPr>
        <w:pStyle w:val="ListBullet2"/>
      </w:pPr>
      <w:r w:rsidRPr="00F30EFE">
        <w:t>MRT</w:t>
      </w:r>
      <w:r w:rsidR="00003BFA" w:rsidRPr="00F30EFE">
        <w:t xml:space="preserve">, </w:t>
      </w:r>
      <w:r w:rsidR="00E15193">
        <w:t>T</w:t>
      </w:r>
      <w:r w:rsidR="00E15193">
        <w:rPr>
          <w:vertAlign w:val="subscript"/>
        </w:rPr>
        <w:t>1/2</w:t>
      </w:r>
      <w:r w:rsidR="00FF7952" w:rsidRPr="00F30EFE">
        <w:t xml:space="preserve"> and </w:t>
      </w:r>
      <w:r w:rsidR="00E15193">
        <w:t>area under the concentration-time curve from dosing (time zero) to infinity (</w:t>
      </w:r>
      <w:r w:rsidR="00FF7952" w:rsidRPr="00F30EFE">
        <w:t>AUC</w:t>
      </w:r>
      <w:r w:rsidR="00FF7952" w:rsidRPr="00F30EFE">
        <w:rPr>
          <w:vertAlign w:val="subscript"/>
        </w:rPr>
        <w:t>0-∞</w:t>
      </w:r>
      <w:r w:rsidR="00E15193">
        <w:t xml:space="preserve">) </w:t>
      </w:r>
      <w:r w:rsidR="00FF7952" w:rsidRPr="00F30EFE">
        <w:t>were only determined for</w:t>
      </w:r>
      <w:r w:rsidR="003760DC" w:rsidRPr="00F30EFE">
        <w:t xml:space="preserve"> the 1000 and 2000 mg dose</w:t>
      </w:r>
      <w:r w:rsidR="00E15193">
        <w:t>s</w:t>
      </w:r>
      <w:r w:rsidR="003760DC" w:rsidRPr="00F30EFE">
        <w:t>: MRT;</w:t>
      </w:r>
      <w:r w:rsidR="00FF7952" w:rsidRPr="00F30EFE">
        <w:t xml:space="preserve"> 7.6</w:t>
      </w:r>
      <w:r w:rsidR="003760DC" w:rsidRPr="00F30EFE">
        <w:t xml:space="preserve">7 and 11.1 h, respectively; </w:t>
      </w:r>
      <w:r w:rsidR="00E15193">
        <w:t>T</w:t>
      </w:r>
      <w:r w:rsidR="00E15193">
        <w:rPr>
          <w:vertAlign w:val="subscript"/>
        </w:rPr>
        <w:t>1/2</w:t>
      </w:r>
      <w:r w:rsidR="003760DC" w:rsidRPr="00F30EFE">
        <w:t xml:space="preserve">; </w:t>
      </w:r>
      <w:r w:rsidR="00FF7952" w:rsidRPr="00F30EFE">
        <w:t>7.8 (1.9) h and 11.0 (4.2) h, respectively; AUC</w:t>
      </w:r>
      <w:r w:rsidRPr="00F30EFE">
        <w:rPr>
          <w:vertAlign w:val="subscript"/>
        </w:rPr>
        <w:t>0-∞</w:t>
      </w:r>
      <w:r w:rsidRPr="00F30EFE">
        <w:t>;</w:t>
      </w:r>
      <w:r w:rsidR="00FF7952" w:rsidRPr="00F30EFE">
        <w:t xml:space="preserve"> 40.6 (16) mg/L x h and 107 (35.7) mg/L x </w:t>
      </w:r>
      <w:r w:rsidRPr="00F30EFE">
        <w:t>h, respectively (STIUNI</w:t>
      </w:r>
      <w:r w:rsidR="00E15193">
        <w:t xml:space="preserve"> trial/Study</w:t>
      </w:r>
      <w:r w:rsidRPr="00F30EFE">
        <w:t>BC.337)</w:t>
      </w:r>
      <w:r w:rsidR="00467113" w:rsidRPr="00F30EFE">
        <w:t>;</w:t>
      </w:r>
    </w:p>
    <w:p w14:paraId="1CC3C18E" w14:textId="1BF7D690" w:rsidR="00FF7952" w:rsidRPr="00F30EFE" w:rsidRDefault="004F43D2" w:rsidP="00271666">
      <w:pPr>
        <w:pStyle w:val="ListBullet2"/>
      </w:pPr>
      <w:r w:rsidRPr="00F30EFE">
        <w:t>The data (</w:t>
      </w:r>
      <w:r w:rsidR="00FF7952" w:rsidRPr="00F30EFE">
        <w:t>STIUN</w:t>
      </w:r>
      <w:r w:rsidRPr="00F30EFE">
        <w:t>I</w:t>
      </w:r>
      <w:r w:rsidR="00E15193">
        <w:t xml:space="preserve"> trial/Study</w:t>
      </w:r>
      <w:r w:rsidRPr="00F30EFE">
        <w:t>BC.337) supported non-linearity (that is,</w:t>
      </w:r>
      <w:r w:rsidR="00FF7952" w:rsidRPr="00F30EFE">
        <w:t xml:space="preserve"> more than proportional increases in AUC; the nonlinearity followed Michaelis-Menten kinetics in healthy volunteers, and also</w:t>
      </w:r>
      <w:r w:rsidR="006A226A" w:rsidRPr="00F30EFE">
        <w:t xml:space="preserve"> in the target population</w:t>
      </w:r>
      <w:r w:rsidR="00FF7952" w:rsidRPr="00F30EFE">
        <w:t>.</w:t>
      </w:r>
      <w:r w:rsidRPr="00F30EFE">
        <w:fldChar w:fldCharType="begin"/>
      </w:r>
      <w:r w:rsidRPr="00F30EFE">
        <w:instrText xml:space="preserve"> NOTEREF _Ref23159439 \f \h </w:instrText>
      </w:r>
      <w:r w:rsidRPr="00F30EFE">
        <w:fldChar w:fldCharType="separate"/>
      </w:r>
      <w:r w:rsidRPr="00F30EFE">
        <w:rPr>
          <w:rStyle w:val="FootnoteReference"/>
        </w:rPr>
        <w:t>4</w:t>
      </w:r>
      <w:r w:rsidRPr="00F30EFE">
        <w:fldChar w:fldCharType="end"/>
      </w:r>
      <w:r w:rsidR="00FF7952" w:rsidRPr="00F30EFE">
        <w:t xml:space="preserve"> The ratio increased significantly with dose (Friedman’s test, p</w:t>
      </w:r>
      <w:r w:rsidR="006A226A" w:rsidRPr="00F30EFE">
        <w:t xml:space="preserve"> </w:t>
      </w:r>
      <w:r w:rsidR="00FF7952" w:rsidRPr="00F30EFE">
        <w:t>&lt;</w:t>
      </w:r>
      <w:r w:rsidR="006A226A" w:rsidRPr="00F30EFE">
        <w:t xml:space="preserve"> </w:t>
      </w:r>
      <w:r w:rsidR="00FF7952" w:rsidRPr="00F30EFE">
        <w:t>0.05). The study authors concluded that the absorption of stiripentol was non-linear, but elimination was linear (</w:t>
      </w:r>
      <w:r w:rsidR="006A226A" w:rsidRPr="00F30EFE">
        <w:t>compared with</w:t>
      </w:r>
      <w:r w:rsidR="00FF7952" w:rsidRPr="00F30EFE">
        <w:t xml:space="preserve"> non</w:t>
      </w:r>
      <w:r w:rsidR="006A226A" w:rsidRPr="00F30EFE">
        <w:t>-</w:t>
      </w:r>
      <w:r w:rsidR="00FF7952" w:rsidRPr="00F30EFE">
        <w:t>compartmental model above)</w:t>
      </w:r>
      <w:r w:rsidR="006A226A" w:rsidRPr="00F30EFE">
        <w:t>.</w:t>
      </w:r>
    </w:p>
    <w:p w14:paraId="1CE52AA5" w14:textId="56649759" w:rsidR="00FF7952" w:rsidRPr="00F30EFE" w:rsidRDefault="00FF7952" w:rsidP="00467113">
      <w:pPr>
        <w:pStyle w:val="ListBullet"/>
      </w:pPr>
      <w:r w:rsidRPr="00F30EFE">
        <w:t>Data after multiple dosing suggest that steady state can be achieved after a range of approximately 2 to 5 days of dosing. Half-live duration, apparent clearance and apparent volume of distribution increased with body mass and the associated dose (STIPOP</w:t>
      </w:r>
      <w:r w:rsidR="00E15193">
        <w:t xml:space="preserve"> trial</w:t>
      </w:r>
      <w:r w:rsidRPr="00F30EFE">
        <w:t>).</w:t>
      </w:r>
      <w:r w:rsidRPr="00F30EFE">
        <w:rPr>
          <w:b/>
        </w:rPr>
        <w:t xml:space="preserve"> </w:t>
      </w:r>
      <w:r w:rsidRPr="00F30EFE">
        <w:t xml:space="preserve">Therefore, smaller children with smaller doses will achieve steady state </w:t>
      </w:r>
      <w:r w:rsidR="006A226A" w:rsidRPr="00F30EFE">
        <w:t>(</w:t>
      </w:r>
      <w:r w:rsidRPr="00F30EFE">
        <w:t>SS</w:t>
      </w:r>
      <w:r w:rsidR="006A226A" w:rsidRPr="00F30EFE">
        <w:t>)</w:t>
      </w:r>
      <w:r w:rsidRPr="00F30EFE">
        <w:t xml:space="preserve"> in the earlier part of the 2 to 5 day range.</w:t>
      </w:r>
    </w:p>
    <w:p w14:paraId="1EA1CF6A" w14:textId="2FCAD855" w:rsidR="00FF7952" w:rsidRPr="00F30EFE" w:rsidRDefault="00467113" w:rsidP="00467113">
      <w:pPr>
        <w:pStyle w:val="TableTitle"/>
      </w:pPr>
      <w:bookmarkStart w:id="49" w:name="_Toc490668283"/>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6</w:t>
      </w:r>
      <w:r w:rsidR="00C12465">
        <w:rPr>
          <w:noProof/>
        </w:rPr>
        <w:fldChar w:fldCharType="end"/>
      </w:r>
      <w:r w:rsidRPr="00F30EFE">
        <w:t xml:space="preserve">: </w:t>
      </w:r>
      <w:r w:rsidR="00FF7952" w:rsidRPr="00F30EFE">
        <w:t xml:space="preserve">STIPOP </w:t>
      </w:r>
      <w:r w:rsidR="00E15193">
        <w:t xml:space="preserve">trial </w:t>
      </w:r>
      <w:r w:rsidR="00FF7952" w:rsidRPr="00F30EFE">
        <w:t>(</w:t>
      </w:r>
      <w:r w:rsidR="00E15193">
        <w:t xml:space="preserve">Study </w:t>
      </w:r>
      <w:r w:rsidR="00FF7952" w:rsidRPr="00F30EFE">
        <w:t>STP167)</w:t>
      </w:r>
      <w:r w:rsidRPr="00F30EFE">
        <w:t>;</w:t>
      </w:r>
      <w:r w:rsidR="00FF7952" w:rsidRPr="00F30EFE">
        <w:t xml:space="preserve"> PK parameters in relation to body mass</w:t>
      </w:r>
      <w:bookmarkEnd w:id="49"/>
    </w:p>
    <w:p w14:paraId="409ED652" w14:textId="77777777" w:rsidR="00FF7952" w:rsidRPr="00F30EFE" w:rsidRDefault="00FF7952" w:rsidP="00467113">
      <w:r w:rsidRPr="00F30EFE">
        <w:rPr>
          <w:noProof/>
          <w:lang w:eastAsia="en-AU"/>
        </w:rPr>
        <w:drawing>
          <wp:inline distT="0" distB="0" distL="0" distR="0" wp14:anchorId="4DA2416B" wp14:editId="64B4760B">
            <wp:extent cx="4988966" cy="1303004"/>
            <wp:effectExtent l="0" t="0" r="2540" b="0"/>
            <wp:docPr id="42" name="Picture 42" descr="Study STIPOP (STP167); PK parameters in relation to body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1134" cy="1308794"/>
                    </a:xfrm>
                    <a:prstGeom prst="rect">
                      <a:avLst/>
                    </a:prstGeom>
                    <a:noFill/>
                    <a:ln>
                      <a:noFill/>
                    </a:ln>
                  </pic:spPr>
                </pic:pic>
              </a:graphicData>
            </a:graphic>
          </wp:inline>
        </w:drawing>
      </w:r>
    </w:p>
    <w:p w14:paraId="2890E633" w14:textId="77777777" w:rsidR="00442FFF" w:rsidRPr="00F30EFE" w:rsidRDefault="00442FFF" w:rsidP="00442FFF">
      <w:pPr>
        <w:pStyle w:val="TableDescription"/>
      </w:pPr>
      <w:r w:rsidRPr="00F30EFE">
        <w:t>CL/F = apparent clearance, V/F = apparent volume of distribution, t</w:t>
      </w:r>
      <w:r w:rsidRPr="00F30EFE">
        <w:rPr>
          <w:vertAlign w:val="subscript"/>
        </w:rPr>
        <w:t>1/2</w:t>
      </w:r>
      <w:r w:rsidRPr="00F30EFE">
        <w:t xml:space="preserve"> = biological half-life.</w:t>
      </w:r>
    </w:p>
    <w:p w14:paraId="59DC0745" w14:textId="77777777" w:rsidR="00FF7952" w:rsidRPr="00F30EFE" w:rsidRDefault="006A226A" w:rsidP="00467113">
      <w:r w:rsidRPr="00F30EFE">
        <w:lastRenderedPageBreak/>
        <w:t>The Delegate commented that</w:t>
      </w:r>
      <w:r w:rsidR="00442FFF" w:rsidRPr="00F30EFE">
        <w:t xml:space="preserve"> c</w:t>
      </w:r>
      <w:r w:rsidR="00FF7952" w:rsidRPr="00F30EFE">
        <w:t>hildren will probably achieve SS in the later as opposed to the earlier part of the 2 to 5 day range.</w:t>
      </w:r>
    </w:p>
    <w:p w14:paraId="690FCC9D" w14:textId="3D8B03B9" w:rsidR="00FF7952" w:rsidRPr="00F30EFE" w:rsidRDefault="00FF7952" w:rsidP="00271666">
      <w:pPr>
        <w:pStyle w:val="ListBullet"/>
      </w:pPr>
      <w:r w:rsidRPr="00F30EFE">
        <w:t>The above data revealed values for apparent volume of distribution in 35 children (1</w:t>
      </w:r>
      <w:r w:rsidR="00E15193">
        <w:t> </w:t>
      </w:r>
      <w:r w:rsidRPr="00F30EFE">
        <w:t xml:space="preserve">to 17.6 years) with Dravet syndrome (receiving </w:t>
      </w:r>
      <w:r w:rsidR="006A226A" w:rsidRPr="00F30EFE">
        <w:t>sodium valproate</w:t>
      </w:r>
      <w:r w:rsidR="00467113" w:rsidRPr="00F30EFE">
        <w:t xml:space="preserve"> and </w:t>
      </w:r>
      <w:r w:rsidR="006A226A" w:rsidRPr="00F30EFE">
        <w:t>clobazam</w:t>
      </w:r>
      <w:r w:rsidR="00467113" w:rsidRPr="00F30EFE">
        <w:t xml:space="preserve"> additional to </w:t>
      </w:r>
      <w:r w:rsidR="006A226A" w:rsidRPr="00F30EFE">
        <w:t>stiripentol</w:t>
      </w:r>
      <w:r w:rsidR="00467113" w:rsidRPr="00F30EFE">
        <w:t>)</w:t>
      </w:r>
      <w:r w:rsidR="00E15193">
        <w:t>:</w:t>
      </w:r>
    </w:p>
    <w:p w14:paraId="1E29881E" w14:textId="4E68043C" w:rsidR="00FF7952" w:rsidRPr="00F30EFE" w:rsidRDefault="00B738F3" w:rsidP="00467113">
      <w:pPr>
        <w:pStyle w:val="ListBullet2"/>
      </w:pPr>
      <w:r>
        <w:t>T</w:t>
      </w:r>
      <w:r w:rsidR="00E15193" w:rsidRPr="00F30EFE">
        <w:t xml:space="preserve">he </w:t>
      </w:r>
      <w:r w:rsidR="00FF7952" w:rsidRPr="00F30EFE">
        <w:t>apparent volume of distribution was body mass-dependent and ranged from 32.0 to 191.8 L, as body wei</w:t>
      </w:r>
      <w:r w:rsidR="006A226A" w:rsidRPr="00F30EFE">
        <w:t>ght increased from 10 to 60 kg;</w:t>
      </w:r>
    </w:p>
    <w:p w14:paraId="3A579BA6" w14:textId="2E8A5E00" w:rsidR="00FF7952" w:rsidRPr="00F30EFE" w:rsidRDefault="00B738F3" w:rsidP="00467113">
      <w:pPr>
        <w:pStyle w:val="ListBullet2"/>
      </w:pPr>
      <w:r>
        <w:t>F</w:t>
      </w:r>
      <w:r w:rsidR="00E15193" w:rsidRPr="00F30EFE">
        <w:t xml:space="preserve">or </w:t>
      </w:r>
      <w:r w:rsidR="006A226A" w:rsidRPr="00F30EFE">
        <w:t>apparent clearance (CL</w:t>
      </w:r>
      <w:r w:rsidR="00FF7952" w:rsidRPr="00F30EFE">
        <w:t>/F</w:t>
      </w:r>
      <w:r w:rsidR="006A226A" w:rsidRPr="00F30EFE">
        <w:t>)</w:t>
      </w:r>
      <w:r w:rsidR="00FF7952" w:rsidRPr="00F30EFE">
        <w:t>, the coefficien</w:t>
      </w:r>
      <w:r w:rsidR="006A226A" w:rsidRPr="00F30EFE">
        <w:t>ts of variation were 16% (inter</w:t>
      </w:r>
      <w:r w:rsidR="006A226A" w:rsidRPr="00F30EFE">
        <w:noBreakHyphen/>
      </w:r>
      <w:r w:rsidR="00FF7952" w:rsidRPr="00F30EFE">
        <w:t>indivi</w:t>
      </w:r>
      <w:r w:rsidR="006A226A" w:rsidRPr="00F30EFE">
        <w:t>dual) and 32% (inter-occasion);</w:t>
      </w:r>
      <w:r w:rsidR="00E15193">
        <w:t xml:space="preserve"> and</w:t>
      </w:r>
    </w:p>
    <w:p w14:paraId="4DFB0459" w14:textId="630DA300" w:rsidR="00FF7952" w:rsidRPr="00F30EFE" w:rsidRDefault="00B738F3" w:rsidP="00467113">
      <w:pPr>
        <w:pStyle w:val="ListBullet2"/>
      </w:pPr>
      <w:r>
        <w:t>C</w:t>
      </w:r>
      <w:r w:rsidR="00E15193" w:rsidRPr="00F30EFE">
        <w:t xml:space="preserve">oefficient </w:t>
      </w:r>
      <w:r w:rsidR="00467113" w:rsidRPr="00F30EFE">
        <w:t>of variation was 23%.</w:t>
      </w:r>
    </w:p>
    <w:p w14:paraId="31E2AA64" w14:textId="77777777" w:rsidR="00FF7952" w:rsidRPr="00F30EFE" w:rsidRDefault="00FF7952" w:rsidP="00467113">
      <w:pPr>
        <w:pStyle w:val="ListBullet"/>
      </w:pPr>
      <w:r w:rsidRPr="00F30EFE">
        <w:t>It appears that the non-linearity of stiripentol continues with multiple dosing. Clearance decreases with multiple dosing leading to increased plasma concentrations in line with Michaelis-Menten kinetics</w:t>
      </w:r>
      <w:r w:rsidRPr="00F30EFE">
        <w:rPr>
          <w:b/>
        </w:rPr>
        <w:t xml:space="preserve"> </w:t>
      </w:r>
      <w:r w:rsidRPr="00F30EFE">
        <w:t>and therefore, steady state might be reached later than predict</w:t>
      </w:r>
      <w:r w:rsidR="006A226A" w:rsidRPr="00F30EFE">
        <w:t xml:space="preserve">ed from single dose half-life. </w:t>
      </w:r>
      <w:r w:rsidRPr="00F30EFE">
        <w:t>Regarding accumulation, the sponsor state</w:t>
      </w:r>
      <w:r w:rsidR="006A226A" w:rsidRPr="00F30EFE">
        <w:t>s</w:t>
      </w:r>
      <w:r w:rsidR="00467113" w:rsidRPr="00F30EFE">
        <w:t>:</w:t>
      </w:r>
    </w:p>
    <w:p w14:paraId="5FAF92EC" w14:textId="77777777" w:rsidR="00FF7952" w:rsidRPr="00F30EFE" w:rsidRDefault="005E47B1" w:rsidP="00B738F3">
      <w:pPr>
        <w:pStyle w:val="ListBullet2"/>
        <w:numPr>
          <w:ilvl w:val="0"/>
          <w:numId w:val="0"/>
        </w:numPr>
        <w:ind w:left="720"/>
      </w:pPr>
      <w:r w:rsidRPr="00F30EFE">
        <w:t>‘</w:t>
      </w:r>
      <w:r w:rsidR="00FF7952" w:rsidRPr="00F30EFE">
        <w:t xml:space="preserve">When one examines all the available information on level-dose relationship in children, no concern has emerged with that aspect of </w:t>
      </w:r>
      <w:r w:rsidR="006A226A" w:rsidRPr="00F30EFE">
        <w:t>stiripentol</w:t>
      </w:r>
      <w:r w:rsidR="00FF7952" w:rsidRPr="00F30EFE">
        <w:t xml:space="preserve"> dosing since the drug is generally introduced gradually, over a few weeks. A dose of 50 mg/kg/day yields a steady state</w:t>
      </w:r>
      <w:r w:rsidR="006A226A" w:rsidRPr="00F30EFE">
        <w:t xml:space="preserve"> concentration of approximately </w:t>
      </w:r>
      <w:r w:rsidR="00FF7952" w:rsidRPr="00F30EFE">
        <w:t xml:space="preserve">10 mg/L as long as </w:t>
      </w:r>
      <w:r w:rsidR="00271666" w:rsidRPr="00F30EFE">
        <w:rPr>
          <w:kern w:val="2"/>
        </w:rPr>
        <w:t>stiripentol</w:t>
      </w:r>
      <w:r w:rsidR="00FF7952" w:rsidRPr="00F30EFE">
        <w:t xml:space="preserve"> is administered with non-inducing drugs such as </w:t>
      </w:r>
      <w:r w:rsidR="006A226A" w:rsidRPr="00F30EFE">
        <w:t>sodium valproate</w:t>
      </w:r>
      <w:r w:rsidR="00FF7952" w:rsidRPr="00F30EFE">
        <w:t xml:space="preserve"> and </w:t>
      </w:r>
      <w:r w:rsidR="006A226A" w:rsidRPr="00F30EFE">
        <w:t>clobazam</w:t>
      </w:r>
      <w:r w:rsidR="00FF7952" w:rsidRPr="00F30EFE">
        <w:t xml:space="preserve"> (</w:t>
      </w:r>
      <w:r w:rsidRPr="00F30EFE">
        <w:t>a table in the clinical submission dossier).’ ‘[…] the actual significance of ‘unexpected’ or ‘</w:t>
      </w:r>
      <w:r w:rsidR="00FF7952" w:rsidRPr="00F30EFE">
        <w:t>more</w:t>
      </w:r>
      <w:r w:rsidRPr="00F30EFE">
        <w:t xml:space="preserve"> than proportional accumulation’</w:t>
      </w:r>
      <w:r w:rsidR="00FF7952" w:rsidRPr="00F30EFE">
        <w:t xml:space="preserve"> appears to be limited, pa</w:t>
      </w:r>
      <w:r w:rsidRPr="00F30EFE">
        <w:t>rticularly in children.’</w:t>
      </w:r>
    </w:p>
    <w:p w14:paraId="6DA44458" w14:textId="77777777" w:rsidR="00FF7952" w:rsidRPr="00F30EFE" w:rsidRDefault="00FF7952" w:rsidP="00467113">
      <w:pPr>
        <w:pStyle w:val="Heading5"/>
      </w:pPr>
      <w:r w:rsidRPr="00F30EFE">
        <w:t>Delegate’s comment</w:t>
      </w:r>
      <w:r w:rsidR="00467113" w:rsidRPr="00F30EFE">
        <w:t>s on pharmacokinetics</w:t>
      </w:r>
    </w:p>
    <w:p w14:paraId="51DED14A" w14:textId="77777777" w:rsidR="00CF499C" w:rsidRPr="00F30EFE" w:rsidRDefault="00FF7952" w:rsidP="00CF499C">
      <w:pPr>
        <w:pStyle w:val="ListBullet"/>
      </w:pPr>
      <w:r w:rsidRPr="00F30EFE">
        <w:t>Reduction in dosing interval or dosage might be required in those with large body frame in order to avoid accumulation in multiple dosing.</w:t>
      </w:r>
      <w:r w:rsidR="000B2DF0" w:rsidRPr="00F30EFE">
        <w:t xml:space="preserve"> In regards to this the Delegate commented that:</w:t>
      </w:r>
    </w:p>
    <w:p w14:paraId="6C0FDE52" w14:textId="77777777" w:rsidR="00CF499C" w:rsidRPr="00F30EFE" w:rsidRDefault="00CF499C" w:rsidP="00CF499C">
      <w:pPr>
        <w:pStyle w:val="ListBullet2"/>
      </w:pPr>
      <w:r w:rsidRPr="00F30EFE">
        <w:t>There is extensive post-market experience, in which there was no overt evidence of accumulation issues with stiripentol.</w:t>
      </w:r>
    </w:p>
    <w:p w14:paraId="37D0D2D8" w14:textId="77777777" w:rsidR="00CF499C" w:rsidRPr="00F30EFE" w:rsidRDefault="00CF499C" w:rsidP="00CF499C">
      <w:pPr>
        <w:pStyle w:val="ListBullet2"/>
      </w:pPr>
      <w:r w:rsidRPr="00F30EFE">
        <w:t>There appears to be no known active metabolites of stiripentol.</w:t>
      </w:r>
    </w:p>
    <w:p w14:paraId="61358767" w14:textId="77777777" w:rsidR="00CF499C" w:rsidRPr="00F30EFE" w:rsidRDefault="00CF499C" w:rsidP="00CF499C">
      <w:pPr>
        <w:pStyle w:val="ListBullet2"/>
      </w:pPr>
      <w:r w:rsidRPr="00F30EFE">
        <w:t xml:space="preserve">Some of the provided PK data was derived </w:t>
      </w:r>
      <w:r w:rsidR="005E47B1" w:rsidRPr="00F30EFE">
        <w:t>from the target population (that is,</w:t>
      </w:r>
      <w:r w:rsidRPr="00F30EFE">
        <w:t xml:space="preserve"> children with Dravet syndrome) at steady state.</w:t>
      </w:r>
    </w:p>
    <w:p w14:paraId="5D985993" w14:textId="0D9D2502" w:rsidR="00CF499C" w:rsidRPr="00F30EFE" w:rsidRDefault="00CF499C" w:rsidP="00CF499C">
      <w:pPr>
        <w:pStyle w:val="ListBullet2"/>
      </w:pPr>
      <w:r w:rsidRPr="00F30EFE">
        <w:t>There is some available evidence, that there is no further accumulation after the ste</w:t>
      </w:r>
      <w:r w:rsidR="005E47B1" w:rsidRPr="00F30EFE">
        <w:t>ady state has been reached, for example,</w:t>
      </w:r>
      <w:r w:rsidRPr="00F30EFE">
        <w:t xml:space="preserve"> the physiologically based </w:t>
      </w:r>
      <w:r w:rsidR="00E15193">
        <w:t>PK</w:t>
      </w:r>
      <w:r w:rsidR="00E15193" w:rsidRPr="00F30EFE">
        <w:t xml:space="preserve"> </w:t>
      </w:r>
      <w:r w:rsidRPr="00F30EFE">
        <w:t xml:space="preserve">model for clobazam and stiripentol in adults and children conducted by Ogungbenro </w:t>
      </w:r>
      <w:r w:rsidRPr="00B738F3">
        <w:rPr>
          <w:i/>
        </w:rPr>
        <w:t>et al</w:t>
      </w:r>
      <w:r w:rsidRPr="00F30EFE">
        <w:t>. (2015)</w:t>
      </w:r>
      <w:r w:rsidR="00E15193">
        <w:t>;</w:t>
      </w:r>
      <w:r w:rsidR="005E47B1" w:rsidRPr="00F30EFE">
        <w:fldChar w:fldCharType="begin"/>
      </w:r>
      <w:r w:rsidR="005E47B1" w:rsidRPr="00F30EFE">
        <w:instrText xml:space="preserve"> NOTEREF _Ref23165667 \f \h </w:instrText>
      </w:r>
      <w:r w:rsidR="005E47B1" w:rsidRPr="00F30EFE">
        <w:fldChar w:fldCharType="separate"/>
      </w:r>
      <w:r w:rsidR="00442FFF" w:rsidRPr="00F30EFE">
        <w:rPr>
          <w:rStyle w:val="FootnoteReference"/>
        </w:rPr>
        <w:t>9</w:t>
      </w:r>
      <w:r w:rsidR="005E47B1" w:rsidRPr="00F30EFE">
        <w:fldChar w:fldCharType="end"/>
      </w:r>
      <w:r w:rsidRPr="00F30EFE">
        <w:t xml:space="preserve"> fitted to plasma concentration data obtained fr</w:t>
      </w:r>
      <w:r w:rsidR="005E47B1" w:rsidRPr="00F30EFE">
        <w:t xml:space="preserve">om the literature (Levy </w:t>
      </w:r>
      <w:r w:rsidR="005E47B1" w:rsidRPr="00B738F3">
        <w:rPr>
          <w:i/>
        </w:rPr>
        <w:t>et al</w:t>
      </w:r>
      <w:r w:rsidR="005E47B1" w:rsidRPr="00F30EFE">
        <w:t>. (</w:t>
      </w:r>
      <w:r w:rsidRPr="00F30EFE">
        <w:t>1983</w:t>
      </w:r>
      <w:r w:rsidR="005E47B1" w:rsidRPr="00F30EFE">
        <w:t>)</w:t>
      </w:r>
      <w:r w:rsidR="00E15193">
        <w:t>);</w:t>
      </w:r>
      <w:r w:rsidR="005E47B1" w:rsidRPr="00F30EFE">
        <w:fldChar w:fldCharType="begin"/>
      </w:r>
      <w:r w:rsidR="005E47B1" w:rsidRPr="00F30EFE">
        <w:instrText xml:space="preserve"> NOTEREF _Ref23165695 \f \h </w:instrText>
      </w:r>
      <w:r w:rsidR="005E47B1" w:rsidRPr="00F30EFE">
        <w:fldChar w:fldCharType="separate"/>
      </w:r>
      <w:r w:rsidR="00442FFF" w:rsidRPr="00F30EFE">
        <w:rPr>
          <w:rStyle w:val="FootnoteReference"/>
        </w:rPr>
        <w:t>5</w:t>
      </w:r>
      <w:r w:rsidR="005E47B1" w:rsidRPr="00F30EFE">
        <w:fldChar w:fldCharType="end"/>
      </w:r>
      <w:r w:rsidRPr="00F30EFE">
        <w:t xml:space="preserve"> for single dosing, and Levy </w:t>
      </w:r>
      <w:r w:rsidRPr="00B738F3">
        <w:rPr>
          <w:i/>
        </w:rPr>
        <w:t>et al</w:t>
      </w:r>
      <w:r w:rsidRPr="00F30EFE">
        <w:t>. (1984a)</w:t>
      </w:r>
      <w:r w:rsidR="00E15193">
        <w:t>;</w:t>
      </w:r>
      <w:r w:rsidR="005E47B1" w:rsidRPr="00F30EFE">
        <w:fldChar w:fldCharType="begin"/>
      </w:r>
      <w:r w:rsidR="005E47B1" w:rsidRPr="00F30EFE">
        <w:instrText xml:space="preserve"> NOTEREF _Ref23159439 \f \h </w:instrText>
      </w:r>
      <w:r w:rsidR="005E47B1" w:rsidRPr="00F30EFE">
        <w:fldChar w:fldCharType="separate"/>
      </w:r>
      <w:r w:rsidR="00442FFF" w:rsidRPr="00F30EFE">
        <w:rPr>
          <w:rStyle w:val="FootnoteReference"/>
        </w:rPr>
        <w:t>6</w:t>
      </w:r>
      <w:r w:rsidR="005E47B1" w:rsidRPr="00F30EFE">
        <w:fldChar w:fldCharType="end"/>
      </w:r>
      <w:r w:rsidRPr="00F30EFE">
        <w:t xml:space="preserve"> for multiple dosing.</w:t>
      </w:r>
    </w:p>
    <w:p w14:paraId="38B15078" w14:textId="1AC3C715" w:rsidR="00FF7952" w:rsidRPr="00F30EFE" w:rsidRDefault="00FF7952" w:rsidP="00271666">
      <w:pPr>
        <w:pStyle w:val="ListBullet"/>
      </w:pPr>
      <w:r w:rsidRPr="00F30EFE">
        <w:t xml:space="preserve">The sponsor states that there is no evidence of a circadian rhythm on the </w:t>
      </w:r>
      <w:r w:rsidR="00E15193">
        <w:t>PK</w:t>
      </w:r>
      <w:r w:rsidR="00E15193" w:rsidRPr="00F30EFE">
        <w:t xml:space="preserve"> </w:t>
      </w:r>
      <w:r w:rsidRPr="00F30EFE">
        <w:t>of stiripentol.</w:t>
      </w:r>
    </w:p>
    <w:p w14:paraId="0568CCEF" w14:textId="4724F274" w:rsidR="00FF7952" w:rsidRPr="00F30EFE" w:rsidRDefault="00FF7952" w:rsidP="005E47B1">
      <w:pPr>
        <w:pStyle w:val="ListBullet"/>
      </w:pPr>
      <w:r w:rsidRPr="00F30EFE">
        <w:t xml:space="preserve">The sponsor reports that </w:t>
      </w:r>
      <w:r w:rsidR="00271666" w:rsidRPr="00F30EFE">
        <w:rPr>
          <w:kern w:val="2"/>
        </w:rPr>
        <w:t>stiripentol</w:t>
      </w:r>
      <w:r w:rsidRPr="00F30EFE">
        <w:t xml:space="preserve"> is in </w:t>
      </w:r>
      <w:r w:rsidR="005E47B1" w:rsidRPr="00F30EFE">
        <w:t>Biopharmaceutical Classification System (</w:t>
      </w:r>
      <w:r w:rsidRPr="00F30EFE">
        <w:t>BCS</w:t>
      </w:r>
      <w:r w:rsidR="005E47B1" w:rsidRPr="00F30EFE">
        <w:t>)</w:t>
      </w:r>
      <w:r w:rsidRPr="00F30EFE">
        <w:t xml:space="preserve"> Class II (high permeability, low solubility)</w:t>
      </w:r>
      <w:r w:rsidR="005E47B1" w:rsidRPr="00F30EFE">
        <w:t>.</w:t>
      </w:r>
      <w:r w:rsidRPr="00F30EFE">
        <w:t xml:space="preserve"> Based on metabolic studies, the sponsor reports that it is likely that a very high percentage </w:t>
      </w:r>
      <w:r w:rsidR="00E15193" w:rsidRPr="00F30EFE">
        <w:t>(</w:t>
      </w:r>
      <w:r w:rsidR="00E15193">
        <w:t>approximately</w:t>
      </w:r>
      <w:r w:rsidR="00E15193" w:rsidRPr="00F30EFE">
        <w:t xml:space="preserve"> </w:t>
      </w:r>
      <w:r w:rsidRPr="00F30EFE">
        <w:t xml:space="preserve">90%) of an oral dose of </w:t>
      </w:r>
      <w:r w:rsidR="00271666" w:rsidRPr="00F30EFE">
        <w:rPr>
          <w:kern w:val="2"/>
        </w:rPr>
        <w:t>stiripentol</w:t>
      </w:r>
      <w:r w:rsidRPr="00F30EFE">
        <w:t xml:space="preserve"> is absorbed. The following solubility values were reported:</w:t>
      </w:r>
    </w:p>
    <w:p w14:paraId="208AAF4A" w14:textId="2816AA22" w:rsidR="00FF7952" w:rsidRPr="00F30EFE" w:rsidRDefault="00B738F3" w:rsidP="00271666">
      <w:pPr>
        <w:pStyle w:val="ListBullet2"/>
      </w:pPr>
      <w:r>
        <w:t>W</w:t>
      </w:r>
      <w:r w:rsidR="00E15193" w:rsidRPr="00F30EFE">
        <w:t xml:space="preserve">ater </w:t>
      </w:r>
      <w:r w:rsidR="00FF7952" w:rsidRPr="00F30EFE">
        <w:t>(pH 1 to 7.5): 0.045 mg/L (between 0.04 and 0.05)</w:t>
      </w:r>
      <w:r w:rsidR="005E47B1" w:rsidRPr="00F30EFE">
        <w:t>;</w:t>
      </w:r>
    </w:p>
    <w:p w14:paraId="037361C9" w14:textId="35E01FD0" w:rsidR="00FF7952" w:rsidRPr="00F30EFE" w:rsidRDefault="00FF7952" w:rsidP="00271666">
      <w:pPr>
        <w:pStyle w:val="ListBullet2"/>
      </w:pPr>
      <w:r w:rsidRPr="00F30EFE">
        <w:t>SGF (</w:t>
      </w:r>
      <w:r w:rsidR="00E15193">
        <w:t>s</w:t>
      </w:r>
      <w:r w:rsidR="00E15193" w:rsidRPr="00F30EFE">
        <w:t xml:space="preserve">imulated </w:t>
      </w:r>
      <w:r w:rsidRPr="00F30EFE">
        <w:t>gastric fluid) (pH = 1.1) = 0.0432 mg/mL</w:t>
      </w:r>
      <w:r w:rsidR="005E47B1" w:rsidRPr="00F30EFE">
        <w:t>;</w:t>
      </w:r>
    </w:p>
    <w:p w14:paraId="7C7AFC76" w14:textId="1EC22F93" w:rsidR="00FF7952" w:rsidRPr="00F30EFE" w:rsidRDefault="00FF7952" w:rsidP="00271666">
      <w:pPr>
        <w:pStyle w:val="ListBullet2"/>
      </w:pPr>
      <w:r w:rsidRPr="00F30EFE">
        <w:t>FeSSIF (</w:t>
      </w:r>
      <w:r w:rsidR="00E15193" w:rsidRPr="00F30EFE">
        <w:t>fed state simulated intestinal fluid</w:t>
      </w:r>
      <w:r w:rsidRPr="00F30EFE">
        <w:t>) (pH = 5.0) = 0.0811 mg/mL</w:t>
      </w:r>
      <w:r w:rsidR="005E47B1" w:rsidRPr="00F30EFE">
        <w:t>;</w:t>
      </w:r>
    </w:p>
    <w:p w14:paraId="15342DA9" w14:textId="047DF544" w:rsidR="00FF7952" w:rsidRPr="00F30EFE" w:rsidRDefault="00FF7952" w:rsidP="00271666">
      <w:pPr>
        <w:pStyle w:val="ListBullet2"/>
      </w:pPr>
      <w:r w:rsidRPr="00F30EFE">
        <w:lastRenderedPageBreak/>
        <w:t>FaSSIF (</w:t>
      </w:r>
      <w:r w:rsidR="00E15193" w:rsidRPr="00F30EFE">
        <w:t>fasted state simulated intestinal fluid</w:t>
      </w:r>
      <w:r w:rsidR="005E47B1" w:rsidRPr="00F30EFE">
        <w:t>) (pH = 6.5) = 0.2009 mg/mL.</w:t>
      </w:r>
    </w:p>
    <w:p w14:paraId="0DC86A5D" w14:textId="0DF8B398" w:rsidR="00FF7952" w:rsidRPr="00F30EFE" w:rsidRDefault="00FF7952" w:rsidP="00271666">
      <w:pPr>
        <w:pStyle w:val="ListBullet"/>
      </w:pPr>
      <w:r w:rsidRPr="00F30EFE">
        <w:t xml:space="preserve">The study by Levy </w:t>
      </w:r>
      <w:r w:rsidRPr="00F30EFE">
        <w:rPr>
          <w:i/>
        </w:rPr>
        <w:t>et al.</w:t>
      </w:r>
      <w:r w:rsidRPr="00F30EFE">
        <w:t xml:space="preserve"> (1983)</w:t>
      </w:r>
      <w:r w:rsidR="00E15193">
        <w:t>;</w:t>
      </w:r>
      <w:r w:rsidR="005E47B1" w:rsidRPr="00F30EFE">
        <w:fldChar w:fldCharType="begin"/>
      </w:r>
      <w:r w:rsidR="005E47B1" w:rsidRPr="00F30EFE">
        <w:instrText xml:space="preserve"> NOTEREF _Ref23165695 \f \h </w:instrText>
      </w:r>
      <w:r w:rsidR="005E47B1" w:rsidRPr="00F30EFE">
        <w:fldChar w:fldCharType="separate"/>
      </w:r>
      <w:r w:rsidR="00442FFF" w:rsidRPr="00F30EFE">
        <w:rPr>
          <w:rStyle w:val="FootnoteReference"/>
        </w:rPr>
        <w:t>5</w:t>
      </w:r>
      <w:r w:rsidR="005E47B1" w:rsidRPr="00F30EFE">
        <w:fldChar w:fldCharType="end"/>
      </w:r>
      <w:r w:rsidRPr="00F30EFE">
        <w:t xml:space="preserve"> determined the extent of plasma protein binding and blood-to-plasma ratio in human samples. Mean values of unbound fraction determined in spiked samples were 0.8</w:t>
      </w:r>
      <w:r w:rsidR="00EC45C7" w:rsidRPr="00F30EFE">
        <w:t xml:space="preserve"> </w:t>
      </w:r>
      <w:r w:rsidRPr="00F30EFE">
        <w:t>±</w:t>
      </w:r>
      <w:r w:rsidR="00EC45C7" w:rsidRPr="00F30EFE">
        <w:t xml:space="preserve"> </w:t>
      </w:r>
      <w:r w:rsidRPr="00F30EFE">
        <w:t>0.04% at 30 mg/L and 1.04</w:t>
      </w:r>
      <w:r w:rsidR="00EC45C7" w:rsidRPr="00F30EFE">
        <w:t xml:space="preserve"> </w:t>
      </w:r>
      <w:r w:rsidRPr="00F30EFE">
        <w:t>±</w:t>
      </w:r>
      <w:r w:rsidR="00EC45C7" w:rsidRPr="00F30EFE">
        <w:t xml:space="preserve"> </w:t>
      </w:r>
      <w:r w:rsidRPr="00F30EFE">
        <w:t>0.05% percent at 60 mg/L. The mean value of unbound fraction determined in samples from dosed subjects was 1.01</w:t>
      </w:r>
      <w:r w:rsidR="00EC45C7" w:rsidRPr="00F30EFE">
        <w:t xml:space="preserve"> </w:t>
      </w:r>
      <w:r w:rsidRPr="00F30EFE">
        <w:t>±</w:t>
      </w:r>
      <w:r w:rsidR="00EC45C7" w:rsidRPr="00F30EFE">
        <w:t xml:space="preserve"> </w:t>
      </w:r>
      <w:r w:rsidRPr="00F30EFE">
        <w:t xml:space="preserve">0.24%, while the </w:t>
      </w:r>
      <w:r w:rsidR="00EC45C7" w:rsidRPr="00F30EFE">
        <w:t>stiripentol</w:t>
      </w:r>
      <w:r w:rsidRPr="00F30EFE">
        <w:t xml:space="preserve"> concentration range w</w:t>
      </w:r>
      <w:r w:rsidR="00442FFF" w:rsidRPr="00F30EFE">
        <w:t xml:space="preserve">as 1.69 to 3.83 mg/L. The blood to </w:t>
      </w:r>
      <w:r w:rsidRPr="00F30EFE">
        <w:t>plasma ratio was determined for each subject</w:t>
      </w:r>
      <w:r w:rsidR="00442FFF" w:rsidRPr="00F30EFE">
        <w:t xml:space="preserve"> using samples drawn at 1 and 2 hours after dosing with the 1</w:t>
      </w:r>
      <w:r w:rsidRPr="00F30EFE">
        <w:t>200 mg dose. The mean value was 0.58</w:t>
      </w:r>
      <w:r w:rsidR="00EC45C7" w:rsidRPr="00F30EFE">
        <w:t xml:space="preserve"> </w:t>
      </w:r>
      <w:r w:rsidRPr="00F30EFE">
        <w:t>±</w:t>
      </w:r>
      <w:r w:rsidR="00EC45C7" w:rsidRPr="00F30EFE">
        <w:t xml:space="preserve"> 0.08 (that is,</w:t>
      </w:r>
      <w:r w:rsidRPr="00F30EFE">
        <w:t xml:space="preserve"> close to the haematocrit value). Based on the above results, it can be concluded that stiripentol is highly plasma bound (approximately 99%).</w:t>
      </w:r>
    </w:p>
    <w:p w14:paraId="5CA52D94" w14:textId="77777777" w:rsidR="00FF7952" w:rsidRPr="00F30EFE" w:rsidRDefault="00FF7952" w:rsidP="00271666">
      <w:pPr>
        <w:pStyle w:val="ListBullet"/>
      </w:pPr>
      <w:r w:rsidRPr="00F30EFE">
        <w:t>Absolute bioavailability of stiripentol was not determined, as no intravenous formula</w:t>
      </w:r>
      <w:r w:rsidR="00271666" w:rsidRPr="00F30EFE">
        <w:t>tion was available for testing.</w:t>
      </w:r>
    </w:p>
    <w:p w14:paraId="47D25EA8" w14:textId="77777777" w:rsidR="00FF7952" w:rsidRPr="00F30EFE" w:rsidRDefault="00FF7952" w:rsidP="00271666">
      <w:pPr>
        <w:pStyle w:val="ListBullet"/>
      </w:pPr>
      <w:r w:rsidRPr="00F30EFE">
        <w:t>The pivotal clinical trials used the same formulations as proposed in this application, namely the ca</w:t>
      </w:r>
      <w:r w:rsidR="00271666" w:rsidRPr="00F30EFE">
        <w:t>psule and sachet (powder) form.</w:t>
      </w:r>
    </w:p>
    <w:p w14:paraId="6C862F57" w14:textId="09C711BE" w:rsidR="00FF7952" w:rsidRPr="00F30EFE" w:rsidRDefault="00FF7952" w:rsidP="00271666">
      <w:pPr>
        <w:pStyle w:val="ListBullet"/>
      </w:pPr>
      <w:r w:rsidRPr="00F30EFE">
        <w:t>After a single dose administration, mean C</w:t>
      </w:r>
      <w:r w:rsidRPr="00F30EFE">
        <w:rPr>
          <w:vertAlign w:val="subscript"/>
        </w:rPr>
        <w:t>max</w:t>
      </w:r>
      <w:r w:rsidRPr="00F30EFE">
        <w:t xml:space="preserve"> of </w:t>
      </w:r>
      <w:r w:rsidR="00EC45C7" w:rsidRPr="00F30EFE">
        <w:t>stiripentol</w:t>
      </w:r>
      <w:r w:rsidRPr="00F30EFE">
        <w:t xml:space="preserve"> was 23% higher after the s</w:t>
      </w:r>
      <w:r w:rsidR="00EC45C7" w:rsidRPr="00F30EFE">
        <w:t xml:space="preserve">achet formulation (7.32 μg/mL) </w:t>
      </w:r>
      <w:r w:rsidRPr="00F30EFE">
        <w:t>compared to the capsule formulation (5.99 μg/mL), but the mean AUC</w:t>
      </w:r>
      <w:r w:rsidRPr="00F30EFE">
        <w:rPr>
          <w:vertAlign w:val="subscript"/>
        </w:rPr>
        <w:t>0-t</w:t>
      </w:r>
      <w:r w:rsidRPr="00F30EFE">
        <w:t>, AUC</w:t>
      </w:r>
      <w:r w:rsidRPr="00F30EFE">
        <w:rPr>
          <w:vertAlign w:val="subscript"/>
        </w:rPr>
        <w:t>0-∞</w:t>
      </w:r>
      <w:r w:rsidR="00EC45C7" w:rsidRPr="00F30EFE">
        <w:t xml:space="preserve">, and </w:t>
      </w:r>
      <w:r w:rsidR="00E15193">
        <w:t>T</w:t>
      </w:r>
      <w:r w:rsidRPr="00F30EFE">
        <w:rPr>
          <w:vertAlign w:val="subscript"/>
        </w:rPr>
        <w:t>max</w:t>
      </w:r>
      <w:r w:rsidRPr="00F30EFE">
        <w:t xml:space="preserve"> we</w:t>
      </w:r>
      <w:r w:rsidR="00EC45C7" w:rsidRPr="00F30EFE">
        <w:t>re not statistically different (STIVAL</w:t>
      </w:r>
      <w:r w:rsidR="00066C98">
        <w:t xml:space="preserve"> trial;</w:t>
      </w:r>
      <w:r w:rsidR="00442FFF" w:rsidRPr="00F30EFE">
        <w:t xml:space="preserve"> </w:t>
      </w:r>
      <w:r w:rsidR="00066C98">
        <w:t>Study </w:t>
      </w:r>
      <w:r w:rsidR="00EC45C7" w:rsidRPr="00F30EFE">
        <w:t>BC.481)</w:t>
      </w:r>
      <w:r w:rsidRPr="00F30EFE">
        <w:t>.</w:t>
      </w:r>
    </w:p>
    <w:p w14:paraId="72D3146A" w14:textId="49D20180" w:rsidR="00FF7952" w:rsidRPr="00F30EFE" w:rsidRDefault="00FF7952" w:rsidP="00271666">
      <w:pPr>
        <w:pStyle w:val="ListBullet"/>
      </w:pPr>
      <w:r w:rsidRPr="00F30EFE">
        <w:t>A prediction of C</w:t>
      </w:r>
      <w:r w:rsidRPr="00F30EFE">
        <w:rPr>
          <w:vertAlign w:val="subscript"/>
        </w:rPr>
        <w:t>max</w:t>
      </w:r>
      <w:r w:rsidR="00EC45C7" w:rsidRPr="00F30EFE">
        <w:t xml:space="preserve"> values at steady state (</w:t>
      </w:r>
      <w:r w:rsidRPr="00F30EFE">
        <w:t>STIVAL</w:t>
      </w:r>
      <w:r w:rsidR="00066C98">
        <w:t xml:space="preserve"> trial; Study</w:t>
      </w:r>
      <w:r w:rsidR="00EC45C7" w:rsidRPr="00F30EFE">
        <w:t>BC.481)</w:t>
      </w:r>
      <w:r w:rsidRPr="00F30EFE">
        <w:t>, showed that the single dose difference in C</w:t>
      </w:r>
      <w:r w:rsidRPr="00F30EFE">
        <w:rPr>
          <w:vertAlign w:val="subscript"/>
        </w:rPr>
        <w:t>max</w:t>
      </w:r>
      <w:r w:rsidRPr="00F30EFE">
        <w:t xml:space="preserve"> between sachet and capsule decreased when dosed more than once daily (16.3% difference with once daily dosing, 13.5% difference with twice daily dosing, and 12.3% difference</w:t>
      </w:r>
      <w:r w:rsidR="00271666" w:rsidRPr="00F30EFE">
        <w:t xml:space="preserve"> with three times daily dosing).</w:t>
      </w:r>
    </w:p>
    <w:p w14:paraId="26C3116F" w14:textId="77777777" w:rsidR="00FF7952" w:rsidRPr="00F30EFE" w:rsidRDefault="00FF7952" w:rsidP="00271666">
      <w:pPr>
        <w:pStyle w:val="ListBullet"/>
      </w:pPr>
      <w:r w:rsidRPr="00F30EFE">
        <w:t xml:space="preserve">The sponsor states that the effect of food on the bioavailability/main absorption parameters of </w:t>
      </w:r>
      <w:r w:rsidR="00CF499C" w:rsidRPr="00F30EFE">
        <w:rPr>
          <w:kern w:val="2"/>
        </w:rPr>
        <w:t>stiripentol</w:t>
      </w:r>
      <w:r w:rsidRPr="00F30EFE">
        <w:t xml:space="preserve"> has not been studied. However, the proposed PI c</w:t>
      </w:r>
      <w:r w:rsidR="00EC45C7" w:rsidRPr="00F30EFE">
        <w:t>ontains the following wording: ‘</w:t>
      </w:r>
      <w:r w:rsidRPr="00F30EFE">
        <w:t>The powder should be mixed in a glass of water and should be taken immediately after mixing during a meal. Stiripentol must always be taken with food due to rapid degradation following exposure to ga</w:t>
      </w:r>
      <w:r w:rsidR="00EC45C7" w:rsidRPr="00F30EFE">
        <w:t>stric acid in an empty stomach.’</w:t>
      </w:r>
    </w:p>
    <w:p w14:paraId="24808A98" w14:textId="77777777" w:rsidR="00B74FCB" w:rsidRPr="00F30EFE" w:rsidRDefault="00B74FCB" w:rsidP="00B74FCB">
      <w:pPr>
        <w:pStyle w:val="Heading6"/>
      </w:pPr>
      <w:r w:rsidRPr="00F30EFE">
        <w:t>Drug interactions</w:t>
      </w:r>
    </w:p>
    <w:p w14:paraId="7251B6B1" w14:textId="77777777" w:rsidR="00B74FCB" w:rsidRPr="00F30EFE" w:rsidRDefault="00B74FCB" w:rsidP="00B74FCB">
      <w:r w:rsidRPr="00F30EFE">
        <w:t>All studies relevant to this application have included clobazam and valproate, and subsequently the measured PK data of stiripentol in the target population (patients with Dravet syndrome) were always in relation to co-administration to these medicines.</w:t>
      </w:r>
    </w:p>
    <w:p w14:paraId="43DA9D76" w14:textId="77777777" w:rsidR="00B74FCB" w:rsidRPr="00F30EFE" w:rsidRDefault="00B74FCB" w:rsidP="00B74FCB">
      <w:pPr>
        <w:pStyle w:val="ListBullet"/>
      </w:pPr>
      <w:r w:rsidRPr="00F30EFE">
        <w:t>Levetiracetam (no CYP metabolism): no significant interaction based on the CYP system is expected. There is no actual study data, but a significant interaction is unlikely.</w:t>
      </w:r>
    </w:p>
    <w:p w14:paraId="34D786C5" w14:textId="77777777" w:rsidR="00B74FCB" w:rsidRPr="00F30EFE" w:rsidRDefault="00B74FCB" w:rsidP="00B74FCB">
      <w:pPr>
        <w:pStyle w:val="ListBullet"/>
      </w:pPr>
      <w:r w:rsidRPr="00F30EFE">
        <w:t xml:space="preserve">Phenobarbital (CYP2C9, 2C19, 2E1 substrate; CYP1A2, 2A6, 2B6, 2C8, 2C9, 3A4 inducer; CYP2A6 inhibitor; P-glycoprotein inducer/substrate): may decrease the serum concentration of </w:t>
      </w:r>
      <w:r w:rsidR="00EC45C7" w:rsidRPr="00F30EFE">
        <w:t>stiripentol</w:t>
      </w:r>
      <w:r w:rsidRPr="00F30EFE">
        <w:t xml:space="preserve">. </w:t>
      </w:r>
      <w:r w:rsidR="00EC45C7" w:rsidRPr="00F30EFE">
        <w:t>Stiripentol</w:t>
      </w:r>
      <w:r w:rsidRPr="00F30EFE">
        <w:t xml:space="preserve"> may increase the serum concentration of phenobarbital. Study data (literature) showed that phenobarbital clearance decreased in the presence of </w:t>
      </w:r>
      <w:r w:rsidR="00EC45C7" w:rsidRPr="00F30EFE">
        <w:t>stiripentol</w:t>
      </w:r>
      <w:r w:rsidRPr="00F30EFE">
        <w:t xml:space="preserve"> 2400 mg/day.</w:t>
      </w:r>
    </w:p>
    <w:p w14:paraId="4B59F14F" w14:textId="77777777" w:rsidR="00B74FCB" w:rsidRPr="00F30EFE" w:rsidRDefault="00B74FCB" w:rsidP="00B74FCB">
      <w:pPr>
        <w:pStyle w:val="ListBullet"/>
      </w:pPr>
      <w:r w:rsidRPr="00F30EFE">
        <w:t xml:space="preserve">Ethosuximide (CYP3A substrate): may increase the serum concentration of CYP3A4 substrates (such as </w:t>
      </w:r>
      <w:r w:rsidR="00EC45C7" w:rsidRPr="00F30EFE">
        <w:t>stiripentol</w:t>
      </w:r>
      <w:r w:rsidRPr="00F30EFE">
        <w:t>). There is no actual study data.</w:t>
      </w:r>
    </w:p>
    <w:p w14:paraId="548B30F3" w14:textId="50345B35" w:rsidR="00B74FCB" w:rsidRPr="00F30EFE" w:rsidRDefault="00B74FCB" w:rsidP="00B74FCB">
      <w:pPr>
        <w:pStyle w:val="ListBullet"/>
      </w:pPr>
      <w:r w:rsidRPr="00F30EFE">
        <w:t xml:space="preserve">Bromide: no significant interaction was observed in </w:t>
      </w:r>
      <w:r w:rsidR="00066C98">
        <w:t xml:space="preserve">Study </w:t>
      </w:r>
      <w:r w:rsidRPr="00F30EFE">
        <w:t>STP-1.</w:t>
      </w:r>
    </w:p>
    <w:p w14:paraId="7AE1BE87" w14:textId="77777777" w:rsidR="00B74FCB" w:rsidRPr="00F30EFE" w:rsidRDefault="00B74FCB" w:rsidP="00B74FCB">
      <w:r w:rsidRPr="00F30EFE">
        <w:t>In Dravet syndrome, the following interactions may exist for these drugs which are much less commonly used:</w:t>
      </w:r>
    </w:p>
    <w:p w14:paraId="41574298" w14:textId="77777777" w:rsidR="00B74FCB" w:rsidRPr="00F30EFE" w:rsidRDefault="00B74FCB" w:rsidP="00B74FCB">
      <w:pPr>
        <w:pStyle w:val="ListBullet"/>
      </w:pPr>
      <w:r w:rsidRPr="00F30EFE">
        <w:t>Carbamazepine (CYP3A substrate; CYP3A5 in</w:t>
      </w:r>
      <w:r w:rsidR="00EC45C7" w:rsidRPr="00F30EFE">
        <w:t>hibitor; CYP3A4, 3A5 inducer; P</w:t>
      </w:r>
      <w:r w:rsidR="00EC45C7" w:rsidRPr="00F30EFE">
        <w:noBreakHyphen/>
      </w:r>
      <w:r w:rsidRPr="00F30EFE">
        <w:t xml:space="preserve">glycoprotein inducer): </w:t>
      </w:r>
      <w:r w:rsidR="00EC45C7" w:rsidRPr="00F30EFE">
        <w:t>stiripentol</w:t>
      </w:r>
      <w:r w:rsidRPr="00F30EFE">
        <w:t xml:space="preserve"> may increase the serum concentration of carbamazepine. Study data (literature) showed that stiripentol reduced carbamazepine</w:t>
      </w:r>
      <w:r w:rsidR="00EC45C7" w:rsidRPr="00F30EFE">
        <w:t xml:space="preserve"> clearance by approximately 50%.</w:t>
      </w:r>
    </w:p>
    <w:p w14:paraId="4BA29D4E" w14:textId="77777777" w:rsidR="00B74FCB" w:rsidRPr="00F30EFE" w:rsidRDefault="00B74FCB" w:rsidP="00B74FCB">
      <w:pPr>
        <w:pStyle w:val="ListBullet"/>
      </w:pPr>
      <w:r w:rsidRPr="00F30EFE">
        <w:lastRenderedPageBreak/>
        <w:t xml:space="preserve">Phenytoin (CYP2C9, 2C19 substrate; CYP1A2, 3A4, 3A5 inducer; P-glycoprotein inducer): may decrease serum concentration of </w:t>
      </w:r>
      <w:r w:rsidR="00EC45C7" w:rsidRPr="00F30EFE">
        <w:t>stiripentol</w:t>
      </w:r>
      <w:r w:rsidRPr="00F30EFE">
        <w:t xml:space="preserve">. </w:t>
      </w:r>
      <w:r w:rsidR="00EC45C7" w:rsidRPr="00F30EFE">
        <w:t>Stiripentol</w:t>
      </w:r>
      <w:r w:rsidRPr="00F30EFE">
        <w:t xml:space="preserve"> may increase the serum concentration of phenytoin. Study data (literature) showed that stiripentol reduced phenytoin clearance.</w:t>
      </w:r>
    </w:p>
    <w:p w14:paraId="38799C3E" w14:textId="77777777" w:rsidR="00B74FCB" w:rsidRPr="00F30EFE" w:rsidRDefault="00B74FCB" w:rsidP="00B74FCB">
      <w:r w:rsidRPr="00F30EFE">
        <w:t xml:space="preserve">The clinical evaluator states that there appears to be no data on the potential interactions with the contraceptive pill contrary to the </w:t>
      </w:r>
      <w:r w:rsidR="00EC45C7" w:rsidRPr="00F30EFE">
        <w:t xml:space="preserve">relevant </w:t>
      </w:r>
      <w:r w:rsidRPr="00F30EFE">
        <w:t>EU guideline.</w:t>
      </w:r>
      <w:r w:rsidR="00EC45C7" w:rsidRPr="00F30EFE">
        <w:rPr>
          <w:rStyle w:val="FootnoteReference"/>
        </w:rPr>
        <w:footnoteReference w:id="13"/>
      </w:r>
      <w:r w:rsidRPr="00F30EFE">
        <w:t xml:space="preserve"> However, given the knowledge about CYP interactions, the following can be reasonably expected: CYP3A4 inhibitors, such a stiripentol, may increase the exposure of oestrogen or progestin containing contraceptives when used concomitantly. Oestrogen or progestin containing contraceptives may increase the exposure of CYP1A2 or CYP3A substrates, such a stiripentol. The clinical significance of these potential interactions is not known.</w:t>
      </w:r>
    </w:p>
    <w:p w14:paraId="2C6BC75F" w14:textId="77777777" w:rsidR="00D42757" w:rsidRPr="00F30EFE" w:rsidRDefault="00CF499C" w:rsidP="00CF499C">
      <w:pPr>
        <w:pStyle w:val="Heading4"/>
      </w:pPr>
      <w:r w:rsidRPr="00F30EFE">
        <w:t>Pharmacodynamics</w:t>
      </w:r>
    </w:p>
    <w:p w14:paraId="3DCC60FA" w14:textId="77777777" w:rsidR="00CF499C" w:rsidRPr="00F30EFE" w:rsidRDefault="00CF499C" w:rsidP="00CF499C">
      <w:pPr>
        <w:pStyle w:val="ListBullet"/>
      </w:pPr>
      <w:r w:rsidRPr="00F30EFE">
        <w:t>No clinical studies providing pharmacodynamic information were s</w:t>
      </w:r>
      <w:r w:rsidR="002E58D4" w:rsidRPr="00F30EFE">
        <w:t>ubmitted with this application.</w:t>
      </w:r>
    </w:p>
    <w:p w14:paraId="64B12C03" w14:textId="77777777" w:rsidR="00CF499C" w:rsidRPr="00F30EFE" w:rsidRDefault="00CF499C" w:rsidP="00CF499C">
      <w:pPr>
        <w:pStyle w:val="ListBullet"/>
      </w:pPr>
      <w:r w:rsidRPr="00F30EFE">
        <w:t>No definite data on the relationship between plasma concentration and effect is available.</w:t>
      </w:r>
    </w:p>
    <w:p w14:paraId="7BF25D15" w14:textId="77777777" w:rsidR="00CF499C" w:rsidRPr="00F30EFE" w:rsidRDefault="00CF499C" w:rsidP="00CF499C">
      <w:pPr>
        <w:pStyle w:val="ListBullet"/>
      </w:pPr>
      <w:r w:rsidRPr="00F30EFE">
        <w:t>Absence of clinical pharmacodynamic studies is acceptable given the provision of extensive efficacy and safety data.</w:t>
      </w:r>
    </w:p>
    <w:p w14:paraId="1BE9E159" w14:textId="77777777" w:rsidR="00CF499C" w:rsidRPr="00F30EFE" w:rsidRDefault="00CF499C" w:rsidP="00CF499C">
      <w:pPr>
        <w:pStyle w:val="Heading4"/>
      </w:pPr>
      <w:r w:rsidRPr="00F30EFE">
        <w:t>Dose finding studies</w:t>
      </w:r>
    </w:p>
    <w:p w14:paraId="7676CA67" w14:textId="77777777" w:rsidR="00CF499C" w:rsidRPr="00F30EFE" w:rsidRDefault="00CF499C" w:rsidP="00CF499C">
      <w:pPr>
        <w:pStyle w:val="ListBullet"/>
      </w:pPr>
      <w:r w:rsidRPr="00F30EFE">
        <w:t>No formal dose-finding study has been conducted with stiripent</w:t>
      </w:r>
      <w:r w:rsidR="006F5412" w:rsidRPr="00F30EFE">
        <w:t>ol in Dravet syndrome patients.</w:t>
      </w:r>
    </w:p>
    <w:p w14:paraId="463FBEAA" w14:textId="77777777" w:rsidR="00CF499C" w:rsidRPr="00F30EFE" w:rsidRDefault="00CF499C" w:rsidP="00CF499C">
      <w:pPr>
        <w:pStyle w:val="ListBullet"/>
      </w:pPr>
      <w:r w:rsidRPr="00F30EFE">
        <w:t>No pivotal study investigated more than one dose regimen.</w:t>
      </w:r>
    </w:p>
    <w:p w14:paraId="1682534E" w14:textId="77777777" w:rsidR="00CF499C" w:rsidRPr="00F30EFE" w:rsidRDefault="00CF499C" w:rsidP="00CF499C">
      <w:pPr>
        <w:pStyle w:val="Heading4"/>
      </w:pPr>
      <w:r w:rsidRPr="00F30EFE">
        <w:t>Efficacy</w:t>
      </w:r>
    </w:p>
    <w:p w14:paraId="20C29F1F" w14:textId="77777777" w:rsidR="00CF499C" w:rsidRPr="00F30EFE" w:rsidRDefault="00CF499C" w:rsidP="00CF499C">
      <w:r w:rsidRPr="00F30EFE">
        <w:t>Studies identified as providing evaluable efficacy data in the submission:</w:t>
      </w:r>
    </w:p>
    <w:p w14:paraId="655F1C2F" w14:textId="77777777" w:rsidR="00CF499C" w:rsidRPr="00F30EFE" w:rsidRDefault="00CF499C" w:rsidP="00CF499C">
      <w:pPr>
        <w:pStyle w:val="ListBullet"/>
      </w:pPr>
      <w:r w:rsidRPr="00F30EFE">
        <w:t xml:space="preserve">Two pivotal or main efficacy studies conducted in children with </w:t>
      </w:r>
      <w:r w:rsidR="006F5412" w:rsidRPr="00F30EFE">
        <w:rPr>
          <w:lang w:eastAsia="ja-JP"/>
        </w:rPr>
        <w:t>Dravet syndrome</w:t>
      </w:r>
      <w:r w:rsidRPr="00F30EFE">
        <w:t xml:space="preserve"> using stiripentol as add on therapy to valproate and clobazam treatment;</w:t>
      </w:r>
    </w:p>
    <w:p w14:paraId="0CC9328F" w14:textId="77777777" w:rsidR="00CF499C" w:rsidRPr="00F30EFE" w:rsidRDefault="00CF499C" w:rsidP="00CF499C">
      <w:pPr>
        <w:pStyle w:val="ListBullet"/>
      </w:pPr>
      <w:r w:rsidRPr="00F30EFE">
        <w:t>Five supportive efficacy studies involving children</w:t>
      </w:r>
      <w:r w:rsidR="006F5412" w:rsidRPr="00F30EFE">
        <w:t>.</w:t>
      </w:r>
    </w:p>
    <w:p w14:paraId="1DA5589D" w14:textId="097535F4" w:rsidR="00CF499C" w:rsidRPr="00F30EFE" w:rsidRDefault="00CF499C" w:rsidP="00CF499C">
      <w:pPr>
        <w:pStyle w:val="ListBullet"/>
        <w:numPr>
          <w:ilvl w:val="0"/>
          <w:numId w:val="0"/>
        </w:numPr>
      </w:pPr>
      <w:r w:rsidRPr="00F30EFE">
        <w:t xml:space="preserve">A number of patients in </w:t>
      </w:r>
      <w:r w:rsidR="00760FF8">
        <w:t>the</w:t>
      </w:r>
      <w:r w:rsidRPr="00F30EFE">
        <w:t xml:space="preserve"> clinical studies took part in more than one study. The patient disposition across those studies is shown in </w:t>
      </w:r>
      <w:r w:rsidRPr="00F30EFE">
        <w:fldChar w:fldCharType="begin"/>
      </w:r>
      <w:r w:rsidRPr="00F30EFE">
        <w:instrText xml:space="preserve"> REF _Ref22635657 \h </w:instrText>
      </w:r>
      <w:r w:rsidRPr="00F30EFE">
        <w:fldChar w:fldCharType="separate"/>
      </w:r>
      <w:r w:rsidR="006F5412" w:rsidRPr="00F30EFE">
        <w:t xml:space="preserve">Table </w:t>
      </w:r>
      <w:r w:rsidR="006F5412" w:rsidRPr="00F30EFE">
        <w:rPr>
          <w:noProof/>
        </w:rPr>
        <w:t>7</w:t>
      </w:r>
      <w:r w:rsidRPr="00F30EFE">
        <w:fldChar w:fldCharType="end"/>
      </w:r>
      <w:r w:rsidRPr="00F30EFE">
        <w:t>.</w:t>
      </w:r>
    </w:p>
    <w:p w14:paraId="6B454F81" w14:textId="77777777" w:rsidR="00CF499C" w:rsidRPr="00F30EFE" w:rsidRDefault="00CF499C" w:rsidP="00CF499C">
      <w:pPr>
        <w:pStyle w:val="TableTitle"/>
      </w:pPr>
      <w:bookmarkStart w:id="50" w:name="_Ref22635657"/>
      <w:r w:rsidRPr="00F30EFE">
        <w:lastRenderedPageBreak/>
        <w:t xml:space="preserve">Table </w:t>
      </w:r>
      <w:r w:rsidR="00C12465">
        <w:fldChar w:fldCharType="begin"/>
      </w:r>
      <w:r w:rsidR="00C12465">
        <w:instrText xml:space="preserve"> SEQ Table \* ARABIC </w:instrText>
      </w:r>
      <w:r w:rsidR="00C12465">
        <w:fldChar w:fldCharType="separate"/>
      </w:r>
      <w:r w:rsidR="007F6E47" w:rsidRPr="00F30EFE">
        <w:rPr>
          <w:noProof/>
        </w:rPr>
        <w:t>7</w:t>
      </w:r>
      <w:r w:rsidR="00C12465">
        <w:rPr>
          <w:noProof/>
        </w:rPr>
        <w:fldChar w:fldCharType="end"/>
      </w:r>
      <w:bookmarkEnd w:id="50"/>
      <w:r w:rsidRPr="00F30EFE">
        <w:t>: Patient disposition across stiripentol clinical studies</w:t>
      </w:r>
    </w:p>
    <w:p w14:paraId="5D080B36" w14:textId="77777777" w:rsidR="00CF499C" w:rsidRPr="00F30EFE" w:rsidRDefault="00CF499C" w:rsidP="00CF499C">
      <w:pPr>
        <w:pStyle w:val="ListBullet"/>
        <w:numPr>
          <w:ilvl w:val="0"/>
          <w:numId w:val="0"/>
        </w:numPr>
      </w:pPr>
      <w:r w:rsidRPr="00F30EFE">
        <w:rPr>
          <w:noProof/>
          <w:lang w:eastAsia="en-AU"/>
        </w:rPr>
        <w:drawing>
          <wp:inline distT="0" distB="0" distL="0" distR="0" wp14:anchorId="7A216B78" wp14:editId="6F24D4E0">
            <wp:extent cx="3103880" cy="2067090"/>
            <wp:effectExtent l="0" t="0" r="1270" b="9525"/>
            <wp:docPr id="28" name="Picture 28" descr="Patient disposition across stiripentol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4585" cy="2067560"/>
                    </a:xfrm>
                    <a:prstGeom prst="rect">
                      <a:avLst/>
                    </a:prstGeom>
                    <a:noFill/>
                    <a:ln>
                      <a:noFill/>
                    </a:ln>
                  </pic:spPr>
                </pic:pic>
              </a:graphicData>
            </a:graphic>
          </wp:inline>
        </w:drawing>
      </w:r>
    </w:p>
    <w:p w14:paraId="18A3007E" w14:textId="2AEBEE42" w:rsidR="00CF499C" w:rsidRPr="00F30EFE" w:rsidRDefault="00CD79AB" w:rsidP="00CD79AB">
      <w:pPr>
        <w:pStyle w:val="Heading5"/>
        <w:rPr>
          <w:lang w:eastAsia="ja-JP"/>
        </w:rPr>
      </w:pPr>
      <w:r w:rsidRPr="00F30EFE">
        <w:rPr>
          <w:lang w:eastAsia="ja-JP"/>
        </w:rPr>
        <w:t>Pivotal or main studies</w:t>
      </w:r>
      <w:r w:rsidR="002F5A84" w:rsidRPr="00F30EFE">
        <w:rPr>
          <w:lang w:eastAsia="ja-JP"/>
        </w:rPr>
        <w:t xml:space="preserve"> (</w:t>
      </w:r>
      <w:r w:rsidR="00066C98">
        <w:rPr>
          <w:lang w:eastAsia="ja-JP"/>
        </w:rPr>
        <w:t xml:space="preserve">STICLO trials: </w:t>
      </w:r>
      <w:r w:rsidR="002F5A84" w:rsidRPr="00F30EFE">
        <w:rPr>
          <w:lang w:eastAsia="ja-JP"/>
        </w:rPr>
        <w:t>STICLO France and STICLO Italy)</w:t>
      </w:r>
    </w:p>
    <w:p w14:paraId="4056AE80" w14:textId="77777777" w:rsidR="00CD79AB" w:rsidRPr="00F30EFE" w:rsidRDefault="00CD79AB" w:rsidP="00CD79AB">
      <w:r w:rsidRPr="00F30EFE">
        <w:t xml:space="preserve">Phase III, </w:t>
      </w:r>
      <w:r w:rsidR="00442FFF" w:rsidRPr="00F30EFE">
        <w:t xml:space="preserve">multicentre, randomised, double blind, parallel group, placebo </w:t>
      </w:r>
      <w:r w:rsidRPr="00F30EFE">
        <w:t>controlled, comparative superiority clinical trials in childr</w:t>
      </w:r>
      <w:r w:rsidR="006F5412" w:rsidRPr="00F30EFE">
        <w:t>en with Dravet syndrome (SMEI)</w:t>
      </w:r>
      <w:r w:rsidRPr="00F30EFE">
        <w:t xml:space="preserve"> evaluating the efficacy of stiripentol as add-on therapy to (already) optimised valproate and clobazam treatment.</w:t>
      </w:r>
    </w:p>
    <w:p w14:paraId="58713E56" w14:textId="77777777" w:rsidR="00CD79AB" w:rsidRPr="00F30EFE" w:rsidRDefault="00CD79AB" w:rsidP="00CD79AB">
      <w:r w:rsidRPr="00F30EFE">
        <w:t>The design of both studies is very similar with the protocol being essentially identical. Consequently, the two studies have been grouped together in this report.</w:t>
      </w:r>
    </w:p>
    <w:p w14:paraId="0B716148" w14:textId="77777777" w:rsidR="00CD79AB" w:rsidRPr="00F30EFE" w:rsidRDefault="00CD79AB" w:rsidP="00CD79AB">
      <w:r w:rsidRPr="00F30EFE">
        <w:t>The sponsor has provided a justification for pooling some results of the STICLO trials:</w:t>
      </w:r>
    </w:p>
    <w:p w14:paraId="17ADBA2F" w14:textId="77777777" w:rsidR="00CD79AB" w:rsidRPr="00F30EFE" w:rsidRDefault="00CD79AB" w:rsidP="00CD79AB">
      <w:pPr>
        <w:pStyle w:val="ListBullet"/>
      </w:pPr>
      <w:r w:rsidRPr="00F30EFE">
        <w:t>Similar subject population;</w:t>
      </w:r>
    </w:p>
    <w:p w14:paraId="7ECC6B4C" w14:textId="77777777" w:rsidR="00CD79AB" w:rsidRPr="00F30EFE" w:rsidRDefault="00CD79AB" w:rsidP="00CD79AB">
      <w:pPr>
        <w:pStyle w:val="ListBullet"/>
      </w:pPr>
      <w:r w:rsidRPr="00F30EFE">
        <w:t>Same design (including endpoint and dosage regimen);</w:t>
      </w:r>
    </w:p>
    <w:p w14:paraId="033D34BB" w14:textId="77777777" w:rsidR="00CD79AB" w:rsidRPr="00F30EFE" w:rsidRDefault="00CD79AB" w:rsidP="00CD79AB">
      <w:pPr>
        <w:pStyle w:val="ListBullet"/>
      </w:pPr>
      <w:r w:rsidRPr="00F30EFE">
        <w:t>Favourable statistical assessment of data pooling ability (based on demographic data and the primary endpoint).</w:t>
      </w:r>
    </w:p>
    <w:p w14:paraId="5E1C8F9F" w14:textId="77777777" w:rsidR="00EC757D" w:rsidRPr="00F30EFE" w:rsidRDefault="00EC757D" w:rsidP="00EC757D">
      <w:r w:rsidRPr="00F30EFE">
        <w:t>The clinical evaluator considered the justification for pooling results was acc</w:t>
      </w:r>
      <w:r w:rsidR="00394B0C" w:rsidRPr="00F30EFE">
        <w:t>eptable.</w:t>
      </w:r>
    </w:p>
    <w:p w14:paraId="08BEAE9E" w14:textId="724F4E5C" w:rsidR="00EC757D" w:rsidRPr="00F30EFE" w:rsidRDefault="00EC757D" w:rsidP="00EC757D">
      <w:r w:rsidRPr="00F30EFE">
        <w:t xml:space="preserve">The primary efficacy objective was to demonstrate the efficacy of stiripentol as add-on therapy in combination with clobazam and valproate in children with SMEI and whose seizures were severe and refractory (the STICLO Italy </w:t>
      </w:r>
      <w:r w:rsidR="00E0277A">
        <w:t xml:space="preserve">trial </w:t>
      </w:r>
      <w:r w:rsidRPr="00F30EFE">
        <w:t>protocol specified clonic seizures).</w:t>
      </w:r>
    </w:p>
    <w:p w14:paraId="163DA470" w14:textId="77777777" w:rsidR="00EC757D" w:rsidRPr="00F30EFE" w:rsidRDefault="00EC757D" w:rsidP="00EC757D">
      <w:r w:rsidRPr="00F30EFE">
        <w:t>The secondary outcome objectives were to:</w:t>
      </w:r>
    </w:p>
    <w:p w14:paraId="55DA29A3" w14:textId="77777777" w:rsidR="00EC757D" w:rsidRPr="00F30EFE" w:rsidRDefault="00EC757D" w:rsidP="00EC757D">
      <w:pPr>
        <w:pStyle w:val="ListBullet"/>
      </w:pPr>
      <w:r w:rsidRPr="00F30EFE">
        <w:t>Study the safety profile of this treatment; and</w:t>
      </w:r>
    </w:p>
    <w:p w14:paraId="2D7C40F6" w14:textId="77777777" w:rsidR="00EC757D" w:rsidRPr="00F30EFE" w:rsidRDefault="00EC757D" w:rsidP="00EC757D">
      <w:pPr>
        <w:pStyle w:val="ListBullet"/>
      </w:pPr>
      <w:r w:rsidRPr="00F30EFE">
        <w:t xml:space="preserve">Document steady state plasma concentrations of stiripentol as well as those of concomitant medications before and after treatment with </w:t>
      </w:r>
      <w:r w:rsidR="00F172AF" w:rsidRPr="00F30EFE">
        <w:t>stiripentol</w:t>
      </w:r>
      <w:r w:rsidRPr="00F30EFE">
        <w:t>.</w:t>
      </w:r>
    </w:p>
    <w:p w14:paraId="12D4E2AE" w14:textId="05BBAF95" w:rsidR="00B2268B" w:rsidRPr="00F30EFE" w:rsidRDefault="00B2268B" w:rsidP="00B2268B">
      <w:pPr>
        <w:pStyle w:val="FigureTitle"/>
      </w:pPr>
      <w:r w:rsidRPr="00F30EFE">
        <w:lastRenderedPageBreak/>
        <w:t xml:space="preserve">Figure </w:t>
      </w:r>
      <w:r w:rsidR="00C12465">
        <w:fldChar w:fldCharType="begin"/>
      </w:r>
      <w:r w:rsidR="00C12465">
        <w:instrText xml:space="preserve"> SEQ Figure \* ARABIC </w:instrText>
      </w:r>
      <w:r w:rsidR="00C12465">
        <w:fldChar w:fldCharType="separate"/>
      </w:r>
      <w:r w:rsidR="006E3315" w:rsidRPr="00F30EFE">
        <w:rPr>
          <w:noProof/>
        </w:rPr>
        <w:t>1</w:t>
      </w:r>
      <w:r w:rsidR="00C12465">
        <w:rPr>
          <w:noProof/>
        </w:rPr>
        <w:fldChar w:fldCharType="end"/>
      </w:r>
      <w:r w:rsidRPr="00F30EFE">
        <w:t xml:space="preserve">: Outline of the study design schema for both </w:t>
      </w:r>
      <w:r w:rsidR="00397EAE" w:rsidRPr="00F30EFE">
        <w:t>STICLO</w:t>
      </w:r>
      <w:r w:rsidRPr="00F30EFE">
        <w:t xml:space="preserve"> </w:t>
      </w:r>
      <w:r w:rsidR="00E0277A">
        <w:t>trials (</w:t>
      </w:r>
      <w:r w:rsidRPr="00F30EFE">
        <w:t>France</w:t>
      </w:r>
      <w:r w:rsidR="00E0277A">
        <w:t xml:space="preserve"> and</w:t>
      </w:r>
      <w:r w:rsidR="00B738F3">
        <w:t xml:space="preserve"> </w:t>
      </w:r>
      <w:r w:rsidRPr="00F30EFE">
        <w:t>Italy</w:t>
      </w:r>
      <w:r w:rsidR="00E0277A">
        <w:t>)</w:t>
      </w:r>
    </w:p>
    <w:p w14:paraId="0C08E15D" w14:textId="77777777" w:rsidR="00CD79AB" w:rsidRDefault="00B2268B" w:rsidP="00CD79AB">
      <w:pPr>
        <w:rPr>
          <w:lang w:eastAsia="ja-JP"/>
        </w:rPr>
      </w:pPr>
      <w:r w:rsidRPr="00F30EFE">
        <w:rPr>
          <w:noProof/>
          <w:lang w:eastAsia="en-AU"/>
        </w:rPr>
        <w:drawing>
          <wp:inline distT="0" distB="0" distL="0" distR="0" wp14:anchorId="73077FFF" wp14:editId="190DCD0D">
            <wp:extent cx="4648200" cy="2748280"/>
            <wp:effectExtent l="0" t="0" r="0" b="0"/>
            <wp:docPr id="5" name="Picture 5" descr="Outline of the study design schema for both Sticlo France/Italy. After a baseline period of 1 month, patients were randomised to receive placebo or stiripentol to their valproate and clobazam regimen during a double-blind period of 2 months. At the 2 month point (primary efficacy outcome) patients then received stiripentol in an open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9359" cy="2748965"/>
                    </a:xfrm>
                    <a:prstGeom prst="rect">
                      <a:avLst/>
                    </a:prstGeom>
                    <a:noFill/>
                    <a:ln>
                      <a:noFill/>
                    </a:ln>
                  </pic:spPr>
                </pic:pic>
              </a:graphicData>
            </a:graphic>
          </wp:inline>
        </w:drawing>
      </w:r>
    </w:p>
    <w:p w14:paraId="47C88187" w14:textId="24BA2D19" w:rsidR="005D0892" w:rsidRPr="00F30EFE" w:rsidRDefault="005D0892" w:rsidP="00B738F3">
      <w:pPr>
        <w:pStyle w:val="FigureDescription"/>
        <w:rPr>
          <w:lang w:eastAsia="ja-JP"/>
        </w:rPr>
      </w:pPr>
      <w:r>
        <w:rPr>
          <w:lang w:eastAsia="ja-JP"/>
        </w:rPr>
        <w:t>VPA = sodium valproate; CLB = clobazam</w:t>
      </w:r>
    </w:p>
    <w:p w14:paraId="4BBA7072" w14:textId="77777777" w:rsidR="00B2268B" w:rsidRPr="00F30EFE" w:rsidRDefault="00B2268B" w:rsidP="002F5A84">
      <w:pPr>
        <w:pStyle w:val="Heading6"/>
      </w:pPr>
      <w:r w:rsidRPr="00F30EFE">
        <w:t>Primary efficacy outcome</w:t>
      </w:r>
    </w:p>
    <w:p w14:paraId="4A78A014" w14:textId="77777777" w:rsidR="00B2268B" w:rsidRPr="00F30EFE" w:rsidRDefault="00B2268B" w:rsidP="002F5A84">
      <w:pPr>
        <w:pStyle w:val="Heading7"/>
      </w:pPr>
      <w:r w:rsidRPr="00F30EFE">
        <w:t>STICLO France</w:t>
      </w:r>
    </w:p>
    <w:p w14:paraId="10A1F0DE" w14:textId="77777777" w:rsidR="00B2268B" w:rsidRPr="00F30EFE" w:rsidRDefault="002F5A84" w:rsidP="002F5A84">
      <w:bookmarkStart w:id="51" w:name="_Toc490668296"/>
      <w:r w:rsidRPr="00F30EFE">
        <w:t xml:space="preserve">Responders are shown in </w:t>
      </w:r>
      <w:r w:rsidRPr="00F30EFE">
        <w:fldChar w:fldCharType="begin"/>
      </w:r>
      <w:r w:rsidRPr="00F30EFE">
        <w:instrText xml:space="preserve"> REF _Ref22887141 \h  \* MERGEFORMAT </w:instrText>
      </w:r>
      <w:r w:rsidRPr="00F30EFE">
        <w:fldChar w:fldCharType="separate"/>
      </w:r>
      <w:r w:rsidR="00397EAE" w:rsidRPr="00F30EFE">
        <w:t>Table 8</w:t>
      </w:r>
      <w:r w:rsidRPr="00F30EFE">
        <w:fldChar w:fldCharType="end"/>
      </w:r>
      <w:r w:rsidRPr="00F30EFE">
        <w:t>(i</w:t>
      </w:r>
      <w:r w:rsidR="00B2268B" w:rsidRPr="00F30EFE">
        <w:t>ntention-to-treat</w:t>
      </w:r>
      <w:bookmarkEnd w:id="51"/>
      <w:r w:rsidRPr="00F30EFE">
        <w:t xml:space="preserve"> analysis set) and </w:t>
      </w:r>
      <w:r w:rsidRPr="00F30EFE">
        <w:fldChar w:fldCharType="begin"/>
      </w:r>
      <w:r w:rsidRPr="00F30EFE">
        <w:instrText xml:space="preserve"> REF _Ref22887206 \h </w:instrText>
      </w:r>
      <w:r w:rsidRPr="00F30EFE">
        <w:fldChar w:fldCharType="separate"/>
      </w:r>
      <w:r w:rsidR="00397EAE" w:rsidRPr="00F30EFE">
        <w:t xml:space="preserve">Table </w:t>
      </w:r>
      <w:r w:rsidR="00397EAE" w:rsidRPr="00F30EFE">
        <w:rPr>
          <w:noProof/>
        </w:rPr>
        <w:t>9</w:t>
      </w:r>
      <w:r w:rsidRPr="00F30EFE">
        <w:fldChar w:fldCharType="end"/>
      </w:r>
      <w:r w:rsidRPr="00F30EFE">
        <w:t xml:space="preserve"> (per-protocol analysis set).</w:t>
      </w:r>
    </w:p>
    <w:p w14:paraId="2FA220B5" w14:textId="1560E629" w:rsidR="00B2268B" w:rsidRPr="00F30EFE" w:rsidRDefault="002F5A84" w:rsidP="002F5A84">
      <w:pPr>
        <w:pStyle w:val="TableTitle"/>
      </w:pPr>
      <w:bookmarkStart w:id="52" w:name="_Ref22887141"/>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8</w:t>
      </w:r>
      <w:r w:rsidR="00C12465">
        <w:rPr>
          <w:noProof/>
        </w:rPr>
        <w:fldChar w:fldCharType="end"/>
      </w:r>
      <w:bookmarkEnd w:id="52"/>
      <w:r w:rsidRPr="00F30EFE">
        <w:t xml:space="preserve">: STICLO </w:t>
      </w:r>
      <w:r w:rsidR="005D0892">
        <w:t xml:space="preserve">trial </w:t>
      </w:r>
      <w:r w:rsidRPr="00F30EFE">
        <w:t>France; Responders, intention-to-treat analysis set (n</w:t>
      </w:r>
      <w:r w:rsidR="005D72E3" w:rsidRPr="00F30EFE">
        <w:t xml:space="preserve"> </w:t>
      </w:r>
      <w:r w:rsidRPr="00F30EFE">
        <w:t>=</w:t>
      </w:r>
      <w:r w:rsidR="005D72E3" w:rsidRPr="00F30EFE">
        <w:t xml:space="preserve"> </w:t>
      </w:r>
      <w:r w:rsidRPr="00F30EFE">
        <w:t>41)</w:t>
      </w:r>
    </w:p>
    <w:p w14:paraId="79CD9219" w14:textId="77777777" w:rsidR="00B2268B" w:rsidRPr="00F30EFE" w:rsidRDefault="00B2268B" w:rsidP="002F5A84">
      <w:r w:rsidRPr="00F30EFE">
        <w:rPr>
          <w:noProof/>
          <w:lang w:eastAsia="en-AU"/>
        </w:rPr>
        <w:drawing>
          <wp:inline distT="0" distB="0" distL="0" distR="0" wp14:anchorId="2E6F0183" wp14:editId="7399D6DB">
            <wp:extent cx="4725619" cy="933939"/>
            <wp:effectExtent l="0" t="0" r="0" b="0"/>
            <wp:docPr id="12" name="Picture 12" descr="STICLO France; Responders, intention-to-treat analysis set (n =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6916" cy="946053"/>
                    </a:xfrm>
                    <a:prstGeom prst="rect">
                      <a:avLst/>
                    </a:prstGeom>
                    <a:noFill/>
                    <a:ln>
                      <a:noFill/>
                    </a:ln>
                  </pic:spPr>
                </pic:pic>
              </a:graphicData>
            </a:graphic>
          </wp:inline>
        </w:drawing>
      </w:r>
    </w:p>
    <w:p w14:paraId="5E6ABAD2" w14:textId="77777777" w:rsidR="00E84D5C" w:rsidRPr="00F30EFE" w:rsidRDefault="002F5A84" w:rsidP="002F5A84">
      <w:pPr>
        <w:pStyle w:val="TableDescription"/>
      </w:pPr>
      <w:r w:rsidRPr="00F30EFE">
        <w:t xml:space="preserve">The risk (treatment success) difference between treatment groups was 66.4% (95% CI: 44.8%, 88.4%) (Odds ratio </w:t>
      </w:r>
      <w:r w:rsidR="00E84D5C" w:rsidRPr="00F30EFE">
        <w:t>(</w:t>
      </w:r>
      <w:r w:rsidRPr="00F30EFE">
        <w:t>OR</w:t>
      </w:r>
      <w:r w:rsidR="00E84D5C" w:rsidRPr="00F30EFE">
        <w:t>)</w:t>
      </w:r>
      <w:r w:rsidRPr="00F30EFE">
        <w:t xml:space="preserve"> = 47.5) (P &lt; 0.00002).</w:t>
      </w:r>
    </w:p>
    <w:p w14:paraId="3F8E004D" w14:textId="2C3D8057" w:rsidR="00B2268B" w:rsidRPr="00F30EFE" w:rsidRDefault="002F5A84" w:rsidP="00E84D5C">
      <w:pPr>
        <w:pStyle w:val="TableTitle"/>
      </w:pPr>
      <w:bookmarkStart w:id="53" w:name="_Ref22887206"/>
      <w:r w:rsidRPr="00F30EFE">
        <w:t xml:space="preserve">Table </w:t>
      </w:r>
      <w:r w:rsidR="00C12465">
        <w:fldChar w:fldCharType="begin"/>
      </w:r>
      <w:r w:rsidR="00C12465">
        <w:instrText xml:space="preserve"> SEQ Tabl</w:instrText>
      </w:r>
      <w:r w:rsidR="00C12465">
        <w:instrText xml:space="preserve">e \* ARABIC </w:instrText>
      </w:r>
      <w:r w:rsidR="00C12465">
        <w:fldChar w:fldCharType="separate"/>
      </w:r>
      <w:r w:rsidR="007F6E47" w:rsidRPr="00F30EFE">
        <w:t>9</w:t>
      </w:r>
      <w:r w:rsidR="00C12465">
        <w:fldChar w:fldCharType="end"/>
      </w:r>
      <w:bookmarkEnd w:id="53"/>
      <w:r w:rsidRPr="00F30EFE">
        <w:t>: STICLO</w:t>
      </w:r>
      <w:r w:rsidR="001B654E">
        <w:t xml:space="preserve"> trial </w:t>
      </w:r>
      <w:r w:rsidRPr="00F30EFE">
        <w:t>France; Responders, p</w:t>
      </w:r>
      <w:r w:rsidR="00B2268B" w:rsidRPr="00F30EFE">
        <w:t>e</w:t>
      </w:r>
      <w:r w:rsidRPr="00F30EFE">
        <w:t xml:space="preserve">r-protocol </w:t>
      </w:r>
      <w:r w:rsidR="001B654E">
        <w:t>a</w:t>
      </w:r>
      <w:r w:rsidRPr="00F30EFE">
        <w:t>nal</w:t>
      </w:r>
      <w:r w:rsidR="00442FFF" w:rsidRPr="00F30EFE">
        <w:t xml:space="preserve">ysis </w:t>
      </w:r>
      <w:r w:rsidR="001B654E">
        <w:t>s</w:t>
      </w:r>
      <w:r w:rsidR="00442FFF" w:rsidRPr="00F30EFE">
        <w:t>et (n</w:t>
      </w:r>
      <w:r w:rsidR="005D72E3" w:rsidRPr="00F30EFE">
        <w:t xml:space="preserve"> </w:t>
      </w:r>
      <w:r w:rsidRPr="00F30EFE">
        <w:t>=</w:t>
      </w:r>
      <w:r w:rsidR="005D72E3" w:rsidRPr="00F30EFE">
        <w:t xml:space="preserve"> </w:t>
      </w:r>
      <w:r w:rsidRPr="00F30EFE">
        <w:t>16)</w:t>
      </w:r>
    </w:p>
    <w:p w14:paraId="45AE6709" w14:textId="77777777" w:rsidR="00E84D5C" w:rsidRPr="00F30EFE" w:rsidRDefault="00E84D5C" w:rsidP="00E84D5C">
      <w:pPr>
        <w:pStyle w:val="TableTitle"/>
        <w:keepNext w:val="0"/>
      </w:pPr>
      <w:r w:rsidRPr="00F30EFE">
        <w:rPr>
          <w:noProof/>
          <w:lang w:eastAsia="en-AU"/>
        </w:rPr>
        <w:drawing>
          <wp:inline distT="0" distB="0" distL="0" distR="0" wp14:anchorId="6FD47F59" wp14:editId="462679D6">
            <wp:extent cx="4462060" cy="2048256"/>
            <wp:effectExtent l="0" t="0" r="0" b="9525"/>
            <wp:docPr id="2" name="Picture 2" descr="STICLO France; Responders, per-protocol Analysis Set (N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3664" cy="2058173"/>
                    </a:xfrm>
                    <a:prstGeom prst="rect">
                      <a:avLst/>
                    </a:prstGeom>
                  </pic:spPr>
                </pic:pic>
              </a:graphicData>
            </a:graphic>
          </wp:inline>
        </w:drawing>
      </w:r>
    </w:p>
    <w:p w14:paraId="4EB38EAC" w14:textId="77777777" w:rsidR="002F5A84" w:rsidRPr="00F30EFE" w:rsidRDefault="002F5A84" w:rsidP="002F5A84">
      <w:pPr>
        <w:pStyle w:val="TableDescription"/>
      </w:pPr>
      <w:r w:rsidRPr="00F30EFE">
        <w:t xml:space="preserve">The risk (treatment success) difference between treatment groups was 68.7% </w:t>
      </w:r>
      <w:r w:rsidR="00E84D5C" w:rsidRPr="00F30EFE">
        <w:t>(</w:t>
      </w:r>
      <w:r w:rsidRPr="00F30EFE">
        <w:t>OR = 45.0).</w:t>
      </w:r>
    </w:p>
    <w:p w14:paraId="5975447C" w14:textId="77777777" w:rsidR="00B2268B" w:rsidRPr="00F30EFE" w:rsidRDefault="00B2268B" w:rsidP="00B2268B">
      <w:pPr>
        <w:rPr>
          <w:b/>
        </w:rPr>
      </w:pPr>
      <w:r w:rsidRPr="00F30EFE">
        <w:t>The above does not contain an analysis of the difference between the two groups.</w:t>
      </w:r>
    </w:p>
    <w:p w14:paraId="02D12763" w14:textId="77777777" w:rsidR="00B2268B" w:rsidRPr="00F30EFE" w:rsidRDefault="00B2268B" w:rsidP="005D2D5A">
      <w:pPr>
        <w:pStyle w:val="Heading7"/>
      </w:pPr>
      <w:r w:rsidRPr="00F30EFE">
        <w:lastRenderedPageBreak/>
        <w:t>STICLO Italy</w:t>
      </w:r>
    </w:p>
    <w:p w14:paraId="2CE0A861" w14:textId="77777777" w:rsidR="005D72E3" w:rsidRPr="00F30EFE" w:rsidRDefault="005D72E3" w:rsidP="005D72E3">
      <w:bookmarkStart w:id="54" w:name="_Toc490668298"/>
      <w:r w:rsidRPr="00F30EFE">
        <w:t>Responders are shown in (intention-to-treat analysis set) and (per-protocol analysis set).</w:t>
      </w:r>
    </w:p>
    <w:p w14:paraId="41A8598C" w14:textId="7515D62A" w:rsidR="00B2268B" w:rsidRPr="00F30EFE" w:rsidRDefault="005D72E3" w:rsidP="005D72E3">
      <w:pPr>
        <w:pStyle w:val="TableTitle"/>
      </w:pPr>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10</w:t>
      </w:r>
      <w:r w:rsidR="00C12465">
        <w:rPr>
          <w:noProof/>
        </w:rPr>
        <w:fldChar w:fldCharType="end"/>
      </w:r>
      <w:r w:rsidRPr="00F30EFE">
        <w:t xml:space="preserve">: STICLO </w:t>
      </w:r>
      <w:r w:rsidR="001B654E">
        <w:t xml:space="preserve">trial </w:t>
      </w:r>
      <w:r w:rsidRPr="00F30EFE">
        <w:t>Italy; Responder</w:t>
      </w:r>
      <w:r w:rsidR="00397EAE" w:rsidRPr="00F30EFE">
        <w:t>s</w:t>
      </w:r>
      <w:r w:rsidRPr="00F30EFE">
        <w:t>, intention-to-treat analysis s</w:t>
      </w:r>
      <w:r w:rsidR="00B2268B" w:rsidRPr="00F30EFE">
        <w:t>et (n</w:t>
      </w:r>
      <w:r w:rsidRPr="00F30EFE">
        <w:t xml:space="preserve"> </w:t>
      </w:r>
      <w:r w:rsidR="00B2268B" w:rsidRPr="00F30EFE">
        <w:t>=</w:t>
      </w:r>
      <w:r w:rsidRPr="00F30EFE">
        <w:t xml:space="preserve"> </w:t>
      </w:r>
      <w:r w:rsidR="00B2268B" w:rsidRPr="00F30EFE">
        <w:t>23)</w:t>
      </w:r>
      <w:bookmarkEnd w:id="54"/>
    </w:p>
    <w:p w14:paraId="72802533" w14:textId="77777777" w:rsidR="00B2268B" w:rsidRPr="00F30EFE" w:rsidRDefault="00B2268B" w:rsidP="00B2268B">
      <w:pPr>
        <w:jc w:val="center"/>
        <w:rPr>
          <w:noProof/>
          <w:lang w:eastAsia="en-AU"/>
        </w:rPr>
      </w:pPr>
      <w:r w:rsidRPr="00F30EFE">
        <w:rPr>
          <w:noProof/>
          <w:lang w:eastAsia="en-AU"/>
        </w:rPr>
        <w:drawing>
          <wp:inline distT="0" distB="0" distL="0" distR="0" wp14:anchorId="4D1CCE00" wp14:editId="6517A5DF">
            <wp:extent cx="4708661" cy="824546"/>
            <wp:effectExtent l="0" t="0" r="0" b="0"/>
            <wp:docPr id="9" name="Picture 9" descr="STICLO Italy; Responders, intention-to-treat analysis set (n =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822" cy="828952"/>
                    </a:xfrm>
                    <a:prstGeom prst="rect">
                      <a:avLst/>
                    </a:prstGeom>
                    <a:noFill/>
                    <a:ln>
                      <a:noFill/>
                    </a:ln>
                  </pic:spPr>
                </pic:pic>
              </a:graphicData>
            </a:graphic>
          </wp:inline>
        </w:drawing>
      </w:r>
    </w:p>
    <w:p w14:paraId="39201176" w14:textId="77777777" w:rsidR="005D72E3" w:rsidRPr="00F30EFE" w:rsidRDefault="005D72E3" w:rsidP="00E84D5C">
      <w:pPr>
        <w:pStyle w:val="TableDescription"/>
        <w:rPr>
          <w:noProof/>
          <w:lang w:eastAsia="en-AU"/>
        </w:rPr>
      </w:pPr>
      <w:r w:rsidRPr="00F30EFE">
        <w:rPr>
          <w:noProof/>
          <w:lang w:eastAsia="en-AU"/>
        </w:rPr>
        <w:t>The risk (treatment success) difference betw</w:t>
      </w:r>
      <w:r w:rsidR="00E84D5C" w:rsidRPr="00F30EFE">
        <w:rPr>
          <w:noProof/>
          <w:lang w:eastAsia="en-AU"/>
        </w:rPr>
        <w:t>een treatment groups was 57.6%;</w:t>
      </w:r>
      <w:r w:rsidRPr="00F30EFE">
        <w:rPr>
          <w:noProof/>
          <w:lang w:eastAsia="en-AU"/>
        </w:rPr>
        <w:t xml:space="preserve"> OR = 20.00 (P = 0.009).</w:t>
      </w:r>
    </w:p>
    <w:p w14:paraId="1E4AA021" w14:textId="064EF774" w:rsidR="00B2268B" w:rsidRPr="00F30EFE" w:rsidRDefault="005D72E3" w:rsidP="005D72E3">
      <w:pPr>
        <w:pStyle w:val="TableTitle"/>
      </w:pPr>
      <w:bookmarkStart w:id="55" w:name="_Toc490668299"/>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11</w:t>
      </w:r>
      <w:r w:rsidR="00C12465">
        <w:rPr>
          <w:noProof/>
        </w:rPr>
        <w:fldChar w:fldCharType="end"/>
      </w:r>
      <w:r w:rsidRPr="00F30EFE">
        <w:t>: STICLO</w:t>
      </w:r>
      <w:r w:rsidR="001B654E">
        <w:t xml:space="preserve"> trial</w:t>
      </w:r>
      <w:r w:rsidRPr="00F30EFE">
        <w:t xml:space="preserve"> Italy; Responders, p</w:t>
      </w:r>
      <w:r w:rsidR="00B2268B" w:rsidRPr="00F30EFE">
        <w:t xml:space="preserve">er-protocol </w:t>
      </w:r>
      <w:r w:rsidR="001B654E">
        <w:t>a</w:t>
      </w:r>
      <w:r w:rsidR="00B2268B" w:rsidRPr="00F30EFE">
        <w:t xml:space="preserve">nalysis </w:t>
      </w:r>
      <w:r w:rsidR="001B654E">
        <w:t>s</w:t>
      </w:r>
      <w:r w:rsidR="00B2268B" w:rsidRPr="00F30EFE">
        <w:t>et (n</w:t>
      </w:r>
      <w:r w:rsidRPr="00F30EFE">
        <w:t xml:space="preserve"> </w:t>
      </w:r>
      <w:r w:rsidR="00B2268B" w:rsidRPr="00F30EFE">
        <w:t>=</w:t>
      </w:r>
      <w:r w:rsidRPr="00F30EFE">
        <w:t xml:space="preserve"> </w:t>
      </w:r>
      <w:r w:rsidR="00B2268B" w:rsidRPr="00F30EFE">
        <w:t>20)</w:t>
      </w:r>
      <w:bookmarkEnd w:id="55"/>
    </w:p>
    <w:p w14:paraId="2FEDD7AC" w14:textId="77777777" w:rsidR="00B2268B" w:rsidRPr="00F30EFE" w:rsidRDefault="00B2268B" w:rsidP="005D2D5A">
      <w:pPr>
        <w:rPr>
          <w:noProof/>
          <w:lang w:eastAsia="en-AU"/>
        </w:rPr>
      </w:pPr>
      <w:r w:rsidRPr="00F30EFE">
        <w:rPr>
          <w:noProof/>
          <w:lang w:eastAsia="en-AU"/>
        </w:rPr>
        <w:drawing>
          <wp:inline distT="0" distB="0" distL="0" distR="0" wp14:anchorId="57434DFA" wp14:editId="4C135439">
            <wp:extent cx="4864100" cy="740915"/>
            <wp:effectExtent l="0" t="0" r="0" b="2540"/>
            <wp:docPr id="21" name="Picture 21" descr="STICLO Italy; Responders, per-protocol analysis set (n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5288" cy="747189"/>
                    </a:xfrm>
                    <a:prstGeom prst="rect">
                      <a:avLst/>
                    </a:prstGeom>
                    <a:noFill/>
                    <a:ln>
                      <a:noFill/>
                    </a:ln>
                  </pic:spPr>
                </pic:pic>
              </a:graphicData>
            </a:graphic>
          </wp:inline>
        </w:drawing>
      </w:r>
    </w:p>
    <w:p w14:paraId="5277B87A" w14:textId="77777777" w:rsidR="00B2268B" w:rsidRPr="00F30EFE" w:rsidRDefault="00B2268B" w:rsidP="005D2D5A">
      <w:pPr>
        <w:pStyle w:val="TableDescription"/>
      </w:pPr>
      <w:r w:rsidRPr="00F30EFE">
        <w:t>The risk (treatment success) difference between treatm</w:t>
      </w:r>
      <w:r w:rsidR="00E84D5C" w:rsidRPr="00F30EFE">
        <w:t xml:space="preserve">ent groups was 61.6%; </w:t>
      </w:r>
      <w:r w:rsidRPr="00F30EFE">
        <w:t>OR</w:t>
      </w:r>
      <w:r w:rsidR="005D2D5A" w:rsidRPr="00F30EFE">
        <w:t xml:space="preserve"> </w:t>
      </w:r>
      <w:r w:rsidRPr="00F30EFE">
        <w:t>=</w:t>
      </w:r>
      <w:r w:rsidR="005D2D5A" w:rsidRPr="00F30EFE">
        <w:t xml:space="preserve"> </w:t>
      </w:r>
      <w:r w:rsidRPr="00F30EFE">
        <w:t>21.33 (p</w:t>
      </w:r>
      <w:r w:rsidR="005D2D5A" w:rsidRPr="00F30EFE">
        <w:t> </w:t>
      </w:r>
      <w:r w:rsidR="005D72E3" w:rsidRPr="00F30EFE">
        <w:rPr>
          <w:rFonts w:cs="Cambria Math"/>
        </w:rPr>
        <w:t>≌</w:t>
      </w:r>
      <w:r w:rsidR="005D2D5A" w:rsidRPr="00F30EFE">
        <w:rPr>
          <w:rFonts w:cs="Cambria Math"/>
        </w:rPr>
        <w:t> </w:t>
      </w:r>
      <w:r w:rsidRPr="00F30EFE">
        <w:t>0.01).</w:t>
      </w:r>
    </w:p>
    <w:p w14:paraId="55ECF5BD" w14:textId="2A9B3337" w:rsidR="00B2268B" w:rsidRPr="00F30EFE" w:rsidRDefault="00B2268B" w:rsidP="005D2D5A">
      <w:pPr>
        <w:pStyle w:val="Heading7"/>
      </w:pPr>
      <w:r w:rsidRPr="00F30EFE">
        <w:t xml:space="preserve">Pooled STICLO </w:t>
      </w:r>
      <w:r w:rsidR="001B654E">
        <w:t xml:space="preserve">trial </w:t>
      </w:r>
      <w:r w:rsidRPr="00F30EFE">
        <w:t>France/STICLO</w:t>
      </w:r>
      <w:r w:rsidR="001B654E">
        <w:t xml:space="preserve"> trial</w:t>
      </w:r>
      <w:r w:rsidRPr="00F30EFE">
        <w:t xml:space="preserve"> Italy</w:t>
      </w:r>
    </w:p>
    <w:p w14:paraId="7E9C3031" w14:textId="77777777" w:rsidR="00B2268B" w:rsidRPr="00F30EFE" w:rsidRDefault="00B2268B" w:rsidP="005D2D5A">
      <w:pPr>
        <w:rPr>
          <w:b/>
        </w:rPr>
      </w:pPr>
      <w:r w:rsidRPr="00F30EFE">
        <w:t>Responders</w:t>
      </w:r>
      <w:r w:rsidR="005D2D5A" w:rsidRPr="00F30EFE">
        <w:t xml:space="preserve"> are shown in </w:t>
      </w:r>
      <w:r w:rsidR="00186497" w:rsidRPr="00F30EFE">
        <w:fldChar w:fldCharType="begin"/>
      </w:r>
      <w:r w:rsidR="00186497" w:rsidRPr="00F30EFE">
        <w:instrText xml:space="preserve"> REF _Ref23146737 \h </w:instrText>
      </w:r>
      <w:r w:rsidR="00186497" w:rsidRPr="00F30EFE">
        <w:fldChar w:fldCharType="separate"/>
      </w:r>
      <w:r w:rsidR="00397EAE" w:rsidRPr="00F30EFE">
        <w:t xml:space="preserve">Table </w:t>
      </w:r>
      <w:r w:rsidR="00397EAE" w:rsidRPr="00F30EFE">
        <w:rPr>
          <w:noProof/>
        </w:rPr>
        <w:t>12</w:t>
      </w:r>
      <w:r w:rsidR="00186497" w:rsidRPr="00F30EFE">
        <w:fldChar w:fldCharType="end"/>
      </w:r>
      <w:r w:rsidR="00F10B3D" w:rsidRPr="00F30EFE">
        <w:t>, odds ratios are shown in</w:t>
      </w:r>
      <w:r w:rsidR="00186497" w:rsidRPr="00F30EFE">
        <w:t xml:space="preserve"> </w:t>
      </w:r>
      <w:r w:rsidR="00186497" w:rsidRPr="00F30EFE">
        <w:fldChar w:fldCharType="begin"/>
      </w:r>
      <w:r w:rsidR="00186497" w:rsidRPr="00F30EFE">
        <w:instrText xml:space="preserve"> REF _Ref23146743 \h </w:instrText>
      </w:r>
      <w:r w:rsidR="00186497" w:rsidRPr="00F30EFE">
        <w:fldChar w:fldCharType="separate"/>
      </w:r>
      <w:r w:rsidR="00397EAE" w:rsidRPr="00F30EFE">
        <w:t xml:space="preserve">Table </w:t>
      </w:r>
      <w:r w:rsidR="00397EAE" w:rsidRPr="00F30EFE">
        <w:rPr>
          <w:noProof/>
        </w:rPr>
        <w:t>13</w:t>
      </w:r>
      <w:r w:rsidR="00186497" w:rsidRPr="00F30EFE">
        <w:fldChar w:fldCharType="end"/>
      </w:r>
      <w:r w:rsidR="00186497" w:rsidRPr="00F30EFE">
        <w:t>.</w:t>
      </w:r>
    </w:p>
    <w:p w14:paraId="48F1D484" w14:textId="2900ED1E" w:rsidR="00B2268B" w:rsidRPr="00F30EFE" w:rsidRDefault="00F10B3D" w:rsidP="00F10B3D">
      <w:pPr>
        <w:pStyle w:val="TableTitle"/>
      </w:pPr>
      <w:bookmarkStart w:id="56" w:name="_Ref23146737"/>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12</w:t>
      </w:r>
      <w:r w:rsidR="00C12465">
        <w:rPr>
          <w:noProof/>
        </w:rPr>
        <w:fldChar w:fldCharType="end"/>
      </w:r>
      <w:bookmarkEnd w:id="56"/>
      <w:r w:rsidRPr="00F30EFE">
        <w:t xml:space="preserve">: </w:t>
      </w:r>
      <w:r w:rsidR="00F805BC" w:rsidRPr="00F30EFE">
        <w:t xml:space="preserve">Pooled STICLO </w:t>
      </w:r>
      <w:r w:rsidR="001B654E">
        <w:t xml:space="preserve">trial </w:t>
      </w:r>
      <w:r w:rsidR="00F805BC" w:rsidRPr="00F30EFE">
        <w:t>France/STICLO</w:t>
      </w:r>
      <w:r w:rsidR="001B654E">
        <w:t xml:space="preserve"> trial</w:t>
      </w:r>
      <w:r w:rsidR="00F805BC" w:rsidRPr="00F30EFE">
        <w:t xml:space="preserve"> Italy; Responders, </w:t>
      </w:r>
      <w:r w:rsidRPr="00F30EFE">
        <w:t>i</w:t>
      </w:r>
      <w:r w:rsidR="00B2268B" w:rsidRPr="00F30EFE">
        <w:t>ntenti</w:t>
      </w:r>
      <w:r w:rsidRPr="00F30EFE">
        <w:t>on-to-treat analysis s</w:t>
      </w:r>
      <w:r w:rsidR="005D2D5A" w:rsidRPr="00F30EFE">
        <w:t>et (n</w:t>
      </w:r>
      <w:r w:rsidRPr="00F30EFE">
        <w:t xml:space="preserve"> </w:t>
      </w:r>
      <w:r w:rsidR="005D2D5A" w:rsidRPr="00F30EFE">
        <w:t>=</w:t>
      </w:r>
      <w:r w:rsidRPr="00F30EFE">
        <w:t xml:space="preserve"> </w:t>
      </w:r>
      <w:r w:rsidR="005D2D5A" w:rsidRPr="00F30EFE">
        <w:t>64)</w:t>
      </w:r>
    </w:p>
    <w:p w14:paraId="0072AA97" w14:textId="77777777" w:rsidR="00B2268B" w:rsidRPr="00F30EFE" w:rsidRDefault="00B2268B" w:rsidP="00B2268B">
      <w:pPr>
        <w:jc w:val="center"/>
      </w:pPr>
      <w:r w:rsidRPr="00F30EFE">
        <w:rPr>
          <w:noProof/>
          <w:color w:val="FF0000"/>
          <w:lang w:eastAsia="en-AU"/>
        </w:rPr>
        <w:drawing>
          <wp:inline distT="0" distB="0" distL="0" distR="0" wp14:anchorId="1C92F7D5" wp14:editId="4D3A7A26">
            <wp:extent cx="4883739" cy="2291080"/>
            <wp:effectExtent l="0" t="0" r="0" b="0"/>
            <wp:docPr id="13" name="Picture 13" descr="Table 11: Pooled STICLO France/STICLO Italy; Responders, intention-to-treat analysis set (n =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3739" cy="2291080"/>
                    </a:xfrm>
                    <a:prstGeom prst="rect">
                      <a:avLst/>
                    </a:prstGeom>
                    <a:noFill/>
                    <a:ln>
                      <a:noFill/>
                    </a:ln>
                  </pic:spPr>
                </pic:pic>
              </a:graphicData>
            </a:graphic>
          </wp:inline>
        </w:drawing>
      </w:r>
    </w:p>
    <w:p w14:paraId="4A072624" w14:textId="77777777" w:rsidR="00B2268B" w:rsidRPr="00F30EFE" w:rsidRDefault="00B2268B" w:rsidP="00F10B3D">
      <w:pPr>
        <w:pStyle w:val="TableDescription"/>
      </w:pPr>
      <w:r w:rsidRPr="00F30EFE">
        <w:t>The risk (treatment success) difference between pooled treatment groups was 63.2% (P</w:t>
      </w:r>
      <w:r w:rsidR="00F10B3D" w:rsidRPr="00F30EFE">
        <w:t> </w:t>
      </w:r>
      <w:r w:rsidRPr="00F30EFE">
        <w:t>&lt;</w:t>
      </w:r>
      <w:r w:rsidR="00F10B3D" w:rsidRPr="00F30EFE">
        <w:t> </w:t>
      </w:r>
      <w:r w:rsidRPr="00F30EFE">
        <w:t>0.0001). 69.7% of subjects in the stiripentol g</w:t>
      </w:r>
      <w:r w:rsidR="00F10B3D" w:rsidRPr="00F30EFE">
        <w:t>roup qualified as responders versus</w:t>
      </w:r>
      <w:r w:rsidRPr="00F30EFE">
        <w:t xml:space="preserve"> 6.5% in the placebo group</w:t>
      </w:r>
      <w:r w:rsidR="00F10B3D" w:rsidRPr="00F30EFE">
        <w:t>.</w:t>
      </w:r>
    </w:p>
    <w:p w14:paraId="0F4F1144" w14:textId="0F0A92E6" w:rsidR="00B2268B" w:rsidRPr="00F30EFE" w:rsidRDefault="00F10B3D" w:rsidP="00F10B3D">
      <w:pPr>
        <w:pStyle w:val="TableTitle"/>
      </w:pPr>
      <w:bookmarkStart w:id="57" w:name="_Ref23146743"/>
      <w:bookmarkStart w:id="58" w:name="_Toc490668301"/>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13</w:t>
      </w:r>
      <w:r w:rsidR="00C12465">
        <w:rPr>
          <w:noProof/>
        </w:rPr>
        <w:fldChar w:fldCharType="end"/>
      </w:r>
      <w:bookmarkEnd w:id="57"/>
      <w:r w:rsidRPr="00F30EFE">
        <w:t xml:space="preserve">: </w:t>
      </w:r>
      <w:r w:rsidR="00B2268B" w:rsidRPr="00F30EFE">
        <w:t>Odds ratios, (not</w:t>
      </w:r>
      <w:r w:rsidRPr="00F30EFE">
        <w:t xml:space="preserve"> adjusted for covariates) for p</w:t>
      </w:r>
      <w:r w:rsidR="00B2268B" w:rsidRPr="00F30EFE">
        <w:t xml:space="preserve">ooled treatment </w:t>
      </w:r>
      <w:bookmarkEnd w:id="58"/>
      <w:r w:rsidRPr="00F30EFE">
        <w:t>response</w:t>
      </w:r>
    </w:p>
    <w:tbl>
      <w:tblPr>
        <w:tblStyle w:val="TableTGAblue"/>
        <w:tblW w:w="4858" w:type="pct"/>
        <w:tblLook w:val="04A0" w:firstRow="1" w:lastRow="0" w:firstColumn="1" w:lastColumn="0" w:noHBand="0" w:noVBand="1"/>
      </w:tblPr>
      <w:tblGrid>
        <w:gridCol w:w="882"/>
        <w:gridCol w:w="1493"/>
        <w:gridCol w:w="1820"/>
        <w:gridCol w:w="1725"/>
        <w:gridCol w:w="2552"/>
      </w:tblGrid>
      <w:tr w:rsidR="001B654E" w:rsidRPr="00F30EFE" w14:paraId="75392ABB" w14:textId="77777777" w:rsidTr="001B654E">
        <w:trPr>
          <w:cnfStyle w:val="100000000000" w:firstRow="1" w:lastRow="0" w:firstColumn="0" w:lastColumn="0" w:oddVBand="0" w:evenVBand="0" w:oddHBand="0" w:evenHBand="0" w:firstRowFirstColumn="0" w:firstRowLastColumn="0" w:lastRowFirstColumn="0" w:lastRowLastColumn="0"/>
          <w:trHeight w:val="1022"/>
        </w:trPr>
        <w:tc>
          <w:tcPr>
            <w:tcW w:w="521" w:type="pct"/>
          </w:tcPr>
          <w:p w14:paraId="67562901" w14:textId="77777777" w:rsidR="00B2268B" w:rsidRPr="00F30EFE" w:rsidRDefault="00B2268B" w:rsidP="00397EAE">
            <w:pPr>
              <w:ind w:left="0" w:right="0"/>
              <w:rPr>
                <w:sz w:val="20"/>
                <w:szCs w:val="20"/>
              </w:rPr>
            </w:pPr>
          </w:p>
        </w:tc>
        <w:tc>
          <w:tcPr>
            <w:tcW w:w="881" w:type="pct"/>
          </w:tcPr>
          <w:p w14:paraId="6F6FFA41" w14:textId="77777777" w:rsidR="00B2268B" w:rsidRPr="00F30EFE" w:rsidRDefault="00B2268B" w:rsidP="00397EAE">
            <w:pPr>
              <w:ind w:left="0" w:right="0"/>
              <w:rPr>
                <w:sz w:val="20"/>
                <w:szCs w:val="20"/>
              </w:rPr>
            </w:pPr>
            <w:r w:rsidRPr="00F30EFE">
              <w:rPr>
                <w:sz w:val="20"/>
                <w:szCs w:val="20"/>
              </w:rPr>
              <w:t>Odds ratio (reported by sponsor)</w:t>
            </w:r>
          </w:p>
        </w:tc>
        <w:tc>
          <w:tcPr>
            <w:tcW w:w="1074" w:type="pct"/>
          </w:tcPr>
          <w:p w14:paraId="35E08939" w14:textId="0AC78215" w:rsidR="00B2268B" w:rsidRPr="00F30EFE" w:rsidRDefault="00B2268B" w:rsidP="00397EAE">
            <w:pPr>
              <w:ind w:left="0" w:right="0"/>
              <w:rPr>
                <w:sz w:val="20"/>
                <w:szCs w:val="20"/>
              </w:rPr>
            </w:pPr>
            <w:r w:rsidRPr="00F30EFE">
              <w:rPr>
                <w:sz w:val="20"/>
                <w:szCs w:val="20"/>
              </w:rPr>
              <w:t>Odds ratio (ITT</w:t>
            </w:r>
            <w:r w:rsidR="001B654E">
              <w:rPr>
                <w:sz w:val="20"/>
                <w:szCs w:val="20"/>
              </w:rPr>
              <w:t> </w:t>
            </w:r>
            <w:r w:rsidRPr="00F30EFE">
              <w:rPr>
                <w:sz w:val="20"/>
                <w:szCs w:val="20"/>
              </w:rPr>
              <w:t>population)</w:t>
            </w:r>
          </w:p>
        </w:tc>
        <w:tc>
          <w:tcPr>
            <w:tcW w:w="1018" w:type="pct"/>
          </w:tcPr>
          <w:p w14:paraId="01FD220F" w14:textId="5DAB6B46" w:rsidR="00B2268B" w:rsidRPr="00F30EFE" w:rsidRDefault="00B2268B" w:rsidP="00397EAE">
            <w:pPr>
              <w:ind w:left="0" w:right="0"/>
              <w:rPr>
                <w:sz w:val="20"/>
                <w:szCs w:val="20"/>
              </w:rPr>
            </w:pPr>
            <w:r w:rsidRPr="00F30EFE">
              <w:rPr>
                <w:sz w:val="20"/>
                <w:szCs w:val="20"/>
              </w:rPr>
              <w:t>Odds ratio (PP</w:t>
            </w:r>
            <w:r w:rsidR="001B654E">
              <w:rPr>
                <w:sz w:val="20"/>
                <w:szCs w:val="20"/>
              </w:rPr>
              <w:t> </w:t>
            </w:r>
            <w:r w:rsidRPr="00F30EFE">
              <w:rPr>
                <w:sz w:val="20"/>
                <w:szCs w:val="20"/>
              </w:rPr>
              <w:t>population)</w:t>
            </w:r>
          </w:p>
        </w:tc>
        <w:tc>
          <w:tcPr>
            <w:tcW w:w="1506" w:type="pct"/>
          </w:tcPr>
          <w:p w14:paraId="67103E76" w14:textId="77777777" w:rsidR="00B2268B" w:rsidRPr="00F30EFE" w:rsidRDefault="00397EAE" w:rsidP="00397EAE">
            <w:pPr>
              <w:ind w:left="0" w:right="0"/>
              <w:rPr>
                <w:sz w:val="20"/>
                <w:szCs w:val="20"/>
              </w:rPr>
            </w:pPr>
            <w:r w:rsidRPr="00F30EFE">
              <w:rPr>
                <w:sz w:val="20"/>
                <w:szCs w:val="20"/>
              </w:rPr>
              <w:t>Clinical evaluator</w:t>
            </w:r>
            <w:r w:rsidR="00B2268B" w:rsidRPr="00F30EFE">
              <w:rPr>
                <w:sz w:val="20"/>
                <w:szCs w:val="20"/>
              </w:rPr>
              <w:t>s comment</w:t>
            </w:r>
          </w:p>
        </w:tc>
      </w:tr>
      <w:tr w:rsidR="001B654E" w:rsidRPr="00F30EFE" w14:paraId="75D790E4" w14:textId="77777777" w:rsidTr="001B654E">
        <w:trPr>
          <w:trHeight w:val="677"/>
        </w:trPr>
        <w:tc>
          <w:tcPr>
            <w:tcW w:w="521" w:type="pct"/>
          </w:tcPr>
          <w:p w14:paraId="2D292E10" w14:textId="2395635A" w:rsidR="00B2268B" w:rsidRPr="00F30EFE" w:rsidRDefault="00B2268B" w:rsidP="00397EAE">
            <w:pPr>
              <w:ind w:left="0" w:right="0"/>
              <w:rPr>
                <w:b/>
                <w:sz w:val="20"/>
                <w:szCs w:val="20"/>
              </w:rPr>
            </w:pPr>
            <w:r w:rsidRPr="00F30EFE">
              <w:rPr>
                <w:b/>
                <w:sz w:val="20"/>
                <w:szCs w:val="20"/>
              </w:rPr>
              <w:t>Pooled STICLO</w:t>
            </w:r>
            <w:r w:rsidR="001B654E">
              <w:rPr>
                <w:b/>
                <w:sz w:val="20"/>
                <w:szCs w:val="20"/>
              </w:rPr>
              <w:t xml:space="preserve"> trials</w:t>
            </w:r>
          </w:p>
        </w:tc>
        <w:tc>
          <w:tcPr>
            <w:tcW w:w="881" w:type="pct"/>
          </w:tcPr>
          <w:p w14:paraId="1FD8E578" w14:textId="77777777" w:rsidR="00B2268B" w:rsidRPr="00F30EFE" w:rsidRDefault="00B2268B" w:rsidP="00397EAE">
            <w:pPr>
              <w:ind w:left="0" w:right="0"/>
              <w:rPr>
                <w:sz w:val="20"/>
                <w:szCs w:val="20"/>
              </w:rPr>
            </w:pPr>
            <w:r w:rsidRPr="00F30EFE">
              <w:rPr>
                <w:sz w:val="20"/>
                <w:szCs w:val="20"/>
              </w:rPr>
              <w:t>34.50</w:t>
            </w:r>
          </w:p>
        </w:tc>
        <w:tc>
          <w:tcPr>
            <w:tcW w:w="1074" w:type="pct"/>
          </w:tcPr>
          <w:p w14:paraId="5EE7F546" w14:textId="77777777" w:rsidR="00B2268B" w:rsidRPr="00F30EFE" w:rsidRDefault="00B2268B" w:rsidP="00397EAE">
            <w:pPr>
              <w:ind w:left="0" w:right="0"/>
              <w:rPr>
                <w:sz w:val="20"/>
                <w:szCs w:val="20"/>
              </w:rPr>
            </w:pPr>
            <w:r w:rsidRPr="00F30EFE">
              <w:rPr>
                <w:sz w:val="20"/>
                <w:szCs w:val="20"/>
              </w:rPr>
              <w:t>33.35</w:t>
            </w:r>
          </w:p>
        </w:tc>
        <w:tc>
          <w:tcPr>
            <w:tcW w:w="1018" w:type="pct"/>
          </w:tcPr>
          <w:p w14:paraId="03B95F9E" w14:textId="77777777" w:rsidR="00B2268B" w:rsidRPr="00F30EFE" w:rsidRDefault="00B2268B" w:rsidP="00397EAE">
            <w:pPr>
              <w:ind w:left="0" w:right="0"/>
              <w:rPr>
                <w:sz w:val="20"/>
                <w:szCs w:val="20"/>
              </w:rPr>
            </w:pPr>
            <w:r w:rsidRPr="00F30EFE">
              <w:rPr>
                <w:sz w:val="20"/>
                <w:szCs w:val="20"/>
              </w:rPr>
              <w:t>33.06</w:t>
            </w:r>
          </w:p>
        </w:tc>
        <w:tc>
          <w:tcPr>
            <w:tcW w:w="1506" w:type="pct"/>
          </w:tcPr>
          <w:p w14:paraId="03F55557" w14:textId="77777777" w:rsidR="00B2268B" w:rsidRPr="00F30EFE" w:rsidRDefault="00B2268B" w:rsidP="00397EAE">
            <w:pPr>
              <w:ind w:left="0" w:right="0"/>
              <w:rPr>
                <w:sz w:val="20"/>
                <w:szCs w:val="20"/>
              </w:rPr>
            </w:pPr>
          </w:p>
        </w:tc>
      </w:tr>
      <w:tr w:rsidR="001B654E" w:rsidRPr="00F30EFE" w14:paraId="2A391BDA" w14:textId="77777777" w:rsidTr="001B654E">
        <w:trPr>
          <w:trHeight w:val="1218"/>
        </w:trPr>
        <w:tc>
          <w:tcPr>
            <w:tcW w:w="521" w:type="pct"/>
          </w:tcPr>
          <w:p w14:paraId="69DE740F" w14:textId="35114A2A" w:rsidR="00B2268B" w:rsidRPr="00F30EFE" w:rsidRDefault="00B2268B" w:rsidP="00397EAE">
            <w:pPr>
              <w:ind w:left="0" w:right="0"/>
              <w:rPr>
                <w:b/>
                <w:sz w:val="20"/>
                <w:szCs w:val="20"/>
              </w:rPr>
            </w:pPr>
            <w:r w:rsidRPr="00F30EFE">
              <w:rPr>
                <w:b/>
                <w:sz w:val="20"/>
                <w:szCs w:val="20"/>
              </w:rPr>
              <w:lastRenderedPageBreak/>
              <w:t xml:space="preserve">STICLO </w:t>
            </w:r>
            <w:r w:rsidR="001B654E">
              <w:rPr>
                <w:b/>
                <w:sz w:val="20"/>
                <w:szCs w:val="20"/>
              </w:rPr>
              <w:t xml:space="preserve">trial </w:t>
            </w:r>
            <w:r w:rsidRPr="00F30EFE">
              <w:rPr>
                <w:b/>
                <w:sz w:val="20"/>
                <w:szCs w:val="20"/>
              </w:rPr>
              <w:t>France</w:t>
            </w:r>
          </w:p>
        </w:tc>
        <w:tc>
          <w:tcPr>
            <w:tcW w:w="881" w:type="pct"/>
          </w:tcPr>
          <w:p w14:paraId="16175FC2" w14:textId="77777777" w:rsidR="00B2268B" w:rsidRPr="00F30EFE" w:rsidRDefault="00B2268B" w:rsidP="00397EAE">
            <w:pPr>
              <w:ind w:left="0" w:right="0"/>
              <w:rPr>
                <w:sz w:val="20"/>
                <w:szCs w:val="20"/>
              </w:rPr>
            </w:pPr>
            <w:r w:rsidRPr="00F30EFE">
              <w:rPr>
                <w:sz w:val="20"/>
                <w:szCs w:val="20"/>
              </w:rPr>
              <w:t>47.50</w:t>
            </w:r>
          </w:p>
        </w:tc>
        <w:tc>
          <w:tcPr>
            <w:tcW w:w="1074" w:type="pct"/>
          </w:tcPr>
          <w:p w14:paraId="19C15611" w14:textId="77777777" w:rsidR="00B2268B" w:rsidRPr="00F30EFE" w:rsidRDefault="00B2268B" w:rsidP="00397EAE">
            <w:pPr>
              <w:ind w:left="0" w:right="0"/>
              <w:rPr>
                <w:sz w:val="20"/>
                <w:szCs w:val="20"/>
              </w:rPr>
            </w:pPr>
            <w:r w:rsidRPr="00F30EFE">
              <w:rPr>
                <w:sz w:val="20"/>
                <w:szCs w:val="20"/>
              </w:rPr>
              <w:t>47.50*</w:t>
            </w:r>
          </w:p>
        </w:tc>
        <w:tc>
          <w:tcPr>
            <w:tcW w:w="1018" w:type="pct"/>
          </w:tcPr>
          <w:p w14:paraId="290F93AF" w14:textId="77777777" w:rsidR="00B2268B" w:rsidRPr="00F30EFE" w:rsidRDefault="00B2268B" w:rsidP="00397EAE">
            <w:pPr>
              <w:ind w:left="0" w:right="0"/>
              <w:rPr>
                <w:sz w:val="20"/>
                <w:szCs w:val="20"/>
              </w:rPr>
            </w:pPr>
            <w:r w:rsidRPr="00F30EFE">
              <w:rPr>
                <w:sz w:val="20"/>
                <w:szCs w:val="20"/>
              </w:rPr>
              <w:t>45.00</w:t>
            </w:r>
          </w:p>
        </w:tc>
        <w:tc>
          <w:tcPr>
            <w:tcW w:w="1506" w:type="pct"/>
          </w:tcPr>
          <w:p w14:paraId="55A15B51" w14:textId="77777777" w:rsidR="00B2268B" w:rsidRPr="00F30EFE" w:rsidRDefault="00B2268B" w:rsidP="00397EAE">
            <w:pPr>
              <w:ind w:left="0" w:right="0"/>
              <w:rPr>
                <w:sz w:val="20"/>
                <w:szCs w:val="20"/>
              </w:rPr>
            </w:pPr>
            <w:r w:rsidRPr="00F30EFE">
              <w:rPr>
                <w:sz w:val="20"/>
                <w:szCs w:val="20"/>
              </w:rPr>
              <w:t xml:space="preserve">The sponsor appeared to have used the </w:t>
            </w:r>
            <w:r w:rsidR="00397EAE" w:rsidRPr="00F30EFE">
              <w:rPr>
                <w:sz w:val="20"/>
                <w:szCs w:val="20"/>
              </w:rPr>
              <w:t>intention to treat (</w:t>
            </w:r>
            <w:r w:rsidRPr="00F30EFE">
              <w:rPr>
                <w:sz w:val="20"/>
                <w:szCs w:val="20"/>
              </w:rPr>
              <w:t>ITT</w:t>
            </w:r>
            <w:r w:rsidR="00397EAE" w:rsidRPr="00F30EFE">
              <w:rPr>
                <w:sz w:val="20"/>
                <w:szCs w:val="20"/>
              </w:rPr>
              <w:t>)</w:t>
            </w:r>
            <w:r w:rsidRPr="00F30EFE">
              <w:rPr>
                <w:sz w:val="20"/>
                <w:szCs w:val="20"/>
              </w:rPr>
              <w:t xml:space="preserve"> population for the pooled odds ratio calculation.</w:t>
            </w:r>
          </w:p>
        </w:tc>
      </w:tr>
      <w:tr w:rsidR="001B654E" w:rsidRPr="00F30EFE" w14:paraId="38D8EB4B" w14:textId="77777777" w:rsidTr="001B654E">
        <w:trPr>
          <w:trHeight w:val="1229"/>
        </w:trPr>
        <w:tc>
          <w:tcPr>
            <w:tcW w:w="521" w:type="pct"/>
          </w:tcPr>
          <w:p w14:paraId="6BEE4379" w14:textId="7356F842" w:rsidR="00B2268B" w:rsidRPr="00F30EFE" w:rsidRDefault="00B2268B" w:rsidP="00397EAE">
            <w:pPr>
              <w:ind w:left="0" w:right="0"/>
              <w:rPr>
                <w:b/>
                <w:sz w:val="20"/>
                <w:szCs w:val="20"/>
              </w:rPr>
            </w:pPr>
            <w:r w:rsidRPr="00F30EFE">
              <w:rPr>
                <w:b/>
                <w:sz w:val="20"/>
                <w:szCs w:val="20"/>
              </w:rPr>
              <w:t xml:space="preserve">STICLO </w:t>
            </w:r>
            <w:r w:rsidR="001B654E">
              <w:rPr>
                <w:b/>
                <w:sz w:val="20"/>
                <w:szCs w:val="20"/>
              </w:rPr>
              <w:t xml:space="preserve">trial </w:t>
            </w:r>
            <w:r w:rsidRPr="00F30EFE">
              <w:rPr>
                <w:b/>
                <w:sz w:val="20"/>
                <w:szCs w:val="20"/>
              </w:rPr>
              <w:t>Italy</w:t>
            </w:r>
          </w:p>
        </w:tc>
        <w:tc>
          <w:tcPr>
            <w:tcW w:w="881" w:type="pct"/>
          </w:tcPr>
          <w:p w14:paraId="2E9F6B86" w14:textId="77777777" w:rsidR="00B2268B" w:rsidRPr="00F30EFE" w:rsidRDefault="00B2268B" w:rsidP="00397EAE">
            <w:pPr>
              <w:ind w:left="0" w:right="0"/>
              <w:rPr>
                <w:sz w:val="20"/>
                <w:szCs w:val="20"/>
              </w:rPr>
            </w:pPr>
            <w:r w:rsidRPr="00F30EFE">
              <w:rPr>
                <w:sz w:val="20"/>
                <w:szCs w:val="20"/>
              </w:rPr>
              <w:t>21.33</w:t>
            </w:r>
          </w:p>
        </w:tc>
        <w:tc>
          <w:tcPr>
            <w:tcW w:w="1074" w:type="pct"/>
          </w:tcPr>
          <w:p w14:paraId="34ECC32E" w14:textId="77777777" w:rsidR="00B2268B" w:rsidRPr="00F30EFE" w:rsidRDefault="00B2268B" w:rsidP="00397EAE">
            <w:pPr>
              <w:ind w:left="0" w:right="0"/>
              <w:rPr>
                <w:sz w:val="20"/>
                <w:szCs w:val="20"/>
              </w:rPr>
            </w:pPr>
            <w:r w:rsidRPr="00F30EFE">
              <w:rPr>
                <w:sz w:val="20"/>
                <w:szCs w:val="20"/>
              </w:rPr>
              <w:t>20.00</w:t>
            </w:r>
          </w:p>
        </w:tc>
        <w:tc>
          <w:tcPr>
            <w:tcW w:w="1018" w:type="pct"/>
          </w:tcPr>
          <w:p w14:paraId="7A088AD5" w14:textId="77777777" w:rsidR="00B2268B" w:rsidRPr="00F30EFE" w:rsidRDefault="00B2268B" w:rsidP="00397EAE">
            <w:pPr>
              <w:ind w:left="0" w:right="0"/>
              <w:rPr>
                <w:sz w:val="20"/>
                <w:szCs w:val="20"/>
              </w:rPr>
            </w:pPr>
            <w:r w:rsidRPr="00F30EFE">
              <w:rPr>
                <w:sz w:val="20"/>
                <w:szCs w:val="20"/>
              </w:rPr>
              <w:t>21.33*</w:t>
            </w:r>
          </w:p>
        </w:tc>
        <w:tc>
          <w:tcPr>
            <w:tcW w:w="1506" w:type="pct"/>
          </w:tcPr>
          <w:p w14:paraId="34C30664" w14:textId="77777777" w:rsidR="00B2268B" w:rsidRPr="00F30EFE" w:rsidRDefault="00B2268B" w:rsidP="00397EAE">
            <w:pPr>
              <w:ind w:left="0" w:right="0"/>
              <w:rPr>
                <w:sz w:val="20"/>
                <w:szCs w:val="20"/>
              </w:rPr>
            </w:pPr>
            <w:r w:rsidRPr="00F30EFE">
              <w:rPr>
                <w:sz w:val="20"/>
                <w:szCs w:val="20"/>
              </w:rPr>
              <w:t xml:space="preserve">The sponsor appeared to have used the </w:t>
            </w:r>
            <w:r w:rsidR="00397EAE" w:rsidRPr="00F30EFE">
              <w:rPr>
                <w:sz w:val="20"/>
                <w:szCs w:val="20"/>
              </w:rPr>
              <w:t>per protocol (</w:t>
            </w:r>
            <w:r w:rsidRPr="00F30EFE">
              <w:rPr>
                <w:sz w:val="20"/>
                <w:szCs w:val="20"/>
              </w:rPr>
              <w:t>PP</w:t>
            </w:r>
            <w:r w:rsidR="00397EAE" w:rsidRPr="00F30EFE">
              <w:rPr>
                <w:sz w:val="20"/>
                <w:szCs w:val="20"/>
              </w:rPr>
              <w:t>)</w:t>
            </w:r>
            <w:r w:rsidRPr="00F30EFE">
              <w:rPr>
                <w:sz w:val="20"/>
                <w:szCs w:val="20"/>
              </w:rPr>
              <w:t xml:space="preserve"> population for the pooled odds ratio calculation.</w:t>
            </w:r>
          </w:p>
        </w:tc>
      </w:tr>
      <w:tr w:rsidR="00B2268B" w:rsidRPr="00F30EFE" w14:paraId="20103DF0" w14:textId="77777777" w:rsidTr="00B738F3">
        <w:trPr>
          <w:trHeight w:val="402"/>
        </w:trPr>
        <w:tc>
          <w:tcPr>
            <w:tcW w:w="5000" w:type="pct"/>
            <w:gridSpan w:val="5"/>
          </w:tcPr>
          <w:p w14:paraId="74C7623A" w14:textId="77777777" w:rsidR="00B2268B" w:rsidRPr="00F30EFE" w:rsidRDefault="00B2268B" w:rsidP="00397EAE">
            <w:pPr>
              <w:ind w:left="0" w:right="0"/>
              <w:rPr>
                <w:sz w:val="20"/>
                <w:szCs w:val="20"/>
              </w:rPr>
            </w:pPr>
            <w:r w:rsidRPr="00F30EFE">
              <w:rPr>
                <w:sz w:val="20"/>
                <w:szCs w:val="20"/>
              </w:rPr>
              <w:t>*odds ratio matches the odds ratio reported by the sponsor</w:t>
            </w:r>
          </w:p>
        </w:tc>
      </w:tr>
    </w:tbl>
    <w:p w14:paraId="2A24E533" w14:textId="77777777" w:rsidR="00B2268B" w:rsidRPr="00F30EFE" w:rsidRDefault="00B2268B" w:rsidP="00186497">
      <w:r w:rsidRPr="00F30EFE">
        <w:t xml:space="preserve">Additional </w:t>
      </w:r>
      <w:r w:rsidRPr="00B738F3">
        <w:rPr>
          <w:i/>
        </w:rPr>
        <w:t>post hoc</w:t>
      </w:r>
      <w:r w:rsidR="00397EAE" w:rsidRPr="00F30EFE">
        <w:t xml:space="preserve"> covariate adjusted analysis</w:t>
      </w:r>
      <w:r w:rsidRPr="00F30EFE">
        <w:t>:</w:t>
      </w:r>
    </w:p>
    <w:p w14:paraId="6479942A" w14:textId="77777777" w:rsidR="00B2268B" w:rsidRPr="00F30EFE" w:rsidRDefault="00397EAE" w:rsidP="00186497">
      <w:pPr>
        <w:pStyle w:val="ListBullet"/>
      </w:pPr>
      <w:r w:rsidRPr="00F30EFE">
        <w:t>A</w:t>
      </w:r>
      <w:r w:rsidR="00B2268B" w:rsidRPr="00F30EFE">
        <w:t>ssessed a possible efficacy effect of increased plasma c</w:t>
      </w:r>
      <w:r w:rsidRPr="00F30EFE">
        <w:t>oncentrations of clobazam</w:t>
      </w:r>
      <w:r w:rsidR="00B2268B" w:rsidRPr="00F30EFE">
        <w:t>, or its activ</w:t>
      </w:r>
      <w:r w:rsidRPr="00F30EFE">
        <w:t>e metabolite, norclobazam</w:t>
      </w:r>
      <w:r w:rsidR="00B2268B" w:rsidRPr="00F30EFE">
        <w:t>, due to th</w:t>
      </w:r>
      <w:r w:rsidRPr="00F30EFE">
        <w:t>e presence of stiripentol.</w:t>
      </w:r>
    </w:p>
    <w:p w14:paraId="273609C4" w14:textId="77777777" w:rsidR="00B2268B" w:rsidRPr="00F30EFE" w:rsidRDefault="00397EAE" w:rsidP="00186497">
      <w:pPr>
        <w:pStyle w:val="ListBullet"/>
      </w:pPr>
      <w:r w:rsidRPr="00F30EFE">
        <w:t>U</w:t>
      </w:r>
      <w:r w:rsidR="00B2268B" w:rsidRPr="00F30EFE">
        <w:t>sed a logistic model with treatment response as the dependent variable and, treatment group (</w:t>
      </w:r>
      <w:r w:rsidRPr="00F30EFE">
        <w:t>stiripentol</w:t>
      </w:r>
      <w:r w:rsidR="00B2268B" w:rsidRPr="00F30EFE">
        <w:t xml:space="preserve"> or placeb</w:t>
      </w:r>
      <w:r w:rsidR="00186497" w:rsidRPr="00F30EFE">
        <w:t>o) as the independent variable.</w:t>
      </w:r>
    </w:p>
    <w:p w14:paraId="5F217D5E" w14:textId="77777777" w:rsidR="00B2268B" w:rsidRPr="00F30EFE" w:rsidRDefault="00397EAE" w:rsidP="00186497">
      <w:pPr>
        <w:pStyle w:val="ListBullet"/>
      </w:pPr>
      <w:r w:rsidRPr="00F30EFE">
        <w:t>T</w:t>
      </w:r>
      <w:r w:rsidR="00B2268B" w:rsidRPr="00F30EFE">
        <w:t>he following scenarios were considered:</w:t>
      </w:r>
    </w:p>
    <w:p w14:paraId="22D35ED5" w14:textId="77777777" w:rsidR="00B2268B" w:rsidRPr="00F30EFE" w:rsidRDefault="00397EAE" w:rsidP="00186497">
      <w:pPr>
        <w:pStyle w:val="ListBullet2"/>
      </w:pPr>
      <w:r w:rsidRPr="00F30EFE">
        <w:t>Stiripentol</w:t>
      </w:r>
      <w:r w:rsidR="00B2268B" w:rsidRPr="00F30EFE">
        <w:t xml:space="preserve"> and no adjustment for </w:t>
      </w:r>
      <w:r w:rsidRPr="00F30EFE">
        <w:t>clobazam</w:t>
      </w:r>
      <w:r w:rsidR="00B2268B" w:rsidRPr="00F30EFE">
        <w:t xml:space="preserve"> or </w:t>
      </w:r>
      <w:r w:rsidRPr="00F30EFE">
        <w:t>norclobazam</w:t>
      </w:r>
      <w:r w:rsidR="00B2268B" w:rsidRPr="00F30EFE">
        <w:t>;</w:t>
      </w:r>
    </w:p>
    <w:p w14:paraId="21E9E97F" w14:textId="77777777" w:rsidR="00B2268B" w:rsidRPr="00F30EFE" w:rsidRDefault="00397EAE" w:rsidP="00186497">
      <w:pPr>
        <w:pStyle w:val="ListBullet2"/>
      </w:pPr>
      <w:r w:rsidRPr="00F30EFE">
        <w:t>Stiripentol</w:t>
      </w:r>
      <w:r w:rsidR="00B2268B" w:rsidRPr="00F30EFE">
        <w:t xml:space="preserve"> and a single covariate (change in </w:t>
      </w:r>
      <w:r w:rsidRPr="00F30EFE">
        <w:t>clobazam</w:t>
      </w:r>
      <w:r w:rsidR="00B2268B" w:rsidRPr="00F30EFE">
        <w:t xml:space="preserve"> (or </w:t>
      </w:r>
      <w:r w:rsidRPr="00F30EFE">
        <w:t>norclobazam</w:t>
      </w:r>
      <w:r w:rsidR="00B2268B" w:rsidRPr="00F30EFE">
        <w:t xml:space="preserve">) plasma concentrations </w:t>
      </w:r>
      <w:r w:rsidR="00FC4287" w:rsidRPr="00F30EFE">
        <w:t>from Baseline</w:t>
      </w:r>
      <w:r w:rsidR="00B2268B" w:rsidRPr="00F30EFE">
        <w:t>;</w:t>
      </w:r>
    </w:p>
    <w:p w14:paraId="25AF77FE" w14:textId="77777777" w:rsidR="00B2268B" w:rsidRPr="00F30EFE" w:rsidRDefault="00397EAE" w:rsidP="00186497">
      <w:pPr>
        <w:pStyle w:val="ListBullet2"/>
      </w:pPr>
      <w:r w:rsidRPr="00F30EFE">
        <w:t>Stiripentol</w:t>
      </w:r>
      <w:r w:rsidR="00B2268B" w:rsidRPr="00F30EFE">
        <w:t xml:space="preserve"> and two covariates (change in </w:t>
      </w:r>
      <w:r w:rsidRPr="00F30EFE">
        <w:t>clobazam</w:t>
      </w:r>
      <w:r w:rsidR="00B2268B" w:rsidRPr="00F30EFE">
        <w:t xml:space="preserve"> and </w:t>
      </w:r>
      <w:r w:rsidRPr="00F30EFE">
        <w:t>norclobazam</w:t>
      </w:r>
      <w:r w:rsidR="00B2268B" w:rsidRPr="00F30EFE">
        <w:t xml:space="preserve"> plasma</w:t>
      </w:r>
      <w:r w:rsidR="00186497" w:rsidRPr="00F30EFE">
        <w:t xml:space="preserve"> concentrations </w:t>
      </w:r>
      <w:r w:rsidR="00FC4287" w:rsidRPr="00F30EFE">
        <w:t>from Baseline</w:t>
      </w:r>
      <w:r w:rsidR="00186497" w:rsidRPr="00F30EFE">
        <w:t>).</w:t>
      </w:r>
    </w:p>
    <w:p w14:paraId="579B105B" w14:textId="77777777" w:rsidR="00B2268B" w:rsidRPr="00F30EFE" w:rsidRDefault="00B2268B" w:rsidP="00186497">
      <w:pPr>
        <w:pStyle w:val="ListBullet"/>
      </w:pPr>
      <w:r w:rsidRPr="00F30EFE">
        <w:t xml:space="preserve">Only clobazam and its active metabolite, norclobazam, were considered in the logistic analysis. An analysis to adjust for valproate was not conducted, as valproate levels only increased marginally due to stiripentol administration, at least </w:t>
      </w:r>
      <w:r w:rsidR="002E58D4" w:rsidRPr="00F30EFE">
        <w:t>relative to norclobazam levels.</w:t>
      </w:r>
    </w:p>
    <w:p w14:paraId="72CF5F07" w14:textId="77777777" w:rsidR="00B2268B" w:rsidRPr="00F30EFE" w:rsidRDefault="00B2268B" w:rsidP="00186497">
      <w:pPr>
        <w:pStyle w:val="ListBullet"/>
      </w:pPr>
      <w:r w:rsidRPr="00F30EFE">
        <w:t xml:space="preserve">Odds ratios of the treatment effect (adjusted for </w:t>
      </w:r>
      <w:r w:rsidR="00397EAE" w:rsidRPr="00F30EFE">
        <w:t>clobazam</w:t>
      </w:r>
      <w:r w:rsidRPr="00F30EFE">
        <w:t xml:space="preserve">, </w:t>
      </w:r>
      <w:r w:rsidR="00397EAE" w:rsidRPr="00F30EFE">
        <w:t>norclobazam</w:t>
      </w:r>
      <w:r w:rsidRPr="00F30EFE">
        <w:t xml:space="preserve">, and </w:t>
      </w:r>
      <w:r w:rsidR="00397EAE" w:rsidRPr="00F30EFE">
        <w:t xml:space="preserve">clobazam </w:t>
      </w:r>
      <w:r w:rsidRPr="00F30EFE">
        <w:t>+</w:t>
      </w:r>
      <w:r w:rsidR="00397EAE" w:rsidRPr="00F30EFE">
        <w:t xml:space="preserve"> norclobazam</w:t>
      </w:r>
      <w:r w:rsidRPr="00F30EFE">
        <w:t>) (with corresponding 95%</w:t>
      </w:r>
      <w:r w:rsidR="00397EAE" w:rsidRPr="00F30EFE">
        <w:t xml:space="preserve"> confidence interval (</w:t>
      </w:r>
      <w:r w:rsidRPr="00F30EFE">
        <w:t>CI</w:t>
      </w:r>
      <w:r w:rsidR="00397EAE" w:rsidRPr="00F30EFE">
        <w:t>)</w:t>
      </w:r>
      <w:r w:rsidRPr="00F30EFE">
        <w:t xml:space="preserve">) were the outputs. Summary of odds ratios adjusted and unadjusted for the impact of clobazam and norclobazam on the response to </w:t>
      </w:r>
      <w:r w:rsidR="00397EAE" w:rsidRPr="00F30EFE">
        <w:t xml:space="preserve">stiripentol is shown in </w:t>
      </w:r>
      <w:r w:rsidR="00397EAE" w:rsidRPr="00F30EFE">
        <w:fldChar w:fldCharType="begin"/>
      </w:r>
      <w:r w:rsidR="00397EAE" w:rsidRPr="00F30EFE">
        <w:instrText xml:space="preserve"> REF _Ref23168557 \h </w:instrText>
      </w:r>
      <w:r w:rsidR="00397EAE" w:rsidRPr="00F30EFE">
        <w:fldChar w:fldCharType="separate"/>
      </w:r>
      <w:r w:rsidR="00397EAE" w:rsidRPr="00F30EFE">
        <w:t xml:space="preserve">Table </w:t>
      </w:r>
      <w:r w:rsidR="00397EAE" w:rsidRPr="00F30EFE">
        <w:rPr>
          <w:noProof/>
        </w:rPr>
        <w:t>14</w:t>
      </w:r>
      <w:r w:rsidR="00397EAE" w:rsidRPr="00F30EFE">
        <w:fldChar w:fldCharType="end"/>
      </w:r>
      <w:r w:rsidR="00397EAE" w:rsidRPr="00F30EFE">
        <w:t>.</w:t>
      </w:r>
    </w:p>
    <w:p w14:paraId="187D85EF" w14:textId="77777777" w:rsidR="00397EAE" w:rsidRPr="00F30EFE" w:rsidRDefault="00397EAE" w:rsidP="00397EAE">
      <w:pPr>
        <w:pStyle w:val="TableTitle"/>
      </w:pPr>
      <w:bookmarkStart w:id="59" w:name="_Ref23168557"/>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14</w:t>
      </w:r>
      <w:r w:rsidR="00C12465">
        <w:rPr>
          <w:noProof/>
        </w:rPr>
        <w:fldChar w:fldCharType="end"/>
      </w:r>
      <w:bookmarkEnd w:id="59"/>
      <w:r w:rsidRPr="00F30EFE">
        <w:t>: Odds ratios adjusted and unadjusted for the impact of clobazam and norclobazam on the response to stiripentol</w:t>
      </w:r>
    </w:p>
    <w:p w14:paraId="2287D501" w14:textId="77777777" w:rsidR="00B2268B" w:rsidRPr="00F30EFE" w:rsidRDefault="00B2268B" w:rsidP="00B2268B">
      <w:r w:rsidRPr="00F30EFE">
        <w:rPr>
          <w:noProof/>
          <w:lang w:eastAsia="en-AU"/>
        </w:rPr>
        <w:drawing>
          <wp:inline distT="0" distB="0" distL="0" distR="0" wp14:anchorId="576CE07D" wp14:editId="3B0A23AD">
            <wp:extent cx="5340096" cy="958291"/>
            <wp:effectExtent l="0" t="0" r="0" b="0"/>
            <wp:docPr id="146" name="Picture 146" descr="Odds ratios adjusted and unadjusted for the impact of clobazam and norclobazam on the response to stiripen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1542" cy="960345"/>
                    </a:xfrm>
                    <a:prstGeom prst="rect">
                      <a:avLst/>
                    </a:prstGeom>
                    <a:noFill/>
                    <a:ln>
                      <a:noFill/>
                    </a:ln>
                  </pic:spPr>
                </pic:pic>
              </a:graphicData>
            </a:graphic>
          </wp:inline>
        </w:drawing>
      </w:r>
    </w:p>
    <w:p w14:paraId="50033D29" w14:textId="77777777" w:rsidR="002648A0" w:rsidRPr="00F30EFE" w:rsidRDefault="002648A0" w:rsidP="002648A0">
      <w:pPr>
        <w:pStyle w:val="TableDescription"/>
      </w:pPr>
      <w:r w:rsidRPr="00F30EFE">
        <w:t>CLB = clobazam, NCLB = norclobazam.</w:t>
      </w:r>
    </w:p>
    <w:p w14:paraId="274E37C5" w14:textId="0B3317E1" w:rsidR="00B2268B" w:rsidRPr="00F30EFE" w:rsidRDefault="002648A0" w:rsidP="00B2268B">
      <w:r w:rsidRPr="00F30EFE">
        <w:t>The clinical evaluator</w:t>
      </w:r>
      <w:r w:rsidR="00B2268B" w:rsidRPr="00F30EFE">
        <w:t xml:space="preserve"> stated that</w:t>
      </w:r>
      <w:r w:rsidR="00B2268B" w:rsidRPr="00F30EFE">
        <w:rPr>
          <w:b/>
        </w:rPr>
        <w:t xml:space="preserve"> </w:t>
      </w:r>
      <w:r w:rsidR="00B2268B" w:rsidRPr="00F30EFE">
        <w:t xml:space="preserve">the odds ratio provided for STICLO </w:t>
      </w:r>
      <w:r w:rsidR="001B654E">
        <w:t xml:space="preserve">trial </w:t>
      </w:r>
      <w:r w:rsidR="00B2268B" w:rsidRPr="00F30EFE">
        <w:t xml:space="preserve">France were derived from the ITT population; the odds ratios for STICLO </w:t>
      </w:r>
      <w:r w:rsidR="001B654E">
        <w:t xml:space="preserve">trial </w:t>
      </w:r>
      <w:r w:rsidR="00B2268B" w:rsidRPr="00F30EFE">
        <w:t xml:space="preserve">Italy were derived the PP population. If pooled ITT data (STICLO </w:t>
      </w:r>
      <w:r w:rsidR="001B654E">
        <w:t xml:space="preserve">trials </w:t>
      </w:r>
      <w:r w:rsidR="00B2268B" w:rsidRPr="00F30EFE">
        <w:t xml:space="preserve">France + Italy) had been used, all the pooled </w:t>
      </w:r>
      <w:r w:rsidR="00B2268B" w:rsidRPr="00F30EFE">
        <w:lastRenderedPageBreak/>
        <w:t>odds ratio values would have been slightly lower (with 33.35 as the unadjusted pooled odds ratio). Out of all three sets of odds ratios, only the STICLO France column reflects an accurate result for the ITT population.</w:t>
      </w:r>
    </w:p>
    <w:p w14:paraId="7EBE4D4A" w14:textId="77777777" w:rsidR="00B2268B" w:rsidRPr="00F30EFE" w:rsidRDefault="00B2268B" w:rsidP="00B2268B">
      <w:r w:rsidRPr="00F30EFE">
        <w:t xml:space="preserve">Despite the population choice inaccuracies, the results essentially could be interpreted such that even though the stiripentol may have an effect on clobazam and/or norclobazam levels, stiripentol appears to have an effect on seizure activity itself. This is further supported by further </w:t>
      </w:r>
      <w:r w:rsidRPr="00F30EFE">
        <w:rPr>
          <w:i/>
        </w:rPr>
        <w:t>post hoc</w:t>
      </w:r>
      <w:r w:rsidRPr="00F30EFE">
        <w:t xml:space="preserve"> analyses showing:</w:t>
      </w:r>
    </w:p>
    <w:p w14:paraId="65A81015" w14:textId="78CDD837" w:rsidR="00B2268B" w:rsidRPr="00F30EFE" w:rsidRDefault="00B2268B" w:rsidP="00B738F3">
      <w:pPr>
        <w:pStyle w:val="ListBullet"/>
      </w:pPr>
      <w:r w:rsidRPr="00F30EFE">
        <w:t xml:space="preserve">No statistically significant difference of </w:t>
      </w:r>
      <w:r w:rsidR="002648A0" w:rsidRPr="00F30EFE">
        <w:t>clobazam</w:t>
      </w:r>
      <w:r w:rsidRPr="00F30EFE">
        <w:t xml:space="preserve"> or </w:t>
      </w:r>
      <w:r w:rsidR="002648A0" w:rsidRPr="00F30EFE">
        <w:t>norclobazam</w:t>
      </w:r>
      <w:r w:rsidRPr="00F30EFE">
        <w:t xml:space="preserve"> </w:t>
      </w:r>
      <w:r w:rsidR="002648A0" w:rsidRPr="00F30EFE">
        <w:t>minimum plasma concentration (</w:t>
      </w:r>
      <w:r w:rsidRPr="00F30EFE">
        <w:t>C</w:t>
      </w:r>
      <w:r w:rsidRPr="00F30EFE">
        <w:rPr>
          <w:vertAlign w:val="subscript"/>
        </w:rPr>
        <w:t>min</w:t>
      </w:r>
      <w:r w:rsidR="002648A0" w:rsidRPr="00F30EFE">
        <w:t>)</w:t>
      </w:r>
      <w:r w:rsidRPr="00F30EFE">
        <w:t xml:space="preserve"> and AUC</w:t>
      </w:r>
      <w:r w:rsidRPr="00F30EFE">
        <w:rPr>
          <w:vertAlign w:val="subscript"/>
        </w:rPr>
        <w:t>inf</w:t>
      </w:r>
      <w:r w:rsidRPr="00F30EFE">
        <w:t xml:space="preserve"> values in responders compared to non</w:t>
      </w:r>
      <w:r w:rsidR="001B654E">
        <w:noBreakHyphen/>
      </w:r>
      <w:r w:rsidRPr="00F30EFE">
        <w:t xml:space="preserve">responders (STICLO </w:t>
      </w:r>
      <w:r w:rsidR="001B654E">
        <w:t xml:space="preserve">trials </w:t>
      </w:r>
      <w:r w:rsidRPr="00F30EFE">
        <w:t>France/Italy and</w:t>
      </w:r>
      <w:r w:rsidR="001B654E">
        <w:t xml:space="preserve"> Study</w:t>
      </w:r>
      <w:r w:rsidRPr="00F30EFE">
        <w:t xml:space="preserve"> STP-1).</w:t>
      </w:r>
    </w:p>
    <w:p w14:paraId="7B7DEDBC" w14:textId="77777777" w:rsidR="00B2268B" w:rsidRPr="00F30EFE" w:rsidRDefault="00B2268B" w:rsidP="00B738F3">
      <w:pPr>
        <w:pStyle w:val="ListBullet"/>
      </w:pPr>
      <w:r w:rsidRPr="00F30EFE">
        <w:t xml:space="preserve">No statistically significant difference in responder proportion when comparing patients with or without concomitant </w:t>
      </w:r>
      <w:r w:rsidR="002648A0" w:rsidRPr="00F30EFE">
        <w:t>clobazam</w:t>
      </w:r>
      <w:r w:rsidRPr="00F30EFE">
        <w:t xml:space="preserve"> treatment (DIAVEY and Laux chart review).</w:t>
      </w:r>
    </w:p>
    <w:p w14:paraId="29164C05" w14:textId="77777777" w:rsidR="00186497" w:rsidRPr="00F30EFE" w:rsidRDefault="00186497" w:rsidP="002648A0">
      <w:pPr>
        <w:pStyle w:val="Heading6"/>
      </w:pPr>
      <w:bookmarkStart w:id="60" w:name="_Ref488830209"/>
      <w:r w:rsidRPr="00F30EFE">
        <w:t>Other efficacy outcomes</w:t>
      </w:r>
      <w:bookmarkEnd w:id="60"/>
    </w:p>
    <w:p w14:paraId="576F2612" w14:textId="77777777" w:rsidR="00186497" w:rsidRPr="00F30EFE" w:rsidRDefault="00186497" w:rsidP="002648A0">
      <w:pPr>
        <w:pStyle w:val="Heading7"/>
      </w:pPr>
      <w:r w:rsidRPr="00F30EFE">
        <w:t>Decrease in seizures by at least 50%</w:t>
      </w:r>
    </w:p>
    <w:p w14:paraId="5E145A9A" w14:textId="1BFEB241" w:rsidR="00186497" w:rsidRPr="00F30EFE" w:rsidRDefault="00186497" w:rsidP="002648A0">
      <w:pPr>
        <w:pStyle w:val="ListBullet"/>
      </w:pPr>
      <w:r w:rsidRPr="00F30EFE">
        <w:t xml:space="preserve">STICLO </w:t>
      </w:r>
      <w:r w:rsidR="001B654E">
        <w:t xml:space="preserve">trial </w:t>
      </w:r>
      <w:r w:rsidRPr="00F30EFE">
        <w:t>France</w:t>
      </w:r>
    </w:p>
    <w:p w14:paraId="4DE4AC86" w14:textId="190EEECA" w:rsidR="00186497" w:rsidRPr="00F30EFE" w:rsidRDefault="00186497" w:rsidP="002648A0">
      <w:pPr>
        <w:pStyle w:val="ListBullet2"/>
      </w:pPr>
      <w:r w:rsidRPr="00F30EFE">
        <w:t xml:space="preserve">Intention-to-treat </w:t>
      </w:r>
      <w:r w:rsidR="0001680B" w:rsidRPr="00F30EFE">
        <w:t xml:space="preserve">analysis set </w:t>
      </w:r>
      <w:r w:rsidRPr="00F30EFE">
        <w:t>(n</w:t>
      </w:r>
      <w:r w:rsidR="002648A0" w:rsidRPr="00F30EFE">
        <w:t xml:space="preserve"> </w:t>
      </w:r>
      <w:r w:rsidRPr="00F30EFE">
        <w:t>=</w:t>
      </w:r>
      <w:r w:rsidR="002648A0" w:rsidRPr="00F30EFE">
        <w:t xml:space="preserve"> </w:t>
      </w:r>
      <w:r w:rsidRPr="00F30EFE">
        <w:t>41):</w:t>
      </w:r>
      <w:r w:rsidR="002648A0" w:rsidRPr="00F30EFE">
        <w:t xml:space="preserve"> </w:t>
      </w:r>
      <w:r w:rsidRPr="00F30EFE">
        <w:t>occurred in 71</w:t>
      </w:r>
      <w:r w:rsidR="002648A0" w:rsidRPr="00F30EFE">
        <w:t xml:space="preserve">.4% (15 out of 21) and 5.0% (1 out of 20) of </w:t>
      </w:r>
      <w:r w:rsidRPr="00F30EFE">
        <w:t>the stiripentol an</w:t>
      </w:r>
      <w:r w:rsidR="002648A0" w:rsidRPr="00F30EFE">
        <w:t>d placebo groups respectively. Reported that 9</w:t>
      </w:r>
      <w:r w:rsidR="001B654E">
        <w:t> </w:t>
      </w:r>
      <w:r w:rsidR="002648A0" w:rsidRPr="00F30EFE">
        <w:t xml:space="preserve">(42.6%, 9 out of </w:t>
      </w:r>
      <w:r w:rsidRPr="00F30EFE">
        <w:t>21) patients</w:t>
      </w:r>
      <w:r w:rsidR="002648A0" w:rsidRPr="00F30EFE">
        <w:t xml:space="preserve"> in the stiripentol group were </w:t>
      </w:r>
      <w:r w:rsidRPr="00F30EFE">
        <w:t>co</w:t>
      </w:r>
      <w:r w:rsidR="002648A0" w:rsidRPr="00F30EFE">
        <w:t xml:space="preserve">mpletely seizure free compared </w:t>
      </w:r>
      <w:r w:rsidRPr="00F30EFE">
        <w:t>w</w:t>
      </w:r>
      <w:r w:rsidR="002648A0" w:rsidRPr="00F30EFE">
        <w:t>ith 0 (0%) in the placebo group</w:t>
      </w:r>
      <w:r w:rsidRPr="00F30EFE">
        <w:t>.</w:t>
      </w:r>
    </w:p>
    <w:p w14:paraId="58BB5DB4" w14:textId="15091DB7" w:rsidR="00186497" w:rsidRPr="00F30EFE" w:rsidRDefault="00186497" w:rsidP="002648A0">
      <w:pPr>
        <w:pStyle w:val="ListBullet2"/>
      </w:pPr>
      <w:r w:rsidRPr="00F30EFE">
        <w:t xml:space="preserve">Per-protocol </w:t>
      </w:r>
      <w:r w:rsidR="0001680B" w:rsidRPr="00F30EFE">
        <w:t xml:space="preserve">analysis set </w:t>
      </w:r>
      <w:r w:rsidRPr="00F30EFE">
        <w:t>(</w:t>
      </w:r>
      <w:r w:rsidR="000A45E4" w:rsidRPr="00F30EFE">
        <w:t>n</w:t>
      </w:r>
      <w:r w:rsidR="0001680B" w:rsidRPr="00F30EFE">
        <w:t xml:space="preserve"> </w:t>
      </w:r>
      <w:r w:rsidRPr="00F30EFE">
        <w:t>=</w:t>
      </w:r>
      <w:r w:rsidR="0001680B" w:rsidRPr="00F30EFE">
        <w:t xml:space="preserve"> </w:t>
      </w:r>
      <w:r w:rsidRPr="00F30EFE">
        <w:t>36)</w:t>
      </w:r>
      <w:r w:rsidR="002648A0" w:rsidRPr="00F30EFE">
        <w:t xml:space="preserve">: </w:t>
      </w:r>
      <w:r w:rsidR="001B654E">
        <w:t xml:space="preserve">results are </w:t>
      </w:r>
      <w:r w:rsidR="002648A0" w:rsidRPr="00F30EFE">
        <w:t xml:space="preserve">shown in </w:t>
      </w:r>
      <w:r w:rsidR="002648A0" w:rsidRPr="00F30EFE">
        <w:fldChar w:fldCharType="begin"/>
      </w:r>
      <w:r w:rsidR="002648A0" w:rsidRPr="00F30EFE">
        <w:instrText xml:space="preserve"> REF _Ref23169148 \h </w:instrText>
      </w:r>
      <w:r w:rsidR="002648A0" w:rsidRPr="00F30EFE">
        <w:fldChar w:fldCharType="separate"/>
      </w:r>
      <w:r w:rsidR="002648A0" w:rsidRPr="00F30EFE">
        <w:t xml:space="preserve">Table </w:t>
      </w:r>
      <w:r w:rsidR="002648A0" w:rsidRPr="00F30EFE">
        <w:rPr>
          <w:noProof/>
        </w:rPr>
        <w:t>15</w:t>
      </w:r>
      <w:r w:rsidR="002648A0" w:rsidRPr="00F30EFE">
        <w:fldChar w:fldCharType="end"/>
      </w:r>
      <w:r w:rsidR="002648A0" w:rsidRPr="00F30EFE">
        <w:t>.</w:t>
      </w:r>
    </w:p>
    <w:p w14:paraId="2706B81B" w14:textId="4FC4471B" w:rsidR="002648A0" w:rsidRPr="00F30EFE" w:rsidRDefault="002648A0" w:rsidP="00E55373">
      <w:pPr>
        <w:pStyle w:val="TableTitle"/>
      </w:pPr>
      <w:bookmarkStart w:id="61" w:name="_Ref23169148"/>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15</w:t>
      </w:r>
      <w:r w:rsidR="00C12465">
        <w:rPr>
          <w:noProof/>
        </w:rPr>
        <w:fldChar w:fldCharType="end"/>
      </w:r>
      <w:bookmarkEnd w:id="61"/>
      <w:r w:rsidRPr="00F30EFE">
        <w:t xml:space="preserve">: STICLO </w:t>
      </w:r>
      <w:r w:rsidR="001B654E">
        <w:t xml:space="preserve">trial </w:t>
      </w:r>
      <w:r w:rsidRPr="00F30EFE">
        <w:t xml:space="preserve">France; </w:t>
      </w:r>
      <w:r w:rsidR="00E55373" w:rsidRPr="00F30EFE">
        <w:t>Variation in the number of seizures</w:t>
      </w:r>
      <w:r w:rsidR="0001680B" w:rsidRPr="00F30EFE">
        <w:t>, per protocol analysis set</w:t>
      </w:r>
    </w:p>
    <w:p w14:paraId="47D1A4FF" w14:textId="77777777" w:rsidR="00186497" w:rsidRPr="00F30EFE" w:rsidRDefault="00186497" w:rsidP="002648A0">
      <w:r w:rsidRPr="00F30EFE">
        <w:rPr>
          <w:noProof/>
          <w:lang w:eastAsia="en-AU"/>
        </w:rPr>
        <w:drawing>
          <wp:inline distT="0" distB="0" distL="0" distR="0" wp14:anchorId="4F801C45" wp14:editId="00C95F88">
            <wp:extent cx="4626286" cy="1248609"/>
            <wp:effectExtent l="0" t="0" r="3175" b="8890"/>
            <wp:docPr id="14" name="Picture 14" descr="STICLO France; Variation in the number of seizures,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7306" cy="1251583"/>
                    </a:xfrm>
                    <a:prstGeom prst="rect">
                      <a:avLst/>
                    </a:prstGeom>
                    <a:noFill/>
                    <a:ln>
                      <a:noFill/>
                    </a:ln>
                  </pic:spPr>
                </pic:pic>
              </a:graphicData>
            </a:graphic>
          </wp:inline>
        </w:drawing>
      </w:r>
    </w:p>
    <w:p w14:paraId="50B3A586" w14:textId="37E8B226" w:rsidR="00186497" w:rsidRPr="00F30EFE" w:rsidRDefault="00186497" w:rsidP="002648A0">
      <w:pPr>
        <w:pStyle w:val="ListBullet"/>
      </w:pPr>
      <w:r w:rsidRPr="00F30EFE">
        <w:t xml:space="preserve">STICLO </w:t>
      </w:r>
      <w:r w:rsidR="001B654E">
        <w:t xml:space="preserve">trial </w:t>
      </w:r>
      <w:r w:rsidRPr="00F30EFE">
        <w:t>Italy</w:t>
      </w:r>
    </w:p>
    <w:p w14:paraId="16E1EC2F" w14:textId="75071F63" w:rsidR="00186497" w:rsidRPr="00F30EFE" w:rsidRDefault="00E55373" w:rsidP="0001680B">
      <w:pPr>
        <w:pStyle w:val="ListBullet2"/>
      </w:pPr>
      <w:r w:rsidRPr="00F30EFE">
        <w:t xml:space="preserve">Per </w:t>
      </w:r>
      <w:r w:rsidR="00186497" w:rsidRPr="00F30EFE">
        <w:t xml:space="preserve">protocol </w:t>
      </w:r>
      <w:r w:rsidR="0001680B" w:rsidRPr="00F30EFE">
        <w:t xml:space="preserve">analysis set </w:t>
      </w:r>
      <w:r w:rsidRPr="00F30EFE">
        <w:t>(n</w:t>
      </w:r>
      <w:r w:rsidR="0001680B" w:rsidRPr="00F30EFE">
        <w:t xml:space="preserve"> </w:t>
      </w:r>
      <w:r w:rsidR="00186497" w:rsidRPr="00F30EFE">
        <w:t>=</w:t>
      </w:r>
      <w:r w:rsidR="0001680B" w:rsidRPr="00F30EFE">
        <w:t xml:space="preserve"> </w:t>
      </w:r>
      <w:r w:rsidR="00186497" w:rsidRPr="00F30EFE">
        <w:t>20)</w:t>
      </w:r>
      <w:r w:rsidR="0001680B" w:rsidRPr="00F30EFE">
        <w:t xml:space="preserve">: occurred in 73% (8 out of 11) and 11% (1 out of </w:t>
      </w:r>
      <w:r w:rsidR="00186497" w:rsidRPr="00F30EFE">
        <w:t>20) of the stiripentol and placebo groups respectively (as per</w:t>
      </w:r>
      <w:r w:rsidR="0001680B" w:rsidRPr="00F30EFE">
        <w:t xml:space="preserve"> </w:t>
      </w:r>
      <w:r w:rsidR="0001680B" w:rsidRPr="00F30EFE">
        <w:fldChar w:fldCharType="begin"/>
      </w:r>
      <w:r w:rsidR="0001680B" w:rsidRPr="00F30EFE">
        <w:instrText xml:space="preserve"> REF _Ref23169458 \h </w:instrText>
      </w:r>
      <w:r w:rsidR="0001680B" w:rsidRPr="00F30EFE">
        <w:fldChar w:fldCharType="separate"/>
      </w:r>
      <w:r w:rsidR="0001680B" w:rsidRPr="00F30EFE">
        <w:t xml:space="preserve">Table </w:t>
      </w:r>
      <w:r w:rsidR="0001680B" w:rsidRPr="00F30EFE">
        <w:rPr>
          <w:noProof/>
        </w:rPr>
        <w:t>16</w:t>
      </w:r>
      <w:r w:rsidR="0001680B" w:rsidRPr="00F30EFE">
        <w:fldChar w:fldCharType="end"/>
      </w:r>
      <w:r w:rsidR="0001680B" w:rsidRPr="00F30EFE">
        <w:t>). Reported that 3</w:t>
      </w:r>
      <w:r w:rsidR="001B654E">
        <w:t xml:space="preserve"> </w:t>
      </w:r>
      <w:r w:rsidR="0001680B" w:rsidRPr="00F30EFE">
        <w:t xml:space="preserve">(27%, 3 out of </w:t>
      </w:r>
      <w:r w:rsidR="00186497" w:rsidRPr="00F30EFE">
        <w:t>11) patients in the stiripentol group were completely seizure free compared w</w:t>
      </w:r>
      <w:r w:rsidR="0001680B" w:rsidRPr="00F30EFE">
        <w:t>ith 0 (0%) in the placebo group. The sponsor reported p</w:t>
      </w:r>
      <w:r w:rsidR="00186497" w:rsidRPr="00F30EFE">
        <w:t xml:space="preserve"> </w:t>
      </w:r>
      <w:r w:rsidR="00186497" w:rsidRPr="00F30EFE">
        <w:rPr>
          <w:rFonts w:cs="Cambria Math"/>
        </w:rPr>
        <w:t>≅</w:t>
      </w:r>
      <w:r w:rsidR="0001680B" w:rsidRPr="00F30EFE">
        <w:rPr>
          <w:rFonts w:cs="Cambria Math"/>
        </w:rPr>
        <w:t xml:space="preserve"> 0.05 for overall-strata comparisons, and p</w:t>
      </w:r>
      <w:r w:rsidR="00186497" w:rsidRPr="00F30EFE">
        <w:rPr>
          <w:rFonts w:cs="Cambria Math"/>
        </w:rPr>
        <w:t xml:space="preserve"> = 0.01 when only the actual criterion of decrease by at least 50% is used.</w:t>
      </w:r>
    </w:p>
    <w:p w14:paraId="742E8D21" w14:textId="2D4C1306" w:rsidR="0001680B" w:rsidRPr="00F30EFE" w:rsidRDefault="0001680B" w:rsidP="0001680B">
      <w:pPr>
        <w:pStyle w:val="TableTitle"/>
      </w:pPr>
      <w:bookmarkStart w:id="62" w:name="_Ref23169458"/>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16</w:t>
      </w:r>
      <w:r w:rsidR="00C12465">
        <w:rPr>
          <w:noProof/>
        </w:rPr>
        <w:fldChar w:fldCharType="end"/>
      </w:r>
      <w:bookmarkEnd w:id="62"/>
      <w:r w:rsidRPr="00F30EFE">
        <w:t xml:space="preserve">: STICLO </w:t>
      </w:r>
      <w:r w:rsidR="001B654E">
        <w:t xml:space="preserve">trial </w:t>
      </w:r>
      <w:r w:rsidRPr="00F30EFE">
        <w:t xml:space="preserve">Italy; </w:t>
      </w:r>
      <w:r w:rsidR="00E55373" w:rsidRPr="00F30EFE">
        <w:t>Variation in the number of seizures</w:t>
      </w:r>
      <w:r w:rsidRPr="00F30EFE">
        <w:t>, per protocol analysis set</w:t>
      </w:r>
    </w:p>
    <w:p w14:paraId="38E924D3" w14:textId="77777777" w:rsidR="00186497" w:rsidRPr="00F30EFE" w:rsidRDefault="00186497" w:rsidP="0001680B">
      <w:r w:rsidRPr="00F30EFE">
        <w:rPr>
          <w:noProof/>
          <w:lang w:eastAsia="en-AU"/>
        </w:rPr>
        <w:drawing>
          <wp:inline distT="0" distB="0" distL="0" distR="0" wp14:anchorId="48629D6D" wp14:editId="0A3E4135">
            <wp:extent cx="4714240" cy="1212851"/>
            <wp:effectExtent l="0" t="0" r="0" b="6350"/>
            <wp:docPr id="24" name="Picture 24" descr="STICLO Italy; Variation in the number of seizures,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3612" cy="1212689"/>
                    </a:xfrm>
                    <a:prstGeom prst="rect">
                      <a:avLst/>
                    </a:prstGeom>
                    <a:noFill/>
                    <a:ln>
                      <a:noFill/>
                    </a:ln>
                  </pic:spPr>
                </pic:pic>
              </a:graphicData>
            </a:graphic>
          </wp:inline>
        </w:drawing>
      </w:r>
    </w:p>
    <w:p w14:paraId="6336739D" w14:textId="6D036020" w:rsidR="00186497" w:rsidRPr="00F30EFE" w:rsidRDefault="00186497" w:rsidP="0001680B">
      <w:pPr>
        <w:pStyle w:val="ListBullet"/>
      </w:pPr>
      <w:r w:rsidRPr="00F30EFE">
        <w:lastRenderedPageBreak/>
        <w:t xml:space="preserve">Pooled STICLO </w:t>
      </w:r>
      <w:r w:rsidR="001B654E">
        <w:t xml:space="preserve">trials </w:t>
      </w:r>
      <w:r w:rsidRPr="00F30EFE">
        <w:t>France</w:t>
      </w:r>
      <w:r w:rsidR="001B654E">
        <w:t xml:space="preserve"> and </w:t>
      </w:r>
      <w:r w:rsidRPr="00F30EFE">
        <w:t>Italy</w:t>
      </w:r>
    </w:p>
    <w:p w14:paraId="3AFE3A62" w14:textId="77777777" w:rsidR="00186497" w:rsidRPr="00F30EFE" w:rsidRDefault="00186497" w:rsidP="0001680B">
      <w:pPr>
        <w:pStyle w:val="ListBullet2"/>
      </w:pPr>
      <w:r w:rsidRPr="00F30EFE">
        <w:t xml:space="preserve">In a </w:t>
      </w:r>
      <w:r w:rsidRPr="00F30EFE">
        <w:rPr>
          <w:i/>
        </w:rPr>
        <w:t>post hoc</w:t>
      </w:r>
      <w:r w:rsidRPr="00F30EFE">
        <w:t xml:space="preserve"> analysis, the sponsor reported on the same endpoint type (seizure reduction compared to baseline) using different strata which is different to the trial protocol (decrements of 20% instead of 50%</w:t>
      </w:r>
      <w:r w:rsidR="0001680B" w:rsidRPr="00F30EFE">
        <w:t>).</w:t>
      </w:r>
    </w:p>
    <w:p w14:paraId="46128E1A" w14:textId="77777777" w:rsidR="0001680B" w:rsidRPr="00F30EFE" w:rsidRDefault="00186497" w:rsidP="0001680B">
      <w:pPr>
        <w:pStyle w:val="ListBullet2"/>
      </w:pPr>
      <w:r w:rsidRPr="00F30EFE">
        <w:t xml:space="preserve">Furthermore, the pooled </w:t>
      </w:r>
      <w:r w:rsidR="0001680B" w:rsidRPr="00F30EFE">
        <w:t xml:space="preserve">intention to treat analysis set </w:t>
      </w:r>
      <w:r w:rsidR="000A45E4" w:rsidRPr="00F30EFE">
        <w:t>was used (n</w:t>
      </w:r>
      <w:r w:rsidR="0001680B" w:rsidRPr="00F30EFE">
        <w:t xml:space="preserve"> </w:t>
      </w:r>
      <w:r w:rsidRPr="00F30EFE">
        <w:t>=</w:t>
      </w:r>
      <w:r w:rsidR="0001680B" w:rsidRPr="00F30EFE">
        <w:t xml:space="preserve"> </w:t>
      </w:r>
      <w:r w:rsidRPr="00F30EFE">
        <w:t xml:space="preserve">64). The results, together with that for each individual study, are shown in </w:t>
      </w:r>
      <w:r w:rsidR="0001680B" w:rsidRPr="00F30EFE">
        <w:fldChar w:fldCharType="begin"/>
      </w:r>
      <w:r w:rsidR="0001680B" w:rsidRPr="00F30EFE">
        <w:instrText xml:space="preserve"> REF _Ref23169648 \h </w:instrText>
      </w:r>
      <w:r w:rsidR="0001680B" w:rsidRPr="00F30EFE">
        <w:fldChar w:fldCharType="separate"/>
      </w:r>
      <w:r w:rsidR="0001680B" w:rsidRPr="00F30EFE">
        <w:t xml:space="preserve">Table </w:t>
      </w:r>
      <w:r w:rsidR="0001680B" w:rsidRPr="00F30EFE">
        <w:rPr>
          <w:noProof/>
        </w:rPr>
        <w:t>17</w:t>
      </w:r>
      <w:r w:rsidR="0001680B" w:rsidRPr="00F30EFE">
        <w:fldChar w:fldCharType="end"/>
      </w:r>
      <w:r w:rsidR="0001680B" w:rsidRPr="00F30EFE">
        <w:t>.</w:t>
      </w:r>
    </w:p>
    <w:p w14:paraId="50E266BE" w14:textId="0D224BD5" w:rsidR="0001680B" w:rsidRPr="00F30EFE" w:rsidRDefault="0001680B" w:rsidP="0001680B">
      <w:pPr>
        <w:pStyle w:val="TableTitle"/>
      </w:pPr>
      <w:bookmarkStart w:id="63" w:name="_Ref23169648"/>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17</w:t>
      </w:r>
      <w:r w:rsidR="00C12465">
        <w:rPr>
          <w:noProof/>
        </w:rPr>
        <w:fldChar w:fldCharType="end"/>
      </w:r>
      <w:bookmarkEnd w:id="63"/>
      <w:r w:rsidRPr="00F30EFE">
        <w:t xml:space="preserve">: Pooled STICLO </w:t>
      </w:r>
      <w:r w:rsidR="001B654E">
        <w:t xml:space="preserve">trials </w:t>
      </w:r>
      <w:r w:rsidRPr="00F30EFE">
        <w:t>France</w:t>
      </w:r>
      <w:r w:rsidR="001B654E">
        <w:t xml:space="preserve"> and </w:t>
      </w:r>
      <w:r w:rsidRPr="00F30EFE">
        <w:t xml:space="preserve">Italy; </w:t>
      </w:r>
      <w:r w:rsidR="00E55373" w:rsidRPr="00F30EFE">
        <w:t>Variation in the number of seizures</w:t>
      </w:r>
      <w:r w:rsidRPr="00F30EFE">
        <w:t>, per protocol analysis set</w:t>
      </w:r>
    </w:p>
    <w:p w14:paraId="188C6510" w14:textId="77777777" w:rsidR="00186497" w:rsidRPr="00F30EFE" w:rsidRDefault="00186497" w:rsidP="0001680B">
      <w:r w:rsidRPr="00F30EFE">
        <w:rPr>
          <w:noProof/>
          <w:lang w:eastAsia="en-AU"/>
        </w:rPr>
        <w:drawing>
          <wp:inline distT="0" distB="0" distL="0" distR="0" wp14:anchorId="11584EB2" wp14:editId="03CFBE3C">
            <wp:extent cx="5120640" cy="2243520"/>
            <wp:effectExtent l="0" t="0" r="3810" b="4445"/>
            <wp:docPr id="15" name="Picture 15" descr="Pooled STICLO France/Italy; Variation in the number of seizures,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6852" cy="2246242"/>
                    </a:xfrm>
                    <a:prstGeom prst="rect">
                      <a:avLst/>
                    </a:prstGeom>
                    <a:noFill/>
                    <a:ln>
                      <a:noFill/>
                    </a:ln>
                  </pic:spPr>
                </pic:pic>
              </a:graphicData>
            </a:graphic>
          </wp:inline>
        </w:drawing>
      </w:r>
    </w:p>
    <w:p w14:paraId="5D0DC8B7" w14:textId="77777777" w:rsidR="00186497" w:rsidRPr="00F30EFE" w:rsidRDefault="003C03F3" w:rsidP="0001680B">
      <w:pPr>
        <w:pStyle w:val="Heading7"/>
      </w:pPr>
      <w:r w:rsidRPr="00F30EFE">
        <w:t>Withdrawals, that is,</w:t>
      </w:r>
      <w:r w:rsidR="00186497" w:rsidRPr="00F30EFE">
        <w:t xml:space="preserve"> the percentage of children withdrawn from the</w:t>
      </w:r>
      <w:r w:rsidRPr="00F30EFE">
        <w:t xml:space="preserve"> study in each treatment group</w:t>
      </w:r>
    </w:p>
    <w:p w14:paraId="74D9ED45" w14:textId="1FCC23B0" w:rsidR="00186497" w:rsidRPr="00F30EFE" w:rsidRDefault="00186497" w:rsidP="0001680B">
      <w:pPr>
        <w:pStyle w:val="ListBullet"/>
      </w:pPr>
      <w:r w:rsidRPr="00F30EFE">
        <w:t xml:space="preserve">STICLO </w:t>
      </w:r>
      <w:r w:rsidR="001B654E">
        <w:t xml:space="preserve">trial </w:t>
      </w:r>
      <w:r w:rsidRPr="00F30EFE">
        <w:t>France</w:t>
      </w:r>
    </w:p>
    <w:p w14:paraId="67705345" w14:textId="77777777" w:rsidR="00186497" w:rsidRPr="00F30EFE" w:rsidRDefault="00186497" w:rsidP="0001680B">
      <w:pPr>
        <w:pStyle w:val="ListBullet2"/>
      </w:pPr>
      <w:r w:rsidRPr="00F30EFE">
        <w:t>Intenti</w:t>
      </w:r>
      <w:r w:rsidR="0001680B" w:rsidRPr="00F30EFE">
        <w:t xml:space="preserve">on to </w:t>
      </w:r>
      <w:r w:rsidRPr="00F30EFE">
        <w:t xml:space="preserve">treat </w:t>
      </w:r>
      <w:r w:rsidR="0001680B" w:rsidRPr="00F30EFE">
        <w:t xml:space="preserve">analysis set </w:t>
      </w:r>
      <w:r w:rsidRPr="00F30EFE">
        <w:t>(n</w:t>
      </w:r>
      <w:r w:rsidR="0001680B" w:rsidRPr="00F30EFE">
        <w:t xml:space="preserve"> </w:t>
      </w:r>
      <w:r w:rsidRPr="00F30EFE">
        <w:t>=</w:t>
      </w:r>
      <w:r w:rsidR="0001680B" w:rsidRPr="00F30EFE">
        <w:t xml:space="preserve"> </w:t>
      </w:r>
      <w:r w:rsidRPr="00F30EFE">
        <w:t>41):</w:t>
      </w:r>
      <w:r w:rsidR="0001680B" w:rsidRPr="00F30EFE">
        <w:t xml:space="preserve"> </w:t>
      </w:r>
      <w:r w:rsidRPr="00F30EFE">
        <w:t>In the tr</w:t>
      </w:r>
      <w:r w:rsidR="0001680B" w:rsidRPr="00F30EFE">
        <w:t xml:space="preserve">eatment group, 1 subject (5%, 1 out of </w:t>
      </w:r>
      <w:r w:rsidRPr="00F30EFE">
        <w:t>21) was withdrawn from the study compared to 4 subj</w:t>
      </w:r>
      <w:r w:rsidR="0001680B" w:rsidRPr="00F30EFE">
        <w:t xml:space="preserve">ects (20%, 4 out of </w:t>
      </w:r>
      <w:r w:rsidRPr="00F30EFE">
        <w:t>20) in the placebo group. There was no significant difference between the percentage of subjects withdrawn from the study in the two groups (p</w:t>
      </w:r>
      <w:r w:rsidR="0001680B" w:rsidRPr="00F30EFE">
        <w:t xml:space="preserve"> </w:t>
      </w:r>
      <w:r w:rsidRPr="00F30EFE">
        <w:t>=</w:t>
      </w:r>
      <w:r w:rsidR="0001680B" w:rsidRPr="00F30EFE">
        <w:t xml:space="preserve"> </w:t>
      </w:r>
      <w:r w:rsidRPr="00F30EFE">
        <w:t>0.184).</w:t>
      </w:r>
    </w:p>
    <w:p w14:paraId="5B376AC9" w14:textId="77777777" w:rsidR="00186497" w:rsidRPr="00F30EFE" w:rsidRDefault="00186497" w:rsidP="0001680B">
      <w:pPr>
        <w:pStyle w:val="ListBullet2"/>
      </w:pPr>
      <w:r w:rsidRPr="00F30EFE">
        <w:t>The patient in the treatment group was withdrawn from the study due to status epilepticus. In the placebo group, patients were withdrawn from the study for status epilepticus (1 subject), lack of improvement (2 subjects), and drowsiness with motor deficiency (1 subject).</w:t>
      </w:r>
    </w:p>
    <w:p w14:paraId="7808905C" w14:textId="7581DF64" w:rsidR="00186497" w:rsidRPr="00F30EFE" w:rsidRDefault="00186497" w:rsidP="0001680B">
      <w:pPr>
        <w:pStyle w:val="ListBullet"/>
      </w:pPr>
      <w:r w:rsidRPr="00F30EFE">
        <w:t xml:space="preserve">STICLO </w:t>
      </w:r>
      <w:r w:rsidR="001B654E">
        <w:t xml:space="preserve">trial </w:t>
      </w:r>
      <w:r w:rsidRPr="00F30EFE">
        <w:t>Italy</w:t>
      </w:r>
    </w:p>
    <w:p w14:paraId="7B971679" w14:textId="77777777" w:rsidR="00186497" w:rsidRPr="00F30EFE" w:rsidRDefault="00067A92" w:rsidP="0001680B">
      <w:pPr>
        <w:pStyle w:val="ListBullet2"/>
      </w:pPr>
      <w:r w:rsidRPr="00F30EFE">
        <w:t xml:space="preserve">Per </w:t>
      </w:r>
      <w:r w:rsidR="0001680B" w:rsidRPr="00F30EFE">
        <w:t xml:space="preserve">protocol </w:t>
      </w:r>
      <w:r w:rsidRPr="00F30EFE">
        <w:t xml:space="preserve">analysis set </w:t>
      </w:r>
      <w:r w:rsidR="0001680B" w:rsidRPr="00F30EFE">
        <w:t xml:space="preserve">(n </w:t>
      </w:r>
      <w:r w:rsidR="00186497" w:rsidRPr="00F30EFE">
        <w:t>=</w:t>
      </w:r>
      <w:r w:rsidR="0001680B" w:rsidRPr="00F30EFE">
        <w:t xml:space="preserve"> </w:t>
      </w:r>
      <w:r w:rsidR="00186497" w:rsidRPr="00F30EFE">
        <w:t>20)</w:t>
      </w:r>
      <w:r w:rsidR="0001680B" w:rsidRPr="00F30EFE">
        <w:t xml:space="preserve">: </w:t>
      </w:r>
      <w:r w:rsidR="00186497" w:rsidRPr="00F30EFE">
        <w:t>In the treatment group, 1 sub</w:t>
      </w:r>
      <w:r w:rsidR="0001680B" w:rsidRPr="00F30EFE">
        <w:t xml:space="preserve">ject (9%, 1 out of </w:t>
      </w:r>
      <w:r w:rsidR="00186497" w:rsidRPr="00F30EFE">
        <w:t>11) was withdrawn from the stud</w:t>
      </w:r>
      <w:r w:rsidR="0001680B" w:rsidRPr="00F30EFE">
        <w:t xml:space="preserve">y compared to 2 subjects (22%,2 out of </w:t>
      </w:r>
      <w:r w:rsidR="00186497" w:rsidRPr="00F30EFE">
        <w:t>9) in the placebo group.</w:t>
      </w:r>
      <w:r w:rsidR="0001680B" w:rsidRPr="00F30EFE">
        <w:t xml:space="preserve"> </w:t>
      </w:r>
      <w:r w:rsidR="00186497" w:rsidRPr="00F30EFE">
        <w:t>All</w:t>
      </w:r>
      <w:r w:rsidRPr="00F30EFE">
        <w:t xml:space="preserve"> subjects withdrew at Visit Number </w:t>
      </w:r>
      <w:r w:rsidR="00186497" w:rsidRPr="00F30EFE">
        <w:t>3. The patient of the stiripentol group was withdrawn for adverse events (drowsiness, balance symptoms). In the placebo group, the patients were withdrawn for worsening and lack of improvement.</w:t>
      </w:r>
    </w:p>
    <w:p w14:paraId="6E46264D" w14:textId="77777777" w:rsidR="00186497" w:rsidRPr="00F30EFE" w:rsidRDefault="00186497" w:rsidP="0001680B">
      <w:pPr>
        <w:pStyle w:val="Heading7"/>
      </w:pPr>
      <w:r w:rsidRPr="00F30EFE">
        <w:t>Comparison of seizure freque</w:t>
      </w:r>
      <w:r w:rsidR="006E3315" w:rsidRPr="00F30EFE">
        <w:t>ncy between comparison period (M</w:t>
      </w:r>
      <w:r w:rsidRPr="00F30EFE">
        <w:t>onths 1 and 2 considered separately) and baseline period</w:t>
      </w:r>
    </w:p>
    <w:p w14:paraId="14384C0A" w14:textId="77777777" w:rsidR="00186497" w:rsidRPr="00F30EFE" w:rsidRDefault="00186497" w:rsidP="00067A92">
      <w:pPr>
        <w:pStyle w:val="ListBullet"/>
      </w:pPr>
      <w:r w:rsidRPr="00F30EFE">
        <w:t>STICLO France</w:t>
      </w:r>
    </w:p>
    <w:p w14:paraId="4EC9DD0B" w14:textId="77777777" w:rsidR="00186497" w:rsidRPr="00F30EFE" w:rsidRDefault="00067A92" w:rsidP="00067A92">
      <w:pPr>
        <w:pStyle w:val="ListBullet2"/>
      </w:pPr>
      <w:r w:rsidRPr="00F30EFE">
        <w:t xml:space="preserve">Intention to treat analysis set </w:t>
      </w:r>
      <w:r w:rsidR="00186497" w:rsidRPr="00F30EFE">
        <w:t>(n</w:t>
      </w:r>
      <w:r w:rsidRPr="00F30EFE">
        <w:t xml:space="preserve"> </w:t>
      </w:r>
      <w:r w:rsidR="00186497" w:rsidRPr="00F30EFE">
        <w:t>=</w:t>
      </w:r>
      <w:r w:rsidRPr="00F30EFE">
        <w:t xml:space="preserve"> 41), first month versus</w:t>
      </w:r>
      <w:r w:rsidR="00186497" w:rsidRPr="00F30EFE">
        <w:t xml:space="preserve"> baseline; </w:t>
      </w:r>
      <w:r w:rsidRPr="00F30EFE">
        <w:t xml:space="preserve">per </w:t>
      </w:r>
      <w:r w:rsidR="00186497" w:rsidRPr="00F30EFE">
        <w:t xml:space="preserve">protocol </w:t>
      </w:r>
      <w:r w:rsidRPr="00F30EFE">
        <w:t xml:space="preserve">analysis set (n </w:t>
      </w:r>
      <w:r w:rsidR="00186497" w:rsidRPr="00F30EFE">
        <w:t>=</w:t>
      </w:r>
      <w:r w:rsidRPr="00F30EFE">
        <w:t xml:space="preserve"> 36), second month versus baseline (</w:t>
      </w:r>
      <w:r w:rsidR="00186497" w:rsidRPr="00F30EFE">
        <w:t>as not a</w:t>
      </w:r>
      <w:r w:rsidRPr="00F30EFE">
        <w:t xml:space="preserve">ll subjects completed the study). </w:t>
      </w:r>
      <w:r w:rsidR="00186497" w:rsidRPr="00F30EFE">
        <w:t>Although, there was no statistical difference between the two treatment groups with regard to the number of tonic-clonic seizu</w:t>
      </w:r>
      <w:r w:rsidRPr="00F30EFE">
        <w:t>res in the baseline period (that is,</w:t>
      </w:r>
      <w:r w:rsidR="00186497" w:rsidRPr="00F30EFE">
        <w:t xml:space="preserve"> before stiripentol treatment), there were statistically significant differences between the two t</w:t>
      </w:r>
      <w:r w:rsidRPr="00F30EFE">
        <w:t>reatment groups with regard to:</w:t>
      </w:r>
    </w:p>
    <w:p w14:paraId="3131DECA" w14:textId="0528F7B7" w:rsidR="00186497" w:rsidRPr="00F30EFE" w:rsidRDefault="00B738F3" w:rsidP="00067A92">
      <w:pPr>
        <w:pStyle w:val="ListBullet3"/>
      </w:pPr>
      <w:r>
        <w:lastRenderedPageBreak/>
        <w:t>D</w:t>
      </w:r>
      <w:r w:rsidR="001B654E" w:rsidRPr="00F30EFE">
        <w:t xml:space="preserve">ifferences </w:t>
      </w:r>
      <w:r w:rsidR="00186497" w:rsidRPr="00F30EFE">
        <w:t>in the number of tonic-clonic seizures in Month 1 and Month 2.</w:t>
      </w:r>
    </w:p>
    <w:p w14:paraId="613CC585" w14:textId="36B7879E" w:rsidR="00186497" w:rsidRPr="00F30EFE" w:rsidRDefault="00B738F3" w:rsidP="00067A92">
      <w:pPr>
        <w:pStyle w:val="ListBullet3"/>
      </w:pPr>
      <w:r>
        <w:t>D</w:t>
      </w:r>
      <w:r w:rsidR="001B654E" w:rsidRPr="00F30EFE">
        <w:t xml:space="preserve">ifferences </w:t>
      </w:r>
      <w:r w:rsidR="00186497" w:rsidRPr="00F30EFE">
        <w:t>in the relative change in Month 1 and Month 2 compared to baseline.</w:t>
      </w:r>
    </w:p>
    <w:p w14:paraId="73726CDC" w14:textId="1263F1F9" w:rsidR="00067A92" w:rsidRPr="00F30EFE" w:rsidRDefault="00067A92" w:rsidP="00067A92">
      <w:pPr>
        <w:pStyle w:val="TableTitle"/>
      </w:pPr>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18</w:t>
      </w:r>
      <w:r w:rsidR="00C12465">
        <w:rPr>
          <w:noProof/>
        </w:rPr>
        <w:fldChar w:fldCharType="end"/>
      </w:r>
      <w:r w:rsidRPr="00F30EFE">
        <w:t xml:space="preserve">: STICLO </w:t>
      </w:r>
      <w:r w:rsidR="001B654E">
        <w:t xml:space="preserve">trial </w:t>
      </w:r>
      <w:r w:rsidRPr="00F30EFE">
        <w:t>France; Seizure frequency between comparison period (Months 1 and 2 considered separately) and baseline period</w:t>
      </w:r>
    </w:p>
    <w:p w14:paraId="07C72332" w14:textId="77777777" w:rsidR="00186497" w:rsidRPr="00F30EFE" w:rsidRDefault="00186497" w:rsidP="00067A92">
      <w:r w:rsidRPr="00F30EFE">
        <w:rPr>
          <w:noProof/>
          <w:lang w:eastAsia="en-AU"/>
        </w:rPr>
        <w:drawing>
          <wp:inline distT="0" distB="0" distL="0" distR="0" wp14:anchorId="53C1C6C8" wp14:editId="4BF3CF55">
            <wp:extent cx="4338320" cy="2721254"/>
            <wp:effectExtent l="0" t="0" r="5080" b="3175"/>
            <wp:docPr id="16" name="Picture 16" descr="STICLO France; Seizure frequency between comparison period (Months 1 and 2 considered separately) and baselin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3677" cy="2730887"/>
                    </a:xfrm>
                    <a:prstGeom prst="rect">
                      <a:avLst/>
                    </a:prstGeom>
                    <a:noFill/>
                    <a:ln>
                      <a:noFill/>
                    </a:ln>
                  </pic:spPr>
                </pic:pic>
              </a:graphicData>
            </a:graphic>
          </wp:inline>
        </w:drawing>
      </w:r>
    </w:p>
    <w:p w14:paraId="7D9DDE99" w14:textId="1F468D7D" w:rsidR="00186497" w:rsidRPr="00F30EFE" w:rsidRDefault="00186497" w:rsidP="00067A92">
      <w:pPr>
        <w:pStyle w:val="ListBullet"/>
      </w:pPr>
      <w:r w:rsidRPr="00F30EFE">
        <w:t xml:space="preserve">STICLO </w:t>
      </w:r>
      <w:r w:rsidR="001B654E">
        <w:t xml:space="preserve">trial </w:t>
      </w:r>
      <w:r w:rsidRPr="00F30EFE">
        <w:t>Italy</w:t>
      </w:r>
    </w:p>
    <w:p w14:paraId="2C717E95" w14:textId="411E8BCE" w:rsidR="00186497" w:rsidRPr="00F30EFE" w:rsidRDefault="00186497" w:rsidP="00067A92">
      <w:pPr>
        <w:pStyle w:val="ListBullet2"/>
      </w:pPr>
      <w:r w:rsidRPr="00F30EFE">
        <w:t>Intenti</w:t>
      </w:r>
      <w:r w:rsidR="00E84D5C" w:rsidRPr="00F30EFE">
        <w:t xml:space="preserve">on-to-treat analysis set (n = 23), first month versus </w:t>
      </w:r>
      <w:r w:rsidR="001B654E">
        <w:t>B</w:t>
      </w:r>
      <w:r w:rsidR="00E84D5C" w:rsidRPr="00F30EFE">
        <w:t>aseline; p</w:t>
      </w:r>
      <w:r w:rsidRPr="00F30EFE">
        <w:t xml:space="preserve">er-protocol </w:t>
      </w:r>
      <w:r w:rsidR="00E84D5C" w:rsidRPr="00F30EFE">
        <w:t xml:space="preserve">analysis set (n </w:t>
      </w:r>
      <w:r w:rsidRPr="00F30EFE">
        <w:t>=</w:t>
      </w:r>
      <w:r w:rsidR="00E84D5C" w:rsidRPr="00F30EFE">
        <w:t xml:space="preserve"> 20), second month versus </w:t>
      </w:r>
      <w:r w:rsidR="001B654E">
        <w:t>B</w:t>
      </w:r>
      <w:r w:rsidR="00E84D5C" w:rsidRPr="00F30EFE">
        <w:t>aseline (</w:t>
      </w:r>
      <w:r w:rsidRPr="00F30EFE">
        <w:t>as not a</w:t>
      </w:r>
      <w:r w:rsidR="00E84D5C" w:rsidRPr="00F30EFE">
        <w:t>ll subjects completed the study)</w:t>
      </w:r>
      <w:r w:rsidR="001B654E">
        <w:t>:</w:t>
      </w:r>
      <w:r w:rsidR="00067A92" w:rsidRPr="00F30EFE">
        <w:t xml:space="preserve"> </w:t>
      </w:r>
      <w:r w:rsidRPr="00F30EFE">
        <w:t>Although, there was no statistical difference between the two treatment groups with regard to the number of tonic-clonic seizu</w:t>
      </w:r>
      <w:r w:rsidR="00E84D5C" w:rsidRPr="00F30EFE">
        <w:t>res in the baseline period (that is,</w:t>
      </w:r>
      <w:r w:rsidRPr="00F30EFE">
        <w:t xml:space="preserve"> before stiripentol treatment), there were statistically significant differences between the two t</w:t>
      </w:r>
      <w:r w:rsidR="00067A92" w:rsidRPr="00F30EFE">
        <w:t>reatment groups with regard to:</w:t>
      </w:r>
    </w:p>
    <w:p w14:paraId="1911DC4B" w14:textId="118E2558" w:rsidR="00186497" w:rsidRPr="00F30EFE" w:rsidRDefault="00B738F3" w:rsidP="006E3315">
      <w:pPr>
        <w:pStyle w:val="ListBullet3"/>
      </w:pPr>
      <w:r>
        <w:t>D</w:t>
      </w:r>
      <w:r w:rsidR="001B654E" w:rsidRPr="00F30EFE">
        <w:t xml:space="preserve">ifferences </w:t>
      </w:r>
      <w:r w:rsidR="00186497" w:rsidRPr="00F30EFE">
        <w:t>in the number of tonic-clonic seizures only in Month 1</w:t>
      </w:r>
      <w:r w:rsidR="006E3315" w:rsidRPr="00F30EFE">
        <w:t>;</w:t>
      </w:r>
    </w:p>
    <w:p w14:paraId="5D3CEBA2" w14:textId="4EFCD73C" w:rsidR="00186497" w:rsidRPr="00F30EFE" w:rsidRDefault="00B738F3" w:rsidP="006E3315">
      <w:pPr>
        <w:pStyle w:val="ListBullet3"/>
      </w:pPr>
      <w:r>
        <w:t>D</w:t>
      </w:r>
      <w:r w:rsidR="001B654E" w:rsidRPr="00F30EFE">
        <w:t xml:space="preserve">ifferences </w:t>
      </w:r>
      <w:r w:rsidR="00186497" w:rsidRPr="00F30EFE">
        <w:t>in the relative change in compa</w:t>
      </w:r>
      <w:r w:rsidR="006E3315" w:rsidRPr="00F30EFE">
        <w:t>red to baseline only in Month 1.</w:t>
      </w:r>
    </w:p>
    <w:p w14:paraId="05287D26" w14:textId="77777777" w:rsidR="00186497" w:rsidRPr="00F30EFE" w:rsidRDefault="00186497" w:rsidP="00067A92">
      <w:pPr>
        <w:pStyle w:val="ListBullet2"/>
      </w:pPr>
      <w:r w:rsidRPr="00F30EFE">
        <w:t>The differences in Month 2 in the above were not statistically significant as per</w:t>
      </w:r>
      <w:r w:rsidR="00E84D5C" w:rsidRPr="00F30EFE">
        <w:t xml:space="preserve"> </w:t>
      </w:r>
      <w:r w:rsidR="00E84D5C" w:rsidRPr="00F30EFE">
        <w:fldChar w:fldCharType="begin"/>
      </w:r>
      <w:r w:rsidR="00E84D5C" w:rsidRPr="00F30EFE">
        <w:instrText xml:space="preserve"> REF _Ref23227828 \h </w:instrText>
      </w:r>
      <w:r w:rsidR="00E84D5C" w:rsidRPr="00F30EFE">
        <w:fldChar w:fldCharType="separate"/>
      </w:r>
      <w:r w:rsidR="00E84D5C" w:rsidRPr="00F30EFE">
        <w:t xml:space="preserve">Table </w:t>
      </w:r>
      <w:r w:rsidR="00E84D5C" w:rsidRPr="00F30EFE">
        <w:rPr>
          <w:noProof/>
        </w:rPr>
        <w:t>19</w:t>
      </w:r>
      <w:r w:rsidR="00E84D5C" w:rsidRPr="00F30EFE">
        <w:fldChar w:fldCharType="end"/>
      </w:r>
      <w:r w:rsidRPr="00F30EFE">
        <w:t>.</w:t>
      </w:r>
    </w:p>
    <w:p w14:paraId="7D55BF5E" w14:textId="459BAF42" w:rsidR="006E3315" w:rsidRPr="00F30EFE" w:rsidRDefault="006E3315" w:rsidP="006E3315">
      <w:pPr>
        <w:pStyle w:val="TableTitle"/>
      </w:pPr>
      <w:bookmarkStart w:id="64" w:name="_Ref23227828"/>
      <w:r w:rsidRPr="00F30EFE">
        <w:lastRenderedPageBreak/>
        <w:t xml:space="preserve">Table </w:t>
      </w:r>
      <w:r w:rsidR="00C12465">
        <w:fldChar w:fldCharType="begin"/>
      </w:r>
      <w:r w:rsidR="00C12465">
        <w:instrText xml:space="preserve"> SEQ Table \* ARABIC </w:instrText>
      </w:r>
      <w:r w:rsidR="00C12465">
        <w:fldChar w:fldCharType="separate"/>
      </w:r>
      <w:r w:rsidR="007F6E47" w:rsidRPr="00F30EFE">
        <w:rPr>
          <w:noProof/>
        </w:rPr>
        <w:t>19</w:t>
      </w:r>
      <w:r w:rsidR="00C12465">
        <w:rPr>
          <w:noProof/>
        </w:rPr>
        <w:fldChar w:fldCharType="end"/>
      </w:r>
      <w:bookmarkEnd w:id="64"/>
      <w:r w:rsidRPr="00F30EFE">
        <w:t xml:space="preserve">: STICLO </w:t>
      </w:r>
      <w:r w:rsidR="001B654E">
        <w:t xml:space="preserve">trial </w:t>
      </w:r>
      <w:r w:rsidRPr="00F30EFE">
        <w:t>Italy; Seizure frequency between comparison period (Months</w:t>
      </w:r>
      <w:r w:rsidR="001B654E">
        <w:t> </w:t>
      </w:r>
      <w:r w:rsidRPr="00F30EFE">
        <w:t>1 and 2 considered separately) and baseline period</w:t>
      </w:r>
    </w:p>
    <w:p w14:paraId="5D9B6B90" w14:textId="77777777" w:rsidR="00186497" w:rsidRPr="00F30EFE" w:rsidRDefault="00186497" w:rsidP="006E3315">
      <w:r w:rsidRPr="00F30EFE">
        <w:rPr>
          <w:noProof/>
          <w:lang w:eastAsia="en-AU"/>
        </w:rPr>
        <w:drawing>
          <wp:inline distT="0" distB="0" distL="0" distR="0" wp14:anchorId="6365C033" wp14:editId="518B59F0">
            <wp:extent cx="4318000" cy="2908326"/>
            <wp:effectExtent l="0" t="0" r="6350" b="6350"/>
            <wp:docPr id="34" name="Picture 34" descr="STICLO Italy; Seizure frequency between comparison period (Months 1 and 2 considered separately) and baselin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7427" cy="2907940"/>
                    </a:xfrm>
                    <a:prstGeom prst="rect">
                      <a:avLst/>
                    </a:prstGeom>
                    <a:noFill/>
                    <a:ln>
                      <a:noFill/>
                    </a:ln>
                  </pic:spPr>
                </pic:pic>
              </a:graphicData>
            </a:graphic>
          </wp:inline>
        </w:drawing>
      </w:r>
    </w:p>
    <w:p w14:paraId="2E7A5B3D" w14:textId="508D7652" w:rsidR="00186497" w:rsidRPr="00F30EFE" w:rsidRDefault="00186497" w:rsidP="006E3315">
      <w:pPr>
        <w:pStyle w:val="Heading7"/>
      </w:pPr>
      <w:r w:rsidRPr="00F30EFE">
        <w:t>Time elapsed until the number of seizures as that of the 1</w:t>
      </w:r>
      <w:r w:rsidR="001B654E">
        <w:t xml:space="preserve"> </w:t>
      </w:r>
      <w:r w:rsidRPr="00F30EFE">
        <w:t>month baseline period are reached</w:t>
      </w:r>
    </w:p>
    <w:p w14:paraId="270B0A87" w14:textId="0A153439" w:rsidR="00186497" w:rsidRPr="00F30EFE" w:rsidRDefault="00186497" w:rsidP="006E3315">
      <w:pPr>
        <w:pStyle w:val="ListBullet"/>
      </w:pPr>
      <w:r w:rsidRPr="00F30EFE">
        <w:t xml:space="preserve">STICLO </w:t>
      </w:r>
      <w:r w:rsidR="001B654E">
        <w:t xml:space="preserve">trial </w:t>
      </w:r>
      <w:r w:rsidRPr="00F30EFE">
        <w:t>France</w:t>
      </w:r>
    </w:p>
    <w:p w14:paraId="6D9FAEF0" w14:textId="77777777" w:rsidR="00186497" w:rsidRPr="00F30EFE" w:rsidRDefault="00186497" w:rsidP="006E3315">
      <w:pPr>
        <w:pStyle w:val="ListBullet2"/>
      </w:pPr>
      <w:r w:rsidRPr="00F30EFE">
        <w:t>The sponsor claims that the comparison did not show any significant differences between the two treatment groups, even though the proportion of patients that continue to have fewer seizure</w:t>
      </w:r>
      <w:r w:rsidR="00E84D5C" w:rsidRPr="00F30EFE">
        <w:t>s</w:t>
      </w:r>
      <w:r w:rsidRPr="00F30EFE">
        <w:t xml:space="preserve"> than in the baseline period remain relatively</w:t>
      </w:r>
      <w:r w:rsidR="006E3315" w:rsidRPr="00F30EFE">
        <w:t xml:space="preserve"> high in the stiripentol group.</w:t>
      </w:r>
    </w:p>
    <w:p w14:paraId="22071B7C" w14:textId="77777777" w:rsidR="00186497" w:rsidRPr="00F30EFE" w:rsidRDefault="00186497" w:rsidP="006E3315">
      <w:pPr>
        <w:pStyle w:val="ListBullet2"/>
      </w:pPr>
      <w:r w:rsidRPr="00F30EFE">
        <w:t>The report authors postulated that this was due to the small sample size and that an additional analysis showed that frequency of rises was significantly higher (p</w:t>
      </w:r>
      <w:r w:rsidR="006E3315" w:rsidRPr="00F30EFE">
        <w:t> </w:t>
      </w:r>
      <w:r w:rsidRPr="00F30EFE">
        <w:t>&lt;</w:t>
      </w:r>
      <w:r w:rsidR="006E3315" w:rsidRPr="00F30EFE">
        <w:t> </w:t>
      </w:r>
      <w:r w:rsidRPr="00F30EFE">
        <w:t>0.000002) in the placebo group (94.7%) than i</w:t>
      </w:r>
      <w:r w:rsidR="006E3315" w:rsidRPr="00F30EFE">
        <w:t>n the treatment group (19.0%).</w:t>
      </w:r>
    </w:p>
    <w:p w14:paraId="05B625EA" w14:textId="77777777" w:rsidR="00186497" w:rsidRPr="00F30EFE" w:rsidRDefault="00186497" w:rsidP="006E3315">
      <w:pPr>
        <w:pStyle w:val="ListBullet2"/>
      </w:pPr>
      <w:r w:rsidRPr="00F30EFE">
        <w:t>The figure below shows a Kaplan-Meier plot of the results. The yellow squares denote the placebo data points and the black squares denote the stiripentol data points. Proportion refers to the proportion of patients (in %) who have not reached the same number of seizures in the comparison period compared to the baseline period. Day 0 was the first day of the comparison period and Day 60 is the last day. The plo</w:t>
      </w:r>
      <w:r w:rsidR="00F61F96" w:rsidRPr="00F30EFE">
        <w:t xml:space="preserve">t does not extend into the open </w:t>
      </w:r>
      <w:r w:rsidRPr="00F30EFE">
        <w:t>label period.</w:t>
      </w:r>
    </w:p>
    <w:p w14:paraId="37D92886" w14:textId="6A813656" w:rsidR="006E3315" w:rsidRPr="00F30EFE" w:rsidRDefault="006E3315" w:rsidP="006E3315">
      <w:pPr>
        <w:pStyle w:val="FigureTitle"/>
      </w:pPr>
      <w:r w:rsidRPr="00F30EFE">
        <w:t xml:space="preserve">Figure </w:t>
      </w:r>
      <w:r w:rsidR="00C12465">
        <w:fldChar w:fldCharType="begin"/>
      </w:r>
      <w:r w:rsidR="00C12465">
        <w:instrText xml:space="preserve"> SEQ Figure \* ARABIC </w:instrText>
      </w:r>
      <w:r w:rsidR="00C12465">
        <w:fldChar w:fldCharType="separate"/>
      </w:r>
      <w:r w:rsidRPr="00F30EFE">
        <w:rPr>
          <w:noProof/>
        </w:rPr>
        <w:t>2</w:t>
      </w:r>
      <w:r w:rsidR="00C12465">
        <w:rPr>
          <w:noProof/>
        </w:rPr>
        <w:fldChar w:fldCharType="end"/>
      </w:r>
      <w:r w:rsidRPr="00F30EFE">
        <w:t xml:space="preserve">: STICLO </w:t>
      </w:r>
      <w:r w:rsidR="001B654E">
        <w:t xml:space="preserve">trial </w:t>
      </w:r>
      <w:r w:rsidRPr="00F30EFE">
        <w:t>France; Time elapsed until the numb</w:t>
      </w:r>
      <w:r w:rsidR="00E84D5C" w:rsidRPr="00F30EFE">
        <w:t>er of seizures as that of the 1 </w:t>
      </w:r>
      <w:r w:rsidRPr="00F30EFE">
        <w:t>month baseline period are reached</w:t>
      </w:r>
    </w:p>
    <w:p w14:paraId="20F45E18" w14:textId="77777777" w:rsidR="00186497" w:rsidRPr="00F30EFE" w:rsidRDefault="00186497" w:rsidP="006E3315">
      <w:r w:rsidRPr="00F30EFE">
        <w:rPr>
          <w:noProof/>
          <w:lang w:eastAsia="en-AU"/>
        </w:rPr>
        <w:drawing>
          <wp:inline distT="0" distB="0" distL="0" distR="0" wp14:anchorId="6A063E3A" wp14:editId="0C8E2272">
            <wp:extent cx="3619500" cy="1808097"/>
            <wp:effectExtent l="0" t="0" r="0" b="1905"/>
            <wp:docPr id="145" name="Picture 145" descr="STICLO France; Time elapsed until the number of seizures as that of the 1 month baseline period are re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948" cy="1808321"/>
                    </a:xfrm>
                    <a:prstGeom prst="rect">
                      <a:avLst/>
                    </a:prstGeom>
                    <a:noFill/>
                    <a:ln>
                      <a:noFill/>
                    </a:ln>
                  </pic:spPr>
                </pic:pic>
              </a:graphicData>
            </a:graphic>
          </wp:inline>
        </w:drawing>
      </w:r>
    </w:p>
    <w:p w14:paraId="59CA8826" w14:textId="77777777" w:rsidR="00E84D5C" w:rsidRPr="00F30EFE" w:rsidRDefault="00E84D5C" w:rsidP="00E84D5C">
      <w:pPr>
        <w:pStyle w:val="TableDescription"/>
      </w:pPr>
      <w:r w:rsidRPr="00F30EFE">
        <w:t>STP = stiripentol, PL = placebo.</w:t>
      </w:r>
    </w:p>
    <w:p w14:paraId="49D5F3F1" w14:textId="391EF603" w:rsidR="00186497" w:rsidRPr="00F30EFE" w:rsidRDefault="00186497" w:rsidP="006E3315">
      <w:pPr>
        <w:pStyle w:val="ListBullet"/>
      </w:pPr>
      <w:r w:rsidRPr="00F30EFE">
        <w:t xml:space="preserve">STICLO </w:t>
      </w:r>
      <w:r w:rsidR="00CC19E9">
        <w:t xml:space="preserve">trial </w:t>
      </w:r>
      <w:r w:rsidRPr="00F30EFE">
        <w:t>Italy</w:t>
      </w:r>
    </w:p>
    <w:p w14:paraId="2FFC5219" w14:textId="77777777" w:rsidR="00186497" w:rsidRPr="00F30EFE" w:rsidRDefault="00186497" w:rsidP="006E3315">
      <w:pPr>
        <w:pStyle w:val="ListBullet2"/>
      </w:pPr>
      <w:r w:rsidRPr="00F30EFE">
        <w:lastRenderedPageBreak/>
        <w:t xml:space="preserve">No results were provided and the following justification given: </w:t>
      </w:r>
      <w:r w:rsidR="006E3315" w:rsidRPr="00F30EFE">
        <w:t>‘</w:t>
      </w:r>
      <w:r w:rsidRPr="00F30EFE">
        <w:t>The latent time to obtaining the same number of seizures as that during the baseline month should have been analysed as an actuarial curve, using the Kaplan-Meier technique. This was impossible given the small number of p</w:t>
      </w:r>
      <w:r w:rsidR="006E3315" w:rsidRPr="00F30EFE">
        <w:t>atients included in this study.’</w:t>
      </w:r>
    </w:p>
    <w:p w14:paraId="7DE651FC" w14:textId="77777777" w:rsidR="00186497" w:rsidRPr="00F30EFE" w:rsidRDefault="00186497" w:rsidP="00186497">
      <w:pPr>
        <w:pStyle w:val="Heading4"/>
      </w:pPr>
      <w:bookmarkStart w:id="65" w:name="_Ref271037188"/>
      <w:bookmarkStart w:id="66" w:name="_Ref271037210"/>
      <w:bookmarkStart w:id="67" w:name="_Toc272414655"/>
      <w:bookmarkStart w:id="68" w:name="_Toc290888503"/>
      <w:bookmarkStart w:id="69" w:name="_Toc416353719"/>
      <w:bookmarkStart w:id="70" w:name="_Toc421005270"/>
      <w:bookmarkStart w:id="71" w:name="_Toc432079152"/>
      <w:bookmarkStart w:id="72" w:name="_Toc432080725"/>
      <w:bookmarkStart w:id="73" w:name="_Toc490668226"/>
      <w:bookmarkStart w:id="74" w:name="_Toc241374311"/>
      <w:bookmarkStart w:id="75" w:name="_Ref243294291"/>
      <w:r w:rsidRPr="00F30EFE">
        <w:t>Other efficacy studies</w:t>
      </w:r>
      <w:bookmarkEnd w:id="65"/>
      <w:bookmarkEnd w:id="66"/>
      <w:bookmarkEnd w:id="67"/>
      <w:bookmarkEnd w:id="68"/>
      <w:bookmarkEnd w:id="69"/>
      <w:bookmarkEnd w:id="70"/>
      <w:bookmarkEnd w:id="71"/>
      <w:bookmarkEnd w:id="72"/>
      <w:bookmarkEnd w:id="73"/>
      <w:r w:rsidRPr="00F30EFE">
        <w:t>:</w:t>
      </w:r>
    </w:p>
    <w:p w14:paraId="07E426A3" w14:textId="6D7804B8" w:rsidR="00B2268B" w:rsidRPr="00F30EFE" w:rsidRDefault="00186497" w:rsidP="00E45FE7">
      <w:pPr>
        <w:pStyle w:val="ListBullet"/>
      </w:pPr>
      <w:bookmarkStart w:id="76" w:name="_Ref478372211"/>
      <w:bookmarkEnd w:id="74"/>
      <w:bookmarkEnd w:id="75"/>
      <w:r w:rsidRPr="00F30EFE">
        <w:t xml:space="preserve">STEV </w:t>
      </w:r>
      <w:r w:rsidR="00CC19E9">
        <w:t xml:space="preserve">trial </w:t>
      </w:r>
      <w:r w:rsidRPr="00F30EFE">
        <w:t>(</w:t>
      </w:r>
      <w:r w:rsidR="00CC19E9">
        <w:t xml:space="preserve">Study </w:t>
      </w:r>
      <w:r w:rsidRPr="00F30EFE">
        <w:t>BC.288)</w:t>
      </w:r>
      <w:bookmarkEnd w:id="76"/>
      <w:r w:rsidRPr="00F30EFE">
        <w:t xml:space="preserve">: </w:t>
      </w:r>
      <w:r w:rsidR="00CC19E9">
        <w:t xml:space="preserve">The </w:t>
      </w:r>
      <w:r w:rsidR="006E3315" w:rsidRPr="00F30EFE">
        <w:t>STEV</w:t>
      </w:r>
      <w:r w:rsidR="00CC19E9">
        <w:t xml:space="preserve"> trial</w:t>
      </w:r>
      <w:r w:rsidR="006E3315" w:rsidRPr="00F30EFE">
        <w:t xml:space="preserve"> was a P</w:t>
      </w:r>
      <w:r w:rsidRPr="00F30EFE">
        <w:t>hase II, bicentre, pros</w:t>
      </w:r>
      <w:r w:rsidR="006E3315" w:rsidRPr="00F30EFE">
        <w:t>pective, non</w:t>
      </w:r>
      <w:r w:rsidR="00CC19E9">
        <w:noBreakHyphen/>
      </w:r>
      <w:r w:rsidR="006E3315" w:rsidRPr="00F30EFE">
        <w:t xml:space="preserve">randomised, single group, single </w:t>
      </w:r>
      <w:r w:rsidRPr="00F30EFE">
        <w:t>blind trial, to investigate stiripentol in 233 children with severe refractory epilepsy (24 children with Dravet syndrome, 20 with an evaluable efficacy result).</w:t>
      </w:r>
    </w:p>
    <w:p w14:paraId="56AAF8E1" w14:textId="647D4F54" w:rsidR="00186497" w:rsidRPr="00F30EFE" w:rsidRDefault="00186497" w:rsidP="00E45FE7">
      <w:pPr>
        <w:pStyle w:val="ListBullet"/>
      </w:pPr>
      <w:bookmarkStart w:id="77" w:name="_Ref478372225"/>
      <w:r w:rsidRPr="00F30EFE">
        <w:t>STILON</w:t>
      </w:r>
      <w:r w:rsidR="00CC19E9">
        <w:t xml:space="preserve"> trial</w:t>
      </w:r>
      <w:r w:rsidRPr="00F30EFE">
        <w:t xml:space="preserve"> (STP 139-STILON) (</w:t>
      </w:r>
      <w:r w:rsidR="00CC19E9">
        <w:t xml:space="preserve">Study </w:t>
      </w:r>
      <w:r w:rsidRPr="00F30EFE">
        <w:t>BC.387)</w:t>
      </w:r>
      <w:bookmarkEnd w:id="77"/>
      <w:r w:rsidRPr="00F30EFE">
        <w:t xml:space="preserve">: </w:t>
      </w:r>
      <w:r w:rsidR="00CC19E9">
        <w:t xml:space="preserve">The </w:t>
      </w:r>
      <w:r w:rsidR="006E3315" w:rsidRPr="00F30EFE">
        <w:t xml:space="preserve">STILON </w:t>
      </w:r>
      <w:r w:rsidR="00CC19E9">
        <w:t xml:space="preserve">trial </w:t>
      </w:r>
      <w:r w:rsidR="006E3315" w:rsidRPr="00F30EFE">
        <w:t>was a P</w:t>
      </w:r>
      <w:r w:rsidRPr="00F30EFE">
        <w:t>hase III, multicentre (39 centres), pros</w:t>
      </w:r>
      <w:r w:rsidR="006E3315" w:rsidRPr="00F30EFE">
        <w:t xml:space="preserve">pective, non-randomised, single group, open </w:t>
      </w:r>
      <w:r w:rsidRPr="00F30EFE">
        <w:t>label trial, to investigate stiripentol in 155 children with refractory epilepsy (45 children with Dravet syndrome)</w:t>
      </w:r>
      <w:r w:rsidR="00167F5F" w:rsidRPr="00F30EFE">
        <w:t xml:space="preserve">. </w:t>
      </w:r>
      <w:r w:rsidR="00CC19E9">
        <w:t xml:space="preserve">The </w:t>
      </w:r>
      <w:r w:rsidR="00167F5F" w:rsidRPr="00F30EFE">
        <w:t xml:space="preserve">STILON </w:t>
      </w:r>
      <w:r w:rsidR="00CC19E9">
        <w:t xml:space="preserve">trial </w:t>
      </w:r>
      <w:r w:rsidR="00167F5F" w:rsidRPr="00F30EFE">
        <w:t>was mainly a safety study. It had efficacy data, even though this was not the primary objective.</w:t>
      </w:r>
    </w:p>
    <w:p w14:paraId="781ABC62" w14:textId="20A12F8F" w:rsidR="00186497" w:rsidRPr="00F30EFE" w:rsidRDefault="00186497" w:rsidP="00E45FE7">
      <w:pPr>
        <w:pStyle w:val="ListBullet"/>
      </w:pPr>
      <w:bookmarkStart w:id="78" w:name="_Ref478372232"/>
      <w:bookmarkStart w:id="79" w:name="_Ref488833007"/>
      <w:r w:rsidRPr="00F30EFE">
        <w:t>TAU-EAP</w:t>
      </w:r>
      <w:r w:rsidR="00CC19E9">
        <w:t xml:space="preserve"> trial</w:t>
      </w:r>
      <w:r w:rsidRPr="00F30EFE">
        <w:t xml:space="preserve"> (</w:t>
      </w:r>
      <w:r w:rsidR="00CC19E9">
        <w:t xml:space="preserve">Study </w:t>
      </w:r>
      <w:r w:rsidRPr="00F30EFE">
        <w:t>BC.458)</w:t>
      </w:r>
      <w:bookmarkEnd w:id="78"/>
      <w:bookmarkEnd w:id="79"/>
      <w:r w:rsidR="00394B0C" w:rsidRPr="00F30EFE">
        <w:t xml:space="preserve">: </w:t>
      </w:r>
      <w:r w:rsidRPr="00F30EFE">
        <w:t>The TAU-EAP</w:t>
      </w:r>
      <w:r w:rsidR="00CC19E9">
        <w:t xml:space="preserve"> trial</w:t>
      </w:r>
      <w:r w:rsidRPr="00F30EFE">
        <w:t xml:space="preserve"> was a multicentre (77 sites) prospective, n</w:t>
      </w:r>
      <w:r w:rsidR="006E3315" w:rsidRPr="00F30EFE">
        <w:t>on</w:t>
      </w:r>
      <w:r w:rsidR="006E3315" w:rsidRPr="00F30EFE">
        <w:noBreakHyphen/>
        <w:t xml:space="preserve">randomised, single group, open </w:t>
      </w:r>
      <w:r w:rsidRPr="00F30EFE">
        <w:t>label trial to</w:t>
      </w:r>
      <w:r w:rsidR="006E3315" w:rsidRPr="00F30EFE">
        <w:t xml:space="preserve"> investigate stiripentol in 272 </w:t>
      </w:r>
      <w:r w:rsidRPr="00F30EFE">
        <w:t>children with Dravet syndrome.</w:t>
      </w:r>
      <w:r w:rsidR="00167F5F" w:rsidRPr="00F30EFE">
        <w:t xml:space="preserve"> </w:t>
      </w:r>
      <w:r w:rsidR="00CC19E9">
        <w:t xml:space="preserve">The </w:t>
      </w:r>
      <w:r w:rsidR="00167F5F" w:rsidRPr="00F30EFE">
        <w:t>TAU-EAP</w:t>
      </w:r>
      <w:r w:rsidR="00CC19E9">
        <w:t xml:space="preserve"> trial</w:t>
      </w:r>
      <w:r w:rsidR="00167F5F" w:rsidRPr="00F30EFE">
        <w:t xml:space="preserve"> (</w:t>
      </w:r>
      <w:r w:rsidR="00CC19E9">
        <w:t xml:space="preserve">Study </w:t>
      </w:r>
      <w:r w:rsidR="00167F5F" w:rsidRPr="00F30EFE">
        <w:t>BC.458) was mainly a safety/pharmacovigilance study with limited efficacy data.</w:t>
      </w:r>
    </w:p>
    <w:p w14:paraId="34B9E3FA" w14:textId="731E7788" w:rsidR="00186497" w:rsidRPr="00F30EFE" w:rsidRDefault="00186497" w:rsidP="00E45FE7">
      <w:pPr>
        <w:pStyle w:val="ListBullet"/>
      </w:pPr>
      <w:bookmarkStart w:id="80" w:name="_Ref477685609"/>
      <w:r w:rsidRPr="00F30EFE">
        <w:t>STP-1</w:t>
      </w:r>
      <w:r w:rsidR="00CC19E9">
        <w:t xml:space="preserve"> trial</w:t>
      </w:r>
      <w:r w:rsidRPr="00F30EFE">
        <w:t xml:space="preserve"> (</w:t>
      </w:r>
      <w:r w:rsidR="00CC19E9">
        <w:t xml:space="preserve">Study </w:t>
      </w:r>
      <w:r w:rsidRPr="00F30EFE">
        <w:t>BC.609)</w:t>
      </w:r>
      <w:bookmarkEnd w:id="80"/>
      <w:r w:rsidR="00394B0C" w:rsidRPr="00F30EFE">
        <w:t xml:space="preserve">: </w:t>
      </w:r>
      <w:r w:rsidR="00CC19E9">
        <w:t xml:space="preserve">The </w:t>
      </w:r>
      <w:r w:rsidR="006E3315" w:rsidRPr="00F30EFE">
        <w:t>STP-1</w:t>
      </w:r>
      <w:r w:rsidR="00CC19E9">
        <w:t xml:space="preserve"> trial</w:t>
      </w:r>
      <w:r w:rsidR="006E3315" w:rsidRPr="00F30EFE">
        <w:t xml:space="preserve"> was a P</w:t>
      </w:r>
      <w:r w:rsidRPr="00F30EFE">
        <w:t>hase III, multicentre (11 c</w:t>
      </w:r>
      <w:r w:rsidR="006E3315" w:rsidRPr="00F30EFE">
        <w:t>entres), prospective, non</w:t>
      </w:r>
      <w:r w:rsidR="006E3315" w:rsidRPr="00F30EFE">
        <w:noBreakHyphen/>
        <w:t xml:space="preserve">randomised, open </w:t>
      </w:r>
      <w:r w:rsidRPr="00F30EFE">
        <w:t>label trial, to investigate stiripentol in 30 Japanese subjects with Dravet syndrome</w:t>
      </w:r>
      <w:r w:rsidR="006E3315" w:rsidRPr="00F30EFE">
        <w:t>.</w:t>
      </w:r>
    </w:p>
    <w:p w14:paraId="5A6BC8B5" w14:textId="20FA63E7" w:rsidR="00186497" w:rsidRPr="00F30EFE" w:rsidRDefault="00394B0C" w:rsidP="00E45FE7">
      <w:pPr>
        <w:pStyle w:val="ListBullet"/>
      </w:pPr>
      <w:r w:rsidRPr="00F30EFE">
        <w:t xml:space="preserve">DIAVEY </w:t>
      </w:r>
      <w:r w:rsidR="00CC19E9">
        <w:t xml:space="preserve">trial </w:t>
      </w:r>
      <w:r w:rsidRPr="00F30EFE">
        <w:t>(</w:t>
      </w:r>
      <w:r w:rsidR="00CC19E9">
        <w:t xml:space="preserve">Study </w:t>
      </w:r>
      <w:r w:rsidRPr="00F30EFE">
        <w:t xml:space="preserve">BC.627): </w:t>
      </w:r>
      <w:r w:rsidR="00CC19E9">
        <w:t xml:space="preserve">The </w:t>
      </w:r>
      <w:r w:rsidR="00186497" w:rsidRPr="00F30EFE">
        <w:t>DIAVEY</w:t>
      </w:r>
      <w:r w:rsidR="00CC19E9">
        <w:t xml:space="preserve"> trial</w:t>
      </w:r>
      <w:r w:rsidR="00186497" w:rsidRPr="00F30EFE">
        <w:t xml:space="preserve"> was a dedicated safety study </w:t>
      </w:r>
      <w:r w:rsidRPr="00F30EFE">
        <w:t>with limited efficacy data.</w:t>
      </w:r>
    </w:p>
    <w:p w14:paraId="73FFAE41" w14:textId="77777777" w:rsidR="006E3315" w:rsidRPr="00F30EFE" w:rsidRDefault="006E3315" w:rsidP="00CD79AB">
      <w:pPr>
        <w:rPr>
          <w:lang w:eastAsia="ja-JP"/>
        </w:rPr>
      </w:pPr>
      <w:r w:rsidRPr="00F30EFE">
        <w:rPr>
          <w:lang w:eastAsia="ja-JP"/>
        </w:rPr>
        <w:t>A summary of retrospective chart reviews from the liter</w:t>
      </w:r>
      <w:r w:rsidR="007F6E47" w:rsidRPr="00F30EFE">
        <w:rPr>
          <w:lang w:eastAsia="ja-JP"/>
        </w:rPr>
        <w:t xml:space="preserve">ature is shown in </w:t>
      </w:r>
      <w:r w:rsidR="007F6E47" w:rsidRPr="00F30EFE">
        <w:rPr>
          <w:lang w:eastAsia="ja-JP"/>
        </w:rPr>
        <w:fldChar w:fldCharType="begin"/>
      </w:r>
      <w:r w:rsidR="007F6E47" w:rsidRPr="00F30EFE">
        <w:rPr>
          <w:lang w:eastAsia="ja-JP"/>
        </w:rPr>
        <w:instrText xml:space="preserve"> REF _Ref23171452 \h </w:instrText>
      </w:r>
      <w:r w:rsidR="007F6E47" w:rsidRPr="00F30EFE">
        <w:rPr>
          <w:lang w:eastAsia="ja-JP"/>
        </w:rPr>
      </w:r>
      <w:r w:rsidR="007F6E47" w:rsidRPr="00F30EFE">
        <w:rPr>
          <w:lang w:eastAsia="ja-JP"/>
        </w:rPr>
        <w:fldChar w:fldCharType="separate"/>
      </w:r>
      <w:r w:rsidR="007F6E47" w:rsidRPr="00F30EFE">
        <w:t xml:space="preserve">Table </w:t>
      </w:r>
      <w:r w:rsidR="007F6E47" w:rsidRPr="00F30EFE">
        <w:rPr>
          <w:noProof/>
        </w:rPr>
        <w:t>20</w:t>
      </w:r>
      <w:r w:rsidR="007F6E47" w:rsidRPr="00F30EFE">
        <w:rPr>
          <w:lang w:eastAsia="ja-JP"/>
        </w:rPr>
        <w:fldChar w:fldCharType="end"/>
      </w:r>
      <w:r w:rsidR="007F6E47" w:rsidRPr="00F30EFE">
        <w:rPr>
          <w:lang w:eastAsia="ja-JP"/>
        </w:rPr>
        <w:t>.</w:t>
      </w:r>
    </w:p>
    <w:p w14:paraId="32CCE009" w14:textId="77777777" w:rsidR="00186497" w:rsidRPr="00F30EFE" w:rsidRDefault="007F6E47" w:rsidP="00E84D5C">
      <w:pPr>
        <w:pStyle w:val="TableTitle"/>
        <w:rPr>
          <w:lang w:eastAsia="ja-JP"/>
        </w:rPr>
      </w:pPr>
      <w:bookmarkStart w:id="81" w:name="_Ref23171452"/>
      <w:r w:rsidRPr="00F30EFE">
        <w:lastRenderedPageBreak/>
        <w:t xml:space="preserve">Table </w:t>
      </w:r>
      <w:r w:rsidR="00C12465">
        <w:fldChar w:fldCharType="begin"/>
      </w:r>
      <w:r w:rsidR="00C12465">
        <w:instrText xml:space="preserve"> SEQ Table \* ARABIC </w:instrText>
      </w:r>
      <w:r w:rsidR="00C12465">
        <w:fldChar w:fldCharType="separate"/>
      </w:r>
      <w:r w:rsidRPr="00F30EFE">
        <w:rPr>
          <w:noProof/>
        </w:rPr>
        <w:t>20</w:t>
      </w:r>
      <w:r w:rsidR="00C12465">
        <w:rPr>
          <w:noProof/>
        </w:rPr>
        <w:fldChar w:fldCharType="end"/>
      </w:r>
      <w:bookmarkEnd w:id="81"/>
      <w:r w:rsidRPr="00F30EFE">
        <w:t xml:space="preserve">: </w:t>
      </w:r>
      <w:r w:rsidR="00186497" w:rsidRPr="00F30EFE">
        <w:rPr>
          <w:lang w:eastAsia="ja-JP"/>
        </w:rPr>
        <w:t>Summary of retrospective chart reviews from the</w:t>
      </w:r>
      <w:r w:rsidRPr="00F30EFE">
        <w:rPr>
          <w:lang w:eastAsia="ja-JP"/>
        </w:rPr>
        <w:t xml:space="preserve"> literature</w:t>
      </w:r>
    </w:p>
    <w:p w14:paraId="78BB8CD0" w14:textId="77777777" w:rsidR="00186497" w:rsidRPr="00F30EFE" w:rsidRDefault="00186497" w:rsidP="00CD79AB">
      <w:pPr>
        <w:rPr>
          <w:lang w:eastAsia="ja-JP"/>
        </w:rPr>
      </w:pPr>
      <w:r w:rsidRPr="00F30EFE">
        <w:rPr>
          <w:noProof/>
          <w:lang w:eastAsia="en-AU"/>
        </w:rPr>
        <w:drawing>
          <wp:inline distT="0" distB="0" distL="0" distR="0" wp14:anchorId="43CC2E0E" wp14:editId="0B0FA33C">
            <wp:extent cx="5400040" cy="4963795"/>
            <wp:effectExtent l="0" t="0" r="0" b="8255"/>
            <wp:docPr id="1" name="Picture 1" descr="Summary of retrospective chart reviews from the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4963795"/>
                    </a:xfrm>
                    <a:prstGeom prst="rect">
                      <a:avLst/>
                    </a:prstGeom>
                  </pic:spPr>
                </pic:pic>
              </a:graphicData>
            </a:graphic>
          </wp:inline>
        </w:drawing>
      </w:r>
    </w:p>
    <w:p w14:paraId="4E15F5B5" w14:textId="77777777" w:rsidR="00186497" w:rsidRPr="00F30EFE" w:rsidRDefault="00E84D5C" w:rsidP="00394B0C">
      <w:pPr>
        <w:pStyle w:val="Heading4"/>
      </w:pPr>
      <w:bookmarkStart w:id="82" w:name="_Ref271126605"/>
      <w:bookmarkStart w:id="83" w:name="_Toc272414657"/>
      <w:bookmarkStart w:id="84" w:name="_Toc290888508"/>
      <w:bookmarkStart w:id="85" w:name="_Toc416353724"/>
      <w:bookmarkStart w:id="86" w:name="_Toc421005272"/>
      <w:bookmarkStart w:id="87" w:name="_Toc432079154"/>
      <w:bookmarkStart w:id="88" w:name="_Toc432080727"/>
      <w:bookmarkStart w:id="89" w:name="_Toc490668228"/>
      <w:r w:rsidRPr="00F30EFE">
        <w:t>Clinical evaluator’s</w:t>
      </w:r>
      <w:r w:rsidR="00186497" w:rsidRPr="00F30EFE">
        <w:t xml:space="preserve"> conclusions on clinical efficacy</w:t>
      </w:r>
      <w:bookmarkEnd w:id="82"/>
      <w:bookmarkEnd w:id="83"/>
      <w:bookmarkEnd w:id="84"/>
      <w:bookmarkEnd w:id="85"/>
      <w:bookmarkEnd w:id="86"/>
      <w:bookmarkEnd w:id="87"/>
      <w:bookmarkEnd w:id="88"/>
      <w:bookmarkEnd w:id="89"/>
    </w:p>
    <w:p w14:paraId="3B7FFB31" w14:textId="1EDB9289" w:rsidR="00186497" w:rsidRPr="00F30EFE" w:rsidRDefault="00186497" w:rsidP="00394B0C">
      <w:pPr>
        <w:pStyle w:val="ListBullet"/>
      </w:pPr>
      <w:r w:rsidRPr="00F30EFE">
        <w:t xml:space="preserve">In </w:t>
      </w:r>
      <w:r w:rsidR="00CC19E9">
        <w:t xml:space="preserve">the </w:t>
      </w:r>
      <w:r w:rsidRPr="00F30EFE">
        <w:t xml:space="preserve">STICLO </w:t>
      </w:r>
      <w:r w:rsidR="00CC19E9">
        <w:t xml:space="preserve">trial </w:t>
      </w:r>
      <w:r w:rsidRPr="00F30EFE">
        <w:t>France, the risk (treatment success) difference between t</w:t>
      </w:r>
      <w:r w:rsidR="007F6E47" w:rsidRPr="00F30EFE">
        <w:t>reatment groups (stiripentol versus</w:t>
      </w:r>
      <w:r w:rsidRPr="00F30EFE">
        <w:t xml:space="preserve"> placebo) was 66.4% (95% CI: 44.8%, 88.4%); odds ratio </w:t>
      </w:r>
      <w:r w:rsidR="00E84D5C" w:rsidRPr="00F30EFE">
        <w:t>(</w:t>
      </w:r>
      <w:r w:rsidRPr="00F30EFE">
        <w:t>OR</w:t>
      </w:r>
      <w:r w:rsidR="00E84D5C" w:rsidRPr="00F30EFE">
        <w:t>)</w:t>
      </w:r>
      <w:r w:rsidR="00167F5F" w:rsidRPr="00F30EFE">
        <w:t xml:space="preserve"> </w:t>
      </w:r>
      <w:r w:rsidRPr="00F30EFE">
        <w:t>=</w:t>
      </w:r>
      <w:r w:rsidR="00167F5F" w:rsidRPr="00F30EFE">
        <w:t xml:space="preserve"> </w:t>
      </w:r>
      <w:r w:rsidR="000A45E4" w:rsidRPr="00F30EFE">
        <w:t>47.5 (p</w:t>
      </w:r>
      <w:r w:rsidR="00167F5F" w:rsidRPr="00F30EFE">
        <w:t> </w:t>
      </w:r>
      <w:r w:rsidRPr="00F30EFE">
        <w:t>&lt;</w:t>
      </w:r>
      <w:r w:rsidR="00167F5F" w:rsidRPr="00F30EFE">
        <w:t> </w:t>
      </w:r>
      <w:r w:rsidRPr="00F30EFE">
        <w:t>0.00002).</w:t>
      </w:r>
    </w:p>
    <w:p w14:paraId="37D469DB" w14:textId="689164DD" w:rsidR="00186497" w:rsidRPr="00F30EFE" w:rsidRDefault="00186497" w:rsidP="00394B0C">
      <w:pPr>
        <w:pStyle w:val="ListBullet"/>
      </w:pPr>
      <w:r w:rsidRPr="00F30EFE">
        <w:t xml:space="preserve">In STICLO </w:t>
      </w:r>
      <w:r w:rsidR="00CC19E9">
        <w:t xml:space="preserve">trial </w:t>
      </w:r>
      <w:r w:rsidRPr="00F30EFE">
        <w:t>Italy, the risk (treatment success) difference between t</w:t>
      </w:r>
      <w:r w:rsidR="007F6E47" w:rsidRPr="00F30EFE">
        <w:t>reatment groups (stiripentol versus</w:t>
      </w:r>
      <w:r w:rsidRPr="00F30EFE">
        <w:t xml:space="preserve"> placebo) was 57.6% (95</w:t>
      </w:r>
      <w:r w:rsidR="00E84D5C" w:rsidRPr="00F30EFE">
        <w:t xml:space="preserve">% CI: 34.9%, 90.2%); </w:t>
      </w:r>
      <w:r w:rsidRPr="00F30EFE">
        <w:t>OR</w:t>
      </w:r>
      <w:r w:rsidR="00167F5F" w:rsidRPr="00F30EFE">
        <w:t xml:space="preserve"> </w:t>
      </w:r>
      <w:r w:rsidRPr="00F30EFE">
        <w:t>=</w:t>
      </w:r>
      <w:r w:rsidR="00167F5F" w:rsidRPr="00F30EFE">
        <w:t xml:space="preserve"> </w:t>
      </w:r>
      <w:r w:rsidR="000A45E4" w:rsidRPr="00F30EFE">
        <w:t>20.00 (p</w:t>
      </w:r>
      <w:r w:rsidR="00167F5F" w:rsidRPr="00F30EFE">
        <w:t> </w:t>
      </w:r>
      <w:r w:rsidRPr="00F30EFE">
        <w:t>=</w:t>
      </w:r>
      <w:r w:rsidR="00167F5F" w:rsidRPr="00F30EFE">
        <w:t> </w:t>
      </w:r>
      <w:r w:rsidRPr="00F30EFE">
        <w:t>0.009).</w:t>
      </w:r>
    </w:p>
    <w:p w14:paraId="6AEDD557" w14:textId="77777777" w:rsidR="00186497" w:rsidRPr="00F30EFE" w:rsidRDefault="00186497" w:rsidP="00394B0C">
      <w:pPr>
        <w:pStyle w:val="ListBullet"/>
      </w:pPr>
      <w:r w:rsidRPr="00F30EFE">
        <w:t>In both pivotal trials, separately and pooled results showed a significant treatment effect favouring stiripentol over placebo. The effect was large enough to be clinically significant. Even when the lower limit of the confidence interval of the risk difference is used, the results show a clinically significant difference between the treatment groups, both in relative and absolute terms. The secondary endpoint results were generally supportive. No patients in the placebo groups reached seizure-free status.</w:t>
      </w:r>
    </w:p>
    <w:p w14:paraId="411E6231" w14:textId="77777777" w:rsidR="00186497" w:rsidRPr="00F30EFE" w:rsidRDefault="00186497" w:rsidP="00394B0C">
      <w:pPr>
        <w:pStyle w:val="ListBullet"/>
      </w:pPr>
      <w:r w:rsidRPr="00F30EFE">
        <w:t xml:space="preserve">The </w:t>
      </w:r>
      <w:r w:rsidRPr="00F30EFE">
        <w:rPr>
          <w:i/>
        </w:rPr>
        <w:t>post hoc</w:t>
      </w:r>
      <w:r w:rsidRPr="00F30EFE">
        <w:t xml:space="preserve"> covariate adjusted analysis was suggestive of an independent stiripentol effect on seizure activity but, the latter does not influence the support for the proposed indication of stiripentol as an adjuvant.</w:t>
      </w:r>
    </w:p>
    <w:p w14:paraId="45A9C7BE" w14:textId="2D519DC1" w:rsidR="00186497" w:rsidRPr="00F30EFE" w:rsidRDefault="00186497" w:rsidP="00394B0C">
      <w:pPr>
        <w:pStyle w:val="ListBullet"/>
      </w:pPr>
      <w:r w:rsidRPr="00F30EFE">
        <w:t xml:space="preserve">In the pooled STICLO France/Italy </w:t>
      </w:r>
      <w:r w:rsidR="00CC19E9">
        <w:t>trials</w:t>
      </w:r>
      <w:r w:rsidRPr="00F30EFE">
        <w:t xml:space="preserve">, the secondary efficacy outcome as in the decrease in seizure distribution was supportive of efficacy response in the </w:t>
      </w:r>
      <w:r w:rsidR="007F6E47" w:rsidRPr="00F30EFE">
        <w:t>stiripentol</w:t>
      </w:r>
      <w:r w:rsidRPr="00F30EFE">
        <w:t xml:space="preserve"> group but not in the placebo group (non-response).</w:t>
      </w:r>
    </w:p>
    <w:p w14:paraId="1D60AAFA" w14:textId="77777777" w:rsidR="00186497" w:rsidRPr="00F30EFE" w:rsidRDefault="00186497" w:rsidP="00394B0C">
      <w:pPr>
        <w:pStyle w:val="ListBullet"/>
        <w:rPr>
          <w:b/>
        </w:rPr>
      </w:pPr>
      <w:r w:rsidRPr="00F30EFE">
        <w:lastRenderedPageBreak/>
        <w:t>The non-pivotal studies were generally supportive of efficacy in the target population for the proposed indication, but only in conjunction with the pivotal study data.</w:t>
      </w:r>
    </w:p>
    <w:p w14:paraId="208C0254" w14:textId="3B94C867" w:rsidR="00186497" w:rsidRPr="00F30EFE" w:rsidRDefault="00186497" w:rsidP="00394B0C">
      <w:pPr>
        <w:pStyle w:val="ListBullet"/>
      </w:pPr>
      <w:r w:rsidRPr="00F30EFE">
        <w:t xml:space="preserve">The pivotal trials (STICLO France/Italy) enrolled only children over the age of 3 years. Some of the studies included </w:t>
      </w:r>
      <w:r w:rsidR="007F6E47" w:rsidRPr="00F30EFE">
        <w:t>children that were younger, for example,</w:t>
      </w:r>
      <w:r w:rsidRPr="00F30EFE">
        <w:t xml:space="preserve"> </w:t>
      </w:r>
      <w:r w:rsidR="00CC19E9">
        <w:t xml:space="preserve">the </w:t>
      </w:r>
      <w:r w:rsidRPr="00F30EFE">
        <w:t xml:space="preserve">STEV </w:t>
      </w:r>
      <w:r w:rsidR="00CC19E9">
        <w:t xml:space="preserve">trial </w:t>
      </w:r>
      <w:r w:rsidRPr="00F30EFE">
        <w:t>(2 months to 15 years) (&gt;</w:t>
      </w:r>
      <w:r w:rsidR="007F6E47" w:rsidRPr="00F30EFE">
        <w:t xml:space="preserve"> </w:t>
      </w:r>
      <w:r w:rsidRPr="00F30EFE">
        <w:t>5 kg), DIAVEY</w:t>
      </w:r>
      <w:r w:rsidR="00CC19E9">
        <w:t xml:space="preserve"> trial</w:t>
      </w:r>
      <w:r w:rsidRPr="00F30EFE">
        <w:t xml:space="preserve"> (6 months to 25 years), but the exposure was low .The </w:t>
      </w:r>
      <w:r w:rsidR="0027755C" w:rsidRPr="00F30EFE">
        <w:rPr>
          <w:lang w:eastAsia="ja-JP"/>
        </w:rPr>
        <w:t>Integrated Summary of Effectiveness (ISE)</w:t>
      </w:r>
      <w:r w:rsidRPr="00F30EFE">
        <w:t xml:space="preserve"> did not stratify children under 3</w:t>
      </w:r>
      <w:r w:rsidR="00CC19E9">
        <w:t> </w:t>
      </w:r>
      <w:r w:rsidRPr="00F30EFE">
        <w:t>years further; they were grouped together. It would have been advantageous to stratify the population further to obtain data separately for children between 1 and 2</w:t>
      </w:r>
      <w:r w:rsidR="00CC19E9">
        <w:t> </w:t>
      </w:r>
      <w:r w:rsidRPr="00F30EFE">
        <w:t xml:space="preserve">years of </w:t>
      </w:r>
      <w:r w:rsidR="00394B0C" w:rsidRPr="00F30EFE">
        <w:t>age, and children under 1 year.</w:t>
      </w:r>
    </w:p>
    <w:p w14:paraId="36420B43" w14:textId="2EACF5F2" w:rsidR="00186497" w:rsidRPr="00F30EFE" w:rsidRDefault="00186497" w:rsidP="00394B0C">
      <w:pPr>
        <w:pStyle w:val="ListBullet"/>
      </w:pPr>
      <w:r w:rsidRPr="00F30EFE">
        <w:t xml:space="preserve">No adults were involved in the pivotal trials. A limited number of adults were included in </w:t>
      </w:r>
      <w:r w:rsidR="00CC19E9">
        <w:t xml:space="preserve">the </w:t>
      </w:r>
      <w:r w:rsidRPr="00F30EFE">
        <w:t>STP-1 (n</w:t>
      </w:r>
      <w:r w:rsidR="0027755C" w:rsidRPr="00F30EFE">
        <w:t xml:space="preserve"> </w:t>
      </w:r>
      <w:r w:rsidRPr="00F30EFE">
        <w:t>=</w:t>
      </w:r>
      <w:r w:rsidR="0027755C" w:rsidRPr="00F30EFE">
        <w:t xml:space="preserve"> </w:t>
      </w:r>
      <w:r w:rsidRPr="00F30EFE">
        <w:t>4), STILON (n</w:t>
      </w:r>
      <w:r w:rsidR="0027755C" w:rsidRPr="00F30EFE">
        <w:t xml:space="preserve"> </w:t>
      </w:r>
      <w:r w:rsidRPr="00F30EFE">
        <w:t>=</w:t>
      </w:r>
      <w:r w:rsidR="0027755C" w:rsidRPr="00F30EFE">
        <w:t xml:space="preserve"> </w:t>
      </w:r>
      <w:r w:rsidRPr="00F30EFE">
        <w:t>3), and DIAVEY</w:t>
      </w:r>
      <w:r w:rsidR="00CC19E9">
        <w:t xml:space="preserve"> trials</w:t>
      </w:r>
      <w:r w:rsidRPr="00F30EFE">
        <w:t>. Limited data from the literature supports ongoing efficacy in adults.</w:t>
      </w:r>
    </w:p>
    <w:p w14:paraId="1EB6CC67" w14:textId="77777777" w:rsidR="00186497" w:rsidRPr="00F30EFE" w:rsidRDefault="00186497" w:rsidP="00394B0C">
      <w:pPr>
        <w:pStyle w:val="ListBullet"/>
      </w:pPr>
      <w:r w:rsidRPr="00F30EFE">
        <w:t>There is no information on efficacy and safety of stiripentol in patients with hepatic or renal impairment, and use in those populations is not recommended.</w:t>
      </w:r>
    </w:p>
    <w:p w14:paraId="65CC54B2" w14:textId="77777777" w:rsidR="00186497" w:rsidRPr="00F30EFE" w:rsidRDefault="00186497" w:rsidP="00394B0C">
      <w:pPr>
        <w:pStyle w:val="ListBullet"/>
        <w:rPr>
          <w:b/>
        </w:rPr>
      </w:pPr>
      <w:r w:rsidRPr="00F30EFE">
        <w:t>Neither sex nor age seemed to have significantly influenced the stiripentol response. No definite statement with regard to presence of SCN1A mutation on e</w:t>
      </w:r>
      <w:r w:rsidR="00E84D5C" w:rsidRPr="00F30EFE">
        <w:t xml:space="preserve">fficacy could be made, as SCN1A </w:t>
      </w:r>
      <w:r w:rsidRPr="00F30EFE">
        <w:t>negative patient numbers were too small.</w:t>
      </w:r>
    </w:p>
    <w:p w14:paraId="6ADA233A" w14:textId="77777777" w:rsidR="00186497" w:rsidRPr="00F30EFE" w:rsidRDefault="00186497" w:rsidP="00394B0C">
      <w:pPr>
        <w:pStyle w:val="ListBullet"/>
      </w:pPr>
      <w:r w:rsidRPr="00F30EFE">
        <w:t>It can be assumed that the study population is</w:t>
      </w:r>
      <w:r w:rsidR="00E84D5C" w:rsidRPr="00F30EFE">
        <w:t xml:space="preserve"> sufficiently similar to a real </w:t>
      </w:r>
      <w:r w:rsidRPr="00F30EFE">
        <w:t>world Dravet syndrome paediatric population to support external validity.</w:t>
      </w:r>
    </w:p>
    <w:p w14:paraId="4D865DDB" w14:textId="16EE208D" w:rsidR="00186497" w:rsidRPr="00F30EFE" w:rsidRDefault="00186497" w:rsidP="00394B0C">
      <w:pPr>
        <w:pStyle w:val="ListBullet"/>
      </w:pPr>
      <w:r w:rsidRPr="00F30EFE">
        <w:t xml:space="preserve">Ideally, the lowest possible dose that adequately controls seizures should be used. Doses could potentially be adjusted to the lower </w:t>
      </w:r>
      <w:r w:rsidR="00E84D5C" w:rsidRPr="00F30EFE">
        <w:t>end of the recommended 40 to 60 </w:t>
      </w:r>
      <w:r w:rsidRPr="00F30EFE">
        <w:t>mg/kg/day range for older children, and adolescents. Drug monitoring may have a role and should be considered, especially when dose</w:t>
      </w:r>
      <w:r w:rsidR="00F30EFE">
        <w:t>s</w:t>
      </w:r>
      <w:r w:rsidRPr="00F30EFE">
        <w:t xml:space="preserve"> are changed due to increases in weight or lack of response.</w:t>
      </w:r>
    </w:p>
    <w:p w14:paraId="36CB8914" w14:textId="77777777" w:rsidR="00186497" w:rsidRPr="00F30EFE" w:rsidRDefault="00186497" w:rsidP="00394B0C">
      <w:pPr>
        <w:pStyle w:val="ListBullet"/>
      </w:pPr>
      <w:r w:rsidRPr="00F30EFE">
        <w:t>Stiripentol has the potential for significant interaction effects. Efficacy would be affected, if the interactions were to lead to a significant decrease of stiripentol concentrations.</w:t>
      </w:r>
    </w:p>
    <w:p w14:paraId="39569B09" w14:textId="77777777" w:rsidR="00186497" w:rsidRPr="00F30EFE" w:rsidRDefault="00186497" w:rsidP="00394B0C">
      <w:pPr>
        <w:pStyle w:val="ListBullet"/>
      </w:pPr>
      <w:r w:rsidRPr="00F30EFE">
        <w:t>The pivota</w:t>
      </w:r>
      <w:r w:rsidR="00E84D5C" w:rsidRPr="00F30EFE">
        <w:t xml:space="preserve">l trials did not provide longer </w:t>
      </w:r>
      <w:r w:rsidRPr="00F30EFE">
        <w:t>term data. The pivotal trials only had maintenan</w:t>
      </w:r>
      <w:r w:rsidR="00E84D5C" w:rsidRPr="00F30EFE">
        <w:t xml:space="preserve">ce data for 12 weeks (if the 4 week open </w:t>
      </w:r>
      <w:r w:rsidRPr="00F30EFE">
        <w:t>label peri</w:t>
      </w:r>
      <w:r w:rsidR="00394B0C" w:rsidRPr="00F30EFE">
        <w:t>od is also taken into account).</w:t>
      </w:r>
    </w:p>
    <w:p w14:paraId="4A8668C8" w14:textId="4E43D426" w:rsidR="00186497" w:rsidRPr="00F30EFE" w:rsidRDefault="00CC19E9" w:rsidP="00394B0C">
      <w:pPr>
        <w:pStyle w:val="ListBullet"/>
      </w:pPr>
      <w:r>
        <w:t xml:space="preserve">The </w:t>
      </w:r>
      <w:r w:rsidR="00186497" w:rsidRPr="00F30EFE">
        <w:t xml:space="preserve">STILON and STP-1 </w:t>
      </w:r>
      <w:r>
        <w:t xml:space="preserve">trials </w:t>
      </w:r>
      <w:r w:rsidR="00186497" w:rsidRPr="00F30EFE">
        <w:t>provided longer-term efficacy data.</w:t>
      </w:r>
      <w:r w:rsidR="00394B0C" w:rsidRPr="00F30EFE">
        <w:t xml:space="preserve"> </w:t>
      </w:r>
      <w:r w:rsidR="00186497" w:rsidRPr="00F30EFE">
        <w:t xml:space="preserve">In </w:t>
      </w:r>
      <w:r>
        <w:t xml:space="preserve">the </w:t>
      </w:r>
      <w:r w:rsidR="00186497" w:rsidRPr="00F30EFE">
        <w:t>STILON</w:t>
      </w:r>
      <w:r>
        <w:t xml:space="preserve"> trial</w:t>
      </w:r>
      <w:r w:rsidR="00186497" w:rsidRPr="00F30EFE">
        <w:t>, the mean duration of stiripentol tre</w:t>
      </w:r>
      <w:r w:rsidR="00E84D5C" w:rsidRPr="00F30EFE">
        <w:t xml:space="preserve">atment was 2.92 years (range: 0 to </w:t>
      </w:r>
      <w:r w:rsidR="00186497" w:rsidRPr="00F30EFE">
        <w:t>4.2 years). The seizure frequency remained similar throughout the st</w:t>
      </w:r>
      <w:r w:rsidR="00E84D5C" w:rsidRPr="00F30EFE">
        <w:t xml:space="preserve">udy). In </w:t>
      </w:r>
      <w:r>
        <w:t xml:space="preserve">the </w:t>
      </w:r>
      <w:r w:rsidR="00E84D5C" w:rsidRPr="00F30EFE">
        <w:t xml:space="preserve">STP-1 </w:t>
      </w:r>
      <w:r>
        <w:t xml:space="preserve">trial </w:t>
      </w:r>
      <w:r w:rsidR="00E84D5C" w:rsidRPr="00F30EFE">
        <w:t>(</w:t>
      </w:r>
      <w:r>
        <w:t>Study </w:t>
      </w:r>
      <w:r w:rsidR="00E84D5C" w:rsidRPr="00F30EFE">
        <w:t xml:space="preserve">BC.609), longer </w:t>
      </w:r>
      <w:r w:rsidR="00186497" w:rsidRPr="00F30EFE">
        <w:t>term data indicated no loss of efficacy either.</w:t>
      </w:r>
    </w:p>
    <w:p w14:paraId="216EA98F" w14:textId="00C8303C" w:rsidR="00186497" w:rsidRPr="00F30EFE" w:rsidRDefault="00186497" w:rsidP="00394B0C">
      <w:pPr>
        <w:pStyle w:val="Heading4"/>
      </w:pPr>
      <w:r w:rsidRPr="00F30EFE">
        <w:t>C</w:t>
      </w:r>
      <w:r w:rsidR="00E84D5C" w:rsidRPr="00F30EFE">
        <w:t>linical evalu</w:t>
      </w:r>
      <w:r w:rsidR="00F30EFE" w:rsidRPr="00F30EFE">
        <w:t>a</w:t>
      </w:r>
      <w:r w:rsidR="00E84D5C" w:rsidRPr="00F30EFE">
        <w:t>tor’s</w:t>
      </w:r>
      <w:r w:rsidR="00394B0C" w:rsidRPr="00F30EFE">
        <w:t xml:space="preserve"> summary comment on efficacy</w:t>
      </w:r>
    </w:p>
    <w:p w14:paraId="2D6B91D1" w14:textId="77777777" w:rsidR="00186497" w:rsidRPr="00F30EFE" w:rsidRDefault="00186497" w:rsidP="00394B0C">
      <w:pPr>
        <w:pStyle w:val="ListBullet"/>
      </w:pPr>
      <w:r w:rsidRPr="00F30EFE">
        <w:t xml:space="preserve">Overall, the efficacy for the proposed indication in the pivotal trial population has been established (patients aged 3 to 18). Younger children or adults were not included in the pivotal trials. Even though the trials were relatively small and designed prior to the implementation of the relevant guidelines, the treatment effect in the pivotal trials was large enough to be shown in that relatively small population, and is also clinically significant. Only clonic and tonic-clonic seizures were considered in the pivotal trials and this is reflected in the (updated) proposed indication. The </w:t>
      </w:r>
      <w:r w:rsidRPr="00F30EFE">
        <w:rPr>
          <w:i/>
        </w:rPr>
        <w:t>post hoc</w:t>
      </w:r>
      <w:r w:rsidRPr="00F30EFE">
        <w:t xml:space="preserve"> clobazam/norclobazam covariate adjusted analysis was generally supportive of efficacy of stiripentol, and potentially also supportive of an intrinsic effect of stiripentol.</w:t>
      </w:r>
    </w:p>
    <w:p w14:paraId="12C5C19D" w14:textId="77777777" w:rsidR="00186497" w:rsidRPr="00F30EFE" w:rsidRDefault="00186497" w:rsidP="00394B0C">
      <w:pPr>
        <w:pStyle w:val="ListBullet"/>
      </w:pPr>
      <w:r w:rsidRPr="00F30EFE">
        <w:t>The study population is considered to be</w:t>
      </w:r>
      <w:r w:rsidR="00E84D5C" w:rsidRPr="00F30EFE">
        <w:t xml:space="preserve"> sufficiently similar to a real </w:t>
      </w:r>
      <w:r w:rsidRPr="00F30EFE">
        <w:t>world Dravet syndrome paediatric population to support external validity. Uncertainties remain regarding limited data for children under the age of 3 years of age, and adults. The dat</w:t>
      </w:r>
      <w:r w:rsidR="00E84D5C" w:rsidRPr="00F30EFE">
        <w:t xml:space="preserve">a </w:t>
      </w:r>
      <w:r w:rsidR="00E84D5C" w:rsidRPr="00F30EFE">
        <w:lastRenderedPageBreak/>
        <w:t xml:space="preserve">for those age groups and long </w:t>
      </w:r>
      <w:r w:rsidRPr="00F30EFE">
        <w:t>term data for all ages did not originate from the pivotal trials, but from the non-pivotal studies that had methodological limitations.</w:t>
      </w:r>
    </w:p>
    <w:p w14:paraId="47A170D6" w14:textId="77777777" w:rsidR="00CD79AB" w:rsidRPr="00F30EFE" w:rsidRDefault="00CD79AB" w:rsidP="00CD79AB">
      <w:pPr>
        <w:pStyle w:val="Heading4"/>
        <w:rPr>
          <w:lang w:eastAsia="ja-JP"/>
        </w:rPr>
      </w:pPr>
      <w:r w:rsidRPr="00F30EFE">
        <w:rPr>
          <w:lang w:eastAsia="ja-JP"/>
        </w:rPr>
        <w:t>Safety</w:t>
      </w:r>
    </w:p>
    <w:p w14:paraId="1772A28D" w14:textId="77777777" w:rsidR="00CD79AB" w:rsidRPr="00F30EFE" w:rsidRDefault="00CD79AB" w:rsidP="00CD79AB">
      <w:pPr>
        <w:pStyle w:val="ListBullet"/>
        <w:rPr>
          <w:b/>
        </w:rPr>
      </w:pPr>
      <w:r w:rsidRPr="00F30EFE">
        <w:t>There were a total of 529 patient exposures (equating to 438 unique/actual patients) to stiripentol in the efficacy, safety and pharmacology studies in the target population. The mean dose was 49.2 ± 21.2 mg/kg/day (median: 48.4 mg/kg/day) in n</w:t>
      </w:r>
      <w:r w:rsidR="00E84D5C" w:rsidRPr="00F30EFE">
        <w:t xml:space="preserve"> </w:t>
      </w:r>
      <w:r w:rsidRPr="00F30EFE">
        <w:t>=</w:t>
      </w:r>
      <w:r w:rsidR="00E84D5C" w:rsidRPr="00F30EFE">
        <w:t xml:space="preserve"> </w:t>
      </w:r>
      <w:r w:rsidRPr="00F30EFE">
        <w:t>524. The mean treatment duration (unique/actual patients) was 2.21 ± 1.84 years (median: 1.75 years; range: 0 to 8.50 years) in n</w:t>
      </w:r>
      <w:r w:rsidR="00F61F96" w:rsidRPr="00F30EFE">
        <w:t xml:space="preserve"> </w:t>
      </w:r>
      <w:r w:rsidRPr="00F30EFE">
        <w:t>=</w:t>
      </w:r>
      <w:r w:rsidR="00F61F96" w:rsidRPr="00F30EFE">
        <w:t xml:space="preserve"> </w:t>
      </w:r>
      <w:r w:rsidRPr="00F30EFE">
        <w:t>437. The sponsor estimated a patient exposure of approximately 2,500 (post-market studies and the literature). No in</w:t>
      </w:r>
      <w:r w:rsidR="00E84D5C" w:rsidRPr="00F30EFE">
        <w:t xml:space="preserve">dication of exposure in patient </w:t>
      </w:r>
      <w:r w:rsidRPr="00F30EFE">
        <w:t>years</w:t>
      </w:r>
      <w:r w:rsidR="00E84D5C" w:rsidRPr="00F30EFE">
        <w:t xml:space="preserve"> (or a similar unit) was given.</w:t>
      </w:r>
    </w:p>
    <w:p w14:paraId="23D2C8C7" w14:textId="77777777" w:rsidR="00CD79AB" w:rsidRPr="00F30EFE" w:rsidRDefault="00CD79AB" w:rsidP="00CD79AB">
      <w:pPr>
        <w:pStyle w:val="ListBullet"/>
      </w:pPr>
      <w:r w:rsidRPr="00F30EFE">
        <w:t>The most common safety issues were deranged liver function tests, weight loss/decreased appetite/anorexia, ataxia, and fatigue/somnolence. Haematological derangements, such as neutropaenia or thrombocytopaenia, were seen more prominently in longer term studies.</w:t>
      </w:r>
    </w:p>
    <w:p w14:paraId="686D2DB1" w14:textId="77777777" w:rsidR="00CD79AB" w:rsidRPr="00F30EFE" w:rsidRDefault="00CD79AB" w:rsidP="00CD79AB">
      <w:pPr>
        <w:pStyle w:val="ListBullet"/>
      </w:pPr>
      <w:r w:rsidRPr="00F30EFE">
        <w:fldChar w:fldCharType="begin"/>
      </w:r>
      <w:r w:rsidRPr="00F30EFE">
        <w:instrText xml:space="preserve"> REF _Ref22636089 \h </w:instrText>
      </w:r>
      <w:r w:rsidRPr="00F30EFE">
        <w:fldChar w:fldCharType="separate"/>
      </w:r>
      <w:r w:rsidR="00E84D5C" w:rsidRPr="00F30EFE">
        <w:t xml:space="preserve">Table </w:t>
      </w:r>
      <w:r w:rsidR="00E84D5C" w:rsidRPr="00F30EFE">
        <w:rPr>
          <w:noProof/>
        </w:rPr>
        <w:t>21</w:t>
      </w:r>
      <w:r w:rsidRPr="00F30EFE">
        <w:fldChar w:fldCharType="end"/>
      </w:r>
      <w:r w:rsidRPr="00F30EFE">
        <w:t xml:space="preserve"> compares the </w:t>
      </w:r>
      <w:r w:rsidR="00E84D5C" w:rsidRPr="00F30EFE">
        <w:t>adverse events (</w:t>
      </w:r>
      <w:r w:rsidRPr="00F30EFE">
        <w:t>A</w:t>
      </w:r>
      <w:r w:rsidR="00E84D5C" w:rsidRPr="00F30EFE">
        <w:t xml:space="preserve">Es; </w:t>
      </w:r>
      <w:r w:rsidRPr="00F30EFE">
        <w:t>≥</w:t>
      </w:r>
      <w:r w:rsidR="00E84D5C" w:rsidRPr="00F30EFE">
        <w:t xml:space="preserve"> </w:t>
      </w:r>
      <w:r w:rsidRPr="00F30EFE">
        <w:t>5%) across all clinical studies (stiripentol compared to placebo).</w:t>
      </w:r>
    </w:p>
    <w:p w14:paraId="3F7ED05E" w14:textId="1E371E2F" w:rsidR="00CD79AB" w:rsidRPr="00F30EFE" w:rsidRDefault="00CD79AB" w:rsidP="00CD79AB">
      <w:pPr>
        <w:pStyle w:val="TableTitle"/>
      </w:pPr>
      <w:bookmarkStart w:id="90" w:name="_Ref22636089"/>
      <w:r w:rsidRPr="00F30EFE">
        <w:t xml:space="preserve">Table </w:t>
      </w:r>
      <w:r w:rsidR="00C12465">
        <w:fldChar w:fldCharType="begin"/>
      </w:r>
      <w:r w:rsidR="00C12465">
        <w:instrText xml:space="preserve"> SEQ Table </w:instrText>
      </w:r>
      <w:r w:rsidR="00C12465">
        <w:instrText xml:space="preserve">\* ARABIC </w:instrText>
      </w:r>
      <w:r w:rsidR="00C12465">
        <w:fldChar w:fldCharType="separate"/>
      </w:r>
      <w:r w:rsidR="007F6E47" w:rsidRPr="00F30EFE">
        <w:rPr>
          <w:noProof/>
        </w:rPr>
        <w:t>21</w:t>
      </w:r>
      <w:r w:rsidR="00C12465">
        <w:rPr>
          <w:noProof/>
        </w:rPr>
        <w:fldChar w:fldCharType="end"/>
      </w:r>
      <w:bookmarkEnd w:id="90"/>
      <w:r w:rsidRPr="00F30EFE">
        <w:t xml:space="preserve">: </w:t>
      </w:r>
      <w:r w:rsidR="00CC19E9">
        <w:t>Adverse events</w:t>
      </w:r>
      <w:r w:rsidR="00CC19E9" w:rsidRPr="00F30EFE">
        <w:t xml:space="preserve"> </w:t>
      </w:r>
      <w:r w:rsidRPr="00F30EFE">
        <w:t>(≥ 5%) across all clinical studies</w:t>
      </w:r>
    </w:p>
    <w:p w14:paraId="7F0C83A8" w14:textId="77777777" w:rsidR="00CD79AB" w:rsidRPr="00F30EFE" w:rsidRDefault="00CD79AB" w:rsidP="00E84D5C">
      <w:r w:rsidRPr="00F30EFE">
        <w:rPr>
          <w:noProof/>
          <w:lang w:eastAsia="en-AU"/>
        </w:rPr>
        <w:drawing>
          <wp:inline distT="0" distB="0" distL="0" distR="0" wp14:anchorId="71F5E798" wp14:editId="01C2B845">
            <wp:extent cx="3863736" cy="1736604"/>
            <wp:effectExtent l="0" t="0" r="3810" b="0"/>
            <wp:docPr id="17" name="Picture 17" descr="AEs (≥ 5%) across all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8887" cy="1738919"/>
                    </a:xfrm>
                    <a:prstGeom prst="rect">
                      <a:avLst/>
                    </a:prstGeom>
                    <a:noFill/>
                    <a:ln>
                      <a:noFill/>
                    </a:ln>
                  </pic:spPr>
                </pic:pic>
              </a:graphicData>
            </a:graphic>
          </wp:inline>
        </w:drawing>
      </w:r>
    </w:p>
    <w:p w14:paraId="1E23B83F" w14:textId="77777777" w:rsidR="00CD79AB" w:rsidRPr="00F30EFE" w:rsidRDefault="00CD79AB" w:rsidP="00CD79AB">
      <w:pPr>
        <w:pStyle w:val="ListBullet"/>
      </w:pPr>
      <w:r w:rsidRPr="00F30EFE">
        <w:fldChar w:fldCharType="begin"/>
      </w:r>
      <w:r w:rsidRPr="00F30EFE">
        <w:instrText xml:space="preserve"> REF _Ref22636197 \h </w:instrText>
      </w:r>
      <w:r w:rsidRPr="00F30EFE">
        <w:fldChar w:fldCharType="separate"/>
      </w:r>
      <w:r w:rsidR="00E84D5C" w:rsidRPr="00F30EFE">
        <w:t xml:space="preserve">Table </w:t>
      </w:r>
      <w:r w:rsidR="00E84D5C" w:rsidRPr="00F30EFE">
        <w:rPr>
          <w:noProof/>
        </w:rPr>
        <w:t>22</w:t>
      </w:r>
      <w:r w:rsidRPr="00F30EFE">
        <w:fldChar w:fldCharType="end"/>
      </w:r>
      <w:r w:rsidR="00E84D5C" w:rsidRPr="00F30EFE">
        <w:t xml:space="preserve"> shows all AEs</w:t>
      </w:r>
      <w:r w:rsidRPr="00F30EFE">
        <w:t xml:space="preserve"> ≥ 5% in the non-pivotal studies.</w:t>
      </w:r>
    </w:p>
    <w:p w14:paraId="5B60183C" w14:textId="244A6CD2" w:rsidR="00CD79AB" w:rsidRPr="00F30EFE" w:rsidRDefault="00CD79AB" w:rsidP="00CD79AB">
      <w:pPr>
        <w:pStyle w:val="TableTitle"/>
      </w:pPr>
      <w:bookmarkStart w:id="91" w:name="_Ref22636197"/>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22</w:t>
      </w:r>
      <w:r w:rsidR="00C12465">
        <w:rPr>
          <w:noProof/>
        </w:rPr>
        <w:fldChar w:fldCharType="end"/>
      </w:r>
      <w:bookmarkEnd w:id="91"/>
      <w:r w:rsidRPr="00F30EFE">
        <w:t>: Adverse events ≥ 5% in the non-pivotal studies</w:t>
      </w:r>
    </w:p>
    <w:p w14:paraId="108E9D5A" w14:textId="77777777" w:rsidR="00CD79AB" w:rsidRPr="00F30EFE" w:rsidRDefault="00CD79AB" w:rsidP="00E84D5C">
      <w:r w:rsidRPr="00F30EFE">
        <w:rPr>
          <w:noProof/>
          <w:lang w:eastAsia="en-AU"/>
        </w:rPr>
        <w:drawing>
          <wp:inline distT="0" distB="0" distL="0" distR="0" wp14:anchorId="2623E0E5" wp14:editId="59F20250">
            <wp:extent cx="5731510" cy="1488440"/>
            <wp:effectExtent l="0" t="0" r="2540" b="0"/>
            <wp:docPr id="18" name="Picture 18" descr="Adverse events ≥ 5% in the non-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488440"/>
                    </a:xfrm>
                    <a:prstGeom prst="rect">
                      <a:avLst/>
                    </a:prstGeom>
                    <a:noFill/>
                    <a:ln>
                      <a:noFill/>
                    </a:ln>
                  </pic:spPr>
                </pic:pic>
              </a:graphicData>
            </a:graphic>
          </wp:inline>
        </w:drawing>
      </w:r>
    </w:p>
    <w:p w14:paraId="4A373A38" w14:textId="77777777" w:rsidR="00CD79AB" w:rsidRPr="00F30EFE" w:rsidRDefault="00CD79AB" w:rsidP="00CD79AB">
      <w:pPr>
        <w:pStyle w:val="ListBullet"/>
      </w:pPr>
      <w:r w:rsidRPr="00F30EFE">
        <w:t>In the PK studies in healthy volunteers, all AEs were reported as mild to moderate and, considered to be unlikely related to stiripentol (with exception of the 2 AEs in the Greig study which was judged to be possibly related).</w:t>
      </w:r>
    </w:p>
    <w:p w14:paraId="43C15CD9" w14:textId="77777777" w:rsidR="00CD79AB" w:rsidRPr="00F30EFE" w:rsidRDefault="00CD79AB" w:rsidP="00CD79AB">
      <w:pPr>
        <w:pStyle w:val="ListBullet"/>
      </w:pPr>
      <w:r w:rsidRPr="00F30EFE">
        <w:t xml:space="preserve">No deaths occurred in the pivotal trials or the PK studies conducted in healthy volunteers. 11 of 438 (2.5%), unique/actual Dravet syndrome patients died while being treated with stiripentol. The sponsor stated none of the deaths were considered to be related to </w:t>
      </w:r>
      <w:r w:rsidR="00E84D5C" w:rsidRPr="00F30EFE">
        <w:t>stiripentol</w:t>
      </w:r>
      <w:r w:rsidRPr="00F30EFE">
        <w:t>. None of the deaths were preceded by a serious adverse event (SAE). The 9 deaths that occurred in non-Dravet syndrome patients on stiripentol were considered to be unlikely or improbably related to the study drug.</w:t>
      </w:r>
    </w:p>
    <w:p w14:paraId="6C13B6E3" w14:textId="77777777" w:rsidR="00CD79AB" w:rsidRPr="00F30EFE" w:rsidRDefault="00CD79AB" w:rsidP="009F106E">
      <w:pPr>
        <w:pStyle w:val="ListBullet"/>
      </w:pPr>
      <w:r w:rsidRPr="00F30EFE">
        <w:lastRenderedPageBreak/>
        <w:t xml:space="preserve">No serious adverse events occurred in the PK studies conducted in healthy volunteers. Across all clinical trials in Dravet syndrome patients, 157 </w:t>
      </w:r>
      <w:r w:rsidR="00E84D5C" w:rsidRPr="00F30EFE">
        <w:t>SAEs were reported in 68 </w:t>
      </w:r>
      <w:r w:rsidRPr="00F30EFE">
        <w:t>patients. None of those events were fatal. 41 (26.1%) SAEs in 19 patients were considered possibly or potentially related to stiripentol. None of those occurred in the pivotal trials. Other than neurological SAEs ascribed to lack of efficacy, the other SAE domain</w:t>
      </w:r>
      <w:r w:rsidR="00E84D5C" w:rsidRPr="00F30EFE">
        <w:t xml:space="preserve">s were mainly gastrointestinal </w:t>
      </w:r>
      <w:r w:rsidRPr="00F30EFE">
        <w:t>and haematological, in keeping with the overall AE profile, but with incre</w:t>
      </w:r>
      <w:r w:rsidR="00E84D5C" w:rsidRPr="00F30EFE">
        <w:t xml:space="preserve">ased </w:t>
      </w:r>
      <w:r w:rsidRPr="00F30EFE">
        <w:t>severity.</w:t>
      </w:r>
    </w:p>
    <w:p w14:paraId="4B5C1C4C" w14:textId="77777777" w:rsidR="00CD79AB" w:rsidRPr="00F30EFE" w:rsidRDefault="00CD79AB" w:rsidP="009F106E">
      <w:pPr>
        <w:pStyle w:val="ListBullet"/>
      </w:pPr>
      <w:r w:rsidRPr="00F30EFE">
        <w:t>Across all clinical trials in Dravet syndrome patients, 20 patients discontinued treatment with stiripentol prematurely due to AEs (28.9% out of 69 patients who discontinued). The proportion of withdrawals due to AEs in the double-blind pivotal trials (3.0%) and in the non-pivotal trials (4.1%) was comparable.</w:t>
      </w:r>
    </w:p>
    <w:p w14:paraId="27B676F0" w14:textId="77777777" w:rsidR="00CD79AB" w:rsidRPr="00F30EFE" w:rsidRDefault="00DF44AB" w:rsidP="009F106E">
      <w:pPr>
        <w:pStyle w:val="ListBullet"/>
      </w:pPr>
      <w:r w:rsidRPr="00F30EFE">
        <w:t xml:space="preserve">Regarding </w:t>
      </w:r>
      <w:r w:rsidR="00CD79AB" w:rsidRPr="00F30EFE">
        <w:t>adverse events by systems:</w:t>
      </w:r>
    </w:p>
    <w:p w14:paraId="1DFD9B2C" w14:textId="36C832FD" w:rsidR="00CD79AB" w:rsidRPr="00F30EFE" w:rsidRDefault="00CD79AB" w:rsidP="009F106E">
      <w:pPr>
        <w:pStyle w:val="ListBullet2"/>
      </w:pPr>
      <w:r w:rsidRPr="00F30EFE">
        <w:t>CNS: somnolence and ataxia (including hypotonia, balance disorder, gait disturbance, hyperkinesia, fall and abnormal coordination) were the most common events (</w:t>
      </w:r>
      <w:r w:rsidR="00E84D5C" w:rsidRPr="00F30EFE">
        <w:t>stiripentol versus placebo: 66.7% versus</w:t>
      </w:r>
      <w:r w:rsidRPr="00F30EFE">
        <w:t xml:space="preserve"> 22</w:t>
      </w:r>
      <w:r w:rsidR="00E84D5C" w:rsidRPr="00F30EFE">
        <w:t>.6% for somnolence and 48.5% versus</w:t>
      </w:r>
      <w:r w:rsidRPr="00F30EFE">
        <w:t xml:space="preserve"> 38.7% for ataxia). </w:t>
      </w:r>
      <w:r w:rsidR="00CC19E9">
        <w:t xml:space="preserve">The </w:t>
      </w:r>
      <w:r w:rsidRPr="00F30EFE">
        <w:t>STP-1</w:t>
      </w:r>
      <w:r w:rsidR="00CC19E9">
        <w:t xml:space="preserve"> trial</w:t>
      </w:r>
      <w:r w:rsidRPr="00F30EFE">
        <w:t xml:space="preserve"> appeared to have a much higher proportion of somnolence/sedation (79.2%) and ataxia (54.2%) than the European studies (at least in the early stages), which decreased as treatment progresse</w:t>
      </w:r>
      <w:r w:rsidR="00DF44AB" w:rsidRPr="00F30EFE">
        <w:t xml:space="preserve">d. </w:t>
      </w:r>
      <w:r w:rsidR="00CC19E9">
        <w:t xml:space="preserve">The </w:t>
      </w:r>
      <w:r w:rsidR="00DF44AB" w:rsidRPr="00F30EFE">
        <w:t xml:space="preserve">DIAVEY and TAU-EAP </w:t>
      </w:r>
      <w:r w:rsidR="00CC19E9">
        <w:t xml:space="preserve">trials </w:t>
      </w:r>
      <w:r w:rsidR="00DF44AB" w:rsidRPr="00F30EFE">
        <w:t xml:space="preserve">were long </w:t>
      </w:r>
      <w:r w:rsidRPr="00F30EFE">
        <w:t>term studies with lower proportions of somnolence/sedation and ataxia and no occurrences of falls.</w:t>
      </w:r>
    </w:p>
    <w:p w14:paraId="2536B37D" w14:textId="77777777" w:rsidR="00CD79AB" w:rsidRPr="00F30EFE" w:rsidRDefault="00CD79AB" w:rsidP="009F106E">
      <w:pPr>
        <w:pStyle w:val="ListBullet2"/>
      </w:pPr>
      <w:r w:rsidRPr="00F30EFE">
        <w:t>Behaviour: Aggression and agitation</w:t>
      </w:r>
      <w:r w:rsidR="00E84D5C" w:rsidRPr="00F30EFE">
        <w:t xml:space="preserve"> </w:t>
      </w:r>
      <w:r w:rsidRPr="00F30EFE">
        <w:t xml:space="preserve">were more frequent in the </w:t>
      </w:r>
      <w:r w:rsidR="00E84D5C" w:rsidRPr="00F30EFE">
        <w:t>stiripentol</w:t>
      </w:r>
      <w:r w:rsidRPr="00F30EFE">
        <w:t xml:space="preserve"> group (pooled data (</w:t>
      </w:r>
      <w:r w:rsidR="00E84D5C" w:rsidRPr="00F30EFE">
        <w:t>stiripentol versus</w:t>
      </w:r>
      <w:r w:rsidR="00DF44AB" w:rsidRPr="00F30EFE">
        <w:t xml:space="preserve"> placebo): aggression 9.1% versus 0%, and agitation 27.3% versus</w:t>
      </w:r>
      <w:r w:rsidRPr="00F30EFE">
        <w:t xml:space="preserve"> 16.1%). They occurred less frequently in the</w:t>
      </w:r>
      <w:r w:rsidR="00DF44AB" w:rsidRPr="00F30EFE">
        <w:t xml:space="preserve"> longer </w:t>
      </w:r>
      <w:r w:rsidRPr="00F30EFE">
        <w:t>term non-pivotal studies.</w:t>
      </w:r>
    </w:p>
    <w:p w14:paraId="3E908758" w14:textId="205E5630" w:rsidR="00CD79AB" w:rsidRPr="00F30EFE" w:rsidRDefault="00DF44AB" w:rsidP="009F106E">
      <w:pPr>
        <w:pStyle w:val="ListBullet2"/>
      </w:pPr>
      <w:r w:rsidRPr="00F30EFE">
        <w:t>Gastrointestinal tract (GIT)</w:t>
      </w:r>
      <w:r w:rsidR="00CD79AB" w:rsidRPr="00F30EFE">
        <w:t>: Anorexia was the most common AE. The occurrence of nausea or vomiting was relatively low. The proportion of subjects experiencing anorexia/loss of appetite across all the pivotal clinical trials was relatively high (pivotal trials: 45.5% (</w:t>
      </w:r>
      <w:r w:rsidRPr="00F30EFE">
        <w:t>stiripentol) versus</w:t>
      </w:r>
      <w:r w:rsidR="00CD79AB" w:rsidRPr="00F30EFE">
        <w:t xml:space="preserve"> 9.7% (placebo). The proportions appeared to decrease in the non-pivotal long-term data. The incidence of weight loss ranged from 2.4% (TAU-EAP</w:t>
      </w:r>
      <w:r w:rsidR="00CC19E9">
        <w:t xml:space="preserve"> trial</w:t>
      </w:r>
      <w:r w:rsidR="00CD79AB" w:rsidRPr="00F30EFE">
        <w:t>) to 28.6% (STICLO</w:t>
      </w:r>
      <w:r w:rsidR="00CC19E9">
        <w:t xml:space="preserve"> trial</w:t>
      </w:r>
      <w:r w:rsidR="00CD79AB" w:rsidRPr="00F30EFE">
        <w:t xml:space="preserve"> France) and seemed to be higher during the short-term than the long-term clinical trials, and, in the pivotal trials, more likely </w:t>
      </w:r>
      <w:r w:rsidR="009F106E" w:rsidRPr="00F30EFE">
        <w:t>to be associated with anorexia.</w:t>
      </w:r>
    </w:p>
    <w:p w14:paraId="49A51901" w14:textId="5EB36D65" w:rsidR="00CD79AB" w:rsidRPr="00F30EFE" w:rsidRDefault="00DF44AB" w:rsidP="009F106E">
      <w:pPr>
        <w:pStyle w:val="ListBullet2"/>
        <w:rPr>
          <w:b/>
        </w:rPr>
      </w:pPr>
      <w:r w:rsidRPr="00F30EFE">
        <w:t>Liver function tests (</w:t>
      </w:r>
      <w:r w:rsidR="00CD79AB" w:rsidRPr="00F30EFE">
        <w:t>LFT</w:t>
      </w:r>
      <w:r w:rsidRPr="00F30EFE">
        <w:t>)</w:t>
      </w:r>
      <w:r w:rsidR="00CD79AB" w:rsidRPr="00F30EFE">
        <w:t>: No ≥</w:t>
      </w:r>
      <w:r w:rsidRPr="00F30EFE">
        <w:t xml:space="preserve"> </w:t>
      </w:r>
      <w:r w:rsidR="00CD79AB" w:rsidRPr="00F30EFE">
        <w:t xml:space="preserve">Grade 3 elevated transaminases occurred in the pivotal trials, but 4 cases in the non-pivotal trials, 3 of which were possibly or probably related to </w:t>
      </w:r>
      <w:r w:rsidRPr="00F30EFE">
        <w:t>stiripentol</w:t>
      </w:r>
      <w:r w:rsidR="00CD79AB" w:rsidRPr="00F30EFE">
        <w:t>. There appear to be no cases fulfilling Hy’s Law</w:t>
      </w:r>
      <w:r w:rsidRPr="00F30EFE">
        <w:t>;</w:t>
      </w:r>
      <w:r w:rsidRPr="00F30EFE">
        <w:rPr>
          <w:rStyle w:val="FootnoteReference"/>
        </w:rPr>
        <w:footnoteReference w:id="14"/>
      </w:r>
      <w:r w:rsidR="00CD79AB" w:rsidRPr="00F30EFE">
        <w:t xml:space="preserve"> cr</w:t>
      </w:r>
      <w:r w:rsidRPr="00F30EFE">
        <w:t xml:space="preserve">iteria (no bilirubin increases, </w:t>
      </w:r>
      <w:r w:rsidR="00CD79AB" w:rsidRPr="00F30EFE">
        <w:t>no jaundice).</w:t>
      </w:r>
    </w:p>
    <w:p w14:paraId="5DBD13A1" w14:textId="5C3F309B" w:rsidR="00CD79AB" w:rsidRPr="00F30EFE" w:rsidRDefault="00DB160D" w:rsidP="009F106E">
      <w:pPr>
        <w:pStyle w:val="ListBullet2"/>
      </w:pPr>
      <w:r w:rsidRPr="00F30EFE">
        <w:t xml:space="preserve">Haematology: </w:t>
      </w:r>
      <w:r w:rsidR="00CD79AB" w:rsidRPr="00F30EFE">
        <w:t>Neutropaenia was common in most patients and did n</w:t>
      </w:r>
      <w:r w:rsidR="00DF44AB" w:rsidRPr="00F30EFE">
        <w:t xml:space="preserve">ot lead to discontinuation. It </w:t>
      </w:r>
      <w:r w:rsidR="00CD79AB" w:rsidRPr="00F30EFE">
        <w:t xml:space="preserve">improved or normalised despite continued </w:t>
      </w:r>
      <w:r w:rsidRPr="00F30EFE">
        <w:t>stiripentol</w:t>
      </w:r>
      <w:r w:rsidR="00CD79AB" w:rsidRPr="00F30EFE">
        <w:t xml:space="preserve"> treatment. </w:t>
      </w:r>
      <w:r w:rsidR="00DF44AB" w:rsidRPr="00F30EFE">
        <w:t>Thrombocytopaenia was</w:t>
      </w:r>
      <w:r w:rsidR="00CD79AB" w:rsidRPr="00F30EFE">
        <w:t xml:space="preserve"> mild to moderate in most cases, but 3 patients in</w:t>
      </w:r>
      <w:r w:rsidR="00CC19E9">
        <w:t xml:space="preserve"> the</w:t>
      </w:r>
      <w:r w:rsidR="00CD79AB" w:rsidRPr="00F30EFE">
        <w:t xml:space="preserve"> STP-1</w:t>
      </w:r>
      <w:r w:rsidR="00CC19E9">
        <w:t xml:space="preserve"> trial</w:t>
      </w:r>
      <w:r w:rsidR="00CD79AB" w:rsidRPr="00F30EFE">
        <w:t xml:space="preserve"> had Grade 3 thrombocytopaenias. Thrombocytopenia could be potentially related to concomitant valproate use. In one patient in </w:t>
      </w:r>
      <w:r w:rsidR="00CC19E9">
        <w:t xml:space="preserve">the </w:t>
      </w:r>
      <w:r w:rsidR="00CD79AB" w:rsidRPr="00F30EFE">
        <w:t>STILON</w:t>
      </w:r>
      <w:r w:rsidR="00CC19E9">
        <w:t xml:space="preserve"> trial</w:t>
      </w:r>
      <w:r w:rsidR="00CD79AB" w:rsidRPr="00F30EFE">
        <w:t xml:space="preserve">, one patient in </w:t>
      </w:r>
      <w:r w:rsidR="00CC19E9">
        <w:t xml:space="preserve">the </w:t>
      </w:r>
      <w:r w:rsidR="00CD79AB" w:rsidRPr="00F30EFE">
        <w:t xml:space="preserve">TAU-EAP </w:t>
      </w:r>
      <w:r w:rsidR="00CC19E9">
        <w:t xml:space="preserve">trial </w:t>
      </w:r>
      <w:r w:rsidR="00CD79AB" w:rsidRPr="00F30EFE">
        <w:t>and 2 patients in</w:t>
      </w:r>
      <w:r w:rsidR="00CC19E9">
        <w:t xml:space="preserve"> the</w:t>
      </w:r>
      <w:r w:rsidR="00CD79AB" w:rsidRPr="00F30EFE">
        <w:t xml:space="preserve"> DIAVEY</w:t>
      </w:r>
      <w:r w:rsidR="00CC19E9">
        <w:t xml:space="preserve"> trial</w:t>
      </w:r>
      <w:r w:rsidR="00CD79AB" w:rsidRPr="00F30EFE">
        <w:t>, thrombocytopenia was considered a SAE.</w:t>
      </w:r>
    </w:p>
    <w:p w14:paraId="39A6E047" w14:textId="77777777" w:rsidR="00CD79AB" w:rsidRPr="00F30EFE" w:rsidRDefault="00CD79AB" w:rsidP="009F106E">
      <w:pPr>
        <w:pStyle w:val="ListBullet2"/>
      </w:pPr>
      <w:r w:rsidRPr="00F30EFE">
        <w:t xml:space="preserve">Serious skin reactions: Minor skin reactions occurred in a small amount of patients (including angioedema, rash, erythema, photosensitivity, alopecia, dermatitis, eczema). Post-marketing data revealed two cases of Stevens-Johnson syndrome and one case of palmar-plantar erythrodysaesthesia syndrome. Out of the two reported cases of Stevens-Johnson syndrome, one appears to be unrelated to </w:t>
      </w:r>
      <w:r w:rsidRPr="00F30EFE">
        <w:lastRenderedPageBreak/>
        <w:t>stiripentol; the other case could potentially be related, but an association with valproate appears more likely. The case of perceived ‘palmar-plantar erythrodysaesthesia syndrome’ appeared to have been an infection instead.</w:t>
      </w:r>
    </w:p>
    <w:p w14:paraId="51F6E6FF" w14:textId="77777777" w:rsidR="00CD79AB" w:rsidRPr="00F30EFE" w:rsidRDefault="00CD79AB" w:rsidP="00CD79AB">
      <w:pPr>
        <w:pStyle w:val="ListBullet2"/>
      </w:pPr>
      <w:r w:rsidRPr="00F30EFE">
        <w:t>Developmental effects: There was no cle</w:t>
      </w:r>
      <w:r w:rsidR="00DB160D" w:rsidRPr="00F30EFE">
        <w:t xml:space="preserve">ar evidence on the effects of </w:t>
      </w:r>
      <w:r w:rsidRPr="00F30EFE">
        <w:t xml:space="preserve">stiripentol on failure to thrive, growth retardation, psychomotor and mental development/behaviour, </w:t>
      </w:r>
      <w:r w:rsidR="00DB160D" w:rsidRPr="00F30EFE">
        <w:t>separate from the sequelae of Dravet syndrome</w:t>
      </w:r>
      <w:r w:rsidRPr="00F30EFE">
        <w:t xml:space="preserve"> itself</w:t>
      </w:r>
      <w:r w:rsidR="009F106E" w:rsidRPr="00F30EFE">
        <w:t>.</w:t>
      </w:r>
    </w:p>
    <w:p w14:paraId="0808B15D" w14:textId="77777777" w:rsidR="00CD79AB" w:rsidRPr="00F30EFE" w:rsidRDefault="002E58D4" w:rsidP="009F106E">
      <w:pPr>
        <w:pStyle w:val="ListBullet"/>
      </w:pPr>
      <w:r w:rsidRPr="00F30EFE">
        <w:t>Regarding special groups:</w:t>
      </w:r>
    </w:p>
    <w:p w14:paraId="5088DF67" w14:textId="77777777" w:rsidR="00CD79AB" w:rsidRPr="00F30EFE" w:rsidRDefault="00CD79AB" w:rsidP="009F106E">
      <w:pPr>
        <w:pStyle w:val="ListBullet2"/>
      </w:pPr>
      <w:r w:rsidRPr="00F30EFE">
        <w:t>Gender: With the exception of somnolence, AEs in the pivotal trials appeared to occur slightly more often in males than females (males: 57.1%; females: 73.7%). In the non-pivotal trials, the AEs were not significantly different.</w:t>
      </w:r>
    </w:p>
    <w:p w14:paraId="2DEF491D" w14:textId="7F389FCB" w:rsidR="00CD79AB" w:rsidRPr="00F30EFE" w:rsidRDefault="00CD79AB" w:rsidP="009F106E">
      <w:pPr>
        <w:pStyle w:val="ListBullet2"/>
      </w:pPr>
      <w:r w:rsidRPr="00F30EFE">
        <w:t>Age: Although, ataxia appeared to occur more often in the age group 1 to ≤</w:t>
      </w:r>
      <w:r w:rsidR="00E904C8" w:rsidRPr="00F30EFE">
        <w:t xml:space="preserve"> </w:t>
      </w:r>
      <w:r w:rsidRPr="00F30EFE">
        <w:t>6 years, the AE incidence was comparable across age groups below 17ye</w:t>
      </w:r>
      <w:r w:rsidR="00E904C8" w:rsidRPr="00F30EFE">
        <w:t>ars (when analysing common AEs (</w:t>
      </w:r>
      <w:r w:rsidRPr="00F30EFE">
        <w:t>&gt;</w:t>
      </w:r>
      <w:r w:rsidR="00E904C8" w:rsidRPr="00F30EFE">
        <w:t xml:space="preserve"> 5%)</w:t>
      </w:r>
      <w:r w:rsidRPr="00F30EFE">
        <w:t>).</w:t>
      </w:r>
      <w:r w:rsidR="00CC19E9">
        <w:t xml:space="preserve"> </w:t>
      </w:r>
      <w:r w:rsidRPr="00F30EFE">
        <w:t xml:space="preserve">Data were limited for </w:t>
      </w:r>
      <w:r w:rsidR="009F106E" w:rsidRPr="00F30EFE">
        <w:t>patients over 17 years of age.</w:t>
      </w:r>
    </w:p>
    <w:p w14:paraId="4FD49714" w14:textId="77777777" w:rsidR="00CD79AB" w:rsidRPr="00F30EFE" w:rsidRDefault="00CD79AB" w:rsidP="009F106E">
      <w:pPr>
        <w:pStyle w:val="ListBullet"/>
      </w:pPr>
      <w:r w:rsidRPr="00F30EFE">
        <w:t>From the limited data available on doses greater than 60 mg/kg/day, there appear</w:t>
      </w:r>
      <w:r w:rsidR="00F61F96" w:rsidRPr="00F30EFE">
        <w:t>s</w:t>
      </w:r>
      <w:r w:rsidRPr="00F30EFE">
        <w:t xml:space="preserve"> to be no significant dif</w:t>
      </w:r>
      <w:r w:rsidR="009F106E" w:rsidRPr="00F30EFE">
        <w:t>ference in AEs at higher doses.</w:t>
      </w:r>
      <w:r w:rsidRPr="00F30EFE">
        <w:rPr>
          <w:i/>
        </w:rPr>
        <w:t xml:space="preserve"> </w:t>
      </w:r>
      <w:r w:rsidRPr="00F30EFE">
        <w:t>Given the small exposure, this may not</w:t>
      </w:r>
      <w:r w:rsidR="009F106E" w:rsidRPr="00F30EFE">
        <w:t xml:space="preserve"> be true for more rare events.</w:t>
      </w:r>
    </w:p>
    <w:p w14:paraId="29B4C74A" w14:textId="77777777" w:rsidR="00CD79AB" w:rsidRPr="00F30EFE" w:rsidRDefault="00CD79AB" w:rsidP="009F106E">
      <w:pPr>
        <w:pStyle w:val="ListBullet"/>
      </w:pPr>
      <w:r w:rsidRPr="00F30EFE">
        <w:t xml:space="preserve">Post-marketing experience reflected the events found </w:t>
      </w:r>
      <w:r w:rsidR="00E904C8" w:rsidRPr="00F30EFE">
        <w:t>in the pre-marketing studies for example,</w:t>
      </w:r>
      <w:r w:rsidRPr="00F30EFE">
        <w:t xml:space="preserve"> abnormal LFTs, neutropaenia/thrombocytopaenia, ataxia, aggression.</w:t>
      </w:r>
    </w:p>
    <w:p w14:paraId="174E2060" w14:textId="77777777" w:rsidR="00CD79AB" w:rsidRPr="00F30EFE" w:rsidRDefault="009F106E" w:rsidP="009F106E">
      <w:pPr>
        <w:pStyle w:val="Heading5"/>
        <w:rPr>
          <w:lang w:eastAsia="ja-JP"/>
        </w:rPr>
      </w:pPr>
      <w:r w:rsidRPr="00F30EFE">
        <w:rPr>
          <w:lang w:eastAsia="ja-JP"/>
        </w:rPr>
        <w:t>Clinical evaluator’s comment on safety</w:t>
      </w:r>
    </w:p>
    <w:p w14:paraId="2B3CC916" w14:textId="77777777" w:rsidR="009F106E" w:rsidRPr="00F30EFE" w:rsidRDefault="009F106E" w:rsidP="009F106E">
      <w:pPr>
        <w:pStyle w:val="ListBullet"/>
      </w:pPr>
      <w:r w:rsidRPr="00F30EFE">
        <w:t>Overall, the safety profile of stiripentol has been adequately characterised and is acceptable.</w:t>
      </w:r>
      <w:r w:rsidR="00E904C8" w:rsidRPr="00F30EFE">
        <w:t xml:space="preserve"> The exposure (including longer </w:t>
      </w:r>
      <w:r w:rsidRPr="00F30EFE">
        <w:t>term exposure) was adequate and, there was sufficient post-marketing experience. Generally, the post-marketing data reflected the safety data found in the clinical studies. Drug monitoring should be considered at regular intervals w</w:t>
      </w:r>
      <w:r w:rsidR="00E904C8" w:rsidRPr="00F30EFE">
        <w:t>hen clinically appropriate (for example,</w:t>
      </w:r>
      <w:r w:rsidRPr="00F30EFE">
        <w:t xml:space="preserve"> when the dose is changed, when the efficacy is decreasing, or when there is an increase in adverse event severity or frequency) for risk mitigation purposes.</w:t>
      </w:r>
    </w:p>
    <w:p w14:paraId="55FB0C09" w14:textId="77777777" w:rsidR="009F106E" w:rsidRPr="00F30EFE" w:rsidRDefault="009F106E" w:rsidP="009F106E">
      <w:pPr>
        <w:pStyle w:val="ListBullet"/>
      </w:pPr>
      <w:r w:rsidRPr="00F30EFE">
        <w:t>The limitations/potential issues in the profile include the following:</w:t>
      </w:r>
    </w:p>
    <w:p w14:paraId="1B099435" w14:textId="77777777" w:rsidR="009F106E" w:rsidRPr="00F30EFE" w:rsidRDefault="009F106E" w:rsidP="009F106E">
      <w:pPr>
        <w:pStyle w:val="ListBullet2"/>
      </w:pPr>
      <w:r w:rsidRPr="00F30EFE">
        <w:t>Limited data for children under 3 years and adults.</w:t>
      </w:r>
    </w:p>
    <w:p w14:paraId="59876E0C" w14:textId="77777777" w:rsidR="009F106E" w:rsidRPr="00F30EFE" w:rsidRDefault="009F106E" w:rsidP="009F106E">
      <w:pPr>
        <w:pStyle w:val="ListBullet2"/>
      </w:pPr>
      <w:r w:rsidRPr="00F30EFE">
        <w:t>No data for patients with hepatic or renal impairment.</w:t>
      </w:r>
    </w:p>
    <w:p w14:paraId="3B95B66D" w14:textId="77777777" w:rsidR="009F106E" w:rsidRPr="00F30EFE" w:rsidRDefault="009F106E" w:rsidP="009F106E">
      <w:pPr>
        <w:pStyle w:val="ListBullet2"/>
      </w:pPr>
      <w:r w:rsidRPr="00F30EFE">
        <w:t>Non-con</w:t>
      </w:r>
      <w:r w:rsidR="00E904C8" w:rsidRPr="00F30EFE">
        <w:t xml:space="preserve">clusive evidence regarding dose </w:t>
      </w:r>
      <w:r w:rsidRPr="00F30EFE">
        <w:t>related increase in adverse events, in particular in the context of a po</w:t>
      </w:r>
      <w:r w:rsidR="00E904C8" w:rsidRPr="00F30EFE">
        <w:t xml:space="preserve">tential increased concentration </w:t>
      </w:r>
      <w:r w:rsidRPr="00F30EFE">
        <w:t>dose ratio with daily dose and age increases.</w:t>
      </w:r>
    </w:p>
    <w:p w14:paraId="798434EF" w14:textId="77777777" w:rsidR="009F106E" w:rsidRPr="00F30EFE" w:rsidRDefault="009F106E" w:rsidP="009F106E">
      <w:pPr>
        <w:pStyle w:val="ListBullet2"/>
      </w:pPr>
      <w:r w:rsidRPr="00F30EFE">
        <w:t>Inability to compare the profile to a drug in the same class.</w:t>
      </w:r>
    </w:p>
    <w:p w14:paraId="5FEF9DA6" w14:textId="77777777" w:rsidR="009F106E" w:rsidRPr="00F30EFE" w:rsidRDefault="009F106E" w:rsidP="009F106E">
      <w:pPr>
        <w:pStyle w:val="ListBullet2"/>
      </w:pPr>
      <w:r w:rsidRPr="00F30EFE">
        <w:t>Drug monitoring issues, as stiripentol is highly protein bound, and measuring the free fraction may not be possible.</w:t>
      </w:r>
    </w:p>
    <w:p w14:paraId="067FC7A5" w14:textId="77777777" w:rsidR="009F106E" w:rsidRPr="00F30EFE" w:rsidRDefault="009F106E" w:rsidP="00CD79AB">
      <w:pPr>
        <w:pStyle w:val="ListBullet2"/>
      </w:pPr>
      <w:r w:rsidRPr="00F30EFE">
        <w:t>Interactions with AEDs that may increase the stiripentol concentration and potentially AEs.</w:t>
      </w:r>
    </w:p>
    <w:p w14:paraId="6F1AAC5A" w14:textId="77777777" w:rsidR="008E7846" w:rsidRPr="00F30EFE" w:rsidRDefault="00386150" w:rsidP="00D71869">
      <w:pPr>
        <w:pStyle w:val="Heading3"/>
      </w:pPr>
      <w:bookmarkStart w:id="92" w:name="_Toc27645588"/>
      <w:r w:rsidRPr="00F30EFE">
        <w:t>Risk m</w:t>
      </w:r>
      <w:r w:rsidR="008E7846" w:rsidRPr="00F30EFE">
        <w:t xml:space="preserve">anagement </w:t>
      </w:r>
      <w:r w:rsidRPr="00F30EFE">
        <w:t>p</w:t>
      </w:r>
      <w:r w:rsidR="008E7846" w:rsidRPr="00F30EFE">
        <w:t>lan</w:t>
      </w:r>
      <w:bookmarkEnd w:id="41"/>
      <w:r w:rsidR="003C03F3" w:rsidRPr="00F30EFE">
        <w:t xml:space="preserve"> (RMP)</w:t>
      </w:r>
      <w:bookmarkEnd w:id="92"/>
    </w:p>
    <w:p w14:paraId="6D52E75D" w14:textId="77777777" w:rsidR="00F313FD" w:rsidRPr="00F30EFE" w:rsidRDefault="00F313FD" w:rsidP="00667DFB">
      <w:pPr>
        <w:pStyle w:val="ListBullet"/>
      </w:pPr>
      <w:r w:rsidRPr="00F30EFE">
        <w:t>Significant pharmacokinetic drug interactions occur with Diacomit. This requires dose adjustment of anti-epileptic drugs used in combination with stiripentol and precaution with certain other drugs.</w:t>
      </w:r>
    </w:p>
    <w:p w14:paraId="2082BF91" w14:textId="77777777" w:rsidR="00F313FD" w:rsidRPr="00F30EFE" w:rsidRDefault="00BB2E75" w:rsidP="00667DFB">
      <w:pPr>
        <w:pStyle w:val="ListBullet"/>
      </w:pPr>
      <w:r w:rsidRPr="00F30EFE">
        <w:t>The sponsor</w:t>
      </w:r>
      <w:r w:rsidR="00F313FD" w:rsidRPr="00F30EFE">
        <w:t xml:space="preserve"> has submitted </w:t>
      </w:r>
      <w:r w:rsidRPr="00F30EFE">
        <w:t>European Union–Risk Management Plan (</w:t>
      </w:r>
      <w:r w:rsidR="00F313FD" w:rsidRPr="00F30EFE">
        <w:t>EU-RMP</w:t>
      </w:r>
      <w:r w:rsidRPr="00F30EFE">
        <w:t>)</w:t>
      </w:r>
      <w:r w:rsidR="00F313FD" w:rsidRPr="00F30EFE">
        <w:t xml:space="preserve"> version 3.0</w:t>
      </w:r>
      <w:r w:rsidRPr="00F30EFE">
        <w:t xml:space="preserve"> (9 June 2017; data lock point</w:t>
      </w:r>
      <w:r w:rsidR="00F313FD" w:rsidRPr="00F30EFE">
        <w:t xml:space="preserve"> 18 August 2016), which supersedes EU-RMP version </w:t>
      </w:r>
      <w:r w:rsidR="00F313FD" w:rsidRPr="00F30EFE">
        <w:lastRenderedPageBreak/>
        <w:t xml:space="preserve">2.0, 04 October 2016 (same </w:t>
      </w:r>
      <w:r w:rsidRPr="00F30EFE">
        <w:t>data lock point</w:t>
      </w:r>
      <w:r w:rsidR="00F313FD" w:rsidRPr="00F30EFE">
        <w:t xml:space="preserve">) and </w:t>
      </w:r>
      <w:r w:rsidRPr="00F30EFE">
        <w:t>Australian Specific Annex (</w:t>
      </w:r>
      <w:r w:rsidR="00F313FD" w:rsidRPr="00F30EFE">
        <w:t>ASA</w:t>
      </w:r>
      <w:r w:rsidRPr="00F30EFE">
        <w:t>)</w:t>
      </w:r>
      <w:r w:rsidR="00F313FD" w:rsidRPr="00F30EFE">
        <w:t xml:space="preserve"> version 0.1 (5 October 2016), in support of this application. The ASA was not updated.</w:t>
      </w:r>
    </w:p>
    <w:p w14:paraId="52FBDCFD" w14:textId="4D15C469" w:rsidR="00F313FD" w:rsidRPr="00F30EFE" w:rsidRDefault="00F313FD" w:rsidP="00667DFB">
      <w:pPr>
        <w:pStyle w:val="ListBullet"/>
      </w:pPr>
      <w:r w:rsidRPr="00F30EFE">
        <w:t xml:space="preserve">The sponsor has revised the </w:t>
      </w:r>
      <w:r w:rsidR="003877CD" w:rsidRPr="00F30EFE">
        <w:t xml:space="preserve">summary of safety concerns </w:t>
      </w:r>
      <w:r w:rsidRPr="00F30EFE">
        <w:t xml:space="preserve">in the EU-RMP version 3.0 provided in the </w:t>
      </w:r>
      <w:r w:rsidR="00040C34" w:rsidRPr="00F30EFE">
        <w:t>r</w:t>
      </w:r>
      <w:r w:rsidR="00E1608A" w:rsidRPr="00F30EFE">
        <w:t>esponse to TGA questions</w:t>
      </w:r>
      <w:r w:rsidR="00E0277A">
        <w:t>;</w:t>
      </w:r>
      <w:r w:rsidR="00E1608A" w:rsidRPr="00F30EFE">
        <w:t xml:space="preserve"> see</w:t>
      </w:r>
      <w:r w:rsidR="003877CD" w:rsidRPr="00F30EFE">
        <w:t xml:space="preserve"> </w:t>
      </w:r>
      <w:r w:rsidR="003877CD" w:rsidRPr="00F30EFE">
        <w:fldChar w:fldCharType="begin"/>
      </w:r>
      <w:r w:rsidR="003877CD" w:rsidRPr="00F30EFE">
        <w:instrText xml:space="preserve"> REF _Ref23230780 \h </w:instrText>
      </w:r>
      <w:r w:rsidR="003877CD" w:rsidRPr="00F30EFE">
        <w:fldChar w:fldCharType="separate"/>
      </w:r>
      <w:r w:rsidR="003877CD" w:rsidRPr="00F30EFE">
        <w:t xml:space="preserve">Table </w:t>
      </w:r>
      <w:r w:rsidR="003877CD" w:rsidRPr="00F30EFE">
        <w:rPr>
          <w:noProof/>
        </w:rPr>
        <w:t>23</w:t>
      </w:r>
      <w:r w:rsidR="003877CD" w:rsidRPr="00F30EFE">
        <w:fldChar w:fldCharType="end"/>
      </w:r>
      <w:r w:rsidR="00E0277A">
        <w:t xml:space="preserve"> below</w:t>
      </w:r>
      <w:r w:rsidR="003877CD" w:rsidRPr="00F30EFE">
        <w:t>.</w:t>
      </w:r>
    </w:p>
    <w:p w14:paraId="2359C269" w14:textId="77777777" w:rsidR="00040C34" w:rsidRPr="00F30EFE" w:rsidRDefault="00667DFB" w:rsidP="00667DFB">
      <w:pPr>
        <w:pStyle w:val="TableTitle"/>
      </w:pPr>
      <w:bookmarkStart w:id="93" w:name="_Ref23230780"/>
      <w:r w:rsidRPr="00F30EFE">
        <w:t xml:space="preserve">Table </w:t>
      </w:r>
      <w:r w:rsidR="00C12465">
        <w:fldChar w:fldCharType="begin"/>
      </w:r>
      <w:r w:rsidR="00C12465">
        <w:instrText xml:space="preserve"> SEQ Table \* ARABIC </w:instrText>
      </w:r>
      <w:r w:rsidR="00C12465">
        <w:fldChar w:fldCharType="separate"/>
      </w:r>
      <w:r w:rsidR="007F6E47" w:rsidRPr="00F30EFE">
        <w:rPr>
          <w:noProof/>
        </w:rPr>
        <w:t>23</w:t>
      </w:r>
      <w:r w:rsidR="00C12465">
        <w:rPr>
          <w:noProof/>
        </w:rPr>
        <w:fldChar w:fldCharType="end"/>
      </w:r>
      <w:bookmarkEnd w:id="93"/>
      <w:r w:rsidRPr="00F30EFE">
        <w:t>: Summary of safety concerns</w:t>
      </w:r>
    </w:p>
    <w:tbl>
      <w:tblPr>
        <w:tblStyle w:val="TableTGAblue"/>
        <w:tblW w:w="8963" w:type="dxa"/>
        <w:tblLayout w:type="fixed"/>
        <w:tblLook w:val="04A0" w:firstRow="1" w:lastRow="0" w:firstColumn="1" w:lastColumn="0" w:noHBand="0" w:noVBand="1"/>
      </w:tblPr>
      <w:tblGrid>
        <w:gridCol w:w="2129"/>
        <w:gridCol w:w="6834"/>
      </w:tblGrid>
      <w:tr w:rsidR="00F313FD" w:rsidRPr="00F30EFE" w14:paraId="70BD4965" w14:textId="77777777" w:rsidTr="00040C34">
        <w:trPr>
          <w:cnfStyle w:val="100000000000" w:firstRow="1" w:lastRow="0" w:firstColumn="0" w:lastColumn="0" w:oddVBand="0" w:evenVBand="0" w:oddHBand="0" w:evenHBand="0" w:firstRowFirstColumn="0" w:firstRowLastColumn="0" w:lastRowFirstColumn="0" w:lastRowLastColumn="0"/>
        </w:trPr>
        <w:tc>
          <w:tcPr>
            <w:tcW w:w="8963" w:type="dxa"/>
            <w:gridSpan w:val="2"/>
          </w:tcPr>
          <w:p w14:paraId="4583EA38" w14:textId="77777777" w:rsidR="00F313FD" w:rsidRPr="00F30EFE" w:rsidRDefault="00F313FD" w:rsidP="00040C34">
            <w:pPr>
              <w:ind w:left="0" w:right="0"/>
              <w:rPr>
                <w:sz w:val="20"/>
                <w:szCs w:val="20"/>
              </w:rPr>
            </w:pPr>
            <w:r w:rsidRPr="00F30EFE">
              <w:rPr>
                <w:sz w:val="20"/>
                <w:szCs w:val="20"/>
              </w:rPr>
              <w:t>Summary of safety conce</w:t>
            </w:r>
            <w:r w:rsidR="003877CD" w:rsidRPr="00F30EFE">
              <w:rPr>
                <w:sz w:val="20"/>
                <w:szCs w:val="20"/>
              </w:rPr>
              <w:t>rns (adapted from EU-RMP v3.0-</w:t>
            </w:r>
            <w:r w:rsidRPr="00F30EFE">
              <w:rPr>
                <w:sz w:val="20"/>
                <w:szCs w:val="20"/>
              </w:rPr>
              <w:t>Part II: Module SVIII)</w:t>
            </w:r>
          </w:p>
        </w:tc>
      </w:tr>
      <w:tr w:rsidR="00F313FD" w:rsidRPr="00F30EFE" w14:paraId="13135A37" w14:textId="77777777" w:rsidTr="00040C34">
        <w:trPr>
          <w:trHeight w:val="137"/>
        </w:trPr>
        <w:tc>
          <w:tcPr>
            <w:tcW w:w="2129" w:type="dxa"/>
            <w:vMerge w:val="restart"/>
          </w:tcPr>
          <w:p w14:paraId="28B5ACD7" w14:textId="77777777" w:rsidR="00F313FD" w:rsidRPr="00F30EFE" w:rsidRDefault="00F313FD" w:rsidP="00040C34">
            <w:pPr>
              <w:ind w:left="0" w:right="0"/>
              <w:rPr>
                <w:b/>
                <w:sz w:val="20"/>
                <w:szCs w:val="20"/>
              </w:rPr>
            </w:pPr>
            <w:r w:rsidRPr="00F30EFE">
              <w:rPr>
                <w:b/>
                <w:sz w:val="20"/>
                <w:szCs w:val="20"/>
              </w:rPr>
              <w:t>Important identified risks</w:t>
            </w:r>
          </w:p>
        </w:tc>
        <w:tc>
          <w:tcPr>
            <w:tcW w:w="6834" w:type="dxa"/>
          </w:tcPr>
          <w:p w14:paraId="5CB48567" w14:textId="77777777" w:rsidR="00F313FD" w:rsidRPr="00F30EFE" w:rsidRDefault="00F313FD" w:rsidP="00040C34">
            <w:pPr>
              <w:ind w:left="0" w:right="0"/>
              <w:rPr>
                <w:sz w:val="20"/>
                <w:szCs w:val="20"/>
              </w:rPr>
            </w:pPr>
            <w:r w:rsidRPr="00F30EFE">
              <w:rPr>
                <w:sz w:val="20"/>
                <w:szCs w:val="20"/>
              </w:rPr>
              <w:t>Hepatic disorders</w:t>
            </w:r>
          </w:p>
          <w:p w14:paraId="146E9D55" w14:textId="77777777" w:rsidR="00F313FD" w:rsidRPr="00F30EFE" w:rsidRDefault="00F313FD" w:rsidP="00667DFB">
            <w:pPr>
              <w:pStyle w:val="ListBullet"/>
              <w:rPr>
                <w:sz w:val="20"/>
                <w:szCs w:val="20"/>
              </w:rPr>
            </w:pPr>
            <w:r w:rsidRPr="00F30EFE">
              <w:rPr>
                <w:sz w:val="20"/>
                <w:szCs w:val="20"/>
              </w:rPr>
              <w:t>Liver</w:t>
            </w:r>
            <w:r w:rsidR="00667DFB" w:rsidRPr="00F30EFE">
              <w:rPr>
                <w:sz w:val="20"/>
                <w:szCs w:val="20"/>
              </w:rPr>
              <w:t xml:space="preserve"> function test abnormal;</w:t>
            </w:r>
          </w:p>
          <w:p w14:paraId="72968258" w14:textId="77777777" w:rsidR="00F313FD" w:rsidRPr="00F30EFE" w:rsidRDefault="00F313FD" w:rsidP="003877CD">
            <w:pPr>
              <w:pStyle w:val="ListBullet"/>
              <w:rPr>
                <w:sz w:val="20"/>
                <w:szCs w:val="20"/>
              </w:rPr>
            </w:pPr>
            <w:r w:rsidRPr="00F30EFE">
              <w:rPr>
                <w:sz w:val="20"/>
                <w:szCs w:val="20"/>
              </w:rPr>
              <w:t xml:space="preserve">Hepatic enzyme increased (ALT </w:t>
            </w:r>
            <w:r w:rsidRPr="00F30EFE">
              <w:rPr>
                <w:b/>
                <w:sz w:val="20"/>
                <w:szCs w:val="20"/>
              </w:rPr>
              <w:t>↑</w:t>
            </w:r>
            <w:r w:rsidRPr="00F30EFE">
              <w:rPr>
                <w:sz w:val="20"/>
                <w:szCs w:val="20"/>
              </w:rPr>
              <w:t xml:space="preserve"> , </w:t>
            </w:r>
            <w:r w:rsidR="003877CD" w:rsidRPr="00F30EFE">
              <w:rPr>
                <w:sz w:val="20"/>
                <w:szCs w:val="20"/>
              </w:rPr>
              <w:t>alpha-1 antitrypsin protein (</w:t>
            </w:r>
            <w:r w:rsidRPr="00F30EFE">
              <w:rPr>
                <w:sz w:val="20"/>
                <w:szCs w:val="20"/>
              </w:rPr>
              <w:t>AAT</w:t>
            </w:r>
            <w:r w:rsidR="003877CD" w:rsidRPr="00F30EFE">
              <w:rPr>
                <w:sz w:val="20"/>
                <w:szCs w:val="20"/>
              </w:rPr>
              <w:t>)</w:t>
            </w:r>
            <w:r w:rsidRPr="00F30EFE">
              <w:rPr>
                <w:sz w:val="20"/>
                <w:szCs w:val="20"/>
              </w:rPr>
              <w:t xml:space="preserve"> </w:t>
            </w:r>
            <w:r w:rsidRPr="00F30EFE">
              <w:rPr>
                <w:b/>
                <w:sz w:val="20"/>
                <w:szCs w:val="20"/>
              </w:rPr>
              <w:t>↑</w:t>
            </w:r>
            <w:r w:rsidRPr="00F30EFE">
              <w:rPr>
                <w:sz w:val="20"/>
                <w:szCs w:val="20"/>
              </w:rPr>
              <w:t xml:space="preserve">, </w:t>
            </w:r>
            <w:r w:rsidR="003C03F3" w:rsidRPr="00F30EFE">
              <w:rPr>
                <w:sz w:val="20"/>
                <w:szCs w:val="20"/>
              </w:rPr>
              <w:t>g</w:t>
            </w:r>
            <w:r w:rsidR="003877CD" w:rsidRPr="00F30EFE">
              <w:rPr>
                <w:sz w:val="20"/>
                <w:szCs w:val="20"/>
              </w:rPr>
              <w:t xml:space="preserve">amma-glutamyl transferase </w:t>
            </w:r>
            <w:r w:rsidR="003C03F3" w:rsidRPr="00F30EFE">
              <w:rPr>
                <w:sz w:val="20"/>
                <w:szCs w:val="20"/>
              </w:rPr>
              <w:t>(</w:t>
            </w:r>
            <w:r w:rsidRPr="00F30EFE">
              <w:rPr>
                <w:sz w:val="20"/>
                <w:szCs w:val="20"/>
              </w:rPr>
              <w:t>GGT</w:t>
            </w:r>
            <w:r w:rsidR="003C03F3" w:rsidRPr="00F30EFE">
              <w:rPr>
                <w:sz w:val="20"/>
                <w:szCs w:val="20"/>
              </w:rPr>
              <w:t>)</w:t>
            </w:r>
            <w:r w:rsidRPr="00F30EFE">
              <w:rPr>
                <w:sz w:val="20"/>
                <w:szCs w:val="20"/>
              </w:rPr>
              <w:t xml:space="preserve"> </w:t>
            </w:r>
            <w:r w:rsidRPr="00F30EFE">
              <w:rPr>
                <w:b/>
                <w:sz w:val="20"/>
                <w:szCs w:val="20"/>
              </w:rPr>
              <w:t>↑</w:t>
            </w:r>
            <w:r w:rsidRPr="00F30EFE">
              <w:rPr>
                <w:sz w:val="20"/>
                <w:szCs w:val="20"/>
              </w:rPr>
              <w:t>)</w:t>
            </w:r>
          </w:p>
        </w:tc>
      </w:tr>
      <w:tr w:rsidR="00F313FD" w:rsidRPr="00F30EFE" w14:paraId="1EA7355A" w14:textId="77777777" w:rsidTr="00040C34">
        <w:trPr>
          <w:trHeight w:val="150"/>
        </w:trPr>
        <w:tc>
          <w:tcPr>
            <w:tcW w:w="2129" w:type="dxa"/>
            <w:vMerge/>
          </w:tcPr>
          <w:p w14:paraId="6878A75A" w14:textId="77777777" w:rsidR="00F313FD" w:rsidRPr="00F30EFE" w:rsidRDefault="00F313FD" w:rsidP="00040C34">
            <w:pPr>
              <w:ind w:left="0" w:right="0"/>
              <w:rPr>
                <w:b/>
                <w:sz w:val="20"/>
                <w:szCs w:val="20"/>
              </w:rPr>
            </w:pPr>
          </w:p>
        </w:tc>
        <w:tc>
          <w:tcPr>
            <w:tcW w:w="6834" w:type="dxa"/>
          </w:tcPr>
          <w:p w14:paraId="77B90A73" w14:textId="77777777" w:rsidR="00F313FD" w:rsidRPr="00F30EFE" w:rsidRDefault="00F313FD" w:rsidP="00040C34">
            <w:pPr>
              <w:ind w:left="0" w:right="0"/>
              <w:rPr>
                <w:sz w:val="20"/>
                <w:szCs w:val="20"/>
              </w:rPr>
            </w:pPr>
            <w:r w:rsidRPr="00F30EFE">
              <w:rPr>
                <w:sz w:val="20"/>
                <w:szCs w:val="20"/>
              </w:rPr>
              <w:t>Interactions with clobazam, valproate and/or carbamazepine including:</w:t>
            </w:r>
          </w:p>
          <w:p w14:paraId="10D2C70E" w14:textId="77777777" w:rsidR="00F313FD" w:rsidRPr="00F30EFE" w:rsidRDefault="00F313FD" w:rsidP="00667DFB">
            <w:pPr>
              <w:pStyle w:val="ListBullet"/>
              <w:rPr>
                <w:sz w:val="20"/>
                <w:szCs w:val="20"/>
              </w:rPr>
            </w:pPr>
            <w:r w:rsidRPr="00F30EFE">
              <w:rPr>
                <w:sz w:val="20"/>
                <w:szCs w:val="20"/>
              </w:rPr>
              <w:t xml:space="preserve">Haematological changes (associated with </w:t>
            </w:r>
            <w:r w:rsidR="003C03F3" w:rsidRPr="00F30EFE">
              <w:rPr>
                <w:sz w:val="20"/>
                <w:szCs w:val="20"/>
              </w:rPr>
              <w:t>valproate</w:t>
            </w:r>
            <w:r w:rsidRPr="00F30EFE">
              <w:rPr>
                <w:sz w:val="20"/>
                <w:szCs w:val="20"/>
              </w:rPr>
              <w:t xml:space="preserve"> and </w:t>
            </w:r>
            <w:r w:rsidR="003C03F3" w:rsidRPr="00F30EFE">
              <w:rPr>
                <w:sz w:val="20"/>
                <w:szCs w:val="20"/>
              </w:rPr>
              <w:t>clobazam</w:t>
            </w:r>
            <w:r w:rsidRPr="00F30EFE">
              <w:rPr>
                <w:sz w:val="20"/>
                <w:szCs w:val="20"/>
              </w:rPr>
              <w:t>)</w:t>
            </w:r>
          </w:p>
          <w:p w14:paraId="012B1F82" w14:textId="77777777" w:rsidR="00F313FD" w:rsidRPr="00F30EFE" w:rsidRDefault="003C03F3" w:rsidP="00667DFB">
            <w:pPr>
              <w:pStyle w:val="ListBullet"/>
              <w:rPr>
                <w:sz w:val="20"/>
                <w:szCs w:val="20"/>
              </w:rPr>
            </w:pPr>
            <w:r w:rsidRPr="00F30EFE">
              <w:rPr>
                <w:sz w:val="20"/>
                <w:szCs w:val="20"/>
              </w:rPr>
              <w:t>Neurological disorders</w:t>
            </w:r>
          </w:p>
          <w:p w14:paraId="6E647346" w14:textId="77777777" w:rsidR="00F313FD" w:rsidRPr="00F30EFE" w:rsidRDefault="00F313FD" w:rsidP="00667DFB">
            <w:pPr>
              <w:pStyle w:val="ListBullet"/>
            </w:pPr>
            <w:r w:rsidRPr="00F30EFE">
              <w:rPr>
                <w:sz w:val="20"/>
                <w:szCs w:val="20"/>
              </w:rPr>
              <w:t>Gastrointestinal adverse reactions, including weight loss</w:t>
            </w:r>
          </w:p>
        </w:tc>
      </w:tr>
      <w:tr w:rsidR="00F313FD" w:rsidRPr="00F30EFE" w14:paraId="6A685673" w14:textId="77777777" w:rsidTr="00040C34">
        <w:trPr>
          <w:trHeight w:val="159"/>
        </w:trPr>
        <w:tc>
          <w:tcPr>
            <w:tcW w:w="2129" w:type="dxa"/>
            <w:vMerge w:val="restart"/>
          </w:tcPr>
          <w:p w14:paraId="0FB67286" w14:textId="77777777" w:rsidR="00F313FD" w:rsidRPr="00F30EFE" w:rsidRDefault="00F313FD" w:rsidP="00040C34">
            <w:pPr>
              <w:ind w:left="0" w:right="0"/>
              <w:rPr>
                <w:b/>
                <w:sz w:val="20"/>
                <w:szCs w:val="20"/>
              </w:rPr>
            </w:pPr>
            <w:r w:rsidRPr="00F30EFE">
              <w:rPr>
                <w:b/>
                <w:sz w:val="20"/>
                <w:szCs w:val="20"/>
              </w:rPr>
              <w:t>Important potential risks</w:t>
            </w:r>
          </w:p>
        </w:tc>
        <w:tc>
          <w:tcPr>
            <w:tcW w:w="6834" w:type="dxa"/>
          </w:tcPr>
          <w:p w14:paraId="65543454" w14:textId="77777777" w:rsidR="00F313FD" w:rsidRPr="00F30EFE" w:rsidRDefault="00F313FD" w:rsidP="00040C34">
            <w:pPr>
              <w:ind w:left="0" w:right="0"/>
              <w:rPr>
                <w:sz w:val="20"/>
                <w:szCs w:val="20"/>
              </w:rPr>
            </w:pPr>
            <w:r w:rsidRPr="00F30EFE">
              <w:rPr>
                <w:sz w:val="20"/>
                <w:szCs w:val="20"/>
              </w:rPr>
              <w:t>Convulsion/lack of efficacy</w:t>
            </w:r>
          </w:p>
        </w:tc>
      </w:tr>
      <w:tr w:rsidR="00F313FD" w:rsidRPr="00F30EFE" w14:paraId="1377BF0F" w14:textId="77777777" w:rsidTr="00040C34">
        <w:trPr>
          <w:trHeight w:val="122"/>
        </w:trPr>
        <w:tc>
          <w:tcPr>
            <w:tcW w:w="2129" w:type="dxa"/>
            <w:vMerge/>
          </w:tcPr>
          <w:p w14:paraId="3FC9751C" w14:textId="77777777" w:rsidR="00F313FD" w:rsidRPr="00F30EFE" w:rsidRDefault="00F313FD" w:rsidP="00040C34">
            <w:pPr>
              <w:ind w:left="0" w:right="0"/>
              <w:rPr>
                <w:b/>
                <w:sz w:val="20"/>
                <w:szCs w:val="20"/>
              </w:rPr>
            </w:pPr>
          </w:p>
        </w:tc>
        <w:tc>
          <w:tcPr>
            <w:tcW w:w="6834" w:type="dxa"/>
          </w:tcPr>
          <w:p w14:paraId="2E9E8C43" w14:textId="77777777" w:rsidR="00F313FD" w:rsidRPr="00F30EFE" w:rsidRDefault="00F313FD" w:rsidP="00040C34">
            <w:pPr>
              <w:ind w:left="0" w:right="0"/>
              <w:rPr>
                <w:sz w:val="20"/>
                <w:szCs w:val="20"/>
              </w:rPr>
            </w:pPr>
            <w:r w:rsidRPr="00F30EFE">
              <w:rPr>
                <w:sz w:val="20"/>
                <w:szCs w:val="20"/>
              </w:rPr>
              <w:t>Death/sudden unexpected death in epilepsy</w:t>
            </w:r>
          </w:p>
        </w:tc>
      </w:tr>
      <w:tr w:rsidR="00F313FD" w:rsidRPr="00F30EFE" w14:paraId="2219399C" w14:textId="77777777" w:rsidTr="00040C34">
        <w:trPr>
          <w:trHeight w:val="150"/>
        </w:trPr>
        <w:tc>
          <w:tcPr>
            <w:tcW w:w="2129" w:type="dxa"/>
            <w:vMerge/>
          </w:tcPr>
          <w:p w14:paraId="73E95852" w14:textId="77777777" w:rsidR="00F313FD" w:rsidRPr="00F30EFE" w:rsidRDefault="00F313FD" w:rsidP="00040C34">
            <w:pPr>
              <w:ind w:left="0" w:right="0"/>
              <w:rPr>
                <w:b/>
                <w:sz w:val="20"/>
                <w:szCs w:val="20"/>
              </w:rPr>
            </w:pPr>
          </w:p>
        </w:tc>
        <w:tc>
          <w:tcPr>
            <w:tcW w:w="6834" w:type="dxa"/>
          </w:tcPr>
          <w:p w14:paraId="59EE32A1" w14:textId="77777777" w:rsidR="00F313FD" w:rsidRPr="00F30EFE" w:rsidRDefault="00F313FD" w:rsidP="00040C34">
            <w:pPr>
              <w:ind w:left="0" w:right="0"/>
              <w:rPr>
                <w:sz w:val="20"/>
                <w:szCs w:val="20"/>
              </w:rPr>
            </w:pPr>
            <w:r w:rsidRPr="00F30EFE">
              <w:rPr>
                <w:sz w:val="20"/>
                <w:szCs w:val="20"/>
              </w:rPr>
              <w:t>Interactions with other AED/food</w:t>
            </w:r>
          </w:p>
        </w:tc>
      </w:tr>
      <w:tr w:rsidR="00F313FD" w:rsidRPr="00F30EFE" w14:paraId="2EF18AD4" w14:textId="77777777" w:rsidTr="00040C34">
        <w:trPr>
          <w:trHeight w:val="121"/>
        </w:trPr>
        <w:tc>
          <w:tcPr>
            <w:tcW w:w="2129" w:type="dxa"/>
            <w:vMerge/>
          </w:tcPr>
          <w:p w14:paraId="3CC3D776" w14:textId="77777777" w:rsidR="00F313FD" w:rsidRPr="00F30EFE" w:rsidRDefault="00F313FD" w:rsidP="00040C34">
            <w:pPr>
              <w:ind w:left="0" w:right="0"/>
              <w:rPr>
                <w:b/>
                <w:sz w:val="20"/>
                <w:szCs w:val="20"/>
              </w:rPr>
            </w:pPr>
          </w:p>
        </w:tc>
        <w:tc>
          <w:tcPr>
            <w:tcW w:w="6834" w:type="dxa"/>
          </w:tcPr>
          <w:p w14:paraId="402D8FC7" w14:textId="77777777" w:rsidR="00F313FD" w:rsidRPr="00F30EFE" w:rsidRDefault="00F313FD" w:rsidP="00040C34">
            <w:pPr>
              <w:ind w:left="0" w:right="0"/>
              <w:rPr>
                <w:sz w:val="20"/>
                <w:szCs w:val="20"/>
              </w:rPr>
            </w:pPr>
            <w:r w:rsidRPr="00F30EFE">
              <w:rPr>
                <w:sz w:val="20"/>
                <w:szCs w:val="20"/>
              </w:rPr>
              <w:t>Serious skin reactions</w:t>
            </w:r>
          </w:p>
        </w:tc>
      </w:tr>
      <w:tr w:rsidR="00F313FD" w:rsidRPr="00F30EFE" w14:paraId="48750050" w14:textId="77777777" w:rsidTr="00040C34">
        <w:trPr>
          <w:trHeight w:val="178"/>
        </w:trPr>
        <w:tc>
          <w:tcPr>
            <w:tcW w:w="2129" w:type="dxa"/>
            <w:vMerge w:val="restart"/>
          </w:tcPr>
          <w:p w14:paraId="0367B013" w14:textId="77777777" w:rsidR="00F313FD" w:rsidRPr="00F30EFE" w:rsidRDefault="00F313FD" w:rsidP="00040C34">
            <w:pPr>
              <w:ind w:left="0" w:right="0"/>
              <w:rPr>
                <w:b/>
                <w:sz w:val="20"/>
                <w:szCs w:val="20"/>
              </w:rPr>
            </w:pPr>
            <w:r w:rsidRPr="00F30EFE">
              <w:rPr>
                <w:b/>
                <w:sz w:val="20"/>
                <w:szCs w:val="20"/>
              </w:rPr>
              <w:t>Missing information</w:t>
            </w:r>
          </w:p>
        </w:tc>
        <w:tc>
          <w:tcPr>
            <w:tcW w:w="6834" w:type="dxa"/>
          </w:tcPr>
          <w:p w14:paraId="3BDA8033" w14:textId="77777777" w:rsidR="00F313FD" w:rsidRPr="00F30EFE" w:rsidRDefault="00F313FD" w:rsidP="00040C34">
            <w:pPr>
              <w:ind w:left="0" w:right="0"/>
              <w:rPr>
                <w:sz w:val="20"/>
                <w:szCs w:val="20"/>
              </w:rPr>
            </w:pPr>
            <w:r w:rsidRPr="00F30EFE">
              <w:rPr>
                <w:sz w:val="20"/>
                <w:szCs w:val="20"/>
              </w:rPr>
              <w:t>Renal disease</w:t>
            </w:r>
          </w:p>
        </w:tc>
      </w:tr>
      <w:tr w:rsidR="00F313FD" w:rsidRPr="00F30EFE" w14:paraId="0C69C8B6" w14:textId="77777777" w:rsidTr="00040C34">
        <w:trPr>
          <w:trHeight w:val="103"/>
        </w:trPr>
        <w:tc>
          <w:tcPr>
            <w:tcW w:w="2129" w:type="dxa"/>
            <w:vMerge/>
          </w:tcPr>
          <w:p w14:paraId="4B99EA75" w14:textId="77777777" w:rsidR="00F313FD" w:rsidRPr="00F30EFE" w:rsidRDefault="00F313FD" w:rsidP="00040C34">
            <w:pPr>
              <w:ind w:left="0" w:right="0"/>
              <w:rPr>
                <w:sz w:val="20"/>
                <w:szCs w:val="20"/>
              </w:rPr>
            </w:pPr>
          </w:p>
        </w:tc>
        <w:tc>
          <w:tcPr>
            <w:tcW w:w="6834" w:type="dxa"/>
          </w:tcPr>
          <w:p w14:paraId="6AC46BD5" w14:textId="77777777" w:rsidR="00F313FD" w:rsidRPr="00F30EFE" w:rsidRDefault="00F313FD" w:rsidP="00040C34">
            <w:pPr>
              <w:ind w:left="0" w:right="0"/>
              <w:rPr>
                <w:sz w:val="20"/>
                <w:szCs w:val="20"/>
              </w:rPr>
            </w:pPr>
            <w:r w:rsidRPr="00F30EFE">
              <w:rPr>
                <w:sz w:val="20"/>
                <w:szCs w:val="20"/>
              </w:rPr>
              <w:t>Pregnancy and Lactation</w:t>
            </w:r>
          </w:p>
        </w:tc>
      </w:tr>
    </w:tbl>
    <w:p w14:paraId="78BF4598" w14:textId="5EEC59F8" w:rsidR="008E7846" w:rsidRPr="00F30EFE" w:rsidRDefault="00F313FD" w:rsidP="008E7846">
      <w:pPr>
        <w:pStyle w:val="ListBullet"/>
      </w:pPr>
      <w:r w:rsidRPr="00F30EFE">
        <w:t xml:space="preserve">Only routine pharmacovigilance and routine risk minimisation activities are proposed to monitor and mitigate the risks associated with </w:t>
      </w:r>
      <w:r w:rsidR="00667DFB" w:rsidRPr="00F30EFE">
        <w:t>Diacomit</w:t>
      </w:r>
      <w:r w:rsidRPr="00F30EFE">
        <w:t>.</w:t>
      </w:r>
      <w:r w:rsidR="00D71869" w:rsidRPr="00F30EFE">
        <w:rPr>
          <w:rStyle w:val="FootnoteReference"/>
        </w:rPr>
        <w:footnoteReference w:id="15"/>
      </w:r>
      <w:r w:rsidRPr="00F30EFE">
        <w:t xml:space="preserve"> This approach is considered acceptable.</w:t>
      </w:r>
    </w:p>
    <w:p w14:paraId="5CDDC371" w14:textId="77777777" w:rsidR="00E1608A" w:rsidRPr="00F30EFE" w:rsidRDefault="00E1608A" w:rsidP="00E1608A">
      <w:pPr>
        <w:pStyle w:val="Heading4"/>
      </w:pPr>
      <w:bookmarkStart w:id="94" w:name="_Toc487639245"/>
      <w:r w:rsidRPr="00F30EFE">
        <w:t>Conclusions</w:t>
      </w:r>
      <w:bookmarkEnd w:id="94"/>
    </w:p>
    <w:p w14:paraId="429F9D31" w14:textId="0AB159F1" w:rsidR="00E1608A" w:rsidRPr="00F30EFE" w:rsidRDefault="00E1608A" w:rsidP="00E1608A">
      <w:r w:rsidRPr="00F30EFE">
        <w:t xml:space="preserve">The proposed risk management activities are acceptable. The recommendations made in the </w:t>
      </w:r>
      <w:r w:rsidR="003C03F3" w:rsidRPr="00F30EFE">
        <w:t>first round</w:t>
      </w:r>
      <w:r w:rsidRPr="00F30EFE">
        <w:t xml:space="preserve"> evaluation (recommendations 1 to 7) hav</w:t>
      </w:r>
      <w:r w:rsidR="003C03F3" w:rsidRPr="00F30EFE">
        <w:t>e been addressed satisfactorily, a</w:t>
      </w:r>
      <w:r w:rsidRPr="00F30EFE">
        <w:t>s outlined in the RMP evaluation report. There is one new recommendation at the second round of evaluation</w:t>
      </w:r>
      <w:r w:rsidR="00E0277A">
        <w:t>:</w:t>
      </w:r>
    </w:p>
    <w:p w14:paraId="005E4429" w14:textId="502EA6F1" w:rsidR="00E1608A" w:rsidRPr="00F30EFE" w:rsidRDefault="00E1608A" w:rsidP="00B738F3">
      <w:pPr>
        <w:pStyle w:val="ListBullet"/>
      </w:pPr>
      <w:r w:rsidRPr="00F30EFE">
        <w:lastRenderedPageBreak/>
        <w:t>Recommendation 8: The sponsor should provide either an updated ASA to the EU</w:t>
      </w:r>
      <w:r w:rsidR="00E0277A">
        <w:noBreakHyphen/>
      </w:r>
      <w:r w:rsidRPr="00F30EFE">
        <w:t>RMP version 3.0, or an assurance that the EU-RMP will be implemented, in its entirety, unadapted in Australia.</w:t>
      </w:r>
    </w:p>
    <w:p w14:paraId="3B6986D4" w14:textId="77777777" w:rsidR="00E1608A" w:rsidRPr="00F30EFE" w:rsidRDefault="00E1608A" w:rsidP="00E1608A">
      <w:pPr>
        <w:pStyle w:val="Heading4"/>
      </w:pPr>
      <w:bookmarkStart w:id="95" w:name="_Toc487639247"/>
      <w:r w:rsidRPr="00F30EFE">
        <w:t>Wording for conditions of registration</w:t>
      </w:r>
      <w:bookmarkEnd w:id="95"/>
    </w:p>
    <w:p w14:paraId="5A6633C1" w14:textId="77777777" w:rsidR="00E1608A" w:rsidRPr="00F30EFE" w:rsidRDefault="00E1608A" w:rsidP="00E1608A">
      <w:r w:rsidRPr="00F30EFE">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1DDC58F1" w14:textId="77777777" w:rsidR="00E1608A" w:rsidRPr="00F30EFE" w:rsidRDefault="00E1608A" w:rsidP="00E1608A">
      <w:r w:rsidRPr="00F30EFE">
        <w:t>The suggested wording will be provided after the sponsor has clarified their intention to revise the ASA, or implement the EU RMP in its entirety.</w:t>
      </w:r>
    </w:p>
    <w:p w14:paraId="294CE99F" w14:textId="77777777" w:rsidR="008E7846" w:rsidRPr="00F30EFE" w:rsidRDefault="00AA0ED0" w:rsidP="008E7846">
      <w:pPr>
        <w:pStyle w:val="Heading3"/>
      </w:pPr>
      <w:bookmarkStart w:id="96" w:name="_Toc247691531"/>
      <w:bookmarkStart w:id="97" w:name="_Toc314842515"/>
      <w:bookmarkStart w:id="98" w:name="_Toc27645589"/>
      <w:bookmarkStart w:id="99" w:name="_Toc196046505"/>
      <w:bookmarkStart w:id="100" w:name="_Toc196046949"/>
      <w:r w:rsidRPr="00F30EFE">
        <w:t>Risk-benefit a</w:t>
      </w:r>
      <w:r w:rsidR="008E7846" w:rsidRPr="00F30EFE">
        <w:t>nalysis</w:t>
      </w:r>
      <w:bookmarkEnd w:id="96"/>
      <w:bookmarkEnd w:id="97"/>
      <w:bookmarkEnd w:id="98"/>
    </w:p>
    <w:p w14:paraId="06AB4AF6" w14:textId="77777777" w:rsidR="00D23139" w:rsidRPr="00F30EFE" w:rsidRDefault="00667DFB" w:rsidP="00D23139">
      <w:pPr>
        <w:pStyle w:val="Heading4"/>
      </w:pPr>
      <w:r w:rsidRPr="00F30EFE">
        <w:t>Delegate’s considerations</w:t>
      </w:r>
    </w:p>
    <w:p w14:paraId="74677CCE" w14:textId="7E07BA34" w:rsidR="00B03A02" w:rsidRPr="00F30EFE" w:rsidRDefault="00B03A02" w:rsidP="00E45FE7">
      <w:r w:rsidRPr="00F30EFE">
        <w:t xml:space="preserve">As mentioned in the background information, Dravet syndrome (also known as </w:t>
      </w:r>
      <w:r w:rsidR="003C03F3" w:rsidRPr="00F30EFE">
        <w:t>SMEI</w:t>
      </w:r>
      <w:r w:rsidRPr="00F30EFE">
        <w:t>) is a genetic epilepsy syndrome a</w:t>
      </w:r>
      <w:r w:rsidR="003C03F3" w:rsidRPr="00F30EFE">
        <w:t>nd an epileptic encephalopathy (</w:t>
      </w:r>
      <w:r w:rsidRPr="00F30EFE">
        <w:t>first described by Charlotte</w:t>
      </w:r>
      <w:r w:rsidR="00E0277A">
        <w:t> </w:t>
      </w:r>
      <w:r w:rsidRPr="00F30EFE">
        <w:t xml:space="preserve">Dravet, a French neuropsychiatrist, in 1978). The syndrome is associated with high mortality and not many patients live beyond the age of 30. Most patients with Dravet syndrome (70 to 80%) have mutations in the SCN1A gene which affect the associated voltage-gated </w:t>
      </w:r>
      <w:r w:rsidR="007218E5" w:rsidRPr="00F30EFE">
        <w:t>sodium channel alpha-1 subunit.</w:t>
      </w:r>
    </w:p>
    <w:p w14:paraId="412BE8F1" w14:textId="77777777" w:rsidR="00B03A02" w:rsidRPr="00F30EFE" w:rsidRDefault="003C03F3" w:rsidP="00E45FE7">
      <w:r w:rsidRPr="00F30EFE">
        <w:t>The sponsor stated that v</w:t>
      </w:r>
      <w:r w:rsidR="00B03A02" w:rsidRPr="00F30EFE">
        <w:t>alproate with or without clobazam is typically used as first-line treatme</w:t>
      </w:r>
      <w:r w:rsidRPr="00F30EFE">
        <w:t>nt. In some Dravet syndrome</w:t>
      </w:r>
      <w:r w:rsidR="00B03A02" w:rsidRPr="00F30EFE">
        <w:t xml:space="preserve"> patients, the first-line therapies are not sufficient and ad</w:t>
      </w:r>
      <w:r w:rsidRPr="00F30EFE">
        <w:t>ditional therapy is needed, for example,</w:t>
      </w:r>
      <w:r w:rsidR="00B03A02" w:rsidRPr="00F30EFE">
        <w:t xml:space="preserve"> in the form of stiripentol targeting generalised clonic and tonic-clonic seizures which may be associated with </w:t>
      </w:r>
      <w:r w:rsidRPr="00F30EFE">
        <w:t>Dravet syndrome</w:t>
      </w:r>
      <w:r w:rsidR="00B03A02" w:rsidRPr="00F30EFE">
        <w:t>.</w:t>
      </w:r>
    </w:p>
    <w:p w14:paraId="4C943400" w14:textId="77777777" w:rsidR="00B03A02" w:rsidRPr="00F30EFE" w:rsidRDefault="00B03A02" w:rsidP="00E45FE7">
      <w:r w:rsidRPr="00F30EFE">
        <w:t>While its exact mechanism of action is unknown, two main mechanisms of stiripentol action are propos</w:t>
      </w:r>
      <w:r w:rsidR="00E45FE7" w:rsidRPr="00F30EFE">
        <w:t>ed by the sponsor:</w:t>
      </w:r>
    </w:p>
    <w:p w14:paraId="6C9BC4A8" w14:textId="77777777" w:rsidR="00B03A02" w:rsidRPr="00F30EFE" w:rsidRDefault="00B03A02" w:rsidP="00E45FE7">
      <w:pPr>
        <w:pStyle w:val="ListBullet"/>
      </w:pPr>
      <w:r w:rsidRPr="00F30EFE">
        <w:t>Positive modulation of the GABAergic system (direct effect);</w:t>
      </w:r>
    </w:p>
    <w:p w14:paraId="2ED44703" w14:textId="77777777" w:rsidR="00B03A02" w:rsidRPr="00F30EFE" w:rsidRDefault="00B03A02" w:rsidP="00E45FE7">
      <w:pPr>
        <w:pStyle w:val="ListBullet"/>
      </w:pPr>
      <w:r w:rsidRPr="00F30EFE">
        <w:t>Hepatic clearance isozyme inhibition (indirect effect; reduction in clearance of concomitantly administered anticonvulsants wh</w:t>
      </w:r>
      <w:r w:rsidR="00E45FE7" w:rsidRPr="00F30EFE">
        <w:t>ich potentiates their effects).</w:t>
      </w:r>
    </w:p>
    <w:p w14:paraId="20B4F9CF" w14:textId="77777777" w:rsidR="00B03A02" w:rsidRPr="00F30EFE" w:rsidRDefault="00B03A02" w:rsidP="00B03A02">
      <w:r w:rsidRPr="00F30EFE">
        <w:t>Stiripentol is a second line generation anti-epileptic drug, unrelated to any other currently registered anticonvulsant drug.</w:t>
      </w:r>
    </w:p>
    <w:p w14:paraId="59E04B1F" w14:textId="77777777" w:rsidR="00B03A02" w:rsidRPr="00F30EFE" w:rsidRDefault="00B03A02" w:rsidP="00B03A02">
      <w:r w:rsidRPr="00F30EFE">
        <w:t xml:space="preserve">All modules’ evaluators support approvability of the submission for use in </w:t>
      </w:r>
      <w:r w:rsidR="003C03F3" w:rsidRPr="00F30EFE">
        <w:t>Dravet syndrome</w:t>
      </w:r>
      <w:r w:rsidRPr="00F30EFE">
        <w:t xml:space="preserve">. The sponsor’s </w:t>
      </w:r>
      <w:r w:rsidR="00E45FE7" w:rsidRPr="00F30EFE">
        <w:t>amended proposed indication was:</w:t>
      </w:r>
    </w:p>
    <w:p w14:paraId="0CAEC4B3" w14:textId="77777777" w:rsidR="00E45FE7" w:rsidRPr="00F30EFE" w:rsidRDefault="00E45FE7" w:rsidP="00E45FE7">
      <w:pPr>
        <w:ind w:left="720"/>
        <w:rPr>
          <w:i/>
        </w:rPr>
      </w:pPr>
      <w:r w:rsidRPr="00F30EFE">
        <w:rPr>
          <w:i/>
        </w:rPr>
        <w:t>Diacomit</w:t>
      </w:r>
      <w:r w:rsidR="00B03A02" w:rsidRPr="00F30EFE">
        <w:rPr>
          <w:i/>
        </w:rPr>
        <w:t xml:space="preserve"> is indicated for adjunctive treatment of generalised tonic-clonic and clonic seizures associated with severe myoclonic epilepsy in infancy (SMEI, </w:t>
      </w:r>
      <w:r w:rsidRPr="00F30EFE">
        <w:rPr>
          <w:i/>
        </w:rPr>
        <w:t>also known as Dravet syndrome).</w:t>
      </w:r>
    </w:p>
    <w:p w14:paraId="27BCB1BD" w14:textId="77777777" w:rsidR="00B03A02" w:rsidRPr="00F30EFE" w:rsidRDefault="00E45FE7" w:rsidP="00E45FE7">
      <w:r w:rsidRPr="00F30EFE">
        <w:t xml:space="preserve">This </w:t>
      </w:r>
      <w:r w:rsidR="007218E5" w:rsidRPr="00F30EFE">
        <w:t>was amended by the clinical evaluator</w:t>
      </w:r>
      <w:r w:rsidR="00B03A02" w:rsidRPr="00F30EFE">
        <w:t xml:space="preserve"> in line with the evaluated data and, close to the EU/Canada approved indication to:</w:t>
      </w:r>
    </w:p>
    <w:p w14:paraId="0CFB67AB" w14:textId="77777777" w:rsidR="00E45FE7" w:rsidRPr="00F30EFE" w:rsidRDefault="00E45FE7" w:rsidP="00E45FE7">
      <w:pPr>
        <w:ind w:left="720"/>
        <w:rPr>
          <w:i/>
        </w:rPr>
      </w:pPr>
      <w:r w:rsidRPr="00F30EFE">
        <w:rPr>
          <w:i/>
        </w:rPr>
        <w:t>Diacomit</w:t>
      </w:r>
      <w:r w:rsidR="00B03A02" w:rsidRPr="00F30EFE">
        <w:rPr>
          <w:i/>
        </w:rPr>
        <w:t xml:space="preserve"> stiripentol is indicated for use in conjunction with clobazam and valproate as adjunctive therapy of refractory generalised tonic-clonic seizures in patients with severe myoclonic epilepsy in infancy (SMEI, Dravet syndrome), whose seizures are not adequately controlle</w:t>
      </w:r>
      <w:r w:rsidRPr="00F30EFE">
        <w:rPr>
          <w:i/>
        </w:rPr>
        <w:t>d with clobazam and valproate.</w:t>
      </w:r>
    </w:p>
    <w:p w14:paraId="23C4D3F4" w14:textId="77777777" w:rsidR="00B03A02" w:rsidRPr="00F30EFE" w:rsidRDefault="00E45FE7" w:rsidP="00B56707">
      <w:pPr>
        <w:pageBreakBefore/>
      </w:pPr>
      <w:r w:rsidRPr="00F30EFE">
        <w:lastRenderedPageBreak/>
        <w:t>The D</w:t>
      </w:r>
      <w:r w:rsidR="00B03A02" w:rsidRPr="00F30EFE">
        <w:t>elegate further wishes slight modification to the proposed indication for simplicity to:</w:t>
      </w:r>
    </w:p>
    <w:p w14:paraId="51040065" w14:textId="77777777" w:rsidR="00B03A02" w:rsidRPr="00F30EFE" w:rsidRDefault="00B03A02" w:rsidP="00E45FE7">
      <w:pPr>
        <w:ind w:left="720"/>
        <w:rPr>
          <w:i/>
        </w:rPr>
      </w:pPr>
      <w:r w:rsidRPr="00F30EFE">
        <w:rPr>
          <w:i/>
        </w:rPr>
        <w:t xml:space="preserve">Diacomit is indicated for use in conjunction with clobazam and valproate as adjunctive therapy of refractory generalized tonic-clonic seizures in </w:t>
      </w:r>
      <w:r w:rsidR="00E45FE7" w:rsidRPr="00F30EFE">
        <w:rPr>
          <w:i/>
        </w:rPr>
        <w:t xml:space="preserve">patients with severe myoclonic </w:t>
      </w:r>
      <w:r w:rsidRPr="00F30EFE">
        <w:rPr>
          <w:i/>
        </w:rPr>
        <w:t>epilepsy in infancy (SMEI, Dravet’s syndrome), whose seizures are not adequately control</w:t>
      </w:r>
      <w:r w:rsidR="00E45FE7" w:rsidRPr="00F30EFE">
        <w:rPr>
          <w:i/>
        </w:rPr>
        <w:t>led with clobazam and valproate</w:t>
      </w:r>
      <w:r w:rsidRPr="00F30EFE">
        <w:rPr>
          <w:i/>
        </w:rPr>
        <w:t>.</w:t>
      </w:r>
    </w:p>
    <w:p w14:paraId="21900AD8" w14:textId="77777777" w:rsidR="00456765" w:rsidRPr="00F30EFE" w:rsidRDefault="00E45FE7" w:rsidP="00E45FE7">
      <w:r w:rsidRPr="00F30EFE">
        <w:t>The D</w:t>
      </w:r>
      <w:r w:rsidR="00B03A02" w:rsidRPr="00F30EFE">
        <w:t>elegate is agreeing in princi</w:t>
      </w:r>
      <w:r w:rsidR="003C03F3" w:rsidRPr="00F30EFE">
        <w:t xml:space="preserve">ple, to the </w:t>
      </w:r>
      <w:r w:rsidR="00B03A02" w:rsidRPr="00F30EFE">
        <w:t>PI modifications suggested by all modules’ evaluators as they relate particularly to safety issues including, any changes to w</w:t>
      </w:r>
      <w:r w:rsidRPr="00F30EFE">
        <w:t xml:space="preserve">hich the sponsor has agreed to </w:t>
      </w:r>
      <w:r w:rsidR="00B03A02" w:rsidRPr="00F30EFE">
        <w:t>include in a revised RMP and ASA.</w:t>
      </w:r>
    </w:p>
    <w:p w14:paraId="2DFCC661" w14:textId="77777777" w:rsidR="00D23139" w:rsidRPr="00F30EFE" w:rsidRDefault="00D23139" w:rsidP="00D23139">
      <w:pPr>
        <w:pStyle w:val="Heading4"/>
      </w:pPr>
      <w:r w:rsidRPr="00F30EFE">
        <w:t>Proposed action</w:t>
      </w:r>
    </w:p>
    <w:p w14:paraId="55533CC5" w14:textId="77777777" w:rsidR="00456765" w:rsidRPr="00F30EFE" w:rsidRDefault="00B03A02" w:rsidP="00E45FE7">
      <w:r w:rsidRPr="00F30EFE">
        <w:t xml:space="preserve">The evaluated evidence, based </w:t>
      </w:r>
      <w:r w:rsidR="00E45FE7" w:rsidRPr="00F30EFE">
        <w:t xml:space="preserve">on </w:t>
      </w:r>
      <w:r w:rsidRPr="00F30EFE">
        <w:t>submitted da</w:t>
      </w:r>
      <w:r w:rsidR="00E45FE7" w:rsidRPr="00F30EFE">
        <w:t>ta, gave the Delegate</w:t>
      </w:r>
      <w:r w:rsidRPr="00F30EFE">
        <w:t xml:space="preserve"> the impression at this stage that the application is approvable subject to resolving issues, arising from the </w:t>
      </w:r>
      <w:r w:rsidR="003C03F3" w:rsidRPr="00F30EFE">
        <w:t>Advisory Committee on Medicines (</w:t>
      </w:r>
      <w:r w:rsidRPr="00F30EFE">
        <w:t>ACM</w:t>
      </w:r>
      <w:r w:rsidR="003C03F3" w:rsidRPr="00F30EFE">
        <w:t>)</w:t>
      </w:r>
      <w:r w:rsidRPr="00F30EFE">
        <w:t xml:space="preserve"> deliberation</w:t>
      </w:r>
      <w:r w:rsidR="000F3FF8" w:rsidRPr="00F30EFE">
        <w:t xml:space="preserve">s, finalising matters relating </w:t>
      </w:r>
      <w:r w:rsidR="007218E5" w:rsidRPr="00F30EFE">
        <w:t xml:space="preserve">to the suggested </w:t>
      </w:r>
      <w:r w:rsidRPr="00F30EFE">
        <w:t>PI modifications as per the modules’ evaluators to the satisfactio</w:t>
      </w:r>
      <w:r w:rsidR="007218E5" w:rsidRPr="00F30EFE">
        <w:t>n of the TGA.</w:t>
      </w:r>
    </w:p>
    <w:p w14:paraId="754F40FB" w14:textId="77777777" w:rsidR="00D23139" w:rsidRPr="00F30EFE" w:rsidRDefault="00A22D57" w:rsidP="00D23139">
      <w:pPr>
        <w:pStyle w:val="Heading4"/>
      </w:pPr>
      <w:r w:rsidRPr="00F30EFE">
        <w:t>Request for AC</w:t>
      </w:r>
      <w:r w:rsidR="00D23139" w:rsidRPr="00F30EFE">
        <w:t>M advice</w:t>
      </w:r>
    </w:p>
    <w:p w14:paraId="7C7CE134" w14:textId="77777777" w:rsidR="007F4F90" w:rsidRPr="00F30EFE" w:rsidRDefault="007F4F90" w:rsidP="006D5966">
      <w:pPr>
        <w:pStyle w:val="Numberbullet0"/>
      </w:pPr>
      <w:r w:rsidRPr="00F30EFE">
        <w:t>Consid</w:t>
      </w:r>
      <w:r w:rsidR="006D5966" w:rsidRPr="00F30EFE">
        <w:t>eration of the modifications (clinical evaluator</w:t>
      </w:r>
      <w:r w:rsidR="003C03F3" w:rsidRPr="00F30EFE">
        <w:t xml:space="preserve"> and</w:t>
      </w:r>
      <w:r w:rsidRPr="00F30EFE">
        <w:t xml:space="preserve"> Delegate) to the sponsor’s proposed indication</w:t>
      </w:r>
      <w:r w:rsidR="006D5966" w:rsidRPr="00F30EFE">
        <w:t>.</w:t>
      </w:r>
    </w:p>
    <w:p w14:paraId="5DD88A30" w14:textId="77777777" w:rsidR="00456765" w:rsidRPr="00F30EFE" w:rsidRDefault="007F4F90" w:rsidP="006D5966">
      <w:r w:rsidRPr="00F30EFE">
        <w:t>The committee is also requested to provide advice on any other issues that it thinks may be relevant to a decision on whether or not to approve this application.</w:t>
      </w:r>
    </w:p>
    <w:p w14:paraId="573A4ED8" w14:textId="77777777" w:rsidR="008E7846" w:rsidRPr="00F30EFE" w:rsidRDefault="008E7846" w:rsidP="008E7846">
      <w:pPr>
        <w:pStyle w:val="Heading4"/>
      </w:pPr>
      <w:r w:rsidRPr="00F30EFE">
        <w:t>Advisory Committee Considerations</w:t>
      </w:r>
      <w:r w:rsidR="00456765" w:rsidRPr="00F30EFE">
        <w:rPr>
          <w:rStyle w:val="FootnoteReference"/>
        </w:rPr>
        <w:footnoteReference w:id="16"/>
      </w:r>
    </w:p>
    <w:p w14:paraId="72EF9486" w14:textId="77777777" w:rsidR="008E7846" w:rsidRPr="00F30EFE" w:rsidRDefault="00456765" w:rsidP="006D5966">
      <w:r w:rsidRPr="00F30EFE">
        <w:t xml:space="preserve">The </w:t>
      </w:r>
      <w:r w:rsidR="003C03F3" w:rsidRPr="00F30EFE">
        <w:t>ACM</w:t>
      </w:r>
      <w:r w:rsidRPr="00F30EFE">
        <w:t>, having considered the evaluations and the Delegate’s overview, as well as the sponsor’s response to these d</w:t>
      </w:r>
      <w:r w:rsidR="007F4F90" w:rsidRPr="00F30EFE">
        <w:t>ocuments, advised the following.</w:t>
      </w:r>
    </w:p>
    <w:p w14:paraId="6C21D3A2" w14:textId="77777777" w:rsidR="007F4F90" w:rsidRPr="00F30EFE" w:rsidRDefault="007F4F90" w:rsidP="006D5966">
      <w:r w:rsidRPr="00F30EFE">
        <w:t xml:space="preserve">The ACM considered the referral for advice from the TGA Delegate in relation to the submission to register </w:t>
      </w:r>
      <w:r w:rsidR="006D5966" w:rsidRPr="00F30EFE">
        <w:t>Diacomit</w:t>
      </w:r>
      <w:r w:rsidRPr="00F30EFE">
        <w:t xml:space="preserve"> film coated tablets, containing 250</w:t>
      </w:r>
      <w:r w:rsidR="006D5966" w:rsidRPr="00F30EFE">
        <w:t xml:space="preserve"> mg and</w:t>
      </w:r>
      <w:r w:rsidRPr="00F30EFE">
        <w:t xml:space="preserve"> 500</w:t>
      </w:r>
      <w:r w:rsidR="006D5966" w:rsidRPr="00F30EFE">
        <w:t xml:space="preserve"> </w:t>
      </w:r>
      <w:r w:rsidRPr="00F30EFE">
        <w:t>mg of stiripentol.</w:t>
      </w:r>
    </w:p>
    <w:p w14:paraId="68C0F0E6" w14:textId="77777777" w:rsidR="007F4F90" w:rsidRPr="00F30EFE" w:rsidRDefault="007F4F90" w:rsidP="006D5966">
      <w:r w:rsidRPr="00F30EFE">
        <w:t>The ACM considered this product to have an overall positive benefit-risk profile for the proposed indication:</w:t>
      </w:r>
    </w:p>
    <w:p w14:paraId="4CE69BEB" w14:textId="77777777" w:rsidR="007F4F90" w:rsidRPr="00F30EFE" w:rsidRDefault="007F4F90" w:rsidP="007F4F90">
      <w:pPr>
        <w:ind w:left="720"/>
        <w:rPr>
          <w:bCs/>
          <w:i/>
        </w:rPr>
      </w:pPr>
      <w:r w:rsidRPr="00F30EFE">
        <w:rPr>
          <w:bCs/>
          <w:i/>
        </w:rPr>
        <w:t>Diacomit is indicated for adjunctive treatment of generalised tonic-clonic and clonic seizures associated with severe myoclonic epilepsy in infancy (SMEI, also known as Dravet syndrome) in patients whose seizures are not adequately controlled with a benzodiazepine (usually clobazam) and valproate.</w:t>
      </w:r>
    </w:p>
    <w:p w14:paraId="45F86395" w14:textId="75E921F3" w:rsidR="007F4F90" w:rsidRPr="00F30EFE" w:rsidRDefault="007F4F90" w:rsidP="007F4F90">
      <w:pPr>
        <w:pStyle w:val="Heading5"/>
      </w:pPr>
      <w:r w:rsidRPr="00F30EFE">
        <w:t xml:space="preserve">Specific </w:t>
      </w:r>
      <w:r w:rsidR="00B56707">
        <w:t>a</w:t>
      </w:r>
      <w:r w:rsidRPr="00F30EFE">
        <w:t>dvice</w:t>
      </w:r>
    </w:p>
    <w:p w14:paraId="65112378" w14:textId="77777777" w:rsidR="007F4F90" w:rsidRPr="00F30EFE" w:rsidRDefault="007F4F90" w:rsidP="007F4F90">
      <w:r w:rsidRPr="00F30EFE">
        <w:t>The ACM advised the following in response to the Delegate’s specific request for advice:</w:t>
      </w:r>
    </w:p>
    <w:p w14:paraId="5D8A925A" w14:textId="70F835C5" w:rsidR="007F4F90" w:rsidRPr="00F30EFE" w:rsidRDefault="007F4F90" w:rsidP="003C03F3">
      <w:pPr>
        <w:pStyle w:val="Numberbullet0"/>
        <w:numPr>
          <w:ilvl w:val="0"/>
          <w:numId w:val="19"/>
        </w:numPr>
        <w:rPr>
          <w:b/>
          <w:i/>
        </w:rPr>
      </w:pPr>
      <w:r w:rsidRPr="00F30EFE">
        <w:rPr>
          <w:b/>
          <w:i/>
        </w:rPr>
        <w:t>Consid</w:t>
      </w:r>
      <w:r w:rsidR="003C03F3" w:rsidRPr="00F30EFE">
        <w:rPr>
          <w:b/>
          <w:i/>
        </w:rPr>
        <w:t>eration of the modifications (</w:t>
      </w:r>
      <w:r w:rsidR="00E0277A">
        <w:rPr>
          <w:b/>
          <w:i/>
        </w:rPr>
        <w:t xml:space="preserve">as per the </w:t>
      </w:r>
      <w:r w:rsidR="003C03F3" w:rsidRPr="00F30EFE">
        <w:rPr>
          <w:b/>
          <w:i/>
        </w:rPr>
        <w:t>clinical evaluator</w:t>
      </w:r>
      <w:r w:rsidR="00F61F96" w:rsidRPr="00F30EFE">
        <w:rPr>
          <w:b/>
          <w:i/>
        </w:rPr>
        <w:t xml:space="preserve"> and</w:t>
      </w:r>
      <w:r w:rsidRPr="00F30EFE">
        <w:rPr>
          <w:b/>
          <w:i/>
        </w:rPr>
        <w:t xml:space="preserve"> Delegate) to the sponsor’s proposed indication.</w:t>
      </w:r>
    </w:p>
    <w:p w14:paraId="281D65C8" w14:textId="77777777" w:rsidR="007F4F90" w:rsidRPr="00F30EFE" w:rsidRDefault="007F4F90" w:rsidP="007F4F90">
      <w:r w:rsidRPr="00F30EFE">
        <w:lastRenderedPageBreak/>
        <w:t>The ACM expressed concern about narrowing the indication to specify use of stiripentol only when co-administered with clobazam and sodium valproate. While such a restriction would match the evidence from trials, the ACM advised that some patients are not able to tolerate clobazam in particular, and that a more restricted indication might have the consequence that these patients would be unable to access this medication.</w:t>
      </w:r>
    </w:p>
    <w:p w14:paraId="0AD67064" w14:textId="77777777" w:rsidR="007F4F90" w:rsidRPr="00F30EFE" w:rsidRDefault="007F4F90" w:rsidP="007F4F90">
      <w:pPr>
        <w:pStyle w:val="Numberbullet0"/>
        <w:rPr>
          <w:b/>
          <w:i/>
        </w:rPr>
      </w:pPr>
      <w:r w:rsidRPr="00F30EFE">
        <w:rPr>
          <w:b/>
          <w:i/>
        </w:rPr>
        <w:t>The committee is also requested to provide advice on any other issues that it thinks may be relevant to a decision on whether or not to approve this application.</w:t>
      </w:r>
    </w:p>
    <w:p w14:paraId="5FA271C9" w14:textId="77777777" w:rsidR="007F4F90" w:rsidRPr="00F30EFE" w:rsidRDefault="007F4F90" w:rsidP="007F4F90">
      <w:pPr>
        <w:rPr>
          <w:bCs/>
        </w:rPr>
      </w:pPr>
      <w:r w:rsidRPr="00F30EFE">
        <w:rPr>
          <w:bCs/>
        </w:rPr>
        <w:t>The ACM was of the view that the plan to limit prescribing to paediatric neurologists, as outlined in the RMP/PI/</w:t>
      </w:r>
      <w:r w:rsidR="003C03F3" w:rsidRPr="00F30EFE">
        <w:rPr>
          <w:bCs/>
        </w:rPr>
        <w:t>Consumer Medicines Information (</w:t>
      </w:r>
      <w:r w:rsidRPr="00F30EFE">
        <w:rPr>
          <w:bCs/>
        </w:rPr>
        <w:t>CMI</w:t>
      </w:r>
      <w:r w:rsidR="003C03F3" w:rsidRPr="00F30EFE">
        <w:rPr>
          <w:bCs/>
        </w:rPr>
        <w:t>)</w:t>
      </w:r>
      <w:r w:rsidRPr="00F30EFE">
        <w:rPr>
          <w:bCs/>
        </w:rPr>
        <w:t xml:space="preserve">, was inappropriate. The ACM advised that patients with Dravet syndrome do survive into adulthood and that restricting prescribing to paediatric specialists could create access difficulties. The ACM also advised that general paediatricians would not be well placed to manage this condition, and that prescription by </w:t>
      </w:r>
      <w:r w:rsidR="003C03F3" w:rsidRPr="00F30EFE">
        <w:rPr>
          <w:bCs/>
        </w:rPr>
        <w:t>general practitioners</w:t>
      </w:r>
      <w:r w:rsidRPr="00F30EFE">
        <w:rPr>
          <w:bCs/>
        </w:rPr>
        <w:t xml:space="preserve"> is also unlikely to occur in practice as these patients are generally managed through specialist clinics in public hospitals. The ACM was of the view that initiation of prescription by neurologists would be appropriate, as this accommodates both paediatric and adult patients as well as facilitate continuation of management by general paediatricians and practitioners, when the initiating neurologist is unavailable.</w:t>
      </w:r>
    </w:p>
    <w:p w14:paraId="75F41477" w14:textId="09538ECA" w:rsidR="007F4F90" w:rsidRPr="00F30EFE" w:rsidRDefault="007F4F90" w:rsidP="007F4F90">
      <w:pPr>
        <w:pStyle w:val="Heading5"/>
      </w:pPr>
      <w:r w:rsidRPr="00F30EFE">
        <w:t xml:space="preserve">General </w:t>
      </w:r>
      <w:r w:rsidR="00E0277A">
        <w:t>a</w:t>
      </w:r>
      <w:r w:rsidRPr="00F30EFE">
        <w:t>dvice</w:t>
      </w:r>
    </w:p>
    <w:p w14:paraId="43F900C9" w14:textId="77777777" w:rsidR="00E0277A" w:rsidRDefault="007F4F90" w:rsidP="007F4F90">
      <w:pPr>
        <w:rPr>
          <w:bCs/>
        </w:rPr>
      </w:pPr>
      <w:r w:rsidRPr="00F30EFE">
        <w:rPr>
          <w:bCs/>
        </w:rPr>
        <w:t>The ACM observed that the references in the PI to breastfeeding are confusing and inconsistent and suggested the wording be reviewed to clarify the intent such as:</w:t>
      </w:r>
    </w:p>
    <w:p w14:paraId="2FC22160" w14:textId="1BE3386E" w:rsidR="007F4F90" w:rsidRPr="00F30EFE" w:rsidRDefault="003C03F3" w:rsidP="00B738F3">
      <w:pPr>
        <w:ind w:left="720" w:firstLine="45"/>
        <w:rPr>
          <w:bCs/>
        </w:rPr>
      </w:pPr>
      <w:r w:rsidRPr="00F30EFE">
        <w:rPr>
          <w:bCs/>
        </w:rPr>
        <w:t>‘</w:t>
      </w:r>
      <w:r w:rsidR="007F4F90" w:rsidRPr="00F30EFE">
        <w:rPr>
          <w:bCs/>
        </w:rPr>
        <w:t xml:space="preserve">It is not expected that Dravet syndrome affected females will conceive and have children. However, as there </w:t>
      </w:r>
      <w:r w:rsidR="00F30EFE">
        <w:rPr>
          <w:bCs/>
        </w:rPr>
        <w:t>are</w:t>
      </w:r>
      <w:r w:rsidR="00F30EFE" w:rsidRPr="00F30EFE">
        <w:rPr>
          <w:bCs/>
        </w:rPr>
        <w:t xml:space="preserve"> </w:t>
      </w:r>
      <w:r w:rsidR="007F4F90" w:rsidRPr="00F30EFE">
        <w:rPr>
          <w:bCs/>
        </w:rPr>
        <w:t>no human studies on the excretion of stiripentol in breast milk, and given that stiripentol passes freely from plasma into milk in the goat, breast feeding is not recommended while on treatment with stiripentol. In the unlikely event that stiripentol therapy is maintained while breast feeding, the breast fed infant should be carefully monitore</w:t>
      </w:r>
      <w:r w:rsidRPr="00F30EFE">
        <w:rPr>
          <w:bCs/>
        </w:rPr>
        <w:t>d for potential adverse effects’</w:t>
      </w:r>
      <w:r w:rsidR="007F4F90" w:rsidRPr="00F30EFE">
        <w:rPr>
          <w:bCs/>
        </w:rPr>
        <w:t>.</w:t>
      </w:r>
    </w:p>
    <w:p w14:paraId="45873B5D" w14:textId="77777777" w:rsidR="008E7846" w:rsidRPr="00F30EFE" w:rsidRDefault="008E7846" w:rsidP="008E7846">
      <w:pPr>
        <w:pStyle w:val="Heading3"/>
      </w:pPr>
      <w:bookmarkStart w:id="101" w:name="_Toc247691532"/>
      <w:bookmarkStart w:id="102" w:name="_Toc314842516"/>
      <w:bookmarkStart w:id="103" w:name="_Toc27645590"/>
      <w:bookmarkEnd w:id="32"/>
      <w:bookmarkEnd w:id="99"/>
      <w:bookmarkEnd w:id="100"/>
      <w:r w:rsidRPr="00F30EFE">
        <w:t>Outcome</w:t>
      </w:r>
      <w:bookmarkEnd w:id="101"/>
      <w:bookmarkEnd w:id="102"/>
      <w:bookmarkEnd w:id="103"/>
    </w:p>
    <w:p w14:paraId="6FFD304E" w14:textId="0D0E2287" w:rsidR="00D23139" w:rsidRPr="00F30EFE" w:rsidRDefault="00D23139" w:rsidP="00D23139">
      <w:bookmarkStart w:id="104" w:name="_Toc247691533"/>
      <w:bookmarkStart w:id="105" w:name="_Toc314842517"/>
      <w:r w:rsidRPr="00F30EFE">
        <w:t xml:space="preserve">Based on a review of quality, safety and efficacy, </w:t>
      </w:r>
      <w:r w:rsidR="00E0277A">
        <w:t xml:space="preserve">the </w:t>
      </w:r>
      <w:r w:rsidRPr="00F30EFE">
        <w:t xml:space="preserve">TGA approved the registration of </w:t>
      </w:r>
      <w:r w:rsidR="00B03A02" w:rsidRPr="00F30EFE">
        <w:rPr>
          <w:rFonts w:eastAsia="Calibri"/>
        </w:rPr>
        <w:t xml:space="preserve">Diacomit (stiripentol) </w:t>
      </w:r>
      <w:r w:rsidR="00B03A02" w:rsidRPr="00F30EFE">
        <w:t>capsule and powder</w:t>
      </w:r>
      <w:r w:rsidRPr="00F30EFE">
        <w:t>, indicated for:</w:t>
      </w:r>
    </w:p>
    <w:p w14:paraId="5F331227" w14:textId="77777777" w:rsidR="00D23139" w:rsidRPr="00F30EFE" w:rsidRDefault="00B03A02" w:rsidP="00B03A02">
      <w:pPr>
        <w:ind w:left="720"/>
        <w:rPr>
          <w:i/>
        </w:rPr>
      </w:pPr>
      <w:r w:rsidRPr="00F30EFE">
        <w:rPr>
          <w:i/>
        </w:rPr>
        <w:t>Diacomit is indicated for adjunctive treatment of generalised tonic-clonic and clonic seizures associated with severe myoclonic epilepsy in infancy (SMEI, also known as Dravet syndrome) in patients whose seizures are not adequately controlled with a benzodiazepine (usually clobazam) and valproate.</w:t>
      </w:r>
    </w:p>
    <w:p w14:paraId="454C38B6" w14:textId="77777777" w:rsidR="00D23139" w:rsidRPr="00F30EFE" w:rsidRDefault="00D23139" w:rsidP="00D23139">
      <w:pPr>
        <w:pStyle w:val="Heading4"/>
      </w:pPr>
      <w:r w:rsidRPr="00F30EFE">
        <w:t>Specific conditions of registration applying to these goods</w:t>
      </w:r>
    </w:p>
    <w:p w14:paraId="18287017" w14:textId="77777777" w:rsidR="00B03A02" w:rsidRPr="00F30EFE" w:rsidRDefault="00B03A02" w:rsidP="00B03A02">
      <w:pPr>
        <w:pStyle w:val="ListBullet"/>
      </w:pPr>
      <w:r w:rsidRPr="00F30EFE">
        <w:t>The Diacomit EU-Risk Management Plan (RMP) (version 3.0, dated 9 June 2017, data lock point 18 August 2016), with Australian Specific Annex (version 0.1, dated October 2016), included with submission PM-2016-02336-1-1, to be revised to the satisfaction of the TGA, wi</w:t>
      </w:r>
      <w:r w:rsidR="002E58D4" w:rsidRPr="00F30EFE">
        <w:t>ll be implemented in Australia.</w:t>
      </w:r>
    </w:p>
    <w:p w14:paraId="6260F141" w14:textId="366F4EBA" w:rsidR="00B03A02" w:rsidRPr="00F30EFE" w:rsidRDefault="00B03A02" w:rsidP="00B03A02">
      <w:pPr>
        <w:pStyle w:val="ListBullet"/>
        <w:numPr>
          <w:ilvl w:val="0"/>
          <w:numId w:val="0"/>
        </w:numPr>
        <w:ind w:left="360"/>
      </w:pPr>
      <w:r w:rsidRPr="00F30EFE">
        <w:t>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this approval letter. The reports are to at least meet the requirements for PSURs as described in the European M</w:t>
      </w:r>
      <w:r w:rsidR="00F61F96" w:rsidRPr="00F30EFE">
        <w:t>edicines Agency’s Guideline on Good Pharmacovigilance P</w:t>
      </w:r>
      <w:r w:rsidRPr="00F30EFE">
        <w:t>ractices (GVP) Module VII-</w:t>
      </w:r>
      <w:r w:rsidRPr="00F30EFE">
        <w:lastRenderedPageBreak/>
        <w:t>periodic safety update report (Rev1) Part VII.B Structures and processes. Not</w:t>
      </w:r>
      <w:r w:rsidR="004940B7">
        <w:t>e</w:t>
      </w:r>
      <w:r w:rsidRPr="00F30EFE">
        <w:t xml:space="preserve"> that submission of a PSUR does not constitute an application to vary the registration.</w:t>
      </w:r>
    </w:p>
    <w:p w14:paraId="3C142EB8" w14:textId="77777777" w:rsidR="00B03A02" w:rsidRPr="00F30EFE" w:rsidRDefault="00B03A02" w:rsidP="00B03A02">
      <w:pPr>
        <w:pStyle w:val="ListBullet"/>
      </w:pPr>
      <w:r w:rsidRPr="00F30EFE">
        <w:t>Diacomit is to be included in the Black Triangle Scheme. The PI and CMI for Diacomit must include the black triangle symbol and mandatory accompanying text for five years, which starts from the date that the sponsor notifies the TGA of supply of the product.</w:t>
      </w:r>
    </w:p>
    <w:p w14:paraId="6D511618" w14:textId="77777777" w:rsidR="008E7846" w:rsidRPr="00F30EFE" w:rsidRDefault="00A80B5B" w:rsidP="00D23139">
      <w:pPr>
        <w:pStyle w:val="Heading2"/>
      </w:pPr>
      <w:bookmarkStart w:id="106" w:name="_Toc27645591"/>
      <w:r w:rsidRPr="00F30EFE">
        <w:t xml:space="preserve">Attachment 1. </w:t>
      </w:r>
      <w:r w:rsidR="008E7846" w:rsidRPr="00F30EFE">
        <w:t xml:space="preserve">Product </w:t>
      </w:r>
      <w:r w:rsidR="00AA0ED0" w:rsidRPr="00F30EFE">
        <w:t>I</w:t>
      </w:r>
      <w:r w:rsidR="008E7846" w:rsidRPr="00F30EFE">
        <w:t>nformation</w:t>
      </w:r>
      <w:bookmarkEnd w:id="104"/>
      <w:bookmarkEnd w:id="105"/>
      <w:bookmarkEnd w:id="106"/>
    </w:p>
    <w:p w14:paraId="5AC97AF9" w14:textId="77777777" w:rsidR="00770CAC" w:rsidRPr="00F30EFE" w:rsidRDefault="006136D7" w:rsidP="00D71869">
      <w:pPr>
        <w:rPr>
          <w:color w:val="000000"/>
          <w:lang w:eastAsia="en-AU"/>
        </w:rPr>
      </w:pPr>
      <w:r w:rsidRPr="00F30EFE">
        <w:t xml:space="preserve">The PI for </w:t>
      </w:r>
      <w:r w:rsidR="00B03A02" w:rsidRPr="00F30EFE">
        <w:t>Diacomit</w:t>
      </w:r>
      <w:r w:rsidRPr="00F30EFE">
        <w:t xml:space="preserve"> approved with the submission which is described in this AusPAR is at Attachment 1. For the most recent PI, please refer to the TGA website at </w:t>
      </w:r>
      <w:r w:rsidR="007C6B9B" w:rsidRPr="00F30EFE">
        <w:t>&lt;</w:t>
      </w:r>
      <w:hyperlink r:id="rId37" w:history="1">
        <w:r w:rsidR="007C6B9B" w:rsidRPr="00F30EFE">
          <w:rPr>
            <w:rStyle w:val="Hyperlink"/>
          </w:rPr>
          <w:t>https://www.tga.gov.au/product-information-pi</w:t>
        </w:r>
      </w:hyperlink>
      <w:r w:rsidR="00B03A02" w:rsidRPr="00F30EFE">
        <w:t>&gt;.</w:t>
      </w:r>
    </w:p>
    <w:p w14:paraId="7E7F7DCB" w14:textId="77777777" w:rsidR="00291957" w:rsidRPr="00F30EFE" w:rsidRDefault="00291957" w:rsidP="00291957">
      <w:pPr>
        <w:rPr>
          <w:lang w:eastAsia="ja-JP"/>
        </w:rPr>
      </w:pPr>
    </w:p>
    <w:p w14:paraId="7C09BEB1" w14:textId="77777777" w:rsidR="00C80137" w:rsidRPr="00F30EFE" w:rsidRDefault="00C80137" w:rsidP="003A7F6C">
      <w:pPr>
        <w:pStyle w:val="TableTitle"/>
        <w:sectPr w:rsidR="00C80137" w:rsidRPr="00F30EFE"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F30EFE" w14:paraId="2C660CF5" w14:textId="77777777" w:rsidTr="00A05FA4">
        <w:trPr>
          <w:trHeight w:hRule="exact" w:val="704"/>
        </w:trPr>
        <w:tc>
          <w:tcPr>
            <w:tcW w:w="9175" w:type="dxa"/>
          </w:tcPr>
          <w:p w14:paraId="1CE58683" w14:textId="77777777" w:rsidR="001C32CD" w:rsidRPr="00F30EFE" w:rsidRDefault="001C32CD" w:rsidP="00A05FA4">
            <w:pPr>
              <w:pStyle w:val="TGASignoff"/>
            </w:pPr>
            <w:r w:rsidRPr="00F30EFE">
              <w:lastRenderedPageBreak/>
              <w:t>Therapeutic Goods Administration</w:t>
            </w:r>
          </w:p>
        </w:tc>
      </w:tr>
      <w:tr w:rsidR="001C32CD" w:rsidRPr="00F30EFE" w14:paraId="5867B348" w14:textId="77777777" w:rsidTr="00A05FA4">
        <w:trPr>
          <w:trHeight w:val="1221"/>
        </w:trPr>
        <w:tc>
          <w:tcPr>
            <w:tcW w:w="9175" w:type="dxa"/>
            <w:tcMar>
              <w:top w:w="28" w:type="dxa"/>
            </w:tcMar>
          </w:tcPr>
          <w:p w14:paraId="620BE3C6" w14:textId="77777777" w:rsidR="001C32CD" w:rsidRPr="00F30EFE" w:rsidRDefault="001C32CD" w:rsidP="00A05FA4">
            <w:pPr>
              <w:pStyle w:val="Address"/>
            </w:pPr>
            <w:r w:rsidRPr="00F30EFE">
              <w:t>PO Box 100 Woden ACT 2606 Australia</w:t>
            </w:r>
          </w:p>
          <w:p w14:paraId="7D2E1BC9" w14:textId="77777777" w:rsidR="001C32CD" w:rsidRPr="00F30EFE" w:rsidRDefault="001C32CD" w:rsidP="00A05FA4">
            <w:pPr>
              <w:pStyle w:val="Address"/>
            </w:pPr>
            <w:r w:rsidRPr="00F30EFE">
              <w:t xml:space="preserve">Email: </w:t>
            </w:r>
            <w:hyperlink r:id="rId42" w:history="1">
              <w:r w:rsidRPr="00F30EFE">
                <w:rPr>
                  <w:rStyle w:val="Hyperlink"/>
                </w:rPr>
                <w:t>info@tga.gov.au</w:t>
              </w:r>
            </w:hyperlink>
            <w:r w:rsidRPr="00F30EFE">
              <w:t xml:space="preserve">  Phone: 1800 020 653  Fax: 02 6232 8605</w:t>
            </w:r>
          </w:p>
          <w:p w14:paraId="6CECEDB2" w14:textId="77777777" w:rsidR="001C32CD" w:rsidRPr="00F30EFE" w:rsidRDefault="00C12465" w:rsidP="00A05FA4">
            <w:pPr>
              <w:pStyle w:val="Address"/>
              <w:spacing w:line="260" w:lineRule="atLeast"/>
              <w:rPr>
                <w:b/>
                <w:color w:val="0000FF"/>
                <w:u w:val="single"/>
              </w:rPr>
            </w:pPr>
            <w:hyperlink r:id="rId43" w:history="1">
              <w:r w:rsidR="007C6B9B" w:rsidRPr="00F30EFE">
                <w:rPr>
                  <w:rStyle w:val="Hyperlink"/>
                  <w:b/>
                </w:rPr>
                <w:t>https://www.tga.gov.au</w:t>
              </w:r>
            </w:hyperlink>
          </w:p>
        </w:tc>
      </w:tr>
    </w:tbl>
    <w:p w14:paraId="1D55C778" w14:textId="77777777" w:rsidR="00774E1D" w:rsidRPr="00F30EFE" w:rsidRDefault="00774E1D" w:rsidP="004C239D"/>
    <w:sectPr w:rsidR="00774E1D" w:rsidRPr="00F30EFE"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5DAC7" w14:textId="77777777" w:rsidR="00E05F58" w:rsidRDefault="00E05F58" w:rsidP="00C40A36">
      <w:pPr>
        <w:spacing w:after="0"/>
      </w:pPr>
      <w:r>
        <w:separator/>
      </w:r>
    </w:p>
  </w:endnote>
  <w:endnote w:type="continuationSeparator" w:id="0">
    <w:p w14:paraId="39419F9A" w14:textId="77777777" w:rsidR="00E05F58" w:rsidRDefault="00E05F5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C68DB" w14:textId="77777777" w:rsidR="00E05F58" w:rsidRDefault="00E05F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05F58" w:rsidRPr="00487162" w14:paraId="1609F057" w14:textId="77777777" w:rsidTr="00DB750B">
      <w:trPr>
        <w:trHeight w:val="269"/>
      </w:trPr>
      <w:tc>
        <w:tcPr>
          <w:tcW w:w="7371" w:type="dxa"/>
          <w:tcMar>
            <w:top w:w="142" w:type="dxa"/>
            <w:bottom w:w="0" w:type="dxa"/>
          </w:tcMar>
        </w:tcPr>
        <w:p w14:paraId="104C13CE" w14:textId="122BB0B2" w:rsidR="00E05F58" w:rsidRPr="00487162" w:rsidRDefault="00E05F58" w:rsidP="00760FF8">
          <w:pPr>
            <w:pStyle w:val="Footer"/>
          </w:pPr>
          <w:r w:rsidRPr="00487162">
            <w:t>AusPA</w:t>
          </w:r>
          <w:r>
            <w:t xml:space="preserve">R - </w:t>
          </w:r>
          <w:r w:rsidRPr="005E0C8F">
            <w:t>DIACOMIT - stiripentol - Emerge Health Australia Pty Ltd - PM-2016-02336-1-1</w:t>
          </w:r>
          <w:r>
            <w:br/>
            <w:t>FINAL 12 November 2019</w:t>
          </w:r>
        </w:p>
      </w:tc>
      <w:tc>
        <w:tcPr>
          <w:tcW w:w="1490" w:type="dxa"/>
          <w:tcMar>
            <w:top w:w="142" w:type="dxa"/>
            <w:bottom w:w="0" w:type="dxa"/>
          </w:tcMar>
        </w:tcPr>
        <w:p w14:paraId="51A0848D" w14:textId="5321D7EC" w:rsidR="00E05F58" w:rsidRPr="00487162" w:rsidRDefault="00E05F58" w:rsidP="00DB750B">
          <w:pPr>
            <w:pStyle w:val="Footer"/>
            <w:jc w:val="right"/>
          </w:pPr>
          <w:r w:rsidRPr="00487162">
            <w:t xml:space="preserve">Page </w:t>
          </w:r>
          <w:r>
            <w:fldChar w:fldCharType="begin"/>
          </w:r>
          <w:r>
            <w:instrText xml:space="preserve"> PAGE  \* Arabic </w:instrText>
          </w:r>
          <w:r>
            <w:fldChar w:fldCharType="separate"/>
          </w:r>
          <w:r w:rsidR="00C12465">
            <w:rPr>
              <w:noProof/>
            </w:rPr>
            <w:t>2</w:t>
          </w:r>
          <w:r>
            <w:fldChar w:fldCharType="end"/>
          </w:r>
          <w:r w:rsidRPr="00487162">
            <w:t xml:space="preserve"> of </w:t>
          </w:r>
          <w:r w:rsidR="00C12465">
            <w:fldChar w:fldCharType="begin"/>
          </w:r>
          <w:r w:rsidR="00C12465">
            <w:instrText xml:space="preserve"> NUMPAGES  \* Arabic </w:instrText>
          </w:r>
          <w:r w:rsidR="00C12465">
            <w:fldChar w:fldCharType="separate"/>
          </w:r>
          <w:r w:rsidR="00C12465">
            <w:rPr>
              <w:noProof/>
            </w:rPr>
            <w:t>38</w:t>
          </w:r>
          <w:r w:rsidR="00C12465">
            <w:rPr>
              <w:noProof/>
            </w:rPr>
            <w:fldChar w:fldCharType="end"/>
          </w:r>
        </w:p>
      </w:tc>
    </w:tr>
  </w:tbl>
  <w:p w14:paraId="1655E84A" w14:textId="77777777" w:rsidR="00E05F58" w:rsidRDefault="00E05F58"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E189E" w14:textId="77777777" w:rsidR="00E05F58" w:rsidRDefault="00E05F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05F58" w:rsidRPr="00487162" w14:paraId="344E73D0" w14:textId="77777777" w:rsidTr="00E45619">
      <w:trPr>
        <w:trHeight w:val="269"/>
      </w:trPr>
      <w:tc>
        <w:tcPr>
          <w:tcW w:w="4519" w:type="dxa"/>
          <w:tcBorders>
            <w:top w:val="single" w:sz="4" w:space="0" w:color="auto"/>
          </w:tcBorders>
          <w:tcMar>
            <w:top w:w="142" w:type="dxa"/>
            <w:bottom w:w="0" w:type="dxa"/>
          </w:tcMar>
        </w:tcPr>
        <w:p w14:paraId="22470228" w14:textId="77777777" w:rsidR="00E05F58" w:rsidRPr="00487162" w:rsidRDefault="00E05F58" w:rsidP="00FE1DEE">
          <w:pPr>
            <w:pStyle w:val="Footer"/>
          </w:pPr>
          <w:r w:rsidRPr="00487162">
            <w:t>Document title, Part #, Section # - Section title</w:t>
          </w:r>
        </w:p>
        <w:p w14:paraId="192A7B85" w14:textId="77777777" w:rsidR="00E05F58" w:rsidRPr="00487162" w:rsidRDefault="00E05F58" w:rsidP="00FE1DEE">
          <w:pPr>
            <w:pStyle w:val="Footer"/>
          </w:pPr>
          <w:r w:rsidRPr="00487162">
            <w:t>V1.0 October 2010</w:t>
          </w:r>
        </w:p>
      </w:tc>
      <w:tc>
        <w:tcPr>
          <w:tcW w:w="4342" w:type="dxa"/>
          <w:tcBorders>
            <w:top w:val="single" w:sz="4" w:space="0" w:color="auto"/>
          </w:tcBorders>
          <w:tcMar>
            <w:top w:w="142" w:type="dxa"/>
            <w:bottom w:w="0" w:type="dxa"/>
          </w:tcMar>
        </w:tcPr>
        <w:p w14:paraId="0DD15FA2" w14:textId="77777777" w:rsidR="00E05F58" w:rsidRPr="00487162" w:rsidRDefault="00E05F5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C12465">
            <w:fldChar w:fldCharType="begin"/>
          </w:r>
          <w:r w:rsidR="00C12465">
            <w:instrText xml:space="preserve"> NUMPAGES  </w:instrText>
          </w:r>
          <w:r w:rsidR="00C12465">
            <w:fldChar w:fldCharType="separate"/>
          </w:r>
          <w:r>
            <w:rPr>
              <w:noProof/>
            </w:rPr>
            <w:t>2</w:t>
          </w:r>
          <w:r w:rsidR="00C12465">
            <w:rPr>
              <w:noProof/>
            </w:rPr>
            <w:fldChar w:fldCharType="end"/>
          </w:r>
        </w:p>
      </w:tc>
    </w:tr>
  </w:tbl>
  <w:p w14:paraId="40BDC19D" w14:textId="77777777" w:rsidR="00E05F58" w:rsidRDefault="00E05F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9810" w14:textId="77777777" w:rsidR="00E05F58" w:rsidRPr="001C32CD" w:rsidRDefault="00E05F58"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05F58" w14:paraId="0DCCC4CC" w14:textId="77777777" w:rsidTr="0010601F">
      <w:trPr>
        <w:trHeight w:val="108"/>
      </w:trPr>
      <w:tc>
        <w:tcPr>
          <w:tcW w:w="8875" w:type="dxa"/>
          <w:gridSpan w:val="2"/>
          <w:tcBorders>
            <w:bottom w:val="single" w:sz="4" w:space="0" w:color="auto"/>
          </w:tcBorders>
          <w:tcMar>
            <w:right w:w="284" w:type="dxa"/>
          </w:tcMar>
        </w:tcPr>
        <w:p w14:paraId="014AD58E" w14:textId="77777777" w:rsidR="00E05F58" w:rsidRDefault="00E05F58" w:rsidP="006E08B3">
          <w:pPr>
            <w:pStyle w:val="Heading3"/>
          </w:pPr>
          <w:r>
            <w:t>Copyright</w:t>
          </w:r>
        </w:p>
        <w:p w14:paraId="2EEF5BC3" w14:textId="77777777" w:rsidR="00E05F58" w:rsidRDefault="00E05F58" w:rsidP="006E08B3">
          <w:r>
            <w:rPr>
              <w:rFonts w:cs="Arial"/>
            </w:rPr>
            <w:t>©</w:t>
          </w:r>
          <w:r>
            <w:t xml:space="preserve"> Commonwealth of Australia [add year]</w:t>
          </w:r>
        </w:p>
        <w:p w14:paraId="2FA02401" w14:textId="77777777" w:rsidR="00E05F58" w:rsidRDefault="00E05F58" w:rsidP="006E08B3"/>
        <w:p w14:paraId="2D920960" w14:textId="77777777" w:rsidR="00E05F58" w:rsidRDefault="00E05F5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67E8340" w14:textId="77777777" w:rsidR="00E05F58" w:rsidRDefault="00E05F58" w:rsidP="006E08B3"/>
        <w:p w14:paraId="4E7E0880" w14:textId="77777777" w:rsidR="00E05F58" w:rsidRDefault="00E05F58" w:rsidP="006E08B3">
          <w:pPr>
            <w:pStyle w:val="Heading3"/>
          </w:pPr>
          <w:r>
            <w:t>Confidentiality</w:t>
          </w:r>
        </w:p>
        <w:p w14:paraId="5418FB5A" w14:textId="77777777" w:rsidR="00E05F58" w:rsidRDefault="00E05F5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D6F9844" w14:textId="77777777" w:rsidR="00E05F58" w:rsidRDefault="00E05F58" w:rsidP="006E08B3"/>
        <w:p w14:paraId="1D314A1D" w14:textId="77777777" w:rsidR="00E05F58" w:rsidRDefault="00E05F58" w:rsidP="006E08B3">
          <w:r>
            <w:t>For submission made by individuals, all personal details, other than your name, will be removed from your submission before it is published on the TGA’s Internet site.</w:t>
          </w:r>
        </w:p>
        <w:p w14:paraId="06F4F31C" w14:textId="77777777" w:rsidR="00E05F58" w:rsidRDefault="00E05F58" w:rsidP="006E08B3"/>
        <w:p w14:paraId="7E1F31F7" w14:textId="3DE7BCD2" w:rsidR="00E05F58" w:rsidRDefault="00E05F58" w:rsidP="006E08B3">
          <w:r>
            <w:t>In addition, a list of parties making submissions will be published. If you do not wish to be identified with your submission you must specifically request this in the space provided in the submission coversheet.</w:t>
          </w:r>
        </w:p>
      </w:tc>
    </w:tr>
    <w:tr w:rsidR="00E05F58" w14:paraId="1B7F113F" w14:textId="77777777" w:rsidTr="0010601F">
      <w:trPr>
        <w:trHeight w:val="417"/>
      </w:trPr>
      <w:tc>
        <w:tcPr>
          <w:tcW w:w="4519" w:type="dxa"/>
          <w:tcBorders>
            <w:top w:val="single" w:sz="4" w:space="0" w:color="auto"/>
          </w:tcBorders>
          <w:tcMar>
            <w:top w:w="142" w:type="dxa"/>
            <w:bottom w:w="0" w:type="dxa"/>
          </w:tcMar>
        </w:tcPr>
        <w:p w14:paraId="03A68787" w14:textId="77777777" w:rsidR="00E05F58" w:rsidRDefault="00E05F58" w:rsidP="006E08B3">
          <w:r>
            <w:t>Document title, Part #, Section # - Section title</w:t>
          </w:r>
        </w:p>
        <w:p w14:paraId="26A9E91C" w14:textId="77777777" w:rsidR="00E05F58" w:rsidRDefault="00E05F58" w:rsidP="006E08B3">
          <w:r>
            <w:t>V1.0 October 2010</w:t>
          </w:r>
        </w:p>
      </w:tc>
      <w:tc>
        <w:tcPr>
          <w:tcW w:w="4356" w:type="dxa"/>
          <w:tcBorders>
            <w:top w:val="single" w:sz="4" w:space="0" w:color="auto"/>
          </w:tcBorders>
          <w:tcMar>
            <w:top w:w="142" w:type="dxa"/>
            <w:bottom w:w="0" w:type="dxa"/>
          </w:tcMar>
        </w:tcPr>
        <w:p w14:paraId="5F60B14F" w14:textId="77777777" w:rsidR="00E05F58" w:rsidRDefault="00E05F5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C12465">
            <w:fldChar w:fldCharType="begin"/>
          </w:r>
          <w:r w:rsidR="00C12465">
            <w:instrText xml:space="preserve"> NUMPAGES  \* Arabic </w:instrText>
          </w:r>
          <w:r w:rsidR="00C12465">
            <w:fldChar w:fldCharType="separate"/>
          </w:r>
          <w:r>
            <w:rPr>
              <w:noProof/>
            </w:rPr>
            <w:t>2</w:t>
          </w:r>
          <w:r w:rsidR="00C12465">
            <w:rPr>
              <w:noProof/>
            </w:rPr>
            <w:fldChar w:fldCharType="end"/>
          </w:r>
          <w:r>
            <w:t xml:space="preserve">  </w:t>
          </w:r>
        </w:p>
      </w:tc>
    </w:tr>
  </w:tbl>
  <w:p w14:paraId="74C566CA" w14:textId="77777777" w:rsidR="00E05F58" w:rsidRDefault="00E05F5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A086C" w14:textId="77777777" w:rsidR="00E05F58" w:rsidRDefault="00E05F58" w:rsidP="00C40A36">
      <w:pPr>
        <w:spacing w:after="0"/>
      </w:pPr>
      <w:r>
        <w:separator/>
      </w:r>
    </w:p>
  </w:footnote>
  <w:footnote w:type="continuationSeparator" w:id="0">
    <w:p w14:paraId="7F44A97E" w14:textId="77777777" w:rsidR="00E05F58" w:rsidRDefault="00E05F58" w:rsidP="00C40A36">
      <w:pPr>
        <w:spacing w:after="0"/>
      </w:pPr>
      <w:r>
        <w:continuationSeparator/>
      </w:r>
    </w:p>
  </w:footnote>
  <w:footnote w:id="1">
    <w:p w14:paraId="338F6AEB" w14:textId="2355222B" w:rsidR="00E05F58" w:rsidRPr="00760FF8" w:rsidRDefault="00E05F58">
      <w:pPr>
        <w:pStyle w:val="FootnoteText"/>
        <w:rPr>
          <w:lang w:val="en-GB"/>
        </w:rPr>
      </w:pPr>
      <w:r>
        <w:rPr>
          <w:rStyle w:val="FootnoteReference"/>
        </w:rPr>
        <w:footnoteRef/>
      </w:r>
      <w:r>
        <w:t xml:space="preserve"> The sodium voltage gated channel alpha subunit 1 (SCN1A) gene codes for the SCN1A protein of the same name.</w:t>
      </w:r>
    </w:p>
  </w:footnote>
  <w:footnote w:id="2">
    <w:p w14:paraId="413EBD0B" w14:textId="77777777" w:rsidR="00E05F58" w:rsidRDefault="00E05F58" w:rsidP="006D5966">
      <w:pPr>
        <w:pStyle w:val="FootnoteText"/>
      </w:pPr>
      <w:r>
        <w:rPr>
          <w:rStyle w:val="FootnoteReference"/>
        </w:rPr>
        <w:footnoteRef/>
      </w:r>
      <w:r>
        <w:t xml:space="preserve"> Depienne, C. et al. (2009). Spectrum of SCN1A gene mutations associated with Dravet syndrome: analysis of 333 patients. J Med Genet, 2009; 46:183–191.</w:t>
      </w:r>
    </w:p>
  </w:footnote>
  <w:footnote w:id="3">
    <w:p w14:paraId="1EE72218" w14:textId="77777777" w:rsidR="00E05F58" w:rsidRDefault="00E05F58" w:rsidP="006D5966">
      <w:pPr>
        <w:pStyle w:val="FootnoteText"/>
      </w:pPr>
      <w:r>
        <w:rPr>
          <w:rStyle w:val="FootnoteReference"/>
        </w:rPr>
        <w:footnoteRef/>
      </w:r>
      <w:r>
        <w:t xml:space="preserve"> Marini, C. et al (2009). SCN1A duplications and deletions detected in Dravet syndrome: implications for molecular diagnosis. Epilepsia, 2009; 50:1670–1678.</w:t>
      </w:r>
    </w:p>
  </w:footnote>
  <w:footnote w:id="4">
    <w:p w14:paraId="3A647DAE" w14:textId="1271496F" w:rsidR="00E05F58" w:rsidRPr="00760FF8" w:rsidRDefault="00E05F58">
      <w:pPr>
        <w:pStyle w:val="FootnoteText"/>
        <w:rPr>
          <w:lang w:val="en-GB"/>
        </w:rPr>
      </w:pPr>
      <w:r>
        <w:rPr>
          <w:rStyle w:val="FootnoteReference"/>
        </w:rPr>
        <w:footnoteRef/>
      </w:r>
      <w:r>
        <w:t xml:space="preserve"> Gabanergic pertains to the action of gamma (γ)-aminobutyric acid (GABA) or to the neural and/or metabolic pathways in which it functions.</w:t>
      </w:r>
    </w:p>
  </w:footnote>
  <w:footnote w:id="5">
    <w:p w14:paraId="2413B70E" w14:textId="3F932897" w:rsidR="00E05F58" w:rsidRDefault="00E05F58" w:rsidP="00FC4287">
      <w:pPr>
        <w:pStyle w:val="FootnoteText"/>
      </w:pPr>
      <w:r>
        <w:rPr>
          <w:rStyle w:val="FootnoteReference"/>
        </w:rPr>
        <w:footnoteRef/>
      </w:r>
      <w:r>
        <w:t xml:space="preserve"> Pregnancy category B1: 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6">
    <w:p w14:paraId="236260BD" w14:textId="5BBA9799" w:rsidR="00E05F58" w:rsidRDefault="00E05F58" w:rsidP="00FC4287">
      <w:pPr>
        <w:pStyle w:val="FootnoteText"/>
      </w:pPr>
      <w:r>
        <w:rPr>
          <w:rStyle w:val="FootnoteReference"/>
        </w:rPr>
        <w:footnoteRef/>
      </w:r>
      <w:r>
        <w:t xml:space="preserve"> Pregnancy category B3: 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p>
  </w:footnote>
  <w:footnote w:id="7">
    <w:p w14:paraId="10260589" w14:textId="77777777" w:rsidR="00E05F58" w:rsidRDefault="00E05F58">
      <w:pPr>
        <w:pStyle w:val="FootnoteText"/>
      </w:pPr>
      <w:r>
        <w:rPr>
          <w:rStyle w:val="FootnoteReference"/>
        </w:rPr>
        <w:footnoteRef/>
      </w:r>
      <w:r>
        <w:t xml:space="preserve"> </w:t>
      </w:r>
      <w:r w:rsidRPr="00620E19">
        <w:t>Levy</w:t>
      </w:r>
      <w:r>
        <w:t>,</w:t>
      </w:r>
      <w:r w:rsidRPr="00620E19">
        <w:t xml:space="preserve"> R</w:t>
      </w:r>
      <w:r>
        <w:t>.H.</w:t>
      </w:r>
      <w:r w:rsidRPr="00620E19">
        <w:t xml:space="preserve"> </w:t>
      </w:r>
      <w:r>
        <w:t>et al. (1983)</w:t>
      </w:r>
      <w:r w:rsidRPr="00620E19">
        <w:t xml:space="preserve">. Pharmacokinetics of stiripentol in normal man: evidence of nonlinearity. </w:t>
      </w:r>
      <w:r w:rsidRPr="00620E19">
        <w:rPr>
          <w:i/>
        </w:rPr>
        <w:t>J Clin Pharmacol</w:t>
      </w:r>
      <w:r>
        <w:t>. 1983; 23</w:t>
      </w:r>
      <w:r w:rsidRPr="00620E19">
        <w:t>:</w:t>
      </w:r>
      <w:r>
        <w:t xml:space="preserve"> </w:t>
      </w:r>
      <w:r w:rsidRPr="00620E19">
        <w:t>523-</w:t>
      </w:r>
      <w:r>
        <w:t>5</w:t>
      </w:r>
      <w:r w:rsidRPr="00620E19">
        <w:t>33.</w:t>
      </w:r>
    </w:p>
  </w:footnote>
  <w:footnote w:id="8">
    <w:p w14:paraId="1DAF0834" w14:textId="77777777" w:rsidR="00E05F58" w:rsidRDefault="00E05F58">
      <w:pPr>
        <w:pStyle w:val="FootnoteText"/>
      </w:pPr>
      <w:r>
        <w:rPr>
          <w:rStyle w:val="FootnoteReference"/>
        </w:rPr>
        <w:footnoteRef/>
      </w:r>
      <w:r>
        <w:t xml:space="preserve"> Levy, R.H. et al. (1984). </w:t>
      </w:r>
      <w:r w:rsidRPr="008E4D05">
        <w:t>Michaelis‐Menten Kinetics of Stiripentol in Normal Humans</w:t>
      </w:r>
      <w:r>
        <w:t xml:space="preserve">, </w:t>
      </w:r>
      <w:r w:rsidRPr="008E4D05">
        <w:rPr>
          <w:i/>
        </w:rPr>
        <w:t>Epilepsia</w:t>
      </w:r>
      <w:r>
        <w:t>, 1984; 25: 486-491.</w:t>
      </w:r>
    </w:p>
  </w:footnote>
  <w:footnote w:id="9">
    <w:p w14:paraId="5EDA658A" w14:textId="77777777" w:rsidR="00E05F58" w:rsidRDefault="00E05F58">
      <w:pPr>
        <w:pStyle w:val="FootnoteText"/>
      </w:pPr>
      <w:r>
        <w:rPr>
          <w:rStyle w:val="FootnoteReference"/>
        </w:rPr>
        <w:footnoteRef/>
      </w:r>
      <w:r>
        <w:t xml:space="preserve"> Levy, R.H. et al. (1984). </w:t>
      </w:r>
      <w:r w:rsidRPr="008E4D05">
        <w:t>Stiripentol kinetics in epilepsy: Nonlinearity and interactions</w:t>
      </w:r>
      <w:r>
        <w:t xml:space="preserve">, </w:t>
      </w:r>
      <w:r w:rsidRPr="008E4D05">
        <w:rPr>
          <w:i/>
        </w:rPr>
        <w:t>Clin. Pharmacol. Ther</w:t>
      </w:r>
      <w:r>
        <w:t>. 1984; 36: 661-669.</w:t>
      </w:r>
    </w:p>
  </w:footnote>
  <w:footnote w:id="10">
    <w:p w14:paraId="7B76573D" w14:textId="77777777" w:rsidR="00E05F58" w:rsidRDefault="00E05F58">
      <w:pPr>
        <w:pStyle w:val="FootnoteText"/>
      </w:pPr>
      <w:r>
        <w:rPr>
          <w:rStyle w:val="FootnoteReference"/>
        </w:rPr>
        <w:footnoteRef/>
      </w:r>
      <w:r>
        <w:t xml:space="preserve"> </w:t>
      </w:r>
      <w:r w:rsidRPr="00620E19">
        <w:t>May</w:t>
      </w:r>
      <w:r>
        <w:t>,</w:t>
      </w:r>
      <w:r w:rsidRPr="00620E19">
        <w:t xml:space="preserve"> T</w:t>
      </w:r>
      <w:r>
        <w:t>.W.</w:t>
      </w:r>
      <w:r w:rsidRPr="00620E19">
        <w:t xml:space="preserve"> </w:t>
      </w:r>
      <w:r>
        <w:t>et al. (2012).</w:t>
      </w:r>
      <w:r w:rsidRPr="00620E19">
        <w:t xml:space="preserve"> Concentrations of stiripentol in children and adults with epilepsy: the influence of dose, age, and comedication. </w:t>
      </w:r>
      <w:r w:rsidRPr="008E4D05">
        <w:rPr>
          <w:i/>
        </w:rPr>
        <w:t>Ther Drug Monit</w:t>
      </w:r>
      <w:r w:rsidRPr="00620E19">
        <w:t>. 2012;</w:t>
      </w:r>
      <w:r>
        <w:t xml:space="preserve"> 34</w:t>
      </w:r>
      <w:r w:rsidRPr="00620E19">
        <w:t>:390-</w:t>
      </w:r>
      <w:r>
        <w:t>39</w:t>
      </w:r>
      <w:r w:rsidRPr="00620E19">
        <w:t>7.</w:t>
      </w:r>
    </w:p>
  </w:footnote>
  <w:footnote w:id="11">
    <w:p w14:paraId="05FDC5E3" w14:textId="77777777" w:rsidR="00E05F58" w:rsidRDefault="00E05F58">
      <w:pPr>
        <w:pStyle w:val="FootnoteText"/>
      </w:pPr>
      <w:r>
        <w:rPr>
          <w:rStyle w:val="FootnoteReference"/>
        </w:rPr>
        <w:footnoteRef/>
      </w:r>
      <w:r>
        <w:t xml:space="preserve"> </w:t>
      </w:r>
      <w:r w:rsidRPr="008E4D05">
        <w:t xml:space="preserve">Ogungbenro K, </w:t>
      </w:r>
      <w:r>
        <w:t xml:space="preserve">and </w:t>
      </w:r>
      <w:r w:rsidRPr="008E4D05">
        <w:t xml:space="preserve">Aarons L; </w:t>
      </w:r>
      <w:r>
        <w:t xml:space="preserve">(2015). </w:t>
      </w:r>
      <w:r w:rsidRPr="008E4D05">
        <w:t xml:space="preserve">CRESim &amp; Epi-CRESim Project Groups. A physiologically based pharmacokinetic model for clobazam and stiripentol in adults and children. </w:t>
      </w:r>
      <w:r w:rsidRPr="008E4D05">
        <w:rPr>
          <w:i/>
        </w:rPr>
        <w:t>Pharm Res</w:t>
      </w:r>
      <w:r w:rsidRPr="008E4D05">
        <w:t>. 2015;</w:t>
      </w:r>
      <w:r>
        <w:t xml:space="preserve"> 32</w:t>
      </w:r>
      <w:r w:rsidRPr="008E4D05">
        <w:t>:144-57.</w:t>
      </w:r>
    </w:p>
  </w:footnote>
  <w:footnote w:id="12">
    <w:p w14:paraId="739D395A" w14:textId="77777777" w:rsidR="00E05F58" w:rsidRPr="008E4D05" w:rsidRDefault="00E05F58" w:rsidP="008E4D05">
      <w:pPr>
        <w:pStyle w:val="FootnoteText"/>
      </w:pPr>
      <w:r>
        <w:rPr>
          <w:rStyle w:val="FootnoteReference"/>
        </w:rPr>
        <w:footnoteRef/>
      </w:r>
      <w:r>
        <w:t xml:space="preserve"> Moreland, T.A. et al. (1986). </w:t>
      </w:r>
      <w:r w:rsidRPr="008E4D05">
        <w:t>The metabolic fate of stiripentol in man</w:t>
      </w:r>
      <w:r>
        <w:t xml:space="preserve">, </w:t>
      </w:r>
      <w:r w:rsidRPr="008E4D05">
        <w:t>Drug Metab Dispos</w:t>
      </w:r>
      <w:r>
        <w:t>, 1986; 14: 654-662.</w:t>
      </w:r>
    </w:p>
  </w:footnote>
  <w:footnote w:id="13">
    <w:p w14:paraId="71AE321F" w14:textId="77777777" w:rsidR="00E05F58" w:rsidRDefault="00E05F58">
      <w:pPr>
        <w:pStyle w:val="FootnoteText"/>
      </w:pPr>
      <w:r>
        <w:rPr>
          <w:rStyle w:val="FootnoteReference"/>
        </w:rPr>
        <w:footnoteRef/>
      </w:r>
      <w:r>
        <w:t xml:space="preserve"> European Medicines Agency (EMA), Committee for medicinal products for human use (CHMP), Guideline on clinical investigation of medicinal products in the treatment of epileptic disorders, CHMP/EWP/566/98 Rev.3, 26 July 2018.</w:t>
      </w:r>
    </w:p>
  </w:footnote>
  <w:footnote w:id="14">
    <w:p w14:paraId="42C5B5FD" w14:textId="77777777" w:rsidR="00E05F58" w:rsidRPr="00DF44AB" w:rsidRDefault="00E05F58" w:rsidP="00DF44AB">
      <w:pPr>
        <w:pStyle w:val="FootnoteText"/>
      </w:pPr>
      <w:r>
        <w:rPr>
          <w:rStyle w:val="FootnoteReference"/>
        </w:rPr>
        <w:footnoteRef/>
      </w:r>
      <w:r>
        <w:t xml:space="preserve"> Hy’s Law: a</w:t>
      </w:r>
      <w:r w:rsidRPr="00DF44AB">
        <w:t xml:space="preserve">lanine aminotransferase </w:t>
      </w:r>
      <w:r>
        <w:t>(</w:t>
      </w:r>
      <w:r w:rsidRPr="00DF44AB">
        <w:t>ALT</w:t>
      </w:r>
      <w:r>
        <w:t>) &gt;3 x</w:t>
      </w:r>
      <w:r w:rsidRPr="00DF44AB">
        <w:t xml:space="preserve"> </w:t>
      </w:r>
      <w:r>
        <w:t>upper limit of normal (</w:t>
      </w:r>
      <w:r w:rsidRPr="00DF44AB">
        <w:t>ULN</w:t>
      </w:r>
      <w:r>
        <w:t>) and total bilirubin &gt; 2 x</w:t>
      </w:r>
      <w:r w:rsidRPr="00DF44AB">
        <w:t xml:space="preserve"> ULN</w:t>
      </w:r>
    </w:p>
  </w:footnote>
  <w:footnote w:id="15">
    <w:p w14:paraId="35E385F3" w14:textId="77777777" w:rsidR="00E05F58" w:rsidRDefault="00E05F58" w:rsidP="00D71869">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7496895A" w14:textId="77777777" w:rsidR="00E05F58" w:rsidRDefault="00E05F58" w:rsidP="00D71869">
      <w:pPr>
        <w:pStyle w:val="FootnoteText"/>
      </w:pPr>
      <w:r w:rsidRPr="00F12492">
        <w:rPr>
          <w:i/>
        </w:rPr>
        <w:t>Routine pharmacovigilance</w:t>
      </w:r>
      <w:r>
        <w:t xml:space="preserve"> practices involve the following activities:</w:t>
      </w:r>
    </w:p>
    <w:p w14:paraId="4E2025E0" w14:textId="77777777" w:rsidR="00E05F58" w:rsidRDefault="00E05F58" w:rsidP="00D71869">
      <w:pPr>
        <w:pStyle w:val="FootnoteText"/>
        <w:numPr>
          <w:ilvl w:val="0"/>
          <w:numId w:val="20"/>
        </w:numPr>
      </w:pPr>
      <w:r>
        <w:t>All suspected adverse reactions that are reported to the personnel of the company are collected and collated in an accessible manner;</w:t>
      </w:r>
    </w:p>
    <w:p w14:paraId="4259D6AB" w14:textId="77777777" w:rsidR="00E05F58" w:rsidRDefault="00E05F58" w:rsidP="00D71869">
      <w:pPr>
        <w:pStyle w:val="FootnoteText"/>
        <w:numPr>
          <w:ilvl w:val="0"/>
          <w:numId w:val="20"/>
        </w:numPr>
      </w:pPr>
      <w:r>
        <w:t>Reporting to regulatory authorities;</w:t>
      </w:r>
    </w:p>
    <w:p w14:paraId="0B8D453A" w14:textId="086BE290" w:rsidR="00E05F58" w:rsidRDefault="00E05F58" w:rsidP="00D71869">
      <w:pPr>
        <w:pStyle w:val="FootnoteText"/>
        <w:numPr>
          <w:ilvl w:val="0"/>
          <w:numId w:val="20"/>
        </w:numPr>
      </w:pPr>
      <w:r>
        <w:t>Continuous monitoring of the safety profiles of approved products including signal detection and updating of labelling;</w:t>
      </w:r>
    </w:p>
    <w:p w14:paraId="45A57326" w14:textId="77777777" w:rsidR="00E05F58" w:rsidRDefault="00E05F58" w:rsidP="00D71869">
      <w:pPr>
        <w:pStyle w:val="FootnoteText"/>
        <w:numPr>
          <w:ilvl w:val="0"/>
          <w:numId w:val="20"/>
        </w:numPr>
      </w:pPr>
      <w:r>
        <w:t>Submission of PSURs;</w:t>
      </w:r>
    </w:p>
    <w:p w14:paraId="773F51AB" w14:textId="77777777" w:rsidR="00E05F58" w:rsidRPr="00F12492" w:rsidRDefault="00E05F58" w:rsidP="00D71869">
      <w:pPr>
        <w:pStyle w:val="FootnoteText"/>
        <w:numPr>
          <w:ilvl w:val="0"/>
          <w:numId w:val="20"/>
        </w:numPr>
        <w:rPr>
          <w:lang w:val="en-US"/>
        </w:rPr>
      </w:pPr>
      <w:r>
        <w:t>Meeting other local regulatory agency requirements.</w:t>
      </w:r>
    </w:p>
  </w:footnote>
  <w:footnote w:id="16">
    <w:p w14:paraId="532CF74B" w14:textId="77777777" w:rsidR="00E05F58" w:rsidRDefault="00E05F58"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F17E0EB" w14:textId="77777777" w:rsidR="00E05F58" w:rsidRPr="00456765" w:rsidRDefault="00E05F58"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2357A" w14:textId="77777777" w:rsidR="00E05F58" w:rsidRDefault="00E05F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ECBE3" w14:textId="77777777" w:rsidR="00E05F58" w:rsidRDefault="00E05F58"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4BA5D" w14:textId="77777777" w:rsidR="00E05F58" w:rsidRDefault="00E05F58">
    <w:pPr>
      <w:rPr>
        <w:noProof/>
        <w:lang w:eastAsia="en-AU"/>
      </w:rPr>
    </w:pPr>
    <w:r w:rsidRPr="00347824">
      <w:rPr>
        <w:noProof/>
        <w:lang w:eastAsia="en-AU"/>
      </w:rPr>
      <w:drawing>
        <wp:anchor distT="0" distB="0" distL="114300" distR="114300" simplePos="0" relativeHeight="251659264" behindDoc="1" locked="0" layoutInCell="1" allowOverlap="1" wp14:anchorId="60811468" wp14:editId="52F8C228">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84E381B" w14:textId="77777777" w:rsidR="00E05F58" w:rsidRDefault="00E05F58" w:rsidP="00593AD1">
    <w:pPr>
      <w:pStyle w:val="HeaderNoLine"/>
    </w:pPr>
    <w:r>
      <w:rPr>
        <w:noProof/>
        <w:lang w:eastAsia="en-AU"/>
      </w:rPr>
      <w:drawing>
        <wp:inline distT="0" distB="0" distL="0" distR="0" wp14:anchorId="2C3D5359" wp14:editId="47B33681">
          <wp:extent cx="5400675" cy="7639050"/>
          <wp:effectExtent l="0" t="0" r="9525" b="0"/>
          <wp:docPr id="19" name="Picture 1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F8D52" w14:textId="77777777" w:rsidR="00E05F58" w:rsidRDefault="00E05F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975D" w14:textId="5E36C83D" w:rsidR="00E05F58" w:rsidRDefault="00E05F58" w:rsidP="00F30EFE">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2EBC0" w14:textId="77777777" w:rsidR="00E05F58" w:rsidRDefault="00E05F58">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F847D" w14:textId="77777777" w:rsidR="00E05F58" w:rsidRDefault="00E05F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C7AA8" w14:textId="77777777" w:rsidR="00E05F58" w:rsidRDefault="00E05F58"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CF651" w14:textId="77777777" w:rsidR="00E05F58" w:rsidRDefault="00E05F58" w:rsidP="006E08B3">
    <w:r>
      <w:t>Therapeutic Goods Administration</w:t>
    </w:r>
  </w:p>
  <w:p w14:paraId="55324682" w14:textId="77777777" w:rsidR="00E05F58" w:rsidRDefault="00E05F58"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5217"/>
    <w:multiLevelType w:val="hybridMultilevel"/>
    <w:tmpl w:val="FE94F794"/>
    <w:lvl w:ilvl="0" w:tplc="0C090003">
      <w:start w:val="1"/>
      <w:numFmt w:val="bullet"/>
      <w:lvlText w:val="o"/>
      <w:lvlJc w:val="left"/>
      <w:pPr>
        <w:ind w:left="1960" w:hanging="360"/>
      </w:pPr>
      <w:rPr>
        <w:rFonts w:ascii="Courier New" w:hAnsi="Courier New" w:cs="Courier New" w:hint="default"/>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abstractNum w:abstractNumId="1" w15:restartNumberingAfterBreak="0">
    <w:nsid w:val="0E9108CD"/>
    <w:multiLevelType w:val="hybridMultilevel"/>
    <w:tmpl w:val="D040B710"/>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4A385B"/>
    <w:multiLevelType w:val="hybridMultilevel"/>
    <w:tmpl w:val="64127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8F13E9"/>
    <w:multiLevelType w:val="multilevel"/>
    <w:tmpl w:val="9D7E97EE"/>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2EB80CBB"/>
    <w:multiLevelType w:val="hybridMultilevel"/>
    <w:tmpl w:val="F52AEB58"/>
    <w:lvl w:ilvl="0" w:tplc="E6F87B8E">
      <w:start w:val="1"/>
      <w:numFmt w:val="bullet"/>
      <w:lvlText w:val="-"/>
      <w:lvlJc w:val="left"/>
      <w:pPr>
        <w:ind w:left="1840" w:hanging="360"/>
      </w:pPr>
      <w:rPr>
        <w:rFonts w:ascii="Symbol" w:hAnsi="Symbol" w:hint="default"/>
      </w:rPr>
    </w:lvl>
    <w:lvl w:ilvl="1" w:tplc="0C090003" w:tentative="1">
      <w:start w:val="1"/>
      <w:numFmt w:val="bullet"/>
      <w:lvlText w:val="o"/>
      <w:lvlJc w:val="left"/>
      <w:pPr>
        <w:ind w:left="2560" w:hanging="360"/>
      </w:pPr>
      <w:rPr>
        <w:rFonts w:ascii="Courier New" w:hAnsi="Courier New" w:cs="Courier New" w:hint="default"/>
      </w:rPr>
    </w:lvl>
    <w:lvl w:ilvl="2" w:tplc="0C090005" w:tentative="1">
      <w:start w:val="1"/>
      <w:numFmt w:val="bullet"/>
      <w:lvlText w:val=""/>
      <w:lvlJc w:val="left"/>
      <w:pPr>
        <w:ind w:left="3280" w:hanging="360"/>
      </w:pPr>
      <w:rPr>
        <w:rFonts w:ascii="Wingdings" w:hAnsi="Wingdings" w:hint="default"/>
      </w:rPr>
    </w:lvl>
    <w:lvl w:ilvl="3" w:tplc="0C090001" w:tentative="1">
      <w:start w:val="1"/>
      <w:numFmt w:val="bullet"/>
      <w:lvlText w:val=""/>
      <w:lvlJc w:val="left"/>
      <w:pPr>
        <w:ind w:left="4000" w:hanging="360"/>
      </w:pPr>
      <w:rPr>
        <w:rFonts w:ascii="Symbol" w:hAnsi="Symbol" w:hint="default"/>
      </w:rPr>
    </w:lvl>
    <w:lvl w:ilvl="4" w:tplc="0C090003" w:tentative="1">
      <w:start w:val="1"/>
      <w:numFmt w:val="bullet"/>
      <w:lvlText w:val="o"/>
      <w:lvlJc w:val="left"/>
      <w:pPr>
        <w:ind w:left="4720" w:hanging="360"/>
      </w:pPr>
      <w:rPr>
        <w:rFonts w:ascii="Courier New" w:hAnsi="Courier New" w:cs="Courier New" w:hint="default"/>
      </w:rPr>
    </w:lvl>
    <w:lvl w:ilvl="5" w:tplc="0C090005" w:tentative="1">
      <w:start w:val="1"/>
      <w:numFmt w:val="bullet"/>
      <w:lvlText w:val=""/>
      <w:lvlJc w:val="left"/>
      <w:pPr>
        <w:ind w:left="5440" w:hanging="360"/>
      </w:pPr>
      <w:rPr>
        <w:rFonts w:ascii="Wingdings" w:hAnsi="Wingdings" w:hint="default"/>
      </w:rPr>
    </w:lvl>
    <w:lvl w:ilvl="6" w:tplc="0C090001" w:tentative="1">
      <w:start w:val="1"/>
      <w:numFmt w:val="bullet"/>
      <w:lvlText w:val=""/>
      <w:lvlJc w:val="left"/>
      <w:pPr>
        <w:ind w:left="6160" w:hanging="360"/>
      </w:pPr>
      <w:rPr>
        <w:rFonts w:ascii="Symbol" w:hAnsi="Symbol" w:hint="default"/>
      </w:rPr>
    </w:lvl>
    <w:lvl w:ilvl="7" w:tplc="0C090003" w:tentative="1">
      <w:start w:val="1"/>
      <w:numFmt w:val="bullet"/>
      <w:lvlText w:val="o"/>
      <w:lvlJc w:val="left"/>
      <w:pPr>
        <w:ind w:left="6880" w:hanging="360"/>
      </w:pPr>
      <w:rPr>
        <w:rFonts w:ascii="Courier New" w:hAnsi="Courier New" w:cs="Courier New" w:hint="default"/>
      </w:rPr>
    </w:lvl>
    <w:lvl w:ilvl="8" w:tplc="0C090005" w:tentative="1">
      <w:start w:val="1"/>
      <w:numFmt w:val="bullet"/>
      <w:lvlText w:val=""/>
      <w:lvlJc w:val="left"/>
      <w:pPr>
        <w:ind w:left="7600" w:hanging="360"/>
      </w:pPr>
      <w:rPr>
        <w:rFonts w:ascii="Wingdings" w:hAnsi="Wingdings" w:hint="default"/>
      </w:rPr>
    </w:lvl>
  </w:abstractNum>
  <w:abstractNum w:abstractNumId="6" w15:restartNumberingAfterBreak="0">
    <w:nsid w:val="39745F17"/>
    <w:multiLevelType w:val="hybridMultilevel"/>
    <w:tmpl w:val="6FCA3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9B15D7"/>
    <w:multiLevelType w:val="hybridMultilevel"/>
    <w:tmpl w:val="AD2015DA"/>
    <w:lvl w:ilvl="0" w:tplc="D0FCCD8C">
      <w:start w:val="1"/>
      <w:numFmt w:val="bullet"/>
      <w:pStyle w:val="Bulletpoint"/>
      <w:lvlText w:val=""/>
      <w:lvlJc w:val="left"/>
      <w:pPr>
        <w:tabs>
          <w:tab w:val="num" w:pos="369"/>
        </w:tabs>
        <w:ind w:left="369" w:hanging="227"/>
      </w:pPr>
      <w:rPr>
        <w:rFonts w:ascii="Symbol" w:hAnsi="Symbol" w:hint="default"/>
        <w:color w:val="auto"/>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600FE6"/>
    <w:multiLevelType w:val="hybridMultilevel"/>
    <w:tmpl w:val="FB92D2B0"/>
    <w:lvl w:ilvl="0" w:tplc="0C090003">
      <w:start w:val="1"/>
      <w:numFmt w:val="bullet"/>
      <w:lvlText w:val="o"/>
      <w:lvlJc w:val="left"/>
      <w:pPr>
        <w:ind w:left="1816" w:hanging="360"/>
      </w:pPr>
      <w:rPr>
        <w:rFonts w:ascii="Courier New" w:hAnsi="Courier New" w:cs="Courier New" w:hint="default"/>
      </w:rPr>
    </w:lvl>
    <w:lvl w:ilvl="1" w:tplc="0C090003" w:tentative="1">
      <w:start w:val="1"/>
      <w:numFmt w:val="bullet"/>
      <w:lvlText w:val="o"/>
      <w:lvlJc w:val="left"/>
      <w:pPr>
        <w:ind w:left="2536" w:hanging="360"/>
      </w:pPr>
      <w:rPr>
        <w:rFonts w:ascii="Courier New" w:hAnsi="Courier New" w:cs="Courier New" w:hint="default"/>
      </w:rPr>
    </w:lvl>
    <w:lvl w:ilvl="2" w:tplc="0C090005" w:tentative="1">
      <w:start w:val="1"/>
      <w:numFmt w:val="bullet"/>
      <w:lvlText w:val=""/>
      <w:lvlJc w:val="left"/>
      <w:pPr>
        <w:ind w:left="3256" w:hanging="360"/>
      </w:pPr>
      <w:rPr>
        <w:rFonts w:ascii="Wingdings" w:hAnsi="Wingdings" w:hint="default"/>
      </w:rPr>
    </w:lvl>
    <w:lvl w:ilvl="3" w:tplc="0C090001" w:tentative="1">
      <w:start w:val="1"/>
      <w:numFmt w:val="bullet"/>
      <w:lvlText w:val=""/>
      <w:lvlJc w:val="left"/>
      <w:pPr>
        <w:ind w:left="3976" w:hanging="360"/>
      </w:pPr>
      <w:rPr>
        <w:rFonts w:ascii="Symbol" w:hAnsi="Symbol" w:hint="default"/>
      </w:rPr>
    </w:lvl>
    <w:lvl w:ilvl="4" w:tplc="0C090003" w:tentative="1">
      <w:start w:val="1"/>
      <w:numFmt w:val="bullet"/>
      <w:lvlText w:val="o"/>
      <w:lvlJc w:val="left"/>
      <w:pPr>
        <w:ind w:left="4696" w:hanging="360"/>
      </w:pPr>
      <w:rPr>
        <w:rFonts w:ascii="Courier New" w:hAnsi="Courier New" w:cs="Courier New" w:hint="default"/>
      </w:rPr>
    </w:lvl>
    <w:lvl w:ilvl="5" w:tplc="0C090005" w:tentative="1">
      <w:start w:val="1"/>
      <w:numFmt w:val="bullet"/>
      <w:lvlText w:val=""/>
      <w:lvlJc w:val="left"/>
      <w:pPr>
        <w:ind w:left="5416" w:hanging="360"/>
      </w:pPr>
      <w:rPr>
        <w:rFonts w:ascii="Wingdings" w:hAnsi="Wingdings" w:hint="default"/>
      </w:rPr>
    </w:lvl>
    <w:lvl w:ilvl="6" w:tplc="0C090001" w:tentative="1">
      <w:start w:val="1"/>
      <w:numFmt w:val="bullet"/>
      <w:lvlText w:val=""/>
      <w:lvlJc w:val="left"/>
      <w:pPr>
        <w:ind w:left="6136" w:hanging="360"/>
      </w:pPr>
      <w:rPr>
        <w:rFonts w:ascii="Symbol" w:hAnsi="Symbol" w:hint="default"/>
      </w:rPr>
    </w:lvl>
    <w:lvl w:ilvl="7" w:tplc="0C090003" w:tentative="1">
      <w:start w:val="1"/>
      <w:numFmt w:val="bullet"/>
      <w:lvlText w:val="o"/>
      <w:lvlJc w:val="left"/>
      <w:pPr>
        <w:ind w:left="6856" w:hanging="360"/>
      </w:pPr>
      <w:rPr>
        <w:rFonts w:ascii="Courier New" w:hAnsi="Courier New" w:cs="Courier New" w:hint="default"/>
      </w:rPr>
    </w:lvl>
    <w:lvl w:ilvl="8" w:tplc="0C090005" w:tentative="1">
      <w:start w:val="1"/>
      <w:numFmt w:val="bullet"/>
      <w:lvlText w:val=""/>
      <w:lvlJc w:val="left"/>
      <w:pPr>
        <w:ind w:left="7576" w:hanging="360"/>
      </w:pPr>
      <w:rPr>
        <w:rFonts w:ascii="Wingdings" w:hAnsi="Wingdings" w:hint="default"/>
      </w:rPr>
    </w:lvl>
  </w:abstractNum>
  <w:abstractNum w:abstractNumId="9" w15:restartNumberingAfterBreak="0">
    <w:nsid w:val="549B0945"/>
    <w:multiLevelType w:val="hybridMultilevel"/>
    <w:tmpl w:val="8F22A46C"/>
    <w:lvl w:ilvl="0" w:tplc="FEA0D0FA">
      <w:start w:val="1"/>
      <w:numFmt w:val="bullet"/>
      <w:lvlText w:val=""/>
      <w:lvlJc w:val="left"/>
      <w:pPr>
        <w:ind w:left="2880" w:hanging="360"/>
      </w:pPr>
      <w:rPr>
        <w:rFonts w:ascii="Wingdings" w:hAnsi="Wingdings" w:hint="default"/>
        <w:sz w:val="20"/>
        <w:szCs w:val="20"/>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0" w15:restartNumberingAfterBreak="0">
    <w:nsid w:val="5F68590D"/>
    <w:multiLevelType w:val="hybridMultilevel"/>
    <w:tmpl w:val="A2982CE2"/>
    <w:lvl w:ilvl="0" w:tplc="FEA0D0FA">
      <w:start w:val="1"/>
      <w:numFmt w:val="bullet"/>
      <w:lvlText w:val=""/>
      <w:lvlJc w:val="left"/>
      <w:pPr>
        <w:ind w:left="2712" w:hanging="360"/>
      </w:pPr>
      <w:rPr>
        <w:rFonts w:ascii="Wingdings" w:hAnsi="Wingdings" w:hint="default"/>
        <w:sz w:val="20"/>
        <w:szCs w:val="20"/>
      </w:rPr>
    </w:lvl>
    <w:lvl w:ilvl="1" w:tplc="0C090003" w:tentative="1">
      <w:start w:val="1"/>
      <w:numFmt w:val="bullet"/>
      <w:lvlText w:val="o"/>
      <w:lvlJc w:val="left"/>
      <w:pPr>
        <w:ind w:left="3432" w:hanging="360"/>
      </w:pPr>
      <w:rPr>
        <w:rFonts w:ascii="Courier New" w:hAnsi="Courier New" w:cs="Courier New" w:hint="default"/>
      </w:rPr>
    </w:lvl>
    <w:lvl w:ilvl="2" w:tplc="0C090005" w:tentative="1">
      <w:start w:val="1"/>
      <w:numFmt w:val="bullet"/>
      <w:lvlText w:val=""/>
      <w:lvlJc w:val="left"/>
      <w:pPr>
        <w:ind w:left="4152" w:hanging="360"/>
      </w:pPr>
      <w:rPr>
        <w:rFonts w:ascii="Wingdings" w:hAnsi="Wingdings" w:hint="default"/>
      </w:rPr>
    </w:lvl>
    <w:lvl w:ilvl="3" w:tplc="0C090001" w:tentative="1">
      <w:start w:val="1"/>
      <w:numFmt w:val="bullet"/>
      <w:lvlText w:val=""/>
      <w:lvlJc w:val="left"/>
      <w:pPr>
        <w:ind w:left="4872" w:hanging="360"/>
      </w:pPr>
      <w:rPr>
        <w:rFonts w:ascii="Symbol" w:hAnsi="Symbol" w:hint="default"/>
      </w:rPr>
    </w:lvl>
    <w:lvl w:ilvl="4" w:tplc="0C090003" w:tentative="1">
      <w:start w:val="1"/>
      <w:numFmt w:val="bullet"/>
      <w:lvlText w:val="o"/>
      <w:lvlJc w:val="left"/>
      <w:pPr>
        <w:ind w:left="5592" w:hanging="360"/>
      </w:pPr>
      <w:rPr>
        <w:rFonts w:ascii="Courier New" w:hAnsi="Courier New" w:cs="Courier New" w:hint="default"/>
      </w:rPr>
    </w:lvl>
    <w:lvl w:ilvl="5" w:tplc="0C090005" w:tentative="1">
      <w:start w:val="1"/>
      <w:numFmt w:val="bullet"/>
      <w:lvlText w:val=""/>
      <w:lvlJc w:val="left"/>
      <w:pPr>
        <w:ind w:left="6312" w:hanging="360"/>
      </w:pPr>
      <w:rPr>
        <w:rFonts w:ascii="Wingdings" w:hAnsi="Wingdings" w:hint="default"/>
      </w:rPr>
    </w:lvl>
    <w:lvl w:ilvl="6" w:tplc="0C090001" w:tentative="1">
      <w:start w:val="1"/>
      <w:numFmt w:val="bullet"/>
      <w:lvlText w:val=""/>
      <w:lvlJc w:val="left"/>
      <w:pPr>
        <w:ind w:left="7032" w:hanging="360"/>
      </w:pPr>
      <w:rPr>
        <w:rFonts w:ascii="Symbol" w:hAnsi="Symbol" w:hint="default"/>
      </w:rPr>
    </w:lvl>
    <w:lvl w:ilvl="7" w:tplc="0C090003" w:tentative="1">
      <w:start w:val="1"/>
      <w:numFmt w:val="bullet"/>
      <w:lvlText w:val="o"/>
      <w:lvlJc w:val="left"/>
      <w:pPr>
        <w:ind w:left="7752" w:hanging="360"/>
      </w:pPr>
      <w:rPr>
        <w:rFonts w:ascii="Courier New" w:hAnsi="Courier New" w:cs="Courier New" w:hint="default"/>
      </w:rPr>
    </w:lvl>
    <w:lvl w:ilvl="8" w:tplc="0C090005" w:tentative="1">
      <w:start w:val="1"/>
      <w:numFmt w:val="bullet"/>
      <w:lvlText w:val=""/>
      <w:lvlJc w:val="left"/>
      <w:pPr>
        <w:ind w:left="8472" w:hanging="360"/>
      </w:pPr>
      <w:rPr>
        <w:rFonts w:ascii="Wingdings" w:hAnsi="Wingdings" w:hint="default"/>
      </w:rPr>
    </w:lvl>
  </w:abstractNum>
  <w:abstractNum w:abstractNumId="11" w15:restartNumberingAfterBreak="0">
    <w:nsid w:val="5FDB2A09"/>
    <w:multiLevelType w:val="hybridMultilevel"/>
    <w:tmpl w:val="F4B68D7C"/>
    <w:lvl w:ilvl="0" w:tplc="0C090003">
      <w:start w:val="1"/>
      <w:numFmt w:val="bullet"/>
      <w:lvlText w:val="o"/>
      <w:lvlJc w:val="left"/>
      <w:pPr>
        <w:ind w:left="2024" w:hanging="360"/>
      </w:pPr>
      <w:rPr>
        <w:rFonts w:ascii="Courier New" w:hAnsi="Courier New" w:cs="Courier New" w:hint="default"/>
      </w:rPr>
    </w:lvl>
    <w:lvl w:ilvl="1" w:tplc="0C090003" w:tentative="1">
      <w:start w:val="1"/>
      <w:numFmt w:val="bullet"/>
      <w:lvlText w:val="o"/>
      <w:lvlJc w:val="left"/>
      <w:pPr>
        <w:ind w:left="2744" w:hanging="360"/>
      </w:pPr>
      <w:rPr>
        <w:rFonts w:ascii="Courier New" w:hAnsi="Courier New" w:cs="Courier New" w:hint="default"/>
      </w:rPr>
    </w:lvl>
    <w:lvl w:ilvl="2" w:tplc="0C090005" w:tentative="1">
      <w:start w:val="1"/>
      <w:numFmt w:val="bullet"/>
      <w:lvlText w:val=""/>
      <w:lvlJc w:val="left"/>
      <w:pPr>
        <w:ind w:left="3464" w:hanging="360"/>
      </w:pPr>
      <w:rPr>
        <w:rFonts w:ascii="Wingdings" w:hAnsi="Wingdings" w:hint="default"/>
      </w:rPr>
    </w:lvl>
    <w:lvl w:ilvl="3" w:tplc="0C090001" w:tentative="1">
      <w:start w:val="1"/>
      <w:numFmt w:val="bullet"/>
      <w:lvlText w:val=""/>
      <w:lvlJc w:val="left"/>
      <w:pPr>
        <w:ind w:left="4184" w:hanging="360"/>
      </w:pPr>
      <w:rPr>
        <w:rFonts w:ascii="Symbol" w:hAnsi="Symbol" w:hint="default"/>
      </w:rPr>
    </w:lvl>
    <w:lvl w:ilvl="4" w:tplc="0C090003" w:tentative="1">
      <w:start w:val="1"/>
      <w:numFmt w:val="bullet"/>
      <w:lvlText w:val="o"/>
      <w:lvlJc w:val="left"/>
      <w:pPr>
        <w:ind w:left="4904" w:hanging="360"/>
      </w:pPr>
      <w:rPr>
        <w:rFonts w:ascii="Courier New" w:hAnsi="Courier New" w:cs="Courier New" w:hint="default"/>
      </w:rPr>
    </w:lvl>
    <w:lvl w:ilvl="5" w:tplc="0C090005" w:tentative="1">
      <w:start w:val="1"/>
      <w:numFmt w:val="bullet"/>
      <w:lvlText w:val=""/>
      <w:lvlJc w:val="left"/>
      <w:pPr>
        <w:ind w:left="5624" w:hanging="360"/>
      </w:pPr>
      <w:rPr>
        <w:rFonts w:ascii="Wingdings" w:hAnsi="Wingdings" w:hint="default"/>
      </w:rPr>
    </w:lvl>
    <w:lvl w:ilvl="6" w:tplc="0C090001" w:tentative="1">
      <w:start w:val="1"/>
      <w:numFmt w:val="bullet"/>
      <w:lvlText w:val=""/>
      <w:lvlJc w:val="left"/>
      <w:pPr>
        <w:ind w:left="6344" w:hanging="360"/>
      </w:pPr>
      <w:rPr>
        <w:rFonts w:ascii="Symbol" w:hAnsi="Symbol" w:hint="default"/>
      </w:rPr>
    </w:lvl>
    <w:lvl w:ilvl="7" w:tplc="0C090003" w:tentative="1">
      <w:start w:val="1"/>
      <w:numFmt w:val="bullet"/>
      <w:lvlText w:val="o"/>
      <w:lvlJc w:val="left"/>
      <w:pPr>
        <w:ind w:left="7064" w:hanging="360"/>
      </w:pPr>
      <w:rPr>
        <w:rFonts w:ascii="Courier New" w:hAnsi="Courier New" w:cs="Courier New" w:hint="default"/>
      </w:rPr>
    </w:lvl>
    <w:lvl w:ilvl="8" w:tplc="0C090005" w:tentative="1">
      <w:start w:val="1"/>
      <w:numFmt w:val="bullet"/>
      <w:lvlText w:val=""/>
      <w:lvlJc w:val="left"/>
      <w:pPr>
        <w:ind w:left="7784" w:hanging="360"/>
      </w:pPr>
      <w:rPr>
        <w:rFonts w:ascii="Wingdings" w:hAnsi="Wingdings" w:hint="default"/>
      </w:rPr>
    </w:lvl>
  </w:abstractNum>
  <w:abstractNum w:abstractNumId="12" w15:restartNumberingAfterBreak="0">
    <w:nsid w:val="69175A66"/>
    <w:multiLevelType w:val="hybridMultilevel"/>
    <w:tmpl w:val="57E0B81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AE23F59"/>
    <w:multiLevelType w:val="hybridMultilevel"/>
    <w:tmpl w:val="D850F43C"/>
    <w:lvl w:ilvl="0" w:tplc="8AD0BF0C">
      <w:start w:val="1"/>
      <w:numFmt w:val="bullet"/>
      <w:lvlText w:val=""/>
      <w:lvlJc w:val="left"/>
      <w:pPr>
        <w:ind w:left="768" w:hanging="360"/>
      </w:pPr>
      <w:rPr>
        <w:rFonts w:ascii="Symbol" w:hAnsi="Symbol" w:hint="default"/>
        <w:color w:val="auto"/>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A276EA3"/>
    <w:multiLevelType w:val="hybridMultilevel"/>
    <w:tmpl w:val="2DE87AA6"/>
    <w:lvl w:ilvl="0" w:tplc="0C090003">
      <w:start w:val="1"/>
      <w:numFmt w:val="bullet"/>
      <w:lvlText w:val="o"/>
      <w:lvlJc w:val="left"/>
      <w:pPr>
        <w:ind w:left="2112" w:hanging="360"/>
      </w:pPr>
      <w:rPr>
        <w:rFonts w:ascii="Courier New" w:hAnsi="Courier New" w:cs="Courier New" w:hint="default"/>
      </w:rPr>
    </w:lvl>
    <w:lvl w:ilvl="1" w:tplc="0C090003" w:tentative="1">
      <w:start w:val="1"/>
      <w:numFmt w:val="bullet"/>
      <w:lvlText w:val="o"/>
      <w:lvlJc w:val="left"/>
      <w:pPr>
        <w:ind w:left="2832" w:hanging="360"/>
      </w:pPr>
      <w:rPr>
        <w:rFonts w:ascii="Courier New" w:hAnsi="Courier New" w:cs="Courier New" w:hint="default"/>
      </w:rPr>
    </w:lvl>
    <w:lvl w:ilvl="2" w:tplc="0C090005" w:tentative="1">
      <w:start w:val="1"/>
      <w:numFmt w:val="bullet"/>
      <w:lvlText w:val=""/>
      <w:lvlJc w:val="left"/>
      <w:pPr>
        <w:ind w:left="3552" w:hanging="360"/>
      </w:pPr>
      <w:rPr>
        <w:rFonts w:ascii="Wingdings" w:hAnsi="Wingdings" w:hint="default"/>
      </w:rPr>
    </w:lvl>
    <w:lvl w:ilvl="3" w:tplc="0C090001" w:tentative="1">
      <w:start w:val="1"/>
      <w:numFmt w:val="bullet"/>
      <w:lvlText w:val=""/>
      <w:lvlJc w:val="left"/>
      <w:pPr>
        <w:ind w:left="4272" w:hanging="360"/>
      </w:pPr>
      <w:rPr>
        <w:rFonts w:ascii="Symbol" w:hAnsi="Symbol" w:hint="default"/>
      </w:rPr>
    </w:lvl>
    <w:lvl w:ilvl="4" w:tplc="0C090003" w:tentative="1">
      <w:start w:val="1"/>
      <w:numFmt w:val="bullet"/>
      <w:lvlText w:val="o"/>
      <w:lvlJc w:val="left"/>
      <w:pPr>
        <w:ind w:left="4992" w:hanging="360"/>
      </w:pPr>
      <w:rPr>
        <w:rFonts w:ascii="Courier New" w:hAnsi="Courier New" w:cs="Courier New" w:hint="default"/>
      </w:rPr>
    </w:lvl>
    <w:lvl w:ilvl="5" w:tplc="0C090005" w:tentative="1">
      <w:start w:val="1"/>
      <w:numFmt w:val="bullet"/>
      <w:lvlText w:val=""/>
      <w:lvlJc w:val="left"/>
      <w:pPr>
        <w:ind w:left="5712" w:hanging="360"/>
      </w:pPr>
      <w:rPr>
        <w:rFonts w:ascii="Wingdings" w:hAnsi="Wingdings" w:hint="default"/>
      </w:rPr>
    </w:lvl>
    <w:lvl w:ilvl="6" w:tplc="0C090001" w:tentative="1">
      <w:start w:val="1"/>
      <w:numFmt w:val="bullet"/>
      <w:lvlText w:val=""/>
      <w:lvlJc w:val="left"/>
      <w:pPr>
        <w:ind w:left="6432" w:hanging="360"/>
      </w:pPr>
      <w:rPr>
        <w:rFonts w:ascii="Symbol" w:hAnsi="Symbol" w:hint="default"/>
      </w:rPr>
    </w:lvl>
    <w:lvl w:ilvl="7" w:tplc="0C090003" w:tentative="1">
      <w:start w:val="1"/>
      <w:numFmt w:val="bullet"/>
      <w:lvlText w:val="o"/>
      <w:lvlJc w:val="left"/>
      <w:pPr>
        <w:ind w:left="7152" w:hanging="360"/>
      </w:pPr>
      <w:rPr>
        <w:rFonts w:ascii="Courier New" w:hAnsi="Courier New" w:cs="Courier New" w:hint="default"/>
      </w:rPr>
    </w:lvl>
    <w:lvl w:ilvl="8" w:tplc="0C090005" w:tentative="1">
      <w:start w:val="1"/>
      <w:numFmt w:val="bullet"/>
      <w:lvlText w:val=""/>
      <w:lvlJc w:val="left"/>
      <w:pPr>
        <w:ind w:left="7872"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7"/>
  </w:num>
  <w:num w:numId="7">
    <w:abstractNumId w:val="12"/>
  </w:num>
  <w:num w:numId="8">
    <w:abstractNumId w:val="1"/>
  </w:num>
  <w:num w:numId="9">
    <w:abstractNumId w:val="13"/>
  </w:num>
  <w:num w:numId="10">
    <w:abstractNumId w:val="8"/>
  </w:num>
  <w:num w:numId="11">
    <w:abstractNumId w:val="6"/>
  </w:num>
  <w:num w:numId="12">
    <w:abstractNumId w:val="5"/>
  </w:num>
  <w:num w:numId="13">
    <w:abstractNumId w:val="11"/>
  </w:num>
  <w:num w:numId="14">
    <w:abstractNumId w:val="3"/>
  </w:num>
  <w:num w:numId="15">
    <w:abstractNumId w:val="0"/>
  </w:num>
  <w:num w:numId="16">
    <w:abstractNumId w:val="10"/>
  </w:num>
  <w:num w:numId="17">
    <w:abstractNumId w:val="15"/>
  </w:num>
  <w:num w:numId="18">
    <w:abstractNumId w:val="9"/>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254"/>
    <w:rsid w:val="00002031"/>
    <w:rsid w:val="00003BFA"/>
    <w:rsid w:val="00004734"/>
    <w:rsid w:val="00006B22"/>
    <w:rsid w:val="0001276A"/>
    <w:rsid w:val="0001680B"/>
    <w:rsid w:val="000246AE"/>
    <w:rsid w:val="00025C67"/>
    <w:rsid w:val="00040C34"/>
    <w:rsid w:val="00044772"/>
    <w:rsid w:val="0004541C"/>
    <w:rsid w:val="00047A77"/>
    <w:rsid w:val="0005559E"/>
    <w:rsid w:val="000604D6"/>
    <w:rsid w:val="00066C98"/>
    <w:rsid w:val="00067A92"/>
    <w:rsid w:val="000734D8"/>
    <w:rsid w:val="0007430B"/>
    <w:rsid w:val="00077775"/>
    <w:rsid w:val="00090471"/>
    <w:rsid w:val="000918CE"/>
    <w:rsid w:val="00096AA7"/>
    <w:rsid w:val="000A3AED"/>
    <w:rsid w:val="000A45E4"/>
    <w:rsid w:val="000B2DF0"/>
    <w:rsid w:val="000B3532"/>
    <w:rsid w:val="000B3A75"/>
    <w:rsid w:val="000C00C2"/>
    <w:rsid w:val="000C690F"/>
    <w:rsid w:val="000D1295"/>
    <w:rsid w:val="000D391B"/>
    <w:rsid w:val="000D3D6D"/>
    <w:rsid w:val="000D4FC7"/>
    <w:rsid w:val="000E6196"/>
    <w:rsid w:val="000F3FF8"/>
    <w:rsid w:val="000F4869"/>
    <w:rsid w:val="000F5B42"/>
    <w:rsid w:val="000F6E6F"/>
    <w:rsid w:val="0010601F"/>
    <w:rsid w:val="0010788A"/>
    <w:rsid w:val="00107A31"/>
    <w:rsid w:val="00110EA5"/>
    <w:rsid w:val="00112F56"/>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67F5F"/>
    <w:rsid w:val="0017693F"/>
    <w:rsid w:val="0018110E"/>
    <w:rsid w:val="00181684"/>
    <w:rsid w:val="001843C6"/>
    <w:rsid w:val="001850E0"/>
    <w:rsid w:val="00186497"/>
    <w:rsid w:val="00196823"/>
    <w:rsid w:val="001A03AF"/>
    <w:rsid w:val="001A2158"/>
    <w:rsid w:val="001A525F"/>
    <w:rsid w:val="001B09F9"/>
    <w:rsid w:val="001B5C90"/>
    <w:rsid w:val="001B6448"/>
    <w:rsid w:val="001B654E"/>
    <w:rsid w:val="001C32CD"/>
    <w:rsid w:val="001D2984"/>
    <w:rsid w:val="001E0228"/>
    <w:rsid w:val="001E07CF"/>
    <w:rsid w:val="001E59F1"/>
    <w:rsid w:val="001F2CEE"/>
    <w:rsid w:val="001F49EB"/>
    <w:rsid w:val="001F6CBA"/>
    <w:rsid w:val="00201D4E"/>
    <w:rsid w:val="002076C9"/>
    <w:rsid w:val="002142BA"/>
    <w:rsid w:val="00220B8A"/>
    <w:rsid w:val="002257F3"/>
    <w:rsid w:val="00233456"/>
    <w:rsid w:val="002339A5"/>
    <w:rsid w:val="00243CB8"/>
    <w:rsid w:val="00246D13"/>
    <w:rsid w:val="00257848"/>
    <w:rsid w:val="002648A0"/>
    <w:rsid w:val="0027084A"/>
    <w:rsid w:val="00271666"/>
    <w:rsid w:val="0027755C"/>
    <w:rsid w:val="00280265"/>
    <w:rsid w:val="00286434"/>
    <w:rsid w:val="00286C59"/>
    <w:rsid w:val="00291957"/>
    <w:rsid w:val="002942D1"/>
    <w:rsid w:val="0029501A"/>
    <w:rsid w:val="002A3721"/>
    <w:rsid w:val="002B1638"/>
    <w:rsid w:val="002B3624"/>
    <w:rsid w:val="002D0952"/>
    <w:rsid w:val="002E40B3"/>
    <w:rsid w:val="002E4C9A"/>
    <w:rsid w:val="002E58D4"/>
    <w:rsid w:val="002F11F8"/>
    <w:rsid w:val="002F3F56"/>
    <w:rsid w:val="002F44B5"/>
    <w:rsid w:val="002F5122"/>
    <w:rsid w:val="002F5A84"/>
    <w:rsid w:val="002F5CF4"/>
    <w:rsid w:val="00311AC0"/>
    <w:rsid w:val="003176FC"/>
    <w:rsid w:val="0032583B"/>
    <w:rsid w:val="00327883"/>
    <w:rsid w:val="00333A81"/>
    <w:rsid w:val="00335504"/>
    <w:rsid w:val="00340C18"/>
    <w:rsid w:val="003438C1"/>
    <w:rsid w:val="003442FD"/>
    <w:rsid w:val="00347824"/>
    <w:rsid w:val="00350567"/>
    <w:rsid w:val="003521E8"/>
    <w:rsid w:val="00370CE3"/>
    <w:rsid w:val="003728F3"/>
    <w:rsid w:val="003735BC"/>
    <w:rsid w:val="0037496E"/>
    <w:rsid w:val="003760DC"/>
    <w:rsid w:val="00383221"/>
    <w:rsid w:val="00386150"/>
    <w:rsid w:val="003874CE"/>
    <w:rsid w:val="003877CD"/>
    <w:rsid w:val="00390900"/>
    <w:rsid w:val="00394B0C"/>
    <w:rsid w:val="00397EAE"/>
    <w:rsid w:val="003A7F6C"/>
    <w:rsid w:val="003B4D60"/>
    <w:rsid w:val="003B7E39"/>
    <w:rsid w:val="003C03F3"/>
    <w:rsid w:val="003C58DC"/>
    <w:rsid w:val="003D1E62"/>
    <w:rsid w:val="003E0B99"/>
    <w:rsid w:val="003E2486"/>
    <w:rsid w:val="003E3208"/>
    <w:rsid w:val="003F0B04"/>
    <w:rsid w:val="0040134E"/>
    <w:rsid w:val="004334C7"/>
    <w:rsid w:val="00440A2D"/>
    <w:rsid w:val="00441C3F"/>
    <w:rsid w:val="00442FFF"/>
    <w:rsid w:val="00444D1A"/>
    <w:rsid w:val="0045186A"/>
    <w:rsid w:val="004564A7"/>
    <w:rsid w:val="00456765"/>
    <w:rsid w:val="004617BF"/>
    <w:rsid w:val="00463658"/>
    <w:rsid w:val="004637A0"/>
    <w:rsid w:val="00467113"/>
    <w:rsid w:val="004722CC"/>
    <w:rsid w:val="00490483"/>
    <w:rsid w:val="00491676"/>
    <w:rsid w:val="004936E4"/>
    <w:rsid w:val="004940B7"/>
    <w:rsid w:val="00494E60"/>
    <w:rsid w:val="00497487"/>
    <w:rsid w:val="004A2771"/>
    <w:rsid w:val="004A6189"/>
    <w:rsid w:val="004A7390"/>
    <w:rsid w:val="004B08F7"/>
    <w:rsid w:val="004B7B76"/>
    <w:rsid w:val="004C239D"/>
    <w:rsid w:val="004C2DCA"/>
    <w:rsid w:val="004C61D2"/>
    <w:rsid w:val="004F0C4A"/>
    <w:rsid w:val="004F0F38"/>
    <w:rsid w:val="004F43D2"/>
    <w:rsid w:val="004F47D6"/>
    <w:rsid w:val="00500337"/>
    <w:rsid w:val="00501921"/>
    <w:rsid w:val="00513ACE"/>
    <w:rsid w:val="00530354"/>
    <w:rsid w:val="0053625B"/>
    <w:rsid w:val="00540DD8"/>
    <w:rsid w:val="005434C6"/>
    <w:rsid w:val="00543B39"/>
    <w:rsid w:val="00546154"/>
    <w:rsid w:val="00550096"/>
    <w:rsid w:val="00555280"/>
    <w:rsid w:val="00556081"/>
    <w:rsid w:val="00557FF9"/>
    <w:rsid w:val="00562327"/>
    <w:rsid w:val="00563CB3"/>
    <w:rsid w:val="005711D5"/>
    <w:rsid w:val="0057452D"/>
    <w:rsid w:val="00576378"/>
    <w:rsid w:val="00577130"/>
    <w:rsid w:val="00577945"/>
    <w:rsid w:val="00577E38"/>
    <w:rsid w:val="00585322"/>
    <w:rsid w:val="005857C6"/>
    <w:rsid w:val="00592F6E"/>
    <w:rsid w:val="00593AD1"/>
    <w:rsid w:val="005A68B6"/>
    <w:rsid w:val="005C5570"/>
    <w:rsid w:val="005C79A4"/>
    <w:rsid w:val="005D0892"/>
    <w:rsid w:val="005D2D5A"/>
    <w:rsid w:val="005D5442"/>
    <w:rsid w:val="005D72E3"/>
    <w:rsid w:val="005E0C8F"/>
    <w:rsid w:val="005E47B1"/>
    <w:rsid w:val="00603F32"/>
    <w:rsid w:val="00605AD4"/>
    <w:rsid w:val="006136D7"/>
    <w:rsid w:val="00620E19"/>
    <w:rsid w:val="00625A6E"/>
    <w:rsid w:val="00632398"/>
    <w:rsid w:val="00640FC3"/>
    <w:rsid w:val="00642020"/>
    <w:rsid w:val="006430EE"/>
    <w:rsid w:val="0065337B"/>
    <w:rsid w:val="0065419D"/>
    <w:rsid w:val="006603BC"/>
    <w:rsid w:val="006604D8"/>
    <w:rsid w:val="006626AF"/>
    <w:rsid w:val="00664A5B"/>
    <w:rsid w:val="006662D8"/>
    <w:rsid w:val="00666B24"/>
    <w:rsid w:val="0066735C"/>
    <w:rsid w:val="00667DFB"/>
    <w:rsid w:val="006763D2"/>
    <w:rsid w:val="00680C08"/>
    <w:rsid w:val="006916A0"/>
    <w:rsid w:val="006931B1"/>
    <w:rsid w:val="006A15C0"/>
    <w:rsid w:val="006A226A"/>
    <w:rsid w:val="006A58A8"/>
    <w:rsid w:val="006C3E2A"/>
    <w:rsid w:val="006C642F"/>
    <w:rsid w:val="006D03E5"/>
    <w:rsid w:val="006D5966"/>
    <w:rsid w:val="006D5D3E"/>
    <w:rsid w:val="006D6713"/>
    <w:rsid w:val="006E08B3"/>
    <w:rsid w:val="006E1A0D"/>
    <w:rsid w:val="006E3315"/>
    <w:rsid w:val="006F17AC"/>
    <w:rsid w:val="006F25B8"/>
    <w:rsid w:val="006F5412"/>
    <w:rsid w:val="006F572E"/>
    <w:rsid w:val="007046D6"/>
    <w:rsid w:val="00705DB0"/>
    <w:rsid w:val="007218E5"/>
    <w:rsid w:val="00722B57"/>
    <w:rsid w:val="00730F8A"/>
    <w:rsid w:val="00735A8C"/>
    <w:rsid w:val="0074253D"/>
    <w:rsid w:val="0074429B"/>
    <w:rsid w:val="00760FF8"/>
    <w:rsid w:val="007615BC"/>
    <w:rsid w:val="00762F05"/>
    <w:rsid w:val="007652FF"/>
    <w:rsid w:val="00766254"/>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E76F2"/>
    <w:rsid w:val="007F4F90"/>
    <w:rsid w:val="007F6E47"/>
    <w:rsid w:val="00805D27"/>
    <w:rsid w:val="00806DCB"/>
    <w:rsid w:val="00821776"/>
    <w:rsid w:val="008321F5"/>
    <w:rsid w:val="00832369"/>
    <w:rsid w:val="00834660"/>
    <w:rsid w:val="00836BC2"/>
    <w:rsid w:val="0085156D"/>
    <w:rsid w:val="00852B28"/>
    <w:rsid w:val="0085641B"/>
    <w:rsid w:val="00857136"/>
    <w:rsid w:val="00875A6B"/>
    <w:rsid w:val="00876B70"/>
    <w:rsid w:val="00885B11"/>
    <w:rsid w:val="00886D15"/>
    <w:rsid w:val="00887DD8"/>
    <w:rsid w:val="00891BA9"/>
    <w:rsid w:val="0089289F"/>
    <w:rsid w:val="00896018"/>
    <w:rsid w:val="008960DD"/>
    <w:rsid w:val="0089635C"/>
    <w:rsid w:val="008A2B9D"/>
    <w:rsid w:val="008A3D9F"/>
    <w:rsid w:val="008A5E0B"/>
    <w:rsid w:val="008A6D59"/>
    <w:rsid w:val="008A76BC"/>
    <w:rsid w:val="008B4B03"/>
    <w:rsid w:val="008B596F"/>
    <w:rsid w:val="008C159F"/>
    <w:rsid w:val="008C1623"/>
    <w:rsid w:val="008C1850"/>
    <w:rsid w:val="008C51A9"/>
    <w:rsid w:val="008E4D05"/>
    <w:rsid w:val="008E7846"/>
    <w:rsid w:val="008F02E5"/>
    <w:rsid w:val="008F1CCC"/>
    <w:rsid w:val="008F2967"/>
    <w:rsid w:val="008F6943"/>
    <w:rsid w:val="0090180A"/>
    <w:rsid w:val="00902A21"/>
    <w:rsid w:val="0091523F"/>
    <w:rsid w:val="00920330"/>
    <w:rsid w:val="009219D7"/>
    <w:rsid w:val="00922D53"/>
    <w:rsid w:val="00923B70"/>
    <w:rsid w:val="00924482"/>
    <w:rsid w:val="00930237"/>
    <w:rsid w:val="00937C17"/>
    <w:rsid w:val="00940A89"/>
    <w:rsid w:val="00941F77"/>
    <w:rsid w:val="00946EA5"/>
    <w:rsid w:val="00963C08"/>
    <w:rsid w:val="009752A5"/>
    <w:rsid w:val="0098585A"/>
    <w:rsid w:val="009A4CED"/>
    <w:rsid w:val="009A690D"/>
    <w:rsid w:val="009B1D12"/>
    <w:rsid w:val="009B416B"/>
    <w:rsid w:val="009C4BD5"/>
    <w:rsid w:val="009D03D8"/>
    <w:rsid w:val="009D7B77"/>
    <w:rsid w:val="009E0BB0"/>
    <w:rsid w:val="009E3FBB"/>
    <w:rsid w:val="009F106E"/>
    <w:rsid w:val="009F7353"/>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60BAD"/>
    <w:rsid w:val="00A77F87"/>
    <w:rsid w:val="00A80B5B"/>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03A02"/>
    <w:rsid w:val="00B130C5"/>
    <w:rsid w:val="00B13EBD"/>
    <w:rsid w:val="00B21D29"/>
    <w:rsid w:val="00B2268B"/>
    <w:rsid w:val="00B25034"/>
    <w:rsid w:val="00B33588"/>
    <w:rsid w:val="00B33863"/>
    <w:rsid w:val="00B37D17"/>
    <w:rsid w:val="00B4175E"/>
    <w:rsid w:val="00B41C85"/>
    <w:rsid w:val="00B452CE"/>
    <w:rsid w:val="00B54C25"/>
    <w:rsid w:val="00B56707"/>
    <w:rsid w:val="00B738F3"/>
    <w:rsid w:val="00B74FCB"/>
    <w:rsid w:val="00B76B91"/>
    <w:rsid w:val="00B77EB1"/>
    <w:rsid w:val="00B811C6"/>
    <w:rsid w:val="00B855B0"/>
    <w:rsid w:val="00B92E08"/>
    <w:rsid w:val="00BB2E75"/>
    <w:rsid w:val="00BC622A"/>
    <w:rsid w:val="00BE0A78"/>
    <w:rsid w:val="00BE79F0"/>
    <w:rsid w:val="00BF046D"/>
    <w:rsid w:val="00BF1190"/>
    <w:rsid w:val="00BF3774"/>
    <w:rsid w:val="00BF5D04"/>
    <w:rsid w:val="00C009AA"/>
    <w:rsid w:val="00C1164D"/>
    <w:rsid w:val="00C12465"/>
    <w:rsid w:val="00C1398C"/>
    <w:rsid w:val="00C16861"/>
    <w:rsid w:val="00C235B1"/>
    <w:rsid w:val="00C346AB"/>
    <w:rsid w:val="00C404A6"/>
    <w:rsid w:val="00C40A36"/>
    <w:rsid w:val="00C44419"/>
    <w:rsid w:val="00C45E7B"/>
    <w:rsid w:val="00C471B1"/>
    <w:rsid w:val="00C52E24"/>
    <w:rsid w:val="00C6316B"/>
    <w:rsid w:val="00C634A9"/>
    <w:rsid w:val="00C64586"/>
    <w:rsid w:val="00C70D53"/>
    <w:rsid w:val="00C73D0B"/>
    <w:rsid w:val="00C772FF"/>
    <w:rsid w:val="00C80137"/>
    <w:rsid w:val="00C801AF"/>
    <w:rsid w:val="00C80256"/>
    <w:rsid w:val="00C94CD4"/>
    <w:rsid w:val="00C9747E"/>
    <w:rsid w:val="00CB6BC0"/>
    <w:rsid w:val="00CC19E9"/>
    <w:rsid w:val="00CC1B7C"/>
    <w:rsid w:val="00CC727F"/>
    <w:rsid w:val="00CD59B3"/>
    <w:rsid w:val="00CD79AB"/>
    <w:rsid w:val="00CE6BB1"/>
    <w:rsid w:val="00CF15C3"/>
    <w:rsid w:val="00CF2B6F"/>
    <w:rsid w:val="00CF2F3E"/>
    <w:rsid w:val="00CF499C"/>
    <w:rsid w:val="00CF58B6"/>
    <w:rsid w:val="00D0062D"/>
    <w:rsid w:val="00D017ED"/>
    <w:rsid w:val="00D040D3"/>
    <w:rsid w:val="00D04C65"/>
    <w:rsid w:val="00D153D8"/>
    <w:rsid w:val="00D201D2"/>
    <w:rsid w:val="00D224FE"/>
    <w:rsid w:val="00D23139"/>
    <w:rsid w:val="00D425BB"/>
    <w:rsid w:val="00D42757"/>
    <w:rsid w:val="00D453FA"/>
    <w:rsid w:val="00D6493E"/>
    <w:rsid w:val="00D71869"/>
    <w:rsid w:val="00D7195D"/>
    <w:rsid w:val="00D7301E"/>
    <w:rsid w:val="00D83AE1"/>
    <w:rsid w:val="00D855D4"/>
    <w:rsid w:val="00D902C9"/>
    <w:rsid w:val="00D93466"/>
    <w:rsid w:val="00DA1124"/>
    <w:rsid w:val="00DA64CB"/>
    <w:rsid w:val="00DB06B8"/>
    <w:rsid w:val="00DB160D"/>
    <w:rsid w:val="00DB6124"/>
    <w:rsid w:val="00DB750B"/>
    <w:rsid w:val="00DB75B7"/>
    <w:rsid w:val="00DC0A2F"/>
    <w:rsid w:val="00DC1948"/>
    <w:rsid w:val="00DC6E02"/>
    <w:rsid w:val="00DD28CD"/>
    <w:rsid w:val="00DE02AE"/>
    <w:rsid w:val="00DE39D1"/>
    <w:rsid w:val="00DF1D7F"/>
    <w:rsid w:val="00DF44AB"/>
    <w:rsid w:val="00DF4BE4"/>
    <w:rsid w:val="00DF6412"/>
    <w:rsid w:val="00E02382"/>
    <w:rsid w:val="00E0277A"/>
    <w:rsid w:val="00E02FB4"/>
    <w:rsid w:val="00E05F58"/>
    <w:rsid w:val="00E13FC7"/>
    <w:rsid w:val="00E15193"/>
    <w:rsid w:val="00E1608A"/>
    <w:rsid w:val="00E20571"/>
    <w:rsid w:val="00E235F7"/>
    <w:rsid w:val="00E23659"/>
    <w:rsid w:val="00E239D4"/>
    <w:rsid w:val="00E26130"/>
    <w:rsid w:val="00E40B22"/>
    <w:rsid w:val="00E44ED1"/>
    <w:rsid w:val="00E45619"/>
    <w:rsid w:val="00E4588F"/>
    <w:rsid w:val="00E45FE7"/>
    <w:rsid w:val="00E46DA3"/>
    <w:rsid w:val="00E51BB1"/>
    <w:rsid w:val="00E52F30"/>
    <w:rsid w:val="00E55373"/>
    <w:rsid w:val="00E55CB0"/>
    <w:rsid w:val="00E624A5"/>
    <w:rsid w:val="00E64BA4"/>
    <w:rsid w:val="00E7344E"/>
    <w:rsid w:val="00E82665"/>
    <w:rsid w:val="00E84D5C"/>
    <w:rsid w:val="00E904C8"/>
    <w:rsid w:val="00EB0798"/>
    <w:rsid w:val="00EB40AD"/>
    <w:rsid w:val="00EB586E"/>
    <w:rsid w:val="00EB5FC8"/>
    <w:rsid w:val="00EC45C7"/>
    <w:rsid w:val="00EC463D"/>
    <w:rsid w:val="00EC757D"/>
    <w:rsid w:val="00EC7A85"/>
    <w:rsid w:val="00ED2922"/>
    <w:rsid w:val="00ED3CAD"/>
    <w:rsid w:val="00ED5A41"/>
    <w:rsid w:val="00EE1DE8"/>
    <w:rsid w:val="00EE27C2"/>
    <w:rsid w:val="00EF4BAD"/>
    <w:rsid w:val="00EF59DC"/>
    <w:rsid w:val="00F033EC"/>
    <w:rsid w:val="00F04F68"/>
    <w:rsid w:val="00F10B3D"/>
    <w:rsid w:val="00F12670"/>
    <w:rsid w:val="00F14B27"/>
    <w:rsid w:val="00F172AF"/>
    <w:rsid w:val="00F1790A"/>
    <w:rsid w:val="00F30EFE"/>
    <w:rsid w:val="00F313FD"/>
    <w:rsid w:val="00F3148D"/>
    <w:rsid w:val="00F325C5"/>
    <w:rsid w:val="00F32FE0"/>
    <w:rsid w:val="00F35298"/>
    <w:rsid w:val="00F47333"/>
    <w:rsid w:val="00F47E37"/>
    <w:rsid w:val="00F53C07"/>
    <w:rsid w:val="00F54B65"/>
    <w:rsid w:val="00F61F96"/>
    <w:rsid w:val="00F640B6"/>
    <w:rsid w:val="00F66DF2"/>
    <w:rsid w:val="00F805BC"/>
    <w:rsid w:val="00F80E40"/>
    <w:rsid w:val="00F848D9"/>
    <w:rsid w:val="00F93968"/>
    <w:rsid w:val="00FA4399"/>
    <w:rsid w:val="00FA5069"/>
    <w:rsid w:val="00FA5B82"/>
    <w:rsid w:val="00FA639E"/>
    <w:rsid w:val="00FB062B"/>
    <w:rsid w:val="00FB5E40"/>
    <w:rsid w:val="00FC1FCA"/>
    <w:rsid w:val="00FC25E4"/>
    <w:rsid w:val="00FC4287"/>
    <w:rsid w:val="00FC4EF7"/>
    <w:rsid w:val="00FD0824"/>
    <w:rsid w:val="00FD119B"/>
    <w:rsid w:val="00FD1EDC"/>
    <w:rsid w:val="00FD2544"/>
    <w:rsid w:val="00FE1DEE"/>
    <w:rsid w:val="00FF2126"/>
    <w:rsid w:val="00FF5755"/>
    <w:rsid w:val="00FF69BE"/>
    <w:rsid w:val="00FF7952"/>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AED8E2E"/>
  <w15:docId w15:val="{25002CD0-5F11-43E2-A5CC-66329BF91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97EA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E05F58"/>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03A02"/>
    <w:pPr>
      <w:spacing w:after="180"/>
      <w:ind w:left="720"/>
      <w:contextualSpacing/>
    </w:pPr>
    <w:rPr>
      <w:szCs w:val="20"/>
    </w:rPr>
  </w:style>
  <w:style w:type="paragraph" w:customStyle="1" w:styleId="Standard">
    <w:name w:val="Standard"/>
    <w:basedOn w:val="Normal"/>
    <w:link w:val="StandardChar"/>
    <w:qFormat/>
    <w:rsid w:val="00B03A02"/>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B03A02"/>
    <w:rPr>
      <w:rFonts w:ascii="Cambria" w:eastAsia="Times New Roman" w:hAnsi="Cambria" w:cs="Times New Roman"/>
      <w:snapToGrid w:val="0"/>
      <w:kern w:val="16"/>
      <w:szCs w:val="24"/>
    </w:rPr>
  </w:style>
  <w:style w:type="paragraph" w:customStyle="1" w:styleId="Bulletpoint">
    <w:name w:val="Bullet point"/>
    <w:basedOn w:val="Standard"/>
    <w:rsid w:val="00B03A02"/>
    <w:pPr>
      <w:numPr>
        <w:numId w:val="6"/>
      </w:numPr>
      <w:tabs>
        <w:tab w:val="clear" w:pos="369"/>
        <w:tab w:val="left" w:pos="397"/>
        <w:tab w:val="num" w:pos="511"/>
      </w:tabs>
      <w:spacing w:after="180"/>
      <w:ind w:left="720" w:hanging="360"/>
    </w:pPr>
  </w:style>
  <w:style w:type="character" w:customStyle="1" w:styleId="TabletextChar">
    <w:name w:val="Table text Char"/>
    <w:basedOn w:val="StandardChar"/>
    <w:link w:val="Tabletext"/>
    <w:rsid w:val="00F313FD"/>
    <w:rPr>
      <w:rFonts w:ascii="Cambria" w:eastAsia="Cambria" w:hAnsi="Cambria" w:cs="Times New Roman"/>
      <w:snapToGrid/>
      <w:kern w:val="16"/>
      <w:sz w:val="19"/>
      <w:szCs w:val="24"/>
    </w:rPr>
  </w:style>
  <w:style w:type="paragraph" w:customStyle="1" w:styleId="Bulletlist">
    <w:name w:val="Bullet list"/>
    <w:basedOn w:val="Standard"/>
    <w:link w:val="BulletlistChar"/>
    <w:qFormat/>
    <w:rsid w:val="00F313FD"/>
    <w:pPr>
      <w:numPr>
        <w:numId w:val="8"/>
      </w:numPr>
      <w:spacing w:after="180"/>
    </w:pPr>
    <w:rPr>
      <w:kern w:val="2"/>
      <w:sz w:val="23"/>
    </w:rPr>
  </w:style>
  <w:style w:type="character" w:customStyle="1" w:styleId="BulletlistChar">
    <w:name w:val="Bullet list Char"/>
    <w:basedOn w:val="StandardChar"/>
    <w:link w:val="Bulletlist"/>
    <w:rsid w:val="00F313FD"/>
    <w:rPr>
      <w:rFonts w:ascii="Cambria" w:eastAsia="Times New Roman" w:hAnsi="Cambria" w:cs="Times New Roman"/>
      <w:snapToGrid w:val="0"/>
      <w:kern w:val="2"/>
      <w:sz w:val="23"/>
      <w:szCs w:val="24"/>
    </w:rPr>
  </w:style>
  <w:style w:type="paragraph" w:styleId="NormalIndent">
    <w:name w:val="Normal Indent"/>
    <w:basedOn w:val="Normal"/>
    <w:rsid w:val="00FF7952"/>
    <w:pPr>
      <w:spacing w:before="60" w:after="60" w:line="240" w:lineRule="auto"/>
      <w:ind w:left="720"/>
    </w:pPr>
    <w:rPr>
      <w:rFonts w:ascii="Times New Roman" w:eastAsia="Times New Roman" w:hAnsi="Times New Roman"/>
      <w:sz w:val="24"/>
      <w:szCs w:val="20"/>
    </w:rPr>
  </w:style>
  <w:style w:type="paragraph" w:customStyle="1" w:styleId="Tabletitle0">
    <w:name w:val="Table title"/>
    <w:basedOn w:val="Normal"/>
    <w:next w:val="Normal"/>
    <w:rsid w:val="00CD79AB"/>
    <w:pPr>
      <w:keepNext/>
      <w:spacing w:after="180"/>
      <w:outlineLvl w:val="4"/>
    </w:pPr>
    <w:rPr>
      <w:rFonts w:cstheme="minorBidi"/>
      <w:b/>
    </w:rPr>
  </w:style>
  <w:style w:type="paragraph" w:customStyle="1" w:styleId="Comment1">
    <w:name w:val="Comment 1"/>
    <w:basedOn w:val="Normal"/>
    <w:next w:val="Normal"/>
    <w:qFormat/>
    <w:rsid w:val="00B226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61242">
      <w:bodyDiv w:val="1"/>
      <w:marLeft w:val="0"/>
      <w:marRight w:val="0"/>
      <w:marTop w:val="0"/>
      <w:marBottom w:val="0"/>
      <w:divBdr>
        <w:top w:val="none" w:sz="0" w:space="0" w:color="auto"/>
        <w:left w:val="none" w:sz="0" w:space="0" w:color="auto"/>
        <w:bottom w:val="none" w:sz="0" w:space="0" w:color="auto"/>
        <w:right w:val="none" w:sz="0" w:space="0" w:color="auto"/>
      </w:divBdr>
    </w:div>
    <w:div w:id="274212774">
      <w:bodyDiv w:val="1"/>
      <w:marLeft w:val="0"/>
      <w:marRight w:val="0"/>
      <w:marTop w:val="0"/>
      <w:marBottom w:val="0"/>
      <w:divBdr>
        <w:top w:val="none" w:sz="0" w:space="0" w:color="auto"/>
        <w:left w:val="none" w:sz="0" w:space="0" w:color="auto"/>
        <w:bottom w:val="none" w:sz="0" w:space="0" w:color="auto"/>
        <w:right w:val="none" w:sz="0" w:space="0" w:color="auto"/>
      </w:divBdr>
      <w:divsChild>
        <w:div w:id="1443842694">
          <w:marLeft w:val="0"/>
          <w:marRight w:val="0"/>
          <w:marTop w:val="0"/>
          <w:marBottom w:val="0"/>
          <w:divBdr>
            <w:top w:val="none" w:sz="0" w:space="0" w:color="auto"/>
            <w:left w:val="none" w:sz="0" w:space="0" w:color="auto"/>
            <w:bottom w:val="none" w:sz="0" w:space="0" w:color="auto"/>
            <w:right w:val="none" w:sz="0" w:space="0" w:color="auto"/>
          </w:divBdr>
          <w:divsChild>
            <w:div w:id="1320382784">
              <w:marLeft w:val="0"/>
              <w:marRight w:val="0"/>
              <w:marTop w:val="0"/>
              <w:marBottom w:val="0"/>
              <w:divBdr>
                <w:top w:val="none" w:sz="0" w:space="0" w:color="auto"/>
                <w:left w:val="none" w:sz="0" w:space="0" w:color="auto"/>
                <w:bottom w:val="none" w:sz="0" w:space="0" w:color="auto"/>
                <w:right w:val="none" w:sz="0" w:space="0" w:color="auto"/>
              </w:divBdr>
              <w:divsChild>
                <w:div w:id="540285582">
                  <w:marLeft w:val="0"/>
                  <w:marRight w:val="0"/>
                  <w:marTop w:val="0"/>
                  <w:marBottom w:val="0"/>
                  <w:divBdr>
                    <w:top w:val="none" w:sz="0" w:space="0" w:color="auto"/>
                    <w:left w:val="none" w:sz="0" w:space="0" w:color="auto"/>
                    <w:bottom w:val="none" w:sz="0" w:space="0" w:color="auto"/>
                    <w:right w:val="none" w:sz="0" w:space="0" w:color="auto"/>
                  </w:divBdr>
                  <w:divsChild>
                    <w:div w:id="59326396">
                      <w:marLeft w:val="0"/>
                      <w:marRight w:val="0"/>
                      <w:marTop w:val="0"/>
                      <w:marBottom w:val="0"/>
                      <w:divBdr>
                        <w:top w:val="none" w:sz="0" w:space="0" w:color="auto"/>
                        <w:left w:val="none" w:sz="0" w:space="0" w:color="auto"/>
                        <w:bottom w:val="none" w:sz="0" w:space="0" w:color="auto"/>
                        <w:right w:val="none" w:sz="0" w:space="0" w:color="auto"/>
                      </w:divBdr>
                      <w:divsChild>
                        <w:div w:id="2079283306">
                          <w:marLeft w:val="0"/>
                          <w:marRight w:val="0"/>
                          <w:marTop w:val="0"/>
                          <w:marBottom w:val="0"/>
                          <w:divBdr>
                            <w:top w:val="none" w:sz="0" w:space="0" w:color="auto"/>
                            <w:left w:val="none" w:sz="0" w:space="0" w:color="auto"/>
                            <w:bottom w:val="none" w:sz="0" w:space="0" w:color="auto"/>
                            <w:right w:val="none" w:sz="0" w:space="0" w:color="auto"/>
                          </w:divBdr>
                          <w:divsChild>
                            <w:div w:id="7322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799674">
      <w:bodyDiv w:val="1"/>
      <w:marLeft w:val="0"/>
      <w:marRight w:val="0"/>
      <w:marTop w:val="0"/>
      <w:marBottom w:val="0"/>
      <w:divBdr>
        <w:top w:val="none" w:sz="0" w:space="0" w:color="auto"/>
        <w:left w:val="none" w:sz="0" w:space="0" w:color="auto"/>
        <w:bottom w:val="none" w:sz="0" w:space="0" w:color="auto"/>
        <w:right w:val="none" w:sz="0" w:space="0" w:color="auto"/>
      </w:divBdr>
    </w:div>
    <w:div w:id="1170486372">
      <w:bodyDiv w:val="1"/>
      <w:marLeft w:val="0"/>
      <w:marRight w:val="0"/>
      <w:marTop w:val="0"/>
      <w:marBottom w:val="0"/>
      <w:divBdr>
        <w:top w:val="none" w:sz="0" w:space="0" w:color="auto"/>
        <w:left w:val="none" w:sz="0" w:space="0" w:color="auto"/>
        <w:bottom w:val="none" w:sz="0" w:space="0" w:color="auto"/>
        <w:right w:val="none" w:sz="0" w:space="0" w:color="auto"/>
      </w:divBdr>
    </w:div>
    <w:div w:id="1174222449">
      <w:bodyDiv w:val="1"/>
      <w:marLeft w:val="0"/>
      <w:marRight w:val="0"/>
      <w:marTop w:val="0"/>
      <w:marBottom w:val="0"/>
      <w:divBdr>
        <w:top w:val="none" w:sz="0" w:space="0" w:color="auto"/>
        <w:left w:val="none" w:sz="0" w:space="0" w:color="auto"/>
        <w:bottom w:val="none" w:sz="0" w:space="0" w:color="auto"/>
        <w:right w:val="none" w:sz="0" w:space="0" w:color="auto"/>
      </w:divBdr>
      <w:divsChild>
        <w:div w:id="1575318618">
          <w:marLeft w:val="0"/>
          <w:marRight w:val="0"/>
          <w:marTop w:val="0"/>
          <w:marBottom w:val="0"/>
          <w:divBdr>
            <w:top w:val="none" w:sz="0" w:space="0" w:color="auto"/>
            <w:left w:val="none" w:sz="0" w:space="0" w:color="auto"/>
            <w:bottom w:val="none" w:sz="0" w:space="0" w:color="auto"/>
            <w:right w:val="none" w:sz="0" w:space="0" w:color="auto"/>
          </w:divBdr>
          <w:divsChild>
            <w:div w:id="1964580148">
              <w:marLeft w:val="0"/>
              <w:marRight w:val="0"/>
              <w:marTop w:val="0"/>
              <w:marBottom w:val="0"/>
              <w:divBdr>
                <w:top w:val="none" w:sz="0" w:space="0" w:color="auto"/>
                <w:left w:val="none" w:sz="0" w:space="0" w:color="auto"/>
                <w:bottom w:val="none" w:sz="0" w:space="0" w:color="auto"/>
                <w:right w:val="none" w:sz="0" w:space="0" w:color="auto"/>
              </w:divBdr>
              <w:divsChild>
                <w:div w:id="715666879">
                  <w:marLeft w:val="0"/>
                  <w:marRight w:val="0"/>
                  <w:marTop w:val="0"/>
                  <w:marBottom w:val="0"/>
                  <w:divBdr>
                    <w:top w:val="none" w:sz="0" w:space="0" w:color="auto"/>
                    <w:left w:val="none" w:sz="0" w:space="0" w:color="auto"/>
                    <w:bottom w:val="none" w:sz="0" w:space="0" w:color="auto"/>
                    <w:right w:val="none" w:sz="0" w:space="0" w:color="auto"/>
                  </w:divBdr>
                  <w:divsChild>
                    <w:div w:id="82997193">
                      <w:marLeft w:val="0"/>
                      <w:marRight w:val="0"/>
                      <w:marTop w:val="0"/>
                      <w:marBottom w:val="0"/>
                      <w:divBdr>
                        <w:top w:val="none" w:sz="0" w:space="0" w:color="auto"/>
                        <w:left w:val="none" w:sz="0" w:space="0" w:color="auto"/>
                        <w:bottom w:val="none" w:sz="0" w:space="0" w:color="auto"/>
                        <w:right w:val="none" w:sz="0" w:space="0" w:color="auto"/>
                      </w:divBdr>
                      <w:divsChild>
                        <w:div w:id="1554005183">
                          <w:marLeft w:val="0"/>
                          <w:marRight w:val="0"/>
                          <w:marTop w:val="0"/>
                          <w:marBottom w:val="0"/>
                          <w:divBdr>
                            <w:top w:val="none" w:sz="0" w:space="0" w:color="auto"/>
                            <w:left w:val="none" w:sz="0" w:space="0" w:color="auto"/>
                            <w:bottom w:val="none" w:sz="0" w:space="0" w:color="auto"/>
                            <w:right w:val="none" w:sz="0" w:space="0" w:color="auto"/>
                          </w:divBdr>
                          <w:divsChild>
                            <w:div w:id="19866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264626">
      <w:bodyDiv w:val="1"/>
      <w:marLeft w:val="0"/>
      <w:marRight w:val="0"/>
      <w:marTop w:val="0"/>
      <w:marBottom w:val="0"/>
      <w:divBdr>
        <w:top w:val="none" w:sz="0" w:space="0" w:color="auto"/>
        <w:left w:val="none" w:sz="0" w:space="0" w:color="auto"/>
        <w:bottom w:val="none" w:sz="0" w:space="0" w:color="auto"/>
        <w:right w:val="none" w:sz="0" w:space="0" w:color="auto"/>
      </w:divBdr>
    </w:div>
    <w:div w:id="1445736679">
      <w:bodyDiv w:val="1"/>
      <w:marLeft w:val="0"/>
      <w:marRight w:val="0"/>
      <w:marTop w:val="0"/>
      <w:marBottom w:val="0"/>
      <w:divBdr>
        <w:top w:val="none" w:sz="0" w:space="0" w:color="auto"/>
        <w:left w:val="none" w:sz="0" w:space="0" w:color="auto"/>
        <w:bottom w:val="none" w:sz="0" w:space="0" w:color="auto"/>
        <w:right w:val="none" w:sz="0" w:space="0" w:color="auto"/>
      </w:divBdr>
      <w:divsChild>
        <w:div w:id="148908104">
          <w:marLeft w:val="0"/>
          <w:marRight w:val="0"/>
          <w:marTop w:val="0"/>
          <w:marBottom w:val="0"/>
          <w:divBdr>
            <w:top w:val="none" w:sz="0" w:space="0" w:color="auto"/>
            <w:left w:val="none" w:sz="0" w:space="0" w:color="auto"/>
            <w:bottom w:val="none" w:sz="0" w:space="0" w:color="auto"/>
            <w:right w:val="none" w:sz="0" w:space="0" w:color="auto"/>
          </w:divBdr>
          <w:divsChild>
            <w:div w:id="955062861">
              <w:marLeft w:val="0"/>
              <w:marRight w:val="0"/>
              <w:marTop w:val="0"/>
              <w:marBottom w:val="0"/>
              <w:divBdr>
                <w:top w:val="none" w:sz="0" w:space="0" w:color="auto"/>
                <w:left w:val="none" w:sz="0" w:space="0" w:color="auto"/>
                <w:bottom w:val="none" w:sz="0" w:space="0" w:color="auto"/>
                <w:right w:val="none" w:sz="0" w:space="0" w:color="auto"/>
              </w:divBdr>
              <w:divsChild>
                <w:div w:id="841626219">
                  <w:marLeft w:val="0"/>
                  <w:marRight w:val="0"/>
                  <w:marTop w:val="0"/>
                  <w:marBottom w:val="0"/>
                  <w:divBdr>
                    <w:top w:val="none" w:sz="0" w:space="0" w:color="auto"/>
                    <w:left w:val="none" w:sz="0" w:space="0" w:color="auto"/>
                    <w:bottom w:val="none" w:sz="0" w:space="0" w:color="auto"/>
                    <w:right w:val="none" w:sz="0" w:space="0" w:color="auto"/>
                  </w:divBdr>
                  <w:divsChild>
                    <w:div w:id="202862681">
                      <w:marLeft w:val="0"/>
                      <w:marRight w:val="0"/>
                      <w:marTop w:val="0"/>
                      <w:marBottom w:val="0"/>
                      <w:divBdr>
                        <w:top w:val="none" w:sz="0" w:space="0" w:color="auto"/>
                        <w:left w:val="none" w:sz="0" w:space="0" w:color="auto"/>
                        <w:bottom w:val="none" w:sz="0" w:space="0" w:color="auto"/>
                        <w:right w:val="none" w:sz="0" w:space="0" w:color="auto"/>
                      </w:divBdr>
                      <w:divsChild>
                        <w:div w:id="1803379095">
                          <w:marLeft w:val="0"/>
                          <w:marRight w:val="0"/>
                          <w:marTop w:val="0"/>
                          <w:marBottom w:val="0"/>
                          <w:divBdr>
                            <w:top w:val="none" w:sz="0" w:space="0" w:color="auto"/>
                            <w:left w:val="none" w:sz="0" w:space="0" w:color="auto"/>
                            <w:bottom w:val="none" w:sz="0" w:space="0" w:color="auto"/>
                            <w:right w:val="none" w:sz="0" w:space="0" w:color="auto"/>
                          </w:divBdr>
                          <w:divsChild>
                            <w:div w:id="1686858992">
                              <w:marLeft w:val="12300"/>
                              <w:marRight w:val="0"/>
                              <w:marTop w:val="0"/>
                              <w:marBottom w:val="0"/>
                              <w:divBdr>
                                <w:top w:val="none" w:sz="0" w:space="0" w:color="auto"/>
                                <w:left w:val="none" w:sz="0" w:space="0" w:color="auto"/>
                                <w:bottom w:val="none" w:sz="0" w:space="0" w:color="auto"/>
                                <w:right w:val="none" w:sz="0" w:space="0" w:color="auto"/>
                              </w:divBdr>
                              <w:divsChild>
                                <w:div w:id="702709328">
                                  <w:marLeft w:val="0"/>
                                  <w:marRight w:val="0"/>
                                  <w:marTop w:val="0"/>
                                  <w:marBottom w:val="0"/>
                                  <w:divBdr>
                                    <w:top w:val="none" w:sz="0" w:space="0" w:color="auto"/>
                                    <w:left w:val="none" w:sz="0" w:space="0" w:color="auto"/>
                                    <w:bottom w:val="none" w:sz="0" w:space="0" w:color="auto"/>
                                    <w:right w:val="none" w:sz="0" w:space="0" w:color="auto"/>
                                  </w:divBdr>
                                  <w:divsChild>
                                    <w:div w:id="1775132740">
                                      <w:marLeft w:val="0"/>
                                      <w:marRight w:val="0"/>
                                      <w:marTop w:val="0"/>
                                      <w:marBottom w:val="405"/>
                                      <w:divBdr>
                                        <w:top w:val="none" w:sz="0" w:space="0" w:color="auto"/>
                                        <w:left w:val="none" w:sz="0" w:space="0" w:color="auto"/>
                                        <w:bottom w:val="none" w:sz="0" w:space="0" w:color="auto"/>
                                        <w:right w:val="none" w:sz="0" w:space="0" w:color="auto"/>
                                      </w:divBdr>
                                      <w:divsChild>
                                        <w:div w:id="1904947329">
                                          <w:marLeft w:val="0"/>
                                          <w:marRight w:val="0"/>
                                          <w:marTop w:val="0"/>
                                          <w:marBottom w:val="0"/>
                                          <w:divBdr>
                                            <w:top w:val="none" w:sz="0" w:space="0" w:color="auto"/>
                                            <w:left w:val="none" w:sz="0" w:space="0" w:color="auto"/>
                                            <w:bottom w:val="none" w:sz="0" w:space="0" w:color="auto"/>
                                            <w:right w:val="none" w:sz="0" w:space="0" w:color="auto"/>
                                          </w:divBdr>
                                          <w:divsChild>
                                            <w:div w:id="392585529">
                                              <w:marLeft w:val="0"/>
                                              <w:marRight w:val="0"/>
                                              <w:marTop w:val="0"/>
                                              <w:marBottom w:val="0"/>
                                              <w:divBdr>
                                                <w:top w:val="none" w:sz="0" w:space="0" w:color="auto"/>
                                                <w:left w:val="none" w:sz="0" w:space="0" w:color="auto"/>
                                                <w:bottom w:val="none" w:sz="0" w:space="0" w:color="auto"/>
                                                <w:right w:val="none" w:sz="0" w:space="0" w:color="auto"/>
                                              </w:divBdr>
                                              <w:divsChild>
                                                <w:div w:id="1308587103">
                                                  <w:marLeft w:val="0"/>
                                                  <w:marRight w:val="0"/>
                                                  <w:marTop w:val="0"/>
                                                  <w:marBottom w:val="0"/>
                                                  <w:divBdr>
                                                    <w:top w:val="none" w:sz="0" w:space="0" w:color="auto"/>
                                                    <w:left w:val="none" w:sz="0" w:space="0" w:color="auto"/>
                                                    <w:bottom w:val="none" w:sz="0" w:space="0" w:color="auto"/>
                                                    <w:right w:val="none" w:sz="0" w:space="0" w:color="auto"/>
                                                  </w:divBdr>
                                                  <w:divsChild>
                                                    <w:div w:id="1921015586">
                                                      <w:marLeft w:val="0"/>
                                                      <w:marRight w:val="0"/>
                                                      <w:marTop w:val="0"/>
                                                      <w:marBottom w:val="0"/>
                                                      <w:divBdr>
                                                        <w:top w:val="none" w:sz="0" w:space="0" w:color="auto"/>
                                                        <w:left w:val="none" w:sz="0" w:space="0" w:color="auto"/>
                                                        <w:bottom w:val="none" w:sz="0" w:space="0" w:color="auto"/>
                                                        <w:right w:val="none" w:sz="0" w:space="0" w:color="auto"/>
                                                      </w:divBdr>
                                                      <w:divsChild>
                                                        <w:div w:id="557515382">
                                                          <w:marLeft w:val="0"/>
                                                          <w:marRight w:val="0"/>
                                                          <w:marTop w:val="0"/>
                                                          <w:marBottom w:val="0"/>
                                                          <w:divBdr>
                                                            <w:top w:val="none" w:sz="0" w:space="0" w:color="auto"/>
                                                            <w:left w:val="none" w:sz="0" w:space="0" w:color="auto"/>
                                                            <w:bottom w:val="none" w:sz="0" w:space="0" w:color="auto"/>
                                                            <w:right w:val="none" w:sz="0" w:space="0" w:color="auto"/>
                                                          </w:divBdr>
                                                          <w:divsChild>
                                                            <w:div w:id="2007052659">
                                                              <w:marLeft w:val="0"/>
                                                              <w:marRight w:val="0"/>
                                                              <w:marTop w:val="0"/>
                                                              <w:marBottom w:val="0"/>
                                                              <w:divBdr>
                                                                <w:top w:val="none" w:sz="0" w:space="0" w:color="auto"/>
                                                                <w:left w:val="none" w:sz="0" w:space="0" w:color="auto"/>
                                                                <w:bottom w:val="none" w:sz="0" w:space="0" w:color="auto"/>
                                                                <w:right w:val="none" w:sz="0" w:space="0" w:color="auto"/>
                                                              </w:divBdr>
                                                              <w:divsChild>
                                                                <w:div w:id="115177670">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0"/>
                                                                      <w:marRight w:val="0"/>
                                                                      <w:marTop w:val="0"/>
                                                                      <w:marBottom w:val="0"/>
                                                                      <w:divBdr>
                                                                        <w:top w:val="none" w:sz="0" w:space="0" w:color="auto"/>
                                                                        <w:left w:val="none" w:sz="0" w:space="0" w:color="auto"/>
                                                                        <w:bottom w:val="none" w:sz="0" w:space="0" w:color="auto"/>
                                                                        <w:right w:val="none" w:sz="0" w:space="0" w:color="auto"/>
                                                                      </w:divBdr>
                                                                      <w:divsChild>
                                                                        <w:div w:id="2066752654">
                                                                          <w:marLeft w:val="0"/>
                                                                          <w:marRight w:val="0"/>
                                                                          <w:marTop w:val="0"/>
                                                                          <w:marBottom w:val="0"/>
                                                                          <w:divBdr>
                                                                            <w:top w:val="none" w:sz="0" w:space="0" w:color="auto"/>
                                                                            <w:left w:val="none" w:sz="0" w:space="0" w:color="auto"/>
                                                                            <w:bottom w:val="none" w:sz="0" w:space="0" w:color="auto"/>
                                                                            <w:right w:val="none" w:sz="0" w:space="0" w:color="auto"/>
                                                                          </w:divBdr>
                                                                          <w:divsChild>
                                                                            <w:div w:id="664435891">
                                                                              <w:marLeft w:val="0"/>
                                                                              <w:marRight w:val="0"/>
                                                                              <w:marTop w:val="0"/>
                                                                              <w:marBottom w:val="0"/>
                                                                              <w:divBdr>
                                                                                <w:top w:val="none" w:sz="0" w:space="0" w:color="auto"/>
                                                                                <w:left w:val="none" w:sz="0" w:space="0" w:color="auto"/>
                                                                                <w:bottom w:val="none" w:sz="0" w:space="0" w:color="auto"/>
                                                                                <w:right w:val="none" w:sz="0" w:space="0" w:color="auto"/>
                                                                              </w:divBdr>
                                                                              <w:divsChild>
                                                                                <w:div w:id="16950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146094">
      <w:bodyDiv w:val="1"/>
      <w:marLeft w:val="0"/>
      <w:marRight w:val="0"/>
      <w:marTop w:val="0"/>
      <w:marBottom w:val="0"/>
      <w:divBdr>
        <w:top w:val="none" w:sz="0" w:space="0" w:color="auto"/>
        <w:left w:val="none" w:sz="0" w:space="0" w:color="auto"/>
        <w:bottom w:val="none" w:sz="0" w:space="0" w:color="auto"/>
        <w:right w:val="none" w:sz="0" w:space="0" w:color="auto"/>
      </w:divBdr>
    </w:div>
    <w:div w:id="199756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hyperlink" Target="mailto:info@tga.gov.au" TargetMode="Externa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yperlink" Target="https://www.tga.gov.au/product-information-pi" TargetMode="External"/><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hyperlink" Target="https://www.tga.gov.au" TargetMode="External"/><Relationship Id="rId48" Type="http://schemas.openxmlformats.org/officeDocument/2006/relationships/footer" Target="footer6.xml"/><Relationship Id="rId8" Type="http://schemas.openxmlformats.org/officeDocument/2006/relationships/hyperlink" Target="https://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B762E-85ED-4295-B789-B63FF0229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11370</Words>
  <Characters>62655</Characters>
  <Application>Microsoft Office Word</Application>
  <DocSecurity>0</DocSecurity>
  <Lines>2724</Lines>
  <Paragraphs>1805</Paragraphs>
  <ScaleCrop>false</ScaleCrop>
  <HeadingPairs>
    <vt:vector size="2" baseType="variant">
      <vt:variant>
        <vt:lpstr>Title</vt:lpstr>
      </vt:variant>
      <vt:variant>
        <vt:i4>1</vt:i4>
      </vt:variant>
    </vt:vector>
  </HeadingPairs>
  <TitlesOfParts>
    <vt:vector size="1" baseType="lpstr">
      <vt:lpstr>Australian public assessment for Stiripentol</vt:lpstr>
    </vt:vector>
  </TitlesOfParts>
  <Company>Department of Health Therapeutic Goods Administration</Company>
  <LinksUpToDate>false</LinksUpToDate>
  <CharactersWithSpaces>72220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Stiripentol</dc:title>
  <dc:subject>prescription medicines</dc:subject>
  <dc:creator>Therapeutic Goods Administration</dc:creator>
  <cp:keywords>AusPAR</cp:keywords>
  <cp:lastPrinted>2019-08-14T04:30:00Z</cp:lastPrinted>
  <dcterms:created xsi:type="dcterms:W3CDTF">2019-12-19T00:48:00Z</dcterms:created>
  <dcterms:modified xsi:type="dcterms:W3CDTF">2019-12-19T00:48:00Z</dcterms:modified>
  <cp:category/>
</cp:coreProperties>
</file>