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E70236E" w14:textId="77777777" w:rsidTr="00BF1190">
        <w:trPr>
          <w:trHeight w:val="1863"/>
        </w:trPr>
        <w:tc>
          <w:tcPr>
            <w:tcW w:w="3652" w:type="dxa"/>
            <w:tcBorders>
              <w:top w:val="nil"/>
              <w:left w:val="nil"/>
              <w:bottom w:val="nil"/>
              <w:right w:val="nil"/>
            </w:tcBorders>
          </w:tcPr>
          <w:p w14:paraId="71A9E982" w14:textId="5EF967F0" w:rsidR="008E7846" w:rsidRPr="00096AA7" w:rsidRDefault="00E62707" w:rsidP="00096AA7">
            <w:pPr>
              <w:rPr>
                <w:rFonts w:ascii="Arial" w:hAnsi="Arial" w:cs="Arial"/>
                <w:b/>
                <w:color w:val="002C47"/>
                <w:sz w:val="36"/>
                <w:szCs w:val="36"/>
              </w:rPr>
            </w:pPr>
            <w:r>
              <w:rPr>
                <w:rFonts w:ascii="Arial" w:hAnsi="Arial" w:cs="Arial"/>
                <w:b/>
                <w:color w:val="002C47"/>
                <w:sz w:val="36"/>
                <w:szCs w:val="36"/>
              </w:rPr>
              <w:t>August</w:t>
            </w:r>
            <w:r w:rsidR="00C346AB">
              <w:rPr>
                <w:rFonts w:ascii="Arial" w:hAnsi="Arial" w:cs="Arial"/>
                <w:b/>
                <w:color w:val="002C47"/>
                <w:sz w:val="36"/>
                <w:szCs w:val="36"/>
              </w:rPr>
              <w:t xml:space="preserve"> </w:t>
            </w:r>
            <w:r>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6E4A4BE" w14:textId="77777777" w:rsidTr="0032583B">
        <w:trPr>
          <w:trHeight w:val="868"/>
        </w:trPr>
        <w:tc>
          <w:tcPr>
            <w:tcW w:w="9079" w:type="dxa"/>
          </w:tcPr>
          <w:p w14:paraId="4F0BE889" w14:textId="2033DD6E"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r w:rsidR="00E62707">
              <w:rPr>
                <w:color w:val="FFFFFF" w:themeColor="background1"/>
              </w:rPr>
              <w:t>Sotrovimab</w:t>
            </w:r>
          </w:p>
        </w:tc>
      </w:tr>
      <w:tr w:rsidR="0032583B" w:rsidRPr="00B64760" w14:paraId="38190177" w14:textId="77777777" w:rsidTr="0032583B">
        <w:tc>
          <w:tcPr>
            <w:tcW w:w="9079" w:type="dxa"/>
          </w:tcPr>
          <w:p w14:paraId="5C90BFC0" w14:textId="0B2F560E" w:rsidR="0032583B" w:rsidRPr="008E7846" w:rsidRDefault="0032583B" w:rsidP="00460036">
            <w:pPr>
              <w:pStyle w:val="Subtitle"/>
              <w:rPr>
                <w:color w:val="FFFFFF" w:themeColor="background1"/>
              </w:rPr>
            </w:pPr>
            <w:r w:rsidRPr="008E7846">
              <w:rPr>
                <w:color w:val="FFFFFF" w:themeColor="background1"/>
              </w:rPr>
              <w:t xml:space="preserve">Proprietary Product Name: </w:t>
            </w:r>
            <w:r w:rsidR="00E62707">
              <w:rPr>
                <w:color w:val="FFFFFF" w:themeColor="background1"/>
              </w:rPr>
              <w:t>Xevudy</w:t>
            </w:r>
          </w:p>
        </w:tc>
      </w:tr>
      <w:tr w:rsidR="0032583B" w:rsidRPr="00B64760" w14:paraId="43E9DC13" w14:textId="77777777" w:rsidTr="0032583B">
        <w:trPr>
          <w:trHeight w:val="486"/>
        </w:trPr>
        <w:tc>
          <w:tcPr>
            <w:tcW w:w="9079" w:type="dxa"/>
          </w:tcPr>
          <w:p w14:paraId="325A0E78" w14:textId="64DC8B56" w:rsidR="0032583B" w:rsidRPr="008E7846" w:rsidRDefault="00460036" w:rsidP="0032583B">
            <w:pPr>
              <w:pStyle w:val="Subtitle"/>
              <w:rPr>
                <w:color w:val="FFFFFF" w:themeColor="background1"/>
              </w:rPr>
            </w:pPr>
            <w:r>
              <w:rPr>
                <w:color w:val="FFFFFF" w:themeColor="background1"/>
              </w:rPr>
              <w:t>Sponsor:</w:t>
            </w:r>
            <w:r w:rsidR="00E62707">
              <w:rPr>
                <w:color w:val="FFFFFF" w:themeColor="background1"/>
              </w:rPr>
              <w:t xml:space="preserve"> GlaxoSmithKline Australia Pty Ltd</w:t>
            </w:r>
          </w:p>
        </w:tc>
      </w:tr>
    </w:tbl>
    <w:p w14:paraId="7DAC8D81" w14:textId="77777777" w:rsidR="008E7846" w:rsidRPr="0085156D" w:rsidRDefault="008E7846" w:rsidP="0085156D">
      <w:r w:rsidRPr="0085156D">
        <w:br w:type="page"/>
      </w:r>
    </w:p>
    <w:p w14:paraId="5FBD8E70" w14:textId="77777777" w:rsidR="008E7846" w:rsidRPr="001F6CBA" w:rsidRDefault="008E7846" w:rsidP="008E7846">
      <w:pPr>
        <w:pStyle w:val="NonTOCHeading2"/>
      </w:pPr>
      <w:r w:rsidRPr="001F6CBA">
        <w:lastRenderedPageBreak/>
        <w:t>About the Therapeutic Goods Administration (TGA)</w:t>
      </w:r>
    </w:p>
    <w:p w14:paraId="060E5334"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E9AB6AC"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05EDAF2"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202568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EBD2524" w14:textId="48A6EDD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3946E292" w14:textId="77777777" w:rsidR="008E7846" w:rsidRDefault="008E7846" w:rsidP="00875A6B">
      <w:pPr>
        <w:pStyle w:val="NonTOCHeading2"/>
      </w:pPr>
      <w:r>
        <w:t>About AusPARs</w:t>
      </w:r>
    </w:p>
    <w:p w14:paraId="6F6EC4B1"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77CA959" w14:textId="77777777" w:rsidR="008E7846" w:rsidRDefault="008E7846" w:rsidP="008E7846">
      <w:pPr>
        <w:pStyle w:val="ListBullet"/>
        <w:numPr>
          <w:ilvl w:val="0"/>
          <w:numId w:val="3"/>
        </w:numPr>
        <w:ind w:left="357" w:hanging="357"/>
      </w:pPr>
      <w:r>
        <w:t>AusPARs are prepared and published by the TGA.</w:t>
      </w:r>
    </w:p>
    <w:p w14:paraId="5479764D"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52BC3FF0"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AEDBD78"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D8A71EC" w14:textId="77777777" w:rsidR="00924482" w:rsidRPr="00DF1D7F" w:rsidRDefault="00924482" w:rsidP="00F54B65">
      <w:pPr>
        <w:pStyle w:val="LegalSubheading"/>
        <w:spacing w:before="3120"/>
      </w:pPr>
      <w:r w:rsidRPr="00DF1D7F">
        <w:t>Copyright</w:t>
      </w:r>
    </w:p>
    <w:p w14:paraId="33412F98" w14:textId="46FF29BF"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w:t>
        </w:r>
        <w:r w:rsidR="00E62707">
          <w:rPr>
            <w:rStyle w:val="Hyperlink"/>
            <w:rFonts w:cs="Arial"/>
            <w:lang w:val="en-GB"/>
          </w:rPr>
          <w:t xml:space="preserve"> </w:t>
        </w:r>
        <w:r w:rsidRPr="00191B3B">
          <w:rPr>
            <w:rStyle w:val="Hyperlink"/>
            <w:rFonts w:cs="Arial"/>
            <w:lang w:val="en-GB"/>
          </w:rPr>
          <w:t>.gov.au</w:t>
        </w:r>
      </w:hyperlink>
      <w:r w:rsidRPr="00191B3B">
        <w:rPr>
          <w:rFonts w:cs="Arial"/>
        </w:rPr>
        <w:t>&gt;.</w:t>
      </w:r>
    </w:p>
    <w:p w14:paraId="66CBB149"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F5D19E8" w14:textId="77777777" w:rsidR="0089635C" w:rsidRPr="0089635C" w:rsidRDefault="0089635C" w:rsidP="0010788A">
          <w:pPr>
            <w:pStyle w:val="Contents"/>
          </w:pPr>
          <w:r w:rsidRPr="0010788A">
            <w:t>Contents</w:t>
          </w:r>
        </w:p>
        <w:p w14:paraId="053D3B44" w14:textId="7AB21C16" w:rsidR="00F601F5"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80080850" w:history="1">
            <w:r w:rsidR="00F601F5" w:rsidRPr="001A36B2">
              <w:rPr>
                <w:rStyle w:val="Hyperlink"/>
                <w:noProof/>
              </w:rPr>
              <w:t>List of abbreviations</w:t>
            </w:r>
            <w:r w:rsidR="00F601F5">
              <w:rPr>
                <w:noProof/>
                <w:webHidden/>
              </w:rPr>
              <w:tab/>
            </w:r>
            <w:r w:rsidR="00F601F5">
              <w:rPr>
                <w:noProof/>
                <w:webHidden/>
              </w:rPr>
              <w:fldChar w:fldCharType="begin"/>
            </w:r>
            <w:r w:rsidR="00F601F5">
              <w:rPr>
                <w:noProof/>
                <w:webHidden/>
              </w:rPr>
              <w:instrText xml:space="preserve"> PAGEREF _Toc80080850 \h </w:instrText>
            </w:r>
            <w:r w:rsidR="00F601F5">
              <w:rPr>
                <w:noProof/>
                <w:webHidden/>
              </w:rPr>
            </w:r>
            <w:r w:rsidR="00F601F5">
              <w:rPr>
                <w:noProof/>
                <w:webHidden/>
              </w:rPr>
              <w:fldChar w:fldCharType="separate"/>
            </w:r>
            <w:r w:rsidR="00F601F5">
              <w:rPr>
                <w:noProof/>
                <w:webHidden/>
              </w:rPr>
              <w:t>4</w:t>
            </w:r>
            <w:r w:rsidR="00F601F5">
              <w:rPr>
                <w:noProof/>
                <w:webHidden/>
              </w:rPr>
              <w:fldChar w:fldCharType="end"/>
            </w:r>
          </w:hyperlink>
        </w:p>
        <w:p w14:paraId="191757AD" w14:textId="264B1D8C" w:rsidR="00F601F5" w:rsidRDefault="005C4FB0">
          <w:pPr>
            <w:pStyle w:val="TOC1"/>
            <w:rPr>
              <w:rFonts w:asciiTheme="minorHAnsi" w:eastAsiaTheme="minorEastAsia" w:hAnsiTheme="minorHAnsi" w:cstheme="minorBidi"/>
              <w:b w:val="0"/>
              <w:noProof/>
              <w:sz w:val="22"/>
              <w:lang w:eastAsia="en-AU"/>
            </w:rPr>
          </w:pPr>
          <w:hyperlink w:anchor="_Toc80080851" w:history="1">
            <w:r w:rsidR="00F601F5" w:rsidRPr="001A36B2">
              <w:rPr>
                <w:rStyle w:val="Hyperlink"/>
                <w:noProof/>
              </w:rPr>
              <w:t>I. Introduction to product submission</w:t>
            </w:r>
            <w:r w:rsidR="00F601F5">
              <w:rPr>
                <w:noProof/>
                <w:webHidden/>
              </w:rPr>
              <w:tab/>
            </w:r>
            <w:r w:rsidR="00F601F5">
              <w:rPr>
                <w:noProof/>
                <w:webHidden/>
              </w:rPr>
              <w:fldChar w:fldCharType="begin"/>
            </w:r>
            <w:r w:rsidR="00F601F5">
              <w:rPr>
                <w:noProof/>
                <w:webHidden/>
              </w:rPr>
              <w:instrText xml:space="preserve"> PAGEREF _Toc80080851 \h </w:instrText>
            </w:r>
            <w:r w:rsidR="00F601F5">
              <w:rPr>
                <w:noProof/>
                <w:webHidden/>
              </w:rPr>
            </w:r>
            <w:r w:rsidR="00F601F5">
              <w:rPr>
                <w:noProof/>
                <w:webHidden/>
              </w:rPr>
              <w:fldChar w:fldCharType="separate"/>
            </w:r>
            <w:r w:rsidR="00F601F5">
              <w:rPr>
                <w:noProof/>
                <w:webHidden/>
              </w:rPr>
              <w:t>6</w:t>
            </w:r>
            <w:r w:rsidR="00F601F5">
              <w:rPr>
                <w:noProof/>
                <w:webHidden/>
              </w:rPr>
              <w:fldChar w:fldCharType="end"/>
            </w:r>
          </w:hyperlink>
        </w:p>
        <w:p w14:paraId="2F8B55A0" w14:textId="26F2CA5D" w:rsidR="00F601F5" w:rsidRDefault="005C4FB0">
          <w:pPr>
            <w:pStyle w:val="TOC2"/>
            <w:rPr>
              <w:rFonts w:asciiTheme="minorHAnsi" w:eastAsiaTheme="minorEastAsia" w:hAnsiTheme="minorHAnsi" w:cstheme="minorBidi"/>
              <w:b w:val="0"/>
              <w:noProof/>
              <w:sz w:val="22"/>
              <w:lang w:eastAsia="en-AU"/>
            </w:rPr>
          </w:pPr>
          <w:hyperlink w:anchor="_Toc80080852" w:history="1">
            <w:r w:rsidR="00F601F5" w:rsidRPr="001A36B2">
              <w:rPr>
                <w:rStyle w:val="Hyperlink"/>
                <w:noProof/>
                <w:lang w:eastAsia="en-AU"/>
              </w:rPr>
              <w:t>Submission details</w:t>
            </w:r>
            <w:r w:rsidR="00F601F5">
              <w:rPr>
                <w:noProof/>
                <w:webHidden/>
              </w:rPr>
              <w:tab/>
            </w:r>
            <w:r w:rsidR="00F601F5">
              <w:rPr>
                <w:noProof/>
                <w:webHidden/>
              </w:rPr>
              <w:fldChar w:fldCharType="begin"/>
            </w:r>
            <w:r w:rsidR="00F601F5">
              <w:rPr>
                <w:noProof/>
                <w:webHidden/>
              </w:rPr>
              <w:instrText xml:space="preserve"> PAGEREF _Toc80080852 \h </w:instrText>
            </w:r>
            <w:r w:rsidR="00F601F5">
              <w:rPr>
                <w:noProof/>
                <w:webHidden/>
              </w:rPr>
            </w:r>
            <w:r w:rsidR="00F601F5">
              <w:rPr>
                <w:noProof/>
                <w:webHidden/>
              </w:rPr>
              <w:fldChar w:fldCharType="separate"/>
            </w:r>
            <w:r w:rsidR="00F601F5">
              <w:rPr>
                <w:noProof/>
                <w:webHidden/>
              </w:rPr>
              <w:t>6</w:t>
            </w:r>
            <w:r w:rsidR="00F601F5">
              <w:rPr>
                <w:noProof/>
                <w:webHidden/>
              </w:rPr>
              <w:fldChar w:fldCharType="end"/>
            </w:r>
          </w:hyperlink>
        </w:p>
        <w:p w14:paraId="0F60A36F" w14:textId="7549CA7B" w:rsidR="00F601F5" w:rsidRDefault="005C4FB0">
          <w:pPr>
            <w:pStyle w:val="TOC2"/>
            <w:rPr>
              <w:rFonts w:asciiTheme="minorHAnsi" w:eastAsiaTheme="minorEastAsia" w:hAnsiTheme="minorHAnsi" w:cstheme="minorBidi"/>
              <w:b w:val="0"/>
              <w:noProof/>
              <w:sz w:val="22"/>
              <w:lang w:eastAsia="en-AU"/>
            </w:rPr>
          </w:pPr>
          <w:hyperlink w:anchor="_Toc80080853" w:history="1">
            <w:r w:rsidR="00F601F5" w:rsidRPr="001A36B2">
              <w:rPr>
                <w:rStyle w:val="Hyperlink"/>
                <w:noProof/>
              </w:rPr>
              <w:t>Product background</w:t>
            </w:r>
            <w:r w:rsidR="00F601F5">
              <w:rPr>
                <w:noProof/>
                <w:webHidden/>
              </w:rPr>
              <w:tab/>
            </w:r>
            <w:r w:rsidR="00F601F5">
              <w:rPr>
                <w:noProof/>
                <w:webHidden/>
              </w:rPr>
              <w:fldChar w:fldCharType="begin"/>
            </w:r>
            <w:r w:rsidR="00F601F5">
              <w:rPr>
                <w:noProof/>
                <w:webHidden/>
              </w:rPr>
              <w:instrText xml:space="preserve"> PAGEREF _Toc80080853 \h </w:instrText>
            </w:r>
            <w:r w:rsidR="00F601F5">
              <w:rPr>
                <w:noProof/>
                <w:webHidden/>
              </w:rPr>
            </w:r>
            <w:r w:rsidR="00F601F5">
              <w:rPr>
                <w:noProof/>
                <w:webHidden/>
              </w:rPr>
              <w:fldChar w:fldCharType="separate"/>
            </w:r>
            <w:r w:rsidR="00F601F5">
              <w:rPr>
                <w:noProof/>
                <w:webHidden/>
              </w:rPr>
              <w:t>7</w:t>
            </w:r>
            <w:r w:rsidR="00F601F5">
              <w:rPr>
                <w:noProof/>
                <w:webHidden/>
              </w:rPr>
              <w:fldChar w:fldCharType="end"/>
            </w:r>
          </w:hyperlink>
        </w:p>
        <w:p w14:paraId="096A97AB" w14:textId="78475B56" w:rsidR="00F601F5" w:rsidRDefault="005C4FB0">
          <w:pPr>
            <w:pStyle w:val="TOC2"/>
            <w:rPr>
              <w:rFonts w:asciiTheme="minorHAnsi" w:eastAsiaTheme="minorEastAsia" w:hAnsiTheme="minorHAnsi" w:cstheme="minorBidi"/>
              <w:b w:val="0"/>
              <w:noProof/>
              <w:sz w:val="22"/>
              <w:lang w:eastAsia="en-AU"/>
            </w:rPr>
          </w:pPr>
          <w:hyperlink w:anchor="_Toc80080854" w:history="1">
            <w:r w:rsidR="00F601F5" w:rsidRPr="001A36B2">
              <w:rPr>
                <w:rStyle w:val="Hyperlink"/>
                <w:noProof/>
              </w:rPr>
              <w:t>Regulatory status</w:t>
            </w:r>
            <w:r w:rsidR="00F601F5">
              <w:rPr>
                <w:noProof/>
                <w:webHidden/>
              </w:rPr>
              <w:tab/>
            </w:r>
            <w:r w:rsidR="00F601F5">
              <w:rPr>
                <w:noProof/>
                <w:webHidden/>
              </w:rPr>
              <w:fldChar w:fldCharType="begin"/>
            </w:r>
            <w:r w:rsidR="00F601F5">
              <w:rPr>
                <w:noProof/>
                <w:webHidden/>
              </w:rPr>
              <w:instrText xml:space="preserve"> PAGEREF _Toc80080854 \h </w:instrText>
            </w:r>
            <w:r w:rsidR="00F601F5">
              <w:rPr>
                <w:noProof/>
                <w:webHidden/>
              </w:rPr>
            </w:r>
            <w:r w:rsidR="00F601F5">
              <w:rPr>
                <w:noProof/>
                <w:webHidden/>
              </w:rPr>
              <w:fldChar w:fldCharType="separate"/>
            </w:r>
            <w:r w:rsidR="00F601F5">
              <w:rPr>
                <w:noProof/>
                <w:webHidden/>
              </w:rPr>
              <w:t>9</w:t>
            </w:r>
            <w:r w:rsidR="00F601F5">
              <w:rPr>
                <w:noProof/>
                <w:webHidden/>
              </w:rPr>
              <w:fldChar w:fldCharType="end"/>
            </w:r>
          </w:hyperlink>
        </w:p>
        <w:p w14:paraId="59493364" w14:textId="72C12A2B" w:rsidR="00F601F5" w:rsidRDefault="005C4FB0">
          <w:pPr>
            <w:pStyle w:val="TOC2"/>
            <w:rPr>
              <w:rFonts w:asciiTheme="minorHAnsi" w:eastAsiaTheme="minorEastAsia" w:hAnsiTheme="minorHAnsi" w:cstheme="minorBidi"/>
              <w:b w:val="0"/>
              <w:noProof/>
              <w:sz w:val="22"/>
              <w:lang w:eastAsia="en-AU"/>
            </w:rPr>
          </w:pPr>
          <w:hyperlink w:anchor="_Toc80080855" w:history="1">
            <w:r w:rsidR="00F601F5" w:rsidRPr="001A36B2">
              <w:rPr>
                <w:rStyle w:val="Hyperlink"/>
                <w:noProof/>
              </w:rPr>
              <w:t>Product Information</w:t>
            </w:r>
            <w:r w:rsidR="00F601F5">
              <w:rPr>
                <w:noProof/>
                <w:webHidden/>
              </w:rPr>
              <w:tab/>
            </w:r>
            <w:r w:rsidR="00F601F5">
              <w:rPr>
                <w:noProof/>
                <w:webHidden/>
              </w:rPr>
              <w:fldChar w:fldCharType="begin"/>
            </w:r>
            <w:r w:rsidR="00F601F5">
              <w:rPr>
                <w:noProof/>
                <w:webHidden/>
              </w:rPr>
              <w:instrText xml:space="preserve"> PAGEREF _Toc80080855 \h </w:instrText>
            </w:r>
            <w:r w:rsidR="00F601F5">
              <w:rPr>
                <w:noProof/>
                <w:webHidden/>
              </w:rPr>
            </w:r>
            <w:r w:rsidR="00F601F5">
              <w:rPr>
                <w:noProof/>
                <w:webHidden/>
              </w:rPr>
              <w:fldChar w:fldCharType="separate"/>
            </w:r>
            <w:r w:rsidR="00F601F5">
              <w:rPr>
                <w:noProof/>
                <w:webHidden/>
              </w:rPr>
              <w:t>11</w:t>
            </w:r>
            <w:r w:rsidR="00F601F5">
              <w:rPr>
                <w:noProof/>
                <w:webHidden/>
              </w:rPr>
              <w:fldChar w:fldCharType="end"/>
            </w:r>
          </w:hyperlink>
        </w:p>
        <w:p w14:paraId="68456CFA" w14:textId="25114727" w:rsidR="00F601F5" w:rsidRDefault="005C4FB0">
          <w:pPr>
            <w:pStyle w:val="TOC1"/>
            <w:rPr>
              <w:rFonts w:asciiTheme="minorHAnsi" w:eastAsiaTheme="minorEastAsia" w:hAnsiTheme="minorHAnsi" w:cstheme="minorBidi"/>
              <w:b w:val="0"/>
              <w:noProof/>
              <w:sz w:val="22"/>
              <w:lang w:eastAsia="en-AU"/>
            </w:rPr>
          </w:pPr>
          <w:hyperlink w:anchor="_Toc80080856" w:history="1">
            <w:r w:rsidR="00F601F5" w:rsidRPr="001A36B2">
              <w:rPr>
                <w:rStyle w:val="Hyperlink"/>
                <w:noProof/>
              </w:rPr>
              <w:t>II. Registration timeline</w:t>
            </w:r>
            <w:r w:rsidR="00F601F5">
              <w:rPr>
                <w:noProof/>
                <w:webHidden/>
              </w:rPr>
              <w:tab/>
            </w:r>
            <w:r w:rsidR="00F601F5">
              <w:rPr>
                <w:noProof/>
                <w:webHidden/>
              </w:rPr>
              <w:fldChar w:fldCharType="begin"/>
            </w:r>
            <w:r w:rsidR="00F601F5">
              <w:rPr>
                <w:noProof/>
                <w:webHidden/>
              </w:rPr>
              <w:instrText xml:space="preserve"> PAGEREF _Toc80080856 \h </w:instrText>
            </w:r>
            <w:r w:rsidR="00F601F5">
              <w:rPr>
                <w:noProof/>
                <w:webHidden/>
              </w:rPr>
            </w:r>
            <w:r w:rsidR="00F601F5">
              <w:rPr>
                <w:noProof/>
                <w:webHidden/>
              </w:rPr>
              <w:fldChar w:fldCharType="separate"/>
            </w:r>
            <w:r w:rsidR="00F601F5">
              <w:rPr>
                <w:noProof/>
                <w:webHidden/>
              </w:rPr>
              <w:t>11</w:t>
            </w:r>
            <w:r w:rsidR="00F601F5">
              <w:rPr>
                <w:noProof/>
                <w:webHidden/>
              </w:rPr>
              <w:fldChar w:fldCharType="end"/>
            </w:r>
          </w:hyperlink>
        </w:p>
        <w:p w14:paraId="4A729101" w14:textId="314B35D2" w:rsidR="00F601F5" w:rsidRDefault="005C4FB0">
          <w:pPr>
            <w:pStyle w:val="TOC1"/>
            <w:rPr>
              <w:rFonts w:asciiTheme="minorHAnsi" w:eastAsiaTheme="minorEastAsia" w:hAnsiTheme="minorHAnsi" w:cstheme="minorBidi"/>
              <w:b w:val="0"/>
              <w:noProof/>
              <w:sz w:val="22"/>
              <w:lang w:eastAsia="en-AU"/>
            </w:rPr>
          </w:pPr>
          <w:hyperlink w:anchor="_Toc80080857" w:history="1">
            <w:r w:rsidR="00F601F5" w:rsidRPr="001A36B2">
              <w:rPr>
                <w:rStyle w:val="Hyperlink"/>
                <w:noProof/>
              </w:rPr>
              <w:t>III. Submission overview and risk/benefit assessment</w:t>
            </w:r>
            <w:r w:rsidR="00F601F5">
              <w:rPr>
                <w:noProof/>
                <w:webHidden/>
              </w:rPr>
              <w:tab/>
            </w:r>
            <w:r w:rsidR="00F601F5">
              <w:rPr>
                <w:noProof/>
                <w:webHidden/>
              </w:rPr>
              <w:fldChar w:fldCharType="begin"/>
            </w:r>
            <w:r w:rsidR="00F601F5">
              <w:rPr>
                <w:noProof/>
                <w:webHidden/>
              </w:rPr>
              <w:instrText xml:space="preserve"> PAGEREF _Toc80080857 \h </w:instrText>
            </w:r>
            <w:r w:rsidR="00F601F5">
              <w:rPr>
                <w:noProof/>
                <w:webHidden/>
              </w:rPr>
            </w:r>
            <w:r w:rsidR="00F601F5">
              <w:rPr>
                <w:noProof/>
                <w:webHidden/>
              </w:rPr>
              <w:fldChar w:fldCharType="separate"/>
            </w:r>
            <w:r w:rsidR="00F601F5">
              <w:rPr>
                <w:noProof/>
                <w:webHidden/>
              </w:rPr>
              <w:t>12</w:t>
            </w:r>
            <w:r w:rsidR="00F601F5">
              <w:rPr>
                <w:noProof/>
                <w:webHidden/>
              </w:rPr>
              <w:fldChar w:fldCharType="end"/>
            </w:r>
          </w:hyperlink>
        </w:p>
        <w:p w14:paraId="2831B991" w14:textId="6D851BD9" w:rsidR="00F601F5" w:rsidRDefault="005C4FB0">
          <w:pPr>
            <w:pStyle w:val="TOC2"/>
            <w:rPr>
              <w:rFonts w:asciiTheme="minorHAnsi" w:eastAsiaTheme="minorEastAsia" w:hAnsiTheme="minorHAnsi" w:cstheme="minorBidi"/>
              <w:b w:val="0"/>
              <w:noProof/>
              <w:sz w:val="22"/>
              <w:lang w:eastAsia="en-AU"/>
            </w:rPr>
          </w:pPr>
          <w:hyperlink w:anchor="_Toc80080858" w:history="1">
            <w:r w:rsidR="00F601F5" w:rsidRPr="001A36B2">
              <w:rPr>
                <w:rStyle w:val="Hyperlink"/>
                <w:noProof/>
              </w:rPr>
              <w:t>Quality</w:t>
            </w:r>
            <w:r w:rsidR="00F601F5">
              <w:rPr>
                <w:noProof/>
                <w:webHidden/>
              </w:rPr>
              <w:tab/>
            </w:r>
            <w:r w:rsidR="00F601F5">
              <w:rPr>
                <w:noProof/>
                <w:webHidden/>
              </w:rPr>
              <w:fldChar w:fldCharType="begin"/>
            </w:r>
            <w:r w:rsidR="00F601F5">
              <w:rPr>
                <w:noProof/>
                <w:webHidden/>
              </w:rPr>
              <w:instrText xml:space="preserve"> PAGEREF _Toc80080858 \h </w:instrText>
            </w:r>
            <w:r w:rsidR="00F601F5">
              <w:rPr>
                <w:noProof/>
                <w:webHidden/>
              </w:rPr>
            </w:r>
            <w:r w:rsidR="00F601F5">
              <w:rPr>
                <w:noProof/>
                <w:webHidden/>
              </w:rPr>
              <w:fldChar w:fldCharType="separate"/>
            </w:r>
            <w:r w:rsidR="00F601F5">
              <w:rPr>
                <w:noProof/>
                <w:webHidden/>
              </w:rPr>
              <w:t>12</w:t>
            </w:r>
            <w:r w:rsidR="00F601F5">
              <w:rPr>
                <w:noProof/>
                <w:webHidden/>
              </w:rPr>
              <w:fldChar w:fldCharType="end"/>
            </w:r>
          </w:hyperlink>
        </w:p>
        <w:p w14:paraId="16A8C03A" w14:textId="4A7B753E" w:rsidR="00F601F5" w:rsidRDefault="005C4FB0">
          <w:pPr>
            <w:pStyle w:val="TOC2"/>
            <w:rPr>
              <w:rFonts w:asciiTheme="minorHAnsi" w:eastAsiaTheme="minorEastAsia" w:hAnsiTheme="minorHAnsi" w:cstheme="minorBidi"/>
              <w:b w:val="0"/>
              <w:noProof/>
              <w:sz w:val="22"/>
              <w:lang w:eastAsia="en-AU"/>
            </w:rPr>
          </w:pPr>
          <w:hyperlink w:anchor="_Toc80080859" w:history="1">
            <w:r w:rsidR="00F601F5" w:rsidRPr="001A36B2">
              <w:rPr>
                <w:rStyle w:val="Hyperlink"/>
                <w:noProof/>
              </w:rPr>
              <w:t>Nonclinical</w:t>
            </w:r>
            <w:r w:rsidR="00F601F5">
              <w:rPr>
                <w:noProof/>
                <w:webHidden/>
              </w:rPr>
              <w:tab/>
            </w:r>
            <w:r w:rsidR="00F601F5">
              <w:rPr>
                <w:noProof/>
                <w:webHidden/>
              </w:rPr>
              <w:fldChar w:fldCharType="begin"/>
            </w:r>
            <w:r w:rsidR="00F601F5">
              <w:rPr>
                <w:noProof/>
                <w:webHidden/>
              </w:rPr>
              <w:instrText xml:space="preserve"> PAGEREF _Toc80080859 \h </w:instrText>
            </w:r>
            <w:r w:rsidR="00F601F5">
              <w:rPr>
                <w:noProof/>
                <w:webHidden/>
              </w:rPr>
            </w:r>
            <w:r w:rsidR="00F601F5">
              <w:rPr>
                <w:noProof/>
                <w:webHidden/>
              </w:rPr>
              <w:fldChar w:fldCharType="separate"/>
            </w:r>
            <w:r w:rsidR="00F601F5">
              <w:rPr>
                <w:noProof/>
                <w:webHidden/>
              </w:rPr>
              <w:t>14</w:t>
            </w:r>
            <w:r w:rsidR="00F601F5">
              <w:rPr>
                <w:noProof/>
                <w:webHidden/>
              </w:rPr>
              <w:fldChar w:fldCharType="end"/>
            </w:r>
          </w:hyperlink>
        </w:p>
        <w:p w14:paraId="62E32EA9" w14:textId="4204FCD3" w:rsidR="00F601F5" w:rsidRDefault="005C4FB0">
          <w:pPr>
            <w:pStyle w:val="TOC2"/>
            <w:rPr>
              <w:rFonts w:asciiTheme="minorHAnsi" w:eastAsiaTheme="minorEastAsia" w:hAnsiTheme="minorHAnsi" w:cstheme="minorBidi"/>
              <w:b w:val="0"/>
              <w:noProof/>
              <w:sz w:val="22"/>
              <w:lang w:eastAsia="en-AU"/>
            </w:rPr>
          </w:pPr>
          <w:hyperlink w:anchor="_Toc80080860" w:history="1">
            <w:r w:rsidR="00F601F5" w:rsidRPr="001A36B2">
              <w:rPr>
                <w:rStyle w:val="Hyperlink"/>
                <w:noProof/>
              </w:rPr>
              <w:t>Clinical</w:t>
            </w:r>
            <w:r w:rsidR="00F601F5">
              <w:rPr>
                <w:noProof/>
                <w:webHidden/>
              </w:rPr>
              <w:tab/>
            </w:r>
            <w:r w:rsidR="00F601F5">
              <w:rPr>
                <w:noProof/>
                <w:webHidden/>
              </w:rPr>
              <w:fldChar w:fldCharType="begin"/>
            </w:r>
            <w:r w:rsidR="00F601F5">
              <w:rPr>
                <w:noProof/>
                <w:webHidden/>
              </w:rPr>
              <w:instrText xml:space="preserve"> PAGEREF _Toc80080860 \h </w:instrText>
            </w:r>
            <w:r w:rsidR="00F601F5">
              <w:rPr>
                <w:noProof/>
                <w:webHidden/>
              </w:rPr>
            </w:r>
            <w:r w:rsidR="00F601F5">
              <w:rPr>
                <w:noProof/>
                <w:webHidden/>
              </w:rPr>
              <w:fldChar w:fldCharType="separate"/>
            </w:r>
            <w:r w:rsidR="00F601F5">
              <w:rPr>
                <w:noProof/>
                <w:webHidden/>
              </w:rPr>
              <w:t>15</w:t>
            </w:r>
            <w:r w:rsidR="00F601F5">
              <w:rPr>
                <w:noProof/>
                <w:webHidden/>
              </w:rPr>
              <w:fldChar w:fldCharType="end"/>
            </w:r>
          </w:hyperlink>
        </w:p>
        <w:p w14:paraId="4081EF13" w14:textId="20424207" w:rsidR="00F601F5" w:rsidRDefault="005C4FB0">
          <w:pPr>
            <w:pStyle w:val="TOC2"/>
            <w:rPr>
              <w:rFonts w:asciiTheme="minorHAnsi" w:eastAsiaTheme="minorEastAsia" w:hAnsiTheme="minorHAnsi" w:cstheme="minorBidi"/>
              <w:b w:val="0"/>
              <w:noProof/>
              <w:sz w:val="22"/>
              <w:lang w:eastAsia="en-AU"/>
            </w:rPr>
          </w:pPr>
          <w:hyperlink w:anchor="_Toc80080861" w:history="1">
            <w:r w:rsidR="00F601F5" w:rsidRPr="001A36B2">
              <w:rPr>
                <w:rStyle w:val="Hyperlink"/>
                <w:noProof/>
                <w:lang w:eastAsia="en-AU"/>
              </w:rPr>
              <w:t>Risk management plan</w:t>
            </w:r>
            <w:r w:rsidR="00F601F5">
              <w:rPr>
                <w:noProof/>
                <w:webHidden/>
              </w:rPr>
              <w:tab/>
            </w:r>
            <w:r w:rsidR="00F601F5">
              <w:rPr>
                <w:noProof/>
                <w:webHidden/>
              </w:rPr>
              <w:fldChar w:fldCharType="begin"/>
            </w:r>
            <w:r w:rsidR="00F601F5">
              <w:rPr>
                <w:noProof/>
                <w:webHidden/>
              </w:rPr>
              <w:instrText xml:space="preserve"> PAGEREF _Toc80080861 \h </w:instrText>
            </w:r>
            <w:r w:rsidR="00F601F5">
              <w:rPr>
                <w:noProof/>
                <w:webHidden/>
              </w:rPr>
            </w:r>
            <w:r w:rsidR="00F601F5">
              <w:rPr>
                <w:noProof/>
                <w:webHidden/>
              </w:rPr>
              <w:fldChar w:fldCharType="separate"/>
            </w:r>
            <w:r w:rsidR="00F601F5">
              <w:rPr>
                <w:noProof/>
                <w:webHidden/>
              </w:rPr>
              <w:t>43</w:t>
            </w:r>
            <w:r w:rsidR="00F601F5">
              <w:rPr>
                <w:noProof/>
                <w:webHidden/>
              </w:rPr>
              <w:fldChar w:fldCharType="end"/>
            </w:r>
          </w:hyperlink>
        </w:p>
        <w:p w14:paraId="53BD7209" w14:textId="0DBFDF43" w:rsidR="00F601F5" w:rsidRDefault="005C4FB0">
          <w:pPr>
            <w:pStyle w:val="TOC2"/>
            <w:rPr>
              <w:rFonts w:asciiTheme="minorHAnsi" w:eastAsiaTheme="minorEastAsia" w:hAnsiTheme="minorHAnsi" w:cstheme="minorBidi"/>
              <w:b w:val="0"/>
              <w:noProof/>
              <w:sz w:val="22"/>
              <w:lang w:eastAsia="en-AU"/>
            </w:rPr>
          </w:pPr>
          <w:hyperlink w:anchor="_Toc80080862" w:history="1">
            <w:r w:rsidR="00F601F5" w:rsidRPr="001A36B2">
              <w:rPr>
                <w:rStyle w:val="Hyperlink"/>
                <w:noProof/>
              </w:rPr>
              <w:t>Risk-benefit analysis</w:t>
            </w:r>
            <w:r w:rsidR="00F601F5">
              <w:rPr>
                <w:noProof/>
                <w:webHidden/>
              </w:rPr>
              <w:tab/>
            </w:r>
            <w:r w:rsidR="00F601F5">
              <w:rPr>
                <w:noProof/>
                <w:webHidden/>
              </w:rPr>
              <w:fldChar w:fldCharType="begin"/>
            </w:r>
            <w:r w:rsidR="00F601F5">
              <w:rPr>
                <w:noProof/>
                <w:webHidden/>
              </w:rPr>
              <w:instrText xml:space="preserve"> PAGEREF _Toc80080862 \h </w:instrText>
            </w:r>
            <w:r w:rsidR="00F601F5">
              <w:rPr>
                <w:noProof/>
                <w:webHidden/>
              </w:rPr>
            </w:r>
            <w:r w:rsidR="00F601F5">
              <w:rPr>
                <w:noProof/>
                <w:webHidden/>
              </w:rPr>
              <w:fldChar w:fldCharType="separate"/>
            </w:r>
            <w:r w:rsidR="00F601F5">
              <w:rPr>
                <w:noProof/>
                <w:webHidden/>
              </w:rPr>
              <w:t>45</w:t>
            </w:r>
            <w:r w:rsidR="00F601F5">
              <w:rPr>
                <w:noProof/>
                <w:webHidden/>
              </w:rPr>
              <w:fldChar w:fldCharType="end"/>
            </w:r>
          </w:hyperlink>
        </w:p>
        <w:p w14:paraId="25CC9DB6" w14:textId="7F9FAFEB" w:rsidR="00F601F5" w:rsidRDefault="005C4FB0">
          <w:pPr>
            <w:pStyle w:val="TOC2"/>
            <w:rPr>
              <w:rFonts w:asciiTheme="minorHAnsi" w:eastAsiaTheme="minorEastAsia" w:hAnsiTheme="minorHAnsi" w:cstheme="minorBidi"/>
              <w:b w:val="0"/>
              <w:noProof/>
              <w:sz w:val="22"/>
              <w:lang w:eastAsia="en-AU"/>
            </w:rPr>
          </w:pPr>
          <w:hyperlink w:anchor="_Toc80080863" w:history="1">
            <w:r w:rsidR="00F601F5" w:rsidRPr="001A36B2">
              <w:rPr>
                <w:rStyle w:val="Hyperlink"/>
                <w:noProof/>
              </w:rPr>
              <w:t>Outcome</w:t>
            </w:r>
            <w:r w:rsidR="00F601F5">
              <w:rPr>
                <w:noProof/>
                <w:webHidden/>
              </w:rPr>
              <w:tab/>
            </w:r>
            <w:r w:rsidR="00F601F5">
              <w:rPr>
                <w:noProof/>
                <w:webHidden/>
              </w:rPr>
              <w:fldChar w:fldCharType="begin"/>
            </w:r>
            <w:r w:rsidR="00F601F5">
              <w:rPr>
                <w:noProof/>
                <w:webHidden/>
              </w:rPr>
              <w:instrText xml:space="preserve"> PAGEREF _Toc80080863 \h </w:instrText>
            </w:r>
            <w:r w:rsidR="00F601F5">
              <w:rPr>
                <w:noProof/>
                <w:webHidden/>
              </w:rPr>
            </w:r>
            <w:r w:rsidR="00F601F5">
              <w:rPr>
                <w:noProof/>
                <w:webHidden/>
              </w:rPr>
              <w:fldChar w:fldCharType="separate"/>
            </w:r>
            <w:r w:rsidR="00F601F5">
              <w:rPr>
                <w:noProof/>
                <w:webHidden/>
              </w:rPr>
              <w:t>53</w:t>
            </w:r>
            <w:r w:rsidR="00F601F5">
              <w:rPr>
                <w:noProof/>
                <w:webHidden/>
              </w:rPr>
              <w:fldChar w:fldCharType="end"/>
            </w:r>
          </w:hyperlink>
        </w:p>
        <w:p w14:paraId="35CB0BCF" w14:textId="3F2AD58A" w:rsidR="00F601F5" w:rsidRDefault="005C4FB0">
          <w:pPr>
            <w:pStyle w:val="TOC1"/>
            <w:rPr>
              <w:rFonts w:asciiTheme="minorHAnsi" w:eastAsiaTheme="minorEastAsia" w:hAnsiTheme="minorHAnsi" w:cstheme="minorBidi"/>
              <w:b w:val="0"/>
              <w:noProof/>
              <w:sz w:val="22"/>
              <w:lang w:eastAsia="en-AU"/>
            </w:rPr>
          </w:pPr>
          <w:hyperlink w:anchor="_Toc80080864" w:history="1">
            <w:r w:rsidR="00F601F5" w:rsidRPr="001A36B2">
              <w:rPr>
                <w:rStyle w:val="Hyperlink"/>
                <w:noProof/>
              </w:rPr>
              <w:t>Attachment 1. Product Information</w:t>
            </w:r>
            <w:r w:rsidR="00F601F5">
              <w:rPr>
                <w:noProof/>
                <w:webHidden/>
              </w:rPr>
              <w:tab/>
            </w:r>
            <w:r w:rsidR="00F601F5">
              <w:rPr>
                <w:noProof/>
                <w:webHidden/>
              </w:rPr>
              <w:fldChar w:fldCharType="begin"/>
            </w:r>
            <w:r w:rsidR="00F601F5">
              <w:rPr>
                <w:noProof/>
                <w:webHidden/>
              </w:rPr>
              <w:instrText xml:space="preserve"> PAGEREF _Toc80080864 \h </w:instrText>
            </w:r>
            <w:r w:rsidR="00F601F5">
              <w:rPr>
                <w:noProof/>
                <w:webHidden/>
              </w:rPr>
            </w:r>
            <w:r w:rsidR="00F601F5">
              <w:rPr>
                <w:noProof/>
                <w:webHidden/>
              </w:rPr>
              <w:fldChar w:fldCharType="separate"/>
            </w:r>
            <w:r w:rsidR="00F601F5">
              <w:rPr>
                <w:noProof/>
                <w:webHidden/>
              </w:rPr>
              <w:t>53</w:t>
            </w:r>
            <w:r w:rsidR="00F601F5">
              <w:rPr>
                <w:noProof/>
                <w:webHidden/>
              </w:rPr>
              <w:fldChar w:fldCharType="end"/>
            </w:r>
          </w:hyperlink>
        </w:p>
        <w:p w14:paraId="273D1987" w14:textId="4990E2FC" w:rsidR="003A7F6C" w:rsidRPr="00B811C6" w:rsidRDefault="00C525A2" w:rsidP="00B811C6">
          <w:pPr>
            <w:pStyle w:val="TOC2"/>
          </w:pPr>
          <w:r>
            <w:fldChar w:fldCharType="end"/>
          </w:r>
        </w:p>
      </w:sdtContent>
    </w:sdt>
    <w:bookmarkStart w:id="2" w:name="_Toc314842482" w:displacedByCustomXml="prev"/>
    <w:p w14:paraId="6E092203" w14:textId="77777777" w:rsidR="00FD119B" w:rsidRDefault="00FD119B">
      <w:pPr>
        <w:spacing w:before="0" w:after="200" w:line="0" w:lineRule="auto"/>
      </w:pPr>
      <w:r>
        <w:br w:type="page"/>
      </w:r>
    </w:p>
    <w:p w14:paraId="6DAEDADF" w14:textId="33B34372" w:rsidR="00C52E24" w:rsidRPr="00C52E24" w:rsidRDefault="00324E45" w:rsidP="00A110EB">
      <w:pPr>
        <w:pStyle w:val="Heading2"/>
      </w:pPr>
      <w:bookmarkStart w:id="3" w:name="_Toc351716269"/>
      <w:bookmarkStart w:id="4" w:name="_Toc351718881"/>
      <w:bookmarkStart w:id="5" w:name="_Toc355338616"/>
      <w:bookmarkStart w:id="6" w:name="_Toc356306144"/>
      <w:bookmarkStart w:id="7" w:name="_Toc80080850"/>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7"/>
        <w:gridCol w:w="6697"/>
      </w:tblGrid>
      <w:tr w:rsidR="00C33CC3" w:rsidRPr="00FD119B" w14:paraId="58BEA90E" w14:textId="77777777" w:rsidTr="00C33CC3">
        <w:trPr>
          <w:cnfStyle w:val="100000000000" w:firstRow="1" w:lastRow="0" w:firstColumn="0" w:lastColumn="0" w:oddVBand="0" w:evenVBand="0" w:oddHBand="0" w:evenHBand="0" w:firstRowFirstColumn="0" w:firstRowLastColumn="0" w:lastRowFirstColumn="0" w:lastRowLastColumn="0"/>
        </w:trPr>
        <w:tc>
          <w:tcPr>
            <w:tcW w:w="1797" w:type="dxa"/>
            <w:tcBorders>
              <w:top w:val="single" w:sz="4" w:space="0" w:color="auto"/>
              <w:left w:val="single" w:sz="4" w:space="0" w:color="auto"/>
              <w:bottom w:val="single" w:sz="4" w:space="0" w:color="auto"/>
              <w:right w:val="single" w:sz="4" w:space="0" w:color="auto"/>
            </w:tcBorders>
          </w:tcPr>
          <w:p w14:paraId="05E8BABF" w14:textId="77777777" w:rsidR="00C33CC3" w:rsidRPr="00FD119B" w:rsidRDefault="00C33CC3" w:rsidP="00CF5DAD">
            <w:pPr>
              <w:keepNext w:val="0"/>
              <w:ind w:left="0" w:right="0"/>
              <w:rPr>
                <w:szCs w:val="22"/>
                <w:lang w:eastAsia="en-US"/>
              </w:rPr>
            </w:pPr>
            <w:r w:rsidRPr="00FD119B">
              <w:rPr>
                <w:szCs w:val="22"/>
                <w:lang w:eastAsia="en-US"/>
              </w:rPr>
              <w:t>Abbreviation</w:t>
            </w:r>
          </w:p>
        </w:tc>
        <w:tc>
          <w:tcPr>
            <w:tcW w:w="6697" w:type="dxa"/>
            <w:tcBorders>
              <w:top w:val="single" w:sz="4" w:space="0" w:color="auto"/>
              <w:left w:val="single" w:sz="4" w:space="0" w:color="auto"/>
              <w:bottom w:val="single" w:sz="4" w:space="0" w:color="auto"/>
              <w:right w:val="single" w:sz="4" w:space="0" w:color="auto"/>
            </w:tcBorders>
          </w:tcPr>
          <w:p w14:paraId="4C50F472" w14:textId="77777777" w:rsidR="00C33CC3" w:rsidRPr="00FD119B" w:rsidRDefault="00C33CC3" w:rsidP="00CF5DAD">
            <w:pPr>
              <w:keepNext w:val="0"/>
              <w:ind w:left="0" w:right="0"/>
              <w:rPr>
                <w:szCs w:val="22"/>
                <w:lang w:eastAsia="en-US"/>
              </w:rPr>
            </w:pPr>
            <w:r w:rsidRPr="00FD119B">
              <w:rPr>
                <w:szCs w:val="22"/>
                <w:lang w:eastAsia="en-US"/>
              </w:rPr>
              <w:t>Meaning</w:t>
            </w:r>
          </w:p>
        </w:tc>
      </w:tr>
      <w:tr w:rsidR="00C33CC3" w:rsidRPr="00FD119B" w14:paraId="60EC6990" w14:textId="77777777" w:rsidTr="00C33CC3">
        <w:tc>
          <w:tcPr>
            <w:tcW w:w="1797" w:type="dxa"/>
            <w:tcBorders>
              <w:top w:val="single" w:sz="4" w:space="0" w:color="auto"/>
            </w:tcBorders>
          </w:tcPr>
          <w:p w14:paraId="4F5FC170" w14:textId="77777777" w:rsidR="00C33CC3" w:rsidRPr="00FD119B" w:rsidRDefault="00C33CC3" w:rsidP="00CF5DAD">
            <w:pPr>
              <w:ind w:left="0" w:right="0"/>
            </w:pPr>
            <w:r>
              <w:t>ACM</w:t>
            </w:r>
          </w:p>
        </w:tc>
        <w:tc>
          <w:tcPr>
            <w:tcW w:w="6697" w:type="dxa"/>
            <w:tcBorders>
              <w:top w:val="single" w:sz="4" w:space="0" w:color="auto"/>
            </w:tcBorders>
          </w:tcPr>
          <w:p w14:paraId="278CD5A2" w14:textId="77777777" w:rsidR="00C33CC3" w:rsidRPr="00FD119B" w:rsidRDefault="00C33CC3" w:rsidP="00CF5DAD">
            <w:pPr>
              <w:ind w:left="0" w:right="0"/>
            </w:pPr>
            <w:r w:rsidRPr="00460036">
              <w:t>Advisory Committee on Medicines</w:t>
            </w:r>
          </w:p>
        </w:tc>
      </w:tr>
      <w:tr w:rsidR="00C33CC3" w:rsidRPr="00FD119B" w14:paraId="0B042AC5" w14:textId="77777777" w:rsidTr="00C33CC3">
        <w:tc>
          <w:tcPr>
            <w:tcW w:w="1797" w:type="dxa"/>
          </w:tcPr>
          <w:p w14:paraId="689A9E9D" w14:textId="77777777" w:rsidR="00C33CC3" w:rsidRDefault="00C33CC3" w:rsidP="00EF2734">
            <w:pPr>
              <w:ind w:left="0"/>
            </w:pPr>
            <w:r>
              <w:t>ADA</w:t>
            </w:r>
          </w:p>
        </w:tc>
        <w:tc>
          <w:tcPr>
            <w:tcW w:w="6697" w:type="dxa"/>
          </w:tcPr>
          <w:p w14:paraId="0EC3DD0E" w14:textId="77777777" w:rsidR="00C33CC3" w:rsidRDefault="00C33CC3" w:rsidP="00EF2734">
            <w:pPr>
              <w:ind w:left="0"/>
            </w:pPr>
            <w:r>
              <w:t>Antidrug antibody</w:t>
            </w:r>
          </w:p>
        </w:tc>
      </w:tr>
      <w:tr w:rsidR="00C33CC3" w:rsidRPr="00FD119B" w14:paraId="6926D0CB" w14:textId="77777777" w:rsidTr="00C33CC3">
        <w:tc>
          <w:tcPr>
            <w:tcW w:w="1797" w:type="dxa"/>
          </w:tcPr>
          <w:p w14:paraId="39E98263" w14:textId="77777777" w:rsidR="00C33CC3" w:rsidRDefault="00C33CC3" w:rsidP="00EF2734">
            <w:pPr>
              <w:ind w:left="0"/>
            </w:pPr>
            <w:r>
              <w:t>ALP</w:t>
            </w:r>
          </w:p>
        </w:tc>
        <w:tc>
          <w:tcPr>
            <w:tcW w:w="6697" w:type="dxa"/>
          </w:tcPr>
          <w:p w14:paraId="4E3BD9FE" w14:textId="77777777" w:rsidR="00C33CC3" w:rsidRDefault="00C33CC3" w:rsidP="00EF2734">
            <w:pPr>
              <w:ind w:left="0"/>
            </w:pPr>
            <w:r>
              <w:t>Alkaline phosphatase</w:t>
            </w:r>
          </w:p>
        </w:tc>
      </w:tr>
      <w:tr w:rsidR="00C33CC3" w:rsidRPr="00FD119B" w14:paraId="147E8F06" w14:textId="77777777" w:rsidTr="00C33CC3">
        <w:tc>
          <w:tcPr>
            <w:tcW w:w="1797" w:type="dxa"/>
          </w:tcPr>
          <w:p w14:paraId="1124EEB0" w14:textId="77777777" w:rsidR="00C33CC3" w:rsidRDefault="00C33CC3" w:rsidP="00EF2734">
            <w:pPr>
              <w:ind w:left="0"/>
            </w:pPr>
            <w:r>
              <w:t>ALT</w:t>
            </w:r>
          </w:p>
        </w:tc>
        <w:tc>
          <w:tcPr>
            <w:tcW w:w="6697" w:type="dxa"/>
          </w:tcPr>
          <w:p w14:paraId="50E5A1D7" w14:textId="77777777" w:rsidR="00C33CC3" w:rsidRDefault="00C33CC3" w:rsidP="00EF2734">
            <w:pPr>
              <w:ind w:left="0"/>
            </w:pPr>
            <w:r>
              <w:t>Alanine transaminase</w:t>
            </w:r>
          </w:p>
        </w:tc>
      </w:tr>
      <w:tr w:rsidR="00C33CC3" w:rsidRPr="00FD119B" w14:paraId="49156687" w14:textId="77777777" w:rsidTr="00C33CC3">
        <w:tc>
          <w:tcPr>
            <w:tcW w:w="1797" w:type="dxa"/>
          </w:tcPr>
          <w:p w14:paraId="56418B75" w14:textId="77777777" w:rsidR="00C33CC3" w:rsidRPr="00FD119B" w:rsidRDefault="00C33CC3" w:rsidP="00CF5DAD">
            <w:pPr>
              <w:ind w:left="0" w:right="0"/>
            </w:pPr>
            <w:r>
              <w:t>ARTG</w:t>
            </w:r>
          </w:p>
        </w:tc>
        <w:tc>
          <w:tcPr>
            <w:tcW w:w="6697" w:type="dxa"/>
          </w:tcPr>
          <w:p w14:paraId="2B8FDCC6" w14:textId="77777777" w:rsidR="00C33CC3" w:rsidRPr="00FD119B" w:rsidRDefault="00C33CC3" w:rsidP="00CF5DAD">
            <w:pPr>
              <w:ind w:left="0" w:right="0"/>
            </w:pPr>
            <w:r w:rsidRPr="00460036">
              <w:t>Australian Register of Therapeutic Goods</w:t>
            </w:r>
          </w:p>
        </w:tc>
      </w:tr>
      <w:tr w:rsidR="00C33CC3" w:rsidRPr="00FD119B" w14:paraId="17225E09" w14:textId="77777777" w:rsidTr="00C33CC3">
        <w:tc>
          <w:tcPr>
            <w:tcW w:w="1797" w:type="dxa"/>
          </w:tcPr>
          <w:p w14:paraId="550B37A3" w14:textId="77777777" w:rsidR="00C33CC3" w:rsidRDefault="00C33CC3" w:rsidP="009E6AFF">
            <w:pPr>
              <w:ind w:left="0"/>
            </w:pPr>
            <w:r>
              <w:t>AST</w:t>
            </w:r>
          </w:p>
        </w:tc>
        <w:tc>
          <w:tcPr>
            <w:tcW w:w="6697" w:type="dxa"/>
          </w:tcPr>
          <w:p w14:paraId="2A6245F4" w14:textId="77777777" w:rsidR="00C33CC3" w:rsidRDefault="00C33CC3" w:rsidP="009E6AFF">
            <w:pPr>
              <w:ind w:left="0"/>
            </w:pPr>
            <w:r>
              <w:t>Aspartate transaminase</w:t>
            </w:r>
          </w:p>
        </w:tc>
      </w:tr>
      <w:tr w:rsidR="00C33CC3" w:rsidRPr="00FD119B" w14:paraId="348B9D51" w14:textId="77777777" w:rsidTr="00C33CC3">
        <w:tc>
          <w:tcPr>
            <w:tcW w:w="1797" w:type="dxa"/>
          </w:tcPr>
          <w:p w14:paraId="1C7E422F" w14:textId="77777777" w:rsidR="00C33CC3" w:rsidRDefault="00C33CC3" w:rsidP="00776253">
            <w:pPr>
              <w:ind w:left="0"/>
            </w:pPr>
            <w:r>
              <w:t>AUC</w:t>
            </w:r>
          </w:p>
        </w:tc>
        <w:tc>
          <w:tcPr>
            <w:tcW w:w="6697" w:type="dxa"/>
          </w:tcPr>
          <w:p w14:paraId="32BDC06B" w14:textId="77777777" w:rsidR="00C33CC3" w:rsidRDefault="00C33CC3" w:rsidP="00776253">
            <w:pPr>
              <w:ind w:left="0"/>
            </w:pPr>
            <w:r>
              <w:t>Area under the concentration versus time curve</w:t>
            </w:r>
          </w:p>
        </w:tc>
      </w:tr>
      <w:tr w:rsidR="00C33CC3" w:rsidRPr="00FD119B" w14:paraId="2A910AA2" w14:textId="77777777" w:rsidTr="00C33CC3">
        <w:tc>
          <w:tcPr>
            <w:tcW w:w="1797" w:type="dxa"/>
          </w:tcPr>
          <w:p w14:paraId="6B1EFB19" w14:textId="77777777" w:rsidR="00C33CC3" w:rsidRPr="00776253" w:rsidRDefault="00C33CC3" w:rsidP="00776253">
            <w:pPr>
              <w:ind w:left="0"/>
              <w:rPr>
                <w:vertAlign w:val="subscript"/>
              </w:rPr>
            </w:pPr>
            <w:r>
              <w:t>AUC</w:t>
            </w:r>
            <w:r>
              <w:rPr>
                <w:vertAlign w:val="subscript"/>
              </w:rPr>
              <w:t>0-28d</w:t>
            </w:r>
          </w:p>
        </w:tc>
        <w:tc>
          <w:tcPr>
            <w:tcW w:w="6697" w:type="dxa"/>
          </w:tcPr>
          <w:p w14:paraId="1E93E3A6" w14:textId="77777777" w:rsidR="00C33CC3" w:rsidRDefault="00C33CC3" w:rsidP="00776253">
            <w:pPr>
              <w:ind w:left="0"/>
            </w:pPr>
            <w:r>
              <w:t>Area under the concentration versus time curve from time zero (dosing) to Day 28</w:t>
            </w:r>
          </w:p>
        </w:tc>
      </w:tr>
      <w:tr w:rsidR="00C33CC3" w:rsidRPr="00FD119B" w14:paraId="37AE111A" w14:textId="77777777" w:rsidTr="00C33CC3">
        <w:tc>
          <w:tcPr>
            <w:tcW w:w="1797" w:type="dxa"/>
          </w:tcPr>
          <w:p w14:paraId="1951AC97" w14:textId="77777777" w:rsidR="00C33CC3" w:rsidRDefault="00C33CC3" w:rsidP="00310CDB">
            <w:pPr>
              <w:ind w:left="0"/>
            </w:pPr>
            <w:r w:rsidRPr="00E16850">
              <w:t>AUC</w:t>
            </w:r>
            <w:r w:rsidRPr="00E16850">
              <w:rPr>
                <w:vertAlign w:val="subscript"/>
              </w:rPr>
              <w:t>0</w:t>
            </w:r>
            <w:r>
              <w:rPr>
                <w:vertAlign w:val="subscript"/>
              </w:rPr>
              <w:t>-7d</w:t>
            </w:r>
          </w:p>
        </w:tc>
        <w:tc>
          <w:tcPr>
            <w:tcW w:w="6697" w:type="dxa"/>
          </w:tcPr>
          <w:p w14:paraId="6D56D81F" w14:textId="77777777" w:rsidR="00C33CC3" w:rsidRDefault="00C33CC3" w:rsidP="00310CDB">
            <w:pPr>
              <w:ind w:left="0"/>
            </w:pPr>
            <w:r>
              <w:t>Area under the concentration versus time curve from time zero (dosing) to Day 7</w:t>
            </w:r>
          </w:p>
        </w:tc>
      </w:tr>
      <w:tr w:rsidR="00C33CC3" w:rsidRPr="00FD119B" w14:paraId="0D0AE941" w14:textId="77777777" w:rsidTr="00C33CC3">
        <w:tc>
          <w:tcPr>
            <w:tcW w:w="1797" w:type="dxa"/>
          </w:tcPr>
          <w:p w14:paraId="2BD2E564" w14:textId="77777777" w:rsidR="00C33CC3" w:rsidRDefault="00C33CC3" w:rsidP="00776253">
            <w:pPr>
              <w:ind w:left="0"/>
            </w:pPr>
            <w:r>
              <w:t>AUC</w:t>
            </w:r>
            <w:r w:rsidRPr="00FB7BFD">
              <w:rPr>
                <w:vertAlign w:val="subscript"/>
              </w:rPr>
              <w:t>0-inf</w:t>
            </w:r>
          </w:p>
        </w:tc>
        <w:tc>
          <w:tcPr>
            <w:tcW w:w="6697" w:type="dxa"/>
          </w:tcPr>
          <w:p w14:paraId="54B70A17" w14:textId="77777777" w:rsidR="00C33CC3" w:rsidRDefault="00C33CC3" w:rsidP="00776253">
            <w:pPr>
              <w:ind w:left="0"/>
            </w:pPr>
            <w:r>
              <w:t>Area under the concentration versus time curve from time zero (dosing) extrapolated to infinity</w:t>
            </w:r>
          </w:p>
        </w:tc>
      </w:tr>
      <w:tr w:rsidR="00C33CC3" w:rsidRPr="00FD119B" w14:paraId="73044544" w14:textId="77777777" w:rsidTr="00C33CC3">
        <w:tc>
          <w:tcPr>
            <w:tcW w:w="1797" w:type="dxa"/>
          </w:tcPr>
          <w:p w14:paraId="76A30E5E" w14:textId="77777777" w:rsidR="00C33CC3" w:rsidRDefault="00C33CC3" w:rsidP="00A6220D">
            <w:pPr>
              <w:ind w:left="0"/>
            </w:pPr>
            <w:r>
              <w:t>CI</w:t>
            </w:r>
          </w:p>
        </w:tc>
        <w:tc>
          <w:tcPr>
            <w:tcW w:w="6697" w:type="dxa"/>
          </w:tcPr>
          <w:p w14:paraId="686B2F59" w14:textId="77777777" w:rsidR="00C33CC3" w:rsidRDefault="00C33CC3" w:rsidP="00A6220D">
            <w:pPr>
              <w:ind w:left="0"/>
            </w:pPr>
            <w:r>
              <w:t>Confidence interval</w:t>
            </w:r>
          </w:p>
        </w:tc>
      </w:tr>
      <w:tr w:rsidR="00C33CC3" w:rsidRPr="00FD119B" w14:paraId="335F70E1" w14:textId="77777777" w:rsidTr="00C33CC3">
        <w:tc>
          <w:tcPr>
            <w:tcW w:w="1797" w:type="dxa"/>
          </w:tcPr>
          <w:p w14:paraId="05E23D0A" w14:textId="77777777" w:rsidR="00C33CC3" w:rsidRDefault="00C33CC3" w:rsidP="00EF2734">
            <w:pPr>
              <w:ind w:left="0"/>
            </w:pPr>
            <w:r>
              <w:t>C</w:t>
            </w:r>
            <w:r w:rsidRPr="00EF2734">
              <w:rPr>
                <w:vertAlign w:val="subscript"/>
              </w:rPr>
              <w:t>max</w:t>
            </w:r>
          </w:p>
        </w:tc>
        <w:tc>
          <w:tcPr>
            <w:tcW w:w="6697" w:type="dxa"/>
          </w:tcPr>
          <w:p w14:paraId="534C5B82" w14:textId="77777777" w:rsidR="00C33CC3" w:rsidRDefault="00C33CC3" w:rsidP="00EF2734">
            <w:pPr>
              <w:ind w:left="0"/>
            </w:pPr>
            <w:r>
              <w:t>Maximum concentration</w:t>
            </w:r>
          </w:p>
        </w:tc>
      </w:tr>
      <w:tr w:rsidR="00537B28" w:rsidRPr="00FD119B" w14:paraId="5A9E947F" w14:textId="77777777" w:rsidTr="00C33CC3">
        <w:tc>
          <w:tcPr>
            <w:tcW w:w="1797" w:type="dxa"/>
          </w:tcPr>
          <w:p w14:paraId="254669F2" w14:textId="343A667C" w:rsidR="00537B28" w:rsidRDefault="00537B28" w:rsidP="00537B28">
            <w:pPr>
              <w:ind w:left="0"/>
            </w:pPr>
            <w:r>
              <w:t>CMI</w:t>
            </w:r>
          </w:p>
        </w:tc>
        <w:tc>
          <w:tcPr>
            <w:tcW w:w="6697" w:type="dxa"/>
          </w:tcPr>
          <w:p w14:paraId="195B321F" w14:textId="359BE138" w:rsidR="00537B28" w:rsidRDefault="00537B28" w:rsidP="00537B28">
            <w:pPr>
              <w:ind w:left="0"/>
            </w:pPr>
            <w:r>
              <w:t>Consumer Medicines Information</w:t>
            </w:r>
          </w:p>
        </w:tc>
      </w:tr>
      <w:tr w:rsidR="00C33CC3" w:rsidRPr="00FD119B" w14:paraId="57340A9B" w14:textId="77777777" w:rsidTr="00C33CC3">
        <w:tc>
          <w:tcPr>
            <w:tcW w:w="1797" w:type="dxa"/>
          </w:tcPr>
          <w:p w14:paraId="6F7A3BBB" w14:textId="77777777" w:rsidR="00C33CC3" w:rsidRPr="00FD119B" w:rsidRDefault="00C33CC3" w:rsidP="00CF5DAD">
            <w:pPr>
              <w:ind w:left="0" w:right="0"/>
              <w:rPr>
                <w:color w:val="auto"/>
                <w:szCs w:val="22"/>
                <w:lang w:eastAsia="en-US"/>
              </w:rPr>
            </w:pPr>
            <w:r>
              <w:rPr>
                <w:color w:val="auto"/>
                <w:szCs w:val="22"/>
                <w:lang w:eastAsia="en-US"/>
              </w:rPr>
              <w:t>COVID-19</w:t>
            </w:r>
          </w:p>
        </w:tc>
        <w:tc>
          <w:tcPr>
            <w:tcW w:w="6697" w:type="dxa"/>
          </w:tcPr>
          <w:p w14:paraId="3F526686" w14:textId="77777777" w:rsidR="00C33CC3" w:rsidRPr="00FD119B" w:rsidRDefault="00C33CC3" w:rsidP="00CF5DAD">
            <w:pPr>
              <w:ind w:left="0" w:right="0"/>
              <w:rPr>
                <w:color w:val="auto"/>
                <w:szCs w:val="22"/>
                <w:lang w:eastAsia="en-US"/>
              </w:rPr>
            </w:pPr>
            <w:r>
              <w:rPr>
                <w:color w:val="auto"/>
                <w:szCs w:val="22"/>
                <w:lang w:eastAsia="en-US"/>
              </w:rPr>
              <w:t>Coronavirus disease 2019</w:t>
            </w:r>
          </w:p>
        </w:tc>
      </w:tr>
      <w:tr w:rsidR="00C33CC3" w:rsidRPr="00FD119B" w14:paraId="7122F851" w14:textId="77777777" w:rsidTr="00C33CC3">
        <w:tc>
          <w:tcPr>
            <w:tcW w:w="1797" w:type="dxa"/>
          </w:tcPr>
          <w:p w14:paraId="0287B3AE" w14:textId="77777777" w:rsidR="00C33CC3" w:rsidRDefault="00C33CC3" w:rsidP="00EF605E">
            <w:pPr>
              <w:ind w:left="0"/>
            </w:pPr>
            <w:r>
              <w:t>CYP</w:t>
            </w:r>
          </w:p>
        </w:tc>
        <w:tc>
          <w:tcPr>
            <w:tcW w:w="6697" w:type="dxa"/>
          </w:tcPr>
          <w:p w14:paraId="2B04C5BF" w14:textId="77777777" w:rsidR="00C33CC3" w:rsidRDefault="00C33CC3" w:rsidP="00EF605E">
            <w:pPr>
              <w:ind w:left="0"/>
            </w:pPr>
            <w:r>
              <w:t>Cytochrome P450</w:t>
            </w:r>
          </w:p>
        </w:tc>
      </w:tr>
      <w:tr w:rsidR="00C33CC3" w:rsidRPr="00FD119B" w14:paraId="3BDF9A73" w14:textId="77777777" w:rsidTr="00C33CC3">
        <w:tc>
          <w:tcPr>
            <w:tcW w:w="1797" w:type="dxa"/>
          </w:tcPr>
          <w:p w14:paraId="659D3AA7" w14:textId="77777777" w:rsidR="00C33CC3" w:rsidRDefault="00C33CC3" w:rsidP="004C1132">
            <w:pPr>
              <w:ind w:left="0"/>
            </w:pPr>
            <w:r>
              <w:t>EC</w:t>
            </w:r>
            <w:r>
              <w:rPr>
                <w:vertAlign w:val="subscript"/>
              </w:rPr>
              <w:t>50</w:t>
            </w:r>
          </w:p>
        </w:tc>
        <w:tc>
          <w:tcPr>
            <w:tcW w:w="6697" w:type="dxa"/>
          </w:tcPr>
          <w:p w14:paraId="5BE002FD" w14:textId="77777777" w:rsidR="00C33CC3" w:rsidRDefault="00C33CC3" w:rsidP="004C1132">
            <w:pPr>
              <w:ind w:left="0"/>
            </w:pPr>
            <w:r>
              <w:t>50% (half maximal) effective concentration</w:t>
            </w:r>
          </w:p>
        </w:tc>
      </w:tr>
      <w:tr w:rsidR="00C33CC3" w:rsidRPr="00FD119B" w14:paraId="3034AE03" w14:textId="77777777" w:rsidTr="00C33CC3">
        <w:tc>
          <w:tcPr>
            <w:tcW w:w="1797" w:type="dxa"/>
          </w:tcPr>
          <w:p w14:paraId="0C34EEE5" w14:textId="77777777" w:rsidR="00C33CC3" w:rsidRPr="00A23887" w:rsidRDefault="00C33CC3" w:rsidP="00A23887">
            <w:pPr>
              <w:ind w:left="0"/>
              <w:rPr>
                <w:vertAlign w:val="subscript"/>
              </w:rPr>
            </w:pPr>
            <w:r>
              <w:t>EC</w:t>
            </w:r>
            <w:r>
              <w:rPr>
                <w:vertAlign w:val="subscript"/>
              </w:rPr>
              <w:t>90</w:t>
            </w:r>
          </w:p>
        </w:tc>
        <w:tc>
          <w:tcPr>
            <w:tcW w:w="6697" w:type="dxa"/>
          </w:tcPr>
          <w:p w14:paraId="65BD74BF" w14:textId="77777777" w:rsidR="00C33CC3" w:rsidRDefault="00C33CC3" w:rsidP="00A23887">
            <w:pPr>
              <w:ind w:left="0"/>
            </w:pPr>
            <w:r>
              <w:t>90% maximal effective concentration</w:t>
            </w:r>
          </w:p>
        </w:tc>
      </w:tr>
      <w:tr w:rsidR="00C33CC3" w:rsidRPr="00FD119B" w14:paraId="139DCB3B" w14:textId="77777777" w:rsidTr="00C33CC3">
        <w:tc>
          <w:tcPr>
            <w:tcW w:w="1797" w:type="dxa"/>
          </w:tcPr>
          <w:p w14:paraId="70046EC5" w14:textId="77777777" w:rsidR="00C33CC3" w:rsidRDefault="00C33CC3" w:rsidP="00CA6F23">
            <w:pPr>
              <w:ind w:left="0"/>
            </w:pPr>
            <w:r>
              <w:t>eGFR</w:t>
            </w:r>
          </w:p>
        </w:tc>
        <w:tc>
          <w:tcPr>
            <w:tcW w:w="6697" w:type="dxa"/>
          </w:tcPr>
          <w:p w14:paraId="751A78EB" w14:textId="77777777" w:rsidR="00C33CC3" w:rsidRDefault="00C33CC3" w:rsidP="00CA6F23">
            <w:pPr>
              <w:ind w:left="0"/>
            </w:pPr>
            <w:r>
              <w:t>Estimated glomerular filtration rate</w:t>
            </w:r>
          </w:p>
        </w:tc>
      </w:tr>
      <w:tr w:rsidR="00C33CC3" w:rsidRPr="00FD119B" w14:paraId="2B925F9A" w14:textId="77777777" w:rsidTr="00C33CC3">
        <w:tc>
          <w:tcPr>
            <w:tcW w:w="1797" w:type="dxa"/>
          </w:tcPr>
          <w:p w14:paraId="278A53A7" w14:textId="77777777" w:rsidR="00C33CC3" w:rsidRDefault="00C33CC3" w:rsidP="00EF2734">
            <w:pPr>
              <w:ind w:left="0"/>
            </w:pPr>
            <w:r>
              <w:t>EMA</w:t>
            </w:r>
          </w:p>
        </w:tc>
        <w:tc>
          <w:tcPr>
            <w:tcW w:w="6697" w:type="dxa"/>
          </w:tcPr>
          <w:p w14:paraId="00B7F082" w14:textId="77777777" w:rsidR="00C33CC3" w:rsidRDefault="00C33CC3" w:rsidP="00EF2734">
            <w:pPr>
              <w:ind w:left="0"/>
            </w:pPr>
            <w:r>
              <w:t>European Medicines Agency (European Union)</w:t>
            </w:r>
          </w:p>
        </w:tc>
      </w:tr>
      <w:tr w:rsidR="00C33CC3" w:rsidRPr="00FD119B" w14:paraId="31AEB3B3" w14:textId="77777777" w:rsidTr="00C33CC3">
        <w:tc>
          <w:tcPr>
            <w:tcW w:w="1797" w:type="dxa"/>
          </w:tcPr>
          <w:p w14:paraId="296A6F83" w14:textId="77777777" w:rsidR="00C33CC3" w:rsidRDefault="00C33CC3" w:rsidP="00EF2734">
            <w:pPr>
              <w:ind w:left="0"/>
            </w:pPr>
            <w:r>
              <w:t>EU</w:t>
            </w:r>
          </w:p>
        </w:tc>
        <w:tc>
          <w:tcPr>
            <w:tcW w:w="6697" w:type="dxa"/>
          </w:tcPr>
          <w:p w14:paraId="7344CE63" w14:textId="77777777" w:rsidR="00C33CC3" w:rsidRDefault="00C33CC3" w:rsidP="00EF2734">
            <w:pPr>
              <w:ind w:left="0"/>
            </w:pPr>
            <w:r>
              <w:t>European Union</w:t>
            </w:r>
          </w:p>
        </w:tc>
      </w:tr>
      <w:tr w:rsidR="00C33CC3" w:rsidRPr="00FD119B" w14:paraId="7321E1C3" w14:textId="77777777" w:rsidTr="00C33CC3">
        <w:tc>
          <w:tcPr>
            <w:tcW w:w="1797" w:type="dxa"/>
          </w:tcPr>
          <w:p w14:paraId="1630A256" w14:textId="77777777" w:rsidR="00C33CC3" w:rsidRDefault="00C33CC3" w:rsidP="00EF2734">
            <w:pPr>
              <w:ind w:left="0"/>
            </w:pPr>
            <w:r>
              <w:t>FDA</w:t>
            </w:r>
          </w:p>
        </w:tc>
        <w:tc>
          <w:tcPr>
            <w:tcW w:w="6697" w:type="dxa"/>
          </w:tcPr>
          <w:p w14:paraId="62D07B95" w14:textId="77777777" w:rsidR="00C33CC3" w:rsidRDefault="00C33CC3" w:rsidP="00EF2734">
            <w:pPr>
              <w:ind w:left="0"/>
            </w:pPr>
            <w:r>
              <w:t>Food and Drugs Administration (United States of America)</w:t>
            </w:r>
          </w:p>
        </w:tc>
      </w:tr>
      <w:tr w:rsidR="00C33CC3" w:rsidRPr="00FD119B" w14:paraId="1DFA193D" w14:textId="77777777" w:rsidTr="00C33CC3">
        <w:tc>
          <w:tcPr>
            <w:tcW w:w="1797" w:type="dxa"/>
          </w:tcPr>
          <w:p w14:paraId="75DEDF7C" w14:textId="77777777" w:rsidR="00C33CC3" w:rsidRDefault="00C33CC3" w:rsidP="00EF605E">
            <w:pPr>
              <w:ind w:left="0"/>
            </w:pPr>
            <w:r>
              <w:t>GLP</w:t>
            </w:r>
          </w:p>
        </w:tc>
        <w:tc>
          <w:tcPr>
            <w:tcW w:w="6697" w:type="dxa"/>
          </w:tcPr>
          <w:p w14:paraId="02309CC0" w14:textId="77777777" w:rsidR="00C33CC3" w:rsidRDefault="00C33CC3" w:rsidP="00EF605E">
            <w:pPr>
              <w:ind w:left="0"/>
            </w:pPr>
            <w:r>
              <w:t>Good Laboratory Practice(s)</w:t>
            </w:r>
          </w:p>
        </w:tc>
      </w:tr>
      <w:tr w:rsidR="003737B5" w:rsidRPr="00FD119B" w14:paraId="6D2AB943" w14:textId="77777777" w:rsidTr="00C33CC3">
        <w:tc>
          <w:tcPr>
            <w:tcW w:w="1797" w:type="dxa"/>
          </w:tcPr>
          <w:p w14:paraId="132429EC" w14:textId="52FA3B4A" w:rsidR="003737B5" w:rsidRDefault="003737B5" w:rsidP="00CF1D4F">
            <w:pPr>
              <w:ind w:left="0"/>
            </w:pPr>
            <w:r>
              <w:t>GVP</w:t>
            </w:r>
          </w:p>
        </w:tc>
        <w:tc>
          <w:tcPr>
            <w:tcW w:w="6697" w:type="dxa"/>
          </w:tcPr>
          <w:p w14:paraId="6D68EBCB" w14:textId="5EF56EE8" w:rsidR="003737B5" w:rsidRDefault="003737B5" w:rsidP="00CF1D4F">
            <w:pPr>
              <w:ind w:left="0"/>
            </w:pPr>
            <w:r>
              <w:t xml:space="preserve">Good </w:t>
            </w:r>
            <w:r w:rsidR="007A176B">
              <w:t>Pharmacovigilance</w:t>
            </w:r>
            <w:r>
              <w:t xml:space="preserve"> Practice(s)</w:t>
            </w:r>
          </w:p>
        </w:tc>
      </w:tr>
      <w:tr w:rsidR="00C33CC3" w:rsidRPr="00FD119B" w14:paraId="33B39D97" w14:textId="77777777" w:rsidTr="00C33CC3">
        <w:tc>
          <w:tcPr>
            <w:tcW w:w="1797" w:type="dxa"/>
          </w:tcPr>
          <w:p w14:paraId="1EA70870" w14:textId="77777777" w:rsidR="00C33CC3" w:rsidRDefault="00C33CC3" w:rsidP="009E6AFF">
            <w:pPr>
              <w:ind w:left="0"/>
            </w:pPr>
            <w:r>
              <w:lastRenderedPageBreak/>
              <w:t>IV</w:t>
            </w:r>
          </w:p>
        </w:tc>
        <w:tc>
          <w:tcPr>
            <w:tcW w:w="6697" w:type="dxa"/>
          </w:tcPr>
          <w:p w14:paraId="08FB81EA" w14:textId="77777777" w:rsidR="00C33CC3" w:rsidRDefault="00C33CC3" w:rsidP="009E6AFF">
            <w:pPr>
              <w:ind w:left="0"/>
            </w:pPr>
            <w:r>
              <w:t>Intravenous</w:t>
            </w:r>
          </w:p>
        </w:tc>
      </w:tr>
      <w:tr w:rsidR="00537B28" w:rsidRPr="00FD119B" w14:paraId="71C2D86A" w14:textId="77777777" w:rsidTr="00C33CC3">
        <w:tc>
          <w:tcPr>
            <w:tcW w:w="1797" w:type="dxa"/>
          </w:tcPr>
          <w:p w14:paraId="03AA563B" w14:textId="7FED9A61" w:rsidR="00537B28" w:rsidRDefault="00537B28" w:rsidP="00537B28">
            <w:pPr>
              <w:ind w:left="0"/>
            </w:pPr>
            <w:r>
              <w:t>mRNA</w:t>
            </w:r>
          </w:p>
        </w:tc>
        <w:tc>
          <w:tcPr>
            <w:tcW w:w="6697" w:type="dxa"/>
          </w:tcPr>
          <w:p w14:paraId="38BACFCE" w14:textId="6AD1B112" w:rsidR="00537B28" w:rsidRDefault="00537B28" w:rsidP="00537B28">
            <w:pPr>
              <w:ind w:left="0"/>
            </w:pPr>
            <w:r>
              <w:t>Messenger ribonucleic acid</w:t>
            </w:r>
          </w:p>
        </w:tc>
      </w:tr>
      <w:tr w:rsidR="00C33CC3" w:rsidRPr="00FD119B" w14:paraId="6C8BF87A" w14:textId="77777777" w:rsidTr="00C33CC3">
        <w:tc>
          <w:tcPr>
            <w:tcW w:w="1797" w:type="dxa"/>
          </w:tcPr>
          <w:p w14:paraId="0CB16A72" w14:textId="77777777" w:rsidR="00C33CC3" w:rsidRDefault="00C33CC3" w:rsidP="00776253">
            <w:pPr>
              <w:ind w:left="0"/>
            </w:pPr>
            <w:r>
              <w:t>NOAEL</w:t>
            </w:r>
          </w:p>
        </w:tc>
        <w:tc>
          <w:tcPr>
            <w:tcW w:w="6697" w:type="dxa"/>
          </w:tcPr>
          <w:p w14:paraId="0D4D60EC" w14:textId="77777777" w:rsidR="00C33CC3" w:rsidRDefault="00C33CC3" w:rsidP="00776253">
            <w:pPr>
              <w:ind w:left="0"/>
            </w:pPr>
            <w:r>
              <w:t>No observed adverse effect level</w:t>
            </w:r>
          </w:p>
        </w:tc>
      </w:tr>
      <w:tr w:rsidR="00C33CC3" w:rsidRPr="00FD119B" w14:paraId="60CA6531" w14:textId="77777777" w:rsidTr="00C33CC3">
        <w:tc>
          <w:tcPr>
            <w:tcW w:w="1797" w:type="dxa"/>
          </w:tcPr>
          <w:p w14:paraId="50C849BE" w14:textId="77777777" w:rsidR="00C33CC3" w:rsidRDefault="00C33CC3" w:rsidP="007A5E60">
            <w:pPr>
              <w:ind w:left="0"/>
            </w:pPr>
            <w:r>
              <w:t>PI</w:t>
            </w:r>
          </w:p>
        </w:tc>
        <w:tc>
          <w:tcPr>
            <w:tcW w:w="6697" w:type="dxa"/>
          </w:tcPr>
          <w:p w14:paraId="2EC1EDBE" w14:textId="77777777" w:rsidR="00C33CC3" w:rsidRDefault="00C33CC3" w:rsidP="007A5E60">
            <w:pPr>
              <w:ind w:left="0"/>
            </w:pPr>
            <w:r>
              <w:t>Product Information</w:t>
            </w:r>
          </w:p>
        </w:tc>
      </w:tr>
      <w:tr w:rsidR="00C33CC3" w:rsidRPr="00FD119B" w14:paraId="7C051CDE" w14:textId="77777777" w:rsidTr="00C33CC3">
        <w:tc>
          <w:tcPr>
            <w:tcW w:w="1797" w:type="dxa"/>
          </w:tcPr>
          <w:p w14:paraId="4F98FA77" w14:textId="77777777" w:rsidR="00C33CC3" w:rsidRDefault="00C33CC3" w:rsidP="00EF2734">
            <w:pPr>
              <w:ind w:left="0"/>
            </w:pPr>
            <w:r>
              <w:t>PK</w:t>
            </w:r>
          </w:p>
        </w:tc>
        <w:tc>
          <w:tcPr>
            <w:tcW w:w="6697" w:type="dxa"/>
          </w:tcPr>
          <w:p w14:paraId="3ACD9620" w14:textId="77777777" w:rsidR="00C33CC3" w:rsidRDefault="00C33CC3" w:rsidP="00EF2734">
            <w:pPr>
              <w:ind w:left="0"/>
            </w:pPr>
            <w:r>
              <w:t>Pharmacokinetic(s)</w:t>
            </w:r>
          </w:p>
        </w:tc>
      </w:tr>
      <w:tr w:rsidR="00C33CC3" w:rsidRPr="00FD119B" w14:paraId="72DB12E5" w14:textId="77777777" w:rsidTr="00C33CC3">
        <w:tc>
          <w:tcPr>
            <w:tcW w:w="1797" w:type="dxa"/>
          </w:tcPr>
          <w:p w14:paraId="6B316948" w14:textId="77777777" w:rsidR="00C33CC3" w:rsidRDefault="00C33CC3" w:rsidP="00EF2734">
            <w:pPr>
              <w:ind w:left="0"/>
            </w:pPr>
            <w:r>
              <w:t>PopPK</w:t>
            </w:r>
          </w:p>
        </w:tc>
        <w:tc>
          <w:tcPr>
            <w:tcW w:w="6697" w:type="dxa"/>
          </w:tcPr>
          <w:p w14:paraId="61A0DA14" w14:textId="77777777" w:rsidR="00C33CC3" w:rsidRDefault="00C33CC3" w:rsidP="00EF2734">
            <w:pPr>
              <w:ind w:left="0"/>
            </w:pPr>
            <w:r>
              <w:t>Population pharmacokinetic(s)</w:t>
            </w:r>
          </w:p>
        </w:tc>
      </w:tr>
      <w:tr w:rsidR="003737B5" w:rsidRPr="00FD119B" w14:paraId="2646982C" w14:textId="77777777" w:rsidTr="00C33CC3">
        <w:tc>
          <w:tcPr>
            <w:tcW w:w="1797" w:type="dxa"/>
          </w:tcPr>
          <w:p w14:paraId="3B8A1FB1" w14:textId="77677750" w:rsidR="003737B5" w:rsidRDefault="003737B5" w:rsidP="00CF1D4F">
            <w:pPr>
              <w:ind w:left="0"/>
            </w:pPr>
            <w:r>
              <w:t>PSUR</w:t>
            </w:r>
          </w:p>
        </w:tc>
        <w:tc>
          <w:tcPr>
            <w:tcW w:w="6697" w:type="dxa"/>
          </w:tcPr>
          <w:p w14:paraId="3CEE8A90" w14:textId="4F28F907" w:rsidR="003737B5" w:rsidRDefault="003737B5" w:rsidP="00CF1D4F">
            <w:pPr>
              <w:ind w:left="0"/>
            </w:pPr>
            <w:r>
              <w:t>Periodic safety update report</w:t>
            </w:r>
          </w:p>
        </w:tc>
      </w:tr>
      <w:tr w:rsidR="00BA3A34" w:rsidRPr="00FD119B" w14:paraId="760BEF8F" w14:textId="77777777" w:rsidTr="00C33CC3">
        <w:tc>
          <w:tcPr>
            <w:tcW w:w="1797" w:type="dxa"/>
          </w:tcPr>
          <w:p w14:paraId="508E1819" w14:textId="04CA6D23" w:rsidR="00BA3A34" w:rsidRDefault="00BA3A34" w:rsidP="00BA3A34">
            <w:pPr>
              <w:ind w:left="0"/>
            </w:pPr>
            <w:r>
              <w:t>RNA</w:t>
            </w:r>
          </w:p>
        </w:tc>
        <w:tc>
          <w:tcPr>
            <w:tcW w:w="6697" w:type="dxa"/>
          </w:tcPr>
          <w:p w14:paraId="763F50CE" w14:textId="729D5336" w:rsidR="00BA3A34" w:rsidRDefault="00BA3A34" w:rsidP="00BA3A34">
            <w:pPr>
              <w:ind w:left="0"/>
            </w:pPr>
            <w:r>
              <w:t>Ribonucleic acid</w:t>
            </w:r>
          </w:p>
        </w:tc>
      </w:tr>
      <w:tr w:rsidR="00C33CC3" w:rsidRPr="00FD119B" w14:paraId="7768DFF4" w14:textId="77777777" w:rsidTr="00C33CC3">
        <w:tc>
          <w:tcPr>
            <w:tcW w:w="1797" w:type="dxa"/>
          </w:tcPr>
          <w:p w14:paraId="5970CF08" w14:textId="77777777" w:rsidR="00C33CC3" w:rsidRPr="00FD119B" w:rsidRDefault="00C33CC3" w:rsidP="00CF5DAD">
            <w:pPr>
              <w:ind w:left="0" w:right="0"/>
              <w:rPr>
                <w:color w:val="auto"/>
                <w:szCs w:val="22"/>
                <w:lang w:eastAsia="en-US"/>
              </w:rPr>
            </w:pPr>
            <w:r>
              <w:rPr>
                <w:color w:val="auto"/>
                <w:szCs w:val="22"/>
                <w:lang w:eastAsia="en-US"/>
              </w:rPr>
              <w:t>SARS-CoV-2</w:t>
            </w:r>
          </w:p>
        </w:tc>
        <w:tc>
          <w:tcPr>
            <w:tcW w:w="6697" w:type="dxa"/>
          </w:tcPr>
          <w:p w14:paraId="57C338DA" w14:textId="28FB1ED1" w:rsidR="00C33CC3" w:rsidRPr="00FD119B" w:rsidRDefault="00C33CC3" w:rsidP="00CF5DAD">
            <w:pPr>
              <w:ind w:left="0" w:right="0"/>
              <w:rPr>
                <w:color w:val="auto"/>
                <w:szCs w:val="22"/>
                <w:lang w:eastAsia="en-US"/>
              </w:rPr>
            </w:pPr>
            <w:r>
              <w:rPr>
                <w:color w:val="auto"/>
                <w:szCs w:val="22"/>
                <w:lang w:eastAsia="en-US"/>
              </w:rPr>
              <w:t>S</w:t>
            </w:r>
            <w:r w:rsidRPr="00EF2734">
              <w:rPr>
                <w:color w:val="auto"/>
                <w:szCs w:val="22"/>
                <w:lang w:eastAsia="en-US"/>
              </w:rPr>
              <w:t>evere</w:t>
            </w:r>
            <w:r>
              <w:rPr>
                <w:color w:val="auto"/>
                <w:szCs w:val="22"/>
                <w:lang w:eastAsia="en-US"/>
              </w:rPr>
              <w:t xml:space="preserve"> acute respirat</w:t>
            </w:r>
            <w:r w:rsidR="00BA3A34">
              <w:rPr>
                <w:color w:val="auto"/>
                <w:szCs w:val="22"/>
                <w:lang w:eastAsia="en-US"/>
              </w:rPr>
              <w:t>ory syndrome c</w:t>
            </w:r>
            <w:r>
              <w:rPr>
                <w:color w:val="auto"/>
                <w:szCs w:val="22"/>
                <w:lang w:eastAsia="en-US"/>
              </w:rPr>
              <w:t>oronavirus 2</w:t>
            </w:r>
          </w:p>
        </w:tc>
      </w:tr>
      <w:tr w:rsidR="00C33CC3" w:rsidRPr="00FD119B" w14:paraId="32F6AC8E" w14:textId="77777777" w:rsidTr="00C33CC3">
        <w:tc>
          <w:tcPr>
            <w:tcW w:w="1797" w:type="dxa"/>
          </w:tcPr>
          <w:p w14:paraId="0D648EE7" w14:textId="77777777" w:rsidR="00C33CC3" w:rsidRDefault="00C33CC3" w:rsidP="00EF2734">
            <w:pPr>
              <w:ind w:left="0"/>
            </w:pPr>
            <w:r>
              <w:t>T</w:t>
            </w:r>
            <w:r w:rsidRPr="00EF2734">
              <w:rPr>
                <w:vertAlign w:val="subscript"/>
              </w:rPr>
              <w:t>max</w:t>
            </w:r>
          </w:p>
        </w:tc>
        <w:tc>
          <w:tcPr>
            <w:tcW w:w="6697" w:type="dxa"/>
          </w:tcPr>
          <w:p w14:paraId="65CADFC0" w14:textId="77777777" w:rsidR="00C33CC3" w:rsidRDefault="00C33CC3" w:rsidP="00EF2734">
            <w:pPr>
              <w:ind w:left="0"/>
            </w:pPr>
            <w:r>
              <w:t>Time of maximum concentration</w:t>
            </w:r>
          </w:p>
        </w:tc>
      </w:tr>
      <w:tr w:rsidR="00C33CC3" w:rsidRPr="00FD119B" w14:paraId="511F0B84" w14:textId="77777777" w:rsidTr="00C33CC3">
        <w:tc>
          <w:tcPr>
            <w:tcW w:w="1797" w:type="dxa"/>
          </w:tcPr>
          <w:p w14:paraId="3C469B54" w14:textId="77777777" w:rsidR="00C33CC3" w:rsidRDefault="00C33CC3" w:rsidP="009E6AFF">
            <w:pPr>
              <w:ind w:left="0"/>
            </w:pPr>
            <w:r>
              <w:t>ULN</w:t>
            </w:r>
          </w:p>
        </w:tc>
        <w:tc>
          <w:tcPr>
            <w:tcW w:w="6697" w:type="dxa"/>
          </w:tcPr>
          <w:p w14:paraId="7BC1B3E3" w14:textId="77777777" w:rsidR="00C33CC3" w:rsidRDefault="00C33CC3" w:rsidP="009E6AFF">
            <w:pPr>
              <w:ind w:left="0"/>
            </w:pPr>
            <w:r>
              <w:t>Upper limit of normal</w:t>
            </w:r>
          </w:p>
        </w:tc>
      </w:tr>
      <w:tr w:rsidR="00C33CC3" w:rsidRPr="00FD119B" w14:paraId="3684D76D" w14:textId="77777777" w:rsidTr="00C33CC3">
        <w:tc>
          <w:tcPr>
            <w:tcW w:w="1797" w:type="dxa"/>
          </w:tcPr>
          <w:p w14:paraId="2F09B121" w14:textId="77777777" w:rsidR="00C33CC3" w:rsidRDefault="00C33CC3" w:rsidP="00EF2734">
            <w:pPr>
              <w:ind w:left="0"/>
            </w:pPr>
            <w:r>
              <w:t>US(A)</w:t>
            </w:r>
          </w:p>
        </w:tc>
        <w:tc>
          <w:tcPr>
            <w:tcW w:w="6697" w:type="dxa"/>
          </w:tcPr>
          <w:p w14:paraId="21DD013A" w14:textId="77777777" w:rsidR="00C33CC3" w:rsidRDefault="00C33CC3" w:rsidP="00EF2734">
            <w:pPr>
              <w:ind w:left="0"/>
            </w:pPr>
            <w:r>
              <w:t>United States (of America)</w:t>
            </w:r>
          </w:p>
        </w:tc>
      </w:tr>
      <w:tr w:rsidR="00C33CC3" w:rsidRPr="00FD119B" w14:paraId="7769DE8A" w14:textId="77777777" w:rsidTr="00C33CC3">
        <w:tc>
          <w:tcPr>
            <w:tcW w:w="1797" w:type="dxa"/>
          </w:tcPr>
          <w:p w14:paraId="214943C5" w14:textId="77777777" w:rsidR="00C33CC3" w:rsidRDefault="00C33CC3" w:rsidP="00A23887">
            <w:pPr>
              <w:ind w:left="0"/>
            </w:pPr>
            <w:r>
              <w:t>VIR-7831</w:t>
            </w:r>
          </w:p>
        </w:tc>
        <w:tc>
          <w:tcPr>
            <w:tcW w:w="6697" w:type="dxa"/>
          </w:tcPr>
          <w:p w14:paraId="12B9A7DF" w14:textId="77777777" w:rsidR="00C33CC3" w:rsidRDefault="00C33CC3" w:rsidP="00A23887">
            <w:pPr>
              <w:ind w:left="0"/>
            </w:pPr>
            <w:r>
              <w:t>Drug development code for sotrovimab</w:t>
            </w:r>
          </w:p>
        </w:tc>
      </w:tr>
      <w:tr w:rsidR="003737B5" w:rsidRPr="00FD119B" w14:paraId="18B5FAEA" w14:textId="77777777" w:rsidTr="00C33CC3">
        <w:tc>
          <w:tcPr>
            <w:tcW w:w="1797" w:type="dxa"/>
          </w:tcPr>
          <w:p w14:paraId="51BC4610" w14:textId="081A4592" w:rsidR="003737B5" w:rsidRDefault="003737B5" w:rsidP="00CF1D4F">
            <w:pPr>
              <w:ind w:left="0"/>
            </w:pPr>
            <w:r>
              <w:t>WHO</w:t>
            </w:r>
          </w:p>
        </w:tc>
        <w:tc>
          <w:tcPr>
            <w:tcW w:w="6697" w:type="dxa"/>
          </w:tcPr>
          <w:p w14:paraId="3ED8A81B" w14:textId="0C7CB6D7" w:rsidR="003737B5" w:rsidRDefault="003737B5" w:rsidP="00CF1D4F">
            <w:pPr>
              <w:ind w:left="0"/>
            </w:pPr>
            <w:r>
              <w:t>World Health Organization</w:t>
            </w:r>
          </w:p>
        </w:tc>
      </w:tr>
    </w:tbl>
    <w:p w14:paraId="462EA74C" w14:textId="77777777" w:rsidR="00FD119B" w:rsidRDefault="00FD119B" w:rsidP="00FD119B"/>
    <w:p w14:paraId="06D4E814"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808E4B6" w14:textId="77777777" w:rsidR="008E7846" w:rsidRDefault="00F53C07" w:rsidP="008E7846">
      <w:pPr>
        <w:pStyle w:val="Heading2"/>
      </w:pPr>
      <w:bookmarkStart w:id="8" w:name="_Toc80080851"/>
      <w:r>
        <w:lastRenderedPageBreak/>
        <w:t>I.</w:t>
      </w:r>
      <w:r w:rsidR="008E7846">
        <w:t xml:space="preserve"> Introduction to product submission</w:t>
      </w:r>
      <w:bookmarkEnd w:id="8"/>
      <w:bookmarkEnd w:id="2"/>
      <w:bookmarkEnd w:id="0"/>
    </w:p>
    <w:p w14:paraId="383B0CD5" w14:textId="77777777" w:rsidR="008E7846" w:rsidRDefault="008E7846" w:rsidP="008E7846">
      <w:pPr>
        <w:pStyle w:val="Heading3"/>
        <w:rPr>
          <w:lang w:eastAsia="en-AU"/>
        </w:rPr>
      </w:pPr>
      <w:bookmarkStart w:id="9" w:name="_Toc247691502"/>
      <w:bookmarkStart w:id="10" w:name="_Toc314842483"/>
      <w:bookmarkStart w:id="11" w:name="_Toc80080852"/>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53D26AB4" w14:textId="77777777" w:rsidTr="003735BC">
        <w:tc>
          <w:tcPr>
            <w:tcW w:w="2907" w:type="dxa"/>
          </w:tcPr>
          <w:p w14:paraId="4C6824BD"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2564CF0" w14:textId="317A08A9" w:rsidR="008E7846" w:rsidRPr="003D1E62" w:rsidRDefault="008E7846" w:rsidP="00A343F4">
            <w:r w:rsidRPr="003D1E62">
              <w:t xml:space="preserve">New </w:t>
            </w:r>
            <w:r w:rsidR="002400FD">
              <w:t>biolog</w:t>
            </w:r>
            <w:r w:rsidR="00A343F4">
              <w:t xml:space="preserve">ical </w:t>
            </w:r>
            <w:r w:rsidR="001B5C90">
              <w:t>e</w:t>
            </w:r>
            <w:r w:rsidR="00A343F4">
              <w:t>ntity</w:t>
            </w:r>
          </w:p>
        </w:tc>
      </w:tr>
      <w:tr w:rsidR="00460036" w:rsidRPr="003D1E62" w14:paraId="28FE1E74" w14:textId="77777777" w:rsidTr="003735BC">
        <w:tc>
          <w:tcPr>
            <w:tcW w:w="2907" w:type="dxa"/>
          </w:tcPr>
          <w:p w14:paraId="4A545B39" w14:textId="50305ECD" w:rsidR="00460036" w:rsidRPr="003D1E62" w:rsidRDefault="00A343F4" w:rsidP="003D1E62">
            <w:pPr>
              <w:rPr>
                <w:i/>
              </w:rPr>
            </w:pPr>
            <w:r>
              <w:rPr>
                <w:i/>
              </w:rPr>
              <w:t>Product name</w:t>
            </w:r>
            <w:r w:rsidR="00460036" w:rsidRPr="00460036">
              <w:rPr>
                <w:i/>
              </w:rPr>
              <w:t>:</w:t>
            </w:r>
          </w:p>
        </w:tc>
        <w:tc>
          <w:tcPr>
            <w:tcW w:w="6307" w:type="dxa"/>
          </w:tcPr>
          <w:p w14:paraId="213C7FC3" w14:textId="5E4E2BAC" w:rsidR="00460036" w:rsidRPr="003D1E62" w:rsidRDefault="00A343F4" w:rsidP="001B5C90">
            <w:r>
              <w:t>Xevudy</w:t>
            </w:r>
          </w:p>
        </w:tc>
      </w:tr>
      <w:tr w:rsidR="00460036" w:rsidRPr="003D1E62" w14:paraId="25151925" w14:textId="77777777" w:rsidTr="003735BC">
        <w:tc>
          <w:tcPr>
            <w:tcW w:w="2907" w:type="dxa"/>
          </w:tcPr>
          <w:p w14:paraId="37E30DFA" w14:textId="227E21BB" w:rsidR="00460036" w:rsidRPr="003D1E62" w:rsidRDefault="00A343F4" w:rsidP="003D1E62">
            <w:pPr>
              <w:rPr>
                <w:i/>
              </w:rPr>
            </w:pPr>
            <w:r>
              <w:rPr>
                <w:i/>
              </w:rPr>
              <w:t>Active ingredient</w:t>
            </w:r>
            <w:r w:rsidR="00460036" w:rsidRPr="00460036">
              <w:rPr>
                <w:i/>
              </w:rPr>
              <w:t>:</w:t>
            </w:r>
          </w:p>
        </w:tc>
        <w:tc>
          <w:tcPr>
            <w:tcW w:w="6307" w:type="dxa"/>
          </w:tcPr>
          <w:p w14:paraId="1C9BEE63" w14:textId="1F40C3DA" w:rsidR="00460036" w:rsidRPr="003D1E62" w:rsidRDefault="00A343F4" w:rsidP="00A343F4">
            <w:r>
              <w:t>Sotrovimab</w:t>
            </w:r>
          </w:p>
        </w:tc>
      </w:tr>
      <w:tr w:rsidR="008E7846" w:rsidRPr="003D1E62" w14:paraId="3888F65B" w14:textId="77777777" w:rsidTr="003735BC">
        <w:tc>
          <w:tcPr>
            <w:tcW w:w="2907" w:type="dxa"/>
          </w:tcPr>
          <w:p w14:paraId="3572575D" w14:textId="77777777" w:rsidR="008E7846" w:rsidRPr="003D1E62" w:rsidRDefault="008E7846" w:rsidP="003D1E62">
            <w:r w:rsidRPr="003D1E62">
              <w:rPr>
                <w:i/>
              </w:rPr>
              <w:t>Decision</w:t>
            </w:r>
            <w:r w:rsidRPr="003D1E62">
              <w:t>:</w:t>
            </w:r>
          </w:p>
        </w:tc>
        <w:tc>
          <w:tcPr>
            <w:tcW w:w="6307" w:type="dxa"/>
          </w:tcPr>
          <w:p w14:paraId="7E8E6A17" w14:textId="56527EAC" w:rsidR="008E7846" w:rsidRPr="003D1E62" w:rsidRDefault="004F36BF" w:rsidP="001B5C90">
            <w:r w:rsidRPr="004F36BF">
              <w:t>Approved for provisional registration</w:t>
            </w:r>
          </w:p>
        </w:tc>
      </w:tr>
      <w:tr w:rsidR="008E7846" w:rsidRPr="003D1E62" w14:paraId="7334A94C" w14:textId="77777777" w:rsidTr="003735BC">
        <w:tc>
          <w:tcPr>
            <w:tcW w:w="2907" w:type="dxa"/>
          </w:tcPr>
          <w:p w14:paraId="795FE097" w14:textId="77777777" w:rsidR="008E7846" w:rsidRPr="00BF3C7C" w:rsidRDefault="008E7846" w:rsidP="001B5C90">
            <w:pPr>
              <w:rPr>
                <w:i/>
              </w:rPr>
            </w:pPr>
            <w:r w:rsidRPr="00BF3C7C">
              <w:rPr>
                <w:i/>
              </w:rPr>
              <w:t xml:space="preserve">Date of </w:t>
            </w:r>
            <w:r w:rsidR="001B5C90" w:rsidRPr="00BF3C7C">
              <w:rPr>
                <w:i/>
              </w:rPr>
              <w:t>d</w:t>
            </w:r>
            <w:r w:rsidRPr="00BF3C7C">
              <w:rPr>
                <w:i/>
              </w:rPr>
              <w:t>ecision:</w:t>
            </w:r>
          </w:p>
        </w:tc>
        <w:tc>
          <w:tcPr>
            <w:tcW w:w="6307" w:type="dxa"/>
          </w:tcPr>
          <w:p w14:paraId="6E37F165" w14:textId="6D7A735A" w:rsidR="008E7846" w:rsidRPr="00BF3C7C" w:rsidRDefault="004259AB" w:rsidP="001B5C90">
            <w:r w:rsidRPr="00BF3C7C">
              <w:t>20</w:t>
            </w:r>
            <w:r w:rsidR="009C73A5" w:rsidRPr="00BF3C7C">
              <w:t xml:space="preserve"> August 2021</w:t>
            </w:r>
          </w:p>
        </w:tc>
      </w:tr>
      <w:tr w:rsidR="00ED2922" w:rsidRPr="003D1E62" w14:paraId="416C4AFE" w14:textId="77777777" w:rsidTr="003735BC">
        <w:tc>
          <w:tcPr>
            <w:tcW w:w="2907" w:type="dxa"/>
          </w:tcPr>
          <w:p w14:paraId="464FC152" w14:textId="77777777" w:rsidR="00ED2922" w:rsidRPr="00BF3C7C" w:rsidRDefault="00ED2922" w:rsidP="001B5C90">
            <w:pPr>
              <w:rPr>
                <w:i/>
              </w:rPr>
            </w:pPr>
            <w:r w:rsidRPr="00BF3C7C">
              <w:rPr>
                <w:i/>
              </w:rPr>
              <w:t>Date of entry onto ARTG</w:t>
            </w:r>
            <w:r w:rsidR="00500337" w:rsidRPr="00BF3C7C">
              <w:rPr>
                <w:i/>
              </w:rPr>
              <w:t>:</w:t>
            </w:r>
          </w:p>
        </w:tc>
        <w:tc>
          <w:tcPr>
            <w:tcW w:w="6307" w:type="dxa"/>
          </w:tcPr>
          <w:p w14:paraId="7CB8323D" w14:textId="347D2E0B" w:rsidR="00ED2922" w:rsidRPr="00BF3C7C" w:rsidRDefault="004259AB" w:rsidP="009C73A5">
            <w:r w:rsidRPr="00BF3C7C">
              <w:t>20</w:t>
            </w:r>
            <w:r w:rsidR="009C73A5" w:rsidRPr="00BF3C7C">
              <w:t xml:space="preserve"> August 2021</w:t>
            </w:r>
          </w:p>
        </w:tc>
      </w:tr>
      <w:tr w:rsidR="00500337" w:rsidRPr="003D1E62" w14:paraId="754D2638" w14:textId="77777777" w:rsidTr="003735BC">
        <w:tc>
          <w:tcPr>
            <w:tcW w:w="2907" w:type="dxa"/>
          </w:tcPr>
          <w:p w14:paraId="7285BD6C" w14:textId="03539FF0" w:rsidR="00500337" w:rsidRPr="00441C3F" w:rsidRDefault="00A343F4" w:rsidP="001B5C90">
            <w:pPr>
              <w:rPr>
                <w:i/>
              </w:rPr>
            </w:pPr>
            <w:r>
              <w:rPr>
                <w:i/>
              </w:rPr>
              <w:t>ARTG number</w:t>
            </w:r>
            <w:r w:rsidR="00500337">
              <w:rPr>
                <w:i/>
              </w:rPr>
              <w:t>:</w:t>
            </w:r>
          </w:p>
        </w:tc>
        <w:tc>
          <w:tcPr>
            <w:tcW w:w="6307" w:type="dxa"/>
          </w:tcPr>
          <w:p w14:paraId="0FC0DF8F" w14:textId="34893D6B" w:rsidR="00500337" w:rsidRPr="00441C3F" w:rsidRDefault="003D2C37" w:rsidP="00EC463D">
            <w:r w:rsidRPr="003D2C37">
              <w:t>364110</w:t>
            </w:r>
          </w:p>
        </w:tc>
      </w:tr>
      <w:tr w:rsidR="003735BC" w:rsidRPr="003D1E62" w14:paraId="2DC8D956" w14:textId="77777777" w:rsidTr="00335758">
        <w:trPr>
          <w:trHeight w:val="903"/>
        </w:trPr>
        <w:tc>
          <w:tcPr>
            <w:tcW w:w="2907" w:type="dxa"/>
          </w:tcPr>
          <w:p w14:paraId="2BC0382B" w14:textId="77777777" w:rsidR="003735BC" w:rsidRPr="00335758" w:rsidRDefault="00FA5069" w:rsidP="001B5C90">
            <w:pPr>
              <w:rPr>
                <w:i/>
              </w:rPr>
            </w:pPr>
            <w:r w:rsidRPr="00335758">
              <w:rPr>
                <w:rFonts w:ascii="Wingdings 3" w:hAnsi="Wingdings 3"/>
                <w:sz w:val="34"/>
                <w:szCs w:val="34"/>
                <w:lang w:eastAsia="en-AU"/>
              </w:rPr>
              <w:t></w:t>
            </w:r>
            <w:r w:rsidR="003735BC" w:rsidRPr="00335758">
              <w:rPr>
                <w:i/>
              </w:rPr>
              <w:t>Black Triangle Scheme</w:t>
            </w:r>
            <w:r w:rsidR="004C4FBE" w:rsidRPr="00335758">
              <w:rPr>
                <w:i/>
              </w:rPr>
              <w:t>:</w:t>
            </w:r>
            <w:bookmarkStart w:id="12" w:name="_Ref80056912"/>
            <w:r w:rsidR="00460036" w:rsidRPr="00335758">
              <w:rPr>
                <w:rStyle w:val="FootnoteReference"/>
                <w:i/>
              </w:rPr>
              <w:footnoteReference w:id="2"/>
            </w:r>
            <w:bookmarkEnd w:id="12"/>
          </w:p>
        </w:tc>
        <w:tc>
          <w:tcPr>
            <w:tcW w:w="6307" w:type="dxa"/>
          </w:tcPr>
          <w:p w14:paraId="08378CFC" w14:textId="20E8EE7C" w:rsidR="003735BC" w:rsidRPr="00335758" w:rsidRDefault="003735BC" w:rsidP="00335758">
            <w:r w:rsidRPr="00335758">
              <w:t>Yes</w:t>
            </w:r>
          </w:p>
          <w:p w14:paraId="5BCBA013" w14:textId="51DAC0AC" w:rsidR="003735BC" w:rsidRPr="00335758" w:rsidRDefault="003735BC" w:rsidP="00335758">
            <w:r w:rsidRPr="00335758">
              <w:t>As a provisionally registered product, this medicine will remain in the Black Triangle Scheme for the duration of its provisional registration</w:t>
            </w:r>
          </w:p>
        </w:tc>
      </w:tr>
    </w:tbl>
    <w:p w14:paraId="0D468951"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1C1CD64A" w14:textId="77777777" w:rsidTr="00BF1190">
        <w:tc>
          <w:tcPr>
            <w:tcW w:w="2907" w:type="dxa"/>
          </w:tcPr>
          <w:p w14:paraId="660EB06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A1205A5" w14:textId="1350BB74" w:rsidR="003D2C37" w:rsidRDefault="003D2C37" w:rsidP="003D2C37">
            <w:r>
              <w:t>GlaxoSmithKline Australia Pty Ltd</w:t>
            </w:r>
          </w:p>
          <w:p w14:paraId="601B6351" w14:textId="64FAF190" w:rsidR="003D2C37" w:rsidRDefault="003D2C37" w:rsidP="003D2C37">
            <w:r>
              <w:t>Level 3, 436 Johnston Street</w:t>
            </w:r>
          </w:p>
          <w:p w14:paraId="5C935B27" w14:textId="40509157" w:rsidR="008E7846" w:rsidRPr="00487162" w:rsidRDefault="003D2C37" w:rsidP="003D2C37">
            <w:r>
              <w:t>Abbotsford, VIC, 3067</w:t>
            </w:r>
          </w:p>
        </w:tc>
      </w:tr>
      <w:tr w:rsidR="008E7846" w:rsidRPr="00487162" w14:paraId="2ED58A3A" w14:textId="77777777" w:rsidTr="00BF1190">
        <w:tc>
          <w:tcPr>
            <w:tcW w:w="2907" w:type="dxa"/>
          </w:tcPr>
          <w:p w14:paraId="195596AC" w14:textId="08BDFDDD" w:rsidR="008E7846" w:rsidRPr="00487162" w:rsidRDefault="001B5C90" w:rsidP="00E45619">
            <w:pPr>
              <w:rPr>
                <w:i/>
              </w:rPr>
            </w:pPr>
            <w:r>
              <w:rPr>
                <w:i/>
              </w:rPr>
              <w:t>Dos</w:t>
            </w:r>
            <w:r w:rsidR="0049775A">
              <w:rPr>
                <w:i/>
              </w:rPr>
              <w:t>e form</w:t>
            </w:r>
            <w:r>
              <w:rPr>
                <w:i/>
              </w:rPr>
              <w:t>:</w:t>
            </w:r>
          </w:p>
        </w:tc>
        <w:tc>
          <w:tcPr>
            <w:tcW w:w="6307" w:type="dxa"/>
          </w:tcPr>
          <w:p w14:paraId="03820A66" w14:textId="52D89D21" w:rsidR="008E7846" w:rsidRPr="00487162" w:rsidRDefault="00FE4E58" w:rsidP="00E45619">
            <w:r>
              <w:t>Concentrated injection solution for infusion</w:t>
            </w:r>
          </w:p>
        </w:tc>
      </w:tr>
      <w:tr w:rsidR="008E7846" w:rsidRPr="00487162" w14:paraId="3082AD4F" w14:textId="77777777" w:rsidTr="00BF1190">
        <w:tc>
          <w:tcPr>
            <w:tcW w:w="2907" w:type="dxa"/>
          </w:tcPr>
          <w:p w14:paraId="51249C20" w14:textId="13459CAB" w:rsidR="008E7846" w:rsidRPr="00487162" w:rsidRDefault="0049775A" w:rsidP="00E45619">
            <w:pPr>
              <w:rPr>
                <w:i/>
              </w:rPr>
            </w:pPr>
            <w:r>
              <w:rPr>
                <w:i/>
              </w:rPr>
              <w:t>Strength</w:t>
            </w:r>
            <w:r w:rsidR="00324E45">
              <w:rPr>
                <w:i/>
              </w:rPr>
              <w:t>:</w:t>
            </w:r>
          </w:p>
        </w:tc>
        <w:tc>
          <w:tcPr>
            <w:tcW w:w="6307" w:type="dxa"/>
          </w:tcPr>
          <w:p w14:paraId="0486554A" w14:textId="365B9A90" w:rsidR="008E7846" w:rsidRPr="00487162" w:rsidRDefault="0049775A" w:rsidP="00E45619">
            <w:r w:rsidRPr="0049775A">
              <w:t>500 mg</w:t>
            </w:r>
            <w:r>
              <w:t xml:space="preserve"> in 8 mL (62.5 mg/mL)</w:t>
            </w:r>
          </w:p>
        </w:tc>
      </w:tr>
      <w:tr w:rsidR="008E7846" w:rsidRPr="00487162" w14:paraId="412E99AB" w14:textId="77777777" w:rsidTr="00BF1190">
        <w:tc>
          <w:tcPr>
            <w:tcW w:w="2907" w:type="dxa"/>
          </w:tcPr>
          <w:p w14:paraId="203F76BC" w14:textId="56693A57" w:rsidR="008E7846" w:rsidRPr="00487162" w:rsidRDefault="0049775A" w:rsidP="00E45619">
            <w:pPr>
              <w:rPr>
                <w:i/>
              </w:rPr>
            </w:pPr>
            <w:r>
              <w:rPr>
                <w:i/>
              </w:rPr>
              <w:t>Container</w:t>
            </w:r>
            <w:r w:rsidR="008E7846" w:rsidRPr="00487162">
              <w:rPr>
                <w:i/>
              </w:rPr>
              <w:t>:</w:t>
            </w:r>
          </w:p>
        </w:tc>
        <w:tc>
          <w:tcPr>
            <w:tcW w:w="6307" w:type="dxa"/>
          </w:tcPr>
          <w:p w14:paraId="3DBAC544" w14:textId="42EF083A" w:rsidR="008E7846" w:rsidRPr="00487162" w:rsidRDefault="0049775A" w:rsidP="00E45619">
            <w:r>
              <w:t>Vial</w:t>
            </w:r>
          </w:p>
        </w:tc>
      </w:tr>
      <w:tr w:rsidR="008E7846" w:rsidRPr="00487162" w14:paraId="6AB8083E" w14:textId="77777777" w:rsidTr="00BF1190">
        <w:tc>
          <w:tcPr>
            <w:tcW w:w="2907" w:type="dxa"/>
          </w:tcPr>
          <w:p w14:paraId="33CA1867" w14:textId="06535E2F" w:rsidR="008E7846" w:rsidRPr="00641188" w:rsidRDefault="0049775A" w:rsidP="00E45619">
            <w:pPr>
              <w:rPr>
                <w:i/>
              </w:rPr>
            </w:pPr>
            <w:r w:rsidRPr="00641188">
              <w:rPr>
                <w:i/>
              </w:rPr>
              <w:t>Pack size</w:t>
            </w:r>
            <w:r w:rsidR="008E7846" w:rsidRPr="00641188">
              <w:rPr>
                <w:i/>
              </w:rPr>
              <w:t>:</w:t>
            </w:r>
          </w:p>
        </w:tc>
        <w:tc>
          <w:tcPr>
            <w:tcW w:w="6307" w:type="dxa"/>
          </w:tcPr>
          <w:p w14:paraId="6B16F4BE" w14:textId="78B00D43" w:rsidR="008E7846" w:rsidRPr="00641188" w:rsidRDefault="00FE4E58" w:rsidP="00E45619">
            <w:r>
              <w:t>Single dose</w:t>
            </w:r>
          </w:p>
        </w:tc>
      </w:tr>
      <w:tr w:rsidR="008E7846" w:rsidRPr="00487162" w14:paraId="6437CED9" w14:textId="77777777" w:rsidTr="00BF1190">
        <w:tc>
          <w:tcPr>
            <w:tcW w:w="2907" w:type="dxa"/>
          </w:tcPr>
          <w:p w14:paraId="31213008" w14:textId="77777777" w:rsidR="008E7846" w:rsidRPr="009B0887" w:rsidRDefault="008E7846" w:rsidP="001B5C90">
            <w:pPr>
              <w:rPr>
                <w:i/>
              </w:rPr>
            </w:pPr>
            <w:r w:rsidRPr="00641188">
              <w:rPr>
                <w:i/>
              </w:rPr>
              <w:t xml:space="preserve">Approved </w:t>
            </w:r>
            <w:r w:rsidR="001B5C90" w:rsidRPr="00641188">
              <w:rPr>
                <w:i/>
              </w:rPr>
              <w:t>t</w:t>
            </w:r>
            <w:r w:rsidRPr="00641188">
              <w:rPr>
                <w:i/>
              </w:rPr>
              <w:t>herapeutic use</w:t>
            </w:r>
            <w:r w:rsidRPr="009B0887">
              <w:rPr>
                <w:i/>
              </w:rPr>
              <w:t>:</w:t>
            </w:r>
          </w:p>
        </w:tc>
        <w:tc>
          <w:tcPr>
            <w:tcW w:w="6307" w:type="dxa"/>
          </w:tcPr>
          <w:p w14:paraId="64259501" w14:textId="5819F4AD" w:rsidR="009C73A5" w:rsidRPr="009C73A5" w:rsidRDefault="009C73A5" w:rsidP="009C73A5">
            <w:pPr>
              <w:rPr>
                <w:rFonts w:eastAsia="MS Mincho"/>
                <w:i/>
                <w:iCs/>
                <w:lang w:eastAsia="ja-JP"/>
              </w:rPr>
            </w:pPr>
            <w:r w:rsidRPr="009C73A5">
              <w:rPr>
                <w:rFonts w:eastAsia="MS Mincho"/>
                <w:i/>
                <w:iCs/>
                <w:lang w:eastAsia="ja-JP"/>
              </w:rPr>
              <w:t xml:space="preserve">Xevudy has provisional approval for the treatment of adults and adolescents (aged 12 years and over and weighing at least 40 kg) with coronavirus disease 2019 (COVID-19) who do not require initiation of oxygen due to COVID-19 and who are at increased risk of progression to hospitalisation or death (see Section 5.1 Pharmacodynamic </w:t>
            </w:r>
            <w:r>
              <w:rPr>
                <w:rFonts w:eastAsia="MS Mincho"/>
                <w:i/>
                <w:iCs/>
                <w:lang w:eastAsia="ja-JP"/>
              </w:rPr>
              <w:t>p</w:t>
            </w:r>
            <w:r w:rsidRPr="009C73A5">
              <w:rPr>
                <w:rFonts w:eastAsia="MS Mincho"/>
                <w:i/>
                <w:iCs/>
                <w:lang w:eastAsia="ja-JP"/>
              </w:rPr>
              <w:t>roperties, clinical trials).</w:t>
            </w:r>
          </w:p>
          <w:p w14:paraId="613C5FE5" w14:textId="695ECD67" w:rsidR="008E7846" w:rsidRPr="009B0887" w:rsidRDefault="009C73A5" w:rsidP="009B0887">
            <w:pPr>
              <w:rPr>
                <w:rFonts w:eastAsia="MS Mincho"/>
                <w:lang w:eastAsia="ja-JP"/>
              </w:rPr>
            </w:pPr>
            <w:r w:rsidRPr="009C73A5">
              <w:rPr>
                <w:rFonts w:eastAsia="MS Mincho"/>
                <w:i/>
                <w:iCs/>
                <w:lang w:eastAsia="ja-JP"/>
              </w:rPr>
              <w:t xml:space="preserve">The decision has been made on the basis of short term efficacy and safety data. Continued approval of this indication depends on the </w:t>
            </w:r>
            <w:r w:rsidRPr="009C73A5">
              <w:rPr>
                <w:rFonts w:eastAsia="MS Mincho"/>
                <w:i/>
                <w:iCs/>
                <w:lang w:eastAsia="ja-JP"/>
              </w:rPr>
              <w:lastRenderedPageBreak/>
              <w:t>evidence of longer term efficacy and safety from ongoing clinical trials and post-market assessment.</w:t>
            </w:r>
          </w:p>
        </w:tc>
      </w:tr>
      <w:tr w:rsidR="008E7846" w:rsidRPr="00487162" w14:paraId="40631A92" w14:textId="77777777" w:rsidTr="00BF1190">
        <w:tc>
          <w:tcPr>
            <w:tcW w:w="2907" w:type="dxa"/>
          </w:tcPr>
          <w:p w14:paraId="4C0741EF" w14:textId="568E92E6" w:rsidR="008E7846" w:rsidRPr="00487162" w:rsidRDefault="0049775A" w:rsidP="00E45619">
            <w:pPr>
              <w:rPr>
                <w:i/>
              </w:rPr>
            </w:pPr>
            <w:r>
              <w:rPr>
                <w:i/>
              </w:rPr>
              <w:lastRenderedPageBreak/>
              <w:t>Route</w:t>
            </w:r>
            <w:r w:rsidR="008E7846" w:rsidRPr="00487162">
              <w:rPr>
                <w:i/>
              </w:rPr>
              <w:t xml:space="preserve"> of administration:</w:t>
            </w:r>
          </w:p>
        </w:tc>
        <w:tc>
          <w:tcPr>
            <w:tcW w:w="6307" w:type="dxa"/>
          </w:tcPr>
          <w:p w14:paraId="4D794544" w14:textId="5560AD06" w:rsidR="008E7846" w:rsidRPr="00487162" w:rsidRDefault="0049775A" w:rsidP="00E45619">
            <w:r>
              <w:t>Intravenous infusion</w:t>
            </w:r>
          </w:p>
        </w:tc>
      </w:tr>
      <w:tr w:rsidR="008E7846" w:rsidRPr="00487162" w14:paraId="7A07C861" w14:textId="77777777" w:rsidTr="00BF1190">
        <w:tc>
          <w:tcPr>
            <w:tcW w:w="2907" w:type="dxa"/>
          </w:tcPr>
          <w:p w14:paraId="34FF16DA" w14:textId="77777777" w:rsidR="008E7846" w:rsidRPr="00487162" w:rsidRDefault="008E7846" w:rsidP="00E45619">
            <w:pPr>
              <w:rPr>
                <w:i/>
              </w:rPr>
            </w:pPr>
            <w:r w:rsidRPr="00487162">
              <w:rPr>
                <w:i/>
              </w:rPr>
              <w:t>Dosage:</w:t>
            </w:r>
          </w:p>
        </w:tc>
        <w:tc>
          <w:tcPr>
            <w:tcW w:w="6307" w:type="dxa"/>
          </w:tcPr>
          <w:p w14:paraId="4CEEE1D5" w14:textId="754EE261" w:rsidR="008A74AD" w:rsidRPr="00CF1D4F" w:rsidRDefault="008A74AD" w:rsidP="008A74AD">
            <w:pPr>
              <w:rPr>
                <w:i/>
              </w:rPr>
            </w:pPr>
            <w:r w:rsidRPr="00CF1D4F">
              <w:rPr>
                <w:i/>
              </w:rPr>
              <w:t>Adults and adolescents (aged 12 years and older and weighing at least 40 kg)</w:t>
            </w:r>
            <w:r w:rsidR="003737B5" w:rsidRPr="00CF1D4F">
              <w:rPr>
                <w:i/>
              </w:rPr>
              <w:t>:</w:t>
            </w:r>
          </w:p>
          <w:p w14:paraId="035A7BB4" w14:textId="77777777" w:rsidR="008A74AD" w:rsidRDefault="008A74AD" w:rsidP="008A74AD">
            <w:r w:rsidRPr="00D60996">
              <w:t>The recommended regimen is a single 500 mg dose administered as an intravenous infusion.</w:t>
            </w:r>
          </w:p>
          <w:p w14:paraId="12524AAF" w14:textId="77777777" w:rsidR="00460036" w:rsidRPr="00487162" w:rsidRDefault="00460036" w:rsidP="00E45619">
            <w:r w:rsidRPr="00460036">
              <w:t>For further information regarding dosage, refer to the Product Information.</w:t>
            </w:r>
          </w:p>
        </w:tc>
      </w:tr>
      <w:tr w:rsidR="00460036" w:rsidRPr="00487162" w14:paraId="7F32BB42" w14:textId="77777777" w:rsidTr="00BF1190">
        <w:tc>
          <w:tcPr>
            <w:tcW w:w="2907" w:type="dxa"/>
          </w:tcPr>
          <w:p w14:paraId="179F22E8" w14:textId="77777777" w:rsidR="00460036" w:rsidRPr="00487162" w:rsidRDefault="00460036" w:rsidP="00E45619">
            <w:pPr>
              <w:rPr>
                <w:i/>
              </w:rPr>
            </w:pPr>
            <w:r w:rsidRPr="00460036">
              <w:rPr>
                <w:i/>
              </w:rPr>
              <w:t>Pregnancy category</w:t>
            </w:r>
            <w:r>
              <w:rPr>
                <w:i/>
              </w:rPr>
              <w:t>:</w:t>
            </w:r>
          </w:p>
        </w:tc>
        <w:tc>
          <w:tcPr>
            <w:tcW w:w="6307" w:type="dxa"/>
          </w:tcPr>
          <w:p w14:paraId="4951654C" w14:textId="77777777" w:rsidR="00335758" w:rsidRPr="00335758" w:rsidRDefault="00335758" w:rsidP="00335758">
            <w:r w:rsidRPr="00335758">
              <w:t>B2</w:t>
            </w:r>
          </w:p>
          <w:p w14:paraId="52A7E8AE" w14:textId="77777777" w:rsidR="00335758" w:rsidRPr="00335758" w:rsidRDefault="00335758" w:rsidP="00335758">
            <w:r w:rsidRPr="00335758">
              <w:t>Drugs which have been taken by only a limited number of pregnant women and women of childbearing age, without an increase in the frequency of malformation or other direct or indirect harmful effects on the human fetus having been observed.</w:t>
            </w:r>
          </w:p>
          <w:p w14:paraId="0E962D69" w14:textId="77777777" w:rsidR="00335758" w:rsidRPr="00335758" w:rsidRDefault="00335758" w:rsidP="00335758">
            <w:r w:rsidRPr="00335758">
              <w:t>Studies in animals are inadequate or may be lacking, but available data show no evidence of an increased occurrence of fetal damage.</w:t>
            </w:r>
          </w:p>
          <w:p w14:paraId="18FEBA03" w14:textId="4F8EBFAC" w:rsidR="00460036" w:rsidRPr="00DC0439" w:rsidRDefault="00460036" w:rsidP="00335758">
            <w:pPr>
              <w:rPr>
                <w:highlight w:val="yellow"/>
              </w:rPr>
            </w:pPr>
            <w:r w:rsidRPr="00335758">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846DFB1" w14:textId="77777777" w:rsidR="008E7846" w:rsidRDefault="008E7846" w:rsidP="008E7846">
      <w:pPr>
        <w:pStyle w:val="Heading3"/>
      </w:pPr>
      <w:bookmarkStart w:id="13" w:name="_Toc247691503"/>
      <w:bookmarkStart w:id="14" w:name="_Toc314842484"/>
      <w:bookmarkStart w:id="15" w:name="_Toc80080853"/>
      <w:r>
        <w:t>Product background</w:t>
      </w:r>
      <w:bookmarkEnd w:id="13"/>
      <w:bookmarkEnd w:id="14"/>
      <w:bookmarkEnd w:id="15"/>
    </w:p>
    <w:p w14:paraId="320067F0" w14:textId="3209260C" w:rsidR="008E7846" w:rsidRDefault="00250271" w:rsidP="00940A89">
      <w:r w:rsidRPr="00250271">
        <w:t xml:space="preserve">This AusPAR describes the application by </w:t>
      </w:r>
      <w:r w:rsidR="003D2C37">
        <w:t>GlaxoSmithKline Australia Pty Ltd</w:t>
      </w:r>
      <w:r w:rsidRPr="00250271">
        <w:t xml:space="preserve"> (the sponsor) to register </w:t>
      </w:r>
      <w:r w:rsidR="003D2C37">
        <w:t>Xevudy (sotrovimab</w:t>
      </w:r>
      <w:r w:rsidRPr="00250271">
        <w:t xml:space="preserve">) </w:t>
      </w:r>
      <w:r w:rsidR="00BA3A34">
        <w:t>500 mg in 8 mL concentrated injection solution for infusion</w:t>
      </w:r>
      <w:r w:rsidRPr="00250271">
        <w:t xml:space="preserve"> for the following proposed indication</w:t>
      </w:r>
      <w:r w:rsidR="00CF5DAD">
        <w:t>:</w:t>
      </w:r>
    </w:p>
    <w:p w14:paraId="476F9C2B" w14:textId="67CF4DD3" w:rsidR="003D2C37" w:rsidRPr="003D2C37" w:rsidRDefault="00DC0439" w:rsidP="003D2C37">
      <w:pPr>
        <w:ind w:left="720"/>
        <w:rPr>
          <w:i/>
        </w:rPr>
      </w:pPr>
      <w:r>
        <w:rPr>
          <w:i/>
        </w:rPr>
        <w:t>F</w:t>
      </w:r>
      <w:r w:rsidR="003D2C37" w:rsidRPr="003D2C37">
        <w:rPr>
          <w:i/>
        </w:rPr>
        <w:t>or the treatment of patients with coronavirus disease 2019 (COVID-19) who are at risk for progression to hospitalisation or death.</w:t>
      </w:r>
    </w:p>
    <w:p w14:paraId="62E8C86D" w14:textId="4676BF33" w:rsidR="00F87C86" w:rsidRDefault="00F87C86" w:rsidP="00F87C86">
      <w:pPr>
        <w:pStyle w:val="Heading4"/>
      </w:pPr>
      <w:r w:rsidRPr="00F87C86">
        <w:t>Coronavirus disease 2019</w:t>
      </w:r>
    </w:p>
    <w:p w14:paraId="102BB82B" w14:textId="1D0EDB6C" w:rsidR="00F87C86" w:rsidRPr="00F87C86" w:rsidRDefault="00F87C86" w:rsidP="00F87C86">
      <w:r>
        <w:t>Coranavirus disease (2019) or COVID-19</w:t>
      </w:r>
      <w:r w:rsidR="002171C8">
        <w:t xml:space="preserve"> is a contagious disease caused by the spread of a virus known as the </w:t>
      </w:r>
      <w:r w:rsidR="002171C8" w:rsidRPr="002171C8">
        <w:t>severe acute respiratory syndrome coronavirus 2</w:t>
      </w:r>
      <w:r w:rsidR="002171C8">
        <w:t xml:space="preserve"> (SARS</w:t>
      </w:r>
      <w:r w:rsidR="002171C8">
        <w:noBreakHyphen/>
        <w:t>CoV</w:t>
      </w:r>
      <w:r w:rsidR="002171C8">
        <w:noBreakHyphen/>
        <w:t>2).</w:t>
      </w:r>
    </w:p>
    <w:p w14:paraId="4C3E0F4E" w14:textId="0BE9A8C9" w:rsidR="002171C8" w:rsidRDefault="00F87C86" w:rsidP="00F87C86">
      <w:r w:rsidRPr="00FD72B4">
        <w:t>The SARS-CoV-2 virus is an enveloped, positive-sense, sing</w:t>
      </w:r>
      <w:r>
        <w:t>le</w:t>
      </w:r>
      <w:r w:rsidR="00DC0439">
        <w:t xml:space="preserve"> </w:t>
      </w:r>
      <w:r>
        <w:t xml:space="preserve">stranded </w:t>
      </w:r>
      <w:r w:rsidR="002171C8">
        <w:t>ribonucleic acid (</w:t>
      </w:r>
      <w:r>
        <w:t>RNA</w:t>
      </w:r>
      <w:r w:rsidR="002171C8">
        <w:t>)</w:t>
      </w:r>
      <w:r>
        <w:t xml:space="preserve"> betacoronavirus. </w:t>
      </w:r>
      <w:r w:rsidRPr="003E3671">
        <w:t xml:space="preserve">SARS-CoV-2 has spread rapidly and globally since its emergence, causing COVID-19. The World Health Organization (WHO) declared that the outbreak </w:t>
      </w:r>
      <w:r w:rsidRPr="003E3671">
        <w:lastRenderedPageBreak/>
        <w:t>constituted a public health emergency of international concern on 30 January 2020, and declared the outbreak to be a pandemic on 11 March 2020</w:t>
      </w:r>
      <w:r w:rsidR="002171C8">
        <w:t>.</w:t>
      </w:r>
      <w:r w:rsidR="00FE4E58">
        <w:rPr>
          <w:rStyle w:val="FootnoteReference"/>
        </w:rPr>
        <w:footnoteReference w:id="3"/>
      </w:r>
      <w:r w:rsidR="00FE4E58" w:rsidRPr="00FE4E58">
        <w:rPr>
          <w:vertAlign w:val="superscript"/>
        </w:rPr>
        <w:t>,</w:t>
      </w:r>
      <w:r w:rsidR="00FE4E58">
        <w:rPr>
          <w:rStyle w:val="FootnoteReference"/>
        </w:rPr>
        <w:footnoteReference w:id="4"/>
      </w:r>
    </w:p>
    <w:p w14:paraId="44071C40" w14:textId="5CF717B2" w:rsidR="00F87C86" w:rsidRDefault="00F87C86" w:rsidP="00F87C86">
      <w:r w:rsidRPr="003E3671">
        <w:t xml:space="preserve">It is predominantly a respiratory illness that can affect </w:t>
      </w:r>
      <w:r w:rsidR="002171C8">
        <w:t>other organs. People with COVID</w:t>
      </w:r>
      <w:r w:rsidR="002171C8">
        <w:noBreakHyphen/>
      </w:r>
      <w:r w:rsidRPr="003E3671">
        <w:t xml:space="preserve">19 have reported a wide range of symptoms, ranging from mild symptoms to severe illness. Symptoms may appear </w:t>
      </w:r>
      <w:r w:rsidR="002171C8">
        <w:t xml:space="preserve">between 2 to </w:t>
      </w:r>
      <w:r w:rsidRPr="003E3671">
        <w:t xml:space="preserve">14 days after exposure to </w:t>
      </w:r>
      <w:r w:rsidR="004D68CD">
        <w:t>the virus. Symptoms may include</w:t>
      </w:r>
      <w:r w:rsidRPr="003E3671">
        <w:t xml:space="preserve"> fever or chills; cough; shortness of breath; fatigue; muscle or body aches; headache; new loss of taste or smell; sore throat; congestion or runny nose; nausea or vomiting; diarrhoea. Infections caused by </w:t>
      </w:r>
      <w:r w:rsidR="002171C8">
        <w:t xml:space="preserve">the </w:t>
      </w:r>
      <w:r w:rsidRPr="003E3671">
        <w:t>SARS-CoV-2</w:t>
      </w:r>
      <w:r w:rsidR="002171C8">
        <w:t xml:space="preserve"> virus</w:t>
      </w:r>
      <w:r w:rsidRPr="003E3671">
        <w:t>, and the resulting disease, COVID-19, have spread globally.</w:t>
      </w:r>
    </w:p>
    <w:p w14:paraId="5FD398F7" w14:textId="0C4602A6" w:rsidR="00F87C86" w:rsidRPr="005635FF" w:rsidRDefault="00F87C86" w:rsidP="00F87C86">
      <w:r w:rsidRPr="005635FF">
        <w:t xml:space="preserve">Since its emergence, the SARS-CoV-2 virus has spread rapidly around the globe. It was officially declared a pandemic by WHO on 11 March 2020. As of </w:t>
      </w:r>
      <w:r w:rsidR="002171C8">
        <w:t>10 August</w:t>
      </w:r>
      <w:r w:rsidRPr="005635FF">
        <w:t xml:space="preserve"> 2021, there have been over </w:t>
      </w:r>
      <w:r w:rsidR="002171C8">
        <w:t>203 million</w:t>
      </w:r>
      <w:r w:rsidR="002171C8" w:rsidRPr="002171C8">
        <w:t xml:space="preserve"> confirmed cases of COVID-19, including </w:t>
      </w:r>
      <w:r w:rsidR="002171C8">
        <w:t xml:space="preserve">over 4.3 million deaths </w:t>
      </w:r>
      <w:r w:rsidR="002171C8" w:rsidRPr="002171C8">
        <w:t>reported to WHO</w:t>
      </w:r>
      <w:r w:rsidR="004D68CD">
        <w:t>, with the highest number of cases having</w:t>
      </w:r>
      <w:r w:rsidRPr="005635FF">
        <w:t xml:space="preserve"> been reported in the USA, followed by India and Brazil.</w:t>
      </w:r>
      <w:r w:rsidRPr="005635FF">
        <w:rPr>
          <w:vertAlign w:val="superscript"/>
        </w:rPr>
        <w:footnoteReference w:id="5"/>
      </w:r>
      <w:r w:rsidRPr="005635FF">
        <w:t xml:space="preserve"> In Australia, </w:t>
      </w:r>
      <w:r w:rsidR="004D68CD">
        <w:t xml:space="preserve">as of 11 August 2021, </w:t>
      </w:r>
      <w:r w:rsidRPr="005635FF">
        <w:t xml:space="preserve">there have </w:t>
      </w:r>
      <w:r w:rsidR="004D68CD">
        <w:t>been 37,372 cases and 944 deaths reported</w:t>
      </w:r>
      <w:r w:rsidRPr="005635FF">
        <w:t>.</w:t>
      </w:r>
      <w:r w:rsidRPr="005635FF">
        <w:rPr>
          <w:vertAlign w:val="superscript"/>
        </w:rPr>
        <w:footnoteReference w:id="6"/>
      </w:r>
      <w:r w:rsidRPr="005635FF">
        <w:t xml:space="preserve"> Following suppression of the initial outbreak in early 2020, the situation in Australia has been characterised by periods of zero community transmission, interspersed with sporadic outbreaks caused by escape of the virus from the hotel quarantine system that has been used for returning overseas travellers. At the time </w:t>
      </w:r>
      <w:r w:rsidR="004D68CD">
        <w:t>this submission underwent final consideration for approval</w:t>
      </w:r>
      <w:r w:rsidRPr="005635FF">
        <w:t xml:space="preserve">, the relevant public health units are struggling to contain outbreaks in Sydney and south-eastern Queensland caused by the </w:t>
      </w:r>
      <w:r w:rsidR="004942B5">
        <w:t xml:space="preserve">SARS-CoV-2 virus, </w:t>
      </w:r>
      <w:r w:rsidRPr="005635FF">
        <w:t xml:space="preserve">delta variant of concern. </w:t>
      </w:r>
      <w:r w:rsidR="00C7680E">
        <w:t>As of 11 August 2021, c</w:t>
      </w:r>
      <w:r w:rsidRPr="005635FF">
        <w:t>ases of comm</w:t>
      </w:r>
      <w:r w:rsidR="00C7680E">
        <w:t>unity transmission in Sydney have occurred</w:t>
      </w:r>
      <w:r w:rsidRPr="005635FF">
        <w:t xml:space="preserve"> at the rate of </w:t>
      </w:r>
      <w:r w:rsidR="00C7680E">
        <w:t>344</w:t>
      </w:r>
      <w:r w:rsidRPr="005635FF">
        <w:t xml:space="preserve"> per day</w:t>
      </w:r>
      <w:r w:rsidR="00DC0439">
        <w:t>.</w:t>
      </w:r>
      <w:r w:rsidRPr="005635FF">
        <w:t>, despite a city-wide lockdown having been in place for over one month.</w:t>
      </w:r>
    </w:p>
    <w:p w14:paraId="53A03424" w14:textId="77777777" w:rsidR="00F87C86" w:rsidRDefault="00F87C86" w:rsidP="00F87C86">
      <w:pPr>
        <w:pStyle w:val="Heading4"/>
      </w:pPr>
      <w:r>
        <w:t>Current treatment options</w:t>
      </w:r>
    </w:p>
    <w:p w14:paraId="43FD1EF2" w14:textId="6F68CD51" w:rsidR="00F87C86" w:rsidRPr="00DA05FB" w:rsidRDefault="00F87C86" w:rsidP="00F87C86">
      <w:pPr>
        <w:rPr>
          <w:lang w:eastAsia="ja-JP"/>
        </w:rPr>
      </w:pPr>
      <w:r w:rsidRPr="00DA05FB">
        <w:rPr>
          <w:lang w:eastAsia="ja-JP"/>
        </w:rPr>
        <w:t xml:space="preserve">Treatment for COVID-19 is mainly supportive, as specific SARS-CoV-2-targeted options are limited. Therapeutics under investigation include antivirals, antibodies and immunomodulators, in addition to several preventative vaccines in various stages of development. At present there are very few products on the </w:t>
      </w:r>
      <w:r w:rsidR="00C7680E">
        <w:rPr>
          <w:lang w:eastAsia="ja-JP"/>
        </w:rPr>
        <w:t>Australian Register of Therapeutic Goods (</w:t>
      </w:r>
      <w:r w:rsidRPr="00DA05FB">
        <w:rPr>
          <w:lang w:eastAsia="ja-JP"/>
        </w:rPr>
        <w:t>ARTG</w:t>
      </w:r>
      <w:r w:rsidR="00C7680E">
        <w:rPr>
          <w:lang w:eastAsia="ja-JP"/>
        </w:rPr>
        <w:t>)</w:t>
      </w:r>
      <w:r w:rsidRPr="00DA05FB">
        <w:rPr>
          <w:lang w:eastAsia="ja-JP"/>
        </w:rPr>
        <w:t xml:space="preserve"> with a COVID-19 indication, and none have full registration (they are instead approved under the provisional pathway):</w:t>
      </w:r>
    </w:p>
    <w:p w14:paraId="609909E5" w14:textId="77777777" w:rsidR="00F87C86" w:rsidRPr="00DA05FB" w:rsidRDefault="00F87C86" w:rsidP="00C7680E">
      <w:pPr>
        <w:pStyle w:val="ListBullet"/>
        <w:rPr>
          <w:lang w:eastAsia="ja-JP"/>
        </w:rPr>
      </w:pPr>
      <w:r w:rsidRPr="00DA05FB">
        <w:rPr>
          <w:lang w:eastAsia="ja-JP"/>
        </w:rPr>
        <w:t>COVID-19 therapeutics:</w:t>
      </w:r>
    </w:p>
    <w:p w14:paraId="6A1D8A2E" w14:textId="77B46708" w:rsidR="00F87C86" w:rsidRPr="00DA05FB" w:rsidRDefault="00C7680E" w:rsidP="00C7680E">
      <w:pPr>
        <w:pStyle w:val="ListBullet2"/>
        <w:rPr>
          <w:lang w:eastAsia="ja-JP"/>
        </w:rPr>
      </w:pPr>
      <w:r w:rsidRPr="00DA05FB">
        <w:rPr>
          <w:lang w:eastAsia="ja-JP"/>
        </w:rPr>
        <w:t>Veklury</w:t>
      </w:r>
      <w:r w:rsidR="00F87C86" w:rsidRPr="00DA05FB">
        <w:rPr>
          <w:lang w:eastAsia="ja-JP"/>
        </w:rPr>
        <w:t xml:space="preserve"> (remdesivir), provisionally registered on 10 July 2020 for the treatment of COVID-19 in adults and adolescents (aged 12 years </w:t>
      </w:r>
      <w:r>
        <w:rPr>
          <w:lang w:eastAsia="ja-JP"/>
        </w:rPr>
        <w:t>and older, weighing at least 40 </w:t>
      </w:r>
      <w:r w:rsidR="00F87C86" w:rsidRPr="00DA05FB">
        <w:rPr>
          <w:lang w:eastAsia="ja-JP"/>
        </w:rPr>
        <w:t>kg) with pneumonia, requiring supplemental oxygen.</w:t>
      </w:r>
      <w:r>
        <w:rPr>
          <w:rStyle w:val="FootnoteReference"/>
          <w:lang w:eastAsia="ja-JP"/>
        </w:rPr>
        <w:footnoteReference w:id="7"/>
      </w:r>
    </w:p>
    <w:p w14:paraId="0A4AE772" w14:textId="16E98187" w:rsidR="00F87C86" w:rsidRPr="00DA05FB" w:rsidRDefault="00F87C86" w:rsidP="00CF1D4F">
      <w:pPr>
        <w:pStyle w:val="ListBullet"/>
        <w:keepNext/>
        <w:rPr>
          <w:lang w:eastAsia="ja-JP"/>
        </w:rPr>
      </w:pPr>
      <w:r w:rsidRPr="00DA05FB">
        <w:rPr>
          <w:lang w:eastAsia="ja-JP"/>
        </w:rPr>
        <w:t>COVID-19 vaccines:</w:t>
      </w:r>
    </w:p>
    <w:p w14:paraId="5C2016B0" w14:textId="76472331" w:rsidR="00F051A1" w:rsidRDefault="00F051A1" w:rsidP="00C7680E">
      <w:pPr>
        <w:pStyle w:val="ListBullet2"/>
        <w:rPr>
          <w:lang w:eastAsia="ja-JP"/>
        </w:rPr>
      </w:pPr>
      <w:r w:rsidRPr="00DA05FB">
        <w:rPr>
          <w:lang w:eastAsia="ja-JP"/>
        </w:rPr>
        <w:t>Comirnaty</w:t>
      </w:r>
      <w:r w:rsidR="00F87C86" w:rsidRPr="00DA05FB">
        <w:rPr>
          <w:lang w:eastAsia="ja-JP"/>
        </w:rPr>
        <w:t xml:space="preserve"> (BNT162b2</w:t>
      </w:r>
      <w:r>
        <w:rPr>
          <w:lang w:eastAsia="ja-JP"/>
        </w:rPr>
        <w:t xml:space="preserve">; </w:t>
      </w:r>
      <w:r w:rsidR="00E85F81">
        <w:rPr>
          <w:lang w:eastAsia="ja-JP"/>
        </w:rPr>
        <w:t>messenger ribonucleic acid-</w:t>
      </w:r>
      <w:r w:rsidR="00A4034E">
        <w:rPr>
          <w:lang w:eastAsia="ja-JP"/>
        </w:rPr>
        <w:t xml:space="preserve"> (mRNA) </w:t>
      </w:r>
      <w:r w:rsidR="00E85F81">
        <w:rPr>
          <w:lang w:eastAsia="ja-JP"/>
        </w:rPr>
        <w:t>base</w:t>
      </w:r>
      <w:r w:rsidR="00A4034E">
        <w:rPr>
          <w:lang w:eastAsia="ja-JP"/>
        </w:rPr>
        <w:t>d vaccine</w:t>
      </w:r>
      <w:r>
        <w:rPr>
          <w:lang w:eastAsia="ja-JP"/>
        </w:rPr>
        <w:t>); also known as</w:t>
      </w:r>
      <w:r w:rsidR="00F87C86" w:rsidRPr="00DA05FB">
        <w:rPr>
          <w:lang w:eastAsia="ja-JP"/>
        </w:rPr>
        <w:t xml:space="preserve"> the Pfizer/BioNTech </w:t>
      </w:r>
      <w:r>
        <w:rPr>
          <w:lang w:eastAsia="ja-JP"/>
        </w:rPr>
        <w:t>COVID</w:t>
      </w:r>
      <w:r>
        <w:rPr>
          <w:lang w:eastAsia="ja-JP"/>
        </w:rPr>
        <w:noBreakHyphen/>
        <w:t xml:space="preserve">19 </w:t>
      </w:r>
      <w:r w:rsidR="00F87C86" w:rsidRPr="00DA05FB">
        <w:rPr>
          <w:lang w:eastAsia="ja-JP"/>
        </w:rPr>
        <w:t xml:space="preserve">vaccine, provisionally approved </w:t>
      </w:r>
      <w:r w:rsidR="00F87C86" w:rsidRPr="00DA05FB">
        <w:rPr>
          <w:lang w:eastAsia="ja-JP"/>
        </w:rPr>
        <w:lastRenderedPageBreak/>
        <w:t>25</w:t>
      </w:r>
      <w:r w:rsidR="00E85F81">
        <w:rPr>
          <w:lang w:eastAsia="ja-JP"/>
        </w:rPr>
        <w:t> </w:t>
      </w:r>
      <w:r w:rsidR="00F87C86" w:rsidRPr="00DA05FB">
        <w:rPr>
          <w:lang w:eastAsia="ja-JP"/>
        </w:rPr>
        <w:t>Jan</w:t>
      </w:r>
      <w:r>
        <w:rPr>
          <w:lang w:eastAsia="ja-JP"/>
        </w:rPr>
        <w:t>uary</w:t>
      </w:r>
      <w:r w:rsidR="00F87C86" w:rsidRPr="00DA05FB">
        <w:rPr>
          <w:lang w:eastAsia="ja-JP"/>
        </w:rPr>
        <w:t xml:space="preserve"> 2021 for active immunisation to prevent coronavirus disease</w:t>
      </w:r>
      <w:r>
        <w:rPr>
          <w:lang w:eastAsia="ja-JP"/>
        </w:rPr>
        <w:t xml:space="preserve"> 2019 (COVID</w:t>
      </w:r>
      <w:r w:rsidR="00E85F81">
        <w:rPr>
          <w:lang w:eastAsia="ja-JP"/>
        </w:rPr>
        <w:noBreakHyphen/>
      </w:r>
      <w:r>
        <w:rPr>
          <w:lang w:eastAsia="ja-JP"/>
        </w:rPr>
        <w:t>19) caused by SARS</w:t>
      </w:r>
      <w:r>
        <w:rPr>
          <w:lang w:eastAsia="ja-JP"/>
        </w:rPr>
        <w:noBreakHyphen/>
        <w:t>CoV</w:t>
      </w:r>
      <w:r>
        <w:rPr>
          <w:lang w:eastAsia="ja-JP"/>
        </w:rPr>
        <w:noBreakHyphen/>
      </w:r>
      <w:r w:rsidR="00F87C86" w:rsidRPr="00DA05FB">
        <w:rPr>
          <w:lang w:eastAsia="ja-JP"/>
        </w:rPr>
        <w:t>2, in individ</w:t>
      </w:r>
      <w:r>
        <w:rPr>
          <w:lang w:eastAsia="ja-JP"/>
        </w:rPr>
        <w:t>uals 16 years of age and older;</w:t>
      </w:r>
      <w:r>
        <w:rPr>
          <w:rStyle w:val="FootnoteReference"/>
          <w:lang w:eastAsia="ja-JP"/>
        </w:rPr>
        <w:footnoteReference w:id="8"/>
      </w:r>
    </w:p>
    <w:p w14:paraId="769DC6FE" w14:textId="57681BE8" w:rsidR="00F87C86" w:rsidRPr="00DA05FB" w:rsidRDefault="00F051A1" w:rsidP="00F051A1">
      <w:pPr>
        <w:pStyle w:val="ListBullet3"/>
        <w:rPr>
          <w:lang w:eastAsia="ja-JP"/>
        </w:rPr>
      </w:pPr>
      <w:r>
        <w:rPr>
          <w:lang w:eastAsia="ja-JP"/>
        </w:rPr>
        <w:t>provisional approval was extended (extension of indications)</w:t>
      </w:r>
      <w:r w:rsidR="00F87C86" w:rsidRPr="00DA05FB">
        <w:rPr>
          <w:lang w:eastAsia="ja-JP"/>
        </w:rPr>
        <w:t xml:space="preserve"> on 22 Jul</w:t>
      </w:r>
      <w:r>
        <w:rPr>
          <w:lang w:eastAsia="ja-JP"/>
        </w:rPr>
        <w:t>y 2021 to include immunisation</w:t>
      </w:r>
      <w:r w:rsidR="00F87C86" w:rsidRPr="00DA05FB">
        <w:rPr>
          <w:lang w:eastAsia="ja-JP"/>
        </w:rPr>
        <w:t xml:space="preserve"> adolescents aged 12 years and over.</w:t>
      </w:r>
      <w:r w:rsidR="00C056AB">
        <w:rPr>
          <w:rStyle w:val="FootnoteReference"/>
          <w:lang w:eastAsia="ja-JP"/>
        </w:rPr>
        <w:footnoteReference w:id="9"/>
      </w:r>
    </w:p>
    <w:p w14:paraId="1DE80286" w14:textId="7DC73367" w:rsidR="00F87C86" w:rsidRDefault="00F87C86" w:rsidP="00C7680E">
      <w:pPr>
        <w:pStyle w:val="ListBullet2"/>
        <w:rPr>
          <w:lang w:eastAsia="ja-JP"/>
        </w:rPr>
      </w:pPr>
      <w:r w:rsidRPr="00DA05FB">
        <w:rPr>
          <w:lang w:eastAsia="ja-JP"/>
        </w:rPr>
        <w:t xml:space="preserve">COVID-19 Vaccine AstraZeneca (ChAdOx1-S), an adenoviral vectored vaccine, provisionally approved 15 </w:t>
      </w:r>
      <w:r w:rsidR="00222FA2">
        <w:rPr>
          <w:lang w:eastAsia="ja-JP"/>
        </w:rPr>
        <w:t>February</w:t>
      </w:r>
      <w:r w:rsidRPr="00DA05FB">
        <w:rPr>
          <w:lang w:eastAsia="ja-JP"/>
        </w:rPr>
        <w:t xml:space="preserve"> 2021 for active immunisation of individuals ≥</w:t>
      </w:r>
      <w:r w:rsidR="009E0824">
        <w:rPr>
          <w:lang w:eastAsia="ja-JP"/>
        </w:rPr>
        <w:t> </w:t>
      </w:r>
      <w:r w:rsidRPr="00DA05FB">
        <w:rPr>
          <w:lang w:eastAsia="ja-JP"/>
        </w:rPr>
        <w:t>18</w:t>
      </w:r>
      <w:r w:rsidR="009E0824">
        <w:rPr>
          <w:lang w:eastAsia="ja-JP"/>
        </w:rPr>
        <w:t> </w:t>
      </w:r>
      <w:r w:rsidRPr="00DA05FB">
        <w:rPr>
          <w:lang w:eastAsia="ja-JP"/>
        </w:rPr>
        <w:t>years old for the prevention of coronavirus disease 2019 (COVID-19) caused by SARS-CoV-2.</w:t>
      </w:r>
      <w:r w:rsidR="009E0824">
        <w:rPr>
          <w:rStyle w:val="FootnoteReference"/>
          <w:lang w:eastAsia="ja-JP"/>
        </w:rPr>
        <w:footnoteReference w:id="10"/>
      </w:r>
    </w:p>
    <w:p w14:paraId="68B59915" w14:textId="3750C98D" w:rsidR="00F87C86" w:rsidRDefault="00F87C86" w:rsidP="00C7680E">
      <w:pPr>
        <w:pStyle w:val="ListBullet2"/>
      </w:pPr>
      <w:r w:rsidRPr="00CC6CAA">
        <w:t xml:space="preserve">COVID-19 </w:t>
      </w:r>
      <w:r w:rsidR="009E0824" w:rsidRPr="00CC6CAA">
        <w:t>Vaccine Janssen</w:t>
      </w:r>
      <w:r w:rsidR="009E0824">
        <w:t xml:space="preserve"> </w:t>
      </w:r>
      <w:r>
        <w:t xml:space="preserve">(Ad26.COV2.S), an adenoviral vectored vaccine, provisionally approved </w:t>
      </w:r>
      <w:r w:rsidR="00184C91">
        <w:t xml:space="preserve">on </w:t>
      </w:r>
      <w:r>
        <w:t>25 Jun</w:t>
      </w:r>
      <w:r w:rsidR="00184C91">
        <w:t>e</w:t>
      </w:r>
      <w:r>
        <w:t xml:space="preserve"> 2021 for active immunisation to prevent COVID-19 caused by SARS-CoV-2 in individuals 18 years of age and older.</w:t>
      </w:r>
      <w:r w:rsidR="009E0824">
        <w:rPr>
          <w:rStyle w:val="FootnoteReference"/>
        </w:rPr>
        <w:footnoteReference w:id="11"/>
      </w:r>
    </w:p>
    <w:p w14:paraId="0D703D58" w14:textId="698EAE2E" w:rsidR="009E0824" w:rsidRDefault="00EE65BF" w:rsidP="00184C91">
      <w:pPr>
        <w:pStyle w:val="ListBullet2"/>
      </w:pPr>
      <w:r>
        <w:t>Spikevax</w:t>
      </w:r>
      <w:r w:rsidR="00184C91">
        <w:t xml:space="preserve"> (e</w:t>
      </w:r>
      <w:r w:rsidR="00184C91" w:rsidRPr="00184C91">
        <w:t>lasomeran</w:t>
      </w:r>
      <w:r w:rsidR="00184C91">
        <w:t xml:space="preserve">); </w:t>
      </w:r>
      <w:r w:rsidR="00E85F81">
        <w:t xml:space="preserve">a mRNA-based vaccine, </w:t>
      </w:r>
      <w:r w:rsidR="00184C91">
        <w:t xml:space="preserve">also known as the Moderna vaccine, provisionally approved on </w:t>
      </w:r>
      <w:r w:rsidR="00184C91" w:rsidRPr="00184C91">
        <w:t>9 August 2021</w:t>
      </w:r>
      <w:r w:rsidR="00184C91">
        <w:t xml:space="preserve"> for a</w:t>
      </w:r>
      <w:r w:rsidR="00184C91" w:rsidRPr="00184C91">
        <w:t>ctive immunisation to prevent c</w:t>
      </w:r>
      <w:r w:rsidR="00184C91">
        <w:t>oronavirus disease 2019 (COVID-</w:t>
      </w:r>
      <w:r w:rsidR="00184C91" w:rsidRPr="00184C91">
        <w:t>19) caused by SARS-CoV-2 in individuals 18 years of age and older.</w:t>
      </w:r>
      <w:r w:rsidR="00184C91">
        <w:rPr>
          <w:rStyle w:val="FootnoteReference"/>
        </w:rPr>
        <w:footnoteReference w:id="12"/>
      </w:r>
    </w:p>
    <w:p w14:paraId="19BEA2A2" w14:textId="54413D62" w:rsidR="00F87C86" w:rsidRDefault="00F87C86" w:rsidP="00F87C86">
      <w:pPr>
        <w:rPr>
          <w:lang w:eastAsia="ja-JP"/>
        </w:rPr>
      </w:pPr>
      <w:r>
        <w:rPr>
          <w:lang w:eastAsia="ja-JP"/>
        </w:rPr>
        <w:t xml:space="preserve">Vaccine rollout has been affected by supply issues, as well as concerns over the emergence of rare events of </w:t>
      </w:r>
      <w:r w:rsidRPr="00672C3F">
        <w:rPr>
          <w:lang w:eastAsia="ja-JP"/>
        </w:rPr>
        <w:t>thrombosis with thrombocytopenia syndrome</w:t>
      </w:r>
      <w:r>
        <w:rPr>
          <w:lang w:eastAsia="ja-JP"/>
        </w:rPr>
        <w:t xml:space="preserve"> in association with the AstraZeneca vaccine.</w:t>
      </w:r>
      <w:r>
        <w:rPr>
          <w:rStyle w:val="FootnoteReference"/>
          <w:lang w:eastAsia="ja-JP"/>
        </w:rPr>
        <w:footnoteReference w:id="13"/>
      </w:r>
      <w:r w:rsidR="00184C91">
        <w:rPr>
          <w:lang w:eastAsia="ja-JP"/>
        </w:rPr>
        <w:t xml:space="preserve"> As of 11 August</w:t>
      </w:r>
      <w:r w:rsidR="0081795A">
        <w:rPr>
          <w:lang w:eastAsia="ja-JP"/>
        </w:rPr>
        <w:t xml:space="preserve"> 2021, around 45</w:t>
      </w:r>
      <w:r>
        <w:rPr>
          <w:lang w:eastAsia="ja-JP"/>
        </w:rPr>
        <w:t>% of the eligible population aged over 16 years has received a single do</w:t>
      </w:r>
      <w:r w:rsidR="0081795A">
        <w:rPr>
          <w:lang w:eastAsia="ja-JP"/>
        </w:rPr>
        <w:t>se of vaccine, and just under 24</w:t>
      </w:r>
      <w:r>
        <w:rPr>
          <w:lang w:eastAsia="ja-JP"/>
        </w:rPr>
        <w:t>% has received both doses.</w:t>
      </w:r>
      <w:r>
        <w:rPr>
          <w:rStyle w:val="FootnoteReference"/>
          <w:lang w:eastAsia="ja-JP"/>
        </w:rPr>
        <w:footnoteReference w:id="14"/>
      </w:r>
      <w:r>
        <w:rPr>
          <w:lang w:eastAsia="ja-JP"/>
        </w:rPr>
        <w:t xml:space="preserve"> The majority of the Australian population at present remains unvaccinated and vulnera</w:t>
      </w:r>
      <w:r w:rsidR="0081795A">
        <w:rPr>
          <w:lang w:eastAsia="ja-JP"/>
        </w:rPr>
        <w:t>ble to the effects of COVID-19.</w:t>
      </w:r>
    </w:p>
    <w:p w14:paraId="4171D8D3" w14:textId="77777777" w:rsidR="00F87C86" w:rsidRDefault="00F87C86" w:rsidP="00F87C86">
      <w:pPr>
        <w:rPr>
          <w:lang w:eastAsia="ja-JP"/>
        </w:rPr>
      </w:pPr>
      <w:r>
        <w:rPr>
          <w:lang w:eastAsia="ja-JP"/>
        </w:rPr>
        <w:t>There remains an urgent need for effective therapeutics and/or preventive vaccines to reduce the burden and spread of disease.</w:t>
      </w:r>
    </w:p>
    <w:p w14:paraId="1542CC82" w14:textId="77777777" w:rsidR="008E7846" w:rsidRPr="003F31A2" w:rsidRDefault="00386150" w:rsidP="008E7846">
      <w:pPr>
        <w:pStyle w:val="Heading3"/>
      </w:pPr>
      <w:bookmarkStart w:id="16" w:name="_Toc314842485"/>
      <w:bookmarkStart w:id="17" w:name="_Toc247691504"/>
      <w:bookmarkStart w:id="18" w:name="_Toc80080854"/>
      <w:r>
        <w:t>Regulatory s</w:t>
      </w:r>
      <w:r w:rsidR="008E7846">
        <w:t>tatus</w:t>
      </w:r>
      <w:bookmarkEnd w:id="16"/>
      <w:bookmarkEnd w:id="17"/>
      <w:bookmarkEnd w:id="18"/>
    </w:p>
    <w:p w14:paraId="3EAC62D4" w14:textId="23CAEA9D" w:rsidR="00940A89" w:rsidRDefault="00006FAB" w:rsidP="00940A89">
      <w:bookmarkStart w:id="19" w:name="_Toc247691505"/>
      <w:bookmarkStart w:id="20" w:name="_Toc314842486"/>
      <w:r w:rsidRPr="00006FAB">
        <w:t>This product is considered a biological entity for Australian regulatory purposes.</w:t>
      </w:r>
    </w:p>
    <w:p w14:paraId="25FB2C0D" w14:textId="221E02B8" w:rsidR="00D72DF4" w:rsidRDefault="00006FAB" w:rsidP="002E2CB7">
      <w:r>
        <w:t>At the time the TGA</w:t>
      </w:r>
      <w:r w:rsidR="006D1DBC">
        <w:t xml:space="preserve"> considered this application, </w:t>
      </w:r>
      <w:r w:rsidR="00AF1BAF">
        <w:t xml:space="preserve">emergency use /temporary authorisations </w:t>
      </w:r>
      <w:r>
        <w:t xml:space="preserve">had been approved </w:t>
      </w:r>
      <w:r w:rsidR="006D1DBC">
        <w:t>in the United States of America (USA) on 26 May 2021 (Emergency Use Authorization); Canada on 30 July 2021 (Interim Order); Singapore on 30</w:t>
      </w:r>
      <w:r w:rsidR="00E85F81">
        <w:t> </w:t>
      </w:r>
      <w:r w:rsidR="006D1DBC">
        <w:t>June 2021</w:t>
      </w:r>
      <w:r w:rsidR="002E2CB7">
        <w:t xml:space="preserve"> (Pandemic Special Access</w:t>
      </w:r>
      <w:r w:rsidR="00DC0439">
        <w:t>)</w:t>
      </w:r>
      <w:r w:rsidR="006D1DBC">
        <w:t xml:space="preserve"> and Italy on 29 July 2021 (Temporary Authorization). </w:t>
      </w:r>
      <w:r w:rsidR="009C2FF4">
        <w:t>Similar applications have also been approved in the United Arab Emirates, Bahrain</w:t>
      </w:r>
      <w:r w:rsidR="00593989">
        <w:t xml:space="preserve">, </w:t>
      </w:r>
      <w:r w:rsidR="009C2FF4">
        <w:t>Kuwait Qatar and Egypt.</w:t>
      </w:r>
    </w:p>
    <w:p w14:paraId="00D1E5E2" w14:textId="353FC199" w:rsidR="009C2FF4" w:rsidRDefault="00EF2405" w:rsidP="002E2CB7">
      <w:r>
        <w:t xml:space="preserve">In </w:t>
      </w:r>
      <w:r w:rsidR="0069315D">
        <w:t xml:space="preserve">the European Union </w:t>
      </w:r>
      <w:r w:rsidR="00E85F81">
        <w:t xml:space="preserve">(EU) </w:t>
      </w:r>
      <w:r w:rsidR="0069315D">
        <w:t xml:space="preserve">a </w:t>
      </w:r>
      <w:r w:rsidR="004B4399">
        <w:t>procedure similar to an</w:t>
      </w:r>
      <w:r w:rsidR="002E2CB7">
        <w:t xml:space="preserve"> </w:t>
      </w:r>
      <w:r w:rsidR="00064109">
        <w:t>application</w:t>
      </w:r>
      <w:r w:rsidR="004B4399">
        <w:t xml:space="preserve"> for </w:t>
      </w:r>
      <w:r w:rsidR="00BA11EB">
        <w:t xml:space="preserve">an emergency use/temporary </w:t>
      </w:r>
      <w:r w:rsidR="00F11E66">
        <w:t>authorisation</w:t>
      </w:r>
      <w:r w:rsidR="004B4399">
        <w:t xml:space="preserve"> was initiated on 14 April 2021</w:t>
      </w:r>
      <w:r w:rsidR="00BB0B4B">
        <w:t xml:space="preserve">. This </w:t>
      </w:r>
      <w:r w:rsidR="00EF570D">
        <w:t xml:space="preserve">was a referral procedure under Article 5(3) </w:t>
      </w:r>
      <w:r w:rsidR="0070461E">
        <w:t xml:space="preserve">of Regulation </w:t>
      </w:r>
      <w:r w:rsidR="00732595">
        <w:t xml:space="preserve">726/2004. This procedure concluded on </w:t>
      </w:r>
      <w:r w:rsidR="00E85F81" w:rsidRPr="00C85B77">
        <w:lastRenderedPageBreak/>
        <w:t>20</w:t>
      </w:r>
      <w:r w:rsidR="00E85F81">
        <w:t> </w:t>
      </w:r>
      <w:r w:rsidR="00732595">
        <w:t>May</w:t>
      </w:r>
      <w:r w:rsidR="00E85F81">
        <w:t> </w:t>
      </w:r>
      <w:r w:rsidR="00732595">
        <w:t>2021 with a positive sci</w:t>
      </w:r>
      <w:r w:rsidR="00F12632">
        <w:t xml:space="preserve">entific opinion being issued by the </w:t>
      </w:r>
      <w:r w:rsidR="00E85F81" w:rsidRPr="00E85F81">
        <w:t>Committee for Medicinal Products for Human Use</w:t>
      </w:r>
      <w:r w:rsidR="00E85F81">
        <w:t xml:space="preserve"> (</w:t>
      </w:r>
      <w:r w:rsidR="00F12632">
        <w:t>CHMP</w:t>
      </w:r>
      <w:r w:rsidR="00E85F81">
        <w:t>)</w:t>
      </w:r>
      <w:r w:rsidR="00F12632">
        <w:t xml:space="preserve"> and a Conditions of Use </w:t>
      </w:r>
      <w:r w:rsidR="00876F3C">
        <w:t>document</w:t>
      </w:r>
      <w:r w:rsidR="000D1B68">
        <w:t xml:space="preserve"> being issued. </w:t>
      </w:r>
      <w:r w:rsidR="00F11E66">
        <w:t xml:space="preserve"> </w:t>
      </w:r>
    </w:p>
    <w:p w14:paraId="3987AB6C" w14:textId="02962913" w:rsidR="00EE462C" w:rsidRDefault="0066180A" w:rsidP="002E2CB7">
      <w:r>
        <w:t xml:space="preserve">At </w:t>
      </w:r>
      <w:r w:rsidR="00794340">
        <w:t>the time that th</w:t>
      </w:r>
      <w:r w:rsidR="007740C3">
        <w:t>is application</w:t>
      </w:r>
      <w:r w:rsidR="00204F77">
        <w:t xml:space="preserve"> for a provisional marketing authorisation was submitted as a </w:t>
      </w:r>
      <w:r w:rsidR="00E85F81">
        <w:t>‘</w:t>
      </w:r>
      <w:r w:rsidR="00204F77">
        <w:t>rolling review</w:t>
      </w:r>
      <w:r w:rsidR="00E85F81">
        <w:t>’</w:t>
      </w:r>
      <w:r w:rsidR="00204F77">
        <w:t xml:space="preserve"> </w:t>
      </w:r>
      <w:r w:rsidR="00905781">
        <w:t xml:space="preserve">in Australia </w:t>
      </w:r>
      <w:r w:rsidR="00204F77">
        <w:t xml:space="preserve">similar applications were made in parallel to both the European Medicines Agency </w:t>
      </w:r>
      <w:r w:rsidR="00C85B77">
        <w:t xml:space="preserve">(EMA) </w:t>
      </w:r>
      <w:r w:rsidR="00204F77">
        <w:t xml:space="preserve">and </w:t>
      </w:r>
      <w:r w:rsidR="00816FBC">
        <w:t>Switzerland.</w:t>
      </w:r>
    </w:p>
    <w:p w14:paraId="2B586286" w14:textId="5F871815" w:rsidR="002E2CB7" w:rsidRDefault="002E2CB7" w:rsidP="002E2CB7">
      <w:r>
        <w:fldChar w:fldCharType="begin"/>
      </w:r>
      <w:r>
        <w:instrText xml:space="preserve"> REF _Ref79628216 \h </w:instrText>
      </w:r>
      <w:r>
        <w:fldChar w:fldCharType="separate"/>
      </w:r>
      <w:r w:rsidR="00F601F5">
        <w:t xml:space="preserve">Table </w:t>
      </w:r>
      <w:r w:rsidR="00F601F5">
        <w:rPr>
          <w:noProof/>
        </w:rPr>
        <w:t>1</w:t>
      </w:r>
      <w:r w:rsidR="00F601F5">
        <w:t>: International regulatory status</w:t>
      </w:r>
      <w:r>
        <w:fldChar w:fldCharType="end"/>
      </w:r>
      <w:r>
        <w:t xml:space="preserve"> shown below, gives details of</w:t>
      </w:r>
      <w:r w:rsidR="00E96874">
        <w:t xml:space="preserve"> the status and </w:t>
      </w:r>
      <w:r w:rsidR="004D131F">
        <w:t xml:space="preserve">approved </w:t>
      </w:r>
      <w:r w:rsidR="00E96874">
        <w:t xml:space="preserve">indications </w:t>
      </w:r>
      <w:r w:rsidR="004D131F">
        <w:t xml:space="preserve">for </w:t>
      </w:r>
      <w:r w:rsidR="00E96874">
        <w:t>approved or ongoing submissions across different regions.</w:t>
      </w:r>
    </w:p>
    <w:p w14:paraId="5CB3B452" w14:textId="77777777" w:rsidR="00EE7999" w:rsidRDefault="00EE7999" w:rsidP="002E2CB7"/>
    <w:p w14:paraId="5A4295C3" w14:textId="257F56F4" w:rsidR="00324E45" w:rsidRPr="00F0146F" w:rsidRDefault="00324E45" w:rsidP="00324E45">
      <w:pPr>
        <w:pStyle w:val="TableTitle"/>
      </w:pPr>
      <w:bookmarkStart w:id="21" w:name="_Ref79628216"/>
      <w:r>
        <w:t xml:space="preserve">Table </w:t>
      </w:r>
      <w:r>
        <w:fldChar w:fldCharType="begin"/>
      </w:r>
      <w:r>
        <w:instrText>SEQ Table \* ARABIC</w:instrText>
      </w:r>
      <w:r>
        <w:fldChar w:fldCharType="separate"/>
      </w:r>
      <w:r w:rsidR="00F601F5">
        <w:rPr>
          <w:noProof/>
        </w:rPr>
        <w:t>1</w:t>
      </w:r>
      <w:r>
        <w:fldChar w:fldCharType="end"/>
      </w:r>
      <w:r>
        <w:t>: International regulatory status</w:t>
      </w:r>
      <w:bookmarkEnd w:id="21"/>
    </w:p>
    <w:tbl>
      <w:tblPr>
        <w:tblStyle w:val="TableTGAblue"/>
        <w:tblW w:w="5000" w:type="pct"/>
        <w:tblLook w:val="04A0" w:firstRow="1" w:lastRow="0" w:firstColumn="1" w:lastColumn="0" w:noHBand="0" w:noVBand="1"/>
      </w:tblPr>
      <w:tblGrid>
        <w:gridCol w:w="1886"/>
        <w:gridCol w:w="2519"/>
        <w:gridCol w:w="4089"/>
      </w:tblGrid>
      <w:tr w:rsidR="00D72DF4" w14:paraId="23776954" w14:textId="77777777" w:rsidTr="00CF1D4F">
        <w:trPr>
          <w:cnfStyle w:val="100000000000" w:firstRow="1" w:lastRow="0" w:firstColumn="0" w:lastColumn="0" w:oddVBand="0" w:evenVBand="0" w:oddHBand="0" w:evenHBand="0" w:firstRowFirstColumn="0" w:firstRowLastColumn="0" w:lastRowFirstColumn="0" w:lastRowLastColumn="0"/>
        </w:trPr>
        <w:tc>
          <w:tcPr>
            <w:tcW w:w="1110" w:type="pct"/>
            <w:tcBorders>
              <w:top w:val="single" w:sz="4" w:space="0" w:color="auto"/>
              <w:left w:val="single" w:sz="4" w:space="0" w:color="auto"/>
              <w:bottom w:val="single" w:sz="4" w:space="0" w:color="auto"/>
              <w:right w:val="single" w:sz="4" w:space="0" w:color="auto"/>
            </w:tcBorders>
          </w:tcPr>
          <w:p w14:paraId="477832C8" w14:textId="4F9C6F1E" w:rsidR="00D72DF4" w:rsidRPr="002E2CB7" w:rsidRDefault="00D72DF4" w:rsidP="00006FAB">
            <w:pPr>
              <w:ind w:left="0" w:right="0"/>
              <w:rPr>
                <w:sz w:val="20"/>
              </w:rPr>
            </w:pPr>
            <w:r w:rsidRPr="002E2CB7">
              <w:rPr>
                <w:sz w:val="20"/>
              </w:rPr>
              <w:t>Region</w:t>
            </w:r>
            <w:r>
              <w:rPr>
                <w:sz w:val="20"/>
              </w:rPr>
              <w:t>/Country</w:t>
            </w:r>
          </w:p>
        </w:tc>
        <w:tc>
          <w:tcPr>
            <w:tcW w:w="1483" w:type="pct"/>
            <w:tcBorders>
              <w:top w:val="single" w:sz="4" w:space="0" w:color="auto"/>
              <w:left w:val="single" w:sz="4" w:space="0" w:color="auto"/>
              <w:bottom w:val="single" w:sz="4" w:space="0" w:color="auto"/>
              <w:right w:val="single" w:sz="4" w:space="0" w:color="auto"/>
            </w:tcBorders>
          </w:tcPr>
          <w:p w14:paraId="7AE19FCD" w14:textId="7CED3B38" w:rsidR="00D72DF4" w:rsidRPr="002E2CB7" w:rsidRDefault="00D72DF4" w:rsidP="00006FAB">
            <w:pPr>
              <w:ind w:left="0" w:right="0"/>
              <w:rPr>
                <w:sz w:val="20"/>
              </w:rPr>
            </w:pPr>
            <w:r w:rsidRPr="002E2CB7">
              <w:rPr>
                <w:sz w:val="20"/>
              </w:rPr>
              <w:t>Status</w:t>
            </w:r>
          </w:p>
        </w:tc>
        <w:tc>
          <w:tcPr>
            <w:tcW w:w="2407" w:type="pct"/>
            <w:tcBorders>
              <w:top w:val="single" w:sz="4" w:space="0" w:color="auto"/>
              <w:left w:val="single" w:sz="4" w:space="0" w:color="auto"/>
              <w:bottom w:val="single" w:sz="4" w:space="0" w:color="auto"/>
              <w:right w:val="single" w:sz="4" w:space="0" w:color="auto"/>
            </w:tcBorders>
          </w:tcPr>
          <w:p w14:paraId="3CBC6B91" w14:textId="3405D5CC" w:rsidR="00D72DF4" w:rsidRPr="002E2CB7" w:rsidRDefault="00D72DF4" w:rsidP="00006FAB">
            <w:pPr>
              <w:ind w:left="0" w:right="0"/>
              <w:rPr>
                <w:sz w:val="20"/>
              </w:rPr>
            </w:pPr>
            <w:r w:rsidRPr="002E2CB7">
              <w:rPr>
                <w:sz w:val="20"/>
              </w:rPr>
              <w:t>Approved</w:t>
            </w:r>
            <w:r>
              <w:rPr>
                <w:sz w:val="20"/>
              </w:rPr>
              <w:t xml:space="preserve"> </w:t>
            </w:r>
            <w:r w:rsidRPr="002E2CB7">
              <w:rPr>
                <w:sz w:val="20"/>
              </w:rPr>
              <w:t xml:space="preserve"> indications</w:t>
            </w:r>
          </w:p>
        </w:tc>
      </w:tr>
      <w:tr w:rsidR="00D72DF4" w14:paraId="7D2B4B01" w14:textId="77777777" w:rsidTr="00CF1D4F">
        <w:tc>
          <w:tcPr>
            <w:tcW w:w="1110" w:type="pct"/>
            <w:tcBorders>
              <w:top w:val="single" w:sz="4" w:space="0" w:color="auto"/>
            </w:tcBorders>
          </w:tcPr>
          <w:p w14:paraId="37107237" w14:textId="0CC6E1C8" w:rsidR="00D72DF4" w:rsidRPr="002E2CB7" w:rsidRDefault="00D72DF4" w:rsidP="00006FAB">
            <w:pPr>
              <w:ind w:left="0" w:right="0"/>
              <w:rPr>
                <w:sz w:val="20"/>
              </w:rPr>
            </w:pPr>
            <w:r w:rsidRPr="002E2CB7">
              <w:rPr>
                <w:sz w:val="20"/>
              </w:rPr>
              <w:t>European Union (Marketing Authorisation Application)</w:t>
            </w:r>
          </w:p>
        </w:tc>
        <w:tc>
          <w:tcPr>
            <w:tcW w:w="1483" w:type="pct"/>
            <w:tcBorders>
              <w:top w:val="single" w:sz="4" w:space="0" w:color="auto"/>
            </w:tcBorders>
          </w:tcPr>
          <w:p w14:paraId="37C3DBC9" w14:textId="77777777" w:rsidR="00D72DF4" w:rsidRDefault="00D72DF4" w:rsidP="00006FAB">
            <w:pPr>
              <w:ind w:left="0" w:right="0"/>
              <w:rPr>
                <w:sz w:val="20"/>
              </w:rPr>
            </w:pPr>
            <w:r w:rsidRPr="002E2CB7">
              <w:rPr>
                <w:sz w:val="20"/>
              </w:rPr>
              <w:t>Under consideration (rolling submissions)</w:t>
            </w:r>
            <w:r>
              <w:rPr>
                <w:sz w:val="20"/>
              </w:rPr>
              <w:t>.</w:t>
            </w:r>
          </w:p>
          <w:p w14:paraId="7F030199" w14:textId="595D9CBB" w:rsidR="00D72DF4" w:rsidRPr="002E2CB7" w:rsidRDefault="00D72DF4" w:rsidP="00006FAB">
            <w:pPr>
              <w:ind w:left="0" w:right="0"/>
              <w:rPr>
                <w:sz w:val="20"/>
              </w:rPr>
            </w:pPr>
            <w:r>
              <w:rPr>
                <w:sz w:val="20"/>
              </w:rPr>
              <w:t xml:space="preserve">Guidance on the emergency use of sotrovimab was granted on 21 May 2021. </w:t>
            </w:r>
          </w:p>
        </w:tc>
        <w:tc>
          <w:tcPr>
            <w:tcW w:w="2407" w:type="pct"/>
            <w:tcBorders>
              <w:top w:val="single" w:sz="4" w:space="0" w:color="auto"/>
            </w:tcBorders>
          </w:tcPr>
          <w:p w14:paraId="31614F48" w14:textId="6974A3A5" w:rsidR="00D72DF4" w:rsidRPr="00CF1D4F" w:rsidRDefault="00D72DF4" w:rsidP="00006FAB">
            <w:pPr>
              <w:ind w:left="0" w:right="0"/>
              <w:rPr>
                <w:sz w:val="20"/>
              </w:rPr>
            </w:pPr>
            <w:r w:rsidRPr="00CF1D4F">
              <w:rPr>
                <w:sz w:val="20"/>
              </w:rPr>
              <w:t>Under rev</w:t>
            </w:r>
            <w:r w:rsidR="00C85B77" w:rsidRPr="00CF1D4F">
              <w:rPr>
                <w:sz w:val="20"/>
              </w:rPr>
              <w:t>ie</w:t>
            </w:r>
            <w:r w:rsidRPr="00CF1D4F">
              <w:rPr>
                <w:sz w:val="20"/>
              </w:rPr>
              <w:t>w</w:t>
            </w:r>
          </w:p>
        </w:tc>
      </w:tr>
      <w:tr w:rsidR="00D72DF4" w14:paraId="2CACBB63" w14:textId="77777777" w:rsidTr="00CF1D4F">
        <w:tc>
          <w:tcPr>
            <w:tcW w:w="1110" w:type="pct"/>
          </w:tcPr>
          <w:p w14:paraId="63E780FF" w14:textId="54A1A324" w:rsidR="00D72DF4" w:rsidRPr="002E2CB7" w:rsidRDefault="00D72DF4" w:rsidP="006E5E5C">
            <w:pPr>
              <w:ind w:left="0"/>
              <w:rPr>
                <w:sz w:val="20"/>
              </w:rPr>
            </w:pPr>
            <w:r w:rsidRPr="002E2CB7">
              <w:rPr>
                <w:sz w:val="20"/>
              </w:rPr>
              <w:t>United States of America (Emergency Use Authorization)</w:t>
            </w:r>
          </w:p>
        </w:tc>
        <w:tc>
          <w:tcPr>
            <w:tcW w:w="1483" w:type="pct"/>
          </w:tcPr>
          <w:p w14:paraId="6F9698B7" w14:textId="72C7FC23" w:rsidR="00D72DF4" w:rsidRPr="002E2CB7" w:rsidRDefault="00D72DF4" w:rsidP="006E5E5C">
            <w:pPr>
              <w:ind w:left="0"/>
              <w:rPr>
                <w:sz w:val="20"/>
              </w:rPr>
            </w:pPr>
            <w:r w:rsidRPr="002E2CB7">
              <w:rPr>
                <w:sz w:val="20"/>
              </w:rPr>
              <w:t>Approved 26 May 2021</w:t>
            </w:r>
          </w:p>
        </w:tc>
        <w:tc>
          <w:tcPr>
            <w:tcW w:w="2407" w:type="pct"/>
          </w:tcPr>
          <w:p w14:paraId="7F6DA701" w14:textId="5290574C" w:rsidR="00D72DF4" w:rsidRPr="002E2CB7" w:rsidRDefault="00D72DF4" w:rsidP="006E5E5C">
            <w:pPr>
              <w:ind w:left="0"/>
              <w:rPr>
                <w:i/>
                <w:sz w:val="20"/>
              </w:rPr>
            </w:pPr>
            <w:r w:rsidRPr="004D131F">
              <w:rPr>
                <w:i/>
                <w:sz w:val="20"/>
              </w:rPr>
              <w:t xml:space="preserve">Sotrovimab is authorized for use under an Emergency Use Authorization (EUA) for the treatment of mild-to-moderate coronavirus disease 2019 (COVID-19) in adults and pediatric patients (12 years of age and older weighing at least 40 kg) with positive results of direct SARS-CoV-2 viral testing, and who are at high risk for progression to severe COVID-19, including hospitalization or death </w:t>
            </w:r>
            <w:r w:rsidRPr="004D131F">
              <w:rPr>
                <w:i/>
                <w:iCs/>
                <w:sz w:val="20"/>
              </w:rPr>
              <w:t>[see Clinical Trial Results and Supporting Data for EUA (18)]</w:t>
            </w:r>
            <w:r w:rsidRPr="004D131F">
              <w:rPr>
                <w:i/>
                <w:sz w:val="20"/>
              </w:rPr>
              <w:t>.</w:t>
            </w:r>
          </w:p>
        </w:tc>
      </w:tr>
      <w:tr w:rsidR="00D72DF4" w14:paraId="3E3266AE" w14:textId="77777777" w:rsidTr="00CF1D4F">
        <w:tc>
          <w:tcPr>
            <w:tcW w:w="1110" w:type="pct"/>
          </w:tcPr>
          <w:p w14:paraId="799E80BB" w14:textId="78D7F49E" w:rsidR="00D72DF4" w:rsidRPr="002E2CB7" w:rsidRDefault="00D72DF4" w:rsidP="006E5E5C">
            <w:pPr>
              <w:ind w:left="0"/>
              <w:rPr>
                <w:sz w:val="20"/>
              </w:rPr>
            </w:pPr>
            <w:r w:rsidRPr="002E2CB7">
              <w:rPr>
                <w:sz w:val="20"/>
              </w:rPr>
              <w:t>Canada (Interim Order)</w:t>
            </w:r>
          </w:p>
        </w:tc>
        <w:tc>
          <w:tcPr>
            <w:tcW w:w="1483" w:type="pct"/>
          </w:tcPr>
          <w:p w14:paraId="109F0C2C" w14:textId="7A98E45C" w:rsidR="00D72DF4" w:rsidRPr="002E2CB7" w:rsidRDefault="00D72DF4" w:rsidP="006E5E5C">
            <w:pPr>
              <w:ind w:left="0"/>
              <w:rPr>
                <w:sz w:val="20"/>
              </w:rPr>
            </w:pPr>
            <w:r w:rsidRPr="002E2CB7">
              <w:rPr>
                <w:sz w:val="20"/>
              </w:rPr>
              <w:t>Approved 30 July 2021</w:t>
            </w:r>
          </w:p>
        </w:tc>
        <w:tc>
          <w:tcPr>
            <w:tcW w:w="2407" w:type="pct"/>
          </w:tcPr>
          <w:p w14:paraId="40A2BCD1" w14:textId="20EC0664" w:rsidR="00D72DF4" w:rsidRPr="002E2CB7" w:rsidRDefault="00D72DF4" w:rsidP="006E5E5C">
            <w:pPr>
              <w:ind w:left="0"/>
              <w:rPr>
                <w:i/>
                <w:sz w:val="20"/>
              </w:rPr>
            </w:pPr>
            <w:r w:rsidRPr="00F007CB">
              <w:rPr>
                <w:i/>
                <w:sz w:val="20"/>
              </w:rPr>
              <w:t>Treatment of adults and adolescents (aged 12 years and older weighing at least 40 kg) with mild-to-moderate coronavirus disease 2019 (COVID-19) who are at risk for progression to hospitalization or death</w:t>
            </w:r>
          </w:p>
        </w:tc>
      </w:tr>
      <w:tr w:rsidR="00D72DF4" w14:paraId="424D4112" w14:textId="77777777" w:rsidTr="00CF1D4F">
        <w:tc>
          <w:tcPr>
            <w:tcW w:w="1110" w:type="pct"/>
          </w:tcPr>
          <w:p w14:paraId="5865685D" w14:textId="348F11AA" w:rsidR="00D72DF4" w:rsidRPr="002E2CB7" w:rsidRDefault="00D72DF4" w:rsidP="006E5E5C">
            <w:pPr>
              <w:ind w:left="0"/>
              <w:rPr>
                <w:sz w:val="20"/>
              </w:rPr>
            </w:pPr>
            <w:r w:rsidRPr="002E2CB7">
              <w:rPr>
                <w:sz w:val="20"/>
              </w:rPr>
              <w:t>Singapore (Pandemic Special Access Route)</w:t>
            </w:r>
          </w:p>
        </w:tc>
        <w:tc>
          <w:tcPr>
            <w:tcW w:w="1483" w:type="pct"/>
          </w:tcPr>
          <w:p w14:paraId="4A1404B2" w14:textId="2BB320E4" w:rsidR="00D72DF4" w:rsidRPr="002E2CB7" w:rsidRDefault="00D72DF4" w:rsidP="006E5E5C">
            <w:pPr>
              <w:ind w:left="0"/>
              <w:rPr>
                <w:sz w:val="20"/>
              </w:rPr>
            </w:pPr>
            <w:r w:rsidRPr="002E2CB7">
              <w:rPr>
                <w:sz w:val="20"/>
              </w:rPr>
              <w:t>Approved 30 June 2021</w:t>
            </w:r>
          </w:p>
        </w:tc>
        <w:tc>
          <w:tcPr>
            <w:tcW w:w="2407" w:type="pct"/>
          </w:tcPr>
          <w:p w14:paraId="7D04F58E" w14:textId="12A38FD0" w:rsidR="00D72DF4" w:rsidRPr="002E2CB7" w:rsidRDefault="00D72DF4" w:rsidP="006E5E5C">
            <w:pPr>
              <w:ind w:left="0"/>
              <w:rPr>
                <w:i/>
                <w:sz w:val="20"/>
              </w:rPr>
            </w:pPr>
            <w:r>
              <w:rPr>
                <w:i/>
                <w:sz w:val="20"/>
              </w:rPr>
              <w:t>The treatment of adult patients 18 years of age and above with coronavirus disease 2019 (COVID-19) who do not require oxygen supplementation and who are at risk of progressing to severe COVID-19. The risk factors include greater than or equal to 55 years, diabetes, obesity (BMI</w:t>
            </w:r>
            <w:r w:rsidR="00C85B77">
              <w:rPr>
                <w:i/>
                <w:sz w:val="20"/>
              </w:rPr>
              <w:t xml:space="preserve"> </w:t>
            </w:r>
            <w:r w:rsidR="00C85B77">
              <w:rPr>
                <w:sz w:val="20"/>
              </w:rPr>
              <w:t>[body mass index]</w:t>
            </w:r>
            <w:r>
              <w:rPr>
                <w:i/>
                <w:sz w:val="20"/>
              </w:rPr>
              <w:t xml:space="preserve"> &gt;</w:t>
            </w:r>
            <w:r w:rsidR="00C85B77">
              <w:rPr>
                <w:i/>
                <w:sz w:val="20"/>
              </w:rPr>
              <w:t> </w:t>
            </w:r>
            <w:r>
              <w:rPr>
                <w:i/>
                <w:sz w:val="20"/>
              </w:rPr>
              <w:t>30</w:t>
            </w:r>
            <w:r w:rsidR="00C85B77">
              <w:rPr>
                <w:i/>
                <w:sz w:val="20"/>
              </w:rPr>
              <w:t> </w:t>
            </w:r>
            <w:r>
              <w:rPr>
                <w:i/>
                <w:sz w:val="20"/>
              </w:rPr>
              <w:t>kg/m</w:t>
            </w:r>
            <w:r w:rsidRPr="00CF1D4F">
              <w:rPr>
                <w:i/>
                <w:sz w:val="20"/>
                <w:vertAlign w:val="superscript"/>
              </w:rPr>
              <w:t>2</w:t>
            </w:r>
            <w:r>
              <w:rPr>
                <w:i/>
                <w:sz w:val="20"/>
              </w:rPr>
              <w:t>), chronic kidney disease, congestive heart failure, chronic obstructive pulmonary disease, and/or moderate to severe asthma</w:t>
            </w:r>
          </w:p>
        </w:tc>
      </w:tr>
      <w:tr w:rsidR="00D72DF4" w14:paraId="4938A879" w14:textId="77777777" w:rsidTr="00CF1D4F">
        <w:tc>
          <w:tcPr>
            <w:tcW w:w="1110" w:type="pct"/>
          </w:tcPr>
          <w:p w14:paraId="5EDD8D67" w14:textId="693E6B93" w:rsidR="00D72DF4" w:rsidRPr="002E2CB7" w:rsidRDefault="00D72DF4" w:rsidP="006D1DBC">
            <w:pPr>
              <w:ind w:left="0"/>
              <w:rPr>
                <w:sz w:val="20"/>
              </w:rPr>
            </w:pPr>
            <w:r w:rsidRPr="002E2CB7">
              <w:rPr>
                <w:sz w:val="20"/>
              </w:rPr>
              <w:t>Switzerland (Temporary Authorisation)</w:t>
            </w:r>
          </w:p>
        </w:tc>
        <w:tc>
          <w:tcPr>
            <w:tcW w:w="1483" w:type="pct"/>
          </w:tcPr>
          <w:p w14:paraId="683CE444" w14:textId="5E917537" w:rsidR="00D72DF4" w:rsidRPr="002E2CB7" w:rsidRDefault="00D72DF4" w:rsidP="006D1DBC">
            <w:pPr>
              <w:ind w:left="0"/>
              <w:rPr>
                <w:sz w:val="20"/>
              </w:rPr>
            </w:pPr>
            <w:r w:rsidRPr="002E2CB7">
              <w:rPr>
                <w:sz w:val="20"/>
              </w:rPr>
              <w:t>Under consideration</w:t>
            </w:r>
          </w:p>
        </w:tc>
        <w:tc>
          <w:tcPr>
            <w:tcW w:w="2407" w:type="pct"/>
          </w:tcPr>
          <w:p w14:paraId="030DF33A" w14:textId="4690739D" w:rsidR="00D72DF4" w:rsidRPr="002E2CB7" w:rsidRDefault="00D72DF4" w:rsidP="006D1DBC">
            <w:pPr>
              <w:ind w:left="0"/>
              <w:rPr>
                <w:i/>
                <w:sz w:val="20"/>
              </w:rPr>
            </w:pPr>
            <w:r w:rsidRPr="00641188">
              <w:rPr>
                <w:iCs/>
                <w:sz w:val="20"/>
              </w:rPr>
              <w:t>Under consideration</w:t>
            </w:r>
          </w:p>
        </w:tc>
      </w:tr>
      <w:tr w:rsidR="00D72DF4" w14:paraId="6FC60C97" w14:textId="77777777" w:rsidTr="00CF1D4F">
        <w:tc>
          <w:tcPr>
            <w:tcW w:w="1110" w:type="pct"/>
          </w:tcPr>
          <w:p w14:paraId="67450FE2" w14:textId="2691FFE2" w:rsidR="00D72DF4" w:rsidRPr="002E2CB7" w:rsidRDefault="00D72DF4" w:rsidP="006D1DBC">
            <w:pPr>
              <w:ind w:left="0"/>
              <w:rPr>
                <w:sz w:val="20"/>
              </w:rPr>
            </w:pPr>
            <w:r w:rsidRPr="002E2CB7">
              <w:rPr>
                <w:sz w:val="20"/>
              </w:rPr>
              <w:lastRenderedPageBreak/>
              <w:t>Switzerland (Marketing Authorisation Application)</w:t>
            </w:r>
          </w:p>
        </w:tc>
        <w:tc>
          <w:tcPr>
            <w:tcW w:w="1483" w:type="pct"/>
          </w:tcPr>
          <w:p w14:paraId="2F681127" w14:textId="668DE7A5" w:rsidR="00D72DF4" w:rsidRPr="002E2CB7" w:rsidRDefault="00D72DF4" w:rsidP="006D1DBC">
            <w:pPr>
              <w:ind w:left="0"/>
              <w:rPr>
                <w:sz w:val="20"/>
              </w:rPr>
            </w:pPr>
            <w:r w:rsidRPr="002E2CB7">
              <w:rPr>
                <w:sz w:val="20"/>
              </w:rPr>
              <w:t>Under consideration</w:t>
            </w:r>
          </w:p>
        </w:tc>
        <w:tc>
          <w:tcPr>
            <w:tcW w:w="2407" w:type="pct"/>
          </w:tcPr>
          <w:p w14:paraId="4666C5FB" w14:textId="2EB03A88" w:rsidR="00D72DF4" w:rsidRPr="00641188" w:rsidRDefault="00D72DF4" w:rsidP="006D1DBC">
            <w:pPr>
              <w:ind w:left="0"/>
              <w:rPr>
                <w:iCs/>
                <w:sz w:val="20"/>
              </w:rPr>
            </w:pPr>
            <w:r>
              <w:rPr>
                <w:iCs/>
                <w:sz w:val="20"/>
              </w:rPr>
              <w:t>Under consideration</w:t>
            </w:r>
          </w:p>
        </w:tc>
      </w:tr>
      <w:tr w:rsidR="00D72DF4" w14:paraId="36332722" w14:textId="77777777" w:rsidTr="00CF1D4F">
        <w:tc>
          <w:tcPr>
            <w:tcW w:w="1110" w:type="pct"/>
          </w:tcPr>
          <w:p w14:paraId="30E713AC" w14:textId="221B3685" w:rsidR="00D72DF4" w:rsidRPr="002E2CB7" w:rsidRDefault="00D72DF4" w:rsidP="006D1DBC">
            <w:pPr>
              <w:ind w:left="0"/>
              <w:rPr>
                <w:sz w:val="20"/>
              </w:rPr>
            </w:pPr>
            <w:r>
              <w:rPr>
                <w:sz w:val="20"/>
              </w:rPr>
              <w:t>Italy</w:t>
            </w:r>
            <w:r>
              <w:rPr>
                <w:sz w:val="20"/>
              </w:rPr>
              <w:br/>
            </w:r>
            <w:r w:rsidRPr="002E2CB7">
              <w:rPr>
                <w:sz w:val="20"/>
              </w:rPr>
              <w:t>(Temporary Authorization</w:t>
            </w:r>
            <w:r>
              <w:rPr>
                <w:sz w:val="20"/>
              </w:rPr>
              <w:t>)</w:t>
            </w:r>
          </w:p>
        </w:tc>
        <w:tc>
          <w:tcPr>
            <w:tcW w:w="1483" w:type="pct"/>
          </w:tcPr>
          <w:p w14:paraId="5BBB9656" w14:textId="5ABF843C" w:rsidR="00D72DF4" w:rsidRPr="002E2CB7" w:rsidRDefault="00D72DF4" w:rsidP="006D1DBC">
            <w:pPr>
              <w:ind w:left="0"/>
              <w:rPr>
                <w:sz w:val="20"/>
              </w:rPr>
            </w:pPr>
            <w:r w:rsidRPr="002E2CB7">
              <w:rPr>
                <w:sz w:val="20"/>
              </w:rPr>
              <w:t>Approved 29 July 2021</w:t>
            </w:r>
          </w:p>
        </w:tc>
        <w:tc>
          <w:tcPr>
            <w:tcW w:w="2407" w:type="pct"/>
          </w:tcPr>
          <w:p w14:paraId="46834D24" w14:textId="14247822" w:rsidR="00D72DF4" w:rsidRPr="002E2CB7" w:rsidRDefault="00D72DF4" w:rsidP="006D1DBC">
            <w:pPr>
              <w:ind w:left="0"/>
              <w:rPr>
                <w:i/>
                <w:sz w:val="20"/>
              </w:rPr>
            </w:pPr>
            <w:r w:rsidRPr="002E2CB7">
              <w:rPr>
                <w:i/>
                <w:sz w:val="20"/>
              </w:rPr>
              <w:t>Treatment of adults and adolescents (aged 12 years and over and weighing at least 40</w:t>
            </w:r>
            <w:r w:rsidR="00A4034E">
              <w:rPr>
                <w:i/>
                <w:sz w:val="20"/>
              </w:rPr>
              <w:t> </w:t>
            </w:r>
            <w:r w:rsidRPr="002E2CB7">
              <w:rPr>
                <w:i/>
                <w:sz w:val="20"/>
              </w:rPr>
              <w:t>kg) with coronavirus disease 2019 (COVID</w:t>
            </w:r>
            <w:r w:rsidR="00A4034E">
              <w:rPr>
                <w:i/>
                <w:sz w:val="20"/>
              </w:rPr>
              <w:noBreakHyphen/>
            </w:r>
            <w:r w:rsidRPr="002E2CB7">
              <w:rPr>
                <w:i/>
                <w:sz w:val="20"/>
              </w:rPr>
              <w:t>19) who do not require oxygen supplementation and who are at risk of progressing to severe COVID-19</w:t>
            </w:r>
          </w:p>
        </w:tc>
      </w:tr>
    </w:tbl>
    <w:p w14:paraId="41BC3B53" w14:textId="77777777" w:rsidR="008E7846" w:rsidRDefault="008E7846" w:rsidP="00940A89">
      <w:pPr>
        <w:pStyle w:val="Heading3"/>
      </w:pPr>
      <w:bookmarkStart w:id="22" w:name="_Toc80080855"/>
      <w:r>
        <w:t>Product Information</w:t>
      </w:r>
      <w:bookmarkEnd w:id="19"/>
      <w:bookmarkEnd w:id="20"/>
      <w:bookmarkEnd w:id="22"/>
    </w:p>
    <w:p w14:paraId="6D3CBF82" w14:textId="0C2CE75D"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64854EDD" w14:textId="77777777" w:rsidR="00500337" w:rsidRDefault="00500337" w:rsidP="00500337">
      <w:pPr>
        <w:pStyle w:val="Heading2"/>
      </w:pPr>
      <w:bookmarkStart w:id="25" w:name="_Toc504480011"/>
      <w:bookmarkStart w:id="26" w:name="_Toc80080856"/>
      <w:r>
        <w:t>II. Registration timeline</w:t>
      </w:r>
      <w:bookmarkEnd w:id="25"/>
      <w:bookmarkEnd w:id="26"/>
    </w:p>
    <w:p w14:paraId="692F6A12" w14:textId="6B4E5274" w:rsidR="00500337" w:rsidRDefault="00500337" w:rsidP="00500337">
      <w:r>
        <w:t>The following table captures the key steps and dates for this application and which are detailed and discussed in this AusPAR.</w:t>
      </w:r>
    </w:p>
    <w:p w14:paraId="36BE162A" w14:textId="77777777" w:rsidR="009B0887" w:rsidRDefault="009B0887" w:rsidP="00500337">
      <w:r>
        <w:t>Data was</w:t>
      </w:r>
      <w:r w:rsidRPr="00D67C90">
        <w:t xml:space="preserv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to enable early evaluation of data as it comes to hand.</w:t>
      </w:r>
    </w:p>
    <w:p w14:paraId="214F2DAC" w14:textId="734268D1" w:rsidR="00500337" w:rsidRDefault="006A58A8" w:rsidP="00641188">
      <w:pPr>
        <w:pStyle w:val="TableTitle"/>
      </w:pPr>
      <w:r w:rsidRPr="006A58A8">
        <w:t xml:space="preserve">Table </w:t>
      </w:r>
      <w:r w:rsidR="00324E45">
        <w:t>2</w:t>
      </w:r>
      <w:r w:rsidR="00006FAB">
        <w:t>:</w:t>
      </w:r>
      <w:r w:rsidRPr="006A58A8">
        <w:t xml:space="preserve"> Timeline for Submission PM-20</w:t>
      </w:r>
      <w:r w:rsidR="00324E45">
        <w:t>2</w:t>
      </w:r>
      <w:r w:rsidR="00080F7F">
        <w:t>1</w:t>
      </w:r>
      <w:r w:rsidRPr="006A58A8">
        <w:t>-</w:t>
      </w:r>
      <w:r w:rsidR="00080F7F">
        <w:t>01848-1-2</w:t>
      </w:r>
    </w:p>
    <w:tbl>
      <w:tblPr>
        <w:tblStyle w:val="TableTGAblue"/>
        <w:tblW w:w="0" w:type="auto"/>
        <w:tblLook w:val="04A0" w:firstRow="1" w:lastRow="0" w:firstColumn="1" w:lastColumn="0" w:noHBand="0" w:noVBand="1"/>
      </w:tblPr>
      <w:tblGrid>
        <w:gridCol w:w="4263"/>
        <w:gridCol w:w="4231"/>
      </w:tblGrid>
      <w:tr w:rsidR="00500337" w14:paraId="1B55884F" w14:textId="77777777" w:rsidTr="00641188">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7597E1F1" w14:textId="77777777" w:rsidR="00500337" w:rsidRDefault="00500337" w:rsidP="00500337">
            <w:pPr>
              <w:ind w:left="0" w:right="0"/>
            </w:pPr>
            <w:r>
              <w:t>Description</w:t>
            </w:r>
          </w:p>
        </w:tc>
        <w:tc>
          <w:tcPr>
            <w:tcW w:w="4231" w:type="dxa"/>
            <w:tcBorders>
              <w:top w:val="single" w:sz="4" w:space="0" w:color="auto"/>
              <w:left w:val="single" w:sz="4" w:space="0" w:color="auto"/>
              <w:bottom w:val="single" w:sz="4" w:space="0" w:color="auto"/>
              <w:right w:val="single" w:sz="4" w:space="0" w:color="auto"/>
            </w:tcBorders>
          </w:tcPr>
          <w:p w14:paraId="5EC3DF2C" w14:textId="77777777" w:rsidR="00500337" w:rsidRDefault="00500337" w:rsidP="00500337">
            <w:pPr>
              <w:ind w:left="0" w:right="0"/>
            </w:pPr>
            <w:r>
              <w:t>Date</w:t>
            </w:r>
          </w:p>
        </w:tc>
      </w:tr>
      <w:tr w:rsidR="00500337" w14:paraId="2987D071" w14:textId="77777777" w:rsidTr="00641188">
        <w:tc>
          <w:tcPr>
            <w:tcW w:w="4263" w:type="dxa"/>
            <w:tcBorders>
              <w:top w:val="single" w:sz="4" w:space="0" w:color="auto"/>
            </w:tcBorders>
          </w:tcPr>
          <w:p w14:paraId="3B5AF2B3" w14:textId="33FBB6CD" w:rsidR="00500337" w:rsidRDefault="00500337" w:rsidP="00500337">
            <w:pPr>
              <w:ind w:left="0" w:right="0"/>
            </w:pPr>
            <w:r>
              <w:t>Designation (Provisional)</w:t>
            </w:r>
            <w:r w:rsidR="00CF1D4F">
              <w:rPr>
                <w:rStyle w:val="FootnoteReference"/>
              </w:rPr>
              <w:footnoteReference w:id="15"/>
            </w:r>
          </w:p>
        </w:tc>
        <w:tc>
          <w:tcPr>
            <w:tcW w:w="4231" w:type="dxa"/>
            <w:tcBorders>
              <w:top w:val="single" w:sz="4" w:space="0" w:color="auto"/>
            </w:tcBorders>
          </w:tcPr>
          <w:p w14:paraId="2B1D991E" w14:textId="6103D6A5" w:rsidR="00500337" w:rsidRDefault="009B0887" w:rsidP="00500337">
            <w:pPr>
              <w:ind w:left="0" w:right="0"/>
            </w:pPr>
            <w:r>
              <w:t>13 April 2021</w:t>
            </w:r>
          </w:p>
        </w:tc>
      </w:tr>
      <w:tr w:rsidR="00500337" w14:paraId="1CC90903" w14:textId="77777777" w:rsidTr="00641188">
        <w:tc>
          <w:tcPr>
            <w:tcW w:w="4263" w:type="dxa"/>
          </w:tcPr>
          <w:p w14:paraId="5A544FE6" w14:textId="65D1F949" w:rsidR="00500337" w:rsidRDefault="00500337" w:rsidP="00500337">
            <w:pPr>
              <w:ind w:left="0" w:right="0"/>
            </w:pPr>
            <w:r>
              <w:t xml:space="preserve">Submission dossier accepted </w:t>
            </w:r>
            <w:r w:rsidR="00080F7F">
              <w:t>and</w:t>
            </w:r>
            <w:r>
              <w:t xml:space="preserve"> evaluation commenced</w:t>
            </w:r>
          </w:p>
        </w:tc>
        <w:tc>
          <w:tcPr>
            <w:tcW w:w="4231" w:type="dxa"/>
          </w:tcPr>
          <w:p w14:paraId="6F8A0404" w14:textId="70CB00D5" w:rsidR="00500337" w:rsidRDefault="00080F7F" w:rsidP="00500337">
            <w:pPr>
              <w:ind w:left="0" w:right="0"/>
            </w:pPr>
            <w:r>
              <w:t>20 May 2021</w:t>
            </w:r>
          </w:p>
        </w:tc>
      </w:tr>
      <w:tr w:rsidR="00500337" w14:paraId="41BF2008" w14:textId="77777777" w:rsidTr="00641188">
        <w:tc>
          <w:tcPr>
            <w:tcW w:w="4263" w:type="dxa"/>
          </w:tcPr>
          <w:p w14:paraId="4AEE031C" w14:textId="348F68B1" w:rsidR="00500337" w:rsidRDefault="00080F7F" w:rsidP="00500337">
            <w:pPr>
              <w:ind w:left="0" w:right="0"/>
            </w:pPr>
            <w:r>
              <w:t>E</w:t>
            </w:r>
            <w:r w:rsidR="00500337">
              <w:t>valuation completed</w:t>
            </w:r>
          </w:p>
        </w:tc>
        <w:tc>
          <w:tcPr>
            <w:tcW w:w="4231" w:type="dxa"/>
          </w:tcPr>
          <w:p w14:paraId="27FA208A" w14:textId="0F7E7197" w:rsidR="00500337" w:rsidRDefault="00CF1D4F" w:rsidP="00500337">
            <w:pPr>
              <w:ind w:left="0" w:right="0"/>
            </w:pPr>
            <w:r>
              <w:t>13 August 2021</w:t>
            </w:r>
          </w:p>
        </w:tc>
      </w:tr>
      <w:tr w:rsidR="00500337" w14:paraId="36C555F9" w14:textId="77777777" w:rsidTr="00641188">
        <w:tc>
          <w:tcPr>
            <w:tcW w:w="4263" w:type="dxa"/>
          </w:tcPr>
          <w:p w14:paraId="5C3C9AD6" w14:textId="0E3FD066" w:rsidR="00500337" w:rsidRDefault="00324E45" w:rsidP="00500337">
            <w:pPr>
              <w:ind w:left="0" w:right="0"/>
            </w:pPr>
            <w:r>
              <w:lastRenderedPageBreak/>
              <w:t xml:space="preserve">Delegate’s Overall benefit-risk assessment </w:t>
            </w:r>
            <w:r w:rsidRPr="00080F7F">
              <w:rPr>
                <w:color w:val="auto"/>
              </w:rPr>
              <w:t>and request for Advisory Committee advice</w:t>
            </w:r>
          </w:p>
        </w:tc>
        <w:tc>
          <w:tcPr>
            <w:tcW w:w="4231" w:type="dxa"/>
          </w:tcPr>
          <w:p w14:paraId="1C0CEBF8" w14:textId="48D1C8B2" w:rsidR="00500337" w:rsidRDefault="00080F7F" w:rsidP="00500337">
            <w:pPr>
              <w:ind w:left="0" w:right="0"/>
            </w:pPr>
            <w:r>
              <w:t>8 August 2021</w:t>
            </w:r>
          </w:p>
        </w:tc>
      </w:tr>
      <w:tr w:rsidR="00500337" w14:paraId="21BDAF31" w14:textId="77777777" w:rsidTr="00641188">
        <w:tc>
          <w:tcPr>
            <w:tcW w:w="4263" w:type="dxa"/>
          </w:tcPr>
          <w:p w14:paraId="4B7FF2DE" w14:textId="77777777" w:rsidR="00500337" w:rsidRDefault="00500337" w:rsidP="00500337">
            <w:pPr>
              <w:ind w:left="0" w:right="0"/>
            </w:pPr>
            <w:r>
              <w:t>Sponsor’s pre-Advisory Committee response</w:t>
            </w:r>
          </w:p>
        </w:tc>
        <w:tc>
          <w:tcPr>
            <w:tcW w:w="4231" w:type="dxa"/>
          </w:tcPr>
          <w:p w14:paraId="06951E72" w14:textId="04154C63" w:rsidR="00500337" w:rsidRDefault="00080F7F" w:rsidP="00500337">
            <w:pPr>
              <w:ind w:left="0" w:right="0"/>
            </w:pPr>
            <w:r>
              <w:t>10 August 2021</w:t>
            </w:r>
          </w:p>
        </w:tc>
      </w:tr>
      <w:tr w:rsidR="00500337" w14:paraId="12A106DE" w14:textId="77777777" w:rsidTr="00641188">
        <w:tc>
          <w:tcPr>
            <w:tcW w:w="4263" w:type="dxa"/>
          </w:tcPr>
          <w:p w14:paraId="04F6B1FD" w14:textId="77777777" w:rsidR="00500337" w:rsidRDefault="00500337" w:rsidP="00500337">
            <w:pPr>
              <w:ind w:left="0" w:right="0"/>
            </w:pPr>
            <w:r>
              <w:t>Advisory Committee meeting</w:t>
            </w:r>
          </w:p>
        </w:tc>
        <w:tc>
          <w:tcPr>
            <w:tcW w:w="4231" w:type="dxa"/>
          </w:tcPr>
          <w:p w14:paraId="0716D975" w14:textId="213DDDD3" w:rsidR="00500337" w:rsidRPr="009C73A5" w:rsidRDefault="00080F7F" w:rsidP="00500337">
            <w:pPr>
              <w:ind w:left="0" w:right="0"/>
            </w:pPr>
            <w:r w:rsidRPr="009C73A5">
              <w:t>12 August 2021</w:t>
            </w:r>
          </w:p>
        </w:tc>
      </w:tr>
      <w:tr w:rsidR="00500337" w14:paraId="0E395D22" w14:textId="77777777" w:rsidTr="00641188">
        <w:tc>
          <w:tcPr>
            <w:tcW w:w="4263" w:type="dxa"/>
          </w:tcPr>
          <w:p w14:paraId="46913050" w14:textId="77777777" w:rsidR="00500337" w:rsidRDefault="00500337" w:rsidP="00500337">
            <w:pPr>
              <w:ind w:left="0" w:right="0"/>
            </w:pPr>
            <w:r>
              <w:t>Registration decision (Outcome)</w:t>
            </w:r>
          </w:p>
        </w:tc>
        <w:tc>
          <w:tcPr>
            <w:tcW w:w="4231" w:type="dxa"/>
          </w:tcPr>
          <w:p w14:paraId="4AF759B5" w14:textId="2353D143" w:rsidR="00500337" w:rsidRPr="00BF3C7C" w:rsidRDefault="00F70772" w:rsidP="00500337">
            <w:pPr>
              <w:ind w:left="0" w:right="0"/>
            </w:pPr>
            <w:r w:rsidRPr="00BF3C7C">
              <w:t>20</w:t>
            </w:r>
            <w:r w:rsidR="00CF1D4F" w:rsidRPr="00BF3C7C">
              <w:t xml:space="preserve"> August 2021</w:t>
            </w:r>
          </w:p>
        </w:tc>
      </w:tr>
      <w:tr w:rsidR="00500337" w14:paraId="49CF4BE8" w14:textId="77777777" w:rsidTr="00641188">
        <w:tc>
          <w:tcPr>
            <w:tcW w:w="4263" w:type="dxa"/>
          </w:tcPr>
          <w:p w14:paraId="49B695CD" w14:textId="77777777" w:rsidR="00500337" w:rsidRDefault="00500337" w:rsidP="00500337">
            <w:pPr>
              <w:ind w:left="0" w:right="0"/>
            </w:pPr>
            <w:r>
              <w:t xml:space="preserve">Completion of administrative activities and registration on </w:t>
            </w:r>
            <w:r w:rsidR="00006FAB">
              <w:t xml:space="preserve">the </w:t>
            </w:r>
            <w:r>
              <w:t>ARTG</w:t>
            </w:r>
          </w:p>
        </w:tc>
        <w:tc>
          <w:tcPr>
            <w:tcW w:w="4231" w:type="dxa"/>
          </w:tcPr>
          <w:p w14:paraId="7C9DB901" w14:textId="135ECDC0" w:rsidR="00500337" w:rsidRPr="00BF3C7C" w:rsidRDefault="00F70772" w:rsidP="00500337">
            <w:pPr>
              <w:ind w:left="0" w:right="0"/>
            </w:pPr>
            <w:r w:rsidRPr="00BF3C7C">
              <w:t>20</w:t>
            </w:r>
            <w:r w:rsidR="00CF1D4F" w:rsidRPr="00BF3C7C">
              <w:t xml:space="preserve"> August 2021</w:t>
            </w:r>
          </w:p>
        </w:tc>
      </w:tr>
      <w:tr w:rsidR="00500337" w14:paraId="3685A6D6" w14:textId="77777777" w:rsidTr="00641188">
        <w:tc>
          <w:tcPr>
            <w:tcW w:w="4263" w:type="dxa"/>
          </w:tcPr>
          <w:p w14:paraId="309FD687" w14:textId="2CE42E7F" w:rsidR="00500337" w:rsidRDefault="00500337" w:rsidP="00500337">
            <w:pPr>
              <w:ind w:left="0" w:right="0"/>
            </w:pPr>
            <w:r>
              <w:t>Number of working days from submission dossier acceptance to registration decision</w:t>
            </w:r>
            <w:r w:rsidR="003D0F0C">
              <w:t>*</w:t>
            </w:r>
          </w:p>
        </w:tc>
        <w:tc>
          <w:tcPr>
            <w:tcW w:w="4231" w:type="dxa"/>
          </w:tcPr>
          <w:p w14:paraId="7EF5CB50" w14:textId="57A9235A" w:rsidR="00500337" w:rsidRPr="00BF3C7C" w:rsidRDefault="00CF1D4F" w:rsidP="00500337">
            <w:pPr>
              <w:ind w:left="0" w:right="0"/>
            </w:pPr>
            <w:r w:rsidRPr="00BF3C7C">
              <w:t>6</w:t>
            </w:r>
            <w:r w:rsidR="00F70772" w:rsidRPr="00BF3C7C">
              <w:t>5</w:t>
            </w:r>
          </w:p>
        </w:tc>
      </w:tr>
    </w:tbl>
    <w:p w14:paraId="405E3370" w14:textId="48D87788" w:rsidR="00500337" w:rsidRDefault="00500337" w:rsidP="003D0F0C">
      <w:pPr>
        <w:pStyle w:val="TableDescription"/>
      </w:pPr>
      <w:r>
        <w:t>*</w:t>
      </w:r>
      <w:r w:rsidR="006603BC" w:rsidRPr="006603BC">
        <w:t>Statutory timeframe for standard applications is 255 working days</w:t>
      </w:r>
    </w:p>
    <w:p w14:paraId="534015CA" w14:textId="77777777" w:rsidR="008E7846" w:rsidRPr="00792A32" w:rsidRDefault="00456765" w:rsidP="008E7846">
      <w:pPr>
        <w:pStyle w:val="Heading2"/>
      </w:pPr>
      <w:bookmarkStart w:id="27" w:name="_Toc196046504"/>
      <w:bookmarkStart w:id="28" w:name="_Toc247691527"/>
      <w:bookmarkStart w:id="29" w:name="_Toc314842510"/>
      <w:bookmarkStart w:id="30" w:name="_Toc80080857"/>
      <w:bookmarkStart w:id="31" w:name="_Toc163441390"/>
      <w:bookmarkEnd w:id="23"/>
      <w:bookmarkEnd w:id="24"/>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14:paraId="5C90B6DB" w14:textId="77777777" w:rsidR="00006FAB" w:rsidRDefault="00006FAB" w:rsidP="00006FAB">
      <w:bookmarkStart w:id="32" w:name="_Toc247691528"/>
      <w:r>
        <w:t>The submission was summarised in the following Delegate’s overview and recommendations.</w:t>
      </w:r>
    </w:p>
    <w:p w14:paraId="33FA19B2" w14:textId="187C8661" w:rsidR="008E7846" w:rsidRDefault="008E7846" w:rsidP="008E7846">
      <w:pPr>
        <w:pStyle w:val="Heading3"/>
      </w:pPr>
      <w:bookmarkStart w:id="33" w:name="_Toc314842511"/>
      <w:bookmarkStart w:id="34" w:name="_Toc80080858"/>
      <w:r>
        <w:t>Quality</w:t>
      </w:r>
      <w:bookmarkEnd w:id="32"/>
      <w:bookmarkEnd w:id="33"/>
      <w:bookmarkEnd w:id="34"/>
    </w:p>
    <w:p w14:paraId="57BF773A" w14:textId="0DBA18C2" w:rsidR="00802B7E" w:rsidRPr="00CA6AEF" w:rsidRDefault="00802B7E" w:rsidP="00802B7E">
      <w:pPr>
        <w:rPr>
          <w:lang w:val="en-GB"/>
        </w:rPr>
      </w:pPr>
      <w:r w:rsidRPr="00CA6AEF">
        <w:rPr>
          <w:lang w:val="en-GB"/>
        </w:rPr>
        <w:t>Sotrovimab is an engineer</w:t>
      </w:r>
      <w:r>
        <w:rPr>
          <w:lang w:val="en-GB"/>
        </w:rPr>
        <w:t>ed human immunoglobulin G monoclonal antibody</w:t>
      </w:r>
      <w:r w:rsidRPr="00CA6AEF">
        <w:rPr>
          <w:lang w:val="en-GB"/>
        </w:rPr>
        <w:t xml:space="preserve"> that binds to a highly conserved epitope on the spike (S) protein receptor binding domain of </w:t>
      </w:r>
      <w:r>
        <w:rPr>
          <w:lang w:val="en-GB"/>
        </w:rPr>
        <w:t>the SARS</w:t>
      </w:r>
      <w:r>
        <w:rPr>
          <w:lang w:val="en-GB"/>
        </w:rPr>
        <w:noBreakHyphen/>
        <w:t>CoV</w:t>
      </w:r>
      <w:r>
        <w:rPr>
          <w:lang w:val="en-GB"/>
        </w:rPr>
        <w:noBreakHyphen/>
        <w:t>2 virus.</w:t>
      </w:r>
    </w:p>
    <w:p w14:paraId="7C3BF44D" w14:textId="5319C044" w:rsidR="00802B7E" w:rsidRDefault="00802B7E" w:rsidP="00802B7E">
      <w:r w:rsidRPr="00802B7E">
        <w:t>The sotrovimab Fc</w:t>
      </w:r>
      <w:r>
        <w:t xml:space="preserve"> region</w:t>
      </w:r>
      <w:r w:rsidRPr="00802B7E">
        <w:t xml:space="preserve"> has also been engineered to provide an extended half-life</w:t>
      </w:r>
      <w:r w:rsidR="00FE4E58">
        <w:t xml:space="preserve"> through inclusion of LS mutation</w:t>
      </w:r>
      <w:r w:rsidRPr="00802B7E">
        <w:t xml:space="preserve"> which enhance FcRn bind</w:t>
      </w:r>
      <w:r>
        <w:t>ing. Sotrovimab is produced in Chinese hamster ovary</w:t>
      </w:r>
      <w:r w:rsidRPr="00802B7E">
        <w:t xml:space="preserve"> cells and</w:t>
      </w:r>
      <w:r>
        <w:t xml:space="preserve"> consists of 2 heavy chains and 2 light chains with 2 light chain and 4 heavy chain</w:t>
      </w:r>
      <w:r w:rsidRPr="00802B7E">
        <w:t xml:space="preserve"> interchain and 4 intrachain disulfide </w:t>
      </w:r>
      <w:r>
        <w:t xml:space="preserve">bonds, as presented in the following </w:t>
      </w:r>
      <w:r w:rsidR="00D72DF4">
        <w:fldChar w:fldCharType="begin"/>
      </w:r>
      <w:r w:rsidR="00D72DF4">
        <w:instrText xml:space="preserve"> REF _Ref80004897 \h </w:instrText>
      </w:r>
      <w:r w:rsidR="00D72DF4">
        <w:fldChar w:fldCharType="separate"/>
      </w:r>
      <w:r w:rsidR="00F601F5">
        <w:t xml:space="preserve">Figure </w:t>
      </w:r>
      <w:r w:rsidR="00F601F5">
        <w:rPr>
          <w:noProof/>
        </w:rPr>
        <w:t>1</w:t>
      </w:r>
      <w:r w:rsidR="00D72DF4">
        <w:fldChar w:fldCharType="end"/>
      </w:r>
      <w:r>
        <w:t>.</w:t>
      </w:r>
    </w:p>
    <w:p w14:paraId="23E79DC0" w14:textId="134E1701" w:rsidR="00C51664" w:rsidRDefault="00C51664" w:rsidP="00C51664">
      <w:pPr>
        <w:pStyle w:val="FigureTitle"/>
      </w:pPr>
      <w:bookmarkStart w:id="35" w:name="_Ref80004897"/>
      <w:r>
        <w:t xml:space="preserve">Figure </w:t>
      </w:r>
      <w:r>
        <w:fldChar w:fldCharType="begin"/>
      </w:r>
      <w:r>
        <w:instrText>SEQ Figure \* ARABIC</w:instrText>
      </w:r>
      <w:r>
        <w:fldChar w:fldCharType="separate"/>
      </w:r>
      <w:r w:rsidR="00F601F5">
        <w:rPr>
          <w:noProof/>
        </w:rPr>
        <w:t>1</w:t>
      </w:r>
      <w:r>
        <w:fldChar w:fldCharType="end"/>
      </w:r>
      <w:bookmarkEnd w:id="35"/>
      <w:r>
        <w:t>: Sotrovimab structure</w:t>
      </w:r>
    </w:p>
    <w:p w14:paraId="00B964C7" w14:textId="0F72149D" w:rsidR="00802B7E" w:rsidRDefault="00C51664" w:rsidP="00802B7E">
      <w:r w:rsidRPr="00CA6AEF">
        <w:rPr>
          <w:noProof/>
          <w:lang w:val="en-GB" w:eastAsia="en-GB"/>
        </w:rPr>
        <w:drawing>
          <wp:inline distT="0" distB="0" distL="0" distR="0" wp14:anchorId="521C3B9C" wp14:editId="4D790177">
            <wp:extent cx="4076131" cy="3807460"/>
            <wp:effectExtent l="0" t="0" r="635" b="2540"/>
            <wp:docPr id="18" name="Picture 18" descr="Sotrovimab immunoglobulin G subtype 1 (IgG1) structure. Disulfide bonds are represented by S-S in the diagram. The 2 dark vertical and diagonal lines represent 2 heavy chains, and with a total of 4 intrachain disulphide bonds each, and 2 interchain disulfide bonds between these heavy chains. The 2 light chains are represented by the diagonal lines, and contrain two intrachain disulphide bonds each. The 2 heavy chains are linked together by two interchain disulfide bonds, and the each heavy and light chain is linked together by a single interchain disulphide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1759" cy="3812717"/>
                    </a:xfrm>
                    <a:prstGeom prst="rect">
                      <a:avLst/>
                    </a:prstGeom>
                    <a:noFill/>
                    <a:ln>
                      <a:noFill/>
                    </a:ln>
                  </pic:spPr>
                </pic:pic>
              </a:graphicData>
            </a:graphic>
          </wp:inline>
        </w:drawing>
      </w:r>
    </w:p>
    <w:p w14:paraId="268D7B5E" w14:textId="04E9CED3" w:rsidR="003D0F0C" w:rsidRDefault="003D0F0C" w:rsidP="00CF1D4F">
      <w:pPr>
        <w:pStyle w:val="FigureDescription"/>
      </w:pPr>
      <w:r>
        <w:t>Sotrovimab immunoglobulin G subtype 1 (IgG1) structure</w:t>
      </w:r>
      <w:r w:rsidR="00BB673C">
        <w:t>. Disulfide bonds are represented by S-S in the diagram.</w:t>
      </w:r>
      <w:r>
        <w:t xml:space="preserve"> </w:t>
      </w:r>
      <w:r w:rsidR="00BB673C">
        <w:t>T</w:t>
      </w:r>
      <w:r>
        <w:t xml:space="preserve">he 2 dark vertical </w:t>
      </w:r>
      <w:r w:rsidR="00BB673C">
        <w:t>and diagonal lines represent 2 </w:t>
      </w:r>
      <w:r>
        <w:t xml:space="preserve">heavy chains, and </w:t>
      </w:r>
      <w:r w:rsidR="00BB673C">
        <w:t>with a total of 4 intrachain disulphide bonds each, and 2 interchain disulfide bonds between these heavy chains. The 2 light chains are represented by the diagonal lines, and contrain two intrachain disulphide bonds each. The 2 heavy chains are linked together by two interchain disulfide bonds,</w:t>
      </w:r>
      <w:r w:rsidR="00B81210">
        <w:t xml:space="preserve"> and</w:t>
      </w:r>
      <w:r w:rsidR="00BB673C">
        <w:t xml:space="preserve"> each heavy and light chain is linked together by a single interchain disulphide bond.</w:t>
      </w:r>
    </w:p>
    <w:p w14:paraId="7A786BF1" w14:textId="48F9FB4B" w:rsidR="00C51664" w:rsidRDefault="00C51664" w:rsidP="00802B7E">
      <w:r w:rsidRPr="00C51664">
        <w:t>Sotrovi</w:t>
      </w:r>
      <w:r>
        <w:t>mab 62.5 mg/mL drug product</w:t>
      </w:r>
      <w:r w:rsidRPr="00C51664">
        <w:t xml:space="preserve"> is a sterile liquid supplied in a single</w:t>
      </w:r>
      <w:r w:rsidR="00CF1D4F">
        <w:t xml:space="preserve"> </w:t>
      </w:r>
      <w:r w:rsidRPr="00C51664">
        <w:t>use vial.</w:t>
      </w:r>
      <w:r w:rsidR="00FE4E58" w:rsidRPr="00FE4E58">
        <w:t xml:space="preserve"> </w:t>
      </w:r>
      <w:r w:rsidR="00FE4E58" w:rsidRPr="00C51664">
        <w:t xml:space="preserve">The drug product is formulated </w:t>
      </w:r>
      <w:r w:rsidR="00FE4E58">
        <w:t>i</w:t>
      </w:r>
      <w:r w:rsidR="00FE4E58" w:rsidRPr="00C51664">
        <w:t>n L-histidine/ L-histidine monohydrochloride buffer</w:t>
      </w:r>
      <w:r w:rsidR="00FE4E58">
        <w:t>; sucrose and</w:t>
      </w:r>
      <w:r w:rsidR="00FE4E58" w:rsidRPr="00C51664">
        <w:t xml:space="preserve"> polysorbate 80,</w:t>
      </w:r>
      <w:r w:rsidR="00FE4E58">
        <w:t xml:space="preserve"> </w:t>
      </w:r>
      <w:r w:rsidR="00FE4E58" w:rsidRPr="00C51664">
        <w:t>L-methionine, and water for injection.</w:t>
      </w:r>
      <w:r w:rsidRPr="00C51664">
        <w:t xml:space="preserve"> The vials include a 0.6 mL overfill and are filled to a target fill volume of 8.6 mL to allow for a deliverable volume of 8</w:t>
      </w:r>
      <w:r w:rsidR="00B81210">
        <w:t> </w:t>
      </w:r>
      <w:r w:rsidRPr="00C51664">
        <w:t>mL.</w:t>
      </w:r>
    </w:p>
    <w:p w14:paraId="0FCC0DF0" w14:textId="5CA3ECA4" w:rsidR="00C51664" w:rsidRDefault="00C51664" w:rsidP="00C51664">
      <w:r>
        <w:t>The proposed shelf life for the current products is 12 months and the storage condition is ‘Store refrigerated between 2</w:t>
      </w:r>
      <w:r w:rsidR="004126CF">
        <w:t xml:space="preserve"> to </w:t>
      </w:r>
      <w:r>
        <w:t>8°C’ and ‘Store in the original carton in order to protect from light’ and ‘Do not freeze or shake’. Note that the latter storage directives are not worded in a way that TGA has approved. Also, the submitted data do not indicate that the drug product is particularly susceptible to light and freezing. The quality evaluator will accept it as a precautionary statement. However, this will be evaluated in future when the sponsor applies for Australia specific label. From a quality perspective, the testing parameters and acceptance criteria are acceptable.</w:t>
      </w:r>
    </w:p>
    <w:p w14:paraId="161A231B" w14:textId="52C60A48" w:rsidR="00C51664" w:rsidRDefault="00722C7E" w:rsidP="00722C7E">
      <w:pPr>
        <w:pStyle w:val="Heading4"/>
      </w:pPr>
      <w:r>
        <w:t>Conclusion</w:t>
      </w:r>
    </w:p>
    <w:p w14:paraId="128558BB" w14:textId="31ADA445" w:rsidR="00722C7E" w:rsidRPr="00722C7E" w:rsidRDefault="00722C7E" w:rsidP="00722C7E">
      <w:r>
        <w:t>From a quality perspective, there were no issues precluding the approval of Xevudy sotrovimab.</w:t>
      </w:r>
    </w:p>
    <w:p w14:paraId="59AB6DF3" w14:textId="1A0E1C20" w:rsidR="0048704A" w:rsidRDefault="008E7846" w:rsidP="00CF1D4F">
      <w:pPr>
        <w:pStyle w:val="Heading3"/>
      </w:pPr>
      <w:bookmarkStart w:id="36" w:name="_Toc314842512"/>
      <w:bookmarkStart w:id="37" w:name="_Toc80080859"/>
      <w:r>
        <w:t>Nonclinical</w:t>
      </w:r>
      <w:bookmarkEnd w:id="36"/>
      <w:bookmarkEnd w:id="37"/>
    </w:p>
    <w:p w14:paraId="1CA926EB" w14:textId="4B98F3A2" w:rsidR="0048704A" w:rsidRDefault="0048704A" w:rsidP="0048704A">
      <w:r>
        <w:t>The submitted nonclinical dossier was in accordance with the relevant International Conference on Harmonisation guideline for the nonclinical assessment of biological medicines.</w:t>
      </w:r>
      <w:r>
        <w:rPr>
          <w:rStyle w:val="FootnoteReference"/>
        </w:rPr>
        <w:footnoteReference w:id="16"/>
      </w:r>
    </w:p>
    <w:p w14:paraId="2046BF38" w14:textId="68381AA4" w:rsidR="0048704A" w:rsidRDefault="0048704A" w:rsidP="0048704A">
      <w:r>
        <w:t xml:space="preserve">Sotrovimab is derived from an antibody of a B-cell of a SARS-CoV-2 survivor. </w:t>
      </w:r>
      <w:r w:rsidRPr="0048704A">
        <w:rPr>
          <w:i/>
        </w:rPr>
        <w:t>In vitro</w:t>
      </w:r>
      <w:r>
        <w:t>, sotrovimab bound to recombinant SARS-CoV-2 spike receptor binding domain with high affinity (half-maximal effective concentration (EC</w:t>
      </w:r>
      <w:r w:rsidRPr="0048704A">
        <w:rPr>
          <w:vertAlign w:val="subscript"/>
        </w:rPr>
        <w:t>50</w:t>
      </w:r>
      <w:r>
        <w:t>)</w:t>
      </w:r>
      <w:r w:rsidR="001F3EA6">
        <w:t>:</w:t>
      </w:r>
      <w:r>
        <w:t xml:space="preserve"> </w:t>
      </w:r>
      <w:r w:rsidR="001F3EA6">
        <w:t>20.40 ng/mL, disassociation constant:</w:t>
      </w:r>
      <w:r>
        <w:t xml:space="preserve"> 0.21 nM). </w:t>
      </w:r>
      <w:r w:rsidRPr="001F3EA6">
        <w:rPr>
          <w:i/>
        </w:rPr>
        <w:t>In vitro</w:t>
      </w:r>
      <w:r>
        <w:t xml:space="preserve"> assessment using SAR-CoV-2 virus (pseudovirus and authentic) showed that sotrovimab neutralise</w:t>
      </w:r>
      <w:r w:rsidR="001F3EA6">
        <w:t>d effectively the wild</w:t>
      </w:r>
      <w:r w:rsidR="001F3EA6">
        <w:noBreakHyphen/>
        <w:t>type</w:t>
      </w:r>
      <w:r>
        <w:t>, beta (B.1.351) and gamma (P</w:t>
      </w:r>
      <w:r w:rsidR="001F3EA6">
        <w:t xml:space="preserve">.1) variants, </w:t>
      </w:r>
      <w:r w:rsidR="004E3C36">
        <w:t>and</w:t>
      </w:r>
      <w:r w:rsidR="001F3EA6">
        <w:t xml:space="preserve"> there was a 3 to </w:t>
      </w:r>
      <w:r>
        <w:t>4 fold increase in EC</w:t>
      </w:r>
      <w:r w:rsidRPr="001F3EA6">
        <w:rPr>
          <w:vertAlign w:val="subscript"/>
        </w:rPr>
        <w:t>50</w:t>
      </w:r>
      <w:r w:rsidR="001F3EA6">
        <w:t xml:space="preserve"> to 90% effective concentration (EC</w:t>
      </w:r>
      <w:r w:rsidR="001F3EA6">
        <w:rPr>
          <w:vertAlign w:val="subscript"/>
        </w:rPr>
        <w:t>90</w:t>
      </w:r>
      <w:r w:rsidR="001F3EA6">
        <w:t>) for the alpha (B.1.1.</w:t>
      </w:r>
      <w:r>
        <w:t>7) variant. Sotrovimab</w:t>
      </w:r>
      <w:r w:rsidR="001F3EA6">
        <w:t xml:space="preserve"> neutralised the delta (</w:t>
      </w:r>
      <w:r>
        <w:t>B1.617 and B.1.617.2) variant pseudovirus,</w:t>
      </w:r>
      <w:r w:rsidR="004E3C36">
        <w:t xml:space="preserve"> and</w:t>
      </w:r>
      <w:r>
        <w:t xml:space="preserve"> its activity against the au</w:t>
      </w:r>
      <w:r w:rsidR="001F3EA6">
        <w:t>thentic virus was not assessed.</w:t>
      </w:r>
    </w:p>
    <w:p w14:paraId="55228383" w14:textId="00C459AD" w:rsidR="0048704A" w:rsidRDefault="0048704A" w:rsidP="0048704A">
      <w:r w:rsidRPr="001F3EA6">
        <w:rPr>
          <w:i/>
        </w:rPr>
        <w:t>In vivo</w:t>
      </w:r>
      <w:r>
        <w:t xml:space="preserve"> in the hamster model, sotrovimab decreased antiviral activity infectious virus and virus RNA in lungs and clinical disease (assessed as improved weight loss or lung pathology). In the hamster model a range of doses from sub-neutralising up to fully neutralising antibodies showed no evidence of non-Fc</w:t>
      </w:r>
      <w:r>
        <w:rPr>
          <w:rFonts w:ascii="Cambria Math" w:hAnsi="Cambria Math" w:cs="Cambria Math"/>
        </w:rPr>
        <w:t>𝛾</w:t>
      </w:r>
      <w:r w:rsidR="001F3EA6">
        <w:t>R mechanisms of antibody</w:t>
      </w:r>
      <w:r w:rsidR="001F3EA6">
        <w:noBreakHyphen/>
      </w:r>
      <w:r>
        <w:t>dependent enhancement of disease.</w:t>
      </w:r>
    </w:p>
    <w:p w14:paraId="281C0CF6" w14:textId="325C0FD6" w:rsidR="0048704A" w:rsidRDefault="0048704A" w:rsidP="0048704A">
      <w:r>
        <w:t xml:space="preserve">While </w:t>
      </w:r>
      <w:r w:rsidRPr="001F3EA6">
        <w:rPr>
          <w:i/>
        </w:rPr>
        <w:t>in vitro</w:t>
      </w:r>
      <w:r>
        <w:t xml:space="preserve"> and </w:t>
      </w:r>
      <w:r w:rsidRPr="001F3EA6">
        <w:rPr>
          <w:i/>
        </w:rPr>
        <w:t>in vivo</w:t>
      </w:r>
      <w:r>
        <w:t xml:space="preserve"> data lend some support to the proposed use of sotrovimab for the proposed clinical indication, the treatment regimen in the hamster model was preventative. Whilst </w:t>
      </w:r>
      <w:r w:rsidRPr="00FE4E58">
        <w:rPr>
          <w:i/>
          <w:iCs/>
        </w:rPr>
        <w:t>in vitro</w:t>
      </w:r>
      <w:r>
        <w:t xml:space="preserve"> results with SAR-CoV-2 viruses suggest efficacy against the </w:t>
      </w:r>
      <w:r w:rsidR="001F3EA6">
        <w:t>wild</w:t>
      </w:r>
      <w:r w:rsidR="001F3EA6">
        <w:noBreakHyphen/>
        <w:t>type</w:t>
      </w:r>
      <w:r>
        <w:t xml:space="preserve">, beta and gamma variants and </w:t>
      </w:r>
      <w:r w:rsidR="001F3EA6">
        <w:t xml:space="preserve">a 3 to </w:t>
      </w:r>
      <w:r>
        <w:t>4 fold decrease in activity against the alpha variant, there is insufficient information on the delta variant, although activity against all these variants were demonstrated in in vitro pseudovirus assays.</w:t>
      </w:r>
    </w:p>
    <w:p w14:paraId="572A0113" w14:textId="594E428A" w:rsidR="0048704A" w:rsidRDefault="0048704A" w:rsidP="0048704A">
      <w:r w:rsidRPr="001F3EA6">
        <w:rPr>
          <w:i/>
        </w:rPr>
        <w:t>In vitro</w:t>
      </w:r>
      <w:r>
        <w:t xml:space="preserve"> resistance studies revealed variants with mutations at E340 and P337 </w:t>
      </w:r>
      <w:r w:rsidR="001F3EA6">
        <w:t>of the receptor binding domain</w:t>
      </w:r>
      <w:r>
        <w:t xml:space="preserve"> are resistant to sotrovimab. Naturally occurring mutations at these sites are low; however, E340 mutation was the mo</w:t>
      </w:r>
      <w:r w:rsidR="001F3EA6">
        <w:t>st common in clinical studies.</w:t>
      </w:r>
    </w:p>
    <w:p w14:paraId="0178093A" w14:textId="6E7A2B7F" w:rsidR="0048704A" w:rsidRDefault="0048704A" w:rsidP="0048704A">
      <w:r>
        <w:t>Amino acid modification in sotrovimab development did not have an</w:t>
      </w:r>
      <w:r w:rsidR="001F3EA6">
        <w:t>y effect on effector function.</w:t>
      </w:r>
    </w:p>
    <w:p w14:paraId="7506A8F2" w14:textId="4DDD66B5" w:rsidR="0048704A" w:rsidRDefault="0048704A" w:rsidP="0048704A">
      <w:r>
        <w:t>Studies with remdesivir or bamlanivimab, sotrovimab showed additive antiviral effect with no antagonism with either agent.</w:t>
      </w:r>
    </w:p>
    <w:p w14:paraId="1B8C3292" w14:textId="2298B0AD" w:rsidR="0048704A" w:rsidRDefault="0048704A" w:rsidP="0048704A">
      <w:r>
        <w:t xml:space="preserve">No off-target sites were identified in a panel of monkey or human tissues (including a range </w:t>
      </w:r>
      <w:r w:rsidR="001F3EA6">
        <w:t>of human embryofetal proteins).</w:t>
      </w:r>
    </w:p>
    <w:p w14:paraId="6C7CC435" w14:textId="477A5212" w:rsidR="0048704A" w:rsidRDefault="0048704A" w:rsidP="0048704A">
      <w:r>
        <w:t>Sotrovimab did not affect functions of the cardiovascular, respiratory or central nervous systems in monkeys.</w:t>
      </w:r>
    </w:p>
    <w:p w14:paraId="098015CD" w14:textId="55187874" w:rsidR="0048704A" w:rsidRDefault="0048704A" w:rsidP="0048704A">
      <w:r>
        <w:t>Only limited tissues were examined in the distribution study. Highest levels were detected in highly perfused tissues that included lungs, myocardium, liver, kidneys and spleen.</w:t>
      </w:r>
    </w:p>
    <w:p w14:paraId="11D1065C" w14:textId="24A57073" w:rsidR="0048704A" w:rsidRDefault="0048704A" w:rsidP="0048704A">
      <w:r>
        <w:t xml:space="preserve">Repeat-dose toxicity studies by </w:t>
      </w:r>
      <w:r w:rsidR="001F3EA6">
        <w:t xml:space="preserve">the </w:t>
      </w:r>
      <w:r w:rsidR="004126CF">
        <w:t>intravenous (</w:t>
      </w:r>
      <w:r w:rsidR="001F3EA6">
        <w:t>IV</w:t>
      </w:r>
      <w:r w:rsidR="004126CF">
        <w:t>)</w:t>
      </w:r>
      <w:r w:rsidR="001F3EA6">
        <w:t xml:space="preserve"> route were conducted in c</w:t>
      </w:r>
      <w:r>
        <w:t xml:space="preserve">ynomolgus monkeys (up to 2 weeks) at exposures &gt; 50 times the clinical exposure based on </w:t>
      </w:r>
      <w:r w:rsidR="001F3EA6">
        <w:t>the area under the concentration versus time curve (</w:t>
      </w:r>
      <w:r>
        <w:t>AUC</w:t>
      </w:r>
      <w:r w:rsidR="001F3EA6">
        <w:t>)</w:t>
      </w:r>
      <w:r>
        <w:t>. No drug-related toxicities were observed.</w:t>
      </w:r>
    </w:p>
    <w:p w14:paraId="1AEDA355" w14:textId="2E486E71" w:rsidR="0048704A" w:rsidRDefault="0048704A" w:rsidP="0048704A">
      <w:r>
        <w:t>No genotoxicity or carcinogenicity studies were submitted. Given the protein nature of the drug and the proposed indication, this is considered acceptable.</w:t>
      </w:r>
    </w:p>
    <w:p w14:paraId="299FB84A" w14:textId="17BA2B25" w:rsidR="0048704A" w:rsidRDefault="0048704A" w:rsidP="0048704A">
      <w:r>
        <w:t>No reproductive toxicity studies were submitted. Based on an absence of effects on the reproductive organs in the repeat dose toxicity study, effects on fertility are not predicted. Since the target of sotrovimab is not expressed in humans and there was no cross-reactivity with human embryofetal proteins, the potential for effects on embryofetal development is expected to be low.</w:t>
      </w:r>
    </w:p>
    <w:p w14:paraId="7691121A" w14:textId="7DCC0CB4" w:rsidR="0048704A" w:rsidRPr="0048704A" w:rsidRDefault="0048704A" w:rsidP="0048704A">
      <w:r>
        <w:t>There are no objections on nonclinical ground</w:t>
      </w:r>
      <w:r w:rsidR="001F3EA6">
        <w:t>s to the registration of Xevudy</w:t>
      </w:r>
      <w:r>
        <w:t xml:space="preserve"> for the proposed indication provided clinical studies provide adequate dose, timing and efficacy data against variants.</w:t>
      </w:r>
    </w:p>
    <w:p w14:paraId="1EEF20BC" w14:textId="4CB57084" w:rsidR="00AF27D8" w:rsidRDefault="00AF27D8" w:rsidP="00AF27D8">
      <w:pPr>
        <w:pStyle w:val="Heading4"/>
        <w:rPr>
          <w:lang w:val="en-US"/>
        </w:rPr>
      </w:pPr>
      <w:bookmarkStart w:id="38" w:name="_Toc75981401"/>
      <w:bookmarkStart w:id="39" w:name="_Toc295290862"/>
      <w:bookmarkStart w:id="40" w:name="_Toc294861479"/>
      <w:r>
        <w:rPr>
          <w:lang w:val="en-US"/>
        </w:rPr>
        <w:t>Conclusions and recommendation</w:t>
      </w:r>
      <w:bookmarkEnd w:id="38"/>
      <w:bookmarkEnd w:id="39"/>
      <w:bookmarkEnd w:id="40"/>
    </w:p>
    <w:p w14:paraId="56C79CD8" w14:textId="421A3F47" w:rsidR="00AF27D8" w:rsidRPr="001F3EA6" w:rsidRDefault="00AF27D8" w:rsidP="00AF27D8">
      <w:pPr>
        <w:rPr>
          <w:lang w:val="en-US"/>
        </w:rPr>
      </w:pPr>
      <w:r w:rsidRPr="001F3EA6">
        <w:rPr>
          <w:lang w:val="en-US"/>
        </w:rPr>
        <w:t>Pharmacology results suggest efficacy against the wild type, beta and gamma variants and reduced activity against the alpha variant; however, there is insufficient information on the delta variant.</w:t>
      </w:r>
    </w:p>
    <w:p w14:paraId="42D8EE6C" w14:textId="6FFADF03" w:rsidR="00AF27D8" w:rsidRPr="001F3EA6" w:rsidRDefault="00AF27D8" w:rsidP="00AF27D8">
      <w:pPr>
        <w:rPr>
          <w:lang w:val="en-US"/>
        </w:rPr>
      </w:pPr>
      <w:r w:rsidRPr="001F3EA6">
        <w:rPr>
          <w:lang w:val="en-US"/>
        </w:rPr>
        <w:t xml:space="preserve">Mutations at E340 and P337 of the </w:t>
      </w:r>
      <w:r w:rsidR="001F3EA6">
        <w:rPr>
          <w:lang w:val="en-US"/>
        </w:rPr>
        <w:t>receptor binding domain</w:t>
      </w:r>
      <w:r w:rsidRPr="001F3EA6">
        <w:rPr>
          <w:lang w:val="en-US"/>
        </w:rPr>
        <w:t xml:space="preserve"> are resistant to sotrovimab. The potential risk of treatment failure due to the development of viral variants that are resistant to sotrovimab would need to be monitored clinically.</w:t>
      </w:r>
    </w:p>
    <w:p w14:paraId="173F8AEA" w14:textId="0033B956" w:rsidR="00AF27D8" w:rsidRPr="001F3EA6" w:rsidRDefault="00AF27D8" w:rsidP="00AF27D8">
      <w:pPr>
        <w:rPr>
          <w:lang w:val="en-US"/>
        </w:rPr>
      </w:pPr>
      <w:r w:rsidRPr="001F3EA6">
        <w:rPr>
          <w:lang w:val="en-US"/>
        </w:rPr>
        <w:t>No toxicity was observed in a study in monkeys at high doses.</w:t>
      </w:r>
    </w:p>
    <w:p w14:paraId="7BC0F923" w14:textId="77777777" w:rsidR="00AF27D8" w:rsidRPr="00AF27D8" w:rsidRDefault="00AF27D8" w:rsidP="00AF27D8">
      <w:pPr>
        <w:rPr>
          <w:lang w:val="en-US"/>
        </w:rPr>
      </w:pPr>
      <w:r w:rsidRPr="001F3EA6">
        <w:rPr>
          <w:lang w:val="en-US"/>
        </w:rPr>
        <w:t>There are no nonclinical objections to provisional approval of sotrovimab provided clinical studies provide adequate dose, timing and efficacy data against variants.</w:t>
      </w:r>
    </w:p>
    <w:p w14:paraId="4656745B" w14:textId="6E8BCBCE" w:rsidR="008E7846" w:rsidRDefault="008E7846" w:rsidP="008E7846">
      <w:pPr>
        <w:pStyle w:val="Heading3"/>
      </w:pPr>
      <w:bookmarkStart w:id="41" w:name="_Toc247691530"/>
      <w:bookmarkStart w:id="42" w:name="_Toc314842513"/>
      <w:bookmarkStart w:id="43" w:name="_Toc80080860"/>
      <w:r>
        <w:t>Clinical</w:t>
      </w:r>
      <w:bookmarkEnd w:id="41"/>
      <w:bookmarkEnd w:id="42"/>
      <w:bookmarkEnd w:id="43"/>
    </w:p>
    <w:p w14:paraId="0416895D" w14:textId="7147CF64" w:rsidR="00065645" w:rsidRDefault="00065645" w:rsidP="00065645">
      <w:pPr>
        <w:pStyle w:val="Heading4"/>
      </w:pPr>
      <w:r>
        <w:t>Clinical data evaluable for the propose indication</w:t>
      </w:r>
    </w:p>
    <w:p w14:paraId="77DB410C" w14:textId="3B887363" w:rsidR="00065645" w:rsidRDefault="00065645" w:rsidP="00065645">
      <w:pPr>
        <w:rPr>
          <w:lang w:eastAsia="ja-JP"/>
        </w:rPr>
      </w:pPr>
      <w:r>
        <w:rPr>
          <w:lang w:eastAsia="ja-JP"/>
        </w:rPr>
        <w:t>The clinical submission is primarily supported by the Day 29 analysis of the COMET</w:t>
      </w:r>
      <w:r>
        <w:rPr>
          <w:lang w:eastAsia="ja-JP"/>
        </w:rPr>
        <w:noBreakHyphen/>
        <w:t>ICE trial</w:t>
      </w:r>
      <w:r w:rsidR="00FE4E58">
        <w:rPr>
          <w:lang w:eastAsia="ja-JP"/>
        </w:rPr>
        <w:t xml:space="preserve"> (also referred to as Study 214367)</w:t>
      </w:r>
      <w:r>
        <w:rPr>
          <w:lang w:eastAsia="ja-JP"/>
        </w:rPr>
        <w:t>; the COMET-ICE clinical study report dated 24 June 2021 was submitted.</w:t>
      </w:r>
    </w:p>
    <w:p w14:paraId="315B5CFA" w14:textId="77777777" w:rsidR="00065645" w:rsidRPr="009456A1" w:rsidRDefault="00065645" w:rsidP="00065645">
      <w:pPr>
        <w:rPr>
          <w:lang w:eastAsia="ja-JP"/>
        </w:rPr>
      </w:pPr>
      <w:r>
        <w:rPr>
          <w:lang w:eastAsia="ja-JP"/>
        </w:rPr>
        <w:t>Also included were:</w:t>
      </w:r>
    </w:p>
    <w:p w14:paraId="190AA0CA" w14:textId="7E448A3E" w:rsidR="00065645" w:rsidRPr="00065645" w:rsidRDefault="00065645" w:rsidP="00065645">
      <w:pPr>
        <w:pStyle w:val="ListBullet"/>
      </w:pPr>
      <w:r>
        <w:t>a population p</w:t>
      </w:r>
      <w:r w:rsidRPr="00065645">
        <w:t>harmacokinetics (PopPK)</w:t>
      </w:r>
      <w:r>
        <w:t xml:space="preserve"> report from the COMET-ICE trial;</w:t>
      </w:r>
    </w:p>
    <w:p w14:paraId="3D50933D" w14:textId="4BEA5110" w:rsidR="00065645" w:rsidRPr="00065645" w:rsidRDefault="00065645" w:rsidP="00065645">
      <w:pPr>
        <w:pStyle w:val="ListBullet"/>
      </w:pPr>
      <w:r>
        <w:t xml:space="preserve">a </w:t>
      </w:r>
      <w:r w:rsidRPr="00065645">
        <w:t xml:space="preserve">COMET-ICE </w:t>
      </w:r>
      <w:r>
        <w:t xml:space="preserve">trial </w:t>
      </w:r>
      <w:r w:rsidRPr="00065645">
        <w:t>virology report</w:t>
      </w:r>
      <w:r>
        <w:t>; and</w:t>
      </w:r>
    </w:p>
    <w:p w14:paraId="6AEC2869" w14:textId="05C6727D" w:rsidR="00065645" w:rsidRPr="00065645" w:rsidRDefault="00065645" w:rsidP="00065645">
      <w:pPr>
        <w:pStyle w:val="ListBullet"/>
      </w:pPr>
      <w:r>
        <w:t>l</w:t>
      </w:r>
      <w:r w:rsidRPr="00065645">
        <w:t>iterature references</w:t>
      </w:r>
    </w:p>
    <w:p w14:paraId="2F3F473C" w14:textId="7F3EFE6C" w:rsidR="00AF27D8" w:rsidRDefault="00AF27D8" w:rsidP="00AF27D8">
      <w:pPr>
        <w:pStyle w:val="Heading4"/>
      </w:pPr>
      <w:r>
        <w:t>Guidance</w:t>
      </w:r>
    </w:p>
    <w:p w14:paraId="3BDE4C3B" w14:textId="7778C82A" w:rsidR="00AF27D8" w:rsidRDefault="00AF27D8" w:rsidP="00AF27D8">
      <w:pPr>
        <w:rPr>
          <w:lang w:val="en-US"/>
        </w:rPr>
      </w:pPr>
      <w:r>
        <w:rPr>
          <w:lang w:val="en-US"/>
        </w:rPr>
        <w:t>Relevant guidance documents for this submission include:</w:t>
      </w:r>
    </w:p>
    <w:p w14:paraId="5A1F4361" w14:textId="4879BCA4" w:rsidR="00AF27D8" w:rsidRDefault="00AF27D8" w:rsidP="00AF27D8">
      <w:r>
        <w:t xml:space="preserve">TGA-adopted </w:t>
      </w:r>
      <w:r w:rsidR="00EF2734">
        <w:t>European Medicines Agency (</w:t>
      </w:r>
      <w:r>
        <w:t>EMA</w:t>
      </w:r>
      <w:r w:rsidR="00EF2734">
        <w:t>)</w:t>
      </w:r>
      <w:r>
        <w:t xml:space="preserve"> guidance relevant to the submission:</w:t>
      </w:r>
    </w:p>
    <w:p w14:paraId="7C68D92B" w14:textId="436B47B9" w:rsidR="00AF27D8" w:rsidRDefault="00AF27D8" w:rsidP="00AF27D8">
      <w:pPr>
        <w:pStyle w:val="ListBullet"/>
      </w:pPr>
      <w:r w:rsidRPr="00AF27D8">
        <w:t xml:space="preserve">Guideline on immunogenicity assessment of monoclonal antibodies intended for </w:t>
      </w:r>
      <w:r w:rsidR="00EF2734">
        <w:rPr>
          <w:i/>
        </w:rPr>
        <w:t>in </w:t>
      </w:r>
      <w:r w:rsidRPr="00AF27D8">
        <w:rPr>
          <w:i/>
        </w:rPr>
        <w:t>vivo</w:t>
      </w:r>
      <w:r w:rsidRPr="00AF27D8">
        <w:t xml:space="preserve"> clinical use</w:t>
      </w:r>
      <w:r>
        <w:t xml:space="preserve"> (EMA/CHMP/BMWP/86289/2);</w:t>
      </w:r>
      <w:r>
        <w:rPr>
          <w:rStyle w:val="FootnoteReference"/>
        </w:rPr>
        <w:footnoteReference w:id="17"/>
      </w:r>
    </w:p>
    <w:p w14:paraId="5D604D44" w14:textId="77777777" w:rsidR="00AF27D8" w:rsidRDefault="00AF27D8" w:rsidP="00AF27D8">
      <w:r>
        <w:t>Additional guidance (not TGA-adopted):</w:t>
      </w:r>
    </w:p>
    <w:p w14:paraId="52811347" w14:textId="0956DC3E" w:rsidR="00AF27D8" w:rsidRDefault="00AF27D8" w:rsidP="00AF27D8">
      <w:pPr>
        <w:pStyle w:val="ListBullet"/>
      </w:pPr>
      <w:r>
        <w:t xml:space="preserve">US </w:t>
      </w:r>
      <w:r w:rsidR="00EF2734">
        <w:t>Food and Drugs Administration (</w:t>
      </w:r>
      <w:r>
        <w:t>FDA</w:t>
      </w:r>
      <w:r w:rsidR="00EF2734">
        <w:t>)</w:t>
      </w:r>
      <w:r>
        <w:t xml:space="preserve">: </w:t>
      </w:r>
      <w:r w:rsidRPr="00AF27D8">
        <w:t>COVID-19: developing drugs and biological products for treatment or prevention: guidance for industry</w:t>
      </w:r>
      <w:r>
        <w:t xml:space="preserve"> (February 2021).</w:t>
      </w:r>
      <w:r>
        <w:rPr>
          <w:rStyle w:val="FootnoteReference"/>
        </w:rPr>
        <w:footnoteReference w:id="18"/>
      </w:r>
    </w:p>
    <w:p w14:paraId="5D581FFF" w14:textId="1721EE51" w:rsidR="00AF27D8" w:rsidRPr="00AF27D8" w:rsidRDefault="00AF27D8" w:rsidP="00AF27D8">
      <w:pPr>
        <w:pStyle w:val="Heading4"/>
      </w:pPr>
      <w:r>
        <w:t>Pharmacology</w:t>
      </w:r>
    </w:p>
    <w:p w14:paraId="18D068E8" w14:textId="64870F52" w:rsidR="00AF27D8" w:rsidRPr="00AF27D8" w:rsidRDefault="00AF27D8" w:rsidP="00AF27D8">
      <w:pPr>
        <w:pStyle w:val="Heading5"/>
      </w:pPr>
      <w:r>
        <w:t>Pharmacokinetics</w:t>
      </w:r>
    </w:p>
    <w:p w14:paraId="0E555C02" w14:textId="7F597D5B" w:rsidR="00AF27D8" w:rsidRDefault="00AF27D8" w:rsidP="00AF27D8">
      <w:r>
        <w:t>Given the urgency to develop treatments for COVID-19, the well</w:t>
      </w:r>
      <w:r w:rsidR="004B6533">
        <w:t xml:space="preserve"> </w:t>
      </w:r>
      <w:r>
        <w:t>understood pharmacokinetics (PK) and safety profile of human monoclonal antibodies and inability to assess all potential safety risks for COVID-19 participants from healthy volunteers (who lack viral antigen), no healthy volunteer study was conducted.</w:t>
      </w:r>
    </w:p>
    <w:p w14:paraId="7BB77664" w14:textId="50248268" w:rsidR="00AF27D8" w:rsidRDefault="00AF27D8" w:rsidP="00AF27D8">
      <w:r>
        <w:t>Human clinical PK data were confined to the single pivotal study in subjects with COVID</w:t>
      </w:r>
      <w:r>
        <w:noBreakHyphen/>
        <w:t>19, the COMET-ICE trial</w:t>
      </w:r>
      <w:r w:rsidR="0065006A">
        <w:t xml:space="preserve"> (Study 214367)</w:t>
      </w:r>
      <w:r>
        <w:t>. Based on non-compartmental analysis of intensive PK data in the lead-in phase of the COMIT-ICE trial:</w:t>
      </w:r>
    </w:p>
    <w:p w14:paraId="1D818E66" w14:textId="0C0450C5" w:rsidR="0062782C" w:rsidRDefault="0062782C" w:rsidP="0062782C">
      <w:pPr>
        <w:pStyle w:val="ListBullet"/>
      </w:pPr>
      <w:r>
        <w:t>The median t</w:t>
      </w:r>
      <w:r w:rsidR="00AF27D8">
        <w:t xml:space="preserve">ime of occurrence of </w:t>
      </w:r>
      <w:r>
        <w:t>maximum observed concentration (T</w:t>
      </w:r>
      <w:r w:rsidRPr="0062782C">
        <w:rPr>
          <w:vertAlign w:val="subscript"/>
        </w:rPr>
        <w:t>max</w:t>
      </w:r>
      <w:r>
        <w:t>) was 0.04 </w:t>
      </w:r>
      <w:r w:rsidR="00AF27D8">
        <w:t>day</w:t>
      </w:r>
      <w:r>
        <w:t>s</w:t>
      </w:r>
      <w:r w:rsidR="00AF27D8">
        <w:t xml:space="preserve">, consistent with the end of infusion. The mean of </w:t>
      </w:r>
      <w:r>
        <w:t>maximum observed concentration (</w:t>
      </w:r>
      <w:r w:rsidR="00AF27D8">
        <w:t>C</w:t>
      </w:r>
      <w:r w:rsidR="00AF27D8" w:rsidRPr="0062782C">
        <w:rPr>
          <w:vertAlign w:val="subscript"/>
        </w:rPr>
        <w:t>max</w:t>
      </w:r>
      <w:r>
        <w:t xml:space="preserve">) </w:t>
      </w:r>
      <w:r w:rsidR="00AF27D8">
        <w:t>was 219 μg/mL</w:t>
      </w:r>
      <w:r>
        <w:t>.</w:t>
      </w:r>
    </w:p>
    <w:p w14:paraId="64B56CB5" w14:textId="4A0146F1" w:rsidR="0062782C" w:rsidRDefault="00AF27D8" w:rsidP="0062782C">
      <w:pPr>
        <w:pStyle w:val="ListBullet"/>
      </w:pPr>
      <w:r>
        <w:t>The mean steady-st</w:t>
      </w:r>
      <w:r w:rsidR="0062782C">
        <w:t>ate volume of distribution</w:t>
      </w:r>
      <w:r>
        <w:t xml:space="preserve"> was 8.1 L, indicating limited distribution outside the vascular space, which is consistent with other </w:t>
      </w:r>
      <w:r w:rsidR="00EF2734">
        <w:t>immunoglobulin G</w:t>
      </w:r>
      <w:r w:rsidR="0062782C">
        <w:t xml:space="preserve"> antibodies.</w:t>
      </w:r>
    </w:p>
    <w:p w14:paraId="4E80E0B4" w14:textId="77915931" w:rsidR="0062782C" w:rsidRDefault="00AF27D8" w:rsidP="0062782C">
      <w:pPr>
        <w:pStyle w:val="ListBullet"/>
      </w:pPr>
      <w:r>
        <w:t>Sotrovimab has a median elimination half-life of 48.</w:t>
      </w:r>
      <w:r w:rsidR="0062782C">
        <w:t>8 days, which is longer than Fc</w:t>
      </w:r>
      <w:r w:rsidR="0062782C">
        <w:noBreakHyphen/>
      </w:r>
      <w:r w:rsidR="00EF2734">
        <w:t>unmodified immunoglobulin G due to</w:t>
      </w:r>
      <w:r>
        <w:t xml:space="preserve"> </w:t>
      </w:r>
      <w:r w:rsidR="0062782C">
        <w:t xml:space="preserve">a modification referred to as the </w:t>
      </w:r>
      <w:r w:rsidR="00EF2734">
        <w:t>LS </w:t>
      </w:r>
      <w:r>
        <w:t>modification. The mean clearance was 125 mL/day.</w:t>
      </w:r>
    </w:p>
    <w:p w14:paraId="501BCF1D" w14:textId="5A8B8047" w:rsidR="00AF27D8" w:rsidRDefault="00AF27D8" w:rsidP="0062782C">
      <w:pPr>
        <w:pStyle w:val="ListBullet"/>
      </w:pPr>
      <w:r>
        <w:t>No dedicated studies were conducted to evaluate PK of sotrovimab in</w:t>
      </w:r>
      <w:r w:rsidR="0062782C">
        <w:t xml:space="preserve"> special populations, however, population pharmacokinetics (PopPK)</w:t>
      </w:r>
      <w:r>
        <w:t xml:space="preserve"> was used to inform on dosing recommendations in special populations.</w:t>
      </w:r>
    </w:p>
    <w:p w14:paraId="55E57CE7" w14:textId="2566CA8A" w:rsidR="00AF27D8" w:rsidRDefault="00AF27D8" w:rsidP="00AF27D8">
      <w:r>
        <w:t>Partial sparse serum PK through study Day 2</w:t>
      </w:r>
      <w:r w:rsidR="0062782C">
        <w:t>9 from 363 participants in the e</w:t>
      </w:r>
      <w:r>
        <w:t xml:space="preserve">xpansion phase of COMET-ICE </w:t>
      </w:r>
      <w:r w:rsidR="0062782C">
        <w:t>trial</w:t>
      </w:r>
      <w:r w:rsidR="0065006A">
        <w:t xml:space="preserve"> (Study 214367)</w:t>
      </w:r>
      <w:r w:rsidR="0062782C">
        <w:t xml:space="preserve"> </w:t>
      </w:r>
      <w:r>
        <w:t>was available to date. The mean serum concentration of sotrovimab on study Day 29 was 25.8 μg/mL.</w:t>
      </w:r>
    </w:p>
    <w:p w14:paraId="5FF57CF0" w14:textId="77777777" w:rsidR="00AF27D8" w:rsidRDefault="00AF27D8" w:rsidP="0062782C">
      <w:pPr>
        <w:pStyle w:val="Heading6"/>
      </w:pPr>
      <w:r>
        <w:t>Absorption</w:t>
      </w:r>
    </w:p>
    <w:p w14:paraId="67C6E6EA" w14:textId="34ED10D3" w:rsidR="00AF27D8" w:rsidRDefault="00AF27D8" w:rsidP="00AF27D8">
      <w:r>
        <w:t>No absorption studies have been conducted with sotrovimab. Sotrovimab is administered by IV infusion and the assumed bioavailability is 100 %. When sotrovimab was administered by IV infusion, C</w:t>
      </w:r>
      <w:r w:rsidRPr="0062782C">
        <w:rPr>
          <w:vertAlign w:val="subscript"/>
        </w:rPr>
        <w:t>max</w:t>
      </w:r>
      <w:r>
        <w:t xml:space="preserve"> was observed at the end of the infusion with a </w:t>
      </w:r>
      <w:r w:rsidR="009E6AFF">
        <w:t>mean value of 219 μg/mL in the l</w:t>
      </w:r>
      <w:r>
        <w:t>ead-in phase</w:t>
      </w:r>
      <w:r w:rsidR="009E6AFF">
        <w:t xml:space="preserve"> of the COMET-ICE trial</w:t>
      </w:r>
      <w:r>
        <w:t>.</w:t>
      </w:r>
    </w:p>
    <w:p w14:paraId="54959625" w14:textId="77777777" w:rsidR="00AF27D8" w:rsidRDefault="00AF27D8" w:rsidP="0062782C">
      <w:pPr>
        <w:pStyle w:val="Heading6"/>
      </w:pPr>
      <w:r>
        <w:t>Distribution</w:t>
      </w:r>
    </w:p>
    <w:p w14:paraId="09ADDBF1" w14:textId="28B85934" w:rsidR="00AF27D8" w:rsidRDefault="00AF27D8" w:rsidP="00AF27D8">
      <w:r>
        <w:t xml:space="preserve">Based on non-compartmental PK analysis from the lead-in phase of </w:t>
      </w:r>
      <w:r w:rsidR="0062782C">
        <w:t xml:space="preserve">the </w:t>
      </w:r>
      <w:r>
        <w:t>COMET-ICE</w:t>
      </w:r>
      <w:r w:rsidR="0062782C">
        <w:t xml:space="preserve"> trial</w:t>
      </w:r>
      <w:r>
        <w:t>, the mean steady-state volume of distribution of sotrovimab was 8.1 L.</w:t>
      </w:r>
    </w:p>
    <w:p w14:paraId="6DDB5F80" w14:textId="5F3D3969" w:rsidR="00AF27D8" w:rsidRDefault="0062782C" w:rsidP="00AF27D8">
      <w:r>
        <w:t>The P</w:t>
      </w:r>
      <w:r w:rsidR="00AF27D8">
        <w:t xml:space="preserve">opPK model estimated the total volume of distribution </w:t>
      </w:r>
      <w:r>
        <w:t>for an 87 kg subject to be 11.5 </w:t>
      </w:r>
      <w:r w:rsidR="00AF27D8">
        <w:t>L</w:t>
      </w:r>
    </w:p>
    <w:p w14:paraId="13EB9F20" w14:textId="77777777" w:rsidR="00AF27D8" w:rsidRDefault="00AF27D8" w:rsidP="0062782C">
      <w:pPr>
        <w:pStyle w:val="Heading6"/>
      </w:pPr>
      <w:r>
        <w:t>Metabolism</w:t>
      </w:r>
    </w:p>
    <w:p w14:paraId="51443836" w14:textId="77777777" w:rsidR="00AF27D8" w:rsidRDefault="00AF27D8" w:rsidP="00AF27D8">
      <w:r>
        <w:t>Sotrovimab distributes into serum and interstitial space and is degraded by proteolytic enzymes, which are widely distributed in the body and not restricted to hepatic tissue.</w:t>
      </w:r>
    </w:p>
    <w:p w14:paraId="412D4230" w14:textId="77777777" w:rsidR="00AF27D8" w:rsidRDefault="00AF27D8" w:rsidP="0062782C">
      <w:pPr>
        <w:pStyle w:val="Heading6"/>
      </w:pPr>
      <w:r>
        <w:t>Elimination</w:t>
      </w:r>
    </w:p>
    <w:p w14:paraId="00510BB9" w14:textId="3D428B3F" w:rsidR="00AF27D8" w:rsidRDefault="0062782C" w:rsidP="00AF27D8">
      <w:r>
        <w:t>Based on a non-compartmental analysis</w:t>
      </w:r>
      <w:r w:rsidR="00AF27D8">
        <w:t xml:space="preserve"> of intensive PK data, the mean systemic clearance was 125 mL/day. The median terminal-phase elimination half-life was 49 days. The PopPK model estimated that for an 87 kg subject, systemic clearance is 192 mL/day and terminal half-life is 44.3 days.</w:t>
      </w:r>
    </w:p>
    <w:p w14:paraId="5BFBE276" w14:textId="77777777" w:rsidR="0062782C" w:rsidRDefault="0062782C" w:rsidP="0062782C">
      <w:pPr>
        <w:pStyle w:val="Heading5"/>
      </w:pPr>
      <w:r>
        <w:t>Population pharmacokinetic data</w:t>
      </w:r>
    </w:p>
    <w:p w14:paraId="7A2CB8E5" w14:textId="1B1B5A56" w:rsidR="0065006A" w:rsidRDefault="00AF27D8" w:rsidP="0065006A">
      <w:r>
        <w:t xml:space="preserve">For the population PK </w:t>
      </w:r>
      <w:r w:rsidR="009E6AFF">
        <w:t>(PopP</w:t>
      </w:r>
      <w:r w:rsidR="0065006A">
        <w:t xml:space="preserve">K) </w:t>
      </w:r>
      <w:r>
        <w:t>analysis, the dataset consisted</w:t>
      </w:r>
      <w:r w:rsidR="0062782C">
        <w:t xml:space="preserve"> of the available PK data from a single</w:t>
      </w:r>
      <w:r>
        <w:t xml:space="preserve"> study (</w:t>
      </w:r>
      <w:r w:rsidR="0062782C">
        <w:t xml:space="preserve">the </w:t>
      </w:r>
      <w:r>
        <w:t>COMET-ICE</w:t>
      </w:r>
      <w:r w:rsidR="0062782C">
        <w:t xml:space="preserve"> trial</w:t>
      </w:r>
      <w:r>
        <w:t>, Study 214367). A total of 503 participants (10</w:t>
      </w:r>
      <w:r w:rsidR="00B81210">
        <w:t> participants included</w:t>
      </w:r>
      <w:r>
        <w:t xml:space="preserve"> in the </w:t>
      </w:r>
      <w:r w:rsidR="004126CF">
        <w:t>l</w:t>
      </w:r>
      <w:r>
        <w:t>ead</w:t>
      </w:r>
      <w:r w:rsidR="004126CF">
        <w:t xml:space="preserve"> </w:t>
      </w:r>
      <w:r>
        <w:t xml:space="preserve">in phase and 493 included in the </w:t>
      </w:r>
      <w:r w:rsidR="004126CF">
        <w:t>e</w:t>
      </w:r>
      <w:r>
        <w:t>xpansion phase) received the drug and were included in the sotrovimab population PK analysis data set. Dense</w:t>
      </w:r>
      <w:r w:rsidR="00B81210">
        <w:t> </w:t>
      </w:r>
      <w:r>
        <w:t>PK sa</w:t>
      </w:r>
      <w:r w:rsidR="0065006A">
        <w:t>mpling was implemented for the l</w:t>
      </w:r>
      <w:r>
        <w:t>ead-in p</w:t>
      </w:r>
      <w:r w:rsidR="0065006A">
        <w:t>hase, with sparse sampling for e</w:t>
      </w:r>
      <w:r>
        <w:t>xp</w:t>
      </w:r>
      <w:r w:rsidR="0065006A">
        <w:t>ansion phase of the study.</w:t>
      </w:r>
    </w:p>
    <w:p w14:paraId="2C296F91" w14:textId="03654619" w:rsidR="00AF27D8" w:rsidRPr="0065006A" w:rsidRDefault="00AF27D8" w:rsidP="0065006A">
      <w:pPr>
        <w:rPr>
          <w:color w:val="0070B5" w:themeColor="accent1" w:themeTint="BF"/>
        </w:rPr>
      </w:pPr>
      <w:r>
        <w:t>Pharmacokinetic data is well described by an IV bolus two</w:t>
      </w:r>
      <w:r w:rsidR="004126CF">
        <w:t xml:space="preserve"> </w:t>
      </w:r>
      <w:r>
        <w:t>compartment model with first</w:t>
      </w:r>
      <w:r w:rsidR="00B81210">
        <w:noBreakHyphen/>
      </w:r>
      <w:r>
        <w:t>order elimination. There were no mode</w:t>
      </w:r>
      <w:r w:rsidR="009E6AFF">
        <w:t xml:space="preserve">l misspecifications of concern </w:t>
      </w:r>
      <w:r>
        <w:t>based on the diagnostic plots. The observed data is described well by the model and model predictions based on the visual predictive check plots.</w:t>
      </w:r>
    </w:p>
    <w:p w14:paraId="4FBE58A5" w14:textId="161C4740" w:rsidR="0065006A" w:rsidRDefault="00AF27D8" w:rsidP="0065006A">
      <w:r>
        <w:t xml:space="preserve">Further adjustment to account for </w:t>
      </w:r>
      <w:r w:rsidR="0065006A">
        <w:t>the two different populations (lead</w:t>
      </w:r>
      <w:r w:rsidR="004126CF">
        <w:t xml:space="preserve"> </w:t>
      </w:r>
      <w:r w:rsidR="0065006A">
        <w:t>in versus e</w:t>
      </w:r>
      <w:r>
        <w:t>xpansion phase) was included as a fixed effect to describe the difference in demographics between populations. Between</w:t>
      </w:r>
      <w:r w:rsidR="004126CF">
        <w:t xml:space="preserve"> </w:t>
      </w:r>
      <w:r>
        <w:t>participant variability was included for intercept PK parameters A and B as exponential random effects. An exponential residual error model was used to describe intra-individual variability.</w:t>
      </w:r>
    </w:p>
    <w:p w14:paraId="50672158" w14:textId="7A35F5B9" w:rsidR="0065006A" w:rsidRDefault="00AF27D8" w:rsidP="0065006A">
      <w:r>
        <w:t xml:space="preserve">A preliminary </w:t>
      </w:r>
      <w:r w:rsidR="0065006A">
        <w:t>Pop</w:t>
      </w:r>
      <w:r>
        <w:t>PK, including covariates, was developed using the data available to date from 476 participants.</w:t>
      </w:r>
    </w:p>
    <w:p w14:paraId="0870CBA3" w14:textId="1528A1F4" w:rsidR="00AF27D8" w:rsidRDefault="0065006A" w:rsidP="0065006A">
      <w:r>
        <w:t>Apart from body weight and body mass index</w:t>
      </w:r>
      <w:r w:rsidR="00AF27D8">
        <w:t xml:space="preserve">, other covariates such as age, estimated </w:t>
      </w:r>
      <w:r>
        <w:t>glomerular filtration rate</w:t>
      </w:r>
      <w:r w:rsidR="00AF27D8">
        <w:t xml:space="preserve">, alanine aminotransferase, aspartate aminotransferase, bilirubin, albumin, disease, country, gender, race, ethnicity and anti-sotrovimab antibodies </w:t>
      </w:r>
      <w:r>
        <w:t>(anti</w:t>
      </w:r>
      <w:r>
        <w:noBreakHyphen/>
        <w:t>drug antibodies</w:t>
      </w:r>
      <w:r w:rsidR="009E6AFF">
        <w:t>; ADA</w:t>
      </w:r>
      <w:r>
        <w:t xml:space="preserve">) </w:t>
      </w:r>
      <w:r w:rsidR="009E6AFF">
        <w:t>did not influence the PK.</w:t>
      </w:r>
    </w:p>
    <w:p w14:paraId="53401896" w14:textId="272B1002" w:rsidR="00AF27D8" w:rsidRDefault="00AF27D8" w:rsidP="0065006A">
      <w:r>
        <w:t xml:space="preserve">Given the flat dosing, the magnitude of effect of body weight (and </w:t>
      </w:r>
      <w:r w:rsidR="0065006A">
        <w:t>body mass index</w:t>
      </w:r>
      <w:r>
        <w:t>) on the sotrovimab, exposure/PK is considered clinically not meaningful. For reference, over</w:t>
      </w:r>
      <w:r w:rsidR="0065006A">
        <w:t xml:space="preserve"> a body weight range of 40 to</w:t>
      </w:r>
      <w:r>
        <w:t xml:space="preserve"> 160 kg the magnitude of effect of body weight on sotrovimab exposure</w:t>
      </w:r>
      <w:r w:rsidR="0065006A">
        <w:t xml:space="preserve"> (serum concentration) is 1.88 to</w:t>
      </w:r>
      <w:r>
        <w:t xml:space="preserve"> 0.61 times the reference exposure for 87 kg. This range is not considered clinically relevant and dose adjustment by body weight is therefore not recommended. Similarly, over a </w:t>
      </w:r>
      <w:r w:rsidR="0065006A">
        <w:t>body mass index range of 25 to</w:t>
      </w:r>
      <w:r>
        <w:t xml:space="preserve"> 40, the magnitude of effect of </w:t>
      </w:r>
      <w:r w:rsidR="0065006A">
        <w:t>body mass index</w:t>
      </w:r>
      <w:r>
        <w:t xml:space="preserve"> o</w:t>
      </w:r>
      <w:r w:rsidR="0065006A">
        <w:t>n sotrovimab exposure is (0.9 to</w:t>
      </w:r>
      <w:r>
        <w:t xml:space="preserve"> 1.10) times the </w:t>
      </w:r>
      <w:r w:rsidR="0065006A">
        <w:t>reference exposure for 32 kg/m</w:t>
      </w:r>
      <w:r w:rsidR="0065006A">
        <w:rPr>
          <w:vertAlign w:val="superscript"/>
        </w:rPr>
        <w:t>2</w:t>
      </w:r>
      <w:r w:rsidR="0065006A">
        <w:t xml:space="preserve"> body mass index</w:t>
      </w:r>
      <w:r>
        <w:t>. This range is not considered clinically relevant and dose adjustment is therefore not recommended.</w:t>
      </w:r>
    </w:p>
    <w:p w14:paraId="4FD3239F" w14:textId="3B46F56B" w:rsidR="00AF27D8" w:rsidRDefault="00AF27D8" w:rsidP="0065006A">
      <w:r>
        <w:t>Sotrovimab</w:t>
      </w:r>
      <w:r w:rsidR="009E6AFF">
        <w:t>,</w:t>
      </w:r>
      <w:r>
        <w:t xml:space="preserve"> like other immunoglobulins, is not eliminated intact in urine, thus renal impairment is not expected to affect the exposure of sotrovimab. Based on the clinical pharmacology and some historical data with large molecules, it is unlikely that the renal function will have any influence on the PK of large molecules. As such, no dedicated clinical trials have been conducted to evaluate the effects of renal impairment on the PK of sotrovimab. Additionally, renal function was not found to be a significant covariate in the population PK analysis and thus no dose adjustment is expected to be required in participants with renal impairment.</w:t>
      </w:r>
    </w:p>
    <w:p w14:paraId="17852E4C" w14:textId="1E358B25" w:rsidR="00AF27D8" w:rsidRDefault="00AF27D8" w:rsidP="0065006A">
      <w:r>
        <w:t xml:space="preserve">Sotrovimab is degraded by widely distributed proteolytic enzymes, not restricted to hepatic tissue, thus changes in hepatic function are unlikely to have any effect on the elimination of sotrovimab. No dedicated clinical trials have been conducted to evaluate the effects of hepatic impairment on the PK of sotrovimab. The impact of markers of liver inflammation such as bilirubin and aspartate </w:t>
      </w:r>
      <w:r w:rsidR="009E6AFF">
        <w:t>transaminase</w:t>
      </w:r>
      <w:r>
        <w:t xml:space="preserve"> (AST) as well as mild to moderate elevations in alanine </w:t>
      </w:r>
      <w:r w:rsidR="009E6AFF">
        <w:t>transaminase</w:t>
      </w:r>
      <w:r>
        <w:t xml:space="preserve"> (ALT) (1.25 to &lt; 5 x </w:t>
      </w:r>
      <w:r w:rsidR="0065006A">
        <w:t xml:space="preserve">the upper limit of normal; </w:t>
      </w:r>
      <w:r>
        <w:t>ULN) on the PK of sotrovimab were evaluated by a population PK analysis. Hepatic markers were not significant covariates of sotrovimab exposure. No dose adjustment is expected to be required in participants with hepatic impairment.</w:t>
      </w:r>
    </w:p>
    <w:p w14:paraId="22C75668" w14:textId="7008D859" w:rsidR="00AF27D8" w:rsidRDefault="00AF27D8" w:rsidP="0065006A">
      <w:r>
        <w:t>No formal drug interaction studies have been conducted. Interactions with concomitant medications that are renally excreted or that are substrates, inducers or inhibitors of cytochrome P450 (CYP)</w:t>
      </w:r>
      <w:r w:rsidR="0065006A">
        <w:rPr>
          <w:rStyle w:val="FootnoteReference"/>
        </w:rPr>
        <w:footnoteReference w:id="19"/>
      </w:r>
      <w:r>
        <w:t xml:space="preserve"> enzymes are unlikely, since sotrovimab is not renally excreted or metabolised by CYP enzymes.</w:t>
      </w:r>
    </w:p>
    <w:p w14:paraId="535E4665" w14:textId="4B62F778" w:rsidR="00AF27D8" w:rsidRDefault="00AF27D8" w:rsidP="00FB7BFD">
      <w:r>
        <w:t xml:space="preserve">Due to their high molecular weight, </w:t>
      </w:r>
      <w:r w:rsidR="0065006A">
        <w:t>monoclonal antibodies</w:t>
      </w:r>
      <w:r>
        <w:t xml:space="preserve"> are unlikely to have direct ion channel interactions. Furthermore, </w:t>
      </w:r>
      <w:r w:rsidR="0065006A">
        <w:t xml:space="preserve">Good Laboratory </w:t>
      </w:r>
      <w:r w:rsidR="0065006A" w:rsidRPr="00EF605E">
        <w:t>Practices (</w:t>
      </w:r>
      <w:r w:rsidRPr="00EF605E">
        <w:t>GLP</w:t>
      </w:r>
      <w:r>
        <w:t>)</w:t>
      </w:r>
      <w:r w:rsidR="0065006A">
        <w:rPr>
          <w:rStyle w:val="FootnoteReference"/>
        </w:rPr>
        <w:footnoteReference w:id="20"/>
      </w:r>
      <w:r>
        <w:t xml:space="preserve"> tissue cross-reactivity studies in normal human tissues did not identify off-target binding and no toxicity was identified in a GLP cynomolgus monkey 2</w:t>
      </w:r>
      <w:r w:rsidR="004126CF">
        <w:t xml:space="preserve"> </w:t>
      </w:r>
      <w:r>
        <w:t>week repeat</w:t>
      </w:r>
      <w:r w:rsidR="004126CF">
        <w:t xml:space="preserve"> </w:t>
      </w:r>
      <w:r>
        <w:t xml:space="preserve">dose IV infusion toxicology study. Therefore, a thorough </w:t>
      </w:r>
      <w:r w:rsidRPr="00776253">
        <w:t>QT</w:t>
      </w:r>
      <w:r>
        <w:t xml:space="preserve"> duration corrected for heart rate (QTc)</w:t>
      </w:r>
      <w:r w:rsidR="00FB7BFD">
        <w:rPr>
          <w:rStyle w:val="FootnoteReference"/>
        </w:rPr>
        <w:footnoteReference w:id="21"/>
      </w:r>
      <w:r>
        <w:t xml:space="preserve"> study has not been conducted for sotrovimab.</w:t>
      </w:r>
    </w:p>
    <w:p w14:paraId="69785D8D" w14:textId="77777777" w:rsidR="00FB7BFD" w:rsidRDefault="00FB7BFD" w:rsidP="00FB7BFD">
      <w:pPr>
        <w:pStyle w:val="Heading6"/>
      </w:pPr>
      <w:r>
        <w:t>Immunogenicity</w:t>
      </w:r>
    </w:p>
    <w:p w14:paraId="67A56FB3" w14:textId="2EBC9408" w:rsidR="00AF27D8" w:rsidRDefault="00AF27D8" w:rsidP="00FB7BFD">
      <w:r>
        <w:t>During clinical development, immunogenicity was assessed using a risk-based bioanalytical strategy. Ten subjects out of 503 we</w:t>
      </w:r>
      <w:r w:rsidR="00FB7BFD">
        <w:t>re ADA positive on Day 29. Anti</w:t>
      </w:r>
      <w:r w:rsidR="00FB7BFD">
        <w:noBreakHyphen/>
      </w:r>
      <w:r>
        <w:t>sotrovimab antibodies</w:t>
      </w:r>
      <w:r w:rsidR="00FB7BFD">
        <w:t xml:space="preserve"> (ADA</w:t>
      </w:r>
      <w:r w:rsidR="00776253">
        <w:t>s</w:t>
      </w:r>
      <w:r w:rsidR="00FB7BFD">
        <w:t>)</w:t>
      </w:r>
      <w:r>
        <w:t xml:space="preserve"> on </w:t>
      </w:r>
      <w:r w:rsidR="0051532A">
        <w:t>D</w:t>
      </w:r>
      <w:r>
        <w:t xml:space="preserve">ay 29 does not appear to have an impact on clearance. However, this is based on the limited </w:t>
      </w:r>
      <w:r w:rsidR="00FB7BFD">
        <w:t>number of subjects with ADA at D</w:t>
      </w:r>
      <w:r>
        <w:t>ay 29. Sotrovimab is proposed to be administered as a single dose, which theoretically reduces the risk of immunogenicity compared with multiple doses. Overall, the observed incidence of post-treatment anti-</w:t>
      </w:r>
      <w:r w:rsidR="00FB7BFD">
        <w:t>sotrovimab</w:t>
      </w:r>
      <w:r>
        <w:t xml:space="preserve"> antibodies has been low. The clinical relevance of such antibodies has not been fully establishe</w:t>
      </w:r>
      <w:r w:rsidR="00FB7BFD">
        <w:t xml:space="preserve">d. </w:t>
      </w:r>
      <w:r>
        <w:t xml:space="preserve">Immunogenicity will continue to be assessed in the COMET-ICE </w:t>
      </w:r>
      <w:r w:rsidR="00FB7BFD">
        <w:t>trial (Study 214367)</w:t>
      </w:r>
      <w:r>
        <w:t>. A</w:t>
      </w:r>
      <w:r w:rsidR="00FB7BFD">
        <w:t xml:space="preserve">nti-drug antibodies were </w:t>
      </w:r>
      <w:r>
        <w:t xml:space="preserve">evaluated as a covariate in the </w:t>
      </w:r>
      <w:r w:rsidR="00FB7BFD">
        <w:t>Pop</w:t>
      </w:r>
      <w:r>
        <w:t>PK model and did not influence serum concentrations.</w:t>
      </w:r>
    </w:p>
    <w:p w14:paraId="50BB240E" w14:textId="77777777" w:rsidR="00AF27D8" w:rsidRDefault="00AF27D8" w:rsidP="00FB7BFD">
      <w:pPr>
        <w:pStyle w:val="Heading6"/>
      </w:pPr>
      <w:r>
        <w:t>Paediatric patients</w:t>
      </w:r>
    </w:p>
    <w:p w14:paraId="36631ADB" w14:textId="1387BDCB" w:rsidR="00AF27D8" w:rsidRDefault="00776253" w:rsidP="00AF27D8">
      <w:r>
        <w:t>The s</w:t>
      </w:r>
      <w:r w:rsidR="00AF27D8">
        <w:t>ponsor proposes dosing in adolescents aged 12 years and older and weighing at least 40 kg; however, there are no clinical data available in subjects aged under 18 years. This proposal is based on an allometric scaling approach implemented in the model which accounts for effects of body weight changes associat</w:t>
      </w:r>
      <w:r w:rsidR="00FB7BFD">
        <w:t>ed with age on clearance and volume of distribution</w:t>
      </w:r>
      <w:r w:rsidR="00C45E08">
        <w:t>,</w:t>
      </w:r>
      <w:r w:rsidR="004E3C36">
        <w:t xml:space="preserve"> </w:t>
      </w:r>
      <w:r w:rsidR="00AF27D8">
        <w:t>and relies on the conclusion of the PopPK analysis that no dosage adjustment is required across sub</w:t>
      </w:r>
      <w:r>
        <w:t>ject weight range 40 to 160 kg.</w:t>
      </w:r>
    </w:p>
    <w:p w14:paraId="130A215F" w14:textId="343FC626" w:rsidR="00AF27D8" w:rsidRDefault="00AF27D8" w:rsidP="00AF27D8">
      <w:r>
        <w:t>To this end, the expected peak (C</w:t>
      </w:r>
      <w:r w:rsidRPr="00FB7BFD">
        <w:rPr>
          <w:vertAlign w:val="subscript"/>
        </w:rPr>
        <w:t>max</w:t>
      </w:r>
      <w:r w:rsidR="00FB7BFD">
        <w:t xml:space="preserve">) and average </w:t>
      </w:r>
      <w:r>
        <w:t>exposures</w:t>
      </w:r>
      <w:r w:rsidR="00FB7BFD">
        <w:t xml:space="preserve"> (as area under the drug-concentration curve versus time curve from time 0 (dosing) to Day 28; AUC</w:t>
      </w:r>
      <w:r w:rsidR="00FB7BFD">
        <w:rPr>
          <w:vertAlign w:val="subscript"/>
        </w:rPr>
        <w:t>0-28d</w:t>
      </w:r>
      <w:r w:rsidR="00FB7BFD">
        <w:t>)</w:t>
      </w:r>
      <w:r>
        <w:t xml:space="preserve"> in 40 kg adolescents are anticipated to be (48</w:t>
      </w:r>
      <w:r w:rsidR="00FD2370">
        <w:t xml:space="preserve"> out of </w:t>
      </w:r>
      <w:r>
        <w:t>40)</w:t>
      </w:r>
      <w:r w:rsidR="00FB7BFD">
        <w:t xml:space="preserve"> or </w:t>
      </w:r>
      <w:r>
        <w:t>1.0 and (48</w:t>
      </w:r>
      <w:r w:rsidR="00FD2370">
        <w:t xml:space="preserve"> out of </w:t>
      </w:r>
      <w:r>
        <w:t>40)</w:t>
      </w:r>
      <w:r w:rsidR="00FB7BFD">
        <w:t xml:space="preserve"> or </w:t>
      </w:r>
      <w:r>
        <w:t xml:space="preserve">0.75 times higher than </w:t>
      </w:r>
      <w:r w:rsidR="00FB7BFD">
        <w:t xml:space="preserve">the </w:t>
      </w:r>
      <w:r>
        <w:t xml:space="preserve">48 kg reference, </w:t>
      </w:r>
      <w:r w:rsidR="00FB7BFD">
        <w:t>that is,</w:t>
      </w:r>
      <w:r>
        <w:t xml:space="preserve"> 120% and 115%, respectively and would be expected to afford approximately 46</w:t>
      </w:r>
      <w:r w:rsidR="00222FA2">
        <w:t xml:space="preserve"> </w:t>
      </w:r>
      <w:r>
        <w:t>fold C</w:t>
      </w:r>
      <w:r w:rsidRPr="00FB7BFD">
        <w:rPr>
          <w:vertAlign w:val="subscript"/>
        </w:rPr>
        <w:t>max</w:t>
      </w:r>
      <w:r>
        <w:t xml:space="preserve"> and 37</w:t>
      </w:r>
      <w:r w:rsidR="00222FA2">
        <w:t xml:space="preserve"> </w:t>
      </w:r>
      <w:r>
        <w:t xml:space="preserve">fold </w:t>
      </w:r>
      <w:r w:rsidR="00FB7BFD">
        <w:t>the area under the drug-concentration versus time curve from time zero (dosing) extrapolated to infinity (AUC</w:t>
      </w:r>
      <w:r w:rsidR="00FB7BFD" w:rsidRPr="00FB7BFD">
        <w:rPr>
          <w:vertAlign w:val="subscript"/>
        </w:rPr>
        <w:t>0-inf</w:t>
      </w:r>
      <w:r w:rsidR="00FB7BFD">
        <w:t xml:space="preserve">) </w:t>
      </w:r>
      <w:r>
        <w:t>cover compared with the preclinical 500 mg/kg no-observed-adverse-effect level (NOAEL). Such small differences in peak and average exposure are within subject-to-subject variation, justifying the lower weight limit for the modest (22%) proportion</w:t>
      </w:r>
      <w:r w:rsidR="00FB7BFD">
        <w:t xml:space="preserve"> of adolescents in the range 40 to </w:t>
      </w:r>
      <w:r>
        <w:t xml:space="preserve">48 kg (based on simulation from </w:t>
      </w:r>
      <w:r w:rsidRPr="00A23887">
        <w:t>NHANES</w:t>
      </w:r>
      <w:r>
        <w:t xml:space="preserve"> data).</w:t>
      </w:r>
      <w:r w:rsidR="00776253">
        <w:rPr>
          <w:rStyle w:val="FootnoteReference"/>
        </w:rPr>
        <w:footnoteReference w:id="22"/>
      </w:r>
      <w:r>
        <w:t xml:space="preserve"> Since adolescents are, on average, lighter than adults, sotrovimab exposure will be marginally above adults, hence the risk of under-dosing adolescents with the same 500 mg IV dose is small. Furthermore, human exposure cover is anticipated from the bodyweight range of adults treated with sotrovimab in </w:t>
      </w:r>
      <w:r w:rsidR="00FB7BFD">
        <w:t xml:space="preserve">the </w:t>
      </w:r>
      <w:r>
        <w:t>COMET-ICE</w:t>
      </w:r>
      <w:r w:rsidR="00FB7BFD">
        <w:t xml:space="preserve"> trial/Study 214367 (49 to </w:t>
      </w:r>
      <w:r>
        <w:t>183.0 kg). The sponsor therefore proposes the same dosing recommendation for adolescents (aged 12 to less than 18 years and weighing 40 kg or more) as adults.</w:t>
      </w:r>
    </w:p>
    <w:p w14:paraId="06AEFCE0" w14:textId="1D07936E" w:rsidR="00AF27D8" w:rsidRDefault="00FB7BFD" w:rsidP="00AF27D8">
      <w:pPr>
        <w:pStyle w:val="Heading5"/>
      </w:pPr>
      <w:r>
        <w:t>Pharmacodynamics</w:t>
      </w:r>
    </w:p>
    <w:p w14:paraId="0227DC2B" w14:textId="23782250" w:rsidR="00AF27D8" w:rsidRDefault="00AF27D8" w:rsidP="00FB7BFD">
      <w:pPr>
        <w:pStyle w:val="Heading6"/>
      </w:pPr>
      <w:r>
        <w:t xml:space="preserve">Properties </w:t>
      </w:r>
      <w:r w:rsidR="00A23887">
        <w:t>related to therapeutic effect</w:t>
      </w:r>
    </w:p>
    <w:p w14:paraId="4E361957" w14:textId="1A0B3523" w:rsidR="00AF27D8" w:rsidRDefault="00AF27D8" w:rsidP="00AF27D8">
      <w:r>
        <w:t xml:space="preserve">Sotrovimab is a Fc modified human </w:t>
      </w:r>
      <w:r w:rsidR="00FB7BFD">
        <w:t>immunoglobulin G subtype 1</w:t>
      </w:r>
      <w:r>
        <w:t xml:space="preserve"> </w:t>
      </w:r>
      <w:r w:rsidR="00FB7BFD">
        <w:t>monoclonal antibody</w:t>
      </w:r>
      <w:r>
        <w:t xml:space="preserve"> that binds to a highly conserved epitope on the spike (S) protein receptor binding domain of </w:t>
      </w:r>
      <w:r w:rsidR="00FB7BFD">
        <w:t xml:space="preserve">the </w:t>
      </w:r>
      <w:r>
        <w:t>SARS</w:t>
      </w:r>
      <w:r w:rsidR="00FB7BFD">
        <w:noBreakHyphen/>
      </w:r>
      <w:r>
        <w:t xml:space="preserve">CoV-2 </w:t>
      </w:r>
      <w:r w:rsidR="00FB7BFD">
        <w:t xml:space="preserve">virus </w:t>
      </w:r>
      <w:r>
        <w:t xml:space="preserve">with high affinity outside of </w:t>
      </w:r>
      <w:r w:rsidR="00FB7BFD">
        <w:t>the receptor-binding motif</w:t>
      </w:r>
      <w:r>
        <w:t>, where the maj</w:t>
      </w:r>
      <w:r w:rsidR="00FB7BFD">
        <w:t>ority of the other COVID-19 monoclonal antibodies</w:t>
      </w:r>
      <w:r>
        <w:t xml:space="preserve"> in development bind.</w:t>
      </w:r>
    </w:p>
    <w:p w14:paraId="0C76EF89" w14:textId="0CB2032C" w:rsidR="00AF27D8" w:rsidRDefault="00AF27D8" w:rsidP="00AF27D8">
      <w:r>
        <w:t xml:space="preserve">Binding to this highly conserved region precludes resistant variant selection </w:t>
      </w:r>
      <w:r w:rsidRPr="00CF1D4F">
        <w:rPr>
          <w:i/>
        </w:rPr>
        <w:t xml:space="preserve">in vitro </w:t>
      </w:r>
      <w:r>
        <w:t xml:space="preserve">and allows sotrovimab to retain activity </w:t>
      </w:r>
      <w:r w:rsidR="00A23887" w:rsidRPr="00A23887">
        <w:rPr>
          <w:i/>
        </w:rPr>
        <w:t>in vitro</w:t>
      </w:r>
      <w:r w:rsidR="00A23887">
        <w:t xml:space="preserve"> </w:t>
      </w:r>
      <w:r>
        <w:t xml:space="preserve">against SARS-CoV-2 </w:t>
      </w:r>
      <w:r w:rsidR="00FB7BFD">
        <w:t xml:space="preserve">viral </w:t>
      </w:r>
      <w:r>
        <w:t>mutants. Sotrovimab neutralises SARS</w:t>
      </w:r>
      <w:r w:rsidR="00FB7BFD">
        <w:t>-</w:t>
      </w:r>
      <w:r>
        <w:t xml:space="preserve">CoV-2 live virus and pseudotyped virus </w:t>
      </w:r>
      <w:r w:rsidRPr="00FB7BFD">
        <w:rPr>
          <w:i/>
        </w:rPr>
        <w:t>in vitro</w:t>
      </w:r>
      <w:r>
        <w:t xml:space="preserve"> and retains activity against the </w:t>
      </w:r>
      <w:r w:rsidR="00A23887">
        <w:t>alpha,</w:t>
      </w:r>
      <w:r>
        <w:t xml:space="preserve"> </w:t>
      </w:r>
      <w:r w:rsidR="00A23887">
        <w:t>beta,</w:t>
      </w:r>
      <w:r>
        <w:t xml:space="preserve"> </w:t>
      </w:r>
      <w:r w:rsidR="00A23887">
        <w:t>gamma</w:t>
      </w:r>
      <w:r>
        <w:t xml:space="preserve"> live</w:t>
      </w:r>
      <w:r w:rsidR="00A23887">
        <w:t xml:space="preserve"> viruses, as well as epsilon, iota and kappa </w:t>
      </w:r>
      <w:r w:rsidR="00FB7BFD">
        <w:t>variant pseudo</w:t>
      </w:r>
      <w:r>
        <w:t>typed viruses. The Fc domain of sotrovimab includes an LS modification that extends antibody half-life and may also be expected to enhance distribution to the respiratory mucosa. The LS modification does not impact wild</w:t>
      </w:r>
      <w:r w:rsidR="00222FA2">
        <w:t xml:space="preserve"> </w:t>
      </w:r>
      <w:r>
        <w:t>type Fc-mediated effector functions and sotrovimab demonstrates activity in two key indirect antiviral mechanisms antibody-d</w:t>
      </w:r>
      <w:r w:rsidR="00A23887">
        <w:t>ependent cellular cytotoxicity</w:t>
      </w:r>
      <w:r>
        <w:t xml:space="preserve"> and antibody-dependent cellular phagocytosis </w:t>
      </w:r>
      <w:r w:rsidRPr="00A23887">
        <w:rPr>
          <w:i/>
        </w:rPr>
        <w:t>in vitro</w:t>
      </w:r>
      <w:r>
        <w:t>, which may also contribute to clinical effectiveness</w:t>
      </w:r>
      <w:r w:rsidR="00222FA2">
        <w:t>.</w:t>
      </w:r>
    </w:p>
    <w:p w14:paraId="49D0057A" w14:textId="2893DC50" w:rsidR="00AF27D8" w:rsidRDefault="004F4F9A" w:rsidP="004F4F9A">
      <w:pPr>
        <w:pStyle w:val="Heading6"/>
      </w:pPr>
      <w:r>
        <w:t>SARS-CoV</w:t>
      </w:r>
      <w:r w:rsidR="00A23887">
        <w:t>-</w:t>
      </w:r>
      <w:r>
        <w:t>2 viral l</w:t>
      </w:r>
      <w:r w:rsidR="00AF27D8">
        <w:t>oad</w:t>
      </w:r>
    </w:p>
    <w:p w14:paraId="4C6F07B0" w14:textId="3E7A2619" w:rsidR="00AF27D8" w:rsidRDefault="004F4F9A" w:rsidP="00AF27D8">
      <w:r>
        <w:t>The s</w:t>
      </w:r>
      <w:r w:rsidR="00AF27D8">
        <w:t xml:space="preserve">ponsor has not proposed a primary clinical </w:t>
      </w:r>
      <w:r>
        <w:t xml:space="preserve">pharmacodynamics </w:t>
      </w:r>
      <w:r w:rsidR="00AF27D8">
        <w:t>biomarker. The effect of sotrovimab on viral load in nasal secretions was a secondary efficacy endpoint of the pivotal study. This showed a statistically significant red</w:t>
      </w:r>
      <w:r w:rsidR="00A23887">
        <w:t>uction versus</w:t>
      </w:r>
      <w:r>
        <w:t xml:space="preserve"> placebo on Day 8 (least squares of the m</w:t>
      </w:r>
      <w:r w:rsidR="00AF27D8">
        <w:t>ean difference -0.232, p = 0.007), but the clinical relevance of the magnitude of the difference is not clear.</w:t>
      </w:r>
    </w:p>
    <w:p w14:paraId="5A86DA21" w14:textId="77777777" w:rsidR="00AF27D8" w:rsidRDefault="00AF27D8" w:rsidP="004F4F9A">
      <w:pPr>
        <w:pStyle w:val="Heading6"/>
      </w:pPr>
      <w:r>
        <w:t>Genetic, gender and age related differences in pharmacodynamic response</w:t>
      </w:r>
    </w:p>
    <w:p w14:paraId="2EB37C55" w14:textId="1E28E2D6" w:rsidR="00AF27D8" w:rsidRDefault="00AF27D8" w:rsidP="00AF27D8">
      <w:r>
        <w:t>A subgroup analysis of the Day 8 viral load data suggests that the difference observed between sotrovimab and plac</w:t>
      </w:r>
      <w:r w:rsidR="004F4F9A">
        <w:t>ebo was greatest in those aged</w:t>
      </w:r>
      <w:r>
        <w:t xml:space="preserve"> 55 years</w:t>
      </w:r>
      <w:r w:rsidR="004F4F9A">
        <w:t xml:space="preserve"> or more</w:t>
      </w:r>
      <w:r>
        <w:t>, and that there was no significant dif</w:t>
      </w:r>
      <w:r w:rsidR="004F4F9A">
        <w:t>ference in those aged under 55 years.</w:t>
      </w:r>
    </w:p>
    <w:p w14:paraId="2192E0B8" w14:textId="43A19B97" w:rsidR="002F06AE" w:rsidRDefault="002F06AE" w:rsidP="002F06AE">
      <w:pPr>
        <w:pStyle w:val="Heading4"/>
      </w:pPr>
      <w:r>
        <w:t>Efficacy</w:t>
      </w:r>
    </w:p>
    <w:p w14:paraId="316D7BC6" w14:textId="77777777" w:rsidR="002F06AE" w:rsidRDefault="002F06AE" w:rsidP="002F06AE">
      <w:pPr>
        <w:pStyle w:val="Heading5"/>
        <w:rPr>
          <w:rFonts w:eastAsia="Cambria"/>
        </w:rPr>
      </w:pPr>
      <w:r>
        <w:t>Dose justification</w:t>
      </w:r>
    </w:p>
    <w:p w14:paraId="503239B7" w14:textId="0685AFB6" w:rsidR="002F06AE" w:rsidRDefault="002F06AE" w:rsidP="002F06AE">
      <w:r>
        <w:t>The pivotal study, the COMET-ICE trial (Study 214367), was also the first</w:t>
      </w:r>
      <w:r w:rsidR="00222FA2">
        <w:t xml:space="preserve"> </w:t>
      </w:r>
      <w:r>
        <w:t>in</w:t>
      </w:r>
      <w:r w:rsidR="00222FA2">
        <w:t xml:space="preserve"> </w:t>
      </w:r>
      <w:r>
        <w:t xml:space="preserve">human study, so no human </w:t>
      </w:r>
      <w:r w:rsidRPr="00641188">
        <w:rPr>
          <w:i/>
          <w:iCs/>
        </w:rPr>
        <w:t>in vivo</w:t>
      </w:r>
      <w:r>
        <w:t xml:space="preserve"> data were available to inform dosage selection. The justification for the selected dose was based on </w:t>
      </w:r>
      <w:r w:rsidRPr="00CF1D4F">
        <w:rPr>
          <w:i/>
        </w:rPr>
        <w:t>in vitro</w:t>
      </w:r>
      <w:r>
        <w:t xml:space="preserve"> data and non-human primate studies.</w:t>
      </w:r>
    </w:p>
    <w:p w14:paraId="31DCF2B4" w14:textId="56E270DC" w:rsidR="002F06AE" w:rsidRDefault="002F06AE" w:rsidP="002F06AE">
      <w:r>
        <w:t xml:space="preserve">No dose response study has been conducted. Only one dose of 500 mg has </w:t>
      </w:r>
      <w:r w:rsidR="00A23887">
        <w:t>been investigated. The sponsor</w:t>
      </w:r>
      <w:r>
        <w:t xml:space="preserve"> justifies that a 500 mg IV dose has been selected since it is expected to ensure that sotrovimab concentrations in lung are maintained well above levels anticipated to be neutralising for the first 28 days after administration. </w:t>
      </w:r>
    </w:p>
    <w:p w14:paraId="0457B956" w14:textId="19C4CA3F" w:rsidR="002F06AE" w:rsidRDefault="002F06AE" w:rsidP="002F06AE">
      <w:r>
        <w:t>The human PK parameters were scaled from the cynomolgus monkey using an allometric scaling approach for human immunoglobulin G antibodies (allometric coefficient of 0.85 and 1 for clearance and volume of distribution, respectively). This resulted in a predicted serum clearance in 70 kg humans of 141 mL/day, an estima</w:t>
      </w:r>
      <w:r w:rsidR="00A23887">
        <w:t>ted volume of distribution of 6</w:t>
      </w:r>
      <w:r>
        <w:t>500 mL (approximately 93 mL/kg) and projected half life of around 32 days.</w:t>
      </w:r>
    </w:p>
    <w:p w14:paraId="346DD8D5" w14:textId="4ABFA9C5" w:rsidR="002F06AE" w:rsidRDefault="002F06AE" w:rsidP="002F06AE">
      <w:r>
        <w:t>Following a 500 mg IV dose of sotrovimab, the mean Day 29 serum concentration was 25.8 μg/mL (95% confidence interval (CI): 25.0, 26.7). Based on the available PK, a 500 mg IV dose of sotrovimab is expected to maintain serum levels at or above 25</w:t>
      </w:r>
      <w:r w:rsidR="00A23887">
        <w:t xml:space="preserve"> </w:t>
      </w:r>
      <w:r>
        <w:t>x lung</w:t>
      </w:r>
      <w:r w:rsidR="00E13832">
        <w:t xml:space="preserve"> </w:t>
      </w:r>
      <w:r>
        <w:t>tissue adjusted EC</w:t>
      </w:r>
      <w:r w:rsidRPr="002F06AE">
        <w:rPr>
          <w:vertAlign w:val="subscript"/>
        </w:rPr>
        <w:t>90</w:t>
      </w:r>
      <w:r>
        <w:t>;</w:t>
      </w:r>
      <w:r>
        <w:rPr>
          <w:rStyle w:val="FootnoteReference"/>
        </w:rPr>
        <w:footnoteReference w:id="23"/>
      </w:r>
      <w:r>
        <w:t xml:space="preserve"> for 28 days in 50% of participants and at or above 15</w:t>
      </w:r>
      <w:r w:rsidR="00A23887">
        <w:t xml:space="preserve"> </w:t>
      </w:r>
      <w:r>
        <w:t>x lung</w:t>
      </w:r>
      <w:r w:rsidR="00E13832">
        <w:t xml:space="preserve"> </w:t>
      </w:r>
      <w:r>
        <w:t>tissue adjusted EC</w:t>
      </w:r>
      <w:r w:rsidRPr="002F06AE">
        <w:rPr>
          <w:vertAlign w:val="subscript"/>
        </w:rPr>
        <w:t xml:space="preserve">90 </w:t>
      </w:r>
      <w:r>
        <w:t>for 28 days in 95% of participants; this is based on the EC</w:t>
      </w:r>
      <w:r w:rsidRPr="002F06AE">
        <w:rPr>
          <w:vertAlign w:val="subscript"/>
        </w:rPr>
        <w:t>90</w:t>
      </w:r>
      <w:r>
        <w:t xml:space="preserve"> (0.33 μg/mL) from the highest end of the EC</w:t>
      </w:r>
      <w:r w:rsidRPr="002F06AE">
        <w:rPr>
          <w:vertAlign w:val="subscript"/>
        </w:rPr>
        <w:t>90</w:t>
      </w:r>
      <w:r>
        <w:t xml:space="preserve"> range and accounting for the lung: serum ratio for immunoglobulin G antibodies (assumed conservative value of 0.25 (lung tissue adjusted EC</w:t>
      </w:r>
      <w:r w:rsidRPr="002F06AE">
        <w:rPr>
          <w:vertAlign w:val="subscript"/>
        </w:rPr>
        <w:t>90</w:t>
      </w:r>
      <w:r>
        <w:t xml:space="preserve"> = 1.32 μg/mL); measured and reported range 0.25 to 0.68 for whole lung and interstitial fluid, respectively.</w:t>
      </w:r>
    </w:p>
    <w:p w14:paraId="75242CE1" w14:textId="36DA3385" w:rsidR="002F06AE" w:rsidRDefault="002F06AE" w:rsidP="002F06AE">
      <w:r>
        <w:t>Human exposure following a 500 mg single IV dose is considerably lower than the NOAEL. Based on the NOAEL in cynomolgus monkeys (500 mg/kg, the highest dose tested) and using a safety factor of ten, the maximum recommended starting dose in humans was calculated to be approximately 50 mg/kg or a 3000 mg fixed dose.</w:t>
      </w:r>
    </w:p>
    <w:p w14:paraId="6D4CC9AD" w14:textId="548048C4" w:rsidR="002F06AE" w:rsidRDefault="002F3C2B" w:rsidP="002F3C2B">
      <w:pPr>
        <w:pStyle w:val="Heading5"/>
      </w:pPr>
      <w:r>
        <w:t xml:space="preserve">Study 214367 (the </w:t>
      </w:r>
      <w:r w:rsidR="002F06AE">
        <w:t>COMET-ICE</w:t>
      </w:r>
      <w:r>
        <w:t xml:space="preserve"> trial)</w:t>
      </w:r>
    </w:p>
    <w:p w14:paraId="35E1E17E" w14:textId="71494300" w:rsidR="002F06AE" w:rsidRDefault="002F3C2B" w:rsidP="002F06AE">
      <w:r>
        <w:t xml:space="preserve">Study 214367 or the COMET-ICE trial </w:t>
      </w:r>
      <w:r w:rsidR="002F06AE">
        <w:t>is a rando</w:t>
      </w:r>
      <w:r>
        <w:t>mised, double</w:t>
      </w:r>
      <w:r w:rsidR="004602F7">
        <w:noBreakHyphen/>
      </w:r>
      <w:r>
        <w:t>blind, multicentre, placebo</w:t>
      </w:r>
      <w:r w:rsidR="00E13832">
        <w:t xml:space="preserve"> </w:t>
      </w:r>
      <w:r w:rsidR="002F06AE">
        <w:t>controlled Phase</w:t>
      </w:r>
      <w:r>
        <w:t>s I, II and III</w:t>
      </w:r>
      <w:r w:rsidR="002F06AE">
        <w:t xml:space="preserve"> trial of sotrovi</w:t>
      </w:r>
      <w:r>
        <w:t>mab, a monoclonal antibody</w:t>
      </w:r>
      <w:r w:rsidR="002F06AE">
        <w:t xml:space="preserve"> against </w:t>
      </w:r>
      <w:r>
        <w:t xml:space="preserve">the </w:t>
      </w:r>
      <w:r w:rsidR="002F06AE">
        <w:t>SARS</w:t>
      </w:r>
      <w:r w:rsidR="004602F7">
        <w:noBreakHyphen/>
      </w:r>
      <w:r w:rsidR="002F06AE">
        <w:t xml:space="preserve">CoV-2 </w:t>
      </w:r>
      <w:r>
        <w:t xml:space="preserve">virus </w:t>
      </w:r>
      <w:r w:rsidR="002F06AE">
        <w:t>for the prevention of progression of mild/moderate COVID-19, who are at high risk of disease progression to severe/critical disease or death. In the trial, with interim monitoring to allow early stopping for futility, efficacy, or safety.</w:t>
      </w:r>
    </w:p>
    <w:p w14:paraId="35946B20" w14:textId="580C0C3B" w:rsidR="002F06AE" w:rsidRDefault="002F06AE" w:rsidP="002F06AE">
      <w:r>
        <w:t>Participants with early COVID-19 and who were at risk for progression of disease were randomised 1:1 to receive a single, intravenous infusion of either sotrovimab or equal volume saline placebo over 1 hour. Comparisons of safety and efficacy were based on data from concur</w:t>
      </w:r>
      <w:r w:rsidR="002F3C2B">
        <w:t>rently randomised participants.</w:t>
      </w:r>
    </w:p>
    <w:p w14:paraId="19DE87FD" w14:textId="229C41A0" w:rsidR="002F06AE" w:rsidRDefault="002F06AE" w:rsidP="002F06AE">
      <w:r>
        <w:t>The study comprises two phases</w:t>
      </w:r>
      <w:r w:rsidR="004602F7">
        <w:t>,</w:t>
      </w:r>
      <w:r>
        <w:t xml:space="preserve"> a lead-in phase and an expansion phase:</w:t>
      </w:r>
    </w:p>
    <w:p w14:paraId="0913B4D4" w14:textId="023CCC45" w:rsidR="002F06AE" w:rsidRDefault="002F06AE" w:rsidP="002F3C2B">
      <w:pPr>
        <w:pStyle w:val="ListBullet"/>
      </w:pPr>
      <w:r>
        <w:t xml:space="preserve">The </w:t>
      </w:r>
      <w:r w:rsidR="00213C6B">
        <w:t>lead</w:t>
      </w:r>
      <w:r w:rsidR="00E13832">
        <w:t xml:space="preserve"> </w:t>
      </w:r>
      <w:r w:rsidR="00213C6B">
        <w:t>i</w:t>
      </w:r>
      <w:r>
        <w:t>n phas</w:t>
      </w:r>
      <w:r w:rsidR="00213C6B">
        <w:t>e served as the first</w:t>
      </w:r>
      <w:r w:rsidR="00E13832">
        <w:t xml:space="preserve"> </w:t>
      </w:r>
      <w:r w:rsidR="00213C6B">
        <w:t>in</w:t>
      </w:r>
      <w:r w:rsidR="00E13832">
        <w:t xml:space="preserve"> </w:t>
      </w:r>
      <w:r w:rsidR="00213C6B">
        <w:t>human assessment and included 21 </w:t>
      </w:r>
      <w:r>
        <w:t xml:space="preserve">participants with COVID-19 confined for 7 days to assess the safety and tolerability of sotrovimab. One participant terminated from the </w:t>
      </w:r>
      <w:r w:rsidR="00213C6B">
        <w:t>lead</w:t>
      </w:r>
      <w:r w:rsidR="00E13832">
        <w:t xml:space="preserve"> </w:t>
      </w:r>
      <w:r w:rsidR="00213C6B">
        <w:t xml:space="preserve">in </w:t>
      </w:r>
      <w:r>
        <w:t xml:space="preserve">phase early due to withdrawal of consent. The </w:t>
      </w:r>
      <w:r w:rsidR="00213C6B">
        <w:t xml:space="preserve">independent data monitoring committee </w:t>
      </w:r>
      <w:r>
        <w:t>reviewed the unblinded data from 20 participants who had completed Day 15 and recommended</w:t>
      </w:r>
      <w:r w:rsidR="00213C6B">
        <w:t xml:space="preserve"> the study to proceed with the e</w:t>
      </w:r>
      <w:r>
        <w:t xml:space="preserve">xpansion phase to enrol additional participants across each treatment arm (1340 participants in total). Unblinded safety and efficacy data were reviewed regularly by an </w:t>
      </w:r>
      <w:r w:rsidR="00213C6B">
        <w:t>independent data monitoring committee</w:t>
      </w:r>
      <w:r>
        <w:t xml:space="preserve"> throughout conduct of the study.</w:t>
      </w:r>
    </w:p>
    <w:p w14:paraId="540CDA2B" w14:textId="12C175DB" w:rsidR="002F06AE" w:rsidRDefault="00213C6B" w:rsidP="00213C6B">
      <w:pPr>
        <w:pStyle w:val="Heading6"/>
      </w:pPr>
      <w:r>
        <w:t>Study d</w:t>
      </w:r>
      <w:r w:rsidR="002F06AE">
        <w:t>esign</w:t>
      </w:r>
    </w:p>
    <w:p w14:paraId="22D30330" w14:textId="36B432ED" w:rsidR="00213C6B" w:rsidRPr="00213C6B" w:rsidRDefault="00D72DF4" w:rsidP="00213C6B">
      <w:r>
        <w:fldChar w:fldCharType="begin"/>
      </w:r>
      <w:r>
        <w:instrText xml:space="preserve"> REF _Ref80004939 \h </w:instrText>
      </w:r>
      <w:r>
        <w:fldChar w:fldCharType="separate"/>
      </w:r>
      <w:r w:rsidR="00F601F5">
        <w:t xml:space="preserve">Figure </w:t>
      </w:r>
      <w:r w:rsidR="00F601F5">
        <w:rPr>
          <w:noProof/>
        </w:rPr>
        <w:t>2</w:t>
      </w:r>
      <w:r>
        <w:fldChar w:fldCharType="end"/>
      </w:r>
      <w:r w:rsidR="00213C6B">
        <w:t>, shown below, provides a summary schema and flow chart of the Study 214367/ COMET</w:t>
      </w:r>
      <w:r w:rsidR="00213C6B">
        <w:noBreakHyphen/>
        <w:t>ICE trial design.</w:t>
      </w:r>
    </w:p>
    <w:p w14:paraId="44D088E4" w14:textId="698F9210" w:rsidR="00213C6B" w:rsidRDefault="00213C6B" w:rsidP="00213C6B">
      <w:pPr>
        <w:pStyle w:val="FigureTitle"/>
      </w:pPr>
      <w:bookmarkStart w:id="44" w:name="_Ref80004939"/>
      <w:bookmarkStart w:id="45" w:name="_Ref79549335"/>
      <w:r>
        <w:t xml:space="preserve">Figure </w:t>
      </w:r>
      <w:r>
        <w:fldChar w:fldCharType="begin"/>
      </w:r>
      <w:r>
        <w:instrText>SEQ Figure \* ARABIC</w:instrText>
      </w:r>
      <w:r>
        <w:fldChar w:fldCharType="separate"/>
      </w:r>
      <w:r w:rsidR="00F601F5">
        <w:rPr>
          <w:noProof/>
        </w:rPr>
        <w:t>2</w:t>
      </w:r>
      <w:r>
        <w:fldChar w:fldCharType="end"/>
      </w:r>
      <w:bookmarkEnd w:id="44"/>
      <w:r>
        <w:t>: Study 214367 (COMET-ICE trial) schema and flow chart of study design</w:t>
      </w:r>
      <w:bookmarkEnd w:id="45"/>
    </w:p>
    <w:p w14:paraId="0C1A8375" w14:textId="5F985CDB" w:rsidR="002F06AE" w:rsidRDefault="002F06AE" w:rsidP="002F06AE">
      <w:r>
        <w:rPr>
          <w:noProof/>
          <w:lang w:val="en-GB" w:eastAsia="en-GB"/>
        </w:rPr>
        <w:drawing>
          <wp:inline distT="0" distB="0" distL="0" distR="0" wp14:anchorId="1525FC5C" wp14:editId="1FB159A0">
            <wp:extent cx="5377180" cy="2818263"/>
            <wp:effectExtent l="0" t="0" r="0" b="1270"/>
            <wp:docPr id="17" name="Picture 17" descr="Study 214367 (COMET-ICE trial) comprised  of two phases, a lead-in phase, and an expansion phase. &#10;The leadin phase, was to recruit and randmise 20 subjects to recieve either VIR-7831 (sotrovimab) or placebo) in a 1:1 ratio; that is, 10 subjects in each treatment group. All subjects underwent at 24 week follow-up.&#10;At Day 15 post initiation of treatment (VIR-7831 (sotrovimab) or placebo), the independent data monitoring committee undertook a safety review of all 20 subjects, to decide on the the suitability to initiate an expansion phase.&#10;The expansion phase, involved the recruitment of 1340 subjects, randomised in a 1:1 ratio to recieve either VIR-7831 (sotrovimab) or placebo; that is 670 subjects per treatment arm. All enrolled subjects recieved a 24 week follow up.&#10;The primary endpoint was at Day 29, and was at based on safety futliltiy and efficacy with 1. around 41% enrollment and 2. around 64% enrollment.&#10;" title="Figure 1: Study 214367 (COMET-ICE trial) schema and flow chart of the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217" cy="2828764"/>
                    </a:xfrm>
                    <a:prstGeom prst="rect">
                      <a:avLst/>
                    </a:prstGeom>
                    <a:noFill/>
                    <a:ln>
                      <a:noFill/>
                    </a:ln>
                  </pic:spPr>
                </pic:pic>
              </a:graphicData>
            </a:graphic>
          </wp:inline>
        </w:drawing>
      </w:r>
    </w:p>
    <w:p w14:paraId="2771AF57" w14:textId="6006CE54" w:rsidR="00781B28" w:rsidRPr="00781B28" w:rsidRDefault="00781B28" w:rsidP="00781B28">
      <w:pPr>
        <w:pStyle w:val="FigureDescription"/>
      </w:pPr>
      <w:r>
        <w:t>N = number of planned subjects to be recruited; VIR-7831 = drug development code for sotrovimab; IDMC = independent data monitoring committee</w:t>
      </w:r>
      <w:r w:rsidR="00F63BDF">
        <w:t>; IA = interim analysis (population).</w:t>
      </w:r>
    </w:p>
    <w:p w14:paraId="5AC2D47B" w14:textId="71751AED" w:rsidR="00781B28" w:rsidRDefault="00781B28" w:rsidP="00781B28">
      <w:pPr>
        <w:pStyle w:val="FigureDescription"/>
      </w:pPr>
      <w:r>
        <w:t>Study 214367 (COMET-ICE trial) comprised of two phases, a lead</w:t>
      </w:r>
      <w:r w:rsidR="00E13832">
        <w:t xml:space="preserve"> </w:t>
      </w:r>
      <w:r>
        <w:t xml:space="preserve">in phase, and an expansion phase. </w:t>
      </w:r>
    </w:p>
    <w:p w14:paraId="61AD0B33" w14:textId="1C5768F7" w:rsidR="00781B28" w:rsidRDefault="00781B28" w:rsidP="00781B28">
      <w:pPr>
        <w:pStyle w:val="FigureDescription"/>
      </w:pPr>
      <w:r>
        <w:t>The lead</w:t>
      </w:r>
      <w:r w:rsidR="00E13832">
        <w:t xml:space="preserve"> </w:t>
      </w:r>
      <w:r>
        <w:t>in phase, was to recruit and randomise 20 subjects to receive either VIR-7831 (sotrovimab) or placebo) in a 1:1 ratio; that is, 10 subjects in each treatment group. All subjects underwent at 24 week follow</w:t>
      </w:r>
      <w:r w:rsidR="00E13832">
        <w:t xml:space="preserve"> </w:t>
      </w:r>
      <w:r>
        <w:t>up. At Day 15 post initiation of treatment (VIR-7831 (sotrovimab) or placebo), the independent data monitoring committee undertook a safety review of all 20 subjects, to decide on the suitability to initiate an expansion phase.</w:t>
      </w:r>
    </w:p>
    <w:p w14:paraId="732F15E5" w14:textId="3F3827FD" w:rsidR="00781B28" w:rsidRDefault="00781B28" w:rsidP="00781B28">
      <w:pPr>
        <w:pStyle w:val="FigureDescription"/>
      </w:pPr>
      <w:r>
        <w:t>The expansion phase, involved the recruitment of 1340 subjects, randomised in a 1:1 ratio to receive either VIR-7831 (sotrovimab) or placebo; that is 670 subjects per treatment arm. All enrolled subjects received a 24 week follow up. The primary endpoint was at Day 29, and was at based on safety, futility and efficacy with 1. around 41% enrolment and 2. around 64% enrolment.</w:t>
      </w:r>
    </w:p>
    <w:p w14:paraId="7031DF31" w14:textId="77777777" w:rsidR="002F06AE" w:rsidRDefault="002F06AE" w:rsidP="002F06AE">
      <w:pPr>
        <w:rPr>
          <w:b/>
          <w:bCs/>
        </w:rPr>
      </w:pPr>
      <w:r>
        <w:rPr>
          <w:lang w:eastAsia="ja-JP"/>
        </w:rPr>
        <w:t>The study design was in line with FDA guidance.</w:t>
      </w:r>
      <w:bookmarkStart w:id="46" w:name="_Ref80057053"/>
      <w:r>
        <w:rPr>
          <w:vertAlign w:val="superscript"/>
          <w:lang w:eastAsia="ja-JP"/>
        </w:rPr>
        <w:footnoteReference w:id="24"/>
      </w:r>
      <w:bookmarkEnd w:id="46"/>
    </w:p>
    <w:p w14:paraId="444C43C6" w14:textId="6F5E5F64" w:rsidR="002F06AE" w:rsidRDefault="00781B28" w:rsidP="00781B28">
      <w:pPr>
        <w:pStyle w:val="Heading6"/>
      </w:pPr>
      <w:r>
        <w:t>Primary e</w:t>
      </w:r>
      <w:r w:rsidR="002F06AE">
        <w:t>ndpoint</w:t>
      </w:r>
    </w:p>
    <w:p w14:paraId="3CD0EF34" w14:textId="3D69496B" w:rsidR="002F06AE" w:rsidRDefault="002F06AE" w:rsidP="002F06AE">
      <w:pPr>
        <w:rPr>
          <w:bCs/>
        </w:rPr>
      </w:pPr>
      <w:r>
        <w:rPr>
          <w:bCs/>
        </w:rPr>
        <w:t>The protocol defined primary efficacy endpoint was the proportion of participants who had progression of COVID-19 through Day 29 as defined by hospitalisation &gt;</w:t>
      </w:r>
      <w:r w:rsidR="00A23887">
        <w:rPr>
          <w:bCs/>
        </w:rPr>
        <w:t xml:space="preserve"> </w:t>
      </w:r>
      <w:r>
        <w:rPr>
          <w:bCs/>
        </w:rPr>
        <w:t>24 hours for acute management of illness (</w:t>
      </w:r>
      <w:r w:rsidR="00D72863">
        <w:rPr>
          <w:bCs/>
        </w:rPr>
        <w:t>that is,</w:t>
      </w:r>
      <w:r>
        <w:rPr>
          <w:bCs/>
        </w:rPr>
        <w:t xml:space="preserve"> excludes hospitalisation for observation only, hospitalisation for elective surgeries and procedures, </w:t>
      </w:r>
      <w:r w:rsidR="00D72863">
        <w:rPr>
          <w:bCs/>
        </w:rPr>
        <w:t>and so on)</w:t>
      </w:r>
      <w:r>
        <w:rPr>
          <w:bCs/>
        </w:rPr>
        <w:t xml:space="preserve"> or death due to any cause.</w:t>
      </w:r>
      <w:r>
        <w:t xml:space="preserve"> </w:t>
      </w:r>
      <w:r w:rsidR="00D72863">
        <w:rPr>
          <w:bCs/>
        </w:rPr>
        <w:t>Participants in the l</w:t>
      </w:r>
      <w:r>
        <w:rPr>
          <w:bCs/>
        </w:rPr>
        <w:t>ead</w:t>
      </w:r>
      <w:r w:rsidR="00E13832">
        <w:rPr>
          <w:bCs/>
        </w:rPr>
        <w:t xml:space="preserve"> </w:t>
      </w:r>
      <w:r>
        <w:rPr>
          <w:bCs/>
        </w:rPr>
        <w:t>in phase were included in the analysis of efficacy as defined in the protocol. The sample size determinatio</w:t>
      </w:r>
      <w:r w:rsidR="00D72863">
        <w:rPr>
          <w:bCs/>
        </w:rPr>
        <w:t>n included those from both the lead</w:t>
      </w:r>
      <w:r w:rsidR="00E13832">
        <w:rPr>
          <w:bCs/>
        </w:rPr>
        <w:t xml:space="preserve"> </w:t>
      </w:r>
      <w:r w:rsidR="00D72863">
        <w:rPr>
          <w:bCs/>
        </w:rPr>
        <w:t>in and e</w:t>
      </w:r>
      <w:r>
        <w:rPr>
          <w:bCs/>
        </w:rPr>
        <w:t>xpansion phases accordingly.</w:t>
      </w:r>
      <w:r>
        <w:t xml:space="preserve"> </w:t>
      </w:r>
      <w:r>
        <w:rPr>
          <w:bCs/>
        </w:rPr>
        <w:t>Approximately 1360 (680 per arm) participants were to be randomly assigned to study intervention</w:t>
      </w:r>
      <w:r w:rsidR="00D72863">
        <w:rPr>
          <w:bCs/>
        </w:rPr>
        <w:t>.</w:t>
      </w:r>
    </w:p>
    <w:p w14:paraId="3675636D" w14:textId="1F05AEEC" w:rsidR="002F06AE" w:rsidRDefault="00D72863" w:rsidP="00D72863">
      <w:pPr>
        <w:pStyle w:val="Heading6"/>
      </w:pPr>
      <w:r>
        <w:t>Secondary e</w:t>
      </w:r>
      <w:r w:rsidR="002F06AE">
        <w:t>ndpoints</w:t>
      </w:r>
    </w:p>
    <w:p w14:paraId="13093A62" w14:textId="6351838E" w:rsidR="00D72863" w:rsidRDefault="002F06AE" w:rsidP="002F06AE">
      <w:pPr>
        <w:rPr>
          <w:bCs/>
        </w:rPr>
      </w:pPr>
      <w:r>
        <w:rPr>
          <w:bCs/>
        </w:rPr>
        <w:t>Secondary endpoints were formally analysed only at the Day 29 analysis and were tested with alpha level of 5% (</w:t>
      </w:r>
      <w:r w:rsidR="004A6478">
        <w:rPr>
          <w:bCs/>
        </w:rPr>
        <w:t>two</w:t>
      </w:r>
      <w:r w:rsidR="003A004A">
        <w:rPr>
          <w:bCs/>
        </w:rPr>
        <w:t xml:space="preserve"> </w:t>
      </w:r>
      <w:r>
        <w:rPr>
          <w:bCs/>
        </w:rPr>
        <w:t>sided). The testing of secondary endpoints was adjusted for multiplicity b</w:t>
      </w:r>
      <w:r w:rsidR="00D72863">
        <w:rPr>
          <w:bCs/>
        </w:rPr>
        <w:t xml:space="preserve">y using the hierarchy shown in </w:t>
      </w:r>
      <w:r w:rsidR="003A004A">
        <w:rPr>
          <w:bCs/>
        </w:rPr>
        <w:fldChar w:fldCharType="begin"/>
      </w:r>
      <w:r w:rsidR="003A004A">
        <w:rPr>
          <w:bCs/>
        </w:rPr>
        <w:instrText xml:space="preserve"> REF _Ref79550465 \h </w:instrText>
      </w:r>
      <w:r w:rsidR="003A004A">
        <w:rPr>
          <w:bCs/>
        </w:rPr>
      </w:r>
      <w:r w:rsidR="003A004A">
        <w:rPr>
          <w:bCs/>
        </w:rPr>
        <w:fldChar w:fldCharType="separate"/>
      </w:r>
      <w:r w:rsidR="00F601F5">
        <w:t xml:space="preserve">Figure </w:t>
      </w:r>
      <w:r w:rsidR="00F601F5">
        <w:rPr>
          <w:noProof/>
        </w:rPr>
        <w:t>3</w:t>
      </w:r>
      <w:r w:rsidR="00F601F5">
        <w:t xml:space="preserve">: Study 214367 (COMET-ICE trial) </w:t>
      </w:r>
      <w:r w:rsidR="00F601F5">
        <w:rPr>
          <w:bCs/>
        </w:rPr>
        <w:t>Secondary endpoints testing hierarchy</w:t>
      </w:r>
      <w:r w:rsidR="003A004A">
        <w:rPr>
          <w:bCs/>
        </w:rPr>
        <w:fldChar w:fldCharType="end"/>
      </w:r>
      <w:r w:rsidR="003A004A">
        <w:rPr>
          <w:bCs/>
        </w:rPr>
        <w:t xml:space="preserve"> </w:t>
      </w:r>
      <w:r>
        <w:rPr>
          <w:bCs/>
        </w:rPr>
        <w:t>below. As such, the full alpha was transferred down between each endpoint/hypothesis. All secondary endpoints in the testing hierarchy are presented along with the nominal p value of the analysis and an overall summary of progress through each stage of the testing hierarchy was provided for inferential purposes.</w:t>
      </w:r>
      <w:r w:rsidR="004602F7">
        <w:rPr>
          <w:bCs/>
        </w:rPr>
        <w:t xml:space="preserve"> </w:t>
      </w:r>
    </w:p>
    <w:p w14:paraId="574066CD" w14:textId="43B10499" w:rsidR="00D72863" w:rsidRDefault="00D72863" w:rsidP="00D72863">
      <w:pPr>
        <w:pStyle w:val="FigureTitle"/>
      </w:pPr>
      <w:bookmarkStart w:id="47" w:name="_Ref79550465"/>
      <w:r>
        <w:t xml:space="preserve">Figure </w:t>
      </w:r>
      <w:r>
        <w:fldChar w:fldCharType="begin"/>
      </w:r>
      <w:r>
        <w:instrText>SEQ Figure \* ARABIC</w:instrText>
      </w:r>
      <w:r>
        <w:fldChar w:fldCharType="separate"/>
      </w:r>
      <w:r w:rsidR="00F601F5">
        <w:rPr>
          <w:noProof/>
        </w:rPr>
        <w:t>3</w:t>
      </w:r>
      <w:r>
        <w:fldChar w:fldCharType="end"/>
      </w:r>
      <w:r>
        <w:t xml:space="preserve">: Study 214367 (COMET-ICE trial) </w:t>
      </w:r>
      <w:r>
        <w:rPr>
          <w:bCs/>
        </w:rPr>
        <w:t>Secondary endpoints testing hierarchy</w:t>
      </w:r>
      <w:bookmarkEnd w:id="47"/>
    </w:p>
    <w:p w14:paraId="215AC34E" w14:textId="3DF01E71" w:rsidR="002F06AE" w:rsidRDefault="002F06AE" w:rsidP="002F06AE">
      <w:pPr>
        <w:rPr>
          <w:bCs/>
        </w:rPr>
      </w:pPr>
      <w:r>
        <w:rPr>
          <w:noProof/>
          <w:lang w:val="en-GB" w:eastAsia="en-GB"/>
        </w:rPr>
        <w:drawing>
          <wp:inline distT="0" distB="0" distL="0" distR="0" wp14:anchorId="6D4F11E3" wp14:editId="78F4B4F3">
            <wp:extent cx="3413218" cy="3350525"/>
            <wp:effectExtent l="0" t="0" r="0" b="2540"/>
            <wp:docPr id="16" name="Picture 16" descr="qRT-PCR = quantitative reverse transcription polymerase chain reaction; FLU-PRO = inFLUenza patient reported outcome questionnaire; AUC = area under the concentration versus time curve.&#10;To progress through the hierarchy of secondary endpoints, a P-value of ≤ 0.05 was necessary. The hierarchy of secondary endpoints was as follows:&#10;1. Proportion of participants who have progression of COVID-19 as defined by visit to hospital emergency room for management of illness, hospitalisation for acute management of illness or death at Day 29.&#10;2. Change from Baseline in viral load in nasal secretions by qRT-PCR at Day 8.&#10;3. Proportion of participants who progress to develop severe and/or critical respiratory COVID 19 as manifested by the requirement for and method of supplemental oxygen at Day 29.&#10;4. Mean change in Flu-Pro Plus total score (AUC through Day 7.&#10;5. 29-day all-cause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985" cy="3357168"/>
                    </a:xfrm>
                    <a:prstGeom prst="rect">
                      <a:avLst/>
                    </a:prstGeom>
                    <a:noFill/>
                    <a:ln>
                      <a:noFill/>
                    </a:ln>
                  </pic:spPr>
                </pic:pic>
              </a:graphicData>
            </a:graphic>
          </wp:inline>
        </w:drawing>
      </w:r>
    </w:p>
    <w:p w14:paraId="3FCC9BEF" w14:textId="0A0AA356" w:rsidR="002F6371" w:rsidRDefault="002F6371" w:rsidP="002F6371">
      <w:pPr>
        <w:pStyle w:val="FigureDescription"/>
      </w:pPr>
      <w:r>
        <w:t>qRT-PCR = q</w:t>
      </w:r>
      <w:r w:rsidRPr="002F6371">
        <w:t>uantitative reverse transcription</w:t>
      </w:r>
      <w:r>
        <w:t xml:space="preserve"> polymerase chain reaction; FLU-PRO = inFLUenza patient reported outcome questionnaire; AUC = area under the concentration versus time curve.</w:t>
      </w:r>
    </w:p>
    <w:p w14:paraId="5528C46D" w14:textId="1CF0BC7B" w:rsidR="002F6371" w:rsidRDefault="002F6371" w:rsidP="002F6371">
      <w:pPr>
        <w:pStyle w:val="FigureDescription"/>
      </w:pPr>
      <w:r>
        <w:t>T</w:t>
      </w:r>
      <w:r w:rsidR="00CA6F23">
        <w:t>o progress through t</w:t>
      </w:r>
      <w:r>
        <w:t xml:space="preserve">he hierarchy </w:t>
      </w:r>
      <w:r w:rsidR="00CA6F23">
        <w:t>of secondary endpoints, a P-value of ≤ 0.05 was necessary. The hierarchy of secondary endpoints was as follows:</w:t>
      </w:r>
    </w:p>
    <w:p w14:paraId="01B92B91" w14:textId="42DC7D8A" w:rsidR="00B02098" w:rsidRPr="002F6371" w:rsidRDefault="002F6371" w:rsidP="002F6371">
      <w:pPr>
        <w:pStyle w:val="FigureDescription"/>
      </w:pPr>
      <w:r>
        <w:t>1. </w:t>
      </w:r>
      <w:r w:rsidR="00B02098" w:rsidRPr="002F6371">
        <w:t>Proportion of par</w:t>
      </w:r>
      <w:r>
        <w:t>t</w:t>
      </w:r>
      <w:r w:rsidR="00B02098" w:rsidRPr="002F6371">
        <w:t>i</w:t>
      </w:r>
      <w:r>
        <w:t>ci</w:t>
      </w:r>
      <w:r w:rsidR="00B02098" w:rsidRPr="002F6371">
        <w:t>pants who have progression of COVID-19 as defined by visit to hospital emergency room for management of illness, hospitalisation for acute management of illness or death at Day 29</w:t>
      </w:r>
      <w:r w:rsidR="00012B2A" w:rsidRPr="002F6371">
        <w:t>.</w:t>
      </w:r>
    </w:p>
    <w:p w14:paraId="4CC6DFE5" w14:textId="4CA6DCF8" w:rsidR="00012B2A" w:rsidRPr="002F6371" w:rsidRDefault="002F6371" w:rsidP="002F6371">
      <w:pPr>
        <w:pStyle w:val="FigureDescription"/>
      </w:pPr>
      <w:r>
        <w:t>2. </w:t>
      </w:r>
      <w:r w:rsidR="00012B2A" w:rsidRPr="002F6371">
        <w:t>Change from Baseline in viral load in nasal secretions by qRT-PCR at Day 8.</w:t>
      </w:r>
    </w:p>
    <w:p w14:paraId="3D9FD38E" w14:textId="6ADB6CF0" w:rsidR="00012B2A" w:rsidRPr="002F6371" w:rsidRDefault="002F6371" w:rsidP="002F6371">
      <w:pPr>
        <w:pStyle w:val="FigureDescription"/>
      </w:pPr>
      <w:r>
        <w:t>3. </w:t>
      </w:r>
      <w:r w:rsidR="00012B2A" w:rsidRPr="002F6371">
        <w:t>Proportion of participants who progress to develop severe and/or critical respiratory COVID</w:t>
      </w:r>
      <w:r w:rsidR="00012B2A" w:rsidRPr="002F6371">
        <w:noBreakHyphen/>
        <w:t>19 as manifested by the requirement for and method of supplemental oxygen at Day 29.</w:t>
      </w:r>
    </w:p>
    <w:p w14:paraId="37690FF4" w14:textId="74171F3A" w:rsidR="00012B2A" w:rsidRDefault="002F6371" w:rsidP="002F6371">
      <w:pPr>
        <w:pStyle w:val="FigureDescription"/>
      </w:pPr>
      <w:r>
        <w:t>4. </w:t>
      </w:r>
      <w:r w:rsidR="00012B2A">
        <w:t>Mean change in Flu-Pro Plus total score (AUC through Day 7.</w:t>
      </w:r>
    </w:p>
    <w:p w14:paraId="3E71CFEC" w14:textId="24019B8E" w:rsidR="00012B2A" w:rsidRDefault="002F6371" w:rsidP="002F6371">
      <w:pPr>
        <w:pStyle w:val="FigureDescription"/>
      </w:pPr>
      <w:r>
        <w:t>5. </w:t>
      </w:r>
      <w:r w:rsidR="00012B2A">
        <w:t>29-day all-cause mortality</w:t>
      </w:r>
    </w:p>
    <w:p w14:paraId="43E24D7B" w14:textId="31DDD6D7" w:rsidR="002F06AE" w:rsidRDefault="00F63BDF" w:rsidP="00D72863">
      <w:pPr>
        <w:pStyle w:val="Heading6"/>
      </w:pPr>
      <w:r>
        <w:t>Key inclusion c</w:t>
      </w:r>
      <w:r w:rsidR="002F06AE">
        <w:t>riteria</w:t>
      </w:r>
    </w:p>
    <w:p w14:paraId="2687BB31" w14:textId="0E1DC8F2" w:rsidR="00F63BDF" w:rsidRPr="00F63BDF" w:rsidRDefault="00F63BDF" w:rsidP="00F63BDF">
      <w:r>
        <w:t>Key inclusion criteria were:</w:t>
      </w:r>
    </w:p>
    <w:p w14:paraId="5BC33FA6" w14:textId="3815C501" w:rsidR="002F06AE" w:rsidRDefault="002F06AE" w:rsidP="00D72863">
      <w:r>
        <w:t xml:space="preserve">Participant aged 18 years or older </w:t>
      </w:r>
      <w:r w:rsidR="00D72863" w:rsidRPr="00D72863">
        <w:rPr>
          <w:i/>
        </w:rPr>
        <w:t>and</w:t>
      </w:r>
      <w:r>
        <w:t xml:space="preserve"> at high risk of progression of COVID-19 based on presence of one or more of the following risk factors: diabetes (requiring medication), obesity (</w:t>
      </w:r>
      <w:r w:rsidR="00D72863">
        <w:t xml:space="preserve">body mass index </w:t>
      </w:r>
      <w:r>
        <w:t>&gt;</w:t>
      </w:r>
      <w:r w:rsidR="00D72863">
        <w:t xml:space="preserve"> 30 kg/m</w:t>
      </w:r>
      <w:r w:rsidR="00D72863">
        <w:rPr>
          <w:vertAlign w:val="superscript"/>
        </w:rPr>
        <w:t>2</w:t>
      </w:r>
      <w:r w:rsidR="00D72863">
        <w:t xml:space="preserve"> (original protocol)</w:t>
      </w:r>
      <w:r>
        <w:t>;</w:t>
      </w:r>
      <w:r w:rsidR="00D72863">
        <w:t xml:space="preserve"> or</w:t>
      </w:r>
      <w:r>
        <w:t xml:space="preserve"> &gt;</w:t>
      </w:r>
      <w:r w:rsidR="00D72863">
        <w:t xml:space="preserve"> </w:t>
      </w:r>
      <w:r>
        <w:t>35 kg/m</w:t>
      </w:r>
      <w:r w:rsidR="00D72863">
        <w:rPr>
          <w:vertAlign w:val="superscript"/>
        </w:rPr>
        <w:t>2</w:t>
      </w:r>
      <w:r w:rsidR="00D72863">
        <w:t xml:space="preserve"> (as according to Amendment 1), chronic kidney disease (that is, an estimated glomerular filtration rate</w:t>
      </w:r>
      <w:r>
        <w:t xml:space="preserve"> </w:t>
      </w:r>
      <w:r w:rsidR="00D72863">
        <w:t>(</w:t>
      </w:r>
      <w:r>
        <w:t>eGFR</w:t>
      </w:r>
      <w:r w:rsidR="00D72863">
        <w:t>) of</w:t>
      </w:r>
      <w:r>
        <w:t xml:space="preserve"> &lt;</w:t>
      </w:r>
      <w:r w:rsidR="00D72863">
        <w:t xml:space="preserve"> </w:t>
      </w:r>
      <w:r>
        <w:t xml:space="preserve">60 by </w:t>
      </w:r>
      <w:r w:rsidR="00D72863" w:rsidRPr="00D72863">
        <w:t>Modification of Diet in Renal Disease</w:t>
      </w:r>
      <w:r w:rsidR="00D72863">
        <w:t xml:space="preserve"> study criteria</w:t>
      </w:r>
      <w:r>
        <w:t>), congestive heart failure (</w:t>
      </w:r>
      <w:r w:rsidRPr="00CA6F23">
        <w:t>NYHA class II</w:t>
      </w:r>
      <w:r w:rsidR="008D7325">
        <w:t xml:space="preserve"> or more);</w:t>
      </w:r>
      <w:bookmarkStart w:id="48" w:name="_Ref80057483"/>
      <w:r w:rsidR="008D7325">
        <w:rPr>
          <w:rStyle w:val="FootnoteReference"/>
        </w:rPr>
        <w:footnoteReference w:id="25"/>
      </w:r>
      <w:bookmarkEnd w:id="48"/>
      <w:r>
        <w:t xml:space="preserve"> chronic obstructive pulmonary disease (history of chronic bronchitis, chronic obstructive lung disease, or emphysema with dyspnoea on physical exertion), and moderate</w:t>
      </w:r>
      <w:r w:rsidR="00E13832">
        <w:t xml:space="preserve"> </w:t>
      </w:r>
      <w:r>
        <w:t>to</w:t>
      </w:r>
      <w:r w:rsidR="00E13832">
        <w:t xml:space="preserve"> </w:t>
      </w:r>
      <w:r>
        <w:t>severe asthma (participant requires an inhaled steroid to control symptoms or has been prescribed a course of oral steroids in the past year)</w:t>
      </w:r>
    </w:p>
    <w:p w14:paraId="459C95D1" w14:textId="17B303A2" w:rsidR="002F06AE" w:rsidRPr="008D7325" w:rsidRDefault="008D7325" w:rsidP="008D7325">
      <w:pPr>
        <w:rPr>
          <w:i/>
        </w:rPr>
      </w:pPr>
      <w:r w:rsidRPr="008D7325">
        <w:rPr>
          <w:i/>
        </w:rPr>
        <w:t>Or:</w:t>
      </w:r>
    </w:p>
    <w:p w14:paraId="2588C864" w14:textId="3138D020" w:rsidR="008D7325" w:rsidRDefault="002F06AE" w:rsidP="008D7325">
      <w:pPr>
        <w:pStyle w:val="ListBullet"/>
      </w:pPr>
      <w:r>
        <w:t>Participant ≥</w:t>
      </w:r>
      <w:r w:rsidR="008D7325">
        <w:t xml:space="preserve"> </w:t>
      </w:r>
      <w:r>
        <w:t>55 years old, ir</w:t>
      </w:r>
      <w:r w:rsidR="008D7325">
        <w:t>respective of co-morbidities. (note: e</w:t>
      </w:r>
      <w:r>
        <w:t>nrolment was targeted to approximately 15% of participants to be &gt;</w:t>
      </w:r>
      <w:r w:rsidR="008D7325">
        <w:t xml:space="preserve"> </w:t>
      </w:r>
      <w:r>
        <w:t>70 years old)</w:t>
      </w:r>
    </w:p>
    <w:p w14:paraId="4D9BE9CF" w14:textId="6A8C5155" w:rsidR="00F63BDF" w:rsidRPr="00F63BDF" w:rsidRDefault="002F06AE" w:rsidP="00F63BDF">
      <w:pPr>
        <w:pStyle w:val="ListBullet"/>
      </w:pPr>
      <w:r>
        <w:t xml:space="preserve">Participants who had a positive SARS-CoV-2 test result (by any </w:t>
      </w:r>
      <w:r w:rsidR="00F63BDF">
        <w:t xml:space="preserve">validated diagnostic test, for example, via </w:t>
      </w:r>
      <w:r w:rsidR="004602F7">
        <w:t xml:space="preserve">quantitative </w:t>
      </w:r>
      <w:r w:rsidR="00F63BDF">
        <w:t>r</w:t>
      </w:r>
      <w:r w:rsidR="00F63BDF" w:rsidRPr="00F63BDF">
        <w:t>everse transcription polymerase chain reaction</w:t>
      </w:r>
      <w:r>
        <w:t>, antigen-based testing on any specimen type)</w:t>
      </w:r>
      <w:r w:rsidR="00F63BDF">
        <w:t xml:space="preserve">; </w:t>
      </w:r>
      <w:r w:rsidR="00F63BDF" w:rsidRPr="00641188">
        <w:rPr>
          <w:iCs/>
        </w:rPr>
        <w:t>and</w:t>
      </w:r>
    </w:p>
    <w:p w14:paraId="0E87B9A5" w14:textId="77777777" w:rsidR="00F63BDF" w:rsidRDefault="00F63BDF" w:rsidP="00F63BDF">
      <w:pPr>
        <w:pStyle w:val="ListBullet"/>
      </w:pPr>
      <w:r>
        <w:t>o</w:t>
      </w:r>
      <w:r w:rsidR="002F06AE">
        <w:t>xygen saturation ≥</w:t>
      </w:r>
      <w:r>
        <w:t> </w:t>
      </w:r>
      <w:r w:rsidR="002F06AE">
        <w:t>94% on room air</w:t>
      </w:r>
      <w:r>
        <w:t xml:space="preserve">; </w:t>
      </w:r>
      <w:r w:rsidRPr="00641188">
        <w:rPr>
          <w:iCs/>
        </w:rPr>
        <w:t>and</w:t>
      </w:r>
    </w:p>
    <w:p w14:paraId="774E0AD5" w14:textId="77777777" w:rsidR="00F63BDF" w:rsidRDefault="00F63BDF" w:rsidP="00F63BDF">
      <w:pPr>
        <w:pStyle w:val="ListBullet"/>
      </w:pPr>
      <w:r>
        <w:t>h</w:t>
      </w:r>
      <w:r w:rsidR="002F06AE">
        <w:t>ave COVID-19 defined by one or more of the following symptoms: fever, chills, cough, sore throat, malaise, headache, joint or muscle pain, change in smell or taste, vomiting, diarrhoea, shortness of breath on exertion</w:t>
      </w:r>
      <w:r>
        <w:t xml:space="preserve">; </w:t>
      </w:r>
      <w:r w:rsidRPr="00641188">
        <w:rPr>
          <w:iCs/>
        </w:rPr>
        <w:t>and</w:t>
      </w:r>
    </w:p>
    <w:p w14:paraId="3B18832A" w14:textId="3221AA79" w:rsidR="002F06AE" w:rsidRDefault="00F63BDF" w:rsidP="00F63BDF">
      <w:pPr>
        <w:pStyle w:val="ListBullet"/>
      </w:pPr>
      <w:r>
        <w:t>l</w:t>
      </w:r>
      <w:r w:rsidR="002F06AE">
        <w:t>ess than or equal to 5 days from onset of symptoms</w:t>
      </w:r>
    </w:p>
    <w:p w14:paraId="366CAF6F" w14:textId="10E9A5AF" w:rsidR="002F06AE" w:rsidRDefault="00F63BDF" w:rsidP="00F63BDF">
      <w:pPr>
        <w:pStyle w:val="Heading6"/>
      </w:pPr>
      <w:r>
        <w:t>Key exclusion criteria</w:t>
      </w:r>
    </w:p>
    <w:p w14:paraId="6E85F1D4" w14:textId="601EA8EC" w:rsidR="00F63BDF" w:rsidRPr="00F63BDF" w:rsidRDefault="00F63BDF" w:rsidP="00F63BDF">
      <w:r>
        <w:t>Key exclusion criteria were:</w:t>
      </w:r>
    </w:p>
    <w:p w14:paraId="0E5F36C2" w14:textId="53A2665D" w:rsidR="00F63BDF" w:rsidRPr="00F63BDF" w:rsidRDefault="00F63BDF" w:rsidP="00F63BDF">
      <w:pPr>
        <w:pStyle w:val="ListBullet"/>
        <w:rPr>
          <w:b/>
          <w:bCs/>
        </w:rPr>
      </w:pPr>
      <w:r>
        <w:t>c</w:t>
      </w:r>
      <w:r w:rsidR="002F06AE">
        <w:t>urrently hospitalised or judged by the investigator as likely to require hospitalisation in the next 24 hours</w:t>
      </w:r>
      <w:r>
        <w:t>;</w:t>
      </w:r>
    </w:p>
    <w:p w14:paraId="6B50EFA7" w14:textId="01C96C24" w:rsidR="00F63BDF" w:rsidRPr="00F63BDF" w:rsidRDefault="00F63BDF" w:rsidP="00F63BDF">
      <w:pPr>
        <w:pStyle w:val="ListBullet"/>
        <w:rPr>
          <w:b/>
          <w:bCs/>
        </w:rPr>
      </w:pPr>
      <w:r>
        <w:t>s</w:t>
      </w:r>
      <w:r w:rsidR="002F06AE">
        <w:t>ymptoms consistent with severe COVID-19 as defined by shortness of breath at rest or respiratory distress or requiring supplemental oxygen</w:t>
      </w:r>
      <w:r>
        <w:t>;</w:t>
      </w:r>
    </w:p>
    <w:p w14:paraId="565B6841" w14:textId="77777777" w:rsidR="00F63BDF" w:rsidRDefault="00F63BDF" w:rsidP="00F63BDF">
      <w:pPr>
        <w:pStyle w:val="ListBullet"/>
        <w:numPr>
          <w:ilvl w:val="0"/>
          <w:numId w:val="0"/>
        </w:numPr>
        <w:ind w:left="360"/>
      </w:pPr>
      <w:r>
        <w:t>p</w:t>
      </w:r>
      <w:r w:rsidR="002F06AE">
        <w:t xml:space="preserve">articipants who, in the judgement of the investigator, </w:t>
      </w:r>
      <w:r>
        <w:t>are likely to die in the next 7 </w:t>
      </w:r>
      <w:r w:rsidR="002F06AE">
        <w:t>days</w:t>
      </w:r>
      <w:r>
        <w:t>;</w:t>
      </w:r>
    </w:p>
    <w:p w14:paraId="12CD0615" w14:textId="17C11310" w:rsidR="00F63BDF" w:rsidRPr="00F63BDF" w:rsidRDefault="00F63BDF" w:rsidP="00F63BDF">
      <w:pPr>
        <w:pStyle w:val="ListBullet"/>
        <w:rPr>
          <w:b/>
          <w:bCs/>
        </w:rPr>
      </w:pPr>
      <w:r>
        <w:t>s</w:t>
      </w:r>
      <w:r w:rsidR="002F06AE">
        <w:t>everely immunocompromised participants, including but not limited to cancer patients actively receiving immunosuppressive chemotherapy or immunotherapy, those with a solid organ transplant or allogeneic stem ce</w:t>
      </w:r>
      <w:r>
        <w:t>ll transplant within the last 3 </w:t>
      </w:r>
      <w:r w:rsidR="002F06AE">
        <w:t>months, or those having conditions requiring the use of systemic corticosteroids equivalent to ≥</w:t>
      </w:r>
      <w:r>
        <w:t> </w:t>
      </w:r>
      <w:r w:rsidR="002F06AE">
        <w:t>0.5 mg/kg of body weight per day of prednisone within 6 weeks of randomisation</w:t>
      </w:r>
      <w:r>
        <w:t>;</w:t>
      </w:r>
    </w:p>
    <w:p w14:paraId="7EB7C940" w14:textId="77777777" w:rsidR="00F63BDF" w:rsidRPr="00F63BDF" w:rsidRDefault="00F63BDF" w:rsidP="00F63BDF">
      <w:pPr>
        <w:pStyle w:val="ListBullet"/>
        <w:rPr>
          <w:b/>
          <w:bCs/>
        </w:rPr>
      </w:pPr>
      <w:r>
        <w:t>p</w:t>
      </w:r>
      <w:r w:rsidR="002F06AE">
        <w:t xml:space="preserve">revious anaphylaxis or hypersensitivity to a </w:t>
      </w:r>
      <w:r>
        <w:t>monoclonal antibody;</w:t>
      </w:r>
    </w:p>
    <w:p w14:paraId="66E94731" w14:textId="77777777" w:rsidR="00F63BDF" w:rsidRPr="00F63BDF" w:rsidRDefault="00F63BDF" w:rsidP="00F63BDF">
      <w:pPr>
        <w:pStyle w:val="ListBullet"/>
        <w:rPr>
          <w:b/>
          <w:bCs/>
        </w:rPr>
      </w:pPr>
      <w:r>
        <w:t>e</w:t>
      </w:r>
      <w:r w:rsidR="002F06AE">
        <w:t>nrolment in any investigational vaccine study within the last 180 days or any other investigational drug study within 30 days prior to Day 1 or within 5 half-lives of the investigational</w:t>
      </w:r>
      <w:r>
        <w:t xml:space="preserve"> compound, whichever is longer;</w:t>
      </w:r>
    </w:p>
    <w:p w14:paraId="0966B199" w14:textId="77777777" w:rsidR="00F63BDF" w:rsidRPr="00F63BDF" w:rsidRDefault="00F63BDF" w:rsidP="00F63BDF">
      <w:pPr>
        <w:pStyle w:val="ListBullet"/>
        <w:rPr>
          <w:b/>
          <w:bCs/>
        </w:rPr>
      </w:pPr>
      <w:r>
        <w:t>e</w:t>
      </w:r>
      <w:r w:rsidR="002F06AE">
        <w:t>nrolment in any trial of an investigational vaccine for SARS-CoV-2</w:t>
      </w:r>
      <w:r>
        <w:t>;</w:t>
      </w:r>
    </w:p>
    <w:p w14:paraId="3AB18238" w14:textId="77777777" w:rsidR="00F63BDF" w:rsidRPr="00F63BDF" w:rsidRDefault="00F63BDF" w:rsidP="00F63BDF">
      <w:pPr>
        <w:pStyle w:val="ListBullet"/>
        <w:rPr>
          <w:b/>
          <w:bCs/>
        </w:rPr>
      </w:pPr>
      <w:r>
        <w:t>r</w:t>
      </w:r>
      <w:r w:rsidR="002F06AE">
        <w:t>eceipt of any vaccine within 48 hours prior to enrolment. Receipt of a SARs-CoV-2 vaccine prior to randomisation at any time point. Vaccination (including vaccination for SARS-CoV-2) will not be allowed for 4 weeks after dosing</w:t>
      </w:r>
      <w:r>
        <w:t>; or</w:t>
      </w:r>
    </w:p>
    <w:p w14:paraId="3046048F" w14:textId="0F5E413D" w:rsidR="002F06AE" w:rsidRPr="00F63BDF" w:rsidRDefault="00F63BDF" w:rsidP="00F63BDF">
      <w:pPr>
        <w:pStyle w:val="ListBullet"/>
        <w:rPr>
          <w:b/>
          <w:bCs/>
        </w:rPr>
      </w:pPr>
      <w:r>
        <w:t>r</w:t>
      </w:r>
      <w:r w:rsidR="002F06AE">
        <w:t>eceipt of convalescent plasma from a recovered COVID-19 patient or anti-SARS</w:t>
      </w:r>
      <w:r>
        <w:noBreakHyphen/>
      </w:r>
      <w:r w:rsidR="002F06AE">
        <w:t xml:space="preserve">CoV-2 </w:t>
      </w:r>
      <w:r>
        <w:t>monoclonal antibody</w:t>
      </w:r>
      <w:r w:rsidR="002F06AE">
        <w:t xml:space="preserve"> within the last 3 months.</w:t>
      </w:r>
    </w:p>
    <w:p w14:paraId="0929AD41" w14:textId="64B8125F" w:rsidR="002F06AE" w:rsidRDefault="002F06AE" w:rsidP="00F63BDF">
      <w:pPr>
        <w:pStyle w:val="Heading6"/>
      </w:pPr>
      <w:r>
        <w:t xml:space="preserve">Statistical </w:t>
      </w:r>
      <w:r w:rsidR="00F63BDF">
        <w:t>analysis plan</w:t>
      </w:r>
    </w:p>
    <w:p w14:paraId="1EE85F25" w14:textId="77777777" w:rsidR="002F06AE" w:rsidRDefault="002F06AE" w:rsidP="002F06AE">
      <w:r>
        <w:t>The primary endpoint is proportion of participants who had progression of COVID-19 as defined by hospitalisation &gt; 24 hours or death through Day 29. It was selected prior to protocol finalisation and the first subject first visit and remained the same throughout the study.</w:t>
      </w:r>
    </w:p>
    <w:p w14:paraId="5396E1B0" w14:textId="745974E8" w:rsidR="002F06AE" w:rsidRDefault="002F06AE" w:rsidP="002F06AE">
      <w:r>
        <w:t>The analysis of the primary endpoint for the interi</w:t>
      </w:r>
      <w:r w:rsidR="00F63BDF">
        <w:t>m analysis population (intention to treat population)</w:t>
      </w:r>
      <w:r>
        <w:t xml:space="preserve"> was the same as that described for the primary endpoint for the full population (</w:t>
      </w:r>
      <w:r w:rsidR="00F63BDF">
        <w:t>intention to treat population at Day29</w:t>
      </w:r>
      <w:r>
        <w:t>).</w:t>
      </w:r>
    </w:p>
    <w:p w14:paraId="5E5CEF35" w14:textId="36339699" w:rsidR="002F06AE" w:rsidRDefault="002F06AE" w:rsidP="002F06AE">
      <w:r>
        <w:t xml:space="preserve">The </w:t>
      </w:r>
      <w:r w:rsidR="00F63BDF">
        <w:t xml:space="preserve">interim analysis </w:t>
      </w:r>
      <w:r>
        <w:t xml:space="preserve">was performed by an independent </w:t>
      </w:r>
      <w:r w:rsidR="001969CF" w:rsidRPr="001969CF">
        <w:t>statisti</w:t>
      </w:r>
      <w:r w:rsidR="001969CF">
        <w:t xml:space="preserve">cal data analysis centre </w:t>
      </w:r>
      <w:r>
        <w:t xml:space="preserve">and was reviewed by the </w:t>
      </w:r>
      <w:r w:rsidR="001969CF">
        <w:t>independent data monitoring committee</w:t>
      </w:r>
      <w:r>
        <w:t xml:space="preserve"> (N</w:t>
      </w:r>
      <w:r w:rsidR="001969CF">
        <w:t xml:space="preserve"> = 5</w:t>
      </w:r>
      <w:r>
        <w:t>83 for efficacy and N</w:t>
      </w:r>
      <w:r w:rsidR="001969CF">
        <w:t> </w:t>
      </w:r>
      <w:r>
        <w:t>=</w:t>
      </w:r>
      <w:r w:rsidR="001969CF">
        <w:t> 868 for safety) (data cut</w:t>
      </w:r>
      <w:r w:rsidR="00E13832">
        <w:t xml:space="preserve"> </w:t>
      </w:r>
      <w:r w:rsidR="001969CF">
        <w:t xml:space="preserve">off date of </w:t>
      </w:r>
      <w:r>
        <w:t>4 March 2021). As planned prospectively in the</w:t>
      </w:r>
      <w:r w:rsidR="001969CF">
        <w:t xml:space="preserve"> independent data monitoring committee </w:t>
      </w:r>
      <w:r>
        <w:t>charter, the p-values at the interim analysis were plotted against predetermined stopping boundaries. The efficacy success boundary was crossed. Therefore, the</w:t>
      </w:r>
      <w:r w:rsidR="001969CF">
        <w:t xml:space="preserve"> independent data monitoring committee </w:t>
      </w:r>
      <w:r>
        <w:t>recommended the study stop per the decisions planned prospectively in the charter. Group sequential techniques were to be used to adjust stopping boundaries to reflect the actual number of participants with available data for the primary endpoint at the time of each interim analysis. The full decision criteria for the futility due to lack of efficacy and efficacy rules along with additional information presented to the</w:t>
      </w:r>
      <w:r w:rsidR="001969CF">
        <w:t xml:space="preserve"> independent data monitoring committee </w:t>
      </w:r>
      <w:r>
        <w:t>were defined in the</w:t>
      </w:r>
      <w:r w:rsidR="001969CF">
        <w:t xml:space="preserve"> independent data monitoring committee </w:t>
      </w:r>
      <w:r>
        <w:t>charter and associated documents, as well as in the analysis plan.</w:t>
      </w:r>
    </w:p>
    <w:p w14:paraId="586EDFE5" w14:textId="74254040" w:rsidR="002F06AE" w:rsidRPr="001969CF" w:rsidRDefault="002F06AE" w:rsidP="002F06AE">
      <w:r>
        <w:t>Secondary endpoints were formally analysed at the Day 29 analysis and were tested with alpha level of 5% (two</w:t>
      </w:r>
      <w:r w:rsidR="004A6478">
        <w:t xml:space="preserve"> </w:t>
      </w:r>
      <w:r>
        <w:t>sided). The testing of secondary endpoints is adjusted for multiplicity by using the</w:t>
      </w:r>
      <w:r w:rsidR="001969CF">
        <w:t xml:space="preserve"> hierarchy, as discussed above.</w:t>
      </w:r>
    </w:p>
    <w:p w14:paraId="309029B0" w14:textId="5261F6BA" w:rsidR="002F06AE" w:rsidRDefault="001969CF" w:rsidP="001969CF">
      <w:pPr>
        <w:pStyle w:val="Heading6"/>
      </w:pPr>
      <w:r>
        <w:t>Study recruitment and analysis of r</w:t>
      </w:r>
      <w:r w:rsidR="002F06AE">
        <w:t>esults</w:t>
      </w:r>
    </w:p>
    <w:p w14:paraId="259C0215" w14:textId="16EB8DC3" w:rsidR="002F06AE" w:rsidRDefault="002F06AE" w:rsidP="002F06AE">
      <w:r>
        <w:t>To assess safety, efficacy and futility, two interim analyses were planned:</w:t>
      </w:r>
    </w:p>
    <w:p w14:paraId="6D089B7F" w14:textId="392E5825" w:rsidR="002F06AE" w:rsidRDefault="001969CF" w:rsidP="001969CF">
      <w:pPr>
        <w:pStyle w:val="ListBullet"/>
      </w:pPr>
      <w:r>
        <w:t>Interim a</w:t>
      </w:r>
      <w:r w:rsidR="002F06AE">
        <w:t>na</w:t>
      </w:r>
      <w:r>
        <w:t>lysis 1</w:t>
      </w:r>
      <w:r w:rsidR="002F06AE">
        <w:t xml:space="preserve"> at approximately 41% of participants enrolled.</w:t>
      </w:r>
    </w:p>
    <w:p w14:paraId="7E4235FE" w14:textId="607EEF95" w:rsidR="002F06AE" w:rsidRDefault="001969CF" w:rsidP="001969CF">
      <w:pPr>
        <w:pStyle w:val="ListBullet"/>
      </w:pPr>
      <w:r>
        <w:t>Interim analysis 2</w:t>
      </w:r>
      <w:r w:rsidR="002F06AE">
        <w:t xml:space="preserve"> at approximately 64% of participants enrolled.</w:t>
      </w:r>
    </w:p>
    <w:p w14:paraId="4D1E4FFA" w14:textId="1D993897" w:rsidR="002F06AE" w:rsidRDefault="002F06AE" w:rsidP="002F06AE">
      <w:r>
        <w:t xml:space="preserve">As planned, </w:t>
      </w:r>
      <w:r w:rsidR="001969CF">
        <w:t xml:space="preserve">interim analysis 1 </w:t>
      </w:r>
      <w:r>
        <w:t>w</w:t>
      </w:r>
      <w:r w:rsidR="001969CF">
        <w:t xml:space="preserve">as performed by an independent statistics data analysis centre </w:t>
      </w:r>
      <w:r>
        <w:t xml:space="preserve">and data was reviewed by an </w:t>
      </w:r>
      <w:r w:rsidR="001969CF">
        <w:t xml:space="preserve">independent data monitoring committee </w:t>
      </w:r>
      <w:r>
        <w:t>(N</w:t>
      </w:r>
      <w:r w:rsidR="001969CF">
        <w:t xml:space="preserve"> </w:t>
      </w:r>
      <w:r>
        <w:t>=</w:t>
      </w:r>
      <w:r w:rsidR="001969CF">
        <w:t xml:space="preserve"> </w:t>
      </w:r>
      <w:r>
        <w:t>583 for efficacy and N</w:t>
      </w:r>
      <w:r w:rsidR="001969CF">
        <w:t xml:space="preserve"> </w:t>
      </w:r>
      <w:r>
        <w:t>=</w:t>
      </w:r>
      <w:r w:rsidR="001969CF">
        <w:t xml:space="preserve"> </w:t>
      </w:r>
      <w:r>
        <w:t xml:space="preserve">868 for safety) </w:t>
      </w:r>
      <w:r w:rsidR="001969CF">
        <w:t>with a data cut</w:t>
      </w:r>
      <w:r w:rsidR="004771EC">
        <w:t xml:space="preserve"> </w:t>
      </w:r>
      <w:r w:rsidR="001969CF">
        <w:t>off of 4 March 2021</w:t>
      </w:r>
      <w:r>
        <w:t xml:space="preserve">. The </w:t>
      </w:r>
      <w:r w:rsidR="001969CF">
        <w:t xml:space="preserve">independent data monitoring committee </w:t>
      </w:r>
      <w:r>
        <w:t>recommended that the study met the criteria for stopping enrolment due to profound efficacy on the primary endpoint of reducing hospitalisation &gt;</w:t>
      </w:r>
      <w:r w:rsidR="001969CF">
        <w:t> </w:t>
      </w:r>
      <w:r>
        <w:t xml:space="preserve">24 hours for acute management of illness or death due to any cause by Day 29 </w:t>
      </w:r>
      <w:r w:rsidR="001969CF">
        <w:t>with a data cut</w:t>
      </w:r>
      <w:r w:rsidR="004771EC">
        <w:t xml:space="preserve"> </w:t>
      </w:r>
      <w:r w:rsidR="001969CF">
        <w:t>off of 27 April 2021). The COMET-</w:t>
      </w:r>
      <w:r>
        <w:t xml:space="preserve">ICE </w:t>
      </w:r>
      <w:r w:rsidR="001969CF">
        <w:t>trial (S</w:t>
      </w:r>
      <w:r>
        <w:t>tudy</w:t>
      </w:r>
      <w:r w:rsidR="001969CF">
        <w:t xml:space="preserve"> 214367)</w:t>
      </w:r>
      <w:r>
        <w:t xml:space="preserve"> has closed for enrolment and all the randomised participants continue to be followed until their Week 24 visit </w:t>
      </w:r>
      <w:r w:rsidR="001969CF">
        <w:t>follow</w:t>
      </w:r>
      <w:r w:rsidR="004771EC">
        <w:t xml:space="preserve"> </w:t>
      </w:r>
      <w:r w:rsidR="001969CF">
        <w:t>up assessment</w:t>
      </w:r>
      <w:r>
        <w:t xml:space="preserve"> or early withdrawal.</w:t>
      </w:r>
    </w:p>
    <w:p w14:paraId="1EEF09A8" w14:textId="5F8E5CE2" w:rsidR="002F06AE" w:rsidRDefault="002F06AE" w:rsidP="002F06AE">
      <w:r>
        <w:t xml:space="preserve">The </w:t>
      </w:r>
      <w:r w:rsidR="001969CF">
        <w:t>interim analysis 2</w:t>
      </w:r>
      <w:r>
        <w:t xml:space="preserve"> will not be performed as the study met criteria for stopping early at </w:t>
      </w:r>
      <w:r w:rsidR="001969CF">
        <w:t>the interim analysis 1</w:t>
      </w:r>
      <w:r>
        <w:t xml:space="preserve">. Results from </w:t>
      </w:r>
      <w:r w:rsidR="001969CF">
        <w:t xml:space="preserve">the interim analysis 1 </w:t>
      </w:r>
      <w:r>
        <w:t>supported temporary</w:t>
      </w:r>
      <w:r w:rsidR="001969CF">
        <w:t xml:space="preserve"> authorisation applications in </w:t>
      </w:r>
      <w:r w:rsidR="004771EC">
        <w:t>s</w:t>
      </w:r>
      <w:r>
        <w:t>pring</w:t>
      </w:r>
      <w:r w:rsidR="001969CF">
        <w:t xml:space="preserve"> of</w:t>
      </w:r>
      <w:r>
        <w:t xml:space="preserve"> 2021 globally. Following the </w:t>
      </w:r>
      <w:r w:rsidR="001969CF">
        <w:t>independent data monitoring committee’s decision to stop enrol</w:t>
      </w:r>
      <w:r>
        <w:t xml:space="preserve">ment into </w:t>
      </w:r>
      <w:r w:rsidR="001969CF">
        <w:t xml:space="preserve">the </w:t>
      </w:r>
      <w:r>
        <w:t>COMET-ICE</w:t>
      </w:r>
      <w:r w:rsidR="001969CF">
        <w:t xml:space="preserve"> trial (Study 214367)</w:t>
      </w:r>
      <w:r>
        <w:t xml:space="preserve"> due to profound efficacy, the final participant was enrolled with </w:t>
      </w:r>
      <w:r w:rsidR="001969CF">
        <w:t>an overall population of 1057 (i</w:t>
      </w:r>
      <w:r>
        <w:t>ntent</w:t>
      </w:r>
      <w:r w:rsidR="004771EC">
        <w:t xml:space="preserve"> </w:t>
      </w:r>
      <w:r>
        <w:t xml:space="preserve">to treat for Day 29 analysis: </w:t>
      </w:r>
      <w:r w:rsidR="001969CF">
        <w:t>intention to treat population at Day</w:t>
      </w:r>
      <w:r w:rsidR="00260946">
        <w:t> </w:t>
      </w:r>
      <w:r w:rsidR="001969CF">
        <w:t>29)</w:t>
      </w:r>
      <w:r>
        <w:t>.</w:t>
      </w:r>
    </w:p>
    <w:p w14:paraId="535231B8" w14:textId="47039C81" w:rsidR="002F06AE" w:rsidRDefault="002F06AE" w:rsidP="002F06AE">
      <w:r>
        <w:t>Subsequently, the planned Day 29 analysis was conducted when data were available from all randomised participants (N</w:t>
      </w:r>
      <w:r w:rsidR="004771EC">
        <w:t xml:space="preserve"> </w:t>
      </w:r>
      <w:r>
        <w:t>=</w:t>
      </w:r>
      <w:r w:rsidR="004771EC">
        <w:t xml:space="preserve"> </w:t>
      </w:r>
      <w:r>
        <w:t>1057). Following all participants completing the final follow</w:t>
      </w:r>
      <w:r w:rsidR="004771EC">
        <w:t xml:space="preserve"> </w:t>
      </w:r>
      <w:r>
        <w:t>up visit at Week 24, the final safety analysis will be performed and will be reported separately.</w:t>
      </w:r>
    </w:p>
    <w:p w14:paraId="134A48D2" w14:textId="3EFEEA9B" w:rsidR="002F06AE" w:rsidRDefault="002F06AE" w:rsidP="002F06AE">
      <w:r>
        <w:t>As per the sponsor, due to the timing of the cut</w:t>
      </w:r>
      <w:r w:rsidR="004771EC">
        <w:t xml:space="preserve"> </w:t>
      </w:r>
      <w:r>
        <w:t>off date for the all</w:t>
      </w:r>
      <w:r w:rsidR="004771EC">
        <w:t xml:space="preserve"> </w:t>
      </w:r>
      <w:r>
        <w:t>cause mortality endpoint, only data up to Day 29 is reported in this submiss</w:t>
      </w:r>
      <w:r w:rsidR="001969CF">
        <w:t>ion. All</w:t>
      </w:r>
      <w:r w:rsidR="004771EC">
        <w:t xml:space="preserve"> </w:t>
      </w:r>
      <w:r w:rsidR="001969CF">
        <w:t>cause mortality at Day </w:t>
      </w:r>
      <w:r>
        <w:t xml:space="preserve">60 and Day 90 will be reported in the Week 24 analysis </w:t>
      </w:r>
      <w:r w:rsidR="001969CF">
        <w:t>clinical study report</w:t>
      </w:r>
      <w:r>
        <w:t>. Viral load data reported in this submission includes approximately 90% of all nasopharyngeal samples through Day 29. This 90% includes visits where no viral l</w:t>
      </w:r>
      <w:r w:rsidR="001969CF">
        <w:t>oad data will be available (for example,</w:t>
      </w:r>
      <w:r>
        <w:t xml:space="preserve"> discontinuation, miss</w:t>
      </w:r>
      <w:r w:rsidR="001969CF">
        <w:t>ing visits, sample not taken; &lt; 1</w:t>
      </w:r>
      <w:r>
        <w:t xml:space="preserve">0% of visits). Endpoint analyses results that are not currently reported in the Day 29 analysis </w:t>
      </w:r>
      <w:r w:rsidR="001969CF">
        <w:t>clinical study report</w:t>
      </w:r>
      <w:r>
        <w:t xml:space="preserve"> will either be reported in a </w:t>
      </w:r>
      <w:r w:rsidR="001969CF">
        <w:t>clinical study report</w:t>
      </w:r>
      <w:r>
        <w:t xml:space="preserve"> amendment or the Week 24 analysis </w:t>
      </w:r>
      <w:r w:rsidR="001969CF">
        <w:t>clinical study report</w:t>
      </w:r>
      <w:r>
        <w:t xml:space="preserve"> depending on timing of data availability and analysis. </w:t>
      </w:r>
    </w:p>
    <w:p w14:paraId="23D86620" w14:textId="33C8D16F" w:rsidR="002F06AE" w:rsidRDefault="002F06AE" w:rsidP="002F06AE">
      <w:r>
        <w:t xml:space="preserve">Participants were enrolled from 57 centres: 45 centres in the </w:t>
      </w:r>
      <w:r w:rsidR="001969CF">
        <w:t>USA, 6 in Brazil, 3 in Spain, 2 </w:t>
      </w:r>
      <w:r>
        <w:t>in Canada, and 1 in Peru. The first participant was enrolled on 27 August 2020 and the last participant c</w:t>
      </w:r>
      <w:r w:rsidR="001969CF">
        <w:t xml:space="preserve">ompleted their Day 29 visit on </w:t>
      </w:r>
      <w:r>
        <w:t>8 April 2021 (Day 29 Analysis). Most participants (90%) were recruited from sites in the USA.</w:t>
      </w:r>
    </w:p>
    <w:p w14:paraId="3FD29831" w14:textId="65586A5B" w:rsidR="002F06AE" w:rsidRDefault="002F06AE" w:rsidP="002F06AE">
      <w:r>
        <w:t>A total of 1351 participants were screened and 294 were considered as screen failures. Overall, 1057 participants (</w:t>
      </w:r>
      <w:r w:rsidR="00FB4E37">
        <w:t xml:space="preserve">intention to treat population at </w:t>
      </w:r>
      <w:r>
        <w:t>Day 2</w:t>
      </w:r>
      <w:r w:rsidR="00FB4E37">
        <w:t>9</w:t>
      </w:r>
      <w:r>
        <w:t>) were randomly assigned to study treatment (sotrovimab: 528; placebo: 529). A total of 1049 participants were confirmed to have received the study treatment (sotrovimab: 523; placebo: 526) and we</w:t>
      </w:r>
      <w:r w:rsidR="00FB4E37">
        <w:t>re therefore included in the full safety analysis population</w:t>
      </w:r>
      <w:r>
        <w:t xml:space="preserve">. Eight participants were randomised and not dosed and so were not included in the </w:t>
      </w:r>
      <w:r w:rsidR="00FB4E37">
        <w:t>full safety analysis population.</w:t>
      </w:r>
    </w:p>
    <w:p w14:paraId="343D4800" w14:textId="149ECB99" w:rsidR="00FB4E37" w:rsidRDefault="002F06AE" w:rsidP="002F06AE">
      <w:r>
        <w:t>Similar disposition was obser</w:t>
      </w:r>
      <w:r w:rsidR="00FB4E37">
        <w:t>ved across both treatment arms.</w:t>
      </w:r>
    </w:p>
    <w:p w14:paraId="2AF56F45" w14:textId="2A6CCC43" w:rsidR="00FB4E37" w:rsidRDefault="00FB4E37" w:rsidP="002F06AE">
      <w:r>
        <w:fldChar w:fldCharType="begin"/>
      </w:r>
      <w:r>
        <w:instrText xml:space="preserve"> REF _Ref79552315 \h </w:instrText>
      </w:r>
      <w:r>
        <w:fldChar w:fldCharType="separate"/>
      </w:r>
      <w:r w:rsidR="00F601F5" w:rsidRPr="00FB4E37">
        <w:t xml:space="preserve">Figure </w:t>
      </w:r>
      <w:r w:rsidR="00F601F5">
        <w:rPr>
          <w:noProof/>
        </w:rPr>
        <w:t>4</w:t>
      </w:r>
      <w:r w:rsidR="00F601F5" w:rsidRPr="00FB4E37">
        <w:t xml:space="preserve">: </w:t>
      </w:r>
      <w:r w:rsidR="00F601F5">
        <w:t>Study 214367</w:t>
      </w:r>
      <w:r w:rsidR="00F601F5" w:rsidRPr="00FB4E37">
        <w:t xml:space="preserve"> (COMET-ICE trial) Participant </w:t>
      </w:r>
      <w:r w:rsidR="00F601F5">
        <w:t>d</w:t>
      </w:r>
      <w:r w:rsidR="00F601F5" w:rsidRPr="00FB4E37">
        <w:t>isposition through Day 29 (intention to treat population at Day 29)</w:t>
      </w:r>
      <w:r>
        <w:fldChar w:fldCharType="end"/>
      </w:r>
      <w:r>
        <w:t xml:space="preserve"> shown below, provides an overview of participant disposition in the study through to Day 29.</w:t>
      </w:r>
    </w:p>
    <w:p w14:paraId="24466959" w14:textId="45210AC8" w:rsidR="00FB4E37" w:rsidRPr="00FB4E37" w:rsidRDefault="00FB4E37" w:rsidP="00FB4E37">
      <w:pPr>
        <w:pStyle w:val="FigureTitle"/>
      </w:pPr>
      <w:bookmarkStart w:id="49" w:name="_Ref80004987"/>
      <w:bookmarkStart w:id="50" w:name="_Ref79552315"/>
      <w:r w:rsidRPr="00FB4E37">
        <w:t xml:space="preserve">Figure </w:t>
      </w:r>
      <w:r>
        <w:fldChar w:fldCharType="begin"/>
      </w:r>
      <w:r>
        <w:instrText>SEQ Figure \* ARABIC</w:instrText>
      </w:r>
      <w:r>
        <w:fldChar w:fldCharType="separate"/>
      </w:r>
      <w:r w:rsidR="00F601F5">
        <w:rPr>
          <w:noProof/>
        </w:rPr>
        <w:t>4</w:t>
      </w:r>
      <w:r>
        <w:fldChar w:fldCharType="end"/>
      </w:r>
      <w:bookmarkEnd w:id="49"/>
      <w:r w:rsidRPr="00FB4E37">
        <w:t xml:space="preserve">: </w:t>
      </w:r>
      <w:r>
        <w:t>Study 214367</w:t>
      </w:r>
      <w:r w:rsidRPr="00FB4E37">
        <w:t xml:space="preserve"> (COMET-ICE trial) Participant </w:t>
      </w:r>
      <w:r w:rsidR="00FE4E58">
        <w:t>d</w:t>
      </w:r>
      <w:r w:rsidRPr="00FB4E37">
        <w:t>isposition through Day 29 (intention to treat population at Day 29)</w:t>
      </w:r>
      <w:bookmarkEnd w:id="50"/>
    </w:p>
    <w:p w14:paraId="0012AB1F" w14:textId="6007EADE" w:rsidR="002F06AE" w:rsidRDefault="002F06AE" w:rsidP="002F06AE">
      <w:pPr>
        <w:rPr>
          <w:noProof/>
          <w:lang w:eastAsia="en-AU"/>
        </w:rPr>
      </w:pPr>
      <w:r>
        <w:rPr>
          <w:noProof/>
          <w:lang w:val="en-GB" w:eastAsia="en-GB"/>
        </w:rPr>
        <w:drawing>
          <wp:inline distT="0" distB="0" distL="0" distR="0" wp14:anchorId="0D6E21B6" wp14:editId="2A7B22AC">
            <wp:extent cx="5204725" cy="4094622"/>
            <wp:effectExtent l="0" t="0" r="0" b="1270"/>
            <wp:docPr id="15" name="Picture 15" descr="1351 participants were screened, with 294 screening failures, giving 1057 participants randomised. Of these, participants were randomised in a 1:1 ratio to receive either placebo treament (total of 529 participants) or VIR-7831 500 mg (that is, 500 mg of sotrovimab). These are included as the intent-to-treat populations.&#10;Of the 529 randomised to placebo, 49 (9%) participants completed to Week 24; 4 parcipants (&lt; 1%) died; 484 parcipants (88%) were ongoing involvement in the trial; and 12 partcipants (2%) withdrew from the trial. Of these withdrawals, 1 was due to adverse events, 1 was due to loss to follow-up, and 10 were due to withdrawal of consent by parctipant.&#10;Of the 528 randomised to active treatment, 49 (9%) participants completed to Week 24; no parcipants (0%) died; 469 parcipants (89%) were ongoing involvement in the trial; and 10 partcipants (2%) withdrew from the trial. Of these withdrawals, 2 were due to physician decision and 8 were due to withdrawal of consent by parctipant." title="Figure 3: Study 214367 (COMET-ICE trial) Participant Disposition through Day 29 (intention to treat population at Day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4731" cy="4102493"/>
                    </a:xfrm>
                    <a:prstGeom prst="rect">
                      <a:avLst/>
                    </a:prstGeom>
                    <a:noFill/>
                    <a:ln>
                      <a:noFill/>
                    </a:ln>
                  </pic:spPr>
                </pic:pic>
              </a:graphicData>
            </a:graphic>
          </wp:inline>
        </w:drawing>
      </w:r>
    </w:p>
    <w:p w14:paraId="6D67A798" w14:textId="3FA108CC" w:rsidR="009A1369" w:rsidRDefault="009A1369" w:rsidP="009A1369">
      <w:pPr>
        <w:pStyle w:val="FigureDescription"/>
        <w:rPr>
          <w:noProof/>
          <w:lang w:eastAsia="en-AU"/>
        </w:rPr>
      </w:pPr>
      <w:r>
        <w:rPr>
          <w:noProof/>
          <w:lang w:eastAsia="en-AU"/>
        </w:rPr>
        <w:t>n = number of participants; VIR-7831 = drug development code for sotrovimab; ITT = intention to treat.</w:t>
      </w:r>
    </w:p>
    <w:p w14:paraId="2ACA414F" w14:textId="40ADFA49" w:rsidR="00FB4E37" w:rsidRDefault="00FB4E37" w:rsidP="009A1369">
      <w:pPr>
        <w:pStyle w:val="FigureDescription"/>
        <w:rPr>
          <w:noProof/>
          <w:lang w:eastAsia="en-AU"/>
        </w:rPr>
      </w:pPr>
      <w:r>
        <w:rPr>
          <w:noProof/>
          <w:lang w:eastAsia="en-AU"/>
        </w:rPr>
        <w:t>1351 participants were screened, with 294 screening failures, giving 1057 participants randomised. Of these, participants were randomised in a 1:1 ratio to receive either placebo treament (total of 529 participants) or VIR-7831 500 mg (that is, 500 mg of sotrovimab). These are included as the intent-to-treat populations.</w:t>
      </w:r>
    </w:p>
    <w:p w14:paraId="6C9C42A2" w14:textId="2340F84D" w:rsidR="00FB4E37" w:rsidRDefault="00FB4E37" w:rsidP="009A1369">
      <w:pPr>
        <w:pStyle w:val="FigureDescription"/>
        <w:rPr>
          <w:noProof/>
          <w:lang w:eastAsia="en-AU"/>
        </w:rPr>
      </w:pPr>
      <w:r>
        <w:rPr>
          <w:noProof/>
          <w:lang w:eastAsia="en-AU"/>
        </w:rPr>
        <w:t>Of the 529 randomised to place</w:t>
      </w:r>
      <w:r w:rsidR="009A1369">
        <w:rPr>
          <w:noProof/>
          <w:lang w:eastAsia="en-AU"/>
        </w:rPr>
        <w:t>b</w:t>
      </w:r>
      <w:r>
        <w:rPr>
          <w:noProof/>
          <w:lang w:eastAsia="en-AU"/>
        </w:rPr>
        <w:t xml:space="preserve">o, 49 (9%) participants completed to Week 24; 4 parcipants (&lt; 1%) died; 484 parcipants (88%) were ongoing involvement in the trial; and 12 partcipants (2%) withdrew from the trial. </w:t>
      </w:r>
      <w:r w:rsidR="009A1369">
        <w:rPr>
          <w:noProof/>
          <w:lang w:eastAsia="en-AU"/>
        </w:rPr>
        <w:t>Of these withdrawals, 1 was due to adverse events, 1 was due to loss to follow-up, and 10 were due to withdrawal of consent by parctipant.</w:t>
      </w:r>
    </w:p>
    <w:p w14:paraId="4C3941EF" w14:textId="47ABC549" w:rsidR="009A1369" w:rsidRDefault="009A1369" w:rsidP="009A1369">
      <w:pPr>
        <w:pStyle w:val="FigureDescription"/>
        <w:rPr>
          <w:noProof/>
          <w:lang w:eastAsia="en-AU"/>
        </w:rPr>
      </w:pPr>
      <w:r>
        <w:rPr>
          <w:noProof/>
          <w:lang w:eastAsia="en-AU"/>
        </w:rPr>
        <w:t>Of the 528 randomised to active treatment, 49 (9%) participants completed to Week 24; no parcipants (0%) died; 469 parcipants (89%) were ongoing involvement in the trial; and 10 partcipants (2%) withdrew from the trial. Of these withdrawals, 2 were due to physician decision and 8 were due to withdrawal of consent by parctipant.</w:t>
      </w:r>
    </w:p>
    <w:p w14:paraId="6FB25C3A" w14:textId="45135254" w:rsidR="002F06AE" w:rsidRDefault="002F06AE" w:rsidP="002F06AE">
      <w:r>
        <w:t>The incidence of important</w:t>
      </w:r>
      <w:r w:rsidR="007E553A">
        <w:t xml:space="preserve"> </w:t>
      </w:r>
      <w:r w:rsidR="00A70DF4">
        <w:t>protocol deviations</w:t>
      </w:r>
      <w:r>
        <w:t xml:space="preserve"> was similar across the treatment groups; the most frequent in both groups was mis-stratification at randomisation (28% in both treatment groups). The majority of mis-stratification </w:t>
      </w:r>
      <w:r w:rsidR="00260946">
        <w:t>protocol deviations</w:t>
      </w:r>
      <w:r>
        <w:t xml:space="preserve"> were for the duration of symptoms stratum. Duration of symptoms was determined based o</w:t>
      </w:r>
      <w:r w:rsidR="00A6220D">
        <w:t>n the data collected in the electron</w:t>
      </w:r>
      <w:r w:rsidR="003F2972">
        <w:t>ic</w:t>
      </w:r>
      <w:r w:rsidR="00A6220D">
        <w:t xml:space="preserve"> case report f</w:t>
      </w:r>
      <w:r w:rsidR="003F2972">
        <w:t>orm</w:t>
      </w:r>
      <w:r>
        <w:t>, not the assigned stratum at randomisation.</w:t>
      </w:r>
    </w:p>
    <w:p w14:paraId="28891448" w14:textId="3F251D18" w:rsidR="002F06AE" w:rsidRDefault="009A1369" w:rsidP="009A1369">
      <w:pPr>
        <w:pStyle w:val="Heading6"/>
      </w:pPr>
      <w:r>
        <w:t>Demographics and baseline c</w:t>
      </w:r>
      <w:r w:rsidR="002F06AE">
        <w:t>haracteristics</w:t>
      </w:r>
    </w:p>
    <w:p w14:paraId="2DDBE7B2" w14:textId="3F00E26B" w:rsidR="002F06AE" w:rsidRDefault="002F06AE" w:rsidP="002F06AE">
      <w:r>
        <w:t xml:space="preserve">Overall, the intended population enrolled was as defined in the protocol; less than 1% had no risk factors for COVID-19 progression. Demographic and baseline characteristics were generally well balanced across the treatment groups; no remarkable differences were observed at baseline, between participants randomised to receive sotrovimab versus those randomised to placebo. Based on age and comorbidities, the COMET-ICE </w:t>
      </w:r>
      <w:r w:rsidR="009A1369">
        <w:t xml:space="preserve">trial (Study 214367) </w:t>
      </w:r>
      <w:r>
        <w:t>population was representative of patients who are at risk for progression to hospitalisation or death.</w:t>
      </w:r>
    </w:p>
    <w:p w14:paraId="685473D3" w14:textId="6A6AE72C" w:rsidR="002F06AE" w:rsidRPr="00A6220D" w:rsidRDefault="002F06AE" w:rsidP="002F06AE">
      <w:pPr>
        <w:rPr>
          <w:vertAlign w:val="superscript"/>
        </w:rPr>
      </w:pPr>
      <w:r>
        <w:t>Of the 1057 participants, 54% were female and the med</w:t>
      </w:r>
      <w:r w:rsidR="009A1369">
        <w:t>ian age was 53 years (range:</w:t>
      </w:r>
      <w:r w:rsidR="00260946">
        <w:t> </w:t>
      </w:r>
      <w:r w:rsidR="009A1369">
        <w:t>17 to </w:t>
      </w:r>
      <w:r>
        <w:t xml:space="preserve">96 years). Further evaluation of age by predetermined age groups showed that 20% of participants were aged 65 years or older and 11% </w:t>
      </w:r>
      <w:r w:rsidR="00A6220D">
        <w:t>were over 70 years. While a sub</w:t>
      </w:r>
      <w:r>
        <w:t>group analysis of the primary endpoint for this cohort over 70 was not statistically signifi</w:t>
      </w:r>
      <w:r w:rsidR="009A1369">
        <w:t>cant (relative risk ratio of 0.31 (</w:t>
      </w:r>
      <w:r>
        <w:t>95% CI: 0.07</w:t>
      </w:r>
      <w:r w:rsidR="009A1369">
        <w:t>, 1.41)</w:t>
      </w:r>
      <w:r>
        <w:t>), this may have reflected the small number of events and does not confirm an absence of efficacy in the elderly. The point estimate was similar to what was observed in younger adults (0.18). Based on the available efficacy data, it is reasonable to include elderly subj</w:t>
      </w:r>
      <w:r w:rsidR="00A6220D">
        <w:t>ects within the indication. At B</w:t>
      </w:r>
      <w:r>
        <w:t>aseline, the majority of the participants (85%) were confirmed positive for SARS</w:t>
      </w:r>
      <w:r w:rsidR="009A1369">
        <w:noBreakHyphen/>
      </w:r>
      <w:r>
        <w:t>CoV-2</w:t>
      </w:r>
      <w:r w:rsidR="009A1369">
        <w:t xml:space="preserve"> virus by a local reverse transcriptase-p</w:t>
      </w:r>
      <w:r w:rsidR="009A1369" w:rsidRPr="009A1369">
        <w:t>olymerase chain reaction</w:t>
      </w:r>
      <w:r>
        <w:t xml:space="preserve"> test result, and the remainder (15%) by a positive antigen test result, with the proportions for each method similar across both treatment arms. Baseline viral load was similar across treatment arms for all baseline viral load cut-off groups. </w:t>
      </w:r>
      <w:r w:rsidR="00B41E53">
        <w:t>O</w:t>
      </w:r>
      <w:r>
        <w:t xml:space="preserve">ver one-third of participants in the </w:t>
      </w:r>
      <w:r w:rsidR="009A1369">
        <w:t xml:space="preserve">intention to treat </w:t>
      </w:r>
      <w:r>
        <w:t>population had a baseline viral load exceeding log 10</w:t>
      </w:r>
      <w:r w:rsidRPr="00D72DF4">
        <w:rPr>
          <w:vertAlign w:val="superscript"/>
        </w:rPr>
        <w:t>7</w:t>
      </w:r>
      <w:r>
        <w:t xml:space="preserve"> copies/mL, and half of participants in the </w:t>
      </w:r>
      <w:r w:rsidR="009A1369">
        <w:t>intention</w:t>
      </w:r>
      <w:r w:rsidR="009A1369">
        <w:noBreakHyphen/>
        <w:t>to</w:t>
      </w:r>
      <w:r w:rsidR="009A1369">
        <w:noBreakHyphen/>
        <w:t>treat</w:t>
      </w:r>
      <w:r>
        <w:t xml:space="preserve"> population had a baseline viral load exceeding log 10</w:t>
      </w:r>
      <w:r w:rsidRPr="00D72DF4">
        <w:rPr>
          <w:vertAlign w:val="superscript"/>
        </w:rPr>
        <w:t xml:space="preserve">6 </w:t>
      </w:r>
      <w:r>
        <w:t>copies/mL, consistent with previously reported data for anti-SARS-CoV-2 monoclonal antibody studies</w:t>
      </w:r>
      <w:r w:rsidR="007E553A">
        <w:t>.</w:t>
      </w:r>
      <w:r w:rsidR="00A6220D">
        <w:rPr>
          <w:rStyle w:val="FootnoteReference"/>
        </w:rPr>
        <w:footnoteReference w:id="26"/>
      </w:r>
    </w:p>
    <w:p w14:paraId="0AEC4F88" w14:textId="10302B70" w:rsidR="002F06AE" w:rsidRDefault="002F06AE" w:rsidP="002F06AE">
      <w:r>
        <w:t>Greater than 99% of participants in both treatment arms had at least one risk factor associated with COVID-19 progression. The four most common pre-defined risk factors or co-morbidities in both treatment groups at screening were obesity, 55 years of age or older, diabetes requiring medication, and moderate</w:t>
      </w:r>
      <w:r w:rsidR="004771EC">
        <w:t xml:space="preserve"> </w:t>
      </w:r>
      <w:r>
        <w:t>to</w:t>
      </w:r>
      <w:r w:rsidR="004771EC">
        <w:t xml:space="preserve"> </w:t>
      </w:r>
      <w:r>
        <w:t>severe asthma. The proportion of randomised participants with current medical conditions at baseline was similar across the treatment groups. Excluding the COVID-19 risk factors detailed above, the most commonly reported co-morbidities (&gt;</w:t>
      </w:r>
      <w:r w:rsidR="00A6220D">
        <w:t xml:space="preserve"> </w:t>
      </w:r>
      <w:r>
        <w:t>10% either arm) were hypertension, hyperlipidaemia, gastroesophageal reflux disease and high cholesterol; these were well balanced between the arms.</w:t>
      </w:r>
    </w:p>
    <w:p w14:paraId="5810F167" w14:textId="3500BB8C" w:rsidR="002F06AE" w:rsidRPr="009A1369" w:rsidRDefault="002F06AE" w:rsidP="002F06AE">
      <w:r>
        <w:t>Concomitant medications (including those commenced prior to study) were generally balanced between the treatment groups. Dexamethasone was the most commonly received steroid (sotrovimab 5%, placebo 7%). Other potentially relevant concomitant m</w:t>
      </w:r>
      <w:r w:rsidR="009A1369">
        <w:t xml:space="preserve">edications are summarised below in </w:t>
      </w:r>
      <w:r w:rsidR="009A1369">
        <w:fldChar w:fldCharType="begin"/>
      </w:r>
      <w:r w:rsidR="009A1369">
        <w:instrText xml:space="preserve"> REF _Ref79553285 \h </w:instrText>
      </w:r>
      <w:r w:rsidR="009A1369">
        <w:fldChar w:fldCharType="separate"/>
      </w:r>
      <w:r w:rsidR="00F601F5">
        <w:t xml:space="preserve">Table </w:t>
      </w:r>
      <w:r w:rsidR="00F601F5">
        <w:rPr>
          <w:noProof/>
        </w:rPr>
        <w:t>2</w:t>
      </w:r>
      <w:r w:rsidR="00F601F5">
        <w:t xml:space="preserve">: Study 214367 (COMET-ICE trial) </w:t>
      </w:r>
      <w:r w:rsidR="00F601F5" w:rsidRPr="009A1369">
        <w:t>Potentially relevant concomitant medications</w:t>
      </w:r>
      <w:r w:rsidR="009A1369">
        <w:fldChar w:fldCharType="end"/>
      </w:r>
    </w:p>
    <w:p w14:paraId="5DFC2421" w14:textId="564E5C42" w:rsidR="00A6220D" w:rsidRPr="00A6220D" w:rsidRDefault="009A1369" w:rsidP="00A6220D">
      <w:pPr>
        <w:pStyle w:val="TableTitle"/>
      </w:pPr>
      <w:bookmarkStart w:id="51" w:name="_Ref79553285"/>
      <w:r>
        <w:t xml:space="preserve">Table </w:t>
      </w:r>
      <w:r>
        <w:fldChar w:fldCharType="begin"/>
      </w:r>
      <w:r>
        <w:instrText>SEQ Table \* ARABIC</w:instrText>
      </w:r>
      <w:r>
        <w:fldChar w:fldCharType="separate"/>
      </w:r>
      <w:r w:rsidR="00F601F5">
        <w:rPr>
          <w:noProof/>
        </w:rPr>
        <w:t>2</w:t>
      </w:r>
      <w:r>
        <w:fldChar w:fldCharType="end"/>
      </w:r>
      <w:r>
        <w:t xml:space="preserve">: Study 214367 (COMET-ICE trial) </w:t>
      </w:r>
      <w:r w:rsidRPr="009A1369">
        <w:t>Potentially relevant concomitant medications</w:t>
      </w:r>
      <w:bookmarkEnd w:id="51"/>
    </w:p>
    <w:p w14:paraId="4E45EED9" w14:textId="1156860E" w:rsidR="00A6220D" w:rsidRDefault="002F06AE" w:rsidP="002F06AE">
      <w:r>
        <w:rPr>
          <w:noProof/>
          <w:lang w:val="en-GB" w:eastAsia="en-GB"/>
        </w:rPr>
        <w:drawing>
          <wp:inline distT="0" distB="0" distL="0" distR="0" wp14:anchorId="550FFA7D" wp14:editId="0D16FA74">
            <wp:extent cx="4945541" cy="1166884"/>
            <wp:effectExtent l="0" t="0" r="7620" b="0"/>
            <wp:docPr id="14" name="Picture 14" descr="Study 214367 (COMET-ICE trial) Potentially relevant concomitant medications" title="Study 214367 (COMET-ICE trial) Potentially relevant concomitant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b="37668"/>
                    <a:stretch/>
                  </pic:blipFill>
                  <pic:spPr bwMode="auto">
                    <a:xfrm>
                      <a:off x="0" y="0"/>
                      <a:ext cx="5018818" cy="1184173"/>
                    </a:xfrm>
                    <a:prstGeom prst="rect">
                      <a:avLst/>
                    </a:prstGeom>
                    <a:noFill/>
                    <a:ln>
                      <a:noFill/>
                    </a:ln>
                    <a:extLst>
                      <a:ext uri="{53640926-AAD7-44D8-BBD7-CCE9431645EC}">
                        <a14:shadowObscured xmlns:a14="http://schemas.microsoft.com/office/drawing/2010/main"/>
                      </a:ext>
                    </a:extLst>
                  </pic:spPr>
                </pic:pic>
              </a:graphicData>
            </a:graphic>
          </wp:inline>
        </w:drawing>
      </w:r>
    </w:p>
    <w:p w14:paraId="3F618D25" w14:textId="6B029026" w:rsidR="006D351F" w:rsidRDefault="006D351F" w:rsidP="006D351F">
      <w:pPr>
        <w:pStyle w:val="TableDescription"/>
      </w:pPr>
      <w:r>
        <w:t xml:space="preserve">*protocol deviations; </w:t>
      </w:r>
      <w:r w:rsidRPr="006D351F">
        <w:rPr>
          <w:vertAlign w:val="superscript"/>
        </w:rPr>
        <w:t>t</w:t>
      </w:r>
      <w:r>
        <w:t xml:space="preserve"> all used in subjects who has progressed to hospitalisation; ∞ No information found in complete study report on timing on vaccination (that is whether these were breakthrough infections and/or protocol deviations). It is not stated what proportion of subjects receiving dexamethasone comprised protocol deviations due to the dose being equivalent to ≥ 0.5 mg/kg of prednisone.</w:t>
      </w:r>
    </w:p>
    <w:p w14:paraId="21F3DF88" w14:textId="77777777" w:rsidR="002F06AE" w:rsidRDefault="002F06AE" w:rsidP="002F06AE">
      <w:r>
        <w:t>Median duration of follow up was 103 days for sotrovimab and 102 days for placebo.</w:t>
      </w:r>
    </w:p>
    <w:p w14:paraId="23D332A2" w14:textId="0739D8A6" w:rsidR="002F06AE" w:rsidRDefault="00494076" w:rsidP="00494076">
      <w:pPr>
        <w:pStyle w:val="Heading6"/>
      </w:pPr>
      <w:r>
        <w:t>Results</w:t>
      </w:r>
      <w:r w:rsidR="00E14539">
        <w:t xml:space="preserve"> for the primary efficacy analysis</w:t>
      </w:r>
    </w:p>
    <w:p w14:paraId="5303D249" w14:textId="629F7337" w:rsidR="002F06AE" w:rsidRDefault="002F06AE" w:rsidP="002F06AE">
      <w:r>
        <w:t>Treatment with a single 500 mg dose of sotrovimab resulted in a statistically significant reduction in the proportion of study participants with COVID-19 progressing to &gt;</w:t>
      </w:r>
      <w:r w:rsidR="00494076">
        <w:t> </w:t>
      </w:r>
      <w:r>
        <w:t>24 hours of hospitalisation for acute management of any illness or death from any cause through Day 29 when compared with placebo (adjuste</w:t>
      </w:r>
      <w:r w:rsidR="00494076">
        <w:t>d relat</w:t>
      </w:r>
      <w:r w:rsidR="00A6220D">
        <w:t>ive risk reduction: 85% (97.24% CI: </w:t>
      </w:r>
      <w:r w:rsidR="00494076">
        <w:t>44%, 96%)</w:t>
      </w:r>
      <w:r>
        <w:t>; p</w:t>
      </w:r>
      <w:r w:rsidR="00494076">
        <w:t> </w:t>
      </w:r>
      <w:r>
        <w:t>=</w:t>
      </w:r>
      <w:r w:rsidR="00494076">
        <w:t> 0.002).</w:t>
      </w:r>
    </w:p>
    <w:p w14:paraId="081D178F" w14:textId="5E3A82CE" w:rsidR="00494076" w:rsidRPr="00494076" w:rsidRDefault="00494076" w:rsidP="002F06AE">
      <w:r>
        <w:fldChar w:fldCharType="begin"/>
      </w:r>
      <w:r>
        <w:instrText xml:space="preserve"> REF _Ref79554349 \h </w:instrText>
      </w:r>
      <w:r>
        <w:fldChar w:fldCharType="separate"/>
      </w:r>
      <w:r w:rsidR="00F601F5">
        <w:t xml:space="preserve">Table </w:t>
      </w:r>
      <w:r w:rsidR="00F601F5">
        <w:rPr>
          <w:noProof/>
        </w:rPr>
        <w:t>3</w:t>
      </w:r>
      <w:r w:rsidR="00F601F5">
        <w:t>:</w:t>
      </w:r>
      <w:r w:rsidR="00F601F5" w:rsidRPr="00494076">
        <w:t xml:space="preserve"> </w:t>
      </w:r>
      <w:r w:rsidR="00F601F5">
        <w:t>Study 214367/COMET-ICE trial Proportion of p</w:t>
      </w:r>
      <w:r w:rsidR="00F601F5" w:rsidRPr="00494076">
        <w:t xml:space="preserve">articipants </w:t>
      </w:r>
      <w:r w:rsidR="00F601F5">
        <w:t>with p</w:t>
      </w:r>
      <w:r w:rsidR="00F601F5" w:rsidRPr="00494076">
        <w:t>rogressi</w:t>
      </w:r>
      <w:r w:rsidR="00F601F5">
        <w:t>on of COVID-19 through Day 29 (hospitalis</w:t>
      </w:r>
      <w:r w:rsidR="00F601F5" w:rsidRPr="00494076">
        <w:t>ation for &gt;</w:t>
      </w:r>
      <w:r w:rsidR="00F601F5">
        <w:t xml:space="preserve"> 24 hours or death) (intent to treat population; interim analysis</w:t>
      </w:r>
      <w:r w:rsidR="00F601F5" w:rsidRPr="00494076">
        <w:t>)</w:t>
      </w:r>
      <w:r>
        <w:fldChar w:fldCharType="end"/>
      </w:r>
      <w:r>
        <w:t xml:space="preserve"> shown below, gives the proportions of participants with progression of COVID-19 (defined as hospitalisation for more than 24 hours, or death, as the outcome) for in the intent to treat population at Day 29.</w:t>
      </w:r>
    </w:p>
    <w:p w14:paraId="2F661BE8" w14:textId="41972B38" w:rsidR="00494076" w:rsidRDefault="00494076" w:rsidP="00494076">
      <w:pPr>
        <w:pStyle w:val="TableTitle"/>
      </w:pPr>
      <w:bookmarkStart w:id="52" w:name="_Ref79554349"/>
      <w:r>
        <w:t xml:space="preserve">Table </w:t>
      </w:r>
      <w:r>
        <w:fldChar w:fldCharType="begin"/>
      </w:r>
      <w:r>
        <w:instrText>SEQ Table \* ARABIC</w:instrText>
      </w:r>
      <w:r>
        <w:fldChar w:fldCharType="separate"/>
      </w:r>
      <w:r w:rsidR="00F601F5">
        <w:rPr>
          <w:noProof/>
        </w:rPr>
        <w:t>3</w:t>
      </w:r>
      <w:r>
        <w:fldChar w:fldCharType="end"/>
      </w:r>
      <w:r>
        <w:t>:</w:t>
      </w:r>
      <w:r w:rsidRPr="00494076">
        <w:t xml:space="preserve"> </w:t>
      </w:r>
      <w:r>
        <w:t>Study 214367/COMET-ICE trial Proportion of p</w:t>
      </w:r>
      <w:r w:rsidRPr="00494076">
        <w:t xml:space="preserve">articipants </w:t>
      </w:r>
      <w:r>
        <w:t>with p</w:t>
      </w:r>
      <w:r w:rsidRPr="00494076">
        <w:t>rogressi</w:t>
      </w:r>
      <w:r>
        <w:t>on of COVID-19 through Day 29 (hospitalis</w:t>
      </w:r>
      <w:r w:rsidRPr="00494076">
        <w:t>ation for &gt;</w:t>
      </w:r>
      <w:r>
        <w:t xml:space="preserve"> 24 hours or death) (intent to treat population; interim analysis</w:t>
      </w:r>
      <w:r w:rsidRPr="00494076">
        <w:t>)</w:t>
      </w:r>
      <w:bookmarkEnd w:id="52"/>
    </w:p>
    <w:p w14:paraId="54A71B8D" w14:textId="2C7F10C7" w:rsidR="002F06AE" w:rsidRDefault="002F06AE" w:rsidP="002F06AE">
      <w:r>
        <w:rPr>
          <w:noProof/>
          <w:lang w:val="en-GB" w:eastAsia="en-GB"/>
        </w:rPr>
        <w:drawing>
          <wp:inline distT="0" distB="0" distL="0" distR="0" wp14:anchorId="6109702A" wp14:editId="121B4A06">
            <wp:extent cx="5473772" cy="2122227"/>
            <wp:effectExtent l="0" t="0" r="0" b="0"/>
            <wp:docPr id="13" name="Picture 13" descr="Study 214367/COMET-ICE trial Proportion of participants with progression of COVID-19 through Day 29 (hospitalisation for &gt; 24 hours or death) (intent to treat population; interim analysis)" title="Study 214367/COMET-ICE trial Proportion of participants with progression of COVID-19 through Day 29 (hospitalisation for &gt; 24 hours or death) (intent to treat population;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b="36389"/>
                    <a:stretch/>
                  </pic:blipFill>
                  <pic:spPr bwMode="auto">
                    <a:xfrm>
                      <a:off x="0" y="0"/>
                      <a:ext cx="5513811" cy="2137750"/>
                    </a:xfrm>
                    <a:prstGeom prst="rect">
                      <a:avLst/>
                    </a:prstGeom>
                    <a:noFill/>
                    <a:ln>
                      <a:noFill/>
                    </a:ln>
                    <a:extLst>
                      <a:ext uri="{53640926-AAD7-44D8-BBD7-CCE9431645EC}">
                        <a14:shadowObscured xmlns:a14="http://schemas.microsoft.com/office/drawing/2010/main"/>
                      </a:ext>
                    </a:extLst>
                  </pic:spPr>
                </pic:pic>
              </a:graphicData>
            </a:graphic>
          </wp:inline>
        </w:drawing>
      </w:r>
    </w:p>
    <w:p w14:paraId="21B35F10" w14:textId="73F222FE" w:rsidR="006D351F" w:rsidRDefault="006D351F" w:rsidP="00AC3F2D">
      <w:pPr>
        <w:pStyle w:val="TableDescription"/>
      </w:pPr>
      <w:r w:rsidRPr="00AC3F2D">
        <w:rPr>
          <w:vertAlign w:val="superscript"/>
        </w:rPr>
        <w:t>a</w:t>
      </w:r>
      <w:r>
        <w:t xml:space="preserve"> Risk ratio adjusted for treatment, duration of symptoms (≤ 3 days versus ≥ 4 days), age (≤ 70 versus &gt; 70 years old) and gender (female versus male) as covariates.</w:t>
      </w:r>
    </w:p>
    <w:p w14:paraId="2B3560F6" w14:textId="4B9F2E35" w:rsidR="006D351F" w:rsidRDefault="006D351F" w:rsidP="00AC3F2D">
      <w:pPr>
        <w:pStyle w:val="TableDescription"/>
      </w:pPr>
      <w:r w:rsidRPr="00AC3F2D">
        <w:rPr>
          <w:vertAlign w:val="superscript"/>
        </w:rPr>
        <w:t>b</w:t>
      </w:r>
      <w:r>
        <w:t xml:space="preserve"> Confidence interval level adjusted for the two planned interim analyses.</w:t>
      </w:r>
    </w:p>
    <w:p w14:paraId="34BC9579" w14:textId="10D43789" w:rsidR="006D351F" w:rsidRDefault="006D351F" w:rsidP="00AC3F2D">
      <w:pPr>
        <w:pStyle w:val="TableDescription"/>
      </w:pPr>
      <w:r w:rsidRPr="00AC3F2D">
        <w:rPr>
          <w:vertAlign w:val="superscript"/>
        </w:rPr>
        <w:t>c</w:t>
      </w:r>
      <w:r>
        <w:t xml:space="preserve"> Participants are counted in each subcategory of progression experienced up to the time point in question and so may be included in more than one category.</w:t>
      </w:r>
    </w:p>
    <w:p w14:paraId="386346BB" w14:textId="40B978F3" w:rsidR="006D351F" w:rsidRDefault="006D351F" w:rsidP="00AC3F2D">
      <w:pPr>
        <w:pStyle w:val="TableDescription"/>
      </w:pPr>
      <w:r w:rsidRPr="00AC3F2D">
        <w:rPr>
          <w:vertAlign w:val="superscript"/>
        </w:rPr>
        <w:t>d</w:t>
      </w:r>
      <w:r>
        <w:t xml:space="preserve"> Participants withdrawn prior to Day 29 for whom progression status is unknown. Includes 3 participants randomised to sotrovimab and 1 participant randomized to placebo withdre</w:t>
      </w:r>
      <w:r w:rsidR="00AC3F2D">
        <w:t>w consent prior to dosing and 1 participant treated with sotrovimab withdrew consent by Day 8.</w:t>
      </w:r>
    </w:p>
    <w:p w14:paraId="29D8D2AE" w14:textId="5AD23A53" w:rsidR="002F06AE" w:rsidRDefault="002F06AE" w:rsidP="002F06AE">
      <w:r>
        <w:t>Based on the difference in event rates, the estimat</w:t>
      </w:r>
      <w:r w:rsidR="00310CDB">
        <w:t>ed number needed to treat is 16 </w:t>
      </w:r>
      <w:r w:rsidR="00494076">
        <w:t>outpatients</w:t>
      </w:r>
      <w:r w:rsidR="00310CDB">
        <w:t xml:space="preserve"> </w:t>
      </w:r>
      <w:r w:rsidR="00494076">
        <w:t>(97.24% CI:20, 35)</w:t>
      </w:r>
      <w:r>
        <w:t xml:space="preserve"> outpatients at high risk for progression to severe CO</w:t>
      </w:r>
      <w:r w:rsidR="00494076">
        <w:t>VID-19 to prevent one hospitalis</w:t>
      </w:r>
      <w:r>
        <w:t>ation or death.</w:t>
      </w:r>
    </w:p>
    <w:p w14:paraId="7E172A9C" w14:textId="22337AA6" w:rsidR="002F06AE" w:rsidRDefault="002F06AE" w:rsidP="002F06AE">
      <w:r>
        <w:t>The planned Day 29 analysis (</w:t>
      </w:r>
      <w:r w:rsidR="00494076">
        <w:t>data cut</w:t>
      </w:r>
      <w:r w:rsidR="00260946">
        <w:t xml:space="preserve"> </w:t>
      </w:r>
      <w:r w:rsidR="00494076">
        <w:t>off of</w:t>
      </w:r>
      <w:r>
        <w:t xml:space="preserve"> 27 April 2021) for the primary endpoint has been conducted on the </w:t>
      </w:r>
      <w:r w:rsidR="00494076">
        <w:t>intent to treat population at Day 29</w:t>
      </w:r>
      <w:r>
        <w:t xml:space="preserve"> (N</w:t>
      </w:r>
      <w:r w:rsidR="00494076">
        <w:t xml:space="preserve"> </w:t>
      </w:r>
      <w:r>
        <w:t>=</w:t>
      </w:r>
      <w:r w:rsidR="00494076">
        <w:t xml:space="preserve"> </w:t>
      </w:r>
      <w:r>
        <w:t>1057) analysis set; treatment with sotrovimab resulted in a statistically significant reduction in the proportion of participants with COVID-19 progressing to greater than 24 hours</w:t>
      </w:r>
      <w:r w:rsidR="00260946">
        <w:t xml:space="preserve"> of</w:t>
      </w:r>
      <w:r>
        <w:t xml:space="preserve"> hospitalisation or death through Day 29 when compared with placebo (adjuste</w:t>
      </w:r>
      <w:r w:rsidR="00494076">
        <w:t>d relative risk reduction: 79% (95% CI: 50%, 91%)</w:t>
      </w:r>
      <w:r>
        <w:t xml:space="preserve">. This </w:t>
      </w:r>
      <w:r w:rsidR="00494076">
        <w:t>level of reduction in hospitalis</w:t>
      </w:r>
      <w:r>
        <w:t xml:space="preserve">ations or death in this </w:t>
      </w:r>
      <w:r w:rsidR="007D676B">
        <w:t xml:space="preserve">final Day 29 efficacy </w:t>
      </w:r>
      <w:r>
        <w:t xml:space="preserve">analysis is similar to that observed in the </w:t>
      </w:r>
      <w:r w:rsidR="00494076">
        <w:t>intent to treat (interim analysis)</w:t>
      </w:r>
      <w:r>
        <w:t xml:space="preserve"> population</w:t>
      </w:r>
    </w:p>
    <w:p w14:paraId="59CA94DD" w14:textId="5DEBCB82" w:rsidR="002F06AE" w:rsidRDefault="002F06AE" w:rsidP="002F06AE">
      <w:r>
        <w:t>Six participants met progression criteria for the primary endpoint in the sotrovimab arm. There were no deaths in the sotrovimab arm.</w:t>
      </w:r>
    </w:p>
    <w:p w14:paraId="39EB1EA2" w14:textId="07A9108E" w:rsidR="00E14539" w:rsidRDefault="00E14539" w:rsidP="002F06AE">
      <w:r>
        <w:t xml:space="preserve">A summary of the primary endpoint analyses was is presented in </w:t>
      </w:r>
      <w:r>
        <w:fldChar w:fldCharType="begin"/>
      </w:r>
      <w:r>
        <w:instrText xml:space="preserve"> REF _Ref79554781 \h </w:instrText>
      </w:r>
      <w:r>
        <w:fldChar w:fldCharType="separate"/>
      </w:r>
      <w:r w:rsidR="00F601F5">
        <w:t xml:space="preserve">Table </w:t>
      </w:r>
      <w:r w:rsidR="00F601F5">
        <w:rPr>
          <w:noProof/>
        </w:rPr>
        <w:t>4</w:t>
      </w:r>
      <w:r w:rsidR="00F601F5">
        <w:t xml:space="preserve">: </w:t>
      </w:r>
      <w:r w:rsidR="00F601F5" w:rsidRPr="00B85FD6">
        <w:t>Study 214367 (COMET-ICE trial) Summary of primary endpoint analyses (intent to treat populations, interim analysis and Day 29)</w:t>
      </w:r>
      <w:r>
        <w:fldChar w:fldCharType="end"/>
      </w:r>
      <w:r>
        <w:t xml:space="preserve"> shown below.</w:t>
      </w:r>
    </w:p>
    <w:p w14:paraId="3F1B9D0A" w14:textId="3B37FBB5" w:rsidR="00494076" w:rsidRDefault="00494076" w:rsidP="00E14539">
      <w:pPr>
        <w:pStyle w:val="TableTitle"/>
      </w:pPr>
      <w:bookmarkStart w:id="53" w:name="_Ref79554781"/>
      <w:r>
        <w:t xml:space="preserve">Table </w:t>
      </w:r>
      <w:r>
        <w:fldChar w:fldCharType="begin"/>
      </w:r>
      <w:r>
        <w:instrText>SEQ Table \* ARABIC</w:instrText>
      </w:r>
      <w:r>
        <w:fldChar w:fldCharType="separate"/>
      </w:r>
      <w:r w:rsidR="00F601F5">
        <w:rPr>
          <w:noProof/>
        </w:rPr>
        <w:t>4</w:t>
      </w:r>
      <w:r>
        <w:fldChar w:fldCharType="end"/>
      </w:r>
      <w:r>
        <w:t xml:space="preserve">: </w:t>
      </w:r>
      <w:r w:rsidRPr="00B85FD6">
        <w:t>Study 214367 (COMET-ICE trial) Summary of primary endpoint analyses (intent to treat populations, interim analysis and Day 29)</w:t>
      </w:r>
      <w:bookmarkEnd w:id="53"/>
    </w:p>
    <w:p w14:paraId="6ACE1591" w14:textId="3BF381CD" w:rsidR="002F06AE" w:rsidRDefault="002F06AE" w:rsidP="002F06AE">
      <w:r>
        <w:rPr>
          <w:noProof/>
          <w:lang w:val="en-GB" w:eastAsia="en-GB"/>
        </w:rPr>
        <w:drawing>
          <wp:inline distT="0" distB="0" distL="0" distR="0" wp14:anchorId="4220E488" wp14:editId="2222665B">
            <wp:extent cx="5405934" cy="1944805"/>
            <wp:effectExtent l="0" t="0" r="4445" b="0"/>
            <wp:docPr id="12" name="Picture 12" descr="Study 214367 (COMET-ICE trial) Summary of primary endpoint analyses (intent to treat populations, interim analysis and Day 29)" title="Study 214367 (COMET-ICE trial) Summary of primary endpoint analyses (intent to treat populations, interim analysis and Day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b="35153"/>
                    <a:stretch/>
                  </pic:blipFill>
                  <pic:spPr bwMode="auto">
                    <a:xfrm>
                      <a:off x="0" y="0"/>
                      <a:ext cx="5433015" cy="1954547"/>
                    </a:xfrm>
                    <a:prstGeom prst="rect">
                      <a:avLst/>
                    </a:prstGeom>
                    <a:noFill/>
                    <a:ln>
                      <a:noFill/>
                    </a:ln>
                    <a:extLst>
                      <a:ext uri="{53640926-AAD7-44D8-BBD7-CCE9431645EC}">
                        <a14:shadowObscured xmlns:a14="http://schemas.microsoft.com/office/drawing/2010/main"/>
                      </a:ext>
                    </a:extLst>
                  </pic:spPr>
                </pic:pic>
              </a:graphicData>
            </a:graphic>
          </wp:inline>
        </w:drawing>
      </w:r>
    </w:p>
    <w:p w14:paraId="07C7631A" w14:textId="508AD0F8" w:rsidR="00AC3F2D" w:rsidRDefault="00AC3F2D" w:rsidP="008E64CA">
      <w:pPr>
        <w:pStyle w:val="TableDescription"/>
      </w:pPr>
      <w:r>
        <w:t xml:space="preserve">Interim analysis 1 </w:t>
      </w:r>
      <w:r w:rsidR="00260946">
        <w:t>data cut off</w:t>
      </w:r>
      <w:r>
        <w:t xml:space="preserve">: 4 March 2021, Day 29 analysis </w:t>
      </w:r>
      <w:r w:rsidR="00260946">
        <w:t>data cut off</w:t>
      </w:r>
      <w:r>
        <w:t>: 27 April 2021</w:t>
      </w:r>
    </w:p>
    <w:p w14:paraId="52AA19FB" w14:textId="77853F0F" w:rsidR="00AC3F2D" w:rsidRDefault="00AC3F2D" w:rsidP="008E64CA">
      <w:pPr>
        <w:pStyle w:val="TableDescription"/>
      </w:pPr>
      <w:r w:rsidRPr="003A1363">
        <w:rPr>
          <w:vertAlign w:val="superscript"/>
        </w:rPr>
        <w:t>a</w:t>
      </w:r>
      <w:r>
        <w:t xml:space="preserve"> One participant died at home due to CVOID-19 pneumonia without hospitalisation and one participant died in hospital due to pneumonia.</w:t>
      </w:r>
    </w:p>
    <w:p w14:paraId="4DD111DE" w14:textId="787F9CD9" w:rsidR="00AC3F2D" w:rsidRDefault="00AC3F2D" w:rsidP="008E64CA">
      <w:pPr>
        <w:pStyle w:val="TableDescription"/>
      </w:pPr>
      <w:r w:rsidRPr="003A1363">
        <w:rPr>
          <w:vertAlign w:val="superscript"/>
        </w:rPr>
        <w:t>b</w:t>
      </w:r>
      <w:r>
        <w:t xml:space="preserve"> For </w:t>
      </w:r>
      <w:r w:rsidR="00260946">
        <w:t xml:space="preserve">the </w:t>
      </w:r>
      <w:r>
        <w:t xml:space="preserve">intent to treat (ITT) </w:t>
      </w:r>
      <w:r w:rsidR="00260946">
        <w:t>interim analysis</w:t>
      </w:r>
      <w:r>
        <w:t>: Participants withdrawn prior to Day 29 for whom progression status in unknown, includes 1 placebo participant who withdrew consent prior to treatment and 4 sotrovimab participants (3 withdrew consent prior to treatment and 1 withdrew consent on Day 5 due to personal reasons)</w:t>
      </w:r>
    </w:p>
    <w:p w14:paraId="61262A1E" w14:textId="06431E54" w:rsidR="00AC3F2D" w:rsidRDefault="00AC3F2D" w:rsidP="008E64CA">
      <w:pPr>
        <w:pStyle w:val="TableDescription"/>
      </w:pPr>
      <w:r w:rsidRPr="003A1363">
        <w:rPr>
          <w:vertAlign w:val="superscript"/>
        </w:rPr>
        <w:t>c</w:t>
      </w:r>
      <w:r>
        <w:t xml:space="preserve"> For </w:t>
      </w:r>
      <w:r w:rsidR="00260946">
        <w:t>the intent to treat (</w:t>
      </w:r>
      <w:r>
        <w:t>ITT</w:t>
      </w:r>
      <w:r w:rsidR="00260946">
        <w:t>) population at</w:t>
      </w:r>
      <w:r>
        <w:t xml:space="preserve"> (Day</w:t>
      </w:r>
      <w:r w:rsidR="00260946">
        <w:t xml:space="preserve"> </w:t>
      </w:r>
      <w:r>
        <w:t>29</w:t>
      </w:r>
      <w:r w:rsidR="00260946">
        <w:t xml:space="preserve"> analysis</w:t>
      </w:r>
      <w:r>
        <w:t>): Participant withdrawn prior to Day 29 for whom progression status is unknown, includes 5 placebo participants (2 withdrew consent prior to treatment, 1 withdrew consent on Day 3, 1 withdrew consent on Day 15, 1 was withdrawn due to an adverse event of intermittent nausea on Day 11) and 7 sotrovimab participants (4 withdrew consent prior to treatment, 2 were withdrawn due to physician decision prior to treatment and 1 withdrew consent on Day 5 due to personal reasons</w:t>
      </w:r>
      <w:r w:rsidR="008E64CA">
        <w:t>).</w:t>
      </w:r>
    </w:p>
    <w:p w14:paraId="795838B7" w14:textId="0981BF90" w:rsidR="008E64CA" w:rsidRDefault="008E64CA" w:rsidP="008E64CA">
      <w:pPr>
        <w:pStyle w:val="TableDescription"/>
      </w:pPr>
      <w:r w:rsidRPr="003A1363">
        <w:rPr>
          <w:vertAlign w:val="superscript"/>
        </w:rPr>
        <w:t>d</w:t>
      </w:r>
      <w:r>
        <w:t xml:space="preserve"> Significance level for the Interim analysis 1 Day 29 α = 2.758%</w:t>
      </w:r>
    </w:p>
    <w:p w14:paraId="519EB102" w14:textId="1F50F62C" w:rsidR="008E64CA" w:rsidRDefault="008E64CA" w:rsidP="008E64CA">
      <w:pPr>
        <w:pStyle w:val="TableDescription"/>
      </w:pPr>
      <w:r w:rsidRPr="003A1363">
        <w:rPr>
          <w:vertAlign w:val="superscript"/>
        </w:rPr>
        <w:t>e</w:t>
      </w:r>
      <w:r>
        <w:t xml:space="preserve"> Number of participants needed to treat in order to prevent one additional hospitalisation &gt; 24 hours or death by Day 29.</w:t>
      </w:r>
    </w:p>
    <w:p w14:paraId="7F1E5EDF" w14:textId="77777777" w:rsidR="002F06AE" w:rsidRDefault="002F06AE" w:rsidP="002F06AE">
      <w:pPr>
        <w:rPr>
          <w:highlight w:val="yellow"/>
        </w:rPr>
      </w:pPr>
      <w:r>
        <w:t>The primary endpoint result was robust to a sensitivity analysis which analysed participants with missing data as treatment failures. Only 1% of subjects were missing data.</w:t>
      </w:r>
    </w:p>
    <w:p w14:paraId="4B2A9350" w14:textId="15C61ABC" w:rsidR="002F06AE" w:rsidRDefault="00E14539" w:rsidP="00E14539">
      <w:pPr>
        <w:pStyle w:val="Heading6"/>
      </w:pPr>
      <w:r>
        <w:t>Results for the sensitivity analysis (m</w:t>
      </w:r>
      <w:r w:rsidR="002F06AE">
        <w:t>issing-data as progression analysis)</w:t>
      </w:r>
    </w:p>
    <w:p w14:paraId="3B62391B" w14:textId="025F10EF" w:rsidR="002F06AE" w:rsidRDefault="002F06AE" w:rsidP="002F06AE">
      <w:r>
        <w:t xml:space="preserve">Results for the primary endpoint were generally consistent with those reported in the </w:t>
      </w:r>
      <w:r w:rsidR="00E14539">
        <w:t>intent to treat population (interim analysis) and intent to treat</w:t>
      </w:r>
      <w:r>
        <w:t xml:space="preserve"> (Day 29) population when, as a sensitivity analysis, participants with missing primary endpoint data were analysed as treatment failures. The adjusted relative risk reduction was 68% (p</w:t>
      </w:r>
      <w:r w:rsidR="00E14539">
        <w:t xml:space="preserve"> </w:t>
      </w:r>
      <w:r>
        <w:t>=</w:t>
      </w:r>
      <w:r w:rsidR="00E14539">
        <w:t xml:space="preserve"> 0.007) and 62% </w:t>
      </w:r>
      <w:r>
        <w:t>(p</w:t>
      </w:r>
      <w:r w:rsidR="00E14539">
        <w:t> </w:t>
      </w:r>
      <w:r>
        <w:t>=</w:t>
      </w:r>
      <w:r w:rsidR="00E14539">
        <w:t> </w:t>
      </w:r>
      <w:r>
        <w:t>0.003</w:t>
      </w:r>
      <w:r w:rsidR="00E14539">
        <w:t>), respectively, in the two intention to treat (interim analysis</w:t>
      </w:r>
      <w:r>
        <w:t xml:space="preserve"> and Day 29) analyses in the risk of COVID-19 progression to hospitalisation &gt;</w:t>
      </w:r>
      <w:r w:rsidR="00E14539">
        <w:t> </w:t>
      </w:r>
      <w:r>
        <w:t>24 hours for acute management of any illness or death from any cause in the sotrovimab arm when compared with placebo through Day 29 (missing progression status</w:t>
      </w:r>
      <w:r w:rsidR="00E14539">
        <w:t> </w:t>
      </w:r>
      <w:r>
        <w:t>=</w:t>
      </w:r>
      <w:r w:rsidR="00E14539">
        <w:t> </w:t>
      </w:r>
      <w:r>
        <w:t>treatment failure).</w:t>
      </w:r>
    </w:p>
    <w:p w14:paraId="4235A0DE" w14:textId="371C46F2" w:rsidR="002F06AE" w:rsidRPr="00E14539" w:rsidRDefault="00E14539" w:rsidP="002F06AE">
      <w:r>
        <w:fldChar w:fldCharType="begin"/>
      </w:r>
      <w:r>
        <w:instrText xml:space="preserve"> REF _Ref79555118 \h </w:instrText>
      </w:r>
      <w:r>
        <w:fldChar w:fldCharType="separate"/>
      </w:r>
      <w:r w:rsidR="00F601F5">
        <w:t xml:space="preserve">Table </w:t>
      </w:r>
      <w:r w:rsidR="00F601F5">
        <w:rPr>
          <w:noProof/>
        </w:rPr>
        <w:t>5</w:t>
      </w:r>
      <w:r w:rsidR="00F601F5">
        <w:t xml:space="preserve">: </w:t>
      </w:r>
      <w:r w:rsidR="00F601F5" w:rsidRPr="00E14539">
        <w:t>Study 214367/COMET ICE trial Summary and analysis of proportion of participants who have progression of COVID-19 through Day 29 (hospitalisation for &gt;24 hours or death): missing progression status considered as progression (intention to treat population (interim analysis) and Day 29)</w:t>
      </w:r>
      <w:r>
        <w:fldChar w:fldCharType="end"/>
      </w:r>
      <w:r>
        <w:t xml:space="preserve"> provides a s</w:t>
      </w:r>
      <w:r w:rsidRPr="00E14539">
        <w:t>ummary and analysis of proportion of participants who have progression of COVID-19 through Day 29 (hospitalisation for &gt;24 hours or death): missing progression status considered as progression (intention to treat population (interim analysis) and Day 29)</w:t>
      </w:r>
      <w:r>
        <w:t>.</w:t>
      </w:r>
    </w:p>
    <w:p w14:paraId="562042BB" w14:textId="1643C6DC" w:rsidR="00E14539" w:rsidRDefault="00E14539" w:rsidP="00E14539">
      <w:pPr>
        <w:pStyle w:val="TableTitle"/>
      </w:pPr>
      <w:bookmarkStart w:id="54" w:name="_Ref79555118"/>
      <w:r>
        <w:t xml:space="preserve">Table </w:t>
      </w:r>
      <w:r>
        <w:fldChar w:fldCharType="begin"/>
      </w:r>
      <w:r>
        <w:instrText>SEQ Table \* ARABIC</w:instrText>
      </w:r>
      <w:r>
        <w:fldChar w:fldCharType="separate"/>
      </w:r>
      <w:r w:rsidR="00F601F5">
        <w:rPr>
          <w:noProof/>
        </w:rPr>
        <w:t>5</w:t>
      </w:r>
      <w:r>
        <w:fldChar w:fldCharType="end"/>
      </w:r>
      <w:r>
        <w:t xml:space="preserve">: </w:t>
      </w:r>
      <w:r w:rsidRPr="00E14539">
        <w:t>Study 214367/COMET ICE trial Summary and analysis of proportion of participants who have progression of COVID-19 through Day 29 (hospitalisation for &gt;24 hours or death): missing progression status considered as progression (intention to treat population (interim analysis) and Day 29)</w:t>
      </w:r>
      <w:bookmarkEnd w:id="54"/>
    </w:p>
    <w:p w14:paraId="1E69393F" w14:textId="31449429" w:rsidR="002F06AE" w:rsidRDefault="00953ECA" w:rsidP="002F06AE">
      <w:r w:rsidRPr="00953ECA">
        <w:rPr>
          <w:noProof/>
          <w:lang w:val="en-GB" w:eastAsia="en-GB"/>
        </w:rPr>
        <w:drawing>
          <wp:inline distT="0" distB="0" distL="0" distR="0" wp14:anchorId="5FF669B6" wp14:editId="73FA291C">
            <wp:extent cx="5398611" cy="17259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9865"/>
                    <a:stretch/>
                  </pic:blipFill>
                  <pic:spPr bwMode="auto">
                    <a:xfrm>
                      <a:off x="0" y="0"/>
                      <a:ext cx="5427266" cy="1735091"/>
                    </a:xfrm>
                    <a:prstGeom prst="rect">
                      <a:avLst/>
                    </a:prstGeom>
                    <a:ln>
                      <a:noFill/>
                    </a:ln>
                    <a:extLst>
                      <a:ext uri="{53640926-AAD7-44D8-BBD7-CCE9431645EC}">
                        <a14:shadowObscured xmlns:a14="http://schemas.microsoft.com/office/drawing/2010/main"/>
                      </a:ext>
                    </a:extLst>
                  </pic:spPr>
                </pic:pic>
              </a:graphicData>
            </a:graphic>
          </wp:inline>
        </w:drawing>
      </w:r>
    </w:p>
    <w:p w14:paraId="2EF4B180" w14:textId="6F435F96" w:rsidR="00953ECA" w:rsidRPr="00F45B99" w:rsidRDefault="00953ECA" w:rsidP="00F45B99">
      <w:pPr>
        <w:pStyle w:val="TableDescription"/>
      </w:pPr>
      <w:r w:rsidRPr="00F45B99">
        <w:t xml:space="preserve">Interim </w:t>
      </w:r>
      <w:r w:rsidR="008060A4">
        <w:t>a</w:t>
      </w:r>
      <w:r w:rsidRPr="00F45B99">
        <w:t xml:space="preserve">nalysis 1 </w:t>
      </w:r>
      <w:r w:rsidR="008060A4">
        <w:t>data cut off</w:t>
      </w:r>
      <w:r w:rsidRPr="00F45B99">
        <w:t>: 4 March 2021</w:t>
      </w:r>
    </w:p>
    <w:p w14:paraId="38F01AA2" w14:textId="356BC49F" w:rsidR="00953ECA" w:rsidRPr="00F45B99" w:rsidRDefault="00953ECA" w:rsidP="00F45B99">
      <w:pPr>
        <w:pStyle w:val="TableDescription"/>
      </w:pPr>
      <w:r w:rsidRPr="00F45B99">
        <w:t xml:space="preserve">Day 29 </w:t>
      </w:r>
      <w:r w:rsidR="008060A4">
        <w:t>a</w:t>
      </w:r>
      <w:r w:rsidRPr="00F45B99">
        <w:t xml:space="preserve">nalysis </w:t>
      </w:r>
      <w:r w:rsidR="008060A4">
        <w:t>data cut off</w:t>
      </w:r>
      <w:r w:rsidRPr="00F45B99">
        <w:t>: 27 April 2021</w:t>
      </w:r>
    </w:p>
    <w:p w14:paraId="1A6D5AF6" w14:textId="0262D757" w:rsidR="00953ECA" w:rsidRPr="00F45B99" w:rsidRDefault="00953ECA" w:rsidP="00F45B99">
      <w:pPr>
        <w:pStyle w:val="TableDescription"/>
      </w:pPr>
      <w:r w:rsidRPr="00F45B99">
        <w:rPr>
          <w:vertAlign w:val="superscript"/>
        </w:rPr>
        <w:t>a</w:t>
      </w:r>
      <w:r w:rsidRPr="00F45B99">
        <w:t xml:space="preserve"> For </w:t>
      </w:r>
      <w:r w:rsidR="00F45B99" w:rsidRPr="00F45B99">
        <w:t>intent to treat (</w:t>
      </w:r>
      <w:r w:rsidRPr="00F45B99">
        <w:t>ITT</w:t>
      </w:r>
      <w:r w:rsidR="00F45B99" w:rsidRPr="00F45B99">
        <w:t>)</w:t>
      </w:r>
      <w:r w:rsidRPr="00F45B99">
        <w:t xml:space="preserve"> (</w:t>
      </w:r>
      <w:r w:rsidR="008060A4">
        <w:t>interim analysis</w:t>
      </w:r>
      <w:r w:rsidR="00F45B99" w:rsidRPr="00F45B99">
        <w:t>): Participants withdrawn prior to Day 29 for whom progression status is unknown. Includes 1 placebo participant who withdrew constent prior to dosing and 4 sotrovimab participants (4 withdrew consent prior to treatment and 1 withdrew consent on Day 5 due to personal reasons. Note: relative risk ratio is presented using a Poisson regression model with a robust sandwich estimator, adjusted for treatment (sotrovimab versus placebo), duration of symptoms (≤ 3 days versus ≥ 4 days), age ≤ 70 versus &gt; 70 years old) and gender (female versus male) as covariates. Available data were used in the analysis as collected, regardless of the occurrence of intercurrent events. Missing data were imputed as a progression (treatment failure). Participants are counted in each subcategory of progression experienced up to the timepoint in question so may be included in more than one category.</w:t>
      </w:r>
    </w:p>
    <w:p w14:paraId="5E99890E" w14:textId="063DB5C6" w:rsidR="00F45B99" w:rsidRPr="00F45B99" w:rsidRDefault="00F45B99" w:rsidP="00F45B99">
      <w:pPr>
        <w:pStyle w:val="TableDescription"/>
      </w:pPr>
      <w:r w:rsidRPr="00F45B99">
        <w:rPr>
          <w:vertAlign w:val="superscript"/>
        </w:rPr>
        <w:t>b</w:t>
      </w:r>
      <w:r w:rsidRPr="00F45B99">
        <w:t xml:space="preserve"> For </w:t>
      </w:r>
      <w:r w:rsidR="008060A4">
        <w:t>the intent to treat</w:t>
      </w:r>
      <w:r w:rsidRPr="00F45B99">
        <w:t xml:space="preserve"> (Day 29</w:t>
      </w:r>
      <w:r w:rsidR="008060A4">
        <w:t xml:space="preserve"> analysis</w:t>
      </w:r>
      <w:r w:rsidRPr="00F45B99">
        <w:t>): Participant withdrawn prior to Day 29 for whom progression status is unknown. Includes 5 placebo participants (2 withdrew consent prior to treatment, 1 withdrew consent on Day 3, 1 withdrew consent on Day 15, 1 withdrawn due to an adverse event of intermittent nausea on Day 11) and 7 sotrovimab participants (4 withdrew consent prior to treatment, 2</w:t>
      </w:r>
      <w:r w:rsidR="008060A4">
        <w:t> </w:t>
      </w:r>
      <w:r w:rsidRPr="00F45B99">
        <w:t>were withdrawn due to physician decision prior to treatment and 1 withdrew consent on Day 5 due to personal reasons)</w:t>
      </w:r>
      <w:r w:rsidR="008060A4">
        <w:t>.</w:t>
      </w:r>
    </w:p>
    <w:p w14:paraId="529AF1AC" w14:textId="6C1518E8" w:rsidR="002F06AE" w:rsidRDefault="002F06AE" w:rsidP="001E7895">
      <w:pPr>
        <w:pStyle w:val="Heading6"/>
      </w:pPr>
      <w:r>
        <w:t xml:space="preserve">Results for the </w:t>
      </w:r>
      <w:r w:rsidR="001E7895">
        <w:t>secondary endpoint testing hierarchy</w:t>
      </w:r>
    </w:p>
    <w:p w14:paraId="4A0A5261" w14:textId="03D52EEE" w:rsidR="001E7895" w:rsidRDefault="002F06AE" w:rsidP="001E7895">
      <w:r>
        <w:t>Hierarchical statistical testing of the key secondary endpoints indicated that the results for these endpoints are statistically significant.</w:t>
      </w:r>
    </w:p>
    <w:p w14:paraId="24760421" w14:textId="1ED2D9CE" w:rsidR="00B20A95" w:rsidRPr="001E7895" w:rsidRDefault="00B20A95" w:rsidP="001E7895">
      <w:r>
        <w:fldChar w:fldCharType="begin"/>
      </w:r>
      <w:r>
        <w:instrText xml:space="preserve"> REF _Ref79555370 \h </w:instrText>
      </w:r>
      <w:r>
        <w:fldChar w:fldCharType="separate"/>
      </w:r>
      <w:r w:rsidR="00F601F5">
        <w:t xml:space="preserve">Table </w:t>
      </w:r>
      <w:r w:rsidR="00F601F5">
        <w:rPr>
          <w:noProof/>
        </w:rPr>
        <w:t>6</w:t>
      </w:r>
      <w:r w:rsidR="00F601F5">
        <w:t xml:space="preserve">: </w:t>
      </w:r>
      <w:r w:rsidR="00F601F5" w:rsidRPr="00373995">
        <w:t>Study 214367/COMET-ICE trial Summary of secondary endpoint testing hierarchy</w:t>
      </w:r>
      <w:r>
        <w:fldChar w:fldCharType="end"/>
      </w:r>
      <w:r>
        <w:t xml:space="preserve"> shown below, provides a summary </w:t>
      </w:r>
      <w:r w:rsidRPr="00B20A95">
        <w:t>of</w:t>
      </w:r>
      <w:r>
        <w:t xml:space="preserve"> the</w:t>
      </w:r>
      <w:r w:rsidRPr="00B20A95">
        <w:t xml:space="preserve"> secondary endpoint testing hierarchy</w:t>
      </w:r>
      <w:r w:rsidRPr="001E7895">
        <w:t xml:space="preserve"> </w:t>
      </w:r>
    </w:p>
    <w:p w14:paraId="11753555" w14:textId="30A0ABA9" w:rsidR="001E7895" w:rsidRDefault="001E7895" w:rsidP="001E7895">
      <w:pPr>
        <w:pStyle w:val="TableTitle"/>
      </w:pPr>
      <w:bookmarkStart w:id="55" w:name="_Ref79555370"/>
      <w:r>
        <w:t xml:space="preserve">Table </w:t>
      </w:r>
      <w:r>
        <w:fldChar w:fldCharType="begin"/>
      </w:r>
      <w:r>
        <w:instrText>SEQ Table \* ARABIC</w:instrText>
      </w:r>
      <w:r>
        <w:fldChar w:fldCharType="separate"/>
      </w:r>
      <w:r w:rsidR="00F601F5">
        <w:rPr>
          <w:noProof/>
        </w:rPr>
        <w:t>6</w:t>
      </w:r>
      <w:r>
        <w:fldChar w:fldCharType="end"/>
      </w:r>
      <w:r>
        <w:t xml:space="preserve">: </w:t>
      </w:r>
      <w:r w:rsidRPr="00373995">
        <w:t>Study 214367/COMET-ICE trial Summary of secondary endpoint testing hierarchy</w:t>
      </w:r>
      <w:bookmarkEnd w:id="55"/>
    </w:p>
    <w:p w14:paraId="38AE4F47" w14:textId="2B8567D7" w:rsidR="002F06AE" w:rsidRDefault="002F06AE" w:rsidP="002F06AE">
      <w:r>
        <w:rPr>
          <w:noProof/>
          <w:lang w:val="en-GB" w:eastAsia="en-GB"/>
        </w:rPr>
        <w:drawing>
          <wp:inline distT="0" distB="0" distL="0" distR="0" wp14:anchorId="363F87FB" wp14:editId="22C04CA7">
            <wp:extent cx="5382783" cy="4206240"/>
            <wp:effectExtent l="0" t="0" r="8890" b="3810"/>
            <wp:docPr id="10" name="Picture 10" descr="Study 214367/COMET-ICE trial Summary of secondary endpoint testing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b="13264"/>
                    <a:stretch/>
                  </pic:blipFill>
                  <pic:spPr bwMode="auto">
                    <a:xfrm>
                      <a:off x="0" y="0"/>
                      <a:ext cx="5411729" cy="4228859"/>
                    </a:xfrm>
                    <a:prstGeom prst="rect">
                      <a:avLst/>
                    </a:prstGeom>
                    <a:noFill/>
                    <a:ln>
                      <a:noFill/>
                    </a:ln>
                    <a:extLst>
                      <a:ext uri="{53640926-AAD7-44D8-BBD7-CCE9431645EC}">
                        <a14:shadowObscured xmlns:a14="http://schemas.microsoft.com/office/drawing/2010/main"/>
                      </a:ext>
                    </a:extLst>
                  </pic:spPr>
                </pic:pic>
              </a:graphicData>
            </a:graphic>
          </wp:inline>
        </w:drawing>
      </w:r>
    </w:p>
    <w:p w14:paraId="37ED6B90" w14:textId="4372AA2B" w:rsidR="00F45B99" w:rsidRPr="00322737" w:rsidRDefault="00F45B99" w:rsidP="00322737">
      <w:pPr>
        <w:pStyle w:val="TableDescription"/>
      </w:pPr>
      <w:r w:rsidRPr="00322737">
        <w:t xml:space="preserve">Day 29 </w:t>
      </w:r>
      <w:r w:rsidR="008060A4">
        <w:t>a</w:t>
      </w:r>
      <w:r w:rsidRPr="00322737">
        <w:t xml:space="preserve">nalysis </w:t>
      </w:r>
      <w:r w:rsidR="008060A4">
        <w:t>data cut off:</w:t>
      </w:r>
      <w:r w:rsidRPr="00322737">
        <w:t xml:space="preserve"> 27 April 2021 </w:t>
      </w:r>
    </w:p>
    <w:p w14:paraId="3039557D" w14:textId="23D8B933" w:rsidR="00F45B99" w:rsidRPr="00322737" w:rsidRDefault="00F45B99" w:rsidP="00322737">
      <w:pPr>
        <w:pStyle w:val="TableDescription"/>
      </w:pPr>
      <w:r w:rsidRPr="00322737">
        <w:rPr>
          <w:vertAlign w:val="superscript"/>
        </w:rPr>
        <w:t>a</w:t>
      </w:r>
      <w:r w:rsidRPr="00322737">
        <w:t xml:space="preserve"> Number of participants with analysable data at Day 8</w:t>
      </w:r>
    </w:p>
    <w:p w14:paraId="59B691ED" w14:textId="17A1D901" w:rsidR="00F45B99" w:rsidRPr="00322737" w:rsidRDefault="00F45B99" w:rsidP="00322737">
      <w:pPr>
        <w:pStyle w:val="TableDescription"/>
      </w:pPr>
      <w:r w:rsidRPr="00322737">
        <w:rPr>
          <w:vertAlign w:val="superscript"/>
        </w:rPr>
        <w:t>b</w:t>
      </w:r>
      <w:r w:rsidRPr="00322737">
        <w:t xml:space="preserve"> Number of participants included in </w:t>
      </w:r>
      <w:r w:rsidR="00322737" w:rsidRPr="00322737">
        <w:t>the analysis</w:t>
      </w:r>
    </w:p>
    <w:p w14:paraId="370EC219" w14:textId="6BB40915" w:rsidR="00322737" w:rsidRDefault="00322737" w:rsidP="00322737">
      <w:pPr>
        <w:pStyle w:val="TableDescription"/>
      </w:pPr>
      <w:r w:rsidRPr="00322737">
        <w:rPr>
          <w:vertAlign w:val="superscript"/>
        </w:rPr>
        <w:t>c</w:t>
      </w:r>
      <w:r w:rsidRPr="00322737">
        <w:t xml:space="preserve"> Log-rank test was not performed due to insufficient number of events</w:t>
      </w:r>
    </w:p>
    <w:p w14:paraId="74CD4CEF" w14:textId="57D7757F" w:rsidR="008060A4" w:rsidRPr="00322737" w:rsidRDefault="008060A4" w:rsidP="00322737">
      <w:pPr>
        <w:pStyle w:val="TableDescription"/>
      </w:pPr>
      <w:r>
        <w:t>ITT = intent to treat; ER = emergency room; CI = confidence interval; LS = least squares; SE = standard error; AUC = area under the concentration-time curve.</w:t>
      </w:r>
    </w:p>
    <w:p w14:paraId="122427A5" w14:textId="4DFD0D7A" w:rsidR="002F06AE" w:rsidRPr="00357A80" w:rsidRDefault="00357A80" w:rsidP="00357A80">
      <w:pPr>
        <w:pStyle w:val="Heading7"/>
        <w:rPr>
          <w:sz w:val="22"/>
        </w:rPr>
      </w:pPr>
      <w:r>
        <w:rPr>
          <w:sz w:val="22"/>
        </w:rPr>
        <w:t>Progression of COVID-19 t</w:t>
      </w:r>
      <w:r w:rsidR="002F06AE" w:rsidRPr="00357A80">
        <w:rPr>
          <w:sz w:val="22"/>
        </w:rPr>
        <w:t>hrough Day 29 a</w:t>
      </w:r>
      <w:r w:rsidRPr="00357A80">
        <w:rPr>
          <w:sz w:val="22"/>
        </w:rPr>
        <w:t>s defined by visit to a hospital emergency room for management of illness or hospitalisation for acute management of illness or death due to any cause (secondary endpoint)</w:t>
      </w:r>
    </w:p>
    <w:p w14:paraId="48AD5726" w14:textId="20F716D4" w:rsidR="00357A80" w:rsidRDefault="002F06AE" w:rsidP="00357A80">
      <w:r w:rsidRPr="00357A80">
        <w:t>Treatment with a single 500 mg dose of sotrovimab resulted in a statistically significant reduction in ne</w:t>
      </w:r>
      <w:r w:rsidR="00357A80">
        <w:t xml:space="preserve">ed for hospital emergency room </w:t>
      </w:r>
      <w:r w:rsidRPr="00357A80">
        <w:t>visits for management of illness or hospitalisation for acute management of illness (any duration) or death (any cause) through Day 29 when compared with placebo (adjusted relative risk reduction: 66</w:t>
      </w:r>
      <w:r w:rsidR="00357A80">
        <w:t>% (95%</w:t>
      </w:r>
      <w:r w:rsidR="008060A4">
        <w:t> </w:t>
      </w:r>
      <w:r w:rsidR="00357A80">
        <w:t>CI: 37%, 81%); p &lt; 0.001).</w:t>
      </w:r>
    </w:p>
    <w:p w14:paraId="7679DEC1" w14:textId="4868B1D2" w:rsidR="00F87DF7" w:rsidRDefault="002F06AE" w:rsidP="00357A80">
      <w:r w:rsidRPr="00357A80">
        <w:t>Thirteen (2%) participants in the sotrovimab arm compared with 39 (7%) in the placebo arm met the secondary endpoint of progression of COVID-19 through Day 29 as d</w:t>
      </w:r>
      <w:r w:rsidR="00357A80">
        <w:t xml:space="preserve">efined by visit to a hospital emergency room </w:t>
      </w:r>
      <w:r w:rsidRPr="00357A80">
        <w:t xml:space="preserve"> for management of illness or hospitalisation for acute management of illness (any durati</w:t>
      </w:r>
      <w:r w:rsidR="00357A80">
        <w:t>on) or death due to any cause.</w:t>
      </w:r>
    </w:p>
    <w:p w14:paraId="2BF73BBA" w14:textId="6CE27997" w:rsidR="00357A80" w:rsidRDefault="00357A80" w:rsidP="001D7480">
      <w:pPr>
        <w:pStyle w:val="TableTitle"/>
      </w:pPr>
      <w:r>
        <w:t xml:space="preserve">Table </w:t>
      </w:r>
      <w:r>
        <w:fldChar w:fldCharType="begin"/>
      </w:r>
      <w:r>
        <w:instrText>SEQ Table \* ARABIC</w:instrText>
      </w:r>
      <w:r>
        <w:fldChar w:fldCharType="separate"/>
      </w:r>
      <w:r w:rsidR="00F601F5">
        <w:rPr>
          <w:noProof/>
        </w:rPr>
        <w:t>7</w:t>
      </w:r>
      <w:r>
        <w:fldChar w:fldCharType="end"/>
      </w:r>
      <w:r>
        <w:t xml:space="preserve">: </w:t>
      </w:r>
      <w:r w:rsidRPr="009B65AB">
        <w:t>Study 214367 (COMET-ICE trial) Progression of COVID-19 through Day 29 as defined by visit to a hospital emergency room for management of illness or hospitalisation for acute management of illness or death due to any cause (secondary endpoint)</w:t>
      </w:r>
    </w:p>
    <w:p w14:paraId="034F55AF" w14:textId="4649741D" w:rsidR="002F06AE" w:rsidRDefault="002F06AE" w:rsidP="002F06AE">
      <w:pPr>
        <w:autoSpaceDE w:val="0"/>
        <w:autoSpaceDN w:val="0"/>
        <w:adjustRightInd w:val="0"/>
        <w:spacing w:before="0" w:after="0" w:line="240" w:lineRule="auto"/>
        <w:rPr>
          <w:rFonts w:ascii="Times New Roman" w:eastAsiaTheme="minorHAnsi" w:hAnsi="Times New Roman"/>
          <w:color w:val="000000"/>
          <w:sz w:val="24"/>
          <w:szCs w:val="24"/>
        </w:rPr>
      </w:pPr>
      <w:r>
        <w:rPr>
          <w:noProof/>
          <w:lang w:val="en-GB" w:eastAsia="en-GB"/>
        </w:rPr>
        <w:drawing>
          <wp:inline distT="0" distB="0" distL="0" distR="0" wp14:anchorId="3E5076DC" wp14:editId="6EE060DD">
            <wp:extent cx="5381016" cy="1858060"/>
            <wp:effectExtent l="0" t="0" r="0" b="8890"/>
            <wp:docPr id="9" name="Picture 9" descr="Study 214367 (COMET-ICE trial) Progression of COVID-19 through Day 29 as defined by visit to a hospital emergency room for management of illness or hospitalisation for acute management of illness or death due to any cause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b="19436"/>
                    <a:stretch/>
                  </pic:blipFill>
                  <pic:spPr bwMode="auto">
                    <a:xfrm>
                      <a:off x="0" y="0"/>
                      <a:ext cx="5412096" cy="1868792"/>
                    </a:xfrm>
                    <a:prstGeom prst="rect">
                      <a:avLst/>
                    </a:prstGeom>
                    <a:noFill/>
                    <a:ln>
                      <a:noFill/>
                    </a:ln>
                    <a:extLst>
                      <a:ext uri="{53640926-AAD7-44D8-BBD7-CCE9431645EC}">
                        <a14:shadowObscured xmlns:a14="http://schemas.microsoft.com/office/drawing/2010/main"/>
                      </a:ext>
                    </a:extLst>
                  </pic:spPr>
                </pic:pic>
              </a:graphicData>
            </a:graphic>
          </wp:inline>
        </w:drawing>
      </w:r>
    </w:p>
    <w:p w14:paraId="0AF86763" w14:textId="4E29F0DB" w:rsidR="00322737" w:rsidRDefault="00322737" w:rsidP="00322737">
      <w:pPr>
        <w:pStyle w:val="TableDescription"/>
      </w:pPr>
      <w:r>
        <w:t xml:space="preserve">Day 29 </w:t>
      </w:r>
      <w:r w:rsidR="008060A4">
        <w:t>a</w:t>
      </w:r>
      <w:r>
        <w:t xml:space="preserve">nalysis </w:t>
      </w:r>
      <w:r w:rsidR="008060A4">
        <w:t>data cut offL:</w:t>
      </w:r>
      <w:r>
        <w:t xml:space="preserve"> 27 April 2021</w:t>
      </w:r>
    </w:p>
    <w:p w14:paraId="28096F1C" w14:textId="7E09F171" w:rsidR="00322737" w:rsidRPr="00F87DF7" w:rsidRDefault="00322737" w:rsidP="00322737">
      <w:pPr>
        <w:pStyle w:val="TableDescription"/>
      </w:pPr>
      <w:r w:rsidRPr="00322737">
        <w:rPr>
          <w:vertAlign w:val="superscript"/>
        </w:rPr>
        <w:t>a</w:t>
      </w:r>
      <w:r>
        <w:t xml:space="preserve"> A progression status of ‘missin</w:t>
      </w:r>
      <w:r w:rsidR="008060A4">
        <w:t>g</w:t>
      </w:r>
      <w:r>
        <w:t>’ counts participants with a missing status in the database (if any)</w:t>
      </w:r>
    </w:p>
    <w:p w14:paraId="1596D9BE" w14:textId="461D3A37" w:rsidR="002F06AE" w:rsidRPr="007D6694" w:rsidRDefault="002F06AE" w:rsidP="00CF1D4F">
      <w:pPr>
        <w:pStyle w:val="Heading7"/>
      </w:pPr>
      <w:r w:rsidRPr="00CF1D4F">
        <w:rPr>
          <w:sz w:val="22"/>
        </w:rPr>
        <w:t xml:space="preserve">Change from Baseline in </w:t>
      </w:r>
      <w:r w:rsidR="00B26E01" w:rsidRPr="00CF1D4F">
        <w:rPr>
          <w:sz w:val="22"/>
        </w:rPr>
        <w:t>viral load in nasal secretions by reverse transc</w:t>
      </w:r>
      <w:r w:rsidR="00310CDB" w:rsidRPr="00CF1D4F">
        <w:rPr>
          <w:sz w:val="22"/>
        </w:rPr>
        <w:t>r</w:t>
      </w:r>
      <w:r w:rsidR="00B26E01" w:rsidRPr="00CF1D4F">
        <w:rPr>
          <w:sz w:val="22"/>
        </w:rPr>
        <w:t>iptase-polymerase chain reaction at Day 8 (secondary endpoint</w:t>
      </w:r>
      <w:r w:rsidRPr="00CF1D4F">
        <w:rPr>
          <w:sz w:val="22"/>
        </w:rPr>
        <w:t>)</w:t>
      </w:r>
    </w:p>
    <w:p w14:paraId="09C3C1C9" w14:textId="1E508087" w:rsidR="002F06AE" w:rsidRPr="00B26E01" w:rsidRDefault="002F06AE" w:rsidP="00B26E01">
      <w:r w:rsidRPr="00B26E01">
        <w:t>The virology population (N</w:t>
      </w:r>
      <w:r w:rsidR="004771EC">
        <w:t xml:space="preserve"> </w:t>
      </w:r>
      <w:r w:rsidRPr="00B26E01">
        <w:t>=</w:t>
      </w:r>
      <w:r w:rsidR="004771EC">
        <w:t xml:space="preserve"> </w:t>
      </w:r>
      <w:r w:rsidRPr="00B26E01">
        <w:t xml:space="preserve">733) is a subset of the </w:t>
      </w:r>
      <w:r w:rsidR="00B26E01">
        <w:t>intent to treat</w:t>
      </w:r>
      <w:r w:rsidRPr="00B26E01">
        <w:t xml:space="preserve"> (Day 29) analysis set, which includes participants with a central laboratory confirmed quantifiable nasopharyngeal swab at Day 1. Within the virology population, the mean decline from baseline in viral load at Day 8 was statistically significantly greater in sotrovimab-treated participants compared to that in placebo-</w:t>
      </w:r>
      <w:r w:rsidR="00F87DF7" w:rsidRPr="00B26E01">
        <w:t>treated participants (p</w:t>
      </w:r>
      <w:r w:rsidR="00B26E01">
        <w:t xml:space="preserve"> </w:t>
      </w:r>
      <w:r w:rsidR="00F87DF7" w:rsidRPr="00B26E01">
        <w:t>=</w:t>
      </w:r>
      <w:r w:rsidR="00B26E01">
        <w:t xml:space="preserve"> </w:t>
      </w:r>
      <w:r w:rsidR="00F87DF7" w:rsidRPr="00B26E01">
        <w:t>0.007).</w:t>
      </w:r>
    </w:p>
    <w:p w14:paraId="35EDFC4F" w14:textId="2CD4EAC4" w:rsidR="002F06AE" w:rsidRPr="00F87DF7" w:rsidRDefault="002F06AE" w:rsidP="00F87DF7">
      <w:pPr>
        <w:pStyle w:val="Heading7"/>
        <w:rPr>
          <w:rFonts w:eastAsiaTheme="minorHAnsi"/>
          <w:sz w:val="22"/>
        </w:rPr>
      </w:pPr>
      <w:r w:rsidRPr="00F87DF7">
        <w:rPr>
          <w:rFonts w:eastAsiaTheme="minorHAnsi"/>
          <w:sz w:val="22"/>
        </w:rPr>
        <w:t xml:space="preserve">Progression to </w:t>
      </w:r>
      <w:r w:rsidR="00B26E01" w:rsidRPr="00F87DF7">
        <w:rPr>
          <w:rFonts w:eastAsiaTheme="minorHAnsi"/>
          <w:sz w:val="22"/>
        </w:rPr>
        <w:t>develop severe and/or critical respiratory</w:t>
      </w:r>
      <w:r w:rsidRPr="00F87DF7">
        <w:rPr>
          <w:rFonts w:eastAsiaTheme="minorHAnsi"/>
          <w:sz w:val="22"/>
        </w:rPr>
        <w:t xml:space="preserve"> COVID-19 at Day</w:t>
      </w:r>
      <w:r w:rsidR="00B26E01">
        <w:rPr>
          <w:rFonts w:eastAsiaTheme="minorHAnsi"/>
          <w:sz w:val="22"/>
        </w:rPr>
        <w:t>s 8, 15, 22 or 29</w:t>
      </w:r>
      <w:r w:rsidRPr="00F87DF7">
        <w:rPr>
          <w:rFonts w:eastAsiaTheme="minorHAnsi"/>
          <w:sz w:val="22"/>
        </w:rPr>
        <w:t xml:space="preserve"> </w:t>
      </w:r>
      <w:r w:rsidR="00B26E01">
        <w:rPr>
          <w:rFonts w:eastAsiaTheme="minorHAnsi"/>
          <w:sz w:val="22"/>
        </w:rPr>
        <w:t>(secondary e</w:t>
      </w:r>
      <w:r w:rsidRPr="00F87DF7">
        <w:rPr>
          <w:rFonts w:eastAsiaTheme="minorHAnsi"/>
          <w:sz w:val="22"/>
        </w:rPr>
        <w:t>ndpoint)</w:t>
      </w:r>
    </w:p>
    <w:p w14:paraId="2B4015E5" w14:textId="0B7DFEA8" w:rsidR="002F06AE" w:rsidRDefault="002F06AE" w:rsidP="00B26E01">
      <w:r w:rsidRPr="00B26E01">
        <w:t>Treatment with a single 500 mg dose of sotrovimab resulted in a statistically significant reduction in the risk of severe and/or critical respiratory COVID- 19 through Day 29 when compared with placebo (adjuste</w:t>
      </w:r>
      <w:r w:rsidR="00B26E01">
        <w:t>d relative risk reduction: 74% (95% CI: 41%, 88%); p = </w:t>
      </w:r>
      <w:r w:rsidRPr="00B26E01">
        <w:t xml:space="preserve">0.002). Specifically, no participants treated with sotrovimab required high-flow oxygen, oxygen via a non-rebreather mask, or mechanical </w:t>
      </w:r>
      <w:r w:rsidR="00B26E01">
        <w:t>ventilation through Day 29. Ten </w:t>
      </w:r>
      <w:r w:rsidRPr="00B26E01">
        <w:t xml:space="preserve">participants treated with placebo required oxygen support via high flow nasal cannulae, non-rebreather mask or non-invasive ventilation, and 4 participants in the placebo arm required mechanical ventilation. There were no participants in either treatment arm who required </w:t>
      </w:r>
      <w:r w:rsidR="00B26E01">
        <w:t>e</w:t>
      </w:r>
      <w:r w:rsidR="00B26E01" w:rsidRPr="00B26E01">
        <w:t>xtracorporeal membrane oxygenation</w:t>
      </w:r>
      <w:r w:rsidR="006245DC">
        <w:t>.</w:t>
      </w:r>
    </w:p>
    <w:p w14:paraId="1E8EDE5C" w14:textId="1DCDBB6D" w:rsidR="00B26E01" w:rsidRPr="000300E6" w:rsidRDefault="000300E6" w:rsidP="000300E6">
      <w:r>
        <w:fldChar w:fldCharType="begin"/>
      </w:r>
      <w:r>
        <w:instrText xml:space="preserve"> REF _Ref79560591 \h </w:instrText>
      </w:r>
      <w:r>
        <w:fldChar w:fldCharType="separate"/>
      </w:r>
      <w:r w:rsidR="00F601F5">
        <w:t xml:space="preserve">Table </w:t>
      </w:r>
      <w:r w:rsidR="00F601F5">
        <w:rPr>
          <w:noProof/>
        </w:rPr>
        <w:t>8</w:t>
      </w:r>
      <w:r w:rsidR="00F601F5">
        <w:t>:</w:t>
      </w:r>
      <w:r>
        <w:fldChar w:fldCharType="end"/>
      </w:r>
      <w:r>
        <w:t xml:space="preserve"> shown below </w:t>
      </w:r>
      <w:r w:rsidR="00B26E01">
        <w:t xml:space="preserve">provides a summary of the </w:t>
      </w:r>
      <w:r w:rsidRPr="000300E6">
        <w:t>proportion of participants w</w:t>
      </w:r>
      <w:r w:rsidR="00B26E01" w:rsidRPr="000300E6">
        <w:t xml:space="preserve">ho </w:t>
      </w:r>
      <w:r w:rsidRPr="000300E6">
        <w:t>progress to severe and/or critical re</w:t>
      </w:r>
      <w:r>
        <w:t>spiratory covid-19 by visit at D</w:t>
      </w:r>
      <w:r w:rsidRPr="000300E6">
        <w:t>a</w:t>
      </w:r>
      <w:r>
        <w:t>ys 8, 15, 22, 29.</w:t>
      </w:r>
    </w:p>
    <w:p w14:paraId="74C540C4" w14:textId="6F1340D0" w:rsidR="006245DC" w:rsidRDefault="006245DC" w:rsidP="000300E6">
      <w:pPr>
        <w:pStyle w:val="TableTitle"/>
      </w:pPr>
      <w:bookmarkStart w:id="56" w:name="_Ref79560591"/>
      <w:r>
        <w:t xml:space="preserve">Table </w:t>
      </w:r>
      <w:r>
        <w:fldChar w:fldCharType="begin"/>
      </w:r>
      <w:r>
        <w:instrText>SEQ Table \* ARABIC</w:instrText>
      </w:r>
      <w:r>
        <w:fldChar w:fldCharType="separate"/>
      </w:r>
      <w:r w:rsidR="00F601F5">
        <w:rPr>
          <w:noProof/>
        </w:rPr>
        <w:t>8</w:t>
      </w:r>
      <w:r>
        <w:fldChar w:fldCharType="end"/>
      </w:r>
      <w:r>
        <w:t>:</w:t>
      </w:r>
      <w:bookmarkEnd w:id="56"/>
      <w:r w:rsidR="000300E6">
        <w:t xml:space="preserve"> Study 214367 (COMET-ICE trial) </w:t>
      </w:r>
      <w:r w:rsidR="000300E6" w:rsidRPr="000300E6">
        <w:t>Summary of proportion of participants who progress to severe and/or critical respiratory</w:t>
      </w:r>
      <w:r w:rsidR="000300E6">
        <w:t xml:space="preserve"> COVID-19 by </w:t>
      </w:r>
      <w:r w:rsidR="00D72DF4">
        <w:t>v</w:t>
      </w:r>
      <w:r w:rsidR="00310CDB">
        <w:t>isit at Day 8, Day </w:t>
      </w:r>
      <w:r w:rsidR="000300E6" w:rsidRPr="000300E6">
        <w:t>15, Day 22, or Day 29 (</w:t>
      </w:r>
      <w:r w:rsidR="000300E6">
        <w:t>intent to treat population at Day 29</w:t>
      </w:r>
      <w:r w:rsidR="000300E6" w:rsidRPr="000300E6">
        <w:t>)</w:t>
      </w:r>
    </w:p>
    <w:p w14:paraId="1A7DF610" w14:textId="30F0E9BC" w:rsidR="002F06AE" w:rsidRDefault="002F06AE" w:rsidP="002F06AE">
      <w:pPr>
        <w:autoSpaceDE w:val="0"/>
        <w:autoSpaceDN w:val="0"/>
        <w:adjustRightInd w:val="0"/>
        <w:spacing w:before="0" w:after="0" w:line="240" w:lineRule="auto"/>
        <w:rPr>
          <w:rFonts w:ascii="Times New Roman" w:eastAsiaTheme="minorHAnsi" w:hAnsi="Times New Roman"/>
          <w:sz w:val="28"/>
          <w:szCs w:val="24"/>
        </w:rPr>
      </w:pPr>
      <w:r w:rsidRPr="00E16850">
        <w:rPr>
          <w:noProof/>
          <w:sz w:val="24"/>
          <w:lang w:val="en-GB" w:eastAsia="en-GB"/>
        </w:rPr>
        <w:drawing>
          <wp:inline distT="0" distB="0" distL="0" distR="0" wp14:anchorId="2FECBC20" wp14:editId="3EF5CA21">
            <wp:extent cx="5342255" cy="1784909"/>
            <wp:effectExtent l="0" t="0" r="0" b="6350"/>
            <wp:docPr id="6" name="Picture 6" descr="Study 214367 (COMET-ICE trial) Summary of proportion of participants who progress to severe and/or critical respiratory COVID-19 by bisit at Day 8, Day 15, Day 22, or Day 29 (intent to treat population at Day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b="27097"/>
                    <a:stretch/>
                  </pic:blipFill>
                  <pic:spPr bwMode="auto">
                    <a:xfrm>
                      <a:off x="0" y="0"/>
                      <a:ext cx="5382455" cy="1798340"/>
                    </a:xfrm>
                    <a:prstGeom prst="rect">
                      <a:avLst/>
                    </a:prstGeom>
                    <a:noFill/>
                    <a:ln>
                      <a:noFill/>
                    </a:ln>
                    <a:extLst>
                      <a:ext uri="{53640926-AAD7-44D8-BBD7-CCE9431645EC}">
                        <a14:shadowObscured xmlns:a14="http://schemas.microsoft.com/office/drawing/2010/main"/>
                      </a:ext>
                    </a:extLst>
                  </pic:spPr>
                </pic:pic>
              </a:graphicData>
            </a:graphic>
          </wp:inline>
        </w:drawing>
      </w:r>
    </w:p>
    <w:p w14:paraId="2543970F" w14:textId="26B9EF29" w:rsidR="00322737" w:rsidRDefault="00322737" w:rsidP="00322737">
      <w:pPr>
        <w:pStyle w:val="TableDescription"/>
      </w:pPr>
      <w:r>
        <w:t xml:space="preserve">Day 29 </w:t>
      </w:r>
      <w:r w:rsidR="008060A4">
        <w:t>a</w:t>
      </w:r>
      <w:r>
        <w:t xml:space="preserve">nalysis </w:t>
      </w:r>
      <w:r w:rsidR="008060A4">
        <w:t xml:space="preserve">data cut off: </w:t>
      </w:r>
      <w:r>
        <w:t>27 April 2021</w:t>
      </w:r>
    </w:p>
    <w:p w14:paraId="52C1E992" w14:textId="5B1F8CD6" w:rsidR="00322737" w:rsidRDefault="00322737" w:rsidP="00322737">
      <w:pPr>
        <w:pStyle w:val="TableDescription"/>
      </w:pPr>
      <w:r w:rsidRPr="00322737">
        <w:rPr>
          <w:vertAlign w:val="superscript"/>
        </w:rPr>
        <w:t>a</w:t>
      </w:r>
      <w:r>
        <w:t xml:space="preserve"> All participants status at admission is Category 1: Room air</w:t>
      </w:r>
    </w:p>
    <w:p w14:paraId="646AD3DE" w14:textId="7B3065E3" w:rsidR="00322737" w:rsidRDefault="00322737" w:rsidP="00322737">
      <w:pPr>
        <w:pStyle w:val="TableDescription"/>
      </w:pPr>
      <w:r w:rsidRPr="00322737">
        <w:rPr>
          <w:vertAlign w:val="superscript"/>
        </w:rPr>
        <w:t>b</w:t>
      </w:r>
      <w:r>
        <w:t xml:space="preserve"> ‘Any progression’ defined as either dead or Category 2, 3 or 4. Categories were informed by a combination of </w:t>
      </w:r>
      <w:r w:rsidR="008060A4">
        <w:t>United States (US) Food and Drug Administration (</w:t>
      </w:r>
      <w:r>
        <w:t>FDA</w:t>
      </w:r>
      <w:r w:rsidR="008060A4">
        <w:t>)</w:t>
      </w:r>
      <w:r>
        <w:t xml:space="preserve"> COVID-19: Developing Drugs and Biological Products for Treatment or Prevention Guidance for Industry (February 2021) guidance and the </w:t>
      </w:r>
      <w:r w:rsidR="008060A4" w:rsidRPr="008060A4">
        <w:t>National Institute of Allergy and Infectious Diseases</w:t>
      </w:r>
      <w:r w:rsidR="008060A4">
        <w:t xml:space="preserve"> (</w:t>
      </w:r>
      <w:r>
        <w:t>NIAID</w:t>
      </w:r>
      <w:r w:rsidR="008060A4">
        <w:t>)</w:t>
      </w:r>
      <w:r>
        <w:t xml:space="preserve"> ordinal scale. Excludes participants who were hospitalised and did not receive oxygen therapy. Participant could have received oxygen at home or in hospital.</w:t>
      </w:r>
    </w:p>
    <w:p w14:paraId="6B99F953" w14:textId="4618BE8D" w:rsidR="00322737" w:rsidRPr="00322737" w:rsidRDefault="00322737" w:rsidP="00322737">
      <w:pPr>
        <w:pStyle w:val="TableDescription"/>
      </w:pPr>
      <w:r>
        <w:t xml:space="preserve">Note: Participants with progression are counted in the worst-case progression </w:t>
      </w:r>
      <w:r w:rsidR="00520F7F">
        <w:t>category t</w:t>
      </w:r>
      <w:r>
        <w:t>hat they have reported up to the relevant time point.</w:t>
      </w:r>
    </w:p>
    <w:p w14:paraId="04F60ABA" w14:textId="7360A265" w:rsidR="002F06AE" w:rsidRPr="00E16850" w:rsidRDefault="00E16850" w:rsidP="000300E6">
      <w:pPr>
        <w:pStyle w:val="Heading7"/>
        <w:rPr>
          <w:rFonts w:eastAsiaTheme="minorHAnsi"/>
          <w:sz w:val="22"/>
        </w:rPr>
      </w:pPr>
      <w:r w:rsidRPr="00E16850">
        <w:rPr>
          <w:rFonts w:eastAsiaTheme="minorHAnsi"/>
          <w:sz w:val="22"/>
        </w:rPr>
        <w:t>Mean c</w:t>
      </w:r>
      <w:r w:rsidR="002F06AE" w:rsidRPr="00E16850">
        <w:rPr>
          <w:rFonts w:eastAsiaTheme="minorHAnsi"/>
          <w:sz w:val="22"/>
        </w:rPr>
        <w:t>hange</w:t>
      </w:r>
      <w:r w:rsidRPr="00E16850">
        <w:rPr>
          <w:rFonts w:eastAsiaTheme="minorHAnsi"/>
          <w:sz w:val="22"/>
        </w:rPr>
        <w:t xml:space="preserve"> from Baseline in FLU-PRO Plus total score (area under the curve, </w:t>
      </w:r>
      <w:r w:rsidR="002F06AE" w:rsidRPr="00E16850">
        <w:rPr>
          <w:rFonts w:eastAsiaTheme="minorHAnsi"/>
          <w:sz w:val="22"/>
        </w:rPr>
        <w:t xml:space="preserve">through Day 7) </w:t>
      </w:r>
      <w:r w:rsidRPr="00E16850">
        <w:rPr>
          <w:rFonts w:eastAsiaTheme="minorHAnsi"/>
          <w:sz w:val="22"/>
        </w:rPr>
        <w:t>(secondary endpoint)</w:t>
      </w:r>
    </w:p>
    <w:p w14:paraId="1987D2E5" w14:textId="6CD5DB8E" w:rsidR="002F06AE" w:rsidRPr="00DD61F5" w:rsidRDefault="002F06AE" w:rsidP="00DD61F5">
      <w:r>
        <w:t>Among participants with available FLU-PRO</w:t>
      </w:r>
      <w:r w:rsidR="004771EC">
        <w:t>;</w:t>
      </w:r>
      <w:r w:rsidR="00310CDB">
        <w:rPr>
          <w:rStyle w:val="FootnoteReference"/>
        </w:rPr>
        <w:footnoteReference w:id="27"/>
      </w:r>
      <w:r>
        <w:t xml:space="preserve"> Plus total scores to calculate </w:t>
      </w:r>
      <w:r w:rsidR="00E16850">
        <w:t>the area under the concentration versus time curve from time zero (dosing) to Day 7 (</w:t>
      </w:r>
      <w:r w:rsidRPr="00E16850">
        <w:t>AUC</w:t>
      </w:r>
      <w:r w:rsidRPr="00E16850">
        <w:rPr>
          <w:vertAlign w:val="subscript"/>
        </w:rPr>
        <w:t>0</w:t>
      </w:r>
      <w:r w:rsidR="00E16850">
        <w:rPr>
          <w:vertAlign w:val="subscript"/>
        </w:rPr>
        <w:t>-7d</w:t>
      </w:r>
      <w:r w:rsidR="00E16850">
        <w:t>)</w:t>
      </w:r>
      <w:r>
        <w:t xml:space="preserve"> (</w:t>
      </w:r>
      <w:r w:rsidR="00E16850">
        <w:t>by mean last observation varied forward</w:t>
      </w:r>
      <w:r>
        <w:t xml:space="preserve"> imputation), mean decreases in total score in FLU-PRO Plus were statistically significantly greater in the sotrovimab arm than in the placebo arm at Day 7, as measured by AUC</w:t>
      </w:r>
      <w:r w:rsidR="00E16850">
        <w:rPr>
          <w:vertAlign w:val="subscript"/>
        </w:rPr>
        <w:t>0-7d</w:t>
      </w:r>
      <w:r>
        <w:t xml:space="preserve">. This is supported by statistically significant differences between the sotrovimab and placebo groups up to Day 14 and 21, as measured by </w:t>
      </w:r>
      <w:r w:rsidR="00E16850">
        <w:t xml:space="preserve">the areas under the time versus concentration curves from </w:t>
      </w:r>
      <w:r w:rsidR="00073D92">
        <w:t xml:space="preserve">time </w:t>
      </w:r>
      <w:r w:rsidR="00E16850">
        <w:t>zero (dosing) to Days 14 and 21, respective (</w:t>
      </w:r>
      <w:r>
        <w:t>AUC</w:t>
      </w:r>
      <w:r w:rsidRPr="00E16850">
        <w:rPr>
          <w:vertAlign w:val="subscript"/>
        </w:rPr>
        <w:t>0-14</w:t>
      </w:r>
      <w:r w:rsidR="00E16850" w:rsidRPr="00E16850">
        <w:rPr>
          <w:vertAlign w:val="subscript"/>
        </w:rPr>
        <w:t>d</w:t>
      </w:r>
      <w:r>
        <w:t xml:space="preserve"> and AUC</w:t>
      </w:r>
      <w:r w:rsidRPr="00E16850">
        <w:rPr>
          <w:vertAlign w:val="subscript"/>
        </w:rPr>
        <w:t>0-21</w:t>
      </w:r>
      <w:r w:rsidR="00E16850" w:rsidRPr="00E16850">
        <w:rPr>
          <w:vertAlign w:val="subscript"/>
        </w:rPr>
        <w:t>d</w:t>
      </w:r>
      <w:r w:rsidR="00E16850">
        <w:t>)</w:t>
      </w:r>
      <w:r>
        <w:t>.</w:t>
      </w:r>
    </w:p>
    <w:p w14:paraId="38706BFD" w14:textId="182C7EE3" w:rsidR="00E16850" w:rsidRPr="00E16850" w:rsidRDefault="00E16850" w:rsidP="00DD61F5">
      <w:pPr>
        <w:pStyle w:val="TableTitle"/>
      </w:pPr>
      <w:r>
        <w:t xml:space="preserve">Table </w:t>
      </w:r>
      <w:r>
        <w:fldChar w:fldCharType="begin"/>
      </w:r>
      <w:r>
        <w:instrText>SEQ Table \* ARABIC</w:instrText>
      </w:r>
      <w:r>
        <w:fldChar w:fldCharType="separate"/>
      </w:r>
      <w:r w:rsidR="00F601F5">
        <w:rPr>
          <w:noProof/>
        </w:rPr>
        <w:t>9</w:t>
      </w:r>
      <w:r>
        <w:fldChar w:fldCharType="end"/>
      </w:r>
      <w:r>
        <w:t xml:space="preserve">: </w:t>
      </w:r>
      <w:r w:rsidR="00DD61F5">
        <w:t xml:space="preserve">Study 214367 (COMET-ICE trial) </w:t>
      </w:r>
      <w:r w:rsidRPr="00E16850">
        <w:t xml:space="preserve">Mean change from Baseline in FLU-PRO Plus total score (area under the </w:t>
      </w:r>
      <w:r w:rsidR="00520F7F">
        <w:t xml:space="preserve">concencentration versus time </w:t>
      </w:r>
      <w:r w:rsidRPr="00E16850">
        <w:t>curve, through Day</w:t>
      </w:r>
      <w:r w:rsidR="00DD61F5">
        <w:t>s</w:t>
      </w:r>
      <w:r w:rsidR="00520F7F">
        <w:t> </w:t>
      </w:r>
      <w:r w:rsidRPr="00E16850">
        <w:t>7</w:t>
      </w:r>
      <w:r w:rsidR="00DD61F5">
        <w:t>, 14 and 21)</w:t>
      </w:r>
    </w:p>
    <w:p w14:paraId="0AB24AB3" w14:textId="765826DB" w:rsidR="002F06AE" w:rsidRDefault="002F06AE" w:rsidP="002F06AE">
      <w:pPr>
        <w:autoSpaceDE w:val="0"/>
        <w:autoSpaceDN w:val="0"/>
        <w:adjustRightInd w:val="0"/>
        <w:spacing w:before="0" w:after="0" w:line="240" w:lineRule="auto"/>
        <w:rPr>
          <w:rFonts w:ascii="Times New Roman" w:eastAsiaTheme="minorHAnsi" w:hAnsi="Times New Roman"/>
          <w:sz w:val="24"/>
          <w:szCs w:val="24"/>
        </w:rPr>
      </w:pPr>
      <w:r>
        <w:rPr>
          <w:noProof/>
          <w:lang w:val="en-GB" w:eastAsia="en-GB"/>
        </w:rPr>
        <w:drawing>
          <wp:inline distT="0" distB="0" distL="0" distR="0" wp14:anchorId="27F9E82D" wp14:editId="6ECC35AB">
            <wp:extent cx="5404485" cy="2655417"/>
            <wp:effectExtent l="0" t="0" r="5715" b="0"/>
            <wp:docPr id="5" name="Picture 5" descr="Study 214367 (COMET-ICE trial) Mean change from Baseline in FLU-PRO Plus total score (area under the curve, through Days 7, 14 an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b="5772"/>
                    <a:stretch/>
                  </pic:blipFill>
                  <pic:spPr bwMode="auto">
                    <a:xfrm>
                      <a:off x="0" y="0"/>
                      <a:ext cx="5422253" cy="2664147"/>
                    </a:xfrm>
                    <a:prstGeom prst="rect">
                      <a:avLst/>
                    </a:prstGeom>
                    <a:noFill/>
                    <a:ln>
                      <a:noFill/>
                    </a:ln>
                    <a:extLst>
                      <a:ext uri="{53640926-AAD7-44D8-BBD7-CCE9431645EC}">
                        <a14:shadowObscured xmlns:a14="http://schemas.microsoft.com/office/drawing/2010/main"/>
                      </a:ext>
                    </a:extLst>
                  </pic:spPr>
                </pic:pic>
              </a:graphicData>
            </a:graphic>
          </wp:inline>
        </w:drawing>
      </w:r>
    </w:p>
    <w:p w14:paraId="2ED79BB7" w14:textId="1303217A" w:rsidR="00322737" w:rsidRDefault="00322737" w:rsidP="00322737">
      <w:pPr>
        <w:pStyle w:val="TableDescription"/>
      </w:pPr>
      <w:r>
        <w:t xml:space="preserve">Day 29 analysis </w:t>
      </w:r>
      <w:r w:rsidR="00520F7F">
        <w:t>data cut off</w:t>
      </w:r>
      <w:r>
        <w:t>: 27 April 2021</w:t>
      </w:r>
    </w:p>
    <w:p w14:paraId="7EC59AB5" w14:textId="122B0F4B" w:rsidR="00520F7F" w:rsidRDefault="00520F7F" w:rsidP="00322737">
      <w:pPr>
        <w:pStyle w:val="TableDescription"/>
      </w:pPr>
      <w:r>
        <w:t>AUC = area under the concentration versus time curve; n = number of patients; CI = confidence interval.</w:t>
      </w:r>
    </w:p>
    <w:p w14:paraId="247B4073" w14:textId="47E92D75" w:rsidR="002F06AE" w:rsidRPr="00DD61F5" w:rsidRDefault="002F06AE" w:rsidP="00DD61F5">
      <w:r w:rsidRPr="00DD61F5">
        <w:t xml:space="preserve">In the </w:t>
      </w:r>
      <w:r w:rsidR="00DD61F5">
        <w:t>intent to treat</w:t>
      </w:r>
      <w:r w:rsidRPr="00DD61F5">
        <w:t xml:space="preserve"> (Day 29) analysis, the probability of reaching sustained (≥</w:t>
      </w:r>
      <w:r w:rsidR="00DD61F5">
        <w:t> </w:t>
      </w:r>
      <w:r w:rsidRPr="00DD61F5">
        <w:t>48 hours) symptom alleviation as measured by FLU-PRO Plus was statistically significant for the sotrovimab arm (41%) compared to 34% for the placebo arm by Day 21 (log-rank test p</w:t>
      </w:r>
      <w:r w:rsidR="00DD61F5">
        <w:noBreakHyphen/>
      </w:r>
      <w:r w:rsidRPr="00DD61F5">
        <w:t>value</w:t>
      </w:r>
      <w:r w:rsidR="00DD61F5">
        <w:t xml:space="preserve"> </w:t>
      </w:r>
      <w:r w:rsidRPr="00DD61F5">
        <w:t>=</w:t>
      </w:r>
      <w:r w:rsidR="00DD61F5">
        <w:t xml:space="preserve"> </w:t>
      </w:r>
      <w:r w:rsidRPr="00DD61F5">
        <w:t>0.002). A Kaplan-Meier plot of time to sustained symptom alleviation shows separation between sotrovimab and placebo from around Day 3 which was sustained through Day 21. It was not possible to calculate the median (50% probability of event) time to sustained symptom alleviation for either treatment arm due to the high proportion of missing data.</w:t>
      </w:r>
    </w:p>
    <w:p w14:paraId="114815A9" w14:textId="23208876" w:rsidR="00DD61F5" w:rsidRDefault="00DD61F5" w:rsidP="00DD61F5">
      <w:pPr>
        <w:pStyle w:val="FigureTitle"/>
      </w:pPr>
      <w:r>
        <w:t xml:space="preserve">Figure </w:t>
      </w:r>
      <w:r>
        <w:fldChar w:fldCharType="begin"/>
      </w:r>
      <w:r>
        <w:instrText>SEQ Figure \* ARABIC</w:instrText>
      </w:r>
      <w:r>
        <w:fldChar w:fldCharType="separate"/>
      </w:r>
      <w:r w:rsidR="00F601F5">
        <w:rPr>
          <w:noProof/>
        </w:rPr>
        <w:t>5</w:t>
      </w:r>
      <w:r>
        <w:fldChar w:fldCharType="end"/>
      </w:r>
      <w:r>
        <w:t>: Study 214367 (COMET-ICE trial) Kaplan-Meier plot of time to sustained symptom alleviation</w:t>
      </w:r>
    </w:p>
    <w:p w14:paraId="276445CF" w14:textId="25A1C561" w:rsidR="002F06AE" w:rsidRDefault="002F06AE" w:rsidP="002F06AE">
      <w:pPr>
        <w:autoSpaceDE w:val="0"/>
        <w:autoSpaceDN w:val="0"/>
        <w:adjustRightInd w:val="0"/>
        <w:spacing w:before="0" w:after="0" w:line="240" w:lineRule="auto"/>
        <w:rPr>
          <w:rFonts w:ascii="Times New Roman" w:eastAsiaTheme="minorHAnsi" w:hAnsi="Times New Roman"/>
          <w:sz w:val="24"/>
          <w:szCs w:val="24"/>
        </w:rPr>
      </w:pPr>
      <w:r>
        <w:rPr>
          <w:noProof/>
          <w:lang w:val="en-GB" w:eastAsia="en-GB"/>
        </w:rPr>
        <w:drawing>
          <wp:inline distT="0" distB="0" distL="0" distR="0" wp14:anchorId="394CC3F0" wp14:editId="250C5C97">
            <wp:extent cx="5493852" cy="2831826"/>
            <wp:effectExtent l="0" t="0" r="0" b="6985"/>
            <wp:docPr id="4" name="Picture 4" descr="Study 214367 (COMET-ICE trial) Kaplan-Meier plot of time to sustained symptom alle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4904" cy="2842677"/>
                    </a:xfrm>
                    <a:prstGeom prst="rect">
                      <a:avLst/>
                    </a:prstGeom>
                    <a:noFill/>
                    <a:ln>
                      <a:noFill/>
                    </a:ln>
                  </pic:spPr>
                </pic:pic>
              </a:graphicData>
            </a:graphic>
          </wp:inline>
        </w:drawing>
      </w:r>
    </w:p>
    <w:p w14:paraId="3F5A3CE7" w14:textId="695790F2" w:rsidR="002F06AE" w:rsidRDefault="002F06AE" w:rsidP="00DD61F5">
      <w:pPr>
        <w:pStyle w:val="Heading7"/>
        <w:rPr>
          <w:rFonts w:eastAsiaTheme="minorHAnsi"/>
        </w:rPr>
      </w:pPr>
      <w:r w:rsidRPr="00DD61F5">
        <w:rPr>
          <w:rFonts w:eastAsiaTheme="minorHAnsi"/>
          <w:sz w:val="22"/>
        </w:rPr>
        <w:t xml:space="preserve">Assessment of </w:t>
      </w:r>
      <w:r w:rsidR="00520F7F" w:rsidRPr="00DD61F5">
        <w:rPr>
          <w:rFonts w:eastAsiaTheme="minorHAnsi"/>
          <w:sz w:val="22"/>
        </w:rPr>
        <w:t xml:space="preserve">all-cause mortality </w:t>
      </w:r>
      <w:r w:rsidRPr="00DD61F5">
        <w:rPr>
          <w:rFonts w:eastAsiaTheme="minorHAnsi"/>
          <w:sz w:val="22"/>
        </w:rPr>
        <w:t>at Day 29</w:t>
      </w:r>
    </w:p>
    <w:p w14:paraId="03DF43D6" w14:textId="7A28005C" w:rsidR="002F06AE" w:rsidRPr="00DD61F5" w:rsidRDefault="002F06AE" w:rsidP="00DD61F5">
      <w:r w:rsidRPr="00DD61F5">
        <w:t>By Day 29, 2 participants in the placebo arm had died, and no participants in the sotrovimab arm had died.</w:t>
      </w:r>
    </w:p>
    <w:p w14:paraId="4AAB6E97" w14:textId="7BB96BCA" w:rsidR="002F06AE" w:rsidRPr="00DD61F5" w:rsidRDefault="002F06AE" w:rsidP="00DD61F5">
      <w:r w:rsidRPr="00DD61F5">
        <w:t xml:space="preserve">Since not all participants have had the chance to reach Day 60 or beyond at the </w:t>
      </w:r>
      <w:r w:rsidR="00DD61F5">
        <w:t>data cut-off</w:t>
      </w:r>
      <w:r w:rsidRPr="00DD61F5">
        <w:t xml:space="preserve"> for the Day 29 analysis (27 April 2021), the all-cause mortality efficacy endpoint</w:t>
      </w:r>
      <w:r w:rsidR="00DD61F5">
        <w:t xml:space="preserve"> is only reported up to Day 29.</w:t>
      </w:r>
    </w:p>
    <w:p w14:paraId="2C7FC1EB" w14:textId="7D605D8C" w:rsidR="00DD61F5" w:rsidRDefault="00DD61F5" w:rsidP="00DD61F5">
      <w:pPr>
        <w:pStyle w:val="TableTitle"/>
      </w:pPr>
      <w:r>
        <w:t xml:space="preserve">Table </w:t>
      </w:r>
      <w:r>
        <w:fldChar w:fldCharType="begin"/>
      </w:r>
      <w:r>
        <w:instrText>SEQ Table \* ARABIC</w:instrText>
      </w:r>
      <w:r>
        <w:fldChar w:fldCharType="separate"/>
      </w:r>
      <w:r w:rsidR="00F601F5">
        <w:rPr>
          <w:noProof/>
        </w:rPr>
        <w:t>10</w:t>
      </w:r>
      <w:r>
        <w:fldChar w:fldCharType="end"/>
      </w:r>
      <w:r>
        <w:t xml:space="preserve">: Study 214367 (COMET-ICE trial) </w:t>
      </w:r>
      <w:r w:rsidRPr="00905F6B">
        <w:t xml:space="preserve">Summary of time to all-cause mortality </w:t>
      </w:r>
      <w:r>
        <w:t>at Day 29 (intent to treat population, Day 29)</w:t>
      </w:r>
    </w:p>
    <w:p w14:paraId="28D3703D" w14:textId="2B33D87C" w:rsidR="002F06AE" w:rsidRDefault="002F06AE" w:rsidP="002F06AE">
      <w:pPr>
        <w:autoSpaceDE w:val="0"/>
        <w:autoSpaceDN w:val="0"/>
        <w:adjustRightInd w:val="0"/>
        <w:spacing w:before="0" w:after="0" w:line="240" w:lineRule="auto"/>
        <w:rPr>
          <w:rFonts w:ascii="Times New Roman" w:eastAsiaTheme="minorHAnsi" w:hAnsi="Times New Roman"/>
          <w:sz w:val="24"/>
          <w:szCs w:val="24"/>
        </w:rPr>
      </w:pPr>
      <w:r>
        <w:rPr>
          <w:noProof/>
          <w:lang w:val="en-GB" w:eastAsia="en-GB"/>
        </w:rPr>
        <w:drawing>
          <wp:inline distT="0" distB="0" distL="0" distR="0" wp14:anchorId="5105B3DD" wp14:editId="30DA2B37">
            <wp:extent cx="5732145" cy="1243584"/>
            <wp:effectExtent l="0" t="0" r="1905" b="0"/>
            <wp:docPr id="3" name="Picture 3" descr="Study 214367 (COMET-ICE trial) Summary of time to all-cause mortality at Day 29 (intention to treat population, Day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extLst>
                        <a:ext uri="{28A0092B-C50C-407E-A947-70E740481C1C}">
                          <a14:useLocalDpi xmlns:a14="http://schemas.microsoft.com/office/drawing/2010/main" val="0"/>
                        </a:ext>
                      </a:extLst>
                    </a:blip>
                    <a:srcRect b="61712"/>
                    <a:stretch/>
                  </pic:blipFill>
                  <pic:spPr bwMode="auto">
                    <a:xfrm>
                      <a:off x="0" y="0"/>
                      <a:ext cx="5732145" cy="1243584"/>
                    </a:xfrm>
                    <a:prstGeom prst="rect">
                      <a:avLst/>
                    </a:prstGeom>
                    <a:noFill/>
                    <a:ln>
                      <a:noFill/>
                    </a:ln>
                    <a:extLst>
                      <a:ext uri="{53640926-AAD7-44D8-BBD7-CCE9431645EC}">
                        <a14:shadowObscured xmlns:a14="http://schemas.microsoft.com/office/drawing/2010/main"/>
                      </a:ext>
                    </a:extLst>
                  </pic:spPr>
                </pic:pic>
              </a:graphicData>
            </a:graphic>
          </wp:inline>
        </w:drawing>
      </w:r>
    </w:p>
    <w:p w14:paraId="7F04CE28" w14:textId="5FE14813" w:rsidR="00322737" w:rsidRPr="004A648E" w:rsidRDefault="00322737" w:rsidP="004A648E">
      <w:pPr>
        <w:pStyle w:val="TableDescription"/>
      </w:pPr>
      <w:r w:rsidRPr="004A648E">
        <w:t xml:space="preserve">Day 29 analysis </w:t>
      </w:r>
      <w:r w:rsidR="00520F7F">
        <w:t>data cut off:</w:t>
      </w:r>
      <w:r w:rsidR="00520F7F" w:rsidRPr="004A648E">
        <w:t xml:space="preserve"> </w:t>
      </w:r>
      <w:r w:rsidRPr="004A648E">
        <w:t>27 April 2021</w:t>
      </w:r>
    </w:p>
    <w:p w14:paraId="0AD7D8FF" w14:textId="195A73B6" w:rsidR="00322737" w:rsidRPr="004A648E" w:rsidRDefault="00322737" w:rsidP="004A648E">
      <w:pPr>
        <w:pStyle w:val="TableDescription"/>
      </w:pPr>
      <w:r w:rsidRPr="003A1363">
        <w:rPr>
          <w:vertAlign w:val="superscript"/>
        </w:rPr>
        <w:t>a</w:t>
      </w:r>
      <w:r w:rsidRPr="004A648E">
        <w:t xml:space="preserve"> Participant</w:t>
      </w:r>
      <w:r w:rsidR="00520F7F">
        <w:t>s</w:t>
      </w:r>
      <w:r w:rsidRPr="004A648E">
        <w:t xml:space="preserve"> alive at end of follow-up were censored at Day 29, respectively</w:t>
      </w:r>
    </w:p>
    <w:p w14:paraId="4A6AB379" w14:textId="37ABCFB5" w:rsidR="00322737" w:rsidRPr="004A648E" w:rsidRDefault="00322737" w:rsidP="004A648E">
      <w:pPr>
        <w:pStyle w:val="TableDescription"/>
      </w:pPr>
      <w:r w:rsidRPr="003A1363">
        <w:rPr>
          <w:vertAlign w:val="superscript"/>
        </w:rPr>
        <w:t>b</w:t>
      </w:r>
      <w:r w:rsidRPr="004A648E">
        <w:t xml:space="preserve"> Censored at study withdrawal includes 11 of the 12 missing participants for the primary endpoint (randomised but not treated (sotrovimab 5; placebo 2); 1 participant treated with sotrovimab withdrew consent at Day 5; 3 participants in the placebo arm who withdrew without hospitalisation &gt; 24 or death at Day 3, Day 11, and Day 15</w:t>
      </w:r>
      <w:r w:rsidR="004A648E" w:rsidRPr="004A648E">
        <w:t>) and an additional 1 participant treated with sotrovimab who was hospitalised and subsequently withdrew consent at Day 16 (two participants), Day 24 (1 participant), and Day 26 (1 participant). One of the sotrovimab participant missing for the primary endopoint (was randomised and not treated and had an early withdrawal visit conducted late at 28 days after randomisation); as this participant had vitals collected, mortality status could be determined as alive at Day 29.</w:t>
      </w:r>
    </w:p>
    <w:p w14:paraId="554C1D15" w14:textId="1F55E1AE" w:rsidR="004A648E" w:rsidRPr="004A648E" w:rsidRDefault="004A648E" w:rsidP="004A648E">
      <w:pPr>
        <w:pStyle w:val="TableDescription"/>
      </w:pPr>
      <w:r w:rsidRPr="004A648E">
        <w:t>Note: Log-rank test was not performed due to insufficient number of events.</w:t>
      </w:r>
    </w:p>
    <w:p w14:paraId="7D2EE5F7" w14:textId="0EF47EA4" w:rsidR="002F06AE" w:rsidRPr="00DD61F5" w:rsidRDefault="002F06AE" w:rsidP="00DD61F5">
      <w:r w:rsidRPr="00DD61F5">
        <w:t>Of the exploratory endpoints with available results at the Day 29 analysis</w:t>
      </w:r>
      <w:r w:rsidR="00DD61F5">
        <w:t xml:space="preserve"> (total hospital length of stay, </w:t>
      </w:r>
      <w:r w:rsidRPr="00DD61F5">
        <w:t xml:space="preserve">proportion of participants hospitalised due to non-respiratory complications of COVID-19, intensive care </w:t>
      </w:r>
      <w:r w:rsidR="00DD61F5">
        <w:t>length of stay</w:t>
      </w:r>
      <w:r w:rsidRPr="00DD61F5">
        <w:t>, number of ventilator days), interpretation is limited by the low numbers of hospitalisation events in subjects in the sotrovimab group. The preliminary exploratory results will not be summarised in this report for this reason.</w:t>
      </w:r>
    </w:p>
    <w:p w14:paraId="0B3942B9" w14:textId="4473320B" w:rsidR="002F06AE" w:rsidRDefault="002F06AE" w:rsidP="00DD61F5">
      <w:pPr>
        <w:pStyle w:val="Heading6"/>
        <w:rPr>
          <w:rFonts w:eastAsiaTheme="minorHAnsi"/>
        </w:rPr>
      </w:pPr>
      <w:r>
        <w:rPr>
          <w:rFonts w:eastAsiaTheme="minorHAnsi"/>
        </w:rPr>
        <w:t xml:space="preserve">Comparison of </w:t>
      </w:r>
      <w:r w:rsidR="00DD61F5">
        <w:rPr>
          <w:rFonts w:eastAsiaTheme="minorHAnsi"/>
        </w:rPr>
        <w:t>results in sub-populations</w:t>
      </w:r>
    </w:p>
    <w:p w14:paraId="4DC38B47" w14:textId="558DF934" w:rsidR="002F06AE" w:rsidRPr="00DD61F5" w:rsidRDefault="002F06AE" w:rsidP="00DD61F5">
      <w:r w:rsidRPr="00DD61F5">
        <w:t>Overall, the results reported are generally consistent with those reported in the overall population. The overall small number of events meeting the primary endpoint (hospitalisation &gt;24 hours or death due to any cause), and particularly the small number of events (n</w:t>
      </w:r>
      <w:r w:rsidR="00DD61F5">
        <w:t xml:space="preserve"> </w:t>
      </w:r>
      <w:r w:rsidRPr="00DD61F5">
        <w:t>=</w:t>
      </w:r>
      <w:r w:rsidR="00DD61F5">
        <w:t xml:space="preserve"> </w:t>
      </w:r>
      <w:r w:rsidRPr="00DD61F5">
        <w:t>6) meeting the primary endpoint in the sotrovimab arm, make it difficult to interpret the results by subgroup. The subgroup analyses results should therefore be interpreted with caution, especia</w:t>
      </w:r>
      <w:r w:rsidR="00DD61F5">
        <w:t>lly as 3 of the 6 participants (small intestinal obstruction); (non-small cell lung cancer) and (diabetic foot ulcer)</w:t>
      </w:r>
      <w:r w:rsidRPr="00DD61F5">
        <w:t>) in the sotrovimab gro</w:t>
      </w:r>
      <w:r w:rsidR="00DD61F5">
        <w:t>up, were hospitalis</w:t>
      </w:r>
      <w:r w:rsidRPr="00DD61F5">
        <w:t>ed for events potentially unrelated to COVID-19.</w:t>
      </w:r>
    </w:p>
    <w:p w14:paraId="129BCAEC" w14:textId="4F2E10A6" w:rsidR="002F06AE" w:rsidRDefault="002F06AE" w:rsidP="00DD61F5">
      <w:pPr>
        <w:pStyle w:val="Heading6"/>
        <w:rPr>
          <w:rFonts w:eastAsiaTheme="minorHAnsi"/>
        </w:rPr>
      </w:pPr>
      <w:r w:rsidRPr="00DD61F5">
        <w:rPr>
          <w:rFonts w:eastAsiaTheme="minorHAnsi"/>
        </w:rPr>
        <w:t>Number of risk factors</w:t>
      </w:r>
    </w:p>
    <w:p w14:paraId="72E6C2E9" w14:textId="6096FC02" w:rsidR="002F06AE" w:rsidRPr="00DD61F5" w:rsidRDefault="002F06AE" w:rsidP="00DD61F5">
      <w:r w:rsidRPr="00DD61F5">
        <w:t>Subgroup results were also presented according to number of risk factors with groups. A</w:t>
      </w:r>
      <w:r w:rsidR="00520F7F">
        <w:t> </w:t>
      </w:r>
      <w:r w:rsidRPr="00DD61F5">
        <w:t xml:space="preserve">summary of </w:t>
      </w:r>
      <w:r w:rsidR="00DD61F5" w:rsidRPr="00DD61F5">
        <w:t>primary and key secondary efficacy endpoints was present</w:t>
      </w:r>
      <w:r w:rsidR="00DD61F5">
        <w:t>ed by number of risk factors (</w:t>
      </w:r>
      <w:r w:rsidR="00DD61F5" w:rsidRPr="00DD61F5">
        <w:t>1</w:t>
      </w:r>
      <w:r w:rsidR="00DD61F5">
        <w:t xml:space="preserve"> or less, 2, </w:t>
      </w:r>
      <w:r w:rsidR="00DD61F5" w:rsidRPr="00DD61F5">
        <w:t>3</w:t>
      </w:r>
      <w:r w:rsidR="00DD61F5">
        <w:t xml:space="preserve"> or more</w:t>
      </w:r>
      <w:r w:rsidR="00DD61F5" w:rsidRPr="00DD61F5">
        <w:t xml:space="preserve">). </w:t>
      </w:r>
      <w:r w:rsidRPr="00DD61F5">
        <w:t xml:space="preserve">The rate of clinical progressions increased with number of risk factors in both arms. There was no difference in the proportion of primary endpoint progressions in the sotrovimab arm compared with placebo in the 3 risk factor subgroup. Five of </w:t>
      </w:r>
      <w:r w:rsidR="004771EC">
        <w:t>six</w:t>
      </w:r>
      <w:r w:rsidRPr="00DD61F5">
        <w:t xml:space="preserve"> sotrovimab patients who progressed had at least 3 risk factors, of which </w:t>
      </w:r>
      <w:r w:rsidR="004771EC">
        <w:t>three</w:t>
      </w:r>
      <w:r w:rsidRPr="00DD61F5">
        <w:t xml:space="preserve"> were hospitalised for events potentially unrelated to COVID-19.</w:t>
      </w:r>
    </w:p>
    <w:p w14:paraId="19D0502B" w14:textId="77777777" w:rsidR="002F06AE" w:rsidRPr="00DD61F5" w:rsidRDefault="002F06AE" w:rsidP="00DD61F5">
      <w:r w:rsidRPr="00DD61F5">
        <w:t xml:space="preserve">A </w:t>
      </w:r>
      <w:r w:rsidRPr="00DD61F5">
        <w:rPr>
          <w:i/>
        </w:rPr>
        <w:t>post-hoc</w:t>
      </w:r>
      <w:r w:rsidRPr="00DD61F5">
        <w:t xml:space="preserve"> review of all the safety narratives (Day 29 analysis) was conducted to further investigate possible relatedness to COVID-19:</w:t>
      </w:r>
    </w:p>
    <w:p w14:paraId="67A04E45" w14:textId="77777777" w:rsidR="002F06AE" w:rsidRPr="00DD61F5" w:rsidRDefault="002F06AE" w:rsidP="00DD61F5">
      <w:r w:rsidRPr="00DD61F5">
        <w:t>Out of the 6 hospitalisations in the sotrovimab arm, 3 participants were found to have been hospitalised for events potentially unrelated to COVID-19, such as small intestinal obstruction, non-small cell lung cancer, and diabetic foot ulcer.</w:t>
      </w:r>
    </w:p>
    <w:p w14:paraId="50E3ADC4" w14:textId="1A9C9DE4" w:rsidR="002F06AE" w:rsidRPr="00DD61F5" w:rsidRDefault="002F06AE" w:rsidP="00DD61F5">
      <w:r w:rsidRPr="00DD61F5">
        <w:t>Thirty participants in the placebo arm met progression criteria for the primary endpoint, all of which were found to be due to events potentially related to COVID-19.</w:t>
      </w:r>
    </w:p>
    <w:p w14:paraId="498E1138" w14:textId="1B4EC347" w:rsidR="002F06AE" w:rsidRDefault="002F06AE" w:rsidP="00DD61F5">
      <w:pPr>
        <w:pStyle w:val="Heading6"/>
        <w:rPr>
          <w:rFonts w:eastAsiaTheme="minorHAnsi"/>
        </w:rPr>
      </w:pPr>
      <w:r>
        <w:rPr>
          <w:rFonts w:eastAsiaTheme="minorHAnsi"/>
        </w:rPr>
        <w:t xml:space="preserve">Variants of </w:t>
      </w:r>
      <w:r w:rsidR="00520F7F">
        <w:rPr>
          <w:rFonts w:eastAsiaTheme="minorHAnsi"/>
        </w:rPr>
        <w:t>c</w:t>
      </w:r>
      <w:r>
        <w:rPr>
          <w:rFonts w:eastAsiaTheme="minorHAnsi"/>
        </w:rPr>
        <w:t>oncern</w:t>
      </w:r>
    </w:p>
    <w:p w14:paraId="02D5BB97" w14:textId="4291AE02" w:rsidR="002F06AE" w:rsidRPr="007669CA" w:rsidRDefault="002F06AE" w:rsidP="007669CA">
      <w:r w:rsidRPr="00DD61F5">
        <w:t xml:space="preserve">The emergence of viral resistance mutants to </w:t>
      </w:r>
      <w:r w:rsidR="00DD61F5">
        <w:t>monoclonal antibodies</w:t>
      </w:r>
      <w:r w:rsidRPr="00DD61F5">
        <w:t xml:space="preserve"> by SARS-CoV-2 is an exploratory endpoint of the study. An initial virology analysis was conducted based on sequencing data available as of 18 May 2021. This was reported separately from the </w:t>
      </w:r>
      <w:r w:rsidR="007669CA">
        <w:t>clinical study report</w:t>
      </w:r>
      <w:r w:rsidRPr="00DD61F5">
        <w:t>. Included are results from 25</w:t>
      </w:r>
      <w:r w:rsidR="007669CA">
        <w:t>9 participants at B</w:t>
      </w:r>
      <w:r w:rsidRPr="00DD61F5">
        <w:t>aseline (sotrovimab 127; placebo 132) and 80 participants post-baseline (sotrovimab 45</w:t>
      </w:r>
      <w:r w:rsidR="007669CA">
        <w:t xml:space="preserve">; placebo 35). This represents around </w:t>
      </w:r>
      <w:r w:rsidRPr="00DD61F5">
        <w:t>38% of total participants who qualify for sequence analysis (due to processing delays/resource constraints). A final virology report will be prepared later when all data are available. The presence of variants was defined as variants detected at ≥</w:t>
      </w:r>
      <w:r w:rsidR="007669CA">
        <w:t> </w:t>
      </w:r>
      <w:r w:rsidRPr="00DD61F5">
        <w:t>5% allelic fraction. Any variants in the Spike protein were present in the vast majority (&gt;</w:t>
      </w:r>
      <w:r w:rsidR="007669CA">
        <w:t> </w:t>
      </w:r>
      <w:r w:rsidRPr="00DD61F5">
        <w:t>99%) of participants with available data.</w:t>
      </w:r>
    </w:p>
    <w:p w14:paraId="5C8A359E" w14:textId="296989D9" w:rsidR="002F06AE" w:rsidRDefault="002F06AE" w:rsidP="007669CA">
      <w:pPr>
        <w:pStyle w:val="Heading7"/>
        <w:rPr>
          <w:rFonts w:eastAsiaTheme="minorHAnsi"/>
        </w:rPr>
      </w:pPr>
      <w:r w:rsidRPr="007669CA">
        <w:rPr>
          <w:rFonts w:eastAsiaTheme="minorHAnsi"/>
          <w:sz w:val="22"/>
        </w:rPr>
        <w:t>Variants in the spike protein in the epitope of sotrovimab</w:t>
      </w:r>
    </w:p>
    <w:p w14:paraId="232E90A0" w14:textId="5F440DC8" w:rsidR="002F06AE" w:rsidRDefault="002F06AE" w:rsidP="007669CA">
      <w:r>
        <w:t>Variants in the epitope of sotrovimab (‘epitope variants’) were detected at any visit in the 19 of 275 (6.9%) participants with available data in the</w:t>
      </w:r>
      <w:r w:rsidR="007669CA">
        <w:t xml:space="preserve"> current analysis, including 15 </w:t>
      </w:r>
      <w:r>
        <w:t>(10.9%) in the sotrovimab arm and 4 (2.9%) in the placebo arm. Variants at position E340 were the most frequently observed.</w:t>
      </w:r>
    </w:p>
    <w:p w14:paraId="5CE38200" w14:textId="085921D9" w:rsidR="002F06AE" w:rsidRDefault="002F06AE" w:rsidP="007669CA">
      <w:r>
        <w:t>Epitope variants were detected in 9 of 259 participants at Baseline (sotrovimab 5 of 127, 3.9%; placebo 4 of 132, 3.0%). No participants with epitope variants detected at Baseline met the primary clinical criteria for progression. Post-baseline epitope variants were detected in 10 of 80 participants (10 of 45 with sotrovimab, 0 of 35 for placebo); one of these subjects met criteria for clinical progression.</w:t>
      </w:r>
    </w:p>
    <w:p w14:paraId="3A3E9590" w14:textId="0108D486" w:rsidR="002F06AE" w:rsidRDefault="002F06AE" w:rsidP="007669CA">
      <w:r>
        <w:t xml:space="preserve">Of the 17 detected unique epitope variants, 13 have been evaluated </w:t>
      </w:r>
      <w:r>
        <w:rPr>
          <w:i/>
        </w:rPr>
        <w:t xml:space="preserve">in vitro </w:t>
      </w:r>
      <w:r>
        <w:t xml:space="preserve">and most of these were neutralised by sotrovimab with fold increases in </w:t>
      </w:r>
      <w:r w:rsidR="004C1132">
        <w:t>half maximal effective concentrations (</w:t>
      </w:r>
      <w:r>
        <w:t>EC</w:t>
      </w:r>
      <w:r>
        <w:rPr>
          <w:vertAlign w:val="subscript"/>
        </w:rPr>
        <w:t>50</w:t>
      </w:r>
      <w:r w:rsidR="004C1132">
        <w:t xml:space="preserve">) </w:t>
      </w:r>
      <w:r>
        <w:t>&lt; 3 compared to wild type. The variants E340A and E340K resulted in significant EC</w:t>
      </w:r>
      <w:r>
        <w:rPr>
          <w:vertAlign w:val="subscript"/>
        </w:rPr>
        <w:t>50</w:t>
      </w:r>
      <w:r>
        <w:t xml:space="preserve"> shifts (&gt;</w:t>
      </w:r>
      <w:r w:rsidR="007669CA">
        <w:t> </w:t>
      </w:r>
      <w:r>
        <w:t xml:space="preserve">100-fold) indicating reduced </w:t>
      </w:r>
      <w:r>
        <w:rPr>
          <w:i/>
        </w:rPr>
        <w:t>in vitro</w:t>
      </w:r>
      <w:r>
        <w:t xml:space="preserve"> susceptibility to sotrovimab.</w:t>
      </w:r>
    </w:p>
    <w:p w14:paraId="4B8DE287" w14:textId="2CE2D5B7" w:rsidR="002F06AE" w:rsidRPr="007669CA" w:rsidRDefault="007669CA" w:rsidP="007669CA">
      <w:pPr>
        <w:rPr>
          <w:i/>
        </w:rPr>
      </w:pPr>
      <w:r>
        <w:t>Sixty</w:t>
      </w:r>
      <w:r w:rsidR="004771EC">
        <w:t xml:space="preserve"> </w:t>
      </w:r>
      <w:r>
        <w:t>four subjects had Baseline as well as post</w:t>
      </w:r>
      <w:r w:rsidR="004771EC">
        <w:t xml:space="preserve"> </w:t>
      </w:r>
      <w:r>
        <w:t>B</w:t>
      </w:r>
      <w:r w:rsidR="002F06AE">
        <w:t>aseline sequencing results available for the assessment of possible treatment-emergent variants. The proportion of subjects without treatment</w:t>
      </w:r>
      <w:r w:rsidR="004771EC">
        <w:t xml:space="preserve"> </w:t>
      </w:r>
      <w:r w:rsidR="002F06AE">
        <w:t>emergent variants was similar in the placebo (6/29; 20%) and sotrovimab (6/35; 17%) arms. No subject in the placebo arm had treatment-emergent variants in the sotrovimab epitope, but these were observed in 7 subjects in the sotrovimab arm. All except for E340K had an a</w:t>
      </w:r>
      <w:r>
        <w:t>llelic frequency of &lt; 15%. The s</w:t>
      </w:r>
      <w:r w:rsidR="002F06AE">
        <w:t xml:space="preserve">ponsor stated in the report that this indicated </w:t>
      </w:r>
      <w:r w:rsidR="002F06AE">
        <w:rPr>
          <w:i/>
        </w:rPr>
        <w:t>these variants were not significantly enriched in these participants.</w:t>
      </w:r>
    </w:p>
    <w:p w14:paraId="311FE49C" w14:textId="523C3AED" w:rsidR="007669CA" w:rsidRPr="007669CA" w:rsidRDefault="007669CA" w:rsidP="007669CA">
      <w:pPr>
        <w:pStyle w:val="TableTitle"/>
      </w:pPr>
      <w:r w:rsidRPr="007669CA">
        <w:t xml:space="preserve">Table </w:t>
      </w:r>
      <w:r>
        <w:fldChar w:fldCharType="begin"/>
      </w:r>
      <w:r>
        <w:instrText>SEQ Table \* ARABIC</w:instrText>
      </w:r>
      <w:r>
        <w:fldChar w:fldCharType="separate"/>
      </w:r>
      <w:r w:rsidR="00F601F5">
        <w:rPr>
          <w:noProof/>
        </w:rPr>
        <w:t>11</w:t>
      </w:r>
      <w:r>
        <w:fldChar w:fldCharType="end"/>
      </w:r>
      <w:r w:rsidRPr="007669CA">
        <w:t>: Study 214367</w:t>
      </w:r>
      <w:r w:rsidR="00520F7F">
        <w:t xml:space="preserve"> (</w:t>
      </w:r>
      <w:r w:rsidRPr="007669CA">
        <w:t>COMET-ICE</w:t>
      </w:r>
      <w:r w:rsidR="00520F7F">
        <w:t>)</w:t>
      </w:r>
      <w:r w:rsidRPr="007669CA">
        <w:t xml:space="preserve"> Subjects with treatment-emergent variants</w:t>
      </w:r>
    </w:p>
    <w:p w14:paraId="302B1F11" w14:textId="3CBF88EF" w:rsidR="002F06AE" w:rsidRDefault="002F06AE" w:rsidP="002F06AE">
      <w:pPr>
        <w:autoSpaceDE w:val="0"/>
        <w:autoSpaceDN w:val="0"/>
        <w:spacing w:before="0" w:after="0" w:line="240" w:lineRule="auto"/>
        <w:rPr>
          <w:rFonts w:ascii="Times New Roman" w:eastAsiaTheme="minorHAnsi" w:hAnsi="Times New Roman"/>
          <w:sz w:val="24"/>
          <w:szCs w:val="24"/>
        </w:rPr>
      </w:pPr>
      <w:r>
        <w:rPr>
          <w:noProof/>
          <w:lang w:val="en-GB" w:eastAsia="en-GB"/>
        </w:rPr>
        <w:drawing>
          <wp:inline distT="0" distB="0" distL="0" distR="0" wp14:anchorId="62D211C8" wp14:editId="574DAF97">
            <wp:extent cx="5438775" cy="1887322"/>
            <wp:effectExtent l="0" t="0" r="0" b="0"/>
            <wp:docPr id="2" name="Picture 2" descr="Study 214367/COMET-ICE Subjects with treatment-emergent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2">
                      <a:extLst>
                        <a:ext uri="{28A0092B-C50C-407E-A947-70E740481C1C}">
                          <a14:useLocalDpi xmlns:a14="http://schemas.microsoft.com/office/drawing/2010/main" val="0"/>
                        </a:ext>
                      </a:extLst>
                    </a:blip>
                    <a:srcRect b="20060"/>
                    <a:stretch/>
                  </pic:blipFill>
                  <pic:spPr bwMode="auto">
                    <a:xfrm>
                      <a:off x="0" y="0"/>
                      <a:ext cx="5438775" cy="1887322"/>
                    </a:xfrm>
                    <a:prstGeom prst="rect">
                      <a:avLst/>
                    </a:prstGeom>
                    <a:noFill/>
                    <a:ln>
                      <a:noFill/>
                    </a:ln>
                    <a:extLst>
                      <a:ext uri="{53640926-AAD7-44D8-BBD7-CCE9431645EC}">
                        <a14:shadowObscured xmlns:a14="http://schemas.microsoft.com/office/drawing/2010/main"/>
                      </a:ext>
                    </a:extLst>
                  </pic:spPr>
                </pic:pic>
              </a:graphicData>
            </a:graphic>
          </wp:inline>
        </w:drawing>
      </w:r>
    </w:p>
    <w:p w14:paraId="1AF50B10" w14:textId="7EF90B56" w:rsidR="004A648E" w:rsidRPr="004A648E" w:rsidRDefault="004A648E" w:rsidP="004A648E">
      <w:pPr>
        <w:pStyle w:val="TableDescription"/>
      </w:pPr>
      <w:r w:rsidRPr="004A648E">
        <w:t>RBD = receptor</w:t>
      </w:r>
      <w:r w:rsidR="00520F7F">
        <w:noBreakHyphen/>
      </w:r>
      <w:r w:rsidRPr="004A648E">
        <w:t>binding domain; TE = treatment emergent</w:t>
      </w:r>
      <w:r w:rsidR="00520F7F">
        <w:t>; n = number of participants</w:t>
      </w:r>
    </w:p>
    <w:p w14:paraId="6935CDCF" w14:textId="3334DDA6" w:rsidR="004A648E" w:rsidRPr="004A648E" w:rsidRDefault="004A648E" w:rsidP="004A648E">
      <w:pPr>
        <w:pStyle w:val="TableDescription"/>
      </w:pPr>
      <w:r w:rsidRPr="003A1363">
        <w:rPr>
          <w:vertAlign w:val="superscript"/>
        </w:rPr>
        <w:t>a</w:t>
      </w:r>
      <w:r w:rsidRPr="004A648E">
        <w:t xml:space="preserve"> </w:t>
      </w:r>
      <w:r w:rsidR="00520F7F" w:rsidRPr="004A648E">
        <w:t>Pe</w:t>
      </w:r>
      <w:r w:rsidR="00520F7F">
        <w:t>rc</w:t>
      </w:r>
      <w:r w:rsidR="00520F7F" w:rsidRPr="004A648E">
        <w:t>ent</w:t>
      </w:r>
      <w:r w:rsidRPr="004A648E">
        <w:t xml:space="preserve"> is out of participants with paired sequence data.</w:t>
      </w:r>
    </w:p>
    <w:p w14:paraId="0153A5CC" w14:textId="2928533E" w:rsidR="002F06AE" w:rsidRDefault="002F06AE" w:rsidP="007669CA">
      <w:r>
        <w:t xml:space="preserve">Caution should be used in interpreting these observations, as the proportion of subjects with </w:t>
      </w:r>
      <w:r w:rsidRPr="007669CA">
        <w:t>available</w:t>
      </w:r>
      <w:r>
        <w:t xml:space="preserve"> data for this analysis was very small. It is also not certain whether the </w:t>
      </w:r>
      <w:r w:rsidR="00CA038C">
        <w:rPr>
          <w:i/>
        </w:rPr>
        <w:t>in </w:t>
      </w:r>
      <w:r w:rsidRPr="004C1132">
        <w:rPr>
          <w:i/>
        </w:rPr>
        <w:t>vitro</w:t>
      </w:r>
      <w:r>
        <w:t xml:space="preserve"> resistance data correlate with a </w:t>
      </w:r>
      <w:r w:rsidR="004C1132">
        <w:t>reduction in clinical efficacy.</w:t>
      </w:r>
    </w:p>
    <w:p w14:paraId="4C746BB7" w14:textId="27AFE111" w:rsidR="002F06AE" w:rsidRPr="007669CA" w:rsidRDefault="007669CA" w:rsidP="007669CA">
      <w:pPr>
        <w:pStyle w:val="Heading7"/>
        <w:rPr>
          <w:rFonts w:eastAsiaTheme="minorHAnsi"/>
          <w:sz w:val="22"/>
        </w:rPr>
      </w:pPr>
      <w:r w:rsidRPr="007669CA">
        <w:rPr>
          <w:rFonts w:eastAsiaTheme="minorHAnsi"/>
          <w:sz w:val="22"/>
        </w:rPr>
        <w:t>Variants of concern/interest</w:t>
      </w:r>
    </w:p>
    <w:p w14:paraId="2A65D0A9" w14:textId="62253062" w:rsidR="007669CA" w:rsidRPr="007669CA" w:rsidRDefault="002F06AE" w:rsidP="007669CA">
      <w:r>
        <w:t>Available sequences were assessed for the presence of known variants of concern, variants of interest and substitutions of concern. Of those subjects with detected variants, one in each treatment group met primary endpoint criteria for progression.</w:t>
      </w:r>
    </w:p>
    <w:p w14:paraId="56512C07" w14:textId="5E1640C8" w:rsidR="007669CA" w:rsidRDefault="007669CA" w:rsidP="007669CA">
      <w:pPr>
        <w:pStyle w:val="TableTitle"/>
      </w:pPr>
      <w:r>
        <w:t xml:space="preserve">Table </w:t>
      </w:r>
      <w:r>
        <w:fldChar w:fldCharType="begin"/>
      </w:r>
      <w:r>
        <w:instrText>SEQ Table \* ARABIC</w:instrText>
      </w:r>
      <w:r>
        <w:fldChar w:fldCharType="separate"/>
      </w:r>
      <w:r w:rsidR="00F601F5">
        <w:rPr>
          <w:noProof/>
        </w:rPr>
        <w:t>12</w:t>
      </w:r>
      <w:r>
        <w:fldChar w:fldCharType="end"/>
      </w:r>
      <w:r>
        <w:t xml:space="preserve">: Study 214367/COMET-ICE trial </w:t>
      </w:r>
      <w:r w:rsidRPr="002D51BA">
        <w:t>Prevalent variants of concern/interest in subjects with data available as of 18 May 2021</w:t>
      </w:r>
    </w:p>
    <w:tbl>
      <w:tblPr>
        <w:tblStyle w:val="TableTGAblue"/>
        <w:tblW w:w="8810" w:type="dxa"/>
        <w:tblLook w:val="04A0" w:firstRow="1" w:lastRow="0" w:firstColumn="1" w:lastColumn="0" w:noHBand="0" w:noVBand="1"/>
      </w:tblPr>
      <w:tblGrid>
        <w:gridCol w:w="3950"/>
        <w:gridCol w:w="1620"/>
        <w:gridCol w:w="1620"/>
        <w:gridCol w:w="1620"/>
      </w:tblGrid>
      <w:tr w:rsidR="00520F7F" w14:paraId="752B1D79" w14:textId="77777777" w:rsidTr="00D11607">
        <w:trPr>
          <w:cnfStyle w:val="100000000000" w:firstRow="1" w:lastRow="0" w:firstColumn="0" w:lastColumn="0" w:oddVBand="0" w:evenVBand="0" w:oddHBand="0" w:evenHBand="0" w:firstRowFirstColumn="0" w:firstRowLastColumn="0" w:lastRowFirstColumn="0" w:lastRowLastColumn="0"/>
        </w:trPr>
        <w:tc>
          <w:tcPr>
            <w:tcW w:w="3950" w:type="dxa"/>
          </w:tcPr>
          <w:p w14:paraId="03DB7DD3" w14:textId="000D4C5B" w:rsidR="00520F7F" w:rsidRDefault="00D11607" w:rsidP="00520F7F">
            <w:r>
              <w:t>Variant/substitution detected at any visit (n)</w:t>
            </w:r>
          </w:p>
        </w:tc>
        <w:tc>
          <w:tcPr>
            <w:tcW w:w="1620" w:type="dxa"/>
          </w:tcPr>
          <w:p w14:paraId="1676BBF5" w14:textId="003E1990" w:rsidR="00520F7F" w:rsidRDefault="00D11607" w:rsidP="00D11607">
            <w:pPr>
              <w:ind w:left="0"/>
            </w:pPr>
            <w:r>
              <w:t>Sotrovimab (n = 137)</w:t>
            </w:r>
          </w:p>
        </w:tc>
        <w:tc>
          <w:tcPr>
            <w:tcW w:w="1620" w:type="dxa"/>
          </w:tcPr>
          <w:p w14:paraId="6415513C" w14:textId="050E180E" w:rsidR="00520F7F" w:rsidRDefault="00D11607" w:rsidP="00D11607">
            <w:pPr>
              <w:ind w:left="0"/>
            </w:pPr>
            <w:r>
              <w:t>Placebo (n = 138)</w:t>
            </w:r>
          </w:p>
        </w:tc>
        <w:tc>
          <w:tcPr>
            <w:tcW w:w="1620" w:type="dxa"/>
          </w:tcPr>
          <w:p w14:paraId="20DA6395" w14:textId="6A968861" w:rsidR="00520F7F" w:rsidRDefault="00D11607" w:rsidP="00D11607">
            <w:pPr>
              <w:ind w:left="0"/>
            </w:pPr>
            <w:r>
              <w:t>Total (n = 275)</w:t>
            </w:r>
          </w:p>
        </w:tc>
      </w:tr>
      <w:tr w:rsidR="00520F7F" w14:paraId="5CA9CC5C" w14:textId="77777777" w:rsidTr="00D11607">
        <w:tc>
          <w:tcPr>
            <w:tcW w:w="3950" w:type="dxa"/>
          </w:tcPr>
          <w:p w14:paraId="12169CB4" w14:textId="31BBDC60" w:rsidR="00520F7F" w:rsidRPr="00D11607" w:rsidRDefault="00CB4726" w:rsidP="00520F7F">
            <w:pPr>
              <w:rPr>
                <w:sz w:val="20"/>
              </w:rPr>
            </w:pPr>
            <w:r w:rsidRPr="00D11607">
              <w:rPr>
                <w:sz w:val="20"/>
              </w:rPr>
              <w:t>B.1.1.7 (alpha)</w:t>
            </w:r>
          </w:p>
        </w:tc>
        <w:tc>
          <w:tcPr>
            <w:tcW w:w="1620" w:type="dxa"/>
          </w:tcPr>
          <w:p w14:paraId="08864EAE" w14:textId="1F4A368E" w:rsidR="00520F7F" w:rsidRPr="00D11607" w:rsidRDefault="00D11607" w:rsidP="00520F7F">
            <w:pPr>
              <w:rPr>
                <w:sz w:val="20"/>
              </w:rPr>
            </w:pPr>
            <w:r>
              <w:rPr>
                <w:sz w:val="20"/>
              </w:rPr>
              <w:t>5</w:t>
            </w:r>
          </w:p>
        </w:tc>
        <w:tc>
          <w:tcPr>
            <w:tcW w:w="1620" w:type="dxa"/>
          </w:tcPr>
          <w:p w14:paraId="23851FE9" w14:textId="19DFCF06" w:rsidR="00520F7F" w:rsidRPr="00D11607" w:rsidRDefault="00D11607" w:rsidP="00520F7F">
            <w:pPr>
              <w:rPr>
                <w:sz w:val="20"/>
              </w:rPr>
            </w:pPr>
            <w:r>
              <w:rPr>
                <w:sz w:val="20"/>
              </w:rPr>
              <w:t>6*</w:t>
            </w:r>
          </w:p>
        </w:tc>
        <w:tc>
          <w:tcPr>
            <w:tcW w:w="1620" w:type="dxa"/>
          </w:tcPr>
          <w:p w14:paraId="4525F80C" w14:textId="51800F12" w:rsidR="00520F7F" w:rsidRPr="00D11607" w:rsidRDefault="00D11607" w:rsidP="00520F7F">
            <w:pPr>
              <w:rPr>
                <w:sz w:val="20"/>
              </w:rPr>
            </w:pPr>
            <w:r>
              <w:rPr>
                <w:sz w:val="20"/>
              </w:rPr>
              <w:t>11</w:t>
            </w:r>
          </w:p>
        </w:tc>
      </w:tr>
      <w:tr w:rsidR="00520F7F" w14:paraId="57E4B751" w14:textId="77777777" w:rsidTr="00D11607">
        <w:tc>
          <w:tcPr>
            <w:tcW w:w="3950" w:type="dxa"/>
          </w:tcPr>
          <w:p w14:paraId="7911C3C1" w14:textId="20886093" w:rsidR="00520F7F" w:rsidRPr="00D11607" w:rsidRDefault="00D11607" w:rsidP="00520F7F">
            <w:pPr>
              <w:rPr>
                <w:sz w:val="20"/>
              </w:rPr>
            </w:pPr>
            <w:r w:rsidRPr="00D11607">
              <w:rPr>
                <w:sz w:val="20"/>
              </w:rPr>
              <w:t>B.1.351 (beta)</w:t>
            </w:r>
          </w:p>
        </w:tc>
        <w:tc>
          <w:tcPr>
            <w:tcW w:w="1620" w:type="dxa"/>
          </w:tcPr>
          <w:p w14:paraId="398FB741" w14:textId="11103C23" w:rsidR="00520F7F" w:rsidRPr="00D11607" w:rsidRDefault="00D11607" w:rsidP="00520F7F">
            <w:pPr>
              <w:rPr>
                <w:sz w:val="20"/>
              </w:rPr>
            </w:pPr>
            <w:r>
              <w:rPr>
                <w:sz w:val="20"/>
              </w:rPr>
              <w:t>0</w:t>
            </w:r>
          </w:p>
        </w:tc>
        <w:tc>
          <w:tcPr>
            <w:tcW w:w="1620" w:type="dxa"/>
          </w:tcPr>
          <w:p w14:paraId="59760111" w14:textId="4B323BE4" w:rsidR="00520F7F" w:rsidRPr="00D11607" w:rsidRDefault="00D11607" w:rsidP="00520F7F">
            <w:pPr>
              <w:rPr>
                <w:sz w:val="20"/>
              </w:rPr>
            </w:pPr>
            <w:r>
              <w:rPr>
                <w:sz w:val="20"/>
              </w:rPr>
              <w:t>0</w:t>
            </w:r>
          </w:p>
        </w:tc>
        <w:tc>
          <w:tcPr>
            <w:tcW w:w="1620" w:type="dxa"/>
          </w:tcPr>
          <w:p w14:paraId="1F13DBD2" w14:textId="4065EA93" w:rsidR="00520F7F" w:rsidRPr="00D11607" w:rsidRDefault="00D11607" w:rsidP="00520F7F">
            <w:pPr>
              <w:rPr>
                <w:sz w:val="20"/>
              </w:rPr>
            </w:pPr>
            <w:r>
              <w:rPr>
                <w:sz w:val="20"/>
              </w:rPr>
              <w:t>0</w:t>
            </w:r>
          </w:p>
        </w:tc>
      </w:tr>
      <w:tr w:rsidR="00520F7F" w14:paraId="566330A7" w14:textId="77777777" w:rsidTr="00D11607">
        <w:tc>
          <w:tcPr>
            <w:tcW w:w="3950" w:type="dxa"/>
          </w:tcPr>
          <w:p w14:paraId="7C5988D2" w14:textId="3A4CA035" w:rsidR="00520F7F" w:rsidRPr="00D11607" w:rsidRDefault="00D11607" w:rsidP="00520F7F">
            <w:pPr>
              <w:rPr>
                <w:sz w:val="20"/>
              </w:rPr>
            </w:pPr>
            <w:r w:rsidRPr="00D11607">
              <w:rPr>
                <w:sz w:val="20"/>
              </w:rPr>
              <w:t>P.1 (gamma)</w:t>
            </w:r>
          </w:p>
        </w:tc>
        <w:tc>
          <w:tcPr>
            <w:tcW w:w="1620" w:type="dxa"/>
          </w:tcPr>
          <w:p w14:paraId="11E2DDCC" w14:textId="5F768203" w:rsidR="00520F7F" w:rsidRPr="00D11607" w:rsidRDefault="00D11607" w:rsidP="00520F7F">
            <w:pPr>
              <w:rPr>
                <w:sz w:val="20"/>
              </w:rPr>
            </w:pPr>
            <w:r>
              <w:rPr>
                <w:sz w:val="20"/>
              </w:rPr>
              <w:t>0</w:t>
            </w:r>
          </w:p>
        </w:tc>
        <w:tc>
          <w:tcPr>
            <w:tcW w:w="1620" w:type="dxa"/>
          </w:tcPr>
          <w:p w14:paraId="4763982D" w14:textId="6753C254" w:rsidR="00520F7F" w:rsidRPr="00D11607" w:rsidRDefault="00D11607" w:rsidP="00520F7F">
            <w:pPr>
              <w:rPr>
                <w:sz w:val="20"/>
              </w:rPr>
            </w:pPr>
            <w:r>
              <w:rPr>
                <w:sz w:val="20"/>
              </w:rPr>
              <w:t>0</w:t>
            </w:r>
          </w:p>
        </w:tc>
        <w:tc>
          <w:tcPr>
            <w:tcW w:w="1620" w:type="dxa"/>
          </w:tcPr>
          <w:p w14:paraId="52D1D19C" w14:textId="7A47CD2F" w:rsidR="00520F7F" w:rsidRPr="00D11607" w:rsidRDefault="00D11607" w:rsidP="00520F7F">
            <w:pPr>
              <w:rPr>
                <w:sz w:val="20"/>
              </w:rPr>
            </w:pPr>
            <w:r>
              <w:rPr>
                <w:sz w:val="20"/>
              </w:rPr>
              <w:t>0</w:t>
            </w:r>
          </w:p>
        </w:tc>
      </w:tr>
      <w:tr w:rsidR="00520F7F" w14:paraId="46F75F9C" w14:textId="77777777" w:rsidTr="00D11607">
        <w:tc>
          <w:tcPr>
            <w:tcW w:w="3950" w:type="dxa"/>
          </w:tcPr>
          <w:p w14:paraId="364E4E7C" w14:textId="7723DA9E" w:rsidR="00520F7F" w:rsidRPr="00D11607" w:rsidRDefault="00D11607" w:rsidP="00520F7F">
            <w:pPr>
              <w:rPr>
                <w:sz w:val="20"/>
              </w:rPr>
            </w:pPr>
            <w:r w:rsidRPr="00D11607">
              <w:rPr>
                <w:sz w:val="20"/>
              </w:rPr>
              <w:t>B.1.517.2 (delta)</w:t>
            </w:r>
          </w:p>
        </w:tc>
        <w:tc>
          <w:tcPr>
            <w:tcW w:w="1620" w:type="dxa"/>
          </w:tcPr>
          <w:p w14:paraId="7525C063" w14:textId="4A47260F" w:rsidR="00520F7F" w:rsidRPr="00D11607" w:rsidRDefault="00D11607" w:rsidP="00520F7F">
            <w:pPr>
              <w:rPr>
                <w:sz w:val="20"/>
              </w:rPr>
            </w:pPr>
            <w:r>
              <w:rPr>
                <w:sz w:val="20"/>
              </w:rPr>
              <w:t>0</w:t>
            </w:r>
          </w:p>
        </w:tc>
        <w:tc>
          <w:tcPr>
            <w:tcW w:w="1620" w:type="dxa"/>
          </w:tcPr>
          <w:p w14:paraId="445291E5" w14:textId="35F3EB42" w:rsidR="00520F7F" w:rsidRPr="00D11607" w:rsidRDefault="00D11607" w:rsidP="00520F7F">
            <w:pPr>
              <w:rPr>
                <w:sz w:val="20"/>
              </w:rPr>
            </w:pPr>
            <w:r>
              <w:rPr>
                <w:sz w:val="20"/>
              </w:rPr>
              <w:t>0</w:t>
            </w:r>
          </w:p>
        </w:tc>
        <w:tc>
          <w:tcPr>
            <w:tcW w:w="1620" w:type="dxa"/>
          </w:tcPr>
          <w:p w14:paraId="2EB3E8D1" w14:textId="51DD0183" w:rsidR="00520F7F" w:rsidRPr="00D11607" w:rsidRDefault="00D11607" w:rsidP="00520F7F">
            <w:pPr>
              <w:rPr>
                <w:sz w:val="20"/>
              </w:rPr>
            </w:pPr>
            <w:r>
              <w:rPr>
                <w:sz w:val="20"/>
              </w:rPr>
              <w:t>0</w:t>
            </w:r>
          </w:p>
        </w:tc>
      </w:tr>
      <w:tr w:rsidR="00520F7F" w14:paraId="2939C3A0" w14:textId="77777777" w:rsidTr="00D11607">
        <w:tc>
          <w:tcPr>
            <w:tcW w:w="3950" w:type="dxa"/>
          </w:tcPr>
          <w:p w14:paraId="1B1BBAAB" w14:textId="74BB98C1" w:rsidR="00520F7F" w:rsidRPr="00D11607" w:rsidRDefault="00D11607" w:rsidP="00520F7F">
            <w:pPr>
              <w:rPr>
                <w:sz w:val="20"/>
              </w:rPr>
            </w:pPr>
            <w:r>
              <w:rPr>
                <w:sz w:val="20"/>
              </w:rPr>
              <w:t>B.1.427/B.1.429 (epsilon)</w:t>
            </w:r>
          </w:p>
        </w:tc>
        <w:tc>
          <w:tcPr>
            <w:tcW w:w="1620" w:type="dxa"/>
          </w:tcPr>
          <w:p w14:paraId="11D4E12E" w14:textId="5E946775" w:rsidR="00520F7F" w:rsidRPr="00D11607" w:rsidRDefault="00D11607" w:rsidP="00520F7F">
            <w:pPr>
              <w:rPr>
                <w:sz w:val="20"/>
              </w:rPr>
            </w:pPr>
            <w:r>
              <w:rPr>
                <w:sz w:val="20"/>
              </w:rPr>
              <w:t>5*</w:t>
            </w:r>
          </w:p>
        </w:tc>
        <w:tc>
          <w:tcPr>
            <w:tcW w:w="1620" w:type="dxa"/>
          </w:tcPr>
          <w:p w14:paraId="2ECF57E3" w14:textId="0EF9DEA3" w:rsidR="00520F7F" w:rsidRPr="00D11607" w:rsidRDefault="00D11607" w:rsidP="00520F7F">
            <w:pPr>
              <w:rPr>
                <w:sz w:val="20"/>
              </w:rPr>
            </w:pPr>
            <w:r>
              <w:rPr>
                <w:sz w:val="20"/>
              </w:rPr>
              <w:t>7</w:t>
            </w:r>
          </w:p>
        </w:tc>
        <w:tc>
          <w:tcPr>
            <w:tcW w:w="1620" w:type="dxa"/>
          </w:tcPr>
          <w:p w14:paraId="636B5F74" w14:textId="0DE50141" w:rsidR="00520F7F" w:rsidRPr="00D11607" w:rsidRDefault="00D11607" w:rsidP="00520F7F">
            <w:pPr>
              <w:rPr>
                <w:sz w:val="20"/>
              </w:rPr>
            </w:pPr>
            <w:r>
              <w:rPr>
                <w:sz w:val="20"/>
              </w:rPr>
              <w:t>12</w:t>
            </w:r>
          </w:p>
        </w:tc>
      </w:tr>
      <w:tr w:rsidR="00520F7F" w14:paraId="02760B52" w14:textId="77777777" w:rsidTr="00D11607">
        <w:tc>
          <w:tcPr>
            <w:tcW w:w="3950" w:type="dxa"/>
          </w:tcPr>
          <w:p w14:paraId="2812ACD7" w14:textId="35FA073B" w:rsidR="00520F7F" w:rsidRPr="00D11607" w:rsidRDefault="00D11607" w:rsidP="00520F7F">
            <w:pPr>
              <w:rPr>
                <w:sz w:val="20"/>
              </w:rPr>
            </w:pPr>
            <w:r>
              <w:rPr>
                <w:sz w:val="20"/>
              </w:rPr>
              <w:t>B.1.526 (iota)</w:t>
            </w:r>
          </w:p>
        </w:tc>
        <w:tc>
          <w:tcPr>
            <w:tcW w:w="1620" w:type="dxa"/>
          </w:tcPr>
          <w:p w14:paraId="6F7D742B" w14:textId="796C1436" w:rsidR="00520F7F" w:rsidRPr="00D11607" w:rsidRDefault="00D11607" w:rsidP="00520F7F">
            <w:pPr>
              <w:rPr>
                <w:sz w:val="20"/>
              </w:rPr>
            </w:pPr>
            <w:r>
              <w:rPr>
                <w:sz w:val="20"/>
              </w:rPr>
              <w:t>0</w:t>
            </w:r>
          </w:p>
        </w:tc>
        <w:tc>
          <w:tcPr>
            <w:tcW w:w="1620" w:type="dxa"/>
          </w:tcPr>
          <w:p w14:paraId="3ADE7B13" w14:textId="57345DFE" w:rsidR="00520F7F" w:rsidRPr="00D11607" w:rsidRDefault="00D11607" w:rsidP="00520F7F">
            <w:pPr>
              <w:rPr>
                <w:sz w:val="20"/>
              </w:rPr>
            </w:pPr>
            <w:r>
              <w:rPr>
                <w:sz w:val="20"/>
              </w:rPr>
              <w:t>0</w:t>
            </w:r>
          </w:p>
        </w:tc>
        <w:tc>
          <w:tcPr>
            <w:tcW w:w="1620" w:type="dxa"/>
          </w:tcPr>
          <w:p w14:paraId="04245FA6" w14:textId="660AAC0B" w:rsidR="00520F7F" w:rsidRPr="00D11607" w:rsidRDefault="00D11607" w:rsidP="00520F7F">
            <w:pPr>
              <w:rPr>
                <w:sz w:val="20"/>
              </w:rPr>
            </w:pPr>
            <w:r>
              <w:rPr>
                <w:sz w:val="20"/>
              </w:rPr>
              <w:t>0</w:t>
            </w:r>
          </w:p>
        </w:tc>
      </w:tr>
      <w:tr w:rsidR="00520F7F" w14:paraId="0CE8CA77" w14:textId="77777777" w:rsidTr="00D11607">
        <w:tc>
          <w:tcPr>
            <w:tcW w:w="3950" w:type="dxa"/>
          </w:tcPr>
          <w:p w14:paraId="059CFC1E" w14:textId="40791A4A" w:rsidR="00520F7F" w:rsidRPr="00D11607" w:rsidRDefault="00D11607" w:rsidP="00520F7F">
            <w:pPr>
              <w:rPr>
                <w:sz w:val="20"/>
              </w:rPr>
            </w:pPr>
            <w:r>
              <w:rPr>
                <w:sz w:val="20"/>
              </w:rPr>
              <w:t>B.1.617.1 (kappa)</w:t>
            </w:r>
          </w:p>
        </w:tc>
        <w:tc>
          <w:tcPr>
            <w:tcW w:w="1620" w:type="dxa"/>
          </w:tcPr>
          <w:p w14:paraId="7280CEA2" w14:textId="0C6BD433" w:rsidR="00520F7F" w:rsidRPr="00D11607" w:rsidRDefault="00D11607" w:rsidP="00520F7F">
            <w:pPr>
              <w:rPr>
                <w:sz w:val="20"/>
              </w:rPr>
            </w:pPr>
            <w:r>
              <w:rPr>
                <w:sz w:val="20"/>
              </w:rPr>
              <w:t>0</w:t>
            </w:r>
          </w:p>
        </w:tc>
        <w:tc>
          <w:tcPr>
            <w:tcW w:w="1620" w:type="dxa"/>
          </w:tcPr>
          <w:p w14:paraId="5284157A" w14:textId="165E6368" w:rsidR="00520F7F" w:rsidRPr="00D11607" w:rsidRDefault="00D11607" w:rsidP="00520F7F">
            <w:pPr>
              <w:rPr>
                <w:sz w:val="20"/>
              </w:rPr>
            </w:pPr>
            <w:r>
              <w:rPr>
                <w:sz w:val="20"/>
              </w:rPr>
              <w:t>0</w:t>
            </w:r>
          </w:p>
        </w:tc>
        <w:tc>
          <w:tcPr>
            <w:tcW w:w="1620" w:type="dxa"/>
          </w:tcPr>
          <w:p w14:paraId="3038C4F5" w14:textId="27351D59" w:rsidR="00520F7F" w:rsidRPr="00D11607" w:rsidRDefault="00D11607" w:rsidP="00520F7F">
            <w:pPr>
              <w:rPr>
                <w:sz w:val="20"/>
              </w:rPr>
            </w:pPr>
            <w:r>
              <w:rPr>
                <w:sz w:val="20"/>
              </w:rPr>
              <w:t>0</w:t>
            </w:r>
          </w:p>
        </w:tc>
      </w:tr>
      <w:tr w:rsidR="00D11607" w14:paraId="4D379660" w14:textId="77777777" w:rsidTr="00D11607">
        <w:tc>
          <w:tcPr>
            <w:tcW w:w="3950" w:type="dxa"/>
          </w:tcPr>
          <w:p w14:paraId="6305B472" w14:textId="787E896A" w:rsidR="00D11607" w:rsidRDefault="00D11607" w:rsidP="00520F7F">
            <w:pPr>
              <w:rPr>
                <w:sz w:val="20"/>
              </w:rPr>
            </w:pPr>
            <w:r>
              <w:rPr>
                <w:sz w:val="20"/>
              </w:rPr>
              <w:t>N501Y substitution</w:t>
            </w:r>
          </w:p>
        </w:tc>
        <w:tc>
          <w:tcPr>
            <w:tcW w:w="1620" w:type="dxa"/>
          </w:tcPr>
          <w:p w14:paraId="6CE8543A" w14:textId="33535FAA" w:rsidR="00D11607" w:rsidRDefault="00D11607" w:rsidP="00520F7F">
            <w:pPr>
              <w:rPr>
                <w:sz w:val="20"/>
              </w:rPr>
            </w:pPr>
            <w:r>
              <w:rPr>
                <w:sz w:val="20"/>
              </w:rPr>
              <w:t>1</w:t>
            </w:r>
          </w:p>
        </w:tc>
        <w:tc>
          <w:tcPr>
            <w:tcW w:w="1620" w:type="dxa"/>
          </w:tcPr>
          <w:p w14:paraId="27F4149B" w14:textId="0C01ED53" w:rsidR="00D11607" w:rsidRDefault="00D11607" w:rsidP="00520F7F">
            <w:pPr>
              <w:rPr>
                <w:sz w:val="20"/>
              </w:rPr>
            </w:pPr>
            <w:r>
              <w:rPr>
                <w:sz w:val="20"/>
              </w:rPr>
              <w:t>1</w:t>
            </w:r>
          </w:p>
        </w:tc>
        <w:tc>
          <w:tcPr>
            <w:tcW w:w="1620" w:type="dxa"/>
          </w:tcPr>
          <w:p w14:paraId="59C74890" w14:textId="1857C144" w:rsidR="00D11607" w:rsidRDefault="00D11607" w:rsidP="00520F7F">
            <w:pPr>
              <w:rPr>
                <w:sz w:val="20"/>
              </w:rPr>
            </w:pPr>
            <w:r>
              <w:rPr>
                <w:sz w:val="20"/>
              </w:rPr>
              <w:t>2</w:t>
            </w:r>
          </w:p>
        </w:tc>
      </w:tr>
      <w:tr w:rsidR="00D11607" w14:paraId="213DD746" w14:textId="77777777" w:rsidTr="00D11607">
        <w:tc>
          <w:tcPr>
            <w:tcW w:w="3950" w:type="dxa"/>
          </w:tcPr>
          <w:p w14:paraId="73E0C4A0" w14:textId="6D97539F" w:rsidR="00D11607" w:rsidRDefault="00D11607" w:rsidP="00520F7F">
            <w:pPr>
              <w:rPr>
                <w:sz w:val="20"/>
              </w:rPr>
            </w:pPr>
            <w:r>
              <w:rPr>
                <w:sz w:val="20"/>
              </w:rPr>
              <w:t>L452R substitution</w:t>
            </w:r>
          </w:p>
        </w:tc>
        <w:tc>
          <w:tcPr>
            <w:tcW w:w="1620" w:type="dxa"/>
          </w:tcPr>
          <w:p w14:paraId="10E43214" w14:textId="4D033E13" w:rsidR="00D11607" w:rsidRDefault="00D11607" w:rsidP="00520F7F">
            <w:pPr>
              <w:rPr>
                <w:sz w:val="20"/>
              </w:rPr>
            </w:pPr>
            <w:r>
              <w:rPr>
                <w:sz w:val="20"/>
              </w:rPr>
              <w:t>0</w:t>
            </w:r>
          </w:p>
        </w:tc>
        <w:tc>
          <w:tcPr>
            <w:tcW w:w="1620" w:type="dxa"/>
          </w:tcPr>
          <w:p w14:paraId="1D61D7CC" w14:textId="53354438" w:rsidR="00D11607" w:rsidRDefault="00D11607" w:rsidP="00520F7F">
            <w:pPr>
              <w:rPr>
                <w:sz w:val="20"/>
              </w:rPr>
            </w:pPr>
            <w:r>
              <w:rPr>
                <w:sz w:val="20"/>
              </w:rPr>
              <w:t>2</w:t>
            </w:r>
          </w:p>
        </w:tc>
        <w:tc>
          <w:tcPr>
            <w:tcW w:w="1620" w:type="dxa"/>
          </w:tcPr>
          <w:p w14:paraId="4DA07F3B" w14:textId="256BA85E" w:rsidR="00D11607" w:rsidRDefault="00D11607" w:rsidP="00520F7F">
            <w:pPr>
              <w:rPr>
                <w:sz w:val="20"/>
              </w:rPr>
            </w:pPr>
            <w:r>
              <w:rPr>
                <w:sz w:val="20"/>
              </w:rPr>
              <w:t>2</w:t>
            </w:r>
          </w:p>
        </w:tc>
      </w:tr>
      <w:tr w:rsidR="00D11607" w14:paraId="67E508AF" w14:textId="77777777" w:rsidTr="00D11607">
        <w:tc>
          <w:tcPr>
            <w:tcW w:w="3950" w:type="dxa"/>
          </w:tcPr>
          <w:p w14:paraId="2D0305AD" w14:textId="10D4AF16" w:rsidR="00D11607" w:rsidRDefault="00D11607" w:rsidP="00520F7F">
            <w:pPr>
              <w:rPr>
                <w:sz w:val="20"/>
              </w:rPr>
            </w:pPr>
            <w:r>
              <w:rPr>
                <w:sz w:val="20"/>
              </w:rPr>
              <w:t>S477N substitution</w:t>
            </w:r>
          </w:p>
        </w:tc>
        <w:tc>
          <w:tcPr>
            <w:tcW w:w="1620" w:type="dxa"/>
          </w:tcPr>
          <w:p w14:paraId="67FD94EA" w14:textId="5A4499FC" w:rsidR="00D11607" w:rsidRDefault="00D11607" w:rsidP="00520F7F">
            <w:pPr>
              <w:rPr>
                <w:sz w:val="20"/>
              </w:rPr>
            </w:pPr>
            <w:r>
              <w:rPr>
                <w:sz w:val="20"/>
              </w:rPr>
              <w:t>3</w:t>
            </w:r>
          </w:p>
        </w:tc>
        <w:tc>
          <w:tcPr>
            <w:tcW w:w="1620" w:type="dxa"/>
          </w:tcPr>
          <w:p w14:paraId="0646BCE6" w14:textId="442B8786" w:rsidR="00D11607" w:rsidRDefault="00D11607" w:rsidP="00520F7F">
            <w:pPr>
              <w:rPr>
                <w:sz w:val="20"/>
              </w:rPr>
            </w:pPr>
            <w:r>
              <w:rPr>
                <w:sz w:val="20"/>
              </w:rPr>
              <w:t>4</w:t>
            </w:r>
          </w:p>
        </w:tc>
        <w:tc>
          <w:tcPr>
            <w:tcW w:w="1620" w:type="dxa"/>
          </w:tcPr>
          <w:p w14:paraId="62C9844A" w14:textId="640EECBF" w:rsidR="00D11607" w:rsidRDefault="00D11607" w:rsidP="00520F7F">
            <w:pPr>
              <w:rPr>
                <w:sz w:val="20"/>
              </w:rPr>
            </w:pPr>
            <w:r>
              <w:rPr>
                <w:sz w:val="20"/>
              </w:rPr>
              <w:t>7</w:t>
            </w:r>
          </w:p>
        </w:tc>
      </w:tr>
    </w:tbl>
    <w:p w14:paraId="17E65809" w14:textId="5604D3D8" w:rsidR="002F06AE" w:rsidRPr="00D11607" w:rsidRDefault="00D11607" w:rsidP="00D11607">
      <w:pPr>
        <w:pStyle w:val="TableDescription"/>
      </w:pPr>
      <w:r>
        <w:t>*Includes one subject who met primary endpoint for progression. All other subjects experienced declines in SARS-CoV-2 viral load through Day 29.</w:t>
      </w:r>
    </w:p>
    <w:p w14:paraId="57B09691" w14:textId="3EAB9E23" w:rsidR="002F06AE" w:rsidRPr="007669CA" w:rsidRDefault="007669CA" w:rsidP="007669CA">
      <w:r>
        <w:t>The s</w:t>
      </w:r>
      <w:r w:rsidR="002F06AE">
        <w:t xml:space="preserve">ponsor stated that sotrovimab has shown activity </w:t>
      </w:r>
      <w:r w:rsidR="002F06AE">
        <w:rPr>
          <w:i/>
        </w:rPr>
        <w:t xml:space="preserve">in vitro </w:t>
      </w:r>
      <w:r w:rsidR="002F06AE">
        <w:t>against al</w:t>
      </w:r>
      <w:r>
        <w:t xml:space="preserve">l detected </w:t>
      </w:r>
      <w:r w:rsidR="00AC6BF4">
        <w:t>variants of concern</w:t>
      </w:r>
      <w:r w:rsidR="002F06AE">
        <w:t xml:space="preserve"> in study participants (fold change in </w:t>
      </w:r>
      <w:r>
        <w:t>50% effective concentration (</w:t>
      </w:r>
      <w:r w:rsidR="002F06AE">
        <w:t>EC</w:t>
      </w:r>
      <w:r w:rsidR="002F06AE">
        <w:rPr>
          <w:vertAlign w:val="subscript"/>
        </w:rPr>
        <w:t>50</w:t>
      </w:r>
      <w:r>
        <w:t xml:space="preserve">) </w:t>
      </w:r>
      <w:r w:rsidR="002F06AE">
        <w:t xml:space="preserve">&lt; 3 compared to wild type). Activity has also been shown </w:t>
      </w:r>
      <w:r w:rsidR="002F06AE">
        <w:rPr>
          <w:i/>
        </w:rPr>
        <w:t xml:space="preserve">in vitro </w:t>
      </w:r>
      <w:r w:rsidR="00701038">
        <w:t>against other SARS</w:t>
      </w:r>
      <w:r w:rsidR="002F06AE">
        <w:t>-CoV-2 variants, in</w:t>
      </w:r>
      <w:r>
        <w:t>cluding the delta variant. The s</w:t>
      </w:r>
      <w:r w:rsidR="002F06AE">
        <w:t>ponsor stated that shifts in EC</w:t>
      </w:r>
      <w:r w:rsidR="002F06AE" w:rsidRPr="007669CA">
        <w:rPr>
          <w:vertAlign w:val="subscript"/>
        </w:rPr>
        <w:t>50</w:t>
      </w:r>
      <w:r w:rsidR="00D11607">
        <w:t xml:space="preserve"> of &lt; </w:t>
      </w:r>
      <w:r w:rsidR="002F06AE">
        <w:t xml:space="preserve">3 fold are considered to be within the variation of the assay, indicating than </w:t>
      </w:r>
      <w:r w:rsidR="002F06AE" w:rsidRPr="00AC6BF4">
        <w:rPr>
          <w:i/>
        </w:rPr>
        <w:t>in vitro</w:t>
      </w:r>
      <w:r w:rsidR="002F06AE">
        <w:t xml:space="preserve"> activity is retained. As per the clinical o</w:t>
      </w:r>
      <w:r w:rsidR="00AC6BF4">
        <w:t>verview, the complete COMET</w:t>
      </w:r>
      <w:r w:rsidR="00AC6BF4">
        <w:noBreakHyphen/>
        <w:t>ICE </w:t>
      </w:r>
      <w:r>
        <w:t xml:space="preserve">trial </w:t>
      </w:r>
      <w:r w:rsidR="002F06AE">
        <w:t>virology data set report should be ava</w:t>
      </w:r>
      <w:r>
        <w:t>ilable towards the end of 2021.</w:t>
      </w:r>
    </w:p>
    <w:p w14:paraId="2C8D2553" w14:textId="7DC81DEC" w:rsidR="002F06AE" w:rsidRPr="007669CA" w:rsidRDefault="002F06AE" w:rsidP="007669CA">
      <w:pPr>
        <w:pStyle w:val="Heading7"/>
        <w:rPr>
          <w:rFonts w:eastAsiaTheme="minorHAnsi"/>
          <w:sz w:val="22"/>
        </w:rPr>
      </w:pPr>
      <w:r w:rsidRPr="007669CA">
        <w:rPr>
          <w:rFonts w:eastAsiaTheme="minorHAnsi"/>
          <w:sz w:val="22"/>
        </w:rPr>
        <w:t>Sequencing of subjects who met the primary endpoint for progressi</w:t>
      </w:r>
      <w:r w:rsidR="007669CA" w:rsidRPr="007669CA">
        <w:rPr>
          <w:rFonts w:eastAsiaTheme="minorHAnsi"/>
          <w:sz w:val="22"/>
        </w:rPr>
        <w:t>on</w:t>
      </w:r>
    </w:p>
    <w:p w14:paraId="3DDDBA2B" w14:textId="54314425" w:rsidR="002F06AE" w:rsidRPr="007669CA" w:rsidRDefault="007669CA" w:rsidP="007669CA">
      <w:r>
        <w:t>Two</w:t>
      </w:r>
      <w:r w:rsidRPr="007669CA">
        <w:t xml:space="preserve"> </w:t>
      </w:r>
      <w:r w:rsidR="002F06AE" w:rsidRPr="007669CA">
        <w:t>of the 6 subjects in the sotrovimab group who progressed to hospitalisation currently have sequencing data available:</w:t>
      </w:r>
    </w:p>
    <w:p w14:paraId="7E3BD55D" w14:textId="7492322B" w:rsidR="002F06AE" w:rsidRPr="007669CA" w:rsidRDefault="002F06AE" w:rsidP="007669CA">
      <w:pPr>
        <w:pStyle w:val="ListBullet"/>
      </w:pPr>
      <w:r w:rsidRPr="007669CA">
        <w:t xml:space="preserve">96 years, male; no baseline sequence available due to low viral load; </w:t>
      </w:r>
      <w:r w:rsidR="00701038">
        <w:t>epsilon</w:t>
      </w:r>
      <w:r w:rsidRPr="007669CA">
        <w:t xml:space="preserve"> variant and E340K (99.9%) detected in Day 11 sample; in hospital (not </w:t>
      </w:r>
      <w:r w:rsidR="00701038">
        <w:t>in intensive care unit</w:t>
      </w:r>
      <w:r w:rsidRPr="007669CA">
        <w:t>) 14 days requiring nasal oxygen; recovered.</w:t>
      </w:r>
    </w:p>
    <w:p w14:paraId="29DACCEB" w14:textId="7B8855CD" w:rsidR="002F06AE" w:rsidRDefault="002F06AE" w:rsidP="002F06AE">
      <w:pPr>
        <w:pStyle w:val="ListBullet"/>
      </w:pPr>
      <w:r w:rsidRPr="007669CA">
        <w:t>65 years, female; no epitope variants detected (Day 1 and 8 samples available); hospitalised 3 days for small intestinal obstruction, no oxygen required; recovered.</w:t>
      </w:r>
    </w:p>
    <w:p w14:paraId="38508200" w14:textId="7AC24718" w:rsidR="007669CA" w:rsidRDefault="007669CA" w:rsidP="007669CA">
      <w:pPr>
        <w:pStyle w:val="Heading4"/>
      </w:pPr>
      <w:r>
        <w:t>Safety</w:t>
      </w:r>
    </w:p>
    <w:p w14:paraId="26E1E675" w14:textId="7BF22DE7" w:rsidR="00AC6BF4" w:rsidRDefault="00AC6BF4" w:rsidP="00AC6BF4">
      <w:r>
        <w:t>The primary evidence in support of the safety of sotrovimab treatment is from 1049 non</w:t>
      </w:r>
      <w:r>
        <w:noBreakHyphen/>
        <w:t>hospitalised participants with mild/moderate COVID-19 in the COMET</w:t>
      </w:r>
      <w:r>
        <w:noBreakHyphen/>
        <w:t>ICE trial/Study 214367</w:t>
      </w:r>
    </w:p>
    <w:p w14:paraId="4352DBBD" w14:textId="061E9B0D" w:rsidR="00AC6BF4" w:rsidRDefault="00AC6BF4" w:rsidP="00AC6BF4">
      <w:r>
        <w:t>The available safety data at the time of this submission from</w:t>
      </w:r>
      <w:r w:rsidR="003611D0">
        <w:t xml:space="preserve"> the ongoing COMET-PEAK, ACTIV-</w:t>
      </w:r>
      <w:r>
        <w:t>3-TICO and BLAZE-4 trials are included as supporting information. BLAZE-4 trial data are being provided to also support the 30-minute infusion time. This is presented separate to the pivotal study due to differences in the studies.</w:t>
      </w:r>
    </w:p>
    <w:p w14:paraId="0448631D" w14:textId="6D1F1E59" w:rsidR="005A2468" w:rsidRPr="005A2468" w:rsidRDefault="00AC6BF4" w:rsidP="005A2468">
      <w:pPr>
        <w:pStyle w:val="Heading5"/>
      </w:pPr>
      <w:r>
        <w:t>Summary of studies used to characterise sotrovimab safety profile at 500 mg (IV)</w:t>
      </w:r>
    </w:p>
    <w:p w14:paraId="7CA9C5C3" w14:textId="7DBD36FD" w:rsidR="005A2468" w:rsidRDefault="005A2468" w:rsidP="005A2468">
      <w:pPr>
        <w:pStyle w:val="TableTitle"/>
      </w:pPr>
      <w:r>
        <w:t xml:space="preserve">Table </w:t>
      </w:r>
      <w:r>
        <w:fldChar w:fldCharType="begin"/>
      </w:r>
      <w:r>
        <w:instrText>SEQ Table \* ARABIC</w:instrText>
      </w:r>
      <w:r>
        <w:fldChar w:fldCharType="separate"/>
      </w:r>
      <w:r w:rsidR="00F601F5">
        <w:rPr>
          <w:noProof/>
        </w:rPr>
        <w:t>13</w:t>
      </w:r>
      <w:r>
        <w:fldChar w:fldCharType="end"/>
      </w:r>
      <w:r>
        <w:t xml:space="preserve">: </w:t>
      </w:r>
      <w:r w:rsidRPr="0093452A">
        <w:t>Summary of studies used to characterise sotrovimab safe</w:t>
      </w:r>
      <w:r>
        <w:t>ty profile at 500 </w:t>
      </w:r>
      <w:r w:rsidR="00AF4AB7">
        <w:t>mg (intravenous studies</w:t>
      </w:r>
      <w:r w:rsidRPr="0093452A">
        <w:t>)</w:t>
      </w:r>
    </w:p>
    <w:p w14:paraId="6AC2E41E" w14:textId="4E608D6F" w:rsidR="000F0963" w:rsidRDefault="000F0963" w:rsidP="005A2468">
      <w:r w:rsidRPr="000F0963">
        <w:rPr>
          <w:noProof/>
          <w:lang w:val="en-GB" w:eastAsia="en-GB"/>
        </w:rPr>
        <w:drawing>
          <wp:inline distT="0" distB="0" distL="0" distR="0" wp14:anchorId="1DD4F2E4" wp14:editId="2180B58A">
            <wp:extent cx="5332780" cy="3032611"/>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36962" cy="3034989"/>
                    </a:xfrm>
                    <a:prstGeom prst="rect">
                      <a:avLst/>
                    </a:prstGeom>
                  </pic:spPr>
                </pic:pic>
              </a:graphicData>
            </a:graphic>
          </wp:inline>
        </w:drawing>
      </w:r>
    </w:p>
    <w:p w14:paraId="691EBA68" w14:textId="2323FFEA" w:rsidR="00AF4AB7" w:rsidRPr="005A2468" w:rsidRDefault="00AF4AB7" w:rsidP="00AF4AB7">
      <w:pPr>
        <w:pStyle w:val="TableDescription"/>
      </w:pPr>
      <w:r>
        <w:t>IM = intramuscular</w:t>
      </w:r>
    </w:p>
    <w:p w14:paraId="201E858F" w14:textId="3408B9A4" w:rsidR="00AC6BF4" w:rsidRDefault="00AC6BF4" w:rsidP="00AC6BF4">
      <w:r>
        <w:t>In the COMET-ICE trial, 1049 participants (full safety analysis population) were confirmed to have received study treatment (sotrovimab: 523; placebo: 526). Overall, median duration of follow-up was 103 days (range: 5 to 178) for sotrovimab, and the median duration of follow-up for placebo was 102 days (range: 3 to 176). Of the 1049 participants, 1037 participants were followed for &gt;29 days (of which 98 participants have also been followed through 24 weeks).</w:t>
      </w:r>
    </w:p>
    <w:p w14:paraId="4DF69412" w14:textId="6C4BCBE3" w:rsidR="00AC6BF4" w:rsidRDefault="00AC6BF4" w:rsidP="00AC6BF4">
      <w:r>
        <w:t xml:space="preserve">There was no formal integrated analysis of the safety data for the clinical studies </w:t>
      </w:r>
      <w:r w:rsidR="002D45FE">
        <w:t xml:space="preserve">which </w:t>
      </w:r>
      <w:r>
        <w:t>are displayed in the form of listings, frequencies,</w:t>
      </w:r>
      <w:r w:rsidR="005A2468">
        <w:t xml:space="preserve"> summary statistics and graphs.</w:t>
      </w:r>
    </w:p>
    <w:p w14:paraId="079B42B5" w14:textId="77777777" w:rsidR="00AC6BF4" w:rsidRDefault="00AC6BF4" w:rsidP="00AC6BF4">
      <w:pPr>
        <w:pStyle w:val="Heading5"/>
      </w:pPr>
      <w:r>
        <w:t>Adverse events</w:t>
      </w:r>
    </w:p>
    <w:p w14:paraId="6A5AD28C" w14:textId="41F1C30E" w:rsidR="00AC6BF4" w:rsidRDefault="00AC6BF4" w:rsidP="00AC6BF4">
      <w:r>
        <w:t xml:space="preserve">The overall rate of adverse events was similar in those treated with sotrovimab compared to placebo (sotrovimab: 114 (22%); placebo: 123 (23%)). Further, proportion of participants with infusion related reaction is similar in each arm. The </w:t>
      </w:r>
      <w:r w:rsidR="005A2468">
        <w:t>‘</w:t>
      </w:r>
      <w:r>
        <w:t>hypersensitivity</w:t>
      </w:r>
      <w:r w:rsidR="005A2468">
        <w:t>’ Standardised MedDRA</w:t>
      </w:r>
      <w:r w:rsidR="00AF4AB7">
        <w:rPr>
          <w:rStyle w:val="FootnoteReference"/>
        </w:rPr>
        <w:footnoteReference w:id="28"/>
      </w:r>
      <w:r w:rsidR="005A2468">
        <w:t xml:space="preserve"> Query (</w:t>
      </w:r>
      <w:r>
        <w:t>narrow</w:t>
      </w:r>
      <w:r w:rsidR="005A2468">
        <w:t>), of Grade 1 (mild) or G</w:t>
      </w:r>
      <w:r>
        <w:t xml:space="preserve">rade 2 (moderate), </w:t>
      </w:r>
      <w:r w:rsidR="003611D0">
        <w:t xml:space="preserve">was </w:t>
      </w:r>
      <w:r>
        <w:t>reported in 9 participants in the sotrovimab arm and 5 in the placebo arm.</w:t>
      </w:r>
    </w:p>
    <w:p w14:paraId="394C38ED" w14:textId="77777777" w:rsidR="00AC6BF4" w:rsidRDefault="00AC6BF4" w:rsidP="005A2468">
      <w:pPr>
        <w:pStyle w:val="Heading5"/>
      </w:pPr>
      <w:r>
        <w:t>Serious adverse events and deaths</w:t>
      </w:r>
    </w:p>
    <w:p w14:paraId="3C309D70" w14:textId="0A7742F5" w:rsidR="00AC6BF4" w:rsidRDefault="00AC6BF4" w:rsidP="00AC6BF4">
      <w:r>
        <w:t xml:space="preserve">No deaths were reported in the sotrovimab arm of the study. There were </w:t>
      </w:r>
      <w:r w:rsidR="000107E1">
        <w:t>four</w:t>
      </w:r>
      <w:r>
        <w:t xml:space="preserve"> deaths reported in the placebo a</w:t>
      </w:r>
      <w:r w:rsidR="005A2468">
        <w:t xml:space="preserve">rm, of which </w:t>
      </w:r>
      <w:r w:rsidR="000107E1">
        <w:t>two</w:t>
      </w:r>
      <w:r w:rsidR="005A2468">
        <w:t xml:space="preserve"> occurred before Day 29 and 2 after D</w:t>
      </w:r>
      <w:r w:rsidR="00AF4AB7">
        <w:t>ay 29. Out </w:t>
      </w:r>
      <w:r>
        <w:t xml:space="preserve">of these </w:t>
      </w:r>
      <w:r w:rsidR="000107E1">
        <w:t>three</w:t>
      </w:r>
      <w:r>
        <w:t xml:space="preserve"> deaths were due to pneumonia and one due to respiratory failure. </w:t>
      </w:r>
      <w:r w:rsidR="006325AE">
        <w:t>S</w:t>
      </w:r>
      <w:r>
        <w:t xml:space="preserve">erious adverse events and Grade 3 to 4 adverse events were more common in participants treated with placebo than participants treated with sotrovimab. No serious adverse events considered related to treatment by the investigator were reported in the sotrovimab arm of the study. There were </w:t>
      </w:r>
      <w:r w:rsidR="000107E1">
        <w:t>four</w:t>
      </w:r>
      <w:r>
        <w:t xml:space="preserve"> fatal serious adverse events in the placebo arm, and </w:t>
      </w:r>
      <w:r w:rsidR="000107E1">
        <w:t>two</w:t>
      </w:r>
      <w:r>
        <w:t xml:space="preserve"> serious adverse events deemed related to study drug (placebo).</w:t>
      </w:r>
    </w:p>
    <w:p w14:paraId="1C249EFB" w14:textId="2764F13B" w:rsidR="005A2468" w:rsidRDefault="005A2468" w:rsidP="003611D0">
      <w:pPr>
        <w:pStyle w:val="TableTitle"/>
      </w:pPr>
      <w:r>
        <w:t xml:space="preserve">Table </w:t>
      </w:r>
      <w:r>
        <w:fldChar w:fldCharType="begin"/>
      </w:r>
      <w:r>
        <w:instrText>SEQ Table \* ARABIC</w:instrText>
      </w:r>
      <w:r>
        <w:fldChar w:fldCharType="separate"/>
      </w:r>
      <w:r w:rsidR="00F601F5">
        <w:rPr>
          <w:noProof/>
        </w:rPr>
        <w:t>14</w:t>
      </w:r>
      <w:r>
        <w:fldChar w:fldCharType="end"/>
      </w:r>
      <w:r>
        <w:t>: Adverse events o</w:t>
      </w:r>
      <w:r w:rsidRPr="00DB74DD">
        <w:t>verview (full safety analysis population)</w:t>
      </w:r>
    </w:p>
    <w:p w14:paraId="20845411" w14:textId="33648193" w:rsidR="00AC6BF4" w:rsidRDefault="005A2468" w:rsidP="00AC6BF4">
      <w:r>
        <w:rPr>
          <w:noProof/>
          <w:lang w:val="en-GB" w:eastAsia="en-GB"/>
        </w:rPr>
        <w:drawing>
          <wp:inline distT="0" distB="0" distL="0" distR="0" wp14:anchorId="57DE2426" wp14:editId="28BC6FFD">
            <wp:extent cx="5399930" cy="3022979"/>
            <wp:effectExtent l="0" t="0" r="0" b="6350"/>
            <wp:docPr id="20" name="Picture 20" descr="Adverse events overview (full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9975"/>
                    <a:stretch/>
                  </pic:blipFill>
                  <pic:spPr bwMode="auto">
                    <a:xfrm>
                      <a:off x="0" y="0"/>
                      <a:ext cx="5400040" cy="3023041"/>
                    </a:xfrm>
                    <a:prstGeom prst="rect">
                      <a:avLst/>
                    </a:prstGeom>
                    <a:ln>
                      <a:noFill/>
                    </a:ln>
                    <a:extLst>
                      <a:ext uri="{53640926-AAD7-44D8-BBD7-CCE9431645EC}">
                        <a14:shadowObscured xmlns:a14="http://schemas.microsoft.com/office/drawing/2010/main"/>
                      </a:ext>
                    </a:extLst>
                  </pic:spPr>
                </pic:pic>
              </a:graphicData>
            </a:graphic>
          </wp:inline>
        </w:drawing>
      </w:r>
    </w:p>
    <w:p w14:paraId="0087E210" w14:textId="31E14B89" w:rsidR="00D652D3" w:rsidRDefault="00AF4AB7" w:rsidP="00D652D3">
      <w:pPr>
        <w:pStyle w:val="TableDescription"/>
      </w:pPr>
      <w:r>
        <w:t>Day 29 analysis data cut off</w:t>
      </w:r>
      <w:r w:rsidR="005A61AF" w:rsidRPr="00D652D3">
        <w:t>: 27 April 2021</w:t>
      </w:r>
    </w:p>
    <w:p w14:paraId="2B1B8363" w14:textId="2D87C1F1" w:rsidR="00AF4AB7" w:rsidRPr="00D652D3" w:rsidRDefault="00AF4AB7" w:rsidP="00D652D3">
      <w:pPr>
        <w:pStyle w:val="TableDescription"/>
      </w:pPr>
      <w:r>
        <w:t>AE = adverse event; SAE = serious adverse event; IRR = infusion related reaction.</w:t>
      </w:r>
    </w:p>
    <w:p w14:paraId="69711C70" w14:textId="0B83F2D9" w:rsidR="005A61AF" w:rsidRPr="00D652D3" w:rsidRDefault="005A61AF" w:rsidP="00D652D3">
      <w:pPr>
        <w:pStyle w:val="TableDescription"/>
      </w:pPr>
      <w:r w:rsidRPr="003A1363">
        <w:rPr>
          <w:vertAlign w:val="superscript"/>
        </w:rPr>
        <w:t>a</w:t>
      </w:r>
      <w:r w:rsidRPr="00D652D3">
        <w:t xml:space="preserve"> A participant was permanently discontinued from completion of study drug infusion if they experienced life -threatening, infusion-related reactions, including severe allergic or hypersen</w:t>
      </w:r>
      <w:r w:rsidR="00AF4AB7">
        <w:t>sitivity reactions during the intravenous</w:t>
      </w:r>
      <w:r w:rsidRPr="00D652D3">
        <w:t xml:space="preserve"> infusion.</w:t>
      </w:r>
    </w:p>
    <w:p w14:paraId="56900F73" w14:textId="30FEE940" w:rsidR="005A61AF" w:rsidRPr="00D652D3" w:rsidRDefault="005A61AF" w:rsidP="00D652D3">
      <w:pPr>
        <w:pStyle w:val="TableDescription"/>
      </w:pPr>
      <w:r w:rsidRPr="003A1363">
        <w:rPr>
          <w:vertAlign w:val="superscript"/>
        </w:rPr>
        <w:t>b</w:t>
      </w:r>
      <w:r w:rsidRPr="00D652D3">
        <w:t xml:space="preserve"> Infusion-related reactions (including hypersensitivity) are defined using a selection of </w:t>
      </w:r>
      <w:r w:rsidR="00AF4AB7">
        <w:t>P</w:t>
      </w:r>
      <w:r w:rsidRPr="00D652D3">
        <w:t xml:space="preserve">referred </w:t>
      </w:r>
      <w:r w:rsidR="00AF4AB7">
        <w:t>T</w:t>
      </w:r>
      <w:r w:rsidRPr="00D652D3">
        <w:t xml:space="preserve">erms (PTs) for </w:t>
      </w:r>
      <w:r w:rsidR="00AF4AB7">
        <w:t>adverse events of special interest (</w:t>
      </w:r>
      <w:r w:rsidRPr="00D652D3">
        <w:t>AESIs</w:t>
      </w:r>
      <w:r w:rsidR="00AF4AB7">
        <w:t>)</w:t>
      </w:r>
      <w:r w:rsidRPr="00D652D3">
        <w:t>, which include pyrexia, chills, dizziness, dyspnoea, pruritus, rash, infusion related reaction and only includes events that starts within 24 hours of st</w:t>
      </w:r>
      <w:r w:rsidR="005631B9" w:rsidRPr="00D652D3">
        <w:t>art of study treatment.</w:t>
      </w:r>
    </w:p>
    <w:p w14:paraId="6C1028B4" w14:textId="7BDDB8AD" w:rsidR="005631B9" w:rsidRPr="00D652D3" w:rsidRDefault="005631B9" w:rsidP="00D652D3">
      <w:pPr>
        <w:pStyle w:val="TableDescription"/>
      </w:pPr>
      <w:r w:rsidRPr="003A1363">
        <w:rPr>
          <w:vertAlign w:val="superscript"/>
        </w:rPr>
        <w:t>c</w:t>
      </w:r>
      <w:r w:rsidRPr="00D652D3">
        <w:t xml:space="preserve"> Adverse events leading to dose interruption </w:t>
      </w:r>
      <w:r w:rsidR="00D652D3" w:rsidRPr="00D652D3">
        <w:t>in the sotrovimab were 2 adverse events of infusion site extravasation in 2 participants leading to temporary dose interruption in the sotrovimab arm; however, they did not lead to dose discontinuation. For both events, the infusion was able to be completed and the time to complete infusion, including interruption, was 1 hour 17 minutes and 1 hour 8 minutes, respectively.</w:t>
      </w:r>
    </w:p>
    <w:p w14:paraId="70303B9D" w14:textId="69800392" w:rsidR="00D652D3" w:rsidRPr="00D652D3" w:rsidRDefault="00D652D3" w:rsidP="00D652D3">
      <w:pPr>
        <w:pStyle w:val="TableDescription"/>
      </w:pPr>
      <w:r w:rsidRPr="003A1363">
        <w:rPr>
          <w:vertAlign w:val="superscript"/>
        </w:rPr>
        <w:t>d</w:t>
      </w:r>
      <w:r w:rsidRPr="00D652D3">
        <w:t xml:space="preserve"> Infusion related reactions related to study treatment were reported in 3 participants in the placebo arms: dizziness, pruritus and rash.</w:t>
      </w:r>
    </w:p>
    <w:p w14:paraId="0F99D6FC" w14:textId="78503D6C" w:rsidR="00AC6BF4" w:rsidRDefault="00AC6BF4" w:rsidP="00AC6BF4">
      <w:r>
        <w:t>Of the adverse events reported in ≥</w:t>
      </w:r>
      <w:r w:rsidR="003611D0">
        <w:t xml:space="preserve"> </w:t>
      </w:r>
      <w:r>
        <w:t>1% of participants in either arm, events occurred more frequ</w:t>
      </w:r>
      <w:r w:rsidR="003611D0">
        <w:t>ently in the placebo arm (COVID</w:t>
      </w:r>
      <w:r>
        <w:t>-19 pneumonia, headache, nausea); the sole exception was diarrhoea, which was noted more frequently with sotrovimab (</w:t>
      </w:r>
      <w:r w:rsidR="000107E1">
        <w:t>eight</w:t>
      </w:r>
      <w:r>
        <w:t xml:space="preserve"> (2%)) sotrovimab versus (</w:t>
      </w:r>
      <w:r w:rsidR="000107E1">
        <w:t>four</w:t>
      </w:r>
      <w:r>
        <w:t xml:space="preserve"> (&lt;1%) placebo). Of the </w:t>
      </w:r>
      <w:r w:rsidR="000107E1">
        <w:t>eight</w:t>
      </w:r>
      <w:r>
        <w:t xml:space="preserve"> participants with adverse events of diarrhoea reported in the sotrovimab arm, all had Grade 1 or Grade 2 events and the outcome of diarrhoea was reported as resolved for all at the time of Day 29 analysis </w:t>
      </w:r>
      <w:r w:rsidR="005A2468">
        <w:t>data cut</w:t>
      </w:r>
      <w:r w:rsidR="000107E1">
        <w:t xml:space="preserve"> </w:t>
      </w:r>
      <w:r w:rsidR="005A2468">
        <w:t>off.</w:t>
      </w:r>
    </w:p>
    <w:p w14:paraId="1BD94DFA" w14:textId="6FC3BA59" w:rsidR="00AC6BF4" w:rsidRDefault="00AC6BF4" w:rsidP="00AC6BF4">
      <w:r>
        <w:t>The rate of drug</w:t>
      </w:r>
      <w:r w:rsidR="000107E1">
        <w:t xml:space="preserve"> </w:t>
      </w:r>
      <w:r>
        <w:t xml:space="preserve">related adverse events was low and similar between sotrovimab and placebo (2% for each). There were </w:t>
      </w:r>
      <w:r w:rsidR="000107E1">
        <w:t>eight</w:t>
      </w:r>
      <w:r>
        <w:t xml:space="preserve"> in the sotrovimab arm with </w:t>
      </w:r>
      <w:r w:rsidR="000107E1">
        <w:t>ten</w:t>
      </w:r>
      <w:r>
        <w:t xml:space="preserve"> drug-related adverse events, all of which were DAIDS</w:t>
      </w:r>
      <w:r w:rsidR="00A97516">
        <w:rPr>
          <w:rStyle w:val="FootnoteReference"/>
        </w:rPr>
        <w:footnoteReference w:id="29"/>
      </w:r>
      <w:r>
        <w:t xml:space="preserve"> Grad</w:t>
      </w:r>
      <w:r w:rsidR="005A2468">
        <w:t>e 1 (</w:t>
      </w:r>
      <w:r w:rsidR="000107E1">
        <w:t>seven</w:t>
      </w:r>
      <w:r w:rsidR="005A2468">
        <w:t xml:space="preserve"> events) or </w:t>
      </w:r>
      <w:r w:rsidR="00A97516">
        <w:t>Grade </w:t>
      </w:r>
      <w:r w:rsidR="005A2468">
        <w:t>2 (</w:t>
      </w:r>
      <w:r w:rsidR="000107E1">
        <w:t>three</w:t>
      </w:r>
      <w:r w:rsidR="005A2468">
        <w:t xml:space="preserve"> events).</w:t>
      </w:r>
    </w:p>
    <w:p w14:paraId="7A912DC8" w14:textId="77777777" w:rsidR="00AC6BF4" w:rsidRDefault="00AC6BF4" w:rsidP="005A2468">
      <w:pPr>
        <w:pStyle w:val="Heading5"/>
      </w:pPr>
      <w:r>
        <w:t>Immunogenicity</w:t>
      </w:r>
    </w:p>
    <w:p w14:paraId="590E4863" w14:textId="529187E9" w:rsidR="00AC6BF4" w:rsidRDefault="00AC6BF4" w:rsidP="00AC6BF4">
      <w:r>
        <w:t xml:space="preserve">Available results from approximately 75% of the participants are up to Day 29. In this study, 17 participants confirmed positive at Day 1 (Baseline) for </w:t>
      </w:r>
      <w:r w:rsidR="005A2468">
        <w:t>antidrug antibodies (ADA) with no increase in tit</w:t>
      </w:r>
      <w:r>
        <w:t>r</w:t>
      </w:r>
      <w:r w:rsidR="005A2468">
        <w:t>e</w:t>
      </w:r>
      <w:r>
        <w:t xml:space="preserve"> values in subsequent time points and, therefore, are not considered to have treatment</w:t>
      </w:r>
      <w:r w:rsidR="000107E1">
        <w:t xml:space="preserve"> </w:t>
      </w:r>
      <w:r>
        <w:t xml:space="preserve">induced ADAs. Ten participants confirmed positive for anti-sotrovimab antibodies at Day 29. Four of the </w:t>
      </w:r>
      <w:r w:rsidR="000107E1">
        <w:t>ten</w:t>
      </w:r>
      <w:r>
        <w:t xml:space="preserve"> participants were positive at B</w:t>
      </w:r>
      <w:r w:rsidR="005A2468">
        <w:t>aseline with no boosting in tit</w:t>
      </w:r>
      <w:r>
        <w:t>r</w:t>
      </w:r>
      <w:r w:rsidR="005A2468">
        <w:t>e</w:t>
      </w:r>
      <w:r>
        <w:t xml:space="preserve"> values at Day 29 and therefore are not considered to have treatment induced ADAs. The other </w:t>
      </w:r>
      <w:r w:rsidR="000107E1">
        <w:t>six</w:t>
      </w:r>
      <w:r>
        <w:t xml:space="preserve"> participants with positive responses are currently considered to have treatment-induced ADAs: </w:t>
      </w:r>
      <w:r w:rsidR="000107E1">
        <w:t>two</w:t>
      </w:r>
      <w:r>
        <w:t xml:space="preserve"> participants were negative at Baseline and </w:t>
      </w:r>
      <w:r w:rsidR="000107E1">
        <w:t>four</w:t>
      </w:r>
      <w:r>
        <w:t xml:space="preserve"> participants have not yet had a Baseline sample analysed. There were no apparent clinical consequences related to the presence</w:t>
      </w:r>
      <w:r w:rsidR="005A2468">
        <w:t xml:space="preserve"> of anti-sotrovimab antibodies.</w:t>
      </w:r>
    </w:p>
    <w:p w14:paraId="13FBE837" w14:textId="77777777" w:rsidR="00AC6BF4" w:rsidRDefault="00AC6BF4" w:rsidP="005A2468">
      <w:pPr>
        <w:pStyle w:val="Heading5"/>
      </w:pPr>
      <w:r>
        <w:t>Anaphylaxis</w:t>
      </w:r>
    </w:p>
    <w:p w14:paraId="42084F30" w14:textId="64296DE6" w:rsidR="00AC6BF4" w:rsidRDefault="00AC6BF4" w:rsidP="00AC6BF4">
      <w:r>
        <w:t>While no anaphylaxis events have occurred in the outpatient COMET-ICE, BLAZE-4 (Arms 7 and 8), or COMET-PEAK</w:t>
      </w:r>
      <w:r w:rsidR="00A97516">
        <w:t xml:space="preserve"> trials</w:t>
      </w:r>
      <w:r>
        <w:t xml:space="preserve"> to date, one participant in the hospitali</w:t>
      </w:r>
      <w:r w:rsidR="00A97516">
        <w:t>s</w:t>
      </w:r>
      <w:r>
        <w:t>ed ACTIV-3</w:t>
      </w:r>
      <w:r w:rsidR="00A97516">
        <w:t xml:space="preserve"> trial</w:t>
      </w:r>
      <w:r>
        <w:t>, experienced anaphylaxis associated with sotrovimab. Given the serious nature of anaphylaxis and potential hypersensitivity reactions observed with sotrovimab in the hospitali</w:t>
      </w:r>
      <w:r w:rsidR="000107E1">
        <w:t>s</w:t>
      </w:r>
      <w:r>
        <w:t xml:space="preserve">ed trial, it is agreed with the </w:t>
      </w:r>
      <w:r w:rsidR="000107E1">
        <w:t>sponsor</w:t>
      </w:r>
      <w:r>
        <w:t xml:space="preserve">’s inclusion of a warning statement in the </w:t>
      </w:r>
      <w:r w:rsidR="000107E1">
        <w:t>Product Information (</w:t>
      </w:r>
      <w:r>
        <w:t>PI</w:t>
      </w:r>
      <w:r w:rsidR="000107E1">
        <w:t>)</w:t>
      </w:r>
      <w:r>
        <w:t xml:space="preserve"> to communicate this potential risk along with appropriate management, should such reactions occur.</w:t>
      </w:r>
    </w:p>
    <w:p w14:paraId="53D2A9AC" w14:textId="16DBC6D8" w:rsidR="00AC6BF4" w:rsidRDefault="00AC6BF4" w:rsidP="00AC6BF4">
      <w:r>
        <w:t xml:space="preserve">In </w:t>
      </w:r>
      <w:r w:rsidR="009C572C">
        <w:t xml:space="preserve">the </w:t>
      </w:r>
      <w:r>
        <w:t>COMET-ICE</w:t>
      </w:r>
      <w:r w:rsidR="009C572C">
        <w:t xml:space="preserve"> trial</w:t>
      </w:r>
      <w:r>
        <w:t xml:space="preserve">, rash or other skin reactions were not reported </w:t>
      </w:r>
      <w:r w:rsidR="009C572C">
        <w:t>in the sotrovimab arm in the infusion related reactions</w:t>
      </w:r>
      <w:r>
        <w:t xml:space="preserve"> analysis above (within 24 hours of infusion) but were reported in </w:t>
      </w:r>
      <w:r w:rsidR="000107E1">
        <w:t>seven</w:t>
      </w:r>
      <w:r>
        <w:t xml:space="preserve"> participants in the sotrovimab arm through Day 29. None of these events were Grade 3 or higher or serious. Based on the overall analysis of adverse events and serious adverse events in </w:t>
      </w:r>
      <w:r w:rsidR="009C572C">
        <w:t xml:space="preserve">the </w:t>
      </w:r>
      <w:r>
        <w:t>COMET-ICE</w:t>
      </w:r>
      <w:r w:rsidR="009C572C">
        <w:t xml:space="preserve"> trial</w:t>
      </w:r>
      <w:r>
        <w:t>, no serious delayed hypersensitivity reactions are apparent at this time.</w:t>
      </w:r>
    </w:p>
    <w:p w14:paraId="500575AF" w14:textId="77777777" w:rsidR="009C572C" w:rsidRDefault="00AC6BF4" w:rsidP="009C572C">
      <w:pPr>
        <w:pStyle w:val="Heading6"/>
      </w:pPr>
      <w:r>
        <w:t>Antibody-de</w:t>
      </w:r>
      <w:r w:rsidR="009C572C">
        <w:t>pendent enhancement of disease</w:t>
      </w:r>
    </w:p>
    <w:p w14:paraId="53C3FF07" w14:textId="0867F8FB" w:rsidR="00AC6BF4" w:rsidRDefault="00AC6BF4" w:rsidP="00AC6BF4">
      <w:r>
        <w:t xml:space="preserve">While there was no evidence of enhanced disease in participants treated with sotrovimab in </w:t>
      </w:r>
      <w:r w:rsidR="007A5E60">
        <w:t xml:space="preserve">the </w:t>
      </w:r>
      <w:r>
        <w:t>COMET-ICE</w:t>
      </w:r>
      <w:r w:rsidR="007A5E60">
        <w:t xml:space="preserve"> trial</w:t>
      </w:r>
      <w:r>
        <w:t xml:space="preserve">, there is still a theoretical possibility of increased incidence of reinfection or enhanced disease if infected again once </w:t>
      </w:r>
      <w:r w:rsidR="009C572C">
        <w:t>monoclonal antibody</w:t>
      </w:r>
      <w:r>
        <w:t xml:space="preserve"> concentrat</w:t>
      </w:r>
      <w:r w:rsidR="009C572C">
        <w:t>ions have waned to sub-neutralis</w:t>
      </w:r>
      <w:r>
        <w:t>ing concentrations in sotrovimab</w:t>
      </w:r>
      <w:r w:rsidR="000107E1">
        <w:t xml:space="preserve"> </w:t>
      </w:r>
      <w:r>
        <w:t>treated patients.</w:t>
      </w:r>
    </w:p>
    <w:p w14:paraId="211B9DB1" w14:textId="0DA862FC" w:rsidR="00AC6BF4" w:rsidRDefault="00AC6BF4" w:rsidP="00AC6BF4">
      <w:r>
        <w:t>After a review of the adverse events across the program, hypersensitivity reactions is considered an adverse drug reaction with its frequency defined as ‘Common’. Overall, the available safety data support the PI recommendation to consider slowing or stopping the infusion along with appropriate supportive care if mild to moderate hypersensitivity reactions occur.</w:t>
      </w:r>
    </w:p>
    <w:p w14:paraId="0FEA160C" w14:textId="0A8DBE2B" w:rsidR="009C572C" w:rsidRDefault="009C572C" w:rsidP="009C572C">
      <w:pPr>
        <w:pStyle w:val="Heading5"/>
      </w:pPr>
      <w:r>
        <w:t>Adverse events by system</w:t>
      </w:r>
    </w:p>
    <w:p w14:paraId="5C567F1F" w14:textId="5B0B5E5D" w:rsidR="009C572C" w:rsidRDefault="009C572C" w:rsidP="009C572C">
      <w:pPr>
        <w:pStyle w:val="Heading6"/>
      </w:pPr>
      <w:r>
        <w:t>Clinical chemistry</w:t>
      </w:r>
    </w:p>
    <w:p w14:paraId="3B7D433A" w14:textId="3417E18B" w:rsidR="00AC6BF4" w:rsidRDefault="00AC6BF4" w:rsidP="00AC6BF4">
      <w:r>
        <w:t>Grade increases in chemistry laboratory abnormalities were seen in both treatment arms. Most increases were low. The majority of the participants had no change in clinical chemistry parameters or had those parameters normalise after Baseline. Changes to outside the normal range occurred at a similar frequency between the arms.</w:t>
      </w:r>
    </w:p>
    <w:p w14:paraId="5FF23988" w14:textId="77777777" w:rsidR="009C572C" w:rsidRDefault="009C572C" w:rsidP="009C572C">
      <w:pPr>
        <w:pStyle w:val="Heading6"/>
      </w:pPr>
      <w:r>
        <w:t>Renal</w:t>
      </w:r>
    </w:p>
    <w:p w14:paraId="4F88DD30" w14:textId="25D7B973" w:rsidR="00AC6BF4" w:rsidRDefault="00AC6BF4" w:rsidP="00AC6BF4">
      <w:r>
        <w:t>Shifts in creatinine values to Grade 3 or 4 were balanced across the arms (4% for placebo and 5% for sotrovimab. Overall, many of the participants in both arms with Grade 3 shifts had isolated increases in creatinine values that reverted back to normal/near normal values during subsequent evaluations. In other participants, there was an isolated increase at the last available laboratory visit. There did not appear to be a signal suggesting an association between renal dysfunction and treatment with sotrovimab.</w:t>
      </w:r>
    </w:p>
    <w:p w14:paraId="1ED16E51" w14:textId="4C5461DF" w:rsidR="009C572C" w:rsidRDefault="009C572C" w:rsidP="009C572C">
      <w:pPr>
        <w:pStyle w:val="Heading6"/>
      </w:pPr>
      <w:r>
        <w:t>Liver chemistry</w:t>
      </w:r>
    </w:p>
    <w:p w14:paraId="509A6177" w14:textId="13345A8E" w:rsidR="00AC6BF4" w:rsidRDefault="00AC6BF4" w:rsidP="00AC6BF4">
      <w:r>
        <w:t xml:space="preserve">Few participants in either arm had </w:t>
      </w:r>
      <w:r w:rsidR="009C572C">
        <w:t>alanine transaminase (</w:t>
      </w:r>
      <w:r>
        <w:t>ALT</w:t>
      </w:r>
      <w:r w:rsidR="009C572C">
        <w:t>)</w:t>
      </w:r>
      <w:r>
        <w:t xml:space="preserve"> results that were ≥</w:t>
      </w:r>
      <w:r w:rsidR="009C572C">
        <w:t xml:space="preserve"> </w:t>
      </w:r>
      <w:r>
        <w:t xml:space="preserve">3 </w:t>
      </w:r>
      <w:r w:rsidR="009C572C">
        <w:t xml:space="preserve">the upper limited of normal (ULN), with </w:t>
      </w:r>
      <w:r>
        <w:t>5</w:t>
      </w:r>
      <w:r w:rsidR="000107E1">
        <w:t xml:space="preserve"> out of </w:t>
      </w:r>
      <w:r>
        <w:t>511 &lt;</w:t>
      </w:r>
      <w:r w:rsidR="000107E1">
        <w:t xml:space="preserve"> </w:t>
      </w:r>
      <w:r>
        <w:t>1% in the placebo arm and 10</w:t>
      </w:r>
      <w:r w:rsidR="000107E1">
        <w:t xml:space="preserve"> out of</w:t>
      </w:r>
      <w:r w:rsidR="009C572C">
        <w:t>516 (2%) in the sotrovimab arm</w:t>
      </w:r>
      <w:r>
        <w:t>. No participants in either arm met Hy’s Law criteria.</w:t>
      </w:r>
      <w:r w:rsidR="009C572C">
        <w:rPr>
          <w:rStyle w:val="FootnoteReference"/>
        </w:rPr>
        <w:footnoteReference w:id="30"/>
      </w:r>
      <w:r>
        <w:t xml:space="preserve"> Of note, this study did not exclude participants on the basis of hepatic function. Numerically more participants in the sotrovimab arm met laboratory criteria for hepatocellular injury ((ALT/ALT ULN)</w:t>
      </w:r>
      <w:r w:rsidR="009C572C">
        <w:t xml:space="preserve"> </w:t>
      </w:r>
      <w:r>
        <w:t>/</w:t>
      </w:r>
      <w:r w:rsidR="009C572C">
        <w:t xml:space="preserve"> </w:t>
      </w:r>
      <w:r>
        <w:t>(</w:t>
      </w:r>
      <w:r w:rsidR="009C572C">
        <w:t>alkaline phosphatase (</w:t>
      </w:r>
      <w:r>
        <w:t>ALP</w:t>
      </w:r>
      <w:r w:rsidR="009C572C">
        <w:t>)</w:t>
      </w:r>
      <w:r>
        <w:t>/ALP ULN)) ≥</w:t>
      </w:r>
      <w:r w:rsidR="009C572C">
        <w:t xml:space="preserve"> </w:t>
      </w:r>
      <w:r>
        <w:t>5 and ALT ≥</w:t>
      </w:r>
      <w:r w:rsidR="009C572C">
        <w:t xml:space="preserve"> </w:t>
      </w:r>
      <w:r>
        <w:t>3</w:t>
      </w:r>
      <w:r w:rsidR="009C572C">
        <w:t xml:space="preserve"> </w:t>
      </w:r>
      <w:r>
        <w:t>x</w:t>
      </w:r>
      <w:r w:rsidR="009C572C">
        <w:t xml:space="preserve"> </w:t>
      </w:r>
      <w:r>
        <w:t>ULN) (3</w:t>
      </w:r>
      <w:r w:rsidR="000107E1">
        <w:t xml:space="preserve"> out of </w:t>
      </w:r>
      <w:r>
        <w:t>5</w:t>
      </w:r>
      <w:r w:rsidR="009C572C">
        <w:t>11 (&lt;</w:t>
      </w:r>
      <w:r w:rsidR="000107E1">
        <w:t xml:space="preserve"> </w:t>
      </w:r>
      <w:r w:rsidR="009C572C">
        <w:t>1%) in the placebo arm versus 6</w:t>
      </w:r>
      <w:r w:rsidR="000107E1">
        <w:t xml:space="preserve"> out of</w:t>
      </w:r>
      <w:r>
        <w:t>516 (1%) in the sotrovimab arm).</w:t>
      </w:r>
    </w:p>
    <w:p w14:paraId="4D99E2B4" w14:textId="39F8EE90" w:rsidR="00AC6BF4" w:rsidRDefault="00AC6BF4" w:rsidP="00AC6BF4">
      <w:r>
        <w:t>Liver transaminase elevations have been reported commonly in the</w:t>
      </w:r>
      <w:r w:rsidR="007A5E60">
        <w:t xml:space="preserve"> setting of COVID-19 infection</w:t>
      </w:r>
      <w:r w:rsidR="007E553A">
        <w:t>.</w:t>
      </w:r>
      <w:r w:rsidR="007A5E60">
        <w:rPr>
          <w:rStyle w:val="FootnoteReference"/>
        </w:rPr>
        <w:footnoteReference w:id="31"/>
      </w:r>
      <w:r w:rsidR="007C3E75">
        <w:rPr>
          <w:vertAlign w:val="superscript"/>
        </w:rPr>
        <w:t>,</w:t>
      </w:r>
      <w:r w:rsidR="007C3E75">
        <w:rPr>
          <w:rStyle w:val="FootnoteReference"/>
        </w:rPr>
        <w:footnoteReference w:id="32"/>
      </w:r>
      <w:r w:rsidR="007E553A">
        <w:t xml:space="preserve"> </w:t>
      </w:r>
      <w:r>
        <w:t>These elevations in the sotrovimab arm were generally transient or in the setting of risk factors such as alcohol hepatitis. A single participant with a sustained rise and an ALT &gt;</w:t>
      </w:r>
      <w:r w:rsidR="009C572C">
        <w:t xml:space="preserve"> </w:t>
      </w:r>
      <w:r>
        <w:t>5</w:t>
      </w:r>
      <w:r w:rsidR="009C572C">
        <w:t xml:space="preserve"> </w:t>
      </w:r>
      <w:r>
        <w:t>x ULN entered the study with elevated ALT levels. Overall, the data do not suggest a clear association between liver injury and administration of sotrovimab.</w:t>
      </w:r>
    </w:p>
    <w:p w14:paraId="69889E12" w14:textId="77777777" w:rsidR="009C572C" w:rsidRDefault="009C572C" w:rsidP="009C572C">
      <w:pPr>
        <w:pStyle w:val="Heading6"/>
      </w:pPr>
      <w:r>
        <w:t>Haematology</w:t>
      </w:r>
    </w:p>
    <w:p w14:paraId="239AF061" w14:textId="5A82B0E2" w:rsidR="00AC6BF4" w:rsidRDefault="00AC6BF4" w:rsidP="00AC6BF4">
      <w:r>
        <w:t>The majority of participants had no change in haematology parameters or had those parameters normalise after Baseline. Changes to outside the normal range occurred at similar frequency between the arms.</w:t>
      </w:r>
    </w:p>
    <w:p w14:paraId="0C22AB94" w14:textId="3CD52895" w:rsidR="009C572C" w:rsidRDefault="009C572C" w:rsidP="009C572C">
      <w:pPr>
        <w:pStyle w:val="Heading6"/>
      </w:pPr>
      <w:r>
        <w:t>Vital signs</w:t>
      </w:r>
    </w:p>
    <w:p w14:paraId="0A047CAD" w14:textId="62C8A9E3" w:rsidR="00AC6BF4" w:rsidRDefault="00AC6BF4" w:rsidP="00AC6BF4">
      <w:r>
        <w:t xml:space="preserve">There were only minor changes in the mean systolic and diastolic blood pressure, the mean pulse rate, mean respiratory rate and temperature between Baseline and Day 29. These changes were generally similar across treatment arms. </w:t>
      </w:r>
    </w:p>
    <w:p w14:paraId="70A38E22" w14:textId="77777777" w:rsidR="009C572C" w:rsidRDefault="009C572C" w:rsidP="009C572C">
      <w:pPr>
        <w:pStyle w:val="Heading6"/>
      </w:pPr>
      <w:r>
        <w:t>Electrocardiograms</w:t>
      </w:r>
    </w:p>
    <w:p w14:paraId="692FBE9B" w14:textId="472A56DC" w:rsidR="00AC6BF4" w:rsidRDefault="009C572C" w:rsidP="00AC6BF4">
      <w:r>
        <w:t xml:space="preserve">Electrocardiogram </w:t>
      </w:r>
      <w:r w:rsidR="00AC6BF4">
        <w:t>outcomes were interpreted as abnormal but not clinically significant by the investigator in 25% of the sotrovimab</w:t>
      </w:r>
      <w:r w:rsidR="000107E1">
        <w:t xml:space="preserve"> </w:t>
      </w:r>
      <w:r w:rsidR="00AC6BF4">
        <w:t>treated participants at Baseline; this frequency decreased to 11% by Day 8. Overall, no clinically meaningful changes were noted with sotrovimab treatment.</w:t>
      </w:r>
    </w:p>
    <w:p w14:paraId="67B01E44" w14:textId="049BF1F9" w:rsidR="00AC6BF4" w:rsidRDefault="00AC6BF4" w:rsidP="009C572C">
      <w:pPr>
        <w:pStyle w:val="Heading5"/>
      </w:pPr>
      <w:r>
        <w:t>Safe</w:t>
      </w:r>
      <w:r w:rsidR="009C572C">
        <w:t>ty in special groups/situations</w:t>
      </w:r>
    </w:p>
    <w:p w14:paraId="6A860E5D" w14:textId="2A54B83E" w:rsidR="00AC6BF4" w:rsidRDefault="00AC6BF4" w:rsidP="009C572C">
      <w:pPr>
        <w:pStyle w:val="Heading6"/>
      </w:pPr>
      <w:r>
        <w:t xml:space="preserve">Adverse </w:t>
      </w:r>
      <w:r w:rsidR="009C572C">
        <w:t>events by age</w:t>
      </w:r>
    </w:p>
    <w:p w14:paraId="7BC2A97E" w14:textId="14EB553B" w:rsidR="00AC6BF4" w:rsidRDefault="00AC6BF4" w:rsidP="00AC6BF4">
      <w:r>
        <w:t xml:space="preserve">Adverse events and serious adverse events were assessed in </w:t>
      </w:r>
      <w:r w:rsidR="007C3E75">
        <w:t xml:space="preserve">the </w:t>
      </w:r>
      <w:r>
        <w:t xml:space="preserve">COMET-ICE </w:t>
      </w:r>
      <w:r w:rsidR="007C3E75">
        <w:t xml:space="preserve">trial </w:t>
      </w:r>
      <w:r>
        <w:t>participants who were &gt;55, 55</w:t>
      </w:r>
      <w:r w:rsidR="000107E1">
        <w:t xml:space="preserve"> to </w:t>
      </w:r>
      <w:r>
        <w:t>64, 65</w:t>
      </w:r>
      <w:r w:rsidR="000107E1">
        <w:t xml:space="preserve"> to</w:t>
      </w:r>
      <w:r w:rsidR="006325AE">
        <w:t xml:space="preserve"> </w:t>
      </w:r>
      <w:r>
        <w:t>74, 75-84, and ≥</w:t>
      </w:r>
      <w:r w:rsidR="009C572C">
        <w:t xml:space="preserve"> </w:t>
      </w:r>
      <w:r>
        <w:t xml:space="preserve">85 years of age. COVID-19 is expected to be more severe in the elderly population. Consistent with the overall population, the overall rate of adverse events was generally similar in those treated with sotrovimab compared to placebo. Differences in </w:t>
      </w:r>
      <w:r w:rsidR="009C572C">
        <w:t>adverse event</w:t>
      </w:r>
      <w:r>
        <w:t xml:space="preserve"> rates (such as those seen in the age groups 65</w:t>
      </w:r>
      <w:r w:rsidR="000107E1">
        <w:t xml:space="preserve"> to </w:t>
      </w:r>
      <w:r>
        <w:t>74 and ≥</w:t>
      </w:r>
      <w:r w:rsidR="009C572C">
        <w:t> 85 </w:t>
      </w:r>
      <w:r>
        <w:t>years) need to be interpreted with cautio</w:t>
      </w:r>
      <w:r w:rsidR="009C572C">
        <w:t>n given the small sample sizes.</w:t>
      </w:r>
    </w:p>
    <w:p w14:paraId="3ABE5EF9" w14:textId="43B48EA3" w:rsidR="009C572C" w:rsidRDefault="009C572C" w:rsidP="009C572C">
      <w:pPr>
        <w:pStyle w:val="TableTitle"/>
      </w:pPr>
      <w:r>
        <w:t xml:space="preserve">Table </w:t>
      </w:r>
      <w:r>
        <w:fldChar w:fldCharType="begin"/>
      </w:r>
      <w:r>
        <w:instrText>SEQ Table \* ARABIC</w:instrText>
      </w:r>
      <w:r>
        <w:fldChar w:fldCharType="separate"/>
      </w:r>
      <w:r w:rsidR="00F601F5">
        <w:rPr>
          <w:noProof/>
        </w:rPr>
        <w:t>15</w:t>
      </w:r>
      <w:r>
        <w:fldChar w:fldCharType="end"/>
      </w:r>
      <w:r>
        <w:t xml:space="preserve">: </w:t>
      </w:r>
      <w:r w:rsidRPr="003265BD">
        <w:t>Number of adverse events by participants according to age</w:t>
      </w:r>
    </w:p>
    <w:p w14:paraId="75ED3703" w14:textId="7C713794" w:rsidR="00AC6BF4" w:rsidRDefault="009C572C" w:rsidP="00AC6BF4">
      <w:r>
        <w:rPr>
          <w:noProof/>
          <w:lang w:val="en-GB" w:eastAsia="en-GB"/>
        </w:rPr>
        <w:drawing>
          <wp:inline distT="0" distB="0" distL="0" distR="0" wp14:anchorId="1E6E27EC" wp14:editId="028683AE">
            <wp:extent cx="4947285" cy="810883"/>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0700"/>
                    <a:stretch/>
                  </pic:blipFill>
                  <pic:spPr bwMode="auto">
                    <a:xfrm>
                      <a:off x="0" y="0"/>
                      <a:ext cx="4952488" cy="811736"/>
                    </a:xfrm>
                    <a:prstGeom prst="rect">
                      <a:avLst/>
                    </a:prstGeom>
                    <a:ln>
                      <a:noFill/>
                    </a:ln>
                    <a:extLst>
                      <a:ext uri="{53640926-AAD7-44D8-BBD7-CCE9431645EC}">
                        <a14:shadowObscured xmlns:a14="http://schemas.microsoft.com/office/drawing/2010/main"/>
                      </a:ext>
                    </a:extLst>
                  </pic:spPr>
                </pic:pic>
              </a:graphicData>
            </a:graphic>
          </wp:inline>
        </w:drawing>
      </w:r>
    </w:p>
    <w:p w14:paraId="307D7E45" w14:textId="14AFF095" w:rsidR="00AC6BF4" w:rsidRDefault="00AC6BF4" w:rsidP="009C572C">
      <w:pPr>
        <w:pStyle w:val="Heading6"/>
      </w:pPr>
      <w:r>
        <w:t xml:space="preserve">Renal or </w:t>
      </w:r>
      <w:r w:rsidR="009C572C">
        <w:t xml:space="preserve">hepatic impairment </w:t>
      </w:r>
      <w:r>
        <w:t xml:space="preserve">(Baseline </w:t>
      </w:r>
      <w:r w:rsidR="009C572C">
        <w:t>alanine transaminase level and Baseline glomerular filtration r</w:t>
      </w:r>
      <w:r>
        <w:t>ate)</w:t>
      </w:r>
    </w:p>
    <w:p w14:paraId="5961E6F2" w14:textId="11129AAC" w:rsidR="00AC6BF4" w:rsidRDefault="00AC6BF4" w:rsidP="00AC6BF4">
      <w:r>
        <w:t>The incidence of adverse events was similar between both the treatment arms for each of the renal impairment category. Overall, adverse events were more common in participants with moderate or severe renal impairment.</w:t>
      </w:r>
    </w:p>
    <w:p w14:paraId="1BE5AF81" w14:textId="5DA536AF" w:rsidR="00AC6BF4" w:rsidRDefault="00AC6BF4" w:rsidP="00AC6BF4">
      <w:r>
        <w:t xml:space="preserve">Hepatic function was </w:t>
      </w:r>
      <w:r w:rsidR="000D512C">
        <w:t>defined based on the maximum Common Terminology Criteria for Adverse Events (CTCAE)</w:t>
      </w:r>
      <w:r>
        <w:t xml:space="preserve"> grade for ALT at Baseline (normal</w:t>
      </w:r>
      <w:r w:rsidR="000D512C">
        <w:t xml:space="preserve"> </w:t>
      </w:r>
      <w:r>
        <w:t>=</w:t>
      </w:r>
      <w:r w:rsidR="000D512C">
        <w:t xml:space="preserve"> </w:t>
      </w:r>
      <w:r>
        <w:t>Grade 0 to 1, mildly impaired</w:t>
      </w:r>
      <w:r w:rsidR="000D512C">
        <w:t> </w:t>
      </w:r>
      <w:r>
        <w:t>=</w:t>
      </w:r>
      <w:r w:rsidR="000D512C">
        <w:t xml:space="preserve"> </w:t>
      </w:r>
      <w:r>
        <w:t>Grade 2, moderately impaired</w:t>
      </w:r>
      <w:r w:rsidR="000D512C">
        <w:t xml:space="preserve"> </w:t>
      </w:r>
      <w:r>
        <w:t>=</w:t>
      </w:r>
      <w:r w:rsidR="000D512C">
        <w:t xml:space="preserve"> </w:t>
      </w:r>
      <w:r>
        <w:t>Grade 3, severely impaired</w:t>
      </w:r>
      <w:r w:rsidR="000D512C">
        <w:t xml:space="preserve"> </w:t>
      </w:r>
      <w:r>
        <w:t>=Grade 4). Due to the small numbers of participants with an impaired Baseline hepatic function, a meaningful comparison based on baseline hepatic function could is difficult to make.</w:t>
      </w:r>
    </w:p>
    <w:p w14:paraId="796270F6" w14:textId="089D4B88" w:rsidR="000D512C" w:rsidRDefault="000D512C" w:rsidP="000D512C">
      <w:pPr>
        <w:pStyle w:val="TableTitle"/>
      </w:pPr>
      <w:r>
        <w:t xml:space="preserve">Table </w:t>
      </w:r>
      <w:r>
        <w:fldChar w:fldCharType="begin"/>
      </w:r>
      <w:r>
        <w:instrText>SEQ Table \* ARABIC</w:instrText>
      </w:r>
      <w:r>
        <w:fldChar w:fldCharType="separate"/>
      </w:r>
      <w:r w:rsidR="00F601F5">
        <w:rPr>
          <w:noProof/>
        </w:rPr>
        <w:t>16</w:t>
      </w:r>
      <w:r>
        <w:fldChar w:fldCharType="end"/>
      </w:r>
      <w:r>
        <w:t>: Number of adverse events in participants with renal or hepatic impairment (full safety analysis population population)</w:t>
      </w:r>
    </w:p>
    <w:p w14:paraId="10D30883" w14:textId="6338E64E" w:rsidR="00AC6BF4" w:rsidRDefault="000107E1" w:rsidP="00AC6BF4">
      <w:r w:rsidRPr="000107E1">
        <w:rPr>
          <w:noProof/>
          <w:lang w:val="en-GB" w:eastAsia="en-GB"/>
        </w:rPr>
        <w:drawing>
          <wp:inline distT="0" distB="0" distL="0" distR="0" wp14:anchorId="614E4E50" wp14:editId="1F3F875E">
            <wp:extent cx="5132717" cy="25947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44493" cy="2600669"/>
                    </a:xfrm>
                    <a:prstGeom prst="rect">
                      <a:avLst/>
                    </a:prstGeom>
                  </pic:spPr>
                </pic:pic>
              </a:graphicData>
            </a:graphic>
          </wp:inline>
        </w:drawing>
      </w:r>
    </w:p>
    <w:p w14:paraId="122025D2" w14:textId="3B6F0510" w:rsidR="00AC6BF4" w:rsidRDefault="000D512C" w:rsidP="000D512C">
      <w:pPr>
        <w:pStyle w:val="Heading6"/>
      </w:pPr>
      <w:r>
        <w:t>Use in pregnancy and l</w:t>
      </w:r>
      <w:r w:rsidR="00AC6BF4">
        <w:t>actation</w:t>
      </w:r>
    </w:p>
    <w:p w14:paraId="76579964" w14:textId="28C36E21" w:rsidR="00AC6BF4" w:rsidRDefault="00AC6BF4" w:rsidP="00AC6BF4">
      <w:r>
        <w:t>Women who were pregnant or breastfeeding were not enrolled in COMET-ICE</w:t>
      </w:r>
      <w:r w:rsidR="000D512C">
        <w:t xml:space="preserve"> trial</w:t>
      </w:r>
      <w:r>
        <w:t xml:space="preserve">, and no participants became pregnant during the course of the </w:t>
      </w:r>
      <w:r w:rsidR="000D512C">
        <w:t>study. One patient in the ACTIV</w:t>
      </w:r>
      <w:r w:rsidR="000D512C">
        <w:noBreakHyphen/>
        <w:t>3</w:t>
      </w:r>
      <w:r w:rsidR="000D512C">
        <w:noBreakHyphen/>
        <w:t>TICO trial</w:t>
      </w:r>
      <w:r>
        <w:t xml:space="preserve"> was pregnant, but no data </w:t>
      </w:r>
      <w:r w:rsidR="000D512C">
        <w:t>are provided. Effects on embryof</w:t>
      </w:r>
      <w:r>
        <w:t>etal development have not been evaluated in animal studies. Hence, there are no clinical data on human fertility, pregnancy or lactati</w:t>
      </w:r>
      <w:r w:rsidR="000D512C">
        <w:t>on. Human immunoglobulin G</w:t>
      </w:r>
      <w:r>
        <w:t xml:space="preserve"> </w:t>
      </w:r>
      <w:r w:rsidR="002D45FE">
        <w:t xml:space="preserve">such </w:t>
      </w:r>
      <w:r>
        <w:t>as sotrovimab can potentially pass the pla</w:t>
      </w:r>
      <w:r w:rsidR="007C3E75">
        <w:t>cental barrier from mother to f</w:t>
      </w:r>
      <w:r>
        <w:t>etus.</w:t>
      </w:r>
    </w:p>
    <w:p w14:paraId="19A482B3" w14:textId="2EFBBF47" w:rsidR="00AC6BF4" w:rsidRDefault="00AC6BF4" w:rsidP="000D512C">
      <w:pPr>
        <w:pStyle w:val="Heading5"/>
      </w:pPr>
      <w:r>
        <w:t xml:space="preserve">Supporting </w:t>
      </w:r>
      <w:r w:rsidR="000D512C">
        <w:t>safety data from other studies</w:t>
      </w:r>
    </w:p>
    <w:p w14:paraId="5736B9C2" w14:textId="2469FE67" w:rsidR="00AC6BF4" w:rsidRDefault="00AC6BF4" w:rsidP="00AC6BF4">
      <w:r>
        <w:t xml:space="preserve">Three clinical studies in addition to the pivotal COMET-ICE </w:t>
      </w:r>
      <w:r w:rsidR="000D512C">
        <w:t>trial</w:t>
      </w:r>
      <w:r>
        <w:t xml:space="preserve"> have been conducted with sotrovimab for the treatment of COVID-19. In these studies, approximately 399</w:t>
      </w:r>
      <w:r w:rsidR="00A97516">
        <w:t> </w:t>
      </w:r>
      <w:r>
        <w:t>participants have received sotrovimab as monotherapy or in combination with</w:t>
      </w:r>
      <w:r w:rsidR="000D512C">
        <w:t xml:space="preserve"> bamlanivimab. The studies are the </w:t>
      </w:r>
      <w:r>
        <w:t>COM</w:t>
      </w:r>
      <w:r w:rsidR="002D45FE">
        <w:t>E</w:t>
      </w:r>
      <w:r>
        <w:t>T-PEAK, ACTIV-3-TICO and BLAZE-4</w:t>
      </w:r>
      <w:r w:rsidR="000D512C">
        <w:t xml:space="preserve"> trials</w:t>
      </w:r>
      <w:r w:rsidR="00A97516">
        <w:t>.</w:t>
      </w:r>
    </w:p>
    <w:p w14:paraId="6981322C" w14:textId="4A4C47A5" w:rsidR="00AC6BF4" w:rsidRDefault="000D512C" w:rsidP="00AC6BF4">
      <w:r>
        <w:t xml:space="preserve">The </w:t>
      </w:r>
      <w:r w:rsidR="00AC6BF4">
        <w:t xml:space="preserve">COMET PEAK </w:t>
      </w:r>
      <w:r>
        <w:t xml:space="preserve">trial provides only serious adverse event </w:t>
      </w:r>
      <w:r w:rsidR="00AC6BF4">
        <w:t xml:space="preserve">data (blinded). 30 participants were enrolled in Part A and no serious adverse events were reported in these participants. In Part B, 86 participants have been enrolled and </w:t>
      </w:r>
      <w:r w:rsidR="00B67A20">
        <w:t>six</w:t>
      </w:r>
      <w:r w:rsidR="00AC6BF4">
        <w:t xml:space="preserve"> serious adverse events were reported. The </w:t>
      </w:r>
      <w:r w:rsidR="00B67A20">
        <w:t>six</w:t>
      </w:r>
      <w:r w:rsidR="00AC6BF4">
        <w:t xml:space="preserve"> </w:t>
      </w:r>
      <w:r>
        <w:t>serious adverse events</w:t>
      </w:r>
      <w:r w:rsidR="00AC6BF4">
        <w:t xml:space="preserve"> occurred in </w:t>
      </w:r>
      <w:r w:rsidR="00B67A20">
        <w:t>four</w:t>
      </w:r>
      <w:r w:rsidR="00AC6BF4">
        <w:t xml:space="preserve"> patients. None were considered related to sotrovimab by the investigator.</w:t>
      </w:r>
    </w:p>
    <w:p w14:paraId="1C6EB500" w14:textId="488FD02B" w:rsidR="00AC6BF4" w:rsidRDefault="00AC6BF4" w:rsidP="00AC6BF4">
      <w:r>
        <w:t xml:space="preserve">In </w:t>
      </w:r>
      <w:r w:rsidR="000D512C">
        <w:t xml:space="preserve">the </w:t>
      </w:r>
      <w:r>
        <w:t>BLAZE-4</w:t>
      </w:r>
      <w:r w:rsidR="000D512C">
        <w:t xml:space="preserve"> trial</w:t>
      </w:r>
      <w:r>
        <w:t xml:space="preserve"> based on the available safety data, no serious adverse events, </w:t>
      </w:r>
      <w:r w:rsidR="000D512C">
        <w:t>infusion related reactions</w:t>
      </w:r>
      <w:r>
        <w:t xml:space="preserve"> related to study treatment, or adverse events that led to discontinuation have been reported. Follow-up is ongoing.</w:t>
      </w:r>
    </w:p>
    <w:p w14:paraId="5E2293DF" w14:textId="53DCC866" w:rsidR="00AC6BF4" w:rsidRDefault="00AC6BF4" w:rsidP="00AC6BF4">
      <w:r>
        <w:t xml:space="preserve">No serious adverse events or adverse events that led to discontinuation have been reported in BLAZE-4 </w:t>
      </w:r>
      <w:r w:rsidR="000D512C">
        <w:t>trial</w:t>
      </w:r>
      <w:r>
        <w:t xml:space="preserve">. Five treatment-emergent adverse events (5%) were reported in the sotrovimab-bamlanivimab combination arm; </w:t>
      </w:r>
      <w:r w:rsidR="00B67A20">
        <w:t>two</w:t>
      </w:r>
      <w:r>
        <w:t xml:space="preserve"> mild (</w:t>
      </w:r>
      <w:r w:rsidR="00A97516">
        <w:t>P</w:t>
      </w:r>
      <w:r>
        <w:t xml:space="preserve">referred </w:t>
      </w:r>
      <w:r w:rsidR="00A97516">
        <w:t>T</w:t>
      </w:r>
      <w:r>
        <w:t xml:space="preserve">erms: eczema and paraesthesia) and </w:t>
      </w:r>
      <w:r w:rsidR="00B67A20">
        <w:t>three</w:t>
      </w:r>
      <w:r>
        <w:t xml:space="preserve"> moderate (</w:t>
      </w:r>
      <w:r w:rsidR="00A97516">
        <w:t>P</w:t>
      </w:r>
      <w:r>
        <w:t xml:space="preserve">referred </w:t>
      </w:r>
      <w:r w:rsidR="00A97516">
        <w:t>T</w:t>
      </w:r>
      <w:r>
        <w:t>erms: gastroenteritis, nasopharyngitis, and erectile dysfunction). Participants will continue to be followed for 24</w:t>
      </w:r>
      <w:r w:rsidR="00A97516">
        <w:t> </w:t>
      </w:r>
      <w:r>
        <w:t xml:space="preserve">weeks. Sotrovimab showed a favourable safety profile with </w:t>
      </w:r>
      <w:r w:rsidR="000D512C">
        <w:t>infusion related reactions</w:t>
      </w:r>
      <w:r>
        <w:t xml:space="preserve"> occurring in 1% of all participants regardless of treatment in </w:t>
      </w:r>
      <w:r w:rsidR="000D512C">
        <w:t xml:space="preserve">the </w:t>
      </w:r>
      <w:r>
        <w:t>COMET-ICE</w:t>
      </w:r>
      <w:r w:rsidR="000D512C">
        <w:t xml:space="preserve"> trial</w:t>
      </w:r>
      <w:r>
        <w:t xml:space="preserve"> and no </w:t>
      </w:r>
      <w:r w:rsidR="000D512C">
        <w:t>infusion related reactions</w:t>
      </w:r>
      <w:r>
        <w:t xml:space="preserve"> reported in </w:t>
      </w:r>
      <w:r w:rsidR="000D512C">
        <w:t xml:space="preserve">the </w:t>
      </w:r>
      <w:r>
        <w:t>BLAZE-4</w:t>
      </w:r>
      <w:r w:rsidR="000D512C">
        <w:t xml:space="preserve"> trial</w:t>
      </w:r>
      <w:r>
        <w:t xml:space="preserve"> based on available safety data. In light of these findings, the sponsor believes the proposed 30</w:t>
      </w:r>
      <w:r w:rsidR="00B67A20">
        <w:t xml:space="preserve"> </w:t>
      </w:r>
      <w:r>
        <w:t>minute</w:t>
      </w:r>
      <w:r w:rsidR="00B67A20">
        <w:t>s</w:t>
      </w:r>
      <w:r>
        <w:t xml:space="preserve"> infusion time for sotrovimab is appropriate.</w:t>
      </w:r>
    </w:p>
    <w:p w14:paraId="6F8FA7CD" w14:textId="1150E32E" w:rsidR="00AC6BF4" w:rsidRDefault="00AC6BF4" w:rsidP="00AC6BF4">
      <w:r>
        <w:t xml:space="preserve">In the ACTIV-3-TICO </w:t>
      </w:r>
      <w:r w:rsidR="000D512C">
        <w:t>trial</w:t>
      </w:r>
      <w:r>
        <w:t xml:space="preserve"> there was no evidence of a difference between treatment groups of a composite safety endpoint of Grade 3/4 adverse events, serious adverse events, organ failure, serious infections, and death. This composite endpoint occurred in (19.2%) participants in the sotrovimab group, compared with 44 (24.7%) in the placebo group. Potentially life</w:t>
      </w:r>
      <w:r w:rsidR="00B67A20">
        <w:t xml:space="preserve"> </w:t>
      </w:r>
      <w:r>
        <w:t xml:space="preserve">threatening infusion reactions </w:t>
      </w:r>
      <w:r w:rsidR="00DE5030">
        <w:t xml:space="preserve">were </w:t>
      </w:r>
      <w:r>
        <w:t>observed in two participant</w:t>
      </w:r>
      <w:r w:rsidR="00C047FD">
        <w:t>s</w:t>
      </w:r>
      <w:r>
        <w:t>, who received sotrovimab. In total, 19 participants died; 11 in the sotrovimab group and 8 in the placebo group.</w:t>
      </w:r>
    </w:p>
    <w:p w14:paraId="752562D9" w14:textId="5F889E5A" w:rsidR="00AC6BF4" w:rsidRDefault="00AC6BF4" w:rsidP="00AC6BF4">
      <w:r>
        <w:t>One case of potentially life</w:t>
      </w:r>
      <w:r w:rsidR="00B67A20">
        <w:t xml:space="preserve"> </w:t>
      </w:r>
      <w:r>
        <w:t xml:space="preserve">threatening allergic reaction (anaphylaxis) was reported following infusion of sotrovimab in </w:t>
      </w:r>
      <w:r w:rsidR="000D512C">
        <w:t xml:space="preserve">the </w:t>
      </w:r>
      <w:r>
        <w:t xml:space="preserve">ACTIV-3-TICO </w:t>
      </w:r>
      <w:r w:rsidR="000D512C">
        <w:t>trial</w:t>
      </w:r>
      <w:r>
        <w:t xml:space="preserve"> in hospitalised patients; the patient received</w:t>
      </w:r>
      <w:r w:rsidR="00C206BC">
        <w:t xml:space="preserve"> adrenaline (</w:t>
      </w:r>
      <w:r>
        <w:t>epinephrine</w:t>
      </w:r>
      <w:r w:rsidR="00C206BC">
        <w:t>)</w:t>
      </w:r>
      <w:r>
        <w:t xml:space="preserve"> and the event resolved. In total, 19 participants died; 11 in the sotrovimab group and 8 in the placebo group. All deaths have been attributed to COVID-19 except two in the sotrovimab group whose </w:t>
      </w:r>
      <w:r w:rsidR="00DE5030">
        <w:t xml:space="preserve">Medical </w:t>
      </w:r>
      <w:r w:rsidR="000D512C">
        <w:t>Dictionary for Regulatory Affairs (</w:t>
      </w:r>
      <w:r>
        <w:t>MedDRA</w:t>
      </w:r>
      <w:r w:rsidR="000D512C">
        <w:t>) Preferred Terms were reported as ‘</w:t>
      </w:r>
      <w:r>
        <w:t>mult</w:t>
      </w:r>
      <w:r w:rsidR="000D512C">
        <w:t>iple organ dysfunction syndrome’ and ‘lung neoplasm malignant’</w:t>
      </w:r>
      <w:r>
        <w:t xml:space="preserve">. In </w:t>
      </w:r>
      <w:r w:rsidR="000D512C">
        <w:t xml:space="preserve">the </w:t>
      </w:r>
      <w:r>
        <w:t>ACTIV-3/TICO</w:t>
      </w:r>
      <w:r w:rsidR="000D512C">
        <w:t xml:space="preserve"> trial, ‘serious’</w:t>
      </w:r>
      <w:r>
        <w:t xml:space="preserve"> conditions including deaths that are known to occur as complications of COVID-19 were not reported as serious adverse events (unless judged to be related to the study treatment) but were designated as protocol</w:t>
      </w:r>
      <w:r w:rsidR="00B67A20">
        <w:t xml:space="preserve"> </w:t>
      </w:r>
      <w:r>
        <w:t>specified exempt events and collected separately as clinical organ failure and serious infections. Serious adverse events were reported for 7 participants (3.8%) in the sotrovimab group and 9 participants (5.1%) in the placebo group. One participant in the placebo group experienced 3 serious adverse events during 2 separate clinical events.</w:t>
      </w:r>
    </w:p>
    <w:p w14:paraId="364E16F1" w14:textId="073D31B7" w:rsidR="00AC6BF4" w:rsidRDefault="00AC6BF4" w:rsidP="00AC6BF4">
      <w:r>
        <w:t>A high proportion of serious outcomes can be exp</w:t>
      </w:r>
      <w:r w:rsidR="007D36E2">
        <w:t>ected in a population hospitalis</w:t>
      </w:r>
      <w:r>
        <w:t xml:space="preserve">ed for COVID-19. Of note these safety issues do not cause safety </w:t>
      </w:r>
      <w:r w:rsidR="00DE5030">
        <w:t xml:space="preserve">concerns </w:t>
      </w:r>
      <w:r>
        <w:t>for this application because the included population are different.</w:t>
      </w:r>
    </w:p>
    <w:p w14:paraId="7DE35064" w14:textId="6708738B" w:rsidR="007B6132" w:rsidRDefault="007B6132" w:rsidP="00555280">
      <w:pPr>
        <w:pStyle w:val="Heading4"/>
      </w:pPr>
      <w:bookmarkStart w:id="57" w:name="_Toc314842514"/>
      <w:r w:rsidRPr="007B6132">
        <w:t>Clinical evaluator’s recommendation</w:t>
      </w:r>
    </w:p>
    <w:p w14:paraId="4A990D96" w14:textId="51A8F9D8" w:rsidR="005766C1" w:rsidRPr="005766C1" w:rsidRDefault="005766C1" w:rsidP="005766C1">
      <w:r w:rsidRPr="005766C1">
        <w:t>Based on the evalua</w:t>
      </w:r>
      <w:r w:rsidR="00634C1A">
        <w:t xml:space="preserve">tion of the clinical data, the </w:t>
      </w:r>
      <w:r w:rsidRPr="005766C1">
        <w:t>clinical evaluator recommends provisional approval of Xevudy (sotrovimab), subject to PI</w:t>
      </w:r>
      <w:r w:rsidR="00DE5030">
        <w:t xml:space="preserve"> amendments</w:t>
      </w:r>
      <w:r w:rsidRPr="005766C1">
        <w:t>.</w:t>
      </w:r>
    </w:p>
    <w:p w14:paraId="5012A267" w14:textId="3E3BAB4D" w:rsidR="005766C1" w:rsidRPr="005766C1" w:rsidRDefault="005766C1" w:rsidP="005766C1">
      <w:r w:rsidRPr="005766C1">
        <w:t>In line with the requirements for provisional registration, it is a recommended condition of approval that completed</w:t>
      </w:r>
      <w:r w:rsidR="00A97516">
        <w:t xml:space="preserve"> clinical</w:t>
      </w:r>
      <w:r w:rsidRPr="005766C1">
        <w:t xml:space="preserve"> study reports for </w:t>
      </w:r>
      <w:r>
        <w:t xml:space="preserve">the </w:t>
      </w:r>
      <w:r w:rsidRPr="005766C1">
        <w:t>COMET-ICE, COMET-PEAK, AC</w:t>
      </w:r>
      <w:r>
        <w:t>TIV-3-TICO</w:t>
      </w:r>
      <w:r w:rsidR="00DE5030">
        <w:t xml:space="preserve"> (sotrovimab arm)</w:t>
      </w:r>
      <w:r>
        <w:t>, COMET-TAIL, BLAZE-4 and</w:t>
      </w:r>
      <w:r w:rsidRPr="005766C1">
        <w:t xml:space="preserve"> COMET-PACE </w:t>
      </w:r>
      <w:r>
        <w:t xml:space="preserve">trials </w:t>
      </w:r>
      <w:r w:rsidRPr="005766C1">
        <w:t>and the pregnancy registry data be submitted as soon as these become available.</w:t>
      </w:r>
    </w:p>
    <w:p w14:paraId="7759F6D6" w14:textId="3CD19A20" w:rsidR="008E7846" w:rsidRDefault="00386150" w:rsidP="005766C1">
      <w:pPr>
        <w:pStyle w:val="Heading3"/>
        <w:rPr>
          <w:lang w:eastAsia="en-AU"/>
        </w:rPr>
      </w:pPr>
      <w:bookmarkStart w:id="58" w:name="_Toc80080861"/>
      <w:r>
        <w:rPr>
          <w:lang w:eastAsia="en-AU"/>
        </w:rPr>
        <w:t>Risk m</w:t>
      </w:r>
      <w:r w:rsidR="008E7846">
        <w:rPr>
          <w:lang w:eastAsia="en-AU"/>
        </w:rPr>
        <w:t xml:space="preserve">anagement </w:t>
      </w:r>
      <w:r>
        <w:rPr>
          <w:lang w:eastAsia="en-AU"/>
        </w:rPr>
        <w:t>p</w:t>
      </w:r>
      <w:r w:rsidR="008E7846">
        <w:rPr>
          <w:lang w:eastAsia="en-AU"/>
        </w:rPr>
        <w:t>lan</w:t>
      </w:r>
      <w:bookmarkEnd w:id="57"/>
      <w:bookmarkEnd w:id="58"/>
    </w:p>
    <w:p w14:paraId="61153C2C" w14:textId="5A85AE6E" w:rsidR="00692B1E" w:rsidRDefault="00692B1E" w:rsidP="007D36E2">
      <w:r>
        <w:t xml:space="preserve">The sponsor </w:t>
      </w:r>
      <w:r w:rsidRPr="00692B1E">
        <w:t>has applied to register a new biological entity, sotrovimab (Xevudy) through the Provisional Approval Pathway.</w:t>
      </w:r>
    </w:p>
    <w:p w14:paraId="690CABC5" w14:textId="2CAEBEE7" w:rsidR="007D36E2" w:rsidRDefault="00692B1E" w:rsidP="007D36E2">
      <w:r>
        <w:t xml:space="preserve">The sponsor has submitted </w:t>
      </w:r>
      <w:r w:rsidR="007D36E2">
        <w:t>EU-risk management plan (RMP) version 1 (undated; data lock point</w:t>
      </w:r>
      <w:r>
        <w:t>:</w:t>
      </w:r>
      <w:r w:rsidR="007D36E2">
        <w:t xml:space="preserve"> 27 April 2021) and Australian-specific annex version 1.0 (dated 2 July, data</w:t>
      </w:r>
      <w:r>
        <w:t xml:space="preserve"> </w:t>
      </w:r>
      <w:r w:rsidR="007D36E2">
        <w:t>lock point</w:t>
      </w:r>
      <w:r>
        <w:t>:</w:t>
      </w:r>
      <w:r w:rsidR="007D36E2">
        <w:t xml:space="preserve"> 27 April 2021) and an updated Australian-spec</w:t>
      </w:r>
      <w:r>
        <w:t>ific annex version 1.1 (dated 4 </w:t>
      </w:r>
      <w:r w:rsidR="007D36E2">
        <w:t>August 2021) have been evaluated.</w:t>
      </w:r>
      <w:r w:rsidR="00C63858">
        <w:t xml:space="preserve"> Following recommendation from the RMP evaluator, sponsor has submitted ASA version </w:t>
      </w:r>
      <w:r w:rsidR="00DE5030">
        <w:t>1.</w:t>
      </w:r>
      <w:r w:rsidR="00C63858">
        <w:t>2 (dated 10 August 2021).</w:t>
      </w:r>
      <w:r w:rsidR="007F444E" w:rsidRPr="007F444E">
        <w:t xml:space="preserve"> This updated ASA also refers to the date of EU-RMP version 1 as 21 June 2021.</w:t>
      </w:r>
    </w:p>
    <w:p w14:paraId="5B604FD4" w14:textId="1D1CE413" w:rsidR="007D36E2" w:rsidRDefault="007D36E2" w:rsidP="007D36E2">
      <w:r>
        <w:t>The summary of safety concerns and their associated risk monitoring and mitigation strat</w:t>
      </w:r>
      <w:r w:rsidR="000C2764">
        <w:t xml:space="preserve">egies are summarised in </w:t>
      </w:r>
      <w:r w:rsidR="000C2764">
        <w:fldChar w:fldCharType="begin"/>
      </w:r>
      <w:r w:rsidR="000C2764">
        <w:instrText xml:space="preserve"> REF _Ref79699827 \h </w:instrText>
      </w:r>
      <w:r w:rsidR="000C2764">
        <w:fldChar w:fldCharType="separate"/>
      </w:r>
      <w:r w:rsidR="00F601F5">
        <w:t xml:space="preserve">Table </w:t>
      </w:r>
      <w:r w:rsidR="00F601F5">
        <w:rPr>
          <w:noProof/>
        </w:rPr>
        <w:t>17</w:t>
      </w:r>
      <w:r w:rsidR="00F601F5">
        <w:t>: Summary of safety concerns</w:t>
      </w:r>
      <w:r w:rsidR="000C2764">
        <w:fldChar w:fldCharType="end"/>
      </w:r>
      <w:r>
        <w:t>.</w:t>
      </w:r>
      <w:r>
        <w:rPr>
          <w:rStyle w:val="FootnoteReference"/>
        </w:rPr>
        <w:footnoteReference w:id="33"/>
      </w:r>
    </w:p>
    <w:p w14:paraId="7F552C2F" w14:textId="4DE21101" w:rsidR="00692B1E" w:rsidRDefault="00692B1E" w:rsidP="00692B1E">
      <w:pPr>
        <w:pStyle w:val="TableTitle"/>
      </w:pPr>
      <w:bookmarkStart w:id="59" w:name="_Ref79699827"/>
      <w:r>
        <w:t xml:space="preserve">Table </w:t>
      </w:r>
      <w:r>
        <w:fldChar w:fldCharType="begin"/>
      </w:r>
      <w:r>
        <w:instrText>SEQ Table \* ARABIC</w:instrText>
      </w:r>
      <w:r>
        <w:fldChar w:fldCharType="separate"/>
      </w:r>
      <w:r w:rsidR="00F601F5">
        <w:rPr>
          <w:noProof/>
        </w:rPr>
        <w:t>17</w:t>
      </w:r>
      <w:r>
        <w:fldChar w:fldCharType="end"/>
      </w:r>
      <w:r>
        <w:t>: Summary of safety concerns</w:t>
      </w:r>
      <w:bookmarkEnd w:id="59"/>
    </w:p>
    <w:tbl>
      <w:tblPr>
        <w:tblStyle w:val="TableTGAblue"/>
        <w:tblW w:w="5000" w:type="pct"/>
        <w:tblLook w:val="04A0" w:firstRow="1" w:lastRow="0" w:firstColumn="1" w:lastColumn="0" w:noHBand="0" w:noVBand="1"/>
      </w:tblPr>
      <w:tblGrid>
        <w:gridCol w:w="1612"/>
        <w:gridCol w:w="2514"/>
        <w:gridCol w:w="992"/>
        <w:gridCol w:w="1192"/>
        <w:gridCol w:w="992"/>
        <w:gridCol w:w="1192"/>
      </w:tblGrid>
      <w:tr w:rsidR="00AB0891" w:rsidRPr="00BF52F4" w14:paraId="2736B492" w14:textId="77777777" w:rsidTr="00AB0891">
        <w:trPr>
          <w:cnfStyle w:val="100000000000" w:firstRow="1" w:lastRow="0" w:firstColumn="0" w:lastColumn="0" w:oddVBand="0" w:evenVBand="0" w:oddHBand="0" w:evenHBand="0" w:firstRowFirstColumn="0" w:firstRowLastColumn="0" w:lastRowFirstColumn="0" w:lastRowLastColumn="0"/>
          <w:trHeight w:val="131"/>
        </w:trPr>
        <w:tc>
          <w:tcPr>
            <w:tcW w:w="3024" w:type="pct"/>
            <w:gridSpan w:val="2"/>
            <w:vMerge w:val="restart"/>
            <w:tcBorders>
              <w:top w:val="single" w:sz="4" w:space="0" w:color="auto"/>
              <w:left w:val="single" w:sz="4" w:space="0" w:color="auto"/>
              <w:bottom w:val="single" w:sz="4" w:space="0" w:color="auto"/>
              <w:right w:val="single" w:sz="4" w:space="0" w:color="auto"/>
            </w:tcBorders>
          </w:tcPr>
          <w:p w14:paraId="62B26D85" w14:textId="77777777" w:rsidR="00AB0891" w:rsidRPr="00BF52F4" w:rsidRDefault="00AB0891" w:rsidP="003737B5">
            <w:pPr>
              <w:pStyle w:val="Tabletext"/>
              <w:rPr>
                <w:b w:val="0"/>
              </w:rPr>
            </w:pPr>
            <w:r w:rsidRPr="00BF52F4">
              <w:t>Summary of safety concerns</w:t>
            </w:r>
          </w:p>
        </w:tc>
        <w:tc>
          <w:tcPr>
            <w:tcW w:w="988" w:type="pct"/>
            <w:gridSpan w:val="2"/>
            <w:tcBorders>
              <w:top w:val="single" w:sz="4" w:space="0" w:color="auto"/>
              <w:left w:val="single" w:sz="4" w:space="0" w:color="auto"/>
              <w:bottom w:val="single" w:sz="4" w:space="0" w:color="auto"/>
              <w:right w:val="single" w:sz="4" w:space="0" w:color="auto"/>
            </w:tcBorders>
          </w:tcPr>
          <w:p w14:paraId="72207383" w14:textId="77777777" w:rsidR="00AB0891" w:rsidRPr="00BF52F4" w:rsidRDefault="00AB0891" w:rsidP="00AB0891">
            <w:pPr>
              <w:pStyle w:val="Tabletext"/>
              <w:ind w:left="0"/>
              <w:rPr>
                <w:b w:val="0"/>
                <w:sz w:val="18"/>
              </w:rPr>
            </w:pPr>
            <w:r w:rsidRPr="00BF52F4">
              <w:rPr>
                <w:sz w:val="18"/>
              </w:rPr>
              <w:t>Pharmacovigilance</w:t>
            </w:r>
          </w:p>
        </w:tc>
        <w:tc>
          <w:tcPr>
            <w:tcW w:w="988" w:type="pct"/>
            <w:gridSpan w:val="2"/>
            <w:tcBorders>
              <w:top w:val="single" w:sz="4" w:space="0" w:color="auto"/>
              <w:left w:val="single" w:sz="4" w:space="0" w:color="auto"/>
              <w:bottom w:val="single" w:sz="4" w:space="0" w:color="auto"/>
              <w:right w:val="single" w:sz="4" w:space="0" w:color="auto"/>
            </w:tcBorders>
          </w:tcPr>
          <w:p w14:paraId="61FC4D84" w14:textId="77777777" w:rsidR="00AB0891" w:rsidRPr="00BF52F4" w:rsidRDefault="00AB0891" w:rsidP="00AB0891">
            <w:pPr>
              <w:pStyle w:val="Tabletext"/>
              <w:ind w:left="0"/>
              <w:rPr>
                <w:b w:val="0"/>
                <w:sz w:val="18"/>
              </w:rPr>
            </w:pPr>
            <w:r w:rsidRPr="00BF52F4">
              <w:rPr>
                <w:sz w:val="18"/>
              </w:rPr>
              <w:t>Risk Minimisation</w:t>
            </w:r>
          </w:p>
        </w:tc>
      </w:tr>
      <w:tr w:rsidR="00AB0891" w:rsidRPr="00BF52F4" w14:paraId="74929B67" w14:textId="77777777" w:rsidTr="00AB0891">
        <w:trPr>
          <w:trHeight w:val="150"/>
        </w:trPr>
        <w:tc>
          <w:tcPr>
            <w:tcW w:w="3024" w:type="pct"/>
            <w:gridSpan w:val="2"/>
            <w:vMerge/>
            <w:tcBorders>
              <w:top w:val="single" w:sz="4" w:space="0" w:color="auto"/>
              <w:left w:val="single" w:sz="4" w:space="0" w:color="auto"/>
              <w:bottom w:val="single" w:sz="4" w:space="0" w:color="auto"/>
              <w:right w:val="single" w:sz="4" w:space="0" w:color="auto"/>
            </w:tcBorders>
          </w:tcPr>
          <w:p w14:paraId="78BA02ED" w14:textId="77777777" w:rsidR="00AB0891" w:rsidRPr="00BF52F4" w:rsidRDefault="00AB0891" w:rsidP="003737B5">
            <w:pPr>
              <w:pStyle w:val="Tabletext"/>
              <w:rPr>
                <w:b/>
              </w:rPr>
            </w:pPr>
          </w:p>
        </w:tc>
        <w:tc>
          <w:tcPr>
            <w:tcW w:w="449" w:type="pct"/>
            <w:tcBorders>
              <w:top w:val="single" w:sz="4" w:space="0" w:color="auto"/>
              <w:left w:val="single" w:sz="4" w:space="0" w:color="auto"/>
              <w:bottom w:val="single" w:sz="4" w:space="0" w:color="auto"/>
              <w:right w:val="single" w:sz="4" w:space="0" w:color="auto"/>
            </w:tcBorders>
            <w:shd w:val="clear" w:color="auto" w:fill="006DA7"/>
          </w:tcPr>
          <w:p w14:paraId="130F3FA7" w14:textId="77777777" w:rsidR="00AB0891" w:rsidRPr="00AB0891" w:rsidRDefault="00AB0891" w:rsidP="00AB0891">
            <w:pPr>
              <w:pStyle w:val="Tabletext"/>
              <w:ind w:left="0"/>
              <w:rPr>
                <w:color w:val="FFFFFF" w:themeColor="background1"/>
                <w:sz w:val="18"/>
              </w:rPr>
            </w:pPr>
            <w:r w:rsidRPr="00AB0891">
              <w:rPr>
                <w:color w:val="FFFFFF" w:themeColor="background1"/>
                <w:sz w:val="18"/>
              </w:rPr>
              <w:t>Routine</w:t>
            </w:r>
          </w:p>
        </w:tc>
        <w:tc>
          <w:tcPr>
            <w:tcW w:w="539" w:type="pct"/>
            <w:tcBorders>
              <w:top w:val="single" w:sz="4" w:space="0" w:color="auto"/>
              <w:left w:val="single" w:sz="4" w:space="0" w:color="auto"/>
              <w:bottom w:val="single" w:sz="4" w:space="0" w:color="auto"/>
              <w:right w:val="single" w:sz="4" w:space="0" w:color="auto"/>
            </w:tcBorders>
            <w:shd w:val="clear" w:color="auto" w:fill="006DA7"/>
          </w:tcPr>
          <w:p w14:paraId="4B099F64" w14:textId="77777777" w:rsidR="00AB0891" w:rsidRPr="00AB0891" w:rsidRDefault="00AB0891" w:rsidP="00AB0891">
            <w:pPr>
              <w:pStyle w:val="Tabletext"/>
              <w:ind w:left="0"/>
              <w:rPr>
                <w:color w:val="FFFFFF" w:themeColor="background1"/>
                <w:sz w:val="18"/>
              </w:rPr>
            </w:pPr>
            <w:r w:rsidRPr="00AB0891">
              <w:rPr>
                <w:color w:val="FFFFFF" w:themeColor="background1"/>
                <w:sz w:val="18"/>
              </w:rPr>
              <w:t>Additional</w:t>
            </w:r>
          </w:p>
        </w:tc>
        <w:tc>
          <w:tcPr>
            <w:tcW w:w="435" w:type="pct"/>
            <w:tcBorders>
              <w:top w:val="single" w:sz="4" w:space="0" w:color="auto"/>
              <w:left w:val="single" w:sz="4" w:space="0" w:color="auto"/>
              <w:bottom w:val="single" w:sz="4" w:space="0" w:color="auto"/>
              <w:right w:val="single" w:sz="4" w:space="0" w:color="auto"/>
            </w:tcBorders>
            <w:shd w:val="clear" w:color="auto" w:fill="006DA7"/>
          </w:tcPr>
          <w:p w14:paraId="4B34A23C" w14:textId="77777777" w:rsidR="00AB0891" w:rsidRPr="00AB0891" w:rsidRDefault="00AB0891" w:rsidP="00AB0891">
            <w:pPr>
              <w:pStyle w:val="Tabletext"/>
              <w:ind w:left="0"/>
              <w:rPr>
                <w:color w:val="FFFFFF" w:themeColor="background1"/>
                <w:sz w:val="18"/>
              </w:rPr>
            </w:pPr>
            <w:r w:rsidRPr="00AB0891">
              <w:rPr>
                <w:color w:val="FFFFFF" w:themeColor="background1"/>
                <w:sz w:val="18"/>
              </w:rPr>
              <w:t>Routine</w:t>
            </w:r>
          </w:p>
        </w:tc>
        <w:tc>
          <w:tcPr>
            <w:tcW w:w="553" w:type="pct"/>
            <w:tcBorders>
              <w:top w:val="single" w:sz="4" w:space="0" w:color="auto"/>
              <w:left w:val="single" w:sz="4" w:space="0" w:color="auto"/>
              <w:bottom w:val="single" w:sz="4" w:space="0" w:color="auto"/>
              <w:right w:val="single" w:sz="4" w:space="0" w:color="auto"/>
            </w:tcBorders>
            <w:shd w:val="clear" w:color="auto" w:fill="006DA7"/>
          </w:tcPr>
          <w:p w14:paraId="3D40A8A5" w14:textId="77777777" w:rsidR="00AB0891" w:rsidRPr="00AB0891" w:rsidRDefault="00AB0891" w:rsidP="00AB0891">
            <w:pPr>
              <w:pStyle w:val="Tabletext"/>
              <w:ind w:left="0"/>
              <w:rPr>
                <w:color w:val="FFFFFF" w:themeColor="background1"/>
                <w:sz w:val="18"/>
              </w:rPr>
            </w:pPr>
            <w:r w:rsidRPr="00AB0891">
              <w:rPr>
                <w:color w:val="FFFFFF" w:themeColor="background1"/>
                <w:sz w:val="18"/>
              </w:rPr>
              <w:t>Additional</w:t>
            </w:r>
          </w:p>
        </w:tc>
      </w:tr>
      <w:tr w:rsidR="00AB0891" w:rsidRPr="00BF52F4" w14:paraId="65218F1A" w14:textId="77777777" w:rsidTr="00AB0891">
        <w:trPr>
          <w:trHeight w:val="137"/>
        </w:trPr>
        <w:tc>
          <w:tcPr>
            <w:tcW w:w="701" w:type="pct"/>
            <w:tcBorders>
              <w:top w:val="single" w:sz="4" w:space="0" w:color="auto"/>
            </w:tcBorders>
          </w:tcPr>
          <w:p w14:paraId="3760B9FA" w14:textId="77777777" w:rsidR="00AB0891" w:rsidRPr="00BF52F4" w:rsidRDefault="00AB0891" w:rsidP="003737B5">
            <w:pPr>
              <w:pStyle w:val="Tabletext"/>
              <w:rPr>
                <w:b/>
              </w:rPr>
            </w:pPr>
            <w:r w:rsidRPr="00BF52F4">
              <w:rPr>
                <w:b/>
              </w:rPr>
              <w:t>Important identified risks</w:t>
            </w:r>
          </w:p>
        </w:tc>
        <w:tc>
          <w:tcPr>
            <w:tcW w:w="2323" w:type="pct"/>
            <w:tcBorders>
              <w:top w:val="single" w:sz="4" w:space="0" w:color="auto"/>
            </w:tcBorders>
          </w:tcPr>
          <w:p w14:paraId="14CB7388" w14:textId="77777777" w:rsidR="00AB0891" w:rsidRPr="00AB0891" w:rsidRDefault="00AB0891" w:rsidP="003737B5">
            <w:pPr>
              <w:pStyle w:val="Tabletext"/>
              <w:rPr>
                <w:color w:val="auto"/>
              </w:rPr>
            </w:pPr>
            <w:r w:rsidRPr="00AB0891">
              <w:rPr>
                <w:color w:val="auto"/>
              </w:rPr>
              <w:t>Hypersensitivity</w:t>
            </w:r>
            <w:r w:rsidRPr="00AB0891">
              <w:rPr>
                <w:color w:val="auto"/>
                <w:vertAlign w:val="superscript"/>
              </w:rPr>
              <w:t>1</w:t>
            </w:r>
            <w:r w:rsidRPr="00AB0891">
              <w:rPr>
                <w:color w:val="auto"/>
              </w:rPr>
              <w:t xml:space="preserve"> </w:t>
            </w:r>
          </w:p>
        </w:tc>
        <w:tc>
          <w:tcPr>
            <w:tcW w:w="449" w:type="pct"/>
            <w:tcBorders>
              <w:top w:val="single" w:sz="4" w:space="0" w:color="auto"/>
            </w:tcBorders>
          </w:tcPr>
          <w:p w14:paraId="5C1BD55D" w14:textId="77777777" w:rsidR="00AB0891" w:rsidRPr="00AB0891" w:rsidRDefault="00AB0891" w:rsidP="003737B5">
            <w:pPr>
              <w:pStyle w:val="Tabletext"/>
              <w:jc w:val="center"/>
              <w:rPr>
                <w:color w:val="auto"/>
              </w:rPr>
            </w:pPr>
            <w:r w:rsidRPr="00AB0891">
              <w:rPr>
                <w:color w:val="auto"/>
              </w:rPr>
              <w:sym w:font="Wingdings" w:char="F0FC"/>
            </w:r>
          </w:p>
        </w:tc>
        <w:tc>
          <w:tcPr>
            <w:tcW w:w="539" w:type="pct"/>
            <w:tcBorders>
              <w:top w:val="single" w:sz="4" w:space="0" w:color="auto"/>
            </w:tcBorders>
          </w:tcPr>
          <w:p w14:paraId="32D52A07" w14:textId="77777777" w:rsidR="00AB0891" w:rsidRPr="00AB0891" w:rsidRDefault="00AB0891" w:rsidP="003737B5">
            <w:pPr>
              <w:pStyle w:val="Tabletext"/>
              <w:jc w:val="center"/>
              <w:rPr>
                <w:color w:val="auto"/>
              </w:rPr>
            </w:pPr>
            <w:r w:rsidRPr="00AB0891">
              <w:rPr>
                <w:color w:val="auto"/>
              </w:rPr>
              <w:sym w:font="Wingdings" w:char="F0FC"/>
            </w:r>
            <w:r w:rsidRPr="00AB0891">
              <w:rPr>
                <w:color w:val="auto"/>
                <w:vertAlign w:val="superscript"/>
              </w:rPr>
              <w:t>2</w:t>
            </w:r>
          </w:p>
        </w:tc>
        <w:tc>
          <w:tcPr>
            <w:tcW w:w="435" w:type="pct"/>
            <w:tcBorders>
              <w:top w:val="single" w:sz="4" w:space="0" w:color="auto"/>
            </w:tcBorders>
          </w:tcPr>
          <w:p w14:paraId="36BA0ED5" w14:textId="77777777" w:rsidR="00AB0891" w:rsidRPr="00AB0891" w:rsidRDefault="00AB0891" w:rsidP="003737B5">
            <w:pPr>
              <w:pStyle w:val="Tabletext"/>
              <w:jc w:val="center"/>
              <w:rPr>
                <w:color w:val="auto"/>
              </w:rPr>
            </w:pPr>
            <w:r w:rsidRPr="00AB0891">
              <w:rPr>
                <w:color w:val="auto"/>
              </w:rPr>
              <w:sym w:font="Wingdings" w:char="F0FC"/>
            </w:r>
          </w:p>
        </w:tc>
        <w:tc>
          <w:tcPr>
            <w:tcW w:w="553" w:type="pct"/>
            <w:tcBorders>
              <w:top w:val="single" w:sz="4" w:space="0" w:color="auto"/>
            </w:tcBorders>
          </w:tcPr>
          <w:p w14:paraId="1AD7D560" w14:textId="77777777" w:rsidR="00AB0891" w:rsidRPr="00AB0891" w:rsidRDefault="00AB0891" w:rsidP="003737B5">
            <w:pPr>
              <w:pStyle w:val="Tabletext"/>
              <w:jc w:val="center"/>
              <w:rPr>
                <w:color w:val="auto"/>
              </w:rPr>
            </w:pPr>
            <w:r w:rsidRPr="00AB0891">
              <w:rPr>
                <w:color w:val="auto"/>
              </w:rPr>
              <w:t>–</w:t>
            </w:r>
          </w:p>
        </w:tc>
      </w:tr>
      <w:tr w:rsidR="00AB0891" w:rsidRPr="00BF52F4" w14:paraId="02ECDE6B" w14:textId="77777777" w:rsidTr="00AB0891">
        <w:trPr>
          <w:trHeight w:val="159"/>
        </w:trPr>
        <w:tc>
          <w:tcPr>
            <w:tcW w:w="701" w:type="pct"/>
          </w:tcPr>
          <w:p w14:paraId="537BC05F" w14:textId="77777777" w:rsidR="00AB0891" w:rsidRPr="00BF52F4" w:rsidRDefault="00AB0891" w:rsidP="003737B5">
            <w:pPr>
              <w:pStyle w:val="Tabletext"/>
              <w:rPr>
                <w:b/>
              </w:rPr>
            </w:pPr>
            <w:r w:rsidRPr="00BF52F4">
              <w:rPr>
                <w:b/>
              </w:rPr>
              <w:t>Important potential risks</w:t>
            </w:r>
          </w:p>
        </w:tc>
        <w:tc>
          <w:tcPr>
            <w:tcW w:w="2323" w:type="pct"/>
          </w:tcPr>
          <w:p w14:paraId="4D8FD3E1" w14:textId="77777777" w:rsidR="00AB0891" w:rsidRPr="00AB0891" w:rsidRDefault="00AB0891" w:rsidP="003737B5">
            <w:pPr>
              <w:pStyle w:val="Tabletext"/>
              <w:rPr>
                <w:color w:val="auto"/>
                <w:vertAlign w:val="superscript"/>
              </w:rPr>
            </w:pPr>
            <w:r w:rsidRPr="00AB0891">
              <w:rPr>
                <w:color w:val="auto"/>
              </w:rPr>
              <w:t>Antiviral resistance</w:t>
            </w:r>
            <w:r w:rsidRPr="00AB0891">
              <w:rPr>
                <w:color w:val="auto"/>
                <w:vertAlign w:val="superscript"/>
              </w:rPr>
              <w:t>1</w:t>
            </w:r>
          </w:p>
        </w:tc>
        <w:tc>
          <w:tcPr>
            <w:tcW w:w="449" w:type="pct"/>
          </w:tcPr>
          <w:p w14:paraId="21C030A3" w14:textId="77777777" w:rsidR="00AB0891" w:rsidRPr="00AB0891" w:rsidRDefault="00AB0891" w:rsidP="003737B5">
            <w:pPr>
              <w:pStyle w:val="Tabletext"/>
              <w:jc w:val="center"/>
              <w:rPr>
                <w:color w:val="auto"/>
              </w:rPr>
            </w:pPr>
            <w:r w:rsidRPr="00AB0891">
              <w:rPr>
                <w:color w:val="auto"/>
              </w:rPr>
              <w:sym w:font="Wingdings" w:char="F0FC"/>
            </w:r>
          </w:p>
        </w:tc>
        <w:tc>
          <w:tcPr>
            <w:tcW w:w="539" w:type="pct"/>
          </w:tcPr>
          <w:p w14:paraId="6516A525" w14:textId="77777777" w:rsidR="00AB0891" w:rsidRPr="00AB0891" w:rsidRDefault="00AB0891" w:rsidP="003737B5">
            <w:pPr>
              <w:pStyle w:val="Tabletext"/>
              <w:jc w:val="center"/>
              <w:rPr>
                <w:color w:val="auto"/>
              </w:rPr>
            </w:pPr>
            <w:r w:rsidRPr="00AB0891">
              <w:rPr>
                <w:color w:val="auto"/>
              </w:rPr>
              <w:sym w:font="Wingdings" w:char="F0FC"/>
            </w:r>
            <w:r w:rsidRPr="00AB0891">
              <w:rPr>
                <w:color w:val="auto"/>
                <w:vertAlign w:val="superscript"/>
              </w:rPr>
              <w:t>2</w:t>
            </w:r>
          </w:p>
        </w:tc>
        <w:tc>
          <w:tcPr>
            <w:tcW w:w="435" w:type="pct"/>
          </w:tcPr>
          <w:p w14:paraId="30CA64AB" w14:textId="77777777" w:rsidR="00AB0891" w:rsidRPr="00AB0891" w:rsidRDefault="00AB0891" w:rsidP="003737B5">
            <w:pPr>
              <w:pStyle w:val="Tabletext"/>
              <w:jc w:val="center"/>
              <w:rPr>
                <w:color w:val="auto"/>
              </w:rPr>
            </w:pPr>
            <w:r w:rsidRPr="00AB0891">
              <w:rPr>
                <w:color w:val="auto"/>
              </w:rPr>
              <w:t>–</w:t>
            </w:r>
          </w:p>
        </w:tc>
        <w:tc>
          <w:tcPr>
            <w:tcW w:w="553" w:type="pct"/>
          </w:tcPr>
          <w:p w14:paraId="5F84C0FF" w14:textId="77777777" w:rsidR="00AB0891" w:rsidRPr="00AB0891" w:rsidRDefault="00AB0891" w:rsidP="003737B5">
            <w:pPr>
              <w:pStyle w:val="Tabletext"/>
              <w:jc w:val="center"/>
              <w:rPr>
                <w:color w:val="auto"/>
              </w:rPr>
            </w:pPr>
            <w:r w:rsidRPr="00AB0891">
              <w:rPr>
                <w:color w:val="auto"/>
              </w:rPr>
              <w:t>–</w:t>
            </w:r>
          </w:p>
        </w:tc>
      </w:tr>
      <w:tr w:rsidR="00AB0891" w:rsidRPr="00BF52F4" w14:paraId="6EF8D764" w14:textId="77777777" w:rsidTr="00AB0891">
        <w:trPr>
          <w:trHeight w:val="178"/>
        </w:trPr>
        <w:tc>
          <w:tcPr>
            <w:tcW w:w="701" w:type="pct"/>
            <w:vMerge w:val="restart"/>
          </w:tcPr>
          <w:p w14:paraId="541D51F0" w14:textId="77777777" w:rsidR="00AB0891" w:rsidRPr="00AB0891" w:rsidRDefault="00AB0891" w:rsidP="003737B5">
            <w:pPr>
              <w:pStyle w:val="Tabletext"/>
              <w:rPr>
                <w:b/>
                <w:color w:val="auto"/>
              </w:rPr>
            </w:pPr>
            <w:r w:rsidRPr="00AB0891">
              <w:rPr>
                <w:b/>
                <w:color w:val="auto"/>
              </w:rPr>
              <w:t>Missing information</w:t>
            </w:r>
          </w:p>
        </w:tc>
        <w:tc>
          <w:tcPr>
            <w:tcW w:w="2323" w:type="pct"/>
          </w:tcPr>
          <w:p w14:paraId="03DD3E55" w14:textId="77777777" w:rsidR="00AB0891" w:rsidRPr="00AB0891" w:rsidRDefault="00AB0891" w:rsidP="003737B5">
            <w:pPr>
              <w:pStyle w:val="Tabletext"/>
              <w:rPr>
                <w:color w:val="auto"/>
              </w:rPr>
            </w:pPr>
            <w:r w:rsidRPr="00AB0891">
              <w:rPr>
                <w:color w:val="auto"/>
              </w:rPr>
              <w:t xml:space="preserve">Use in pregnancy </w:t>
            </w:r>
          </w:p>
        </w:tc>
        <w:tc>
          <w:tcPr>
            <w:tcW w:w="449" w:type="pct"/>
          </w:tcPr>
          <w:p w14:paraId="59ACFAB3" w14:textId="77777777" w:rsidR="00AB0891" w:rsidRPr="00AB0891" w:rsidRDefault="00AB0891" w:rsidP="003737B5">
            <w:pPr>
              <w:pStyle w:val="Tabletext"/>
              <w:jc w:val="center"/>
              <w:rPr>
                <w:color w:val="auto"/>
              </w:rPr>
            </w:pPr>
            <w:r w:rsidRPr="00AB0891">
              <w:rPr>
                <w:color w:val="auto"/>
              </w:rPr>
              <w:sym w:font="Wingdings" w:char="F0FC"/>
            </w:r>
          </w:p>
        </w:tc>
        <w:tc>
          <w:tcPr>
            <w:tcW w:w="539" w:type="pct"/>
          </w:tcPr>
          <w:p w14:paraId="5C1A8B3A" w14:textId="77777777" w:rsidR="00AB0891" w:rsidRPr="00AB0891" w:rsidRDefault="00AB0891" w:rsidP="003737B5">
            <w:pPr>
              <w:pStyle w:val="Tabletext"/>
              <w:jc w:val="center"/>
              <w:rPr>
                <w:color w:val="auto"/>
                <w:vertAlign w:val="superscript"/>
              </w:rPr>
            </w:pPr>
            <w:r w:rsidRPr="00AB0891">
              <w:rPr>
                <w:color w:val="auto"/>
              </w:rPr>
              <w:sym w:font="Wingdings" w:char="F0FC"/>
            </w:r>
            <w:r w:rsidRPr="00AB0891">
              <w:rPr>
                <w:color w:val="auto"/>
                <w:vertAlign w:val="superscript"/>
              </w:rPr>
              <w:t>2, 3</w:t>
            </w:r>
          </w:p>
        </w:tc>
        <w:tc>
          <w:tcPr>
            <w:tcW w:w="435" w:type="pct"/>
          </w:tcPr>
          <w:p w14:paraId="015C26FC" w14:textId="77777777" w:rsidR="00AB0891" w:rsidRPr="00AB0891" w:rsidRDefault="00AB0891" w:rsidP="003737B5">
            <w:pPr>
              <w:pStyle w:val="Tabletext"/>
              <w:jc w:val="center"/>
              <w:rPr>
                <w:color w:val="auto"/>
              </w:rPr>
            </w:pPr>
            <w:r w:rsidRPr="00AB0891">
              <w:rPr>
                <w:color w:val="auto"/>
              </w:rPr>
              <w:sym w:font="Wingdings" w:char="F0FC"/>
            </w:r>
          </w:p>
        </w:tc>
        <w:tc>
          <w:tcPr>
            <w:tcW w:w="553" w:type="pct"/>
          </w:tcPr>
          <w:p w14:paraId="47504F23" w14:textId="77777777" w:rsidR="00AB0891" w:rsidRPr="00AB0891" w:rsidRDefault="00AB0891" w:rsidP="003737B5">
            <w:pPr>
              <w:pStyle w:val="Tabletext"/>
              <w:jc w:val="center"/>
              <w:rPr>
                <w:color w:val="auto"/>
              </w:rPr>
            </w:pPr>
            <w:r w:rsidRPr="00AB0891">
              <w:rPr>
                <w:color w:val="auto"/>
              </w:rPr>
              <w:t>–</w:t>
            </w:r>
          </w:p>
        </w:tc>
      </w:tr>
      <w:tr w:rsidR="00AB0891" w:rsidRPr="00BF52F4" w14:paraId="6BA38671" w14:textId="77777777" w:rsidTr="00AB0891">
        <w:trPr>
          <w:trHeight w:val="178"/>
        </w:trPr>
        <w:tc>
          <w:tcPr>
            <w:tcW w:w="701" w:type="pct"/>
            <w:vMerge/>
          </w:tcPr>
          <w:p w14:paraId="5B6C0F49" w14:textId="77777777" w:rsidR="00AB0891" w:rsidRPr="00AB0891" w:rsidRDefault="00AB0891" w:rsidP="003737B5">
            <w:pPr>
              <w:pStyle w:val="Tabletext"/>
              <w:rPr>
                <w:b/>
                <w:color w:val="auto"/>
              </w:rPr>
            </w:pPr>
          </w:p>
        </w:tc>
        <w:tc>
          <w:tcPr>
            <w:tcW w:w="2323" w:type="pct"/>
          </w:tcPr>
          <w:p w14:paraId="5B935C61" w14:textId="77777777" w:rsidR="00AB0891" w:rsidRPr="00AB0891" w:rsidRDefault="00AB0891" w:rsidP="003737B5">
            <w:pPr>
              <w:pStyle w:val="Tabletext"/>
              <w:rPr>
                <w:color w:val="auto"/>
                <w:vertAlign w:val="superscript"/>
              </w:rPr>
            </w:pPr>
            <w:r w:rsidRPr="00AB0891">
              <w:rPr>
                <w:color w:val="auto"/>
              </w:rPr>
              <w:t>Use in severely immunocompromised patients</w:t>
            </w:r>
            <w:r w:rsidRPr="00AB0891">
              <w:rPr>
                <w:color w:val="auto"/>
                <w:vertAlign w:val="superscript"/>
              </w:rPr>
              <w:t>1</w:t>
            </w:r>
          </w:p>
        </w:tc>
        <w:tc>
          <w:tcPr>
            <w:tcW w:w="449" w:type="pct"/>
          </w:tcPr>
          <w:p w14:paraId="3F4BCE8E" w14:textId="77777777" w:rsidR="00AB0891" w:rsidRPr="00AB0891" w:rsidRDefault="00AB0891" w:rsidP="003737B5">
            <w:pPr>
              <w:pStyle w:val="Tabletext"/>
              <w:jc w:val="center"/>
              <w:rPr>
                <w:color w:val="auto"/>
              </w:rPr>
            </w:pPr>
            <w:r w:rsidRPr="00AB0891">
              <w:rPr>
                <w:color w:val="auto"/>
              </w:rPr>
              <w:sym w:font="Wingdings" w:char="F0FC"/>
            </w:r>
          </w:p>
        </w:tc>
        <w:tc>
          <w:tcPr>
            <w:tcW w:w="539" w:type="pct"/>
          </w:tcPr>
          <w:p w14:paraId="5A3FE4D7" w14:textId="77777777" w:rsidR="00AB0891" w:rsidRPr="00AB0891" w:rsidRDefault="00AB0891" w:rsidP="003737B5">
            <w:pPr>
              <w:pStyle w:val="Tabletext"/>
              <w:jc w:val="center"/>
              <w:rPr>
                <w:color w:val="auto"/>
              </w:rPr>
            </w:pPr>
            <w:r w:rsidRPr="00AB0891">
              <w:rPr>
                <w:color w:val="auto"/>
              </w:rPr>
              <w:sym w:font="Wingdings" w:char="F0FC"/>
            </w:r>
            <w:r w:rsidRPr="00AB0891">
              <w:rPr>
                <w:color w:val="auto"/>
                <w:vertAlign w:val="superscript"/>
              </w:rPr>
              <w:t>2</w:t>
            </w:r>
          </w:p>
        </w:tc>
        <w:tc>
          <w:tcPr>
            <w:tcW w:w="435" w:type="pct"/>
          </w:tcPr>
          <w:p w14:paraId="603B0257" w14:textId="77777777" w:rsidR="00AB0891" w:rsidRPr="00AB0891" w:rsidRDefault="00AB0891" w:rsidP="003737B5">
            <w:pPr>
              <w:pStyle w:val="Tabletext"/>
              <w:jc w:val="center"/>
              <w:rPr>
                <w:color w:val="auto"/>
              </w:rPr>
            </w:pPr>
            <w:r w:rsidRPr="00AB0891">
              <w:rPr>
                <w:color w:val="auto"/>
              </w:rPr>
              <w:t>–</w:t>
            </w:r>
          </w:p>
        </w:tc>
        <w:tc>
          <w:tcPr>
            <w:tcW w:w="553" w:type="pct"/>
          </w:tcPr>
          <w:p w14:paraId="52D5B592" w14:textId="77777777" w:rsidR="00AB0891" w:rsidRPr="00AB0891" w:rsidRDefault="00AB0891" w:rsidP="003737B5">
            <w:pPr>
              <w:pStyle w:val="Tabletext"/>
              <w:jc w:val="center"/>
              <w:rPr>
                <w:color w:val="auto"/>
              </w:rPr>
            </w:pPr>
            <w:r w:rsidRPr="00AB0891">
              <w:rPr>
                <w:color w:val="auto"/>
              </w:rPr>
              <w:t>–</w:t>
            </w:r>
          </w:p>
        </w:tc>
      </w:tr>
      <w:tr w:rsidR="00AB0891" w:rsidRPr="00BF52F4" w14:paraId="41BD1E4C" w14:textId="77777777" w:rsidTr="00AB0891">
        <w:trPr>
          <w:trHeight w:val="178"/>
        </w:trPr>
        <w:tc>
          <w:tcPr>
            <w:tcW w:w="701" w:type="pct"/>
            <w:vMerge/>
          </w:tcPr>
          <w:p w14:paraId="7B69862C" w14:textId="77777777" w:rsidR="00AB0891" w:rsidRPr="00AB0891" w:rsidRDefault="00AB0891" w:rsidP="003737B5">
            <w:pPr>
              <w:pStyle w:val="Tabletext"/>
              <w:rPr>
                <w:b/>
                <w:color w:val="auto"/>
              </w:rPr>
            </w:pPr>
          </w:p>
        </w:tc>
        <w:tc>
          <w:tcPr>
            <w:tcW w:w="2323" w:type="pct"/>
          </w:tcPr>
          <w:p w14:paraId="1A4D4032" w14:textId="77777777" w:rsidR="00AB0891" w:rsidRPr="00AB0891" w:rsidRDefault="00AB0891" w:rsidP="003737B5">
            <w:pPr>
              <w:pStyle w:val="Tabletext"/>
              <w:rPr>
                <w:color w:val="auto"/>
              </w:rPr>
            </w:pPr>
            <w:r w:rsidRPr="00AB0891">
              <w:rPr>
                <w:color w:val="auto"/>
              </w:rPr>
              <w:t>Use in COVID-19 vaccine breakthrough infection</w:t>
            </w:r>
            <w:r w:rsidRPr="00AB0891">
              <w:rPr>
                <w:color w:val="auto"/>
                <w:vertAlign w:val="superscript"/>
              </w:rPr>
              <w:t>1</w:t>
            </w:r>
            <w:r w:rsidRPr="00AB0891">
              <w:rPr>
                <w:color w:val="auto"/>
              </w:rPr>
              <w:t xml:space="preserve"> </w:t>
            </w:r>
          </w:p>
        </w:tc>
        <w:tc>
          <w:tcPr>
            <w:tcW w:w="449" w:type="pct"/>
          </w:tcPr>
          <w:p w14:paraId="20A47B88" w14:textId="77777777" w:rsidR="00AB0891" w:rsidRPr="00AB0891" w:rsidRDefault="00AB0891" w:rsidP="003737B5">
            <w:pPr>
              <w:pStyle w:val="Tabletext"/>
              <w:jc w:val="center"/>
              <w:rPr>
                <w:color w:val="auto"/>
              </w:rPr>
            </w:pPr>
            <w:r w:rsidRPr="00AB0891">
              <w:rPr>
                <w:color w:val="auto"/>
              </w:rPr>
              <w:sym w:font="Wingdings" w:char="F0FC"/>
            </w:r>
          </w:p>
        </w:tc>
        <w:tc>
          <w:tcPr>
            <w:tcW w:w="539" w:type="pct"/>
          </w:tcPr>
          <w:p w14:paraId="6123E12D" w14:textId="77777777" w:rsidR="00AB0891" w:rsidRPr="00AB0891" w:rsidRDefault="00AB0891" w:rsidP="003737B5">
            <w:pPr>
              <w:pStyle w:val="Tabletext"/>
              <w:jc w:val="center"/>
              <w:rPr>
                <w:color w:val="auto"/>
              </w:rPr>
            </w:pPr>
            <w:r w:rsidRPr="00AB0891">
              <w:rPr>
                <w:color w:val="auto"/>
              </w:rPr>
              <w:sym w:font="Wingdings" w:char="F0FC"/>
            </w:r>
            <w:r w:rsidRPr="00AB0891">
              <w:rPr>
                <w:color w:val="auto"/>
                <w:vertAlign w:val="superscript"/>
              </w:rPr>
              <w:t>2</w:t>
            </w:r>
          </w:p>
        </w:tc>
        <w:tc>
          <w:tcPr>
            <w:tcW w:w="435" w:type="pct"/>
          </w:tcPr>
          <w:p w14:paraId="38827435" w14:textId="77777777" w:rsidR="00AB0891" w:rsidRPr="00AB0891" w:rsidRDefault="00AB0891" w:rsidP="003737B5">
            <w:pPr>
              <w:pStyle w:val="Tabletext"/>
              <w:jc w:val="center"/>
              <w:rPr>
                <w:color w:val="auto"/>
              </w:rPr>
            </w:pPr>
            <w:r w:rsidRPr="00AB0891">
              <w:rPr>
                <w:color w:val="auto"/>
              </w:rPr>
              <w:sym w:font="Wingdings" w:char="F0FC"/>
            </w:r>
          </w:p>
        </w:tc>
        <w:tc>
          <w:tcPr>
            <w:tcW w:w="553" w:type="pct"/>
          </w:tcPr>
          <w:p w14:paraId="7FB0EE91" w14:textId="77777777" w:rsidR="00AB0891" w:rsidRPr="00AB0891" w:rsidRDefault="00AB0891" w:rsidP="003737B5">
            <w:pPr>
              <w:pStyle w:val="Tabletext"/>
              <w:jc w:val="center"/>
              <w:rPr>
                <w:color w:val="auto"/>
              </w:rPr>
            </w:pPr>
            <w:r w:rsidRPr="00AB0891">
              <w:rPr>
                <w:color w:val="auto"/>
              </w:rPr>
              <w:t>–</w:t>
            </w:r>
          </w:p>
        </w:tc>
      </w:tr>
      <w:tr w:rsidR="00AB0891" w:rsidRPr="00BF52F4" w14:paraId="5DEFDA16" w14:textId="77777777" w:rsidTr="00AB0891">
        <w:trPr>
          <w:trHeight w:val="103"/>
        </w:trPr>
        <w:tc>
          <w:tcPr>
            <w:tcW w:w="701" w:type="pct"/>
            <w:vMerge/>
          </w:tcPr>
          <w:p w14:paraId="0F401990" w14:textId="77777777" w:rsidR="00AB0891" w:rsidRPr="00AB0891" w:rsidRDefault="00AB0891" w:rsidP="003737B5">
            <w:pPr>
              <w:pStyle w:val="Tabletext"/>
              <w:rPr>
                <w:color w:val="auto"/>
              </w:rPr>
            </w:pPr>
          </w:p>
        </w:tc>
        <w:tc>
          <w:tcPr>
            <w:tcW w:w="2323" w:type="pct"/>
          </w:tcPr>
          <w:p w14:paraId="29215586" w14:textId="33DA69D4" w:rsidR="00AB0891" w:rsidRPr="00AB0891" w:rsidRDefault="00AB0891" w:rsidP="003737B5">
            <w:pPr>
              <w:pStyle w:val="Tabletext"/>
              <w:rPr>
                <w:color w:val="auto"/>
              </w:rPr>
            </w:pPr>
            <w:r w:rsidRPr="00AB0891">
              <w:rPr>
                <w:color w:val="auto"/>
              </w:rPr>
              <w:t>Use in children ≥</w:t>
            </w:r>
            <w:r>
              <w:rPr>
                <w:color w:val="auto"/>
              </w:rPr>
              <w:t xml:space="preserve"> </w:t>
            </w:r>
            <w:r w:rsidRPr="00AB0891">
              <w:rPr>
                <w:color w:val="auto"/>
              </w:rPr>
              <w:t>12 to &lt;</w:t>
            </w:r>
            <w:r>
              <w:rPr>
                <w:color w:val="auto"/>
              </w:rPr>
              <w:t xml:space="preserve"> </w:t>
            </w:r>
            <w:r w:rsidRPr="00AB0891">
              <w:rPr>
                <w:color w:val="auto"/>
              </w:rPr>
              <w:t>18 years old</w:t>
            </w:r>
          </w:p>
        </w:tc>
        <w:tc>
          <w:tcPr>
            <w:tcW w:w="449" w:type="pct"/>
          </w:tcPr>
          <w:p w14:paraId="7EDAAF99" w14:textId="77777777" w:rsidR="00AB0891" w:rsidRPr="00AB0891" w:rsidRDefault="00AB0891" w:rsidP="003737B5">
            <w:pPr>
              <w:pStyle w:val="Tabletext"/>
              <w:jc w:val="center"/>
              <w:rPr>
                <w:color w:val="auto"/>
              </w:rPr>
            </w:pPr>
            <w:r w:rsidRPr="00AB0891">
              <w:rPr>
                <w:color w:val="auto"/>
              </w:rPr>
              <w:sym w:font="Wingdings" w:char="F0FC"/>
            </w:r>
          </w:p>
        </w:tc>
        <w:tc>
          <w:tcPr>
            <w:tcW w:w="539" w:type="pct"/>
          </w:tcPr>
          <w:p w14:paraId="268F6A15" w14:textId="77777777" w:rsidR="00AB0891" w:rsidRPr="00AB0891" w:rsidRDefault="00AB0891" w:rsidP="003737B5">
            <w:pPr>
              <w:pStyle w:val="Tabletext"/>
              <w:jc w:val="center"/>
              <w:rPr>
                <w:color w:val="auto"/>
              </w:rPr>
            </w:pPr>
            <w:r w:rsidRPr="00AB0891">
              <w:rPr>
                <w:color w:val="auto"/>
              </w:rPr>
              <w:sym w:font="Wingdings" w:char="F0FC"/>
            </w:r>
            <w:r w:rsidRPr="00AB0891">
              <w:rPr>
                <w:color w:val="auto"/>
                <w:vertAlign w:val="superscript"/>
              </w:rPr>
              <w:t>2, 4</w:t>
            </w:r>
          </w:p>
        </w:tc>
        <w:tc>
          <w:tcPr>
            <w:tcW w:w="435" w:type="pct"/>
          </w:tcPr>
          <w:p w14:paraId="66E577E0" w14:textId="77777777" w:rsidR="00AB0891" w:rsidRPr="00AB0891" w:rsidRDefault="00AB0891" w:rsidP="003737B5">
            <w:pPr>
              <w:pStyle w:val="Tabletext"/>
              <w:jc w:val="center"/>
              <w:rPr>
                <w:color w:val="auto"/>
              </w:rPr>
            </w:pPr>
            <w:r w:rsidRPr="00AB0891">
              <w:rPr>
                <w:color w:val="auto"/>
              </w:rPr>
              <w:sym w:font="Wingdings" w:char="F0FC"/>
            </w:r>
          </w:p>
        </w:tc>
        <w:tc>
          <w:tcPr>
            <w:tcW w:w="553" w:type="pct"/>
          </w:tcPr>
          <w:p w14:paraId="0C34BAD3" w14:textId="77777777" w:rsidR="00AB0891" w:rsidRPr="00AB0891" w:rsidRDefault="00AB0891" w:rsidP="003737B5">
            <w:pPr>
              <w:pStyle w:val="Tabletext"/>
              <w:jc w:val="center"/>
              <w:rPr>
                <w:color w:val="auto"/>
              </w:rPr>
            </w:pPr>
            <w:r w:rsidRPr="00AB0891">
              <w:rPr>
                <w:color w:val="auto"/>
              </w:rPr>
              <w:t>–</w:t>
            </w:r>
          </w:p>
        </w:tc>
      </w:tr>
    </w:tbl>
    <w:p w14:paraId="15E6C0F0" w14:textId="0FC18759" w:rsidR="00AB0891" w:rsidRDefault="000C2764" w:rsidP="000C2764">
      <w:pPr>
        <w:pStyle w:val="TableDescription"/>
      </w:pPr>
      <w:r w:rsidRPr="00C63858">
        <w:rPr>
          <w:vertAlign w:val="superscript"/>
        </w:rPr>
        <w:t>1</w:t>
      </w:r>
      <w:r>
        <w:t> </w:t>
      </w:r>
      <w:r w:rsidR="00AB0891">
        <w:t>Australia specific safety concerns</w:t>
      </w:r>
    </w:p>
    <w:p w14:paraId="064D6EB7" w14:textId="33A163ED" w:rsidR="000C2764" w:rsidRDefault="00AB0891" w:rsidP="000C2764">
      <w:pPr>
        <w:pStyle w:val="TableDescription"/>
      </w:pPr>
      <w:r w:rsidRPr="00C63858">
        <w:rPr>
          <w:vertAlign w:val="superscript"/>
        </w:rPr>
        <w:t>2</w:t>
      </w:r>
      <w:r>
        <w:t> Monthly summary safety reports</w:t>
      </w:r>
    </w:p>
    <w:p w14:paraId="639D1E45" w14:textId="74DBE9B3" w:rsidR="000C2764" w:rsidRDefault="00AB0891" w:rsidP="000C2764">
      <w:pPr>
        <w:pStyle w:val="TableDescription"/>
      </w:pPr>
      <w:r>
        <w:rPr>
          <w:vertAlign w:val="superscript"/>
        </w:rPr>
        <w:t>3</w:t>
      </w:r>
      <w:r w:rsidR="000C2764">
        <w:t> </w:t>
      </w:r>
      <w:r>
        <w:t>COVID-19 International Drug Pregnancy Registry (COVID-PR)</w:t>
      </w:r>
    </w:p>
    <w:p w14:paraId="3D638E83" w14:textId="4BB1D355" w:rsidR="00692B1E" w:rsidRDefault="00AB0891" w:rsidP="000C2764">
      <w:pPr>
        <w:pStyle w:val="TableDescription"/>
      </w:pPr>
      <w:r>
        <w:rPr>
          <w:vertAlign w:val="superscript"/>
        </w:rPr>
        <w:t>4</w:t>
      </w:r>
      <w:r w:rsidR="000C2764">
        <w:t> COMET-PACE trial (overseas)</w:t>
      </w:r>
    </w:p>
    <w:p w14:paraId="3E5A8B8F" w14:textId="77777777" w:rsidR="00AB0891" w:rsidRDefault="00AB0891" w:rsidP="007D36E2">
      <w:r>
        <w:t xml:space="preserve">The </w:t>
      </w:r>
      <w:r w:rsidRPr="00AB0891">
        <w:t xml:space="preserve">sponsor has updated the ASA to include the following as Australia specific safety concerns: hypersensitivity (important identified risk), antiviral resistance (important potential risk), use in severely immunocompromised patients (missing information), and use in COVID-19 vaccine breakthrough infections (missing information). </w:t>
      </w:r>
    </w:p>
    <w:p w14:paraId="0491395C" w14:textId="5AFC8D37" w:rsidR="007D36E2" w:rsidRDefault="007D36E2" w:rsidP="00AB0891">
      <w:r>
        <w:t>The sponsor has agreed to include Australian patients in the COVID-19 International Drug Pregnancy Registry and submit monthly summary safety reports to the TGA. Australian patients are not to be included in the paediatric COMET-PACE trial due to the low patient number. However, findings from the study are considered applicable to Australia.</w:t>
      </w:r>
    </w:p>
    <w:p w14:paraId="25C256BE" w14:textId="68B5AF19" w:rsidR="00AB0891" w:rsidRDefault="00AB0891" w:rsidP="00AB0891">
      <w:r w:rsidRPr="00AB0891">
        <w:t xml:space="preserve">Recommendations to improve patient selection and post-infusion monitoring have been made for the </w:t>
      </w:r>
      <w:r>
        <w:t>D</w:t>
      </w:r>
      <w:r w:rsidRPr="00AB0891">
        <w:t>elegate to consider.</w:t>
      </w:r>
    </w:p>
    <w:p w14:paraId="52523A4A" w14:textId="40007D42" w:rsidR="007D36E2" w:rsidRDefault="007D36E2" w:rsidP="007D36E2">
      <w:r w:rsidRPr="00C63858">
        <w:t xml:space="preserve">There </w:t>
      </w:r>
      <w:r w:rsidR="00C63858" w:rsidRPr="00C63858">
        <w:t>is no new or</w:t>
      </w:r>
      <w:r w:rsidRPr="00C63858">
        <w:t xml:space="preserve"> outstanding </w:t>
      </w:r>
      <w:r w:rsidR="00C63858" w:rsidRPr="00C63858">
        <w:t>recommendation from the RMP evaluator.</w:t>
      </w:r>
    </w:p>
    <w:p w14:paraId="379307BE" w14:textId="1345A173" w:rsidR="007D36E2" w:rsidRDefault="007D36E2" w:rsidP="007D36E2">
      <w:pPr>
        <w:pStyle w:val="Heading4"/>
      </w:pPr>
      <w:r>
        <w:t>RMP evaluator reco</w:t>
      </w:r>
      <w:r w:rsidR="00F3773F">
        <w:t>mmendations regarding condition</w:t>
      </w:r>
      <w:r>
        <w:t>s of registration</w:t>
      </w:r>
    </w:p>
    <w:p w14:paraId="24ED482A" w14:textId="594329EF" w:rsidR="00AB0891" w:rsidRDefault="00AB0891" w:rsidP="00AB0891">
      <w:r>
        <w:t>The suggested wording is:</w:t>
      </w:r>
    </w:p>
    <w:p w14:paraId="64B39AB6" w14:textId="16B0BEE2" w:rsidR="00AB0891" w:rsidRPr="00AB0891" w:rsidRDefault="00AB0891" w:rsidP="00AB0891">
      <w:pPr>
        <w:ind w:left="720"/>
        <w:rPr>
          <w:i/>
          <w:iCs/>
        </w:rPr>
      </w:pPr>
      <w:r w:rsidRPr="00AB0891">
        <w:rPr>
          <w:i/>
          <w:iCs/>
        </w:rPr>
        <w:t>The X</w:t>
      </w:r>
      <w:r>
        <w:rPr>
          <w:i/>
          <w:iCs/>
        </w:rPr>
        <w:t>evudy</w:t>
      </w:r>
      <w:r w:rsidRPr="00AB0891">
        <w:rPr>
          <w:i/>
          <w:iCs/>
        </w:rPr>
        <w:t xml:space="preserve"> EU-Risk Management Plan (RMP) (version 1, undated, data lock point 27 April 2021), with Australian Specific Annex (version 1.2, dated 10 August 2021), included with submission PM-2021-01848-1-2, and any subsequent revisions, as agreed with the TGA will be implemented in Australia.</w:t>
      </w:r>
    </w:p>
    <w:p w14:paraId="102C8B9E" w14:textId="2F5ED8E5" w:rsidR="00F3773F" w:rsidRDefault="00F3773F" w:rsidP="00AB0891">
      <w:r>
        <w:t>The following wording is recommended for the periodic safety update report (PSUR) requirement:</w:t>
      </w:r>
    </w:p>
    <w:p w14:paraId="17F4D83C" w14:textId="77777777" w:rsidR="00F3773F" w:rsidRPr="00F3773F" w:rsidRDefault="00F3773F" w:rsidP="00F3773F">
      <w:pPr>
        <w:ind w:left="720"/>
        <w:rPr>
          <w:i/>
        </w:rPr>
      </w:pPr>
      <w:r w:rsidRPr="00F3773F">
        <w:rPr>
          <w:i/>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 </w:t>
      </w:r>
    </w:p>
    <w:p w14:paraId="2718333D" w14:textId="77777777" w:rsidR="00F3773F" w:rsidRPr="00F3773F" w:rsidRDefault="00F3773F" w:rsidP="00F3773F">
      <w:pPr>
        <w:ind w:left="720"/>
        <w:rPr>
          <w:i/>
        </w:rPr>
      </w:pPr>
      <w:r w:rsidRPr="00F3773F">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667282E6" w14:textId="30B30BB4" w:rsidR="00F3773F" w:rsidRPr="00F3773F" w:rsidRDefault="00F3773F" w:rsidP="00F3773F">
      <w:pPr>
        <w:ind w:left="720"/>
        <w:rPr>
          <w:i/>
        </w:rPr>
      </w:pPr>
      <w:r w:rsidRPr="00F3773F">
        <w:rPr>
          <w:i/>
        </w:rPr>
        <w:t>Additional to the submission of PSURs, expedited Xevudy monthly summary safety reports (including safety data for patients in Australia and reporting of Australia specific safety concerns) are to be provided for the first 6 months post registration, and thereafter at intervals specified by the TGA.</w:t>
      </w:r>
    </w:p>
    <w:p w14:paraId="5214A64B" w14:textId="0D3E1BE0" w:rsidR="00F3773F" w:rsidRDefault="00F3773F" w:rsidP="00F3773F">
      <w:r>
        <w:t>As Xevudy is a new biological entity, it should be included in the Black Triangle Scheme</w:t>
      </w:r>
      <w:r w:rsidR="00A97516" w:rsidRPr="00CF1D4F">
        <w:rPr>
          <w:vertAlign w:val="superscript"/>
        </w:rPr>
        <w:fldChar w:fldCharType="begin"/>
      </w:r>
      <w:r w:rsidR="00A97516" w:rsidRPr="00CF1D4F">
        <w:rPr>
          <w:vertAlign w:val="superscript"/>
        </w:rPr>
        <w:instrText xml:space="preserve"> NOTEREF _Ref80056912 \h </w:instrText>
      </w:r>
      <w:r w:rsidR="00A97516">
        <w:rPr>
          <w:vertAlign w:val="superscript"/>
        </w:rPr>
        <w:instrText xml:space="preserve"> \* MERGEFORMAT </w:instrText>
      </w:r>
      <w:r w:rsidR="00A97516" w:rsidRPr="00CF1D4F">
        <w:rPr>
          <w:vertAlign w:val="superscript"/>
        </w:rPr>
      </w:r>
      <w:r w:rsidR="00A97516" w:rsidRPr="00CF1D4F">
        <w:rPr>
          <w:vertAlign w:val="superscript"/>
        </w:rPr>
        <w:fldChar w:fldCharType="separate"/>
      </w:r>
      <w:r w:rsidR="00F601F5">
        <w:rPr>
          <w:vertAlign w:val="superscript"/>
        </w:rPr>
        <w:t>1</w:t>
      </w:r>
      <w:r w:rsidR="00A97516" w:rsidRPr="00CF1D4F">
        <w:rPr>
          <w:vertAlign w:val="superscript"/>
        </w:rPr>
        <w:fldChar w:fldCharType="end"/>
      </w:r>
      <w:r>
        <w:t xml:space="preserve"> as a condition of registration. The following wording is recommended for the condition of registration:</w:t>
      </w:r>
    </w:p>
    <w:p w14:paraId="7D3C64EF" w14:textId="65402C65" w:rsidR="00F3773F" w:rsidRPr="00F3773F" w:rsidRDefault="00F3773F" w:rsidP="00F3773F">
      <w:pPr>
        <w:ind w:left="720"/>
        <w:rPr>
          <w:i/>
        </w:rPr>
      </w:pPr>
      <w:r w:rsidRPr="00F3773F">
        <w:rPr>
          <w:i/>
        </w:rPr>
        <w:t xml:space="preserve">Sotrovimab (Xevudy) is to be included in the Black Triangle Scheme. The PI and CMI for Xevudy must include the black triangle symbol and mandatory accompanying text for </w:t>
      </w:r>
      <w:r w:rsidR="00175252">
        <w:rPr>
          <w:i/>
        </w:rPr>
        <w:t>the period of provisional registration</w:t>
      </w:r>
      <w:r w:rsidRPr="00F3773F">
        <w:rPr>
          <w:i/>
        </w:rPr>
        <w:t>.</w:t>
      </w:r>
    </w:p>
    <w:p w14:paraId="10F90EED" w14:textId="531EF1B2" w:rsidR="00F3773F" w:rsidRDefault="00F3773F" w:rsidP="00F3773F">
      <w:r>
        <w:t>As Xevudy is being considered for a provisional registration, confirmatory trial data is recommended for the condition of registration. The following wording based on the proposed clinical study plan in the ASA version 1.</w:t>
      </w:r>
      <w:r w:rsidR="007F444E">
        <w:t>2</w:t>
      </w:r>
      <w:r>
        <w:t xml:space="preserve"> is provided as a preliminary suggestion for the TGA Delegate to consider. The final condition of registration is to be determined by the TGA Delegate:</w:t>
      </w:r>
    </w:p>
    <w:p w14:paraId="3DBE555E" w14:textId="63127893" w:rsidR="00F3773F" w:rsidRPr="00F3773F" w:rsidRDefault="00F3773F" w:rsidP="00F3773F">
      <w:pPr>
        <w:ind w:left="720"/>
        <w:rPr>
          <w:i/>
        </w:rPr>
      </w:pPr>
      <w:r w:rsidRPr="00F3773F">
        <w:rPr>
          <w:i/>
        </w:rPr>
        <w:t>Confirmatory trial data (as identified in the sponsor’s plan to submit comprehensive clinical data on the safety and efficacy of the medicine before the end of the 6 years that would start on the day that registration would commence) must be provided.</w:t>
      </w:r>
    </w:p>
    <w:p w14:paraId="49DDC4A0" w14:textId="3A974E7A" w:rsidR="00F3773F" w:rsidRPr="00F3773F" w:rsidRDefault="00F3773F" w:rsidP="00F3773F">
      <w:pPr>
        <w:ind w:left="720"/>
        <w:rPr>
          <w:i/>
        </w:rPr>
      </w:pPr>
      <w:r w:rsidRPr="00F3773F">
        <w:rPr>
          <w:i/>
        </w:rPr>
        <w:t>Specifically the sponsor must conduct studies as described in the clinical study plan in version 1.1 (dated 4 August 2021) of the Australia-specific annex. The following study report(s) should be submitted to TGA:</w:t>
      </w:r>
    </w:p>
    <w:p w14:paraId="5BCD00EB" w14:textId="07B7100D" w:rsidR="00F3773F" w:rsidRPr="00F3773F" w:rsidRDefault="00F3773F" w:rsidP="00F3773F">
      <w:pPr>
        <w:pStyle w:val="ListBullet3"/>
        <w:rPr>
          <w:i/>
        </w:rPr>
      </w:pPr>
      <w:r w:rsidRPr="00F3773F">
        <w:rPr>
          <w:i/>
        </w:rPr>
        <w:t>Study VIR-7831-5001 (214367), (also known as COMET-ICE)</w:t>
      </w:r>
    </w:p>
    <w:p w14:paraId="62A92C8F" w14:textId="39FE82F4" w:rsidR="00F3773F" w:rsidRPr="00F3773F" w:rsidRDefault="00F3773F" w:rsidP="00F3773F">
      <w:pPr>
        <w:pStyle w:val="ListBullet3"/>
        <w:rPr>
          <w:i/>
        </w:rPr>
      </w:pPr>
      <w:r w:rsidRPr="00F3773F">
        <w:rPr>
          <w:i/>
        </w:rPr>
        <w:t xml:space="preserve">Study 216912 (also known as COMET-PEAK) </w:t>
      </w:r>
    </w:p>
    <w:p w14:paraId="0F1F4717" w14:textId="1DB0F374" w:rsidR="00F3773F" w:rsidRPr="00F3773F" w:rsidRDefault="00F3773F" w:rsidP="00F3773F">
      <w:pPr>
        <w:pStyle w:val="ListBullet3"/>
        <w:rPr>
          <w:i/>
        </w:rPr>
      </w:pPr>
      <w:r w:rsidRPr="00F3773F">
        <w:rPr>
          <w:i/>
        </w:rPr>
        <w:t>Study INSIGHT Protocol Number: 014/ACTIV-3-TICO (215149)</w:t>
      </w:r>
    </w:p>
    <w:p w14:paraId="3DF6E85D" w14:textId="0C638287" w:rsidR="00F3773F" w:rsidRPr="00F3773F" w:rsidRDefault="00F3773F" w:rsidP="00F3773F">
      <w:pPr>
        <w:pStyle w:val="ListBullet3"/>
        <w:rPr>
          <w:i/>
        </w:rPr>
      </w:pPr>
      <w:r w:rsidRPr="00F3773F">
        <w:rPr>
          <w:i/>
        </w:rPr>
        <w:t>Study VIR-7831-5008 (217114), (also known as COMET-TAIL)</w:t>
      </w:r>
    </w:p>
    <w:p w14:paraId="443D1BAA" w14:textId="40930739" w:rsidR="00F3773F" w:rsidRPr="00AB0891" w:rsidRDefault="00F3773F" w:rsidP="00F3773F">
      <w:pPr>
        <w:pStyle w:val="ListBullet3"/>
      </w:pPr>
      <w:r w:rsidRPr="00F3773F">
        <w:rPr>
          <w:i/>
        </w:rPr>
        <w:t>Study J2X-MC-PYAH (PYAH 05), (VIR-7831-5007), (also known as BLAZE-4)</w:t>
      </w:r>
    </w:p>
    <w:p w14:paraId="6388F636" w14:textId="6670DD6B" w:rsidR="00AB0891" w:rsidRPr="00AB0891" w:rsidRDefault="00AB0891" w:rsidP="00F3773F">
      <w:pPr>
        <w:pStyle w:val="ListBullet3"/>
        <w:rPr>
          <w:i/>
          <w:iCs/>
        </w:rPr>
      </w:pPr>
      <w:r w:rsidRPr="00AB0891">
        <w:rPr>
          <w:i/>
          <w:iCs/>
        </w:rPr>
        <w:t xml:space="preserve">Paediatric </w:t>
      </w:r>
      <w:r>
        <w:rPr>
          <w:i/>
          <w:iCs/>
        </w:rPr>
        <w:t>S</w:t>
      </w:r>
      <w:r w:rsidRPr="00AB0891">
        <w:rPr>
          <w:i/>
          <w:iCs/>
        </w:rPr>
        <w:t>tudy COMET-PACE</w:t>
      </w:r>
    </w:p>
    <w:p w14:paraId="46B96214" w14:textId="023D98C8" w:rsidR="00F3773F" w:rsidRPr="00F3773F" w:rsidRDefault="00F3773F" w:rsidP="00F3773F">
      <w:pPr>
        <w:ind w:firstLine="720"/>
        <w:rPr>
          <w:i/>
        </w:rPr>
      </w:pPr>
      <w:r w:rsidRPr="00F3773F">
        <w:rPr>
          <w:i/>
        </w:rPr>
        <w:t>Further guidance for sponsors is available on the TGA website.</w:t>
      </w:r>
    </w:p>
    <w:p w14:paraId="31789900" w14:textId="77777777" w:rsidR="008E7846" w:rsidRDefault="00AA0ED0" w:rsidP="008E7846">
      <w:pPr>
        <w:pStyle w:val="Heading3"/>
      </w:pPr>
      <w:bookmarkStart w:id="60" w:name="_Toc247691531"/>
      <w:bookmarkStart w:id="61" w:name="_Toc314842515"/>
      <w:bookmarkStart w:id="62" w:name="_Toc80080862"/>
      <w:bookmarkStart w:id="63" w:name="_Toc196046505"/>
      <w:bookmarkStart w:id="64" w:name="_Toc196046949"/>
      <w:r>
        <w:t>Risk-benefit a</w:t>
      </w:r>
      <w:r w:rsidR="008E7846">
        <w:t>nalysis</w:t>
      </w:r>
      <w:bookmarkEnd w:id="60"/>
      <w:bookmarkEnd w:id="61"/>
      <w:bookmarkEnd w:id="62"/>
    </w:p>
    <w:p w14:paraId="7A925AAE" w14:textId="77777777" w:rsidR="00D23139" w:rsidRDefault="007D53B6" w:rsidP="00D23139">
      <w:pPr>
        <w:pStyle w:val="Heading4"/>
      </w:pPr>
      <w:r>
        <w:t>Delegate’s considerations</w:t>
      </w:r>
    </w:p>
    <w:p w14:paraId="696F47B6" w14:textId="5A0DE955" w:rsidR="003C7735" w:rsidRDefault="003C7735" w:rsidP="003C7735">
      <w:r w:rsidRPr="002162A6">
        <w:t>There remains an urgent need for effective therapeutics and/or preventive vaccines to reduce the burde</w:t>
      </w:r>
      <w:r w:rsidR="007C3E75">
        <w:t>n and spread of disease.</w:t>
      </w:r>
      <w:r w:rsidRPr="002162A6">
        <w:t xml:space="preserve"> Given the ongoing high rates of COVID</w:t>
      </w:r>
      <w:r w:rsidR="00A97516">
        <w:noBreakHyphen/>
      </w:r>
      <w:r w:rsidRPr="002162A6">
        <w:t>19</w:t>
      </w:r>
      <w:r w:rsidR="00A97516">
        <w:noBreakHyphen/>
      </w:r>
      <w:r w:rsidRPr="002162A6">
        <w:t>associated hospitalisations globally, there is an urgent unmet medical need for therapeutics in the outpatient setting.</w:t>
      </w:r>
    </w:p>
    <w:p w14:paraId="6D1EF2E5" w14:textId="591F9328" w:rsidR="003C7735" w:rsidRDefault="003C7735" w:rsidP="003C7735">
      <w:pPr>
        <w:pStyle w:val="Heading5"/>
      </w:pPr>
      <w:r>
        <w:t>Quality</w:t>
      </w:r>
      <w:r w:rsidR="007C3E75">
        <w:t xml:space="preserve"> and nonclinical</w:t>
      </w:r>
    </w:p>
    <w:p w14:paraId="1584C0A6" w14:textId="20ED4C71" w:rsidR="003C7735" w:rsidRPr="00B86CF5" w:rsidRDefault="00DB6E37" w:rsidP="003C7735">
      <w:r w:rsidRPr="00133F6B">
        <w:t xml:space="preserve">All </w:t>
      </w:r>
      <w:r w:rsidR="003C7735" w:rsidRPr="00133F6B">
        <w:t xml:space="preserve">outstanding </w:t>
      </w:r>
      <w:r w:rsidR="007C3E75" w:rsidRPr="00133F6B">
        <w:t xml:space="preserve">quality </w:t>
      </w:r>
      <w:r w:rsidR="003C7735" w:rsidRPr="00133F6B">
        <w:t xml:space="preserve">and </w:t>
      </w:r>
      <w:r w:rsidR="007C3E75" w:rsidRPr="00133F6B">
        <w:t>nonclinical</w:t>
      </w:r>
      <w:r w:rsidR="003C7735" w:rsidRPr="00133F6B">
        <w:t xml:space="preserve"> issues </w:t>
      </w:r>
      <w:r w:rsidRPr="00133F6B">
        <w:t>have been resolved.</w:t>
      </w:r>
    </w:p>
    <w:p w14:paraId="20DF6FE1" w14:textId="4D4882E3" w:rsidR="003C7735" w:rsidRDefault="003C7735" w:rsidP="003C7735">
      <w:pPr>
        <w:pStyle w:val="Heading5"/>
      </w:pPr>
      <w:r>
        <w:t>Efficacy</w:t>
      </w:r>
    </w:p>
    <w:p w14:paraId="36D3E0D5" w14:textId="39E73E18" w:rsidR="003C7735" w:rsidRDefault="003C7735" w:rsidP="003C7735">
      <w:r w:rsidRPr="0049432D">
        <w:t>Sot</w:t>
      </w:r>
      <w:r>
        <w:t>rovimab is a Fc modified human immunoglobulin G subtype 1</w:t>
      </w:r>
      <w:r w:rsidRPr="0049432D">
        <w:t xml:space="preserve"> monoclonal antibody that binds to a highly conserved epitope on the spike (S) protein receptor binding domain of SARS</w:t>
      </w:r>
      <w:r>
        <w:noBreakHyphen/>
      </w:r>
      <w:r w:rsidRPr="0049432D">
        <w:t>CoV-2 with high affinity outside of t</w:t>
      </w:r>
      <w:r>
        <w:t>he receptor-binding motif.</w:t>
      </w:r>
      <w:r w:rsidRPr="004F44B1">
        <w:t xml:space="preserve"> </w:t>
      </w:r>
      <w:r w:rsidRPr="009622A1">
        <w:t>The efficacy programme comprises one piv</w:t>
      </w:r>
      <w:r>
        <w:t>otal trial, the COMET-ICE trial; a Phase II/III</w:t>
      </w:r>
      <w:r w:rsidRPr="004F44B1">
        <w:t xml:space="preserve"> tr</w:t>
      </w:r>
      <w:r>
        <w:t>ial at a single 500 mg IV dose.</w:t>
      </w:r>
    </w:p>
    <w:p w14:paraId="7745FE53" w14:textId="10466B8E" w:rsidR="001D4C27" w:rsidRDefault="001D4C27" w:rsidP="001D4C27">
      <w:pPr>
        <w:pStyle w:val="Heading6"/>
      </w:pPr>
      <w:r>
        <w:t>Pharmacology and pharmacokinetics</w:t>
      </w:r>
    </w:p>
    <w:p w14:paraId="796519E7" w14:textId="5FBF53A1" w:rsidR="003C7735" w:rsidRDefault="003C7735" w:rsidP="003C7735">
      <w:r>
        <w:t>In a small l</w:t>
      </w:r>
      <w:r w:rsidRPr="00A563AF">
        <w:t xml:space="preserve">ead-in phase, </w:t>
      </w:r>
      <w:r w:rsidR="001D4C27">
        <w:t xml:space="preserve">the </w:t>
      </w:r>
      <w:r w:rsidRPr="00A563AF">
        <w:t>mean C</w:t>
      </w:r>
      <w:r w:rsidRPr="003C7735">
        <w:rPr>
          <w:vertAlign w:val="subscript"/>
        </w:rPr>
        <w:t>max</w:t>
      </w:r>
      <w:r w:rsidR="000E5613">
        <w:t xml:space="preserve"> was 219 μg/mL following a 1 hour</w:t>
      </w:r>
      <w:r w:rsidRPr="00A563AF">
        <w:t xml:space="preserve"> IV infusion. Mean serum level on Day 29 is 37.2 μg/mL. The estimated steady-state volume of distribution was 8.1 L indicating limited distribution outside the vascular space. Sotrovimab had a mean clearance of 125 mL/day and a median half-life of 48.8 days. Partial sparse serum PK through study Day 2</w:t>
      </w:r>
      <w:r w:rsidR="000E5613">
        <w:t>9 from 363 participants in the e</w:t>
      </w:r>
      <w:r w:rsidRPr="00A563AF">
        <w:t xml:space="preserve">xpansion phase of </w:t>
      </w:r>
      <w:r w:rsidR="000E5613">
        <w:t xml:space="preserve">the </w:t>
      </w:r>
      <w:r w:rsidRPr="00A563AF">
        <w:t>COMET-ICE</w:t>
      </w:r>
      <w:r w:rsidR="000E5613">
        <w:t xml:space="preserve"> trial</w:t>
      </w:r>
      <w:r w:rsidRPr="00A563AF">
        <w:t xml:space="preserve"> was available to date. The mean serum concentration of sotrovimab on study Day 29 was 25.8 μg/mL.</w:t>
      </w:r>
      <w:r>
        <w:t xml:space="preserve"> </w:t>
      </w:r>
    </w:p>
    <w:p w14:paraId="369F9A8B" w14:textId="272711A6" w:rsidR="003C7735" w:rsidRDefault="003C7735" w:rsidP="003C7735">
      <w:r w:rsidRPr="00095A66">
        <w:t xml:space="preserve">In the </w:t>
      </w:r>
      <w:r w:rsidR="000E5613">
        <w:t>Pop</w:t>
      </w:r>
      <w:r w:rsidRPr="00095A66">
        <w:t xml:space="preserve">PK analysis, </w:t>
      </w:r>
      <w:r>
        <w:t xml:space="preserve">the </w:t>
      </w:r>
      <w:r w:rsidR="000E5613">
        <w:t>PK</w:t>
      </w:r>
      <w:r>
        <w:t xml:space="preserve"> data is well described </w:t>
      </w:r>
      <w:r w:rsidRPr="006C6E4D">
        <w:t>by an IV bolus two-compartment model with first-order elimination.</w:t>
      </w:r>
      <w:r>
        <w:t xml:space="preserve"> Body weight and </w:t>
      </w:r>
      <w:r w:rsidR="000E5613">
        <w:t>body mass index</w:t>
      </w:r>
      <w:r>
        <w:t xml:space="preserve"> are covariates of sotrovimab exposure. </w:t>
      </w:r>
      <w:r w:rsidRPr="00DA19E7">
        <w:t xml:space="preserve">Given the flat dosing, the magnitude of effect of body weight (and </w:t>
      </w:r>
      <w:r w:rsidR="000E5613">
        <w:t>body mass index</w:t>
      </w:r>
      <w:r w:rsidRPr="00DA19E7">
        <w:t xml:space="preserve">) on the sotrovimab, exposure/PK is considered clinically not meaningful. </w:t>
      </w:r>
      <w:r>
        <w:t xml:space="preserve">After adjusting for body weight and </w:t>
      </w:r>
      <w:r w:rsidR="000E5613">
        <w:t>body mass index</w:t>
      </w:r>
      <w:r>
        <w:t>, age, race, ethnicity, disease severity, comorbidities, renal impairment, hepatic markers and ADA are not covariates of sotrovimab exposure.</w:t>
      </w:r>
    </w:p>
    <w:p w14:paraId="23F8A86E" w14:textId="39109000" w:rsidR="003C7735" w:rsidRDefault="000E5613" w:rsidP="003C7735">
      <w:r>
        <w:t>The s</w:t>
      </w:r>
      <w:r w:rsidR="003C7735" w:rsidRPr="00AE7A1F">
        <w:t xml:space="preserve">ponsor was asked to justify the use of </w:t>
      </w:r>
      <w:r>
        <w:t>first generation</w:t>
      </w:r>
      <w:r w:rsidR="003C7735" w:rsidRPr="00AE7A1F">
        <w:t xml:space="preserve"> data in support of this application, given </w:t>
      </w:r>
      <w:r>
        <w:t>second generation</w:t>
      </w:r>
      <w:r w:rsidR="003C7735" w:rsidRPr="00AE7A1F">
        <w:t xml:space="preserve"> is inten</w:t>
      </w:r>
      <w:r>
        <w:t>ded for commercial supply. The s</w:t>
      </w:r>
      <w:r w:rsidR="003C7735" w:rsidRPr="00AE7A1F">
        <w:t xml:space="preserve">ponsor stated that the </w:t>
      </w:r>
      <w:r>
        <w:t>first and second generation</w:t>
      </w:r>
      <w:r w:rsidR="003C7735" w:rsidRPr="00AE7A1F">
        <w:t xml:space="preserve"> versions of sotrovimab are expected to be clinically equivalent based on extensive </w:t>
      </w:r>
      <w:r w:rsidR="003C7735" w:rsidRPr="000E5613">
        <w:rPr>
          <w:i/>
        </w:rPr>
        <w:t>in vitro</w:t>
      </w:r>
      <w:r w:rsidR="003C7735" w:rsidRPr="00AE7A1F">
        <w:t xml:space="preserve"> comparability studies and emergent clinical data. A high degree of analytical and bioanalytical comparability was said to be demonstrated between </w:t>
      </w:r>
      <w:r w:rsidR="00BC676B">
        <w:t>first generation</w:t>
      </w:r>
      <w:r w:rsidR="003C7735" w:rsidRPr="00AE7A1F">
        <w:t xml:space="preserve"> and </w:t>
      </w:r>
      <w:r w:rsidR="00BC676B">
        <w:t>second generation</w:t>
      </w:r>
      <w:r w:rsidR="003C7735" w:rsidRPr="00AE7A1F">
        <w:t xml:space="preserve"> material. Emergent data on </w:t>
      </w:r>
      <w:r w:rsidR="00BC676B">
        <w:t>the second generation</w:t>
      </w:r>
      <w:r w:rsidR="003C7735" w:rsidRPr="00AE7A1F">
        <w:t xml:space="preserve"> are available from four studies</w:t>
      </w:r>
      <w:r w:rsidR="00F76825">
        <w:t xml:space="preserve"> (</w:t>
      </w:r>
      <w:r w:rsidR="00F76825" w:rsidRPr="00F76825">
        <w:t>BLAZE-4</w:t>
      </w:r>
      <w:r w:rsidR="00F76825">
        <w:t xml:space="preserve"> trial</w:t>
      </w:r>
      <w:r w:rsidR="00F76825" w:rsidRPr="00F76825">
        <w:t>, COMET-PEAK</w:t>
      </w:r>
      <w:r w:rsidR="00F76825">
        <w:t xml:space="preserve"> trial</w:t>
      </w:r>
      <w:r w:rsidR="00F76825" w:rsidRPr="00F76825">
        <w:t>, COMET-TAIL</w:t>
      </w:r>
      <w:r w:rsidR="00F76825">
        <w:t xml:space="preserve"> trial and</w:t>
      </w:r>
      <w:r w:rsidR="00F76825" w:rsidRPr="00F76825">
        <w:t xml:space="preserve"> GSK Study No. 217653)</w:t>
      </w:r>
      <w:r w:rsidR="003C7735" w:rsidRPr="00F76825">
        <w:t>.</w:t>
      </w:r>
      <w:r w:rsidR="00F76825" w:rsidRPr="00F76825">
        <w:t xml:space="preserve"> [Information redacted]. </w:t>
      </w:r>
      <w:r w:rsidRPr="00F76825">
        <w:t>T</w:t>
      </w:r>
      <w:r>
        <w:t>he s</w:t>
      </w:r>
      <w:r w:rsidR="003C7735" w:rsidRPr="00AE7A1F">
        <w:t>ponsor stated that the marginally higher peak (</w:t>
      </w:r>
      <w:r>
        <w:t>end of infusion</w:t>
      </w:r>
      <w:r w:rsidR="003C7735" w:rsidRPr="00AE7A1F">
        <w:t xml:space="preserve">) concentration and higher Day 29 </w:t>
      </w:r>
      <w:r w:rsidR="00BC676B">
        <w:t>second generation</w:t>
      </w:r>
      <w:r w:rsidR="003C7735" w:rsidRPr="00AE7A1F">
        <w:t xml:space="preserve"> concentrations provide favourable clinical exposure comparability with </w:t>
      </w:r>
      <w:r w:rsidR="00BC676B">
        <w:t>first generation</w:t>
      </w:r>
      <w:r w:rsidR="003C7735" w:rsidRPr="00AE7A1F">
        <w:t xml:space="preserve">, with no dosing adjustment required for </w:t>
      </w:r>
      <w:r w:rsidR="00BC676B">
        <w:t>the second generation</w:t>
      </w:r>
      <w:r w:rsidR="003C7735" w:rsidRPr="00AE7A1F">
        <w:t xml:space="preserve">. No serious safety concerns have been identified in ongoing studies with the </w:t>
      </w:r>
      <w:r w:rsidR="00BC676B">
        <w:t>second generation</w:t>
      </w:r>
      <w:r w:rsidR="003C7735" w:rsidRPr="00AE7A1F">
        <w:t xml:space="preserve"> formulation. From the totality of the preclinical and available clinical data, the sponsor considers that </w:t>
      </w:r>
      <w:r w:rsidR="00BC676B">
        <w:t>first and second generation</w:t>
      </w:r>
      <w:r w:rsidR="003C7735" w:rsidRPr="00AE7A1F">
        <w:t xml:space="preserve"> materials are clinically comparable.</w:t>
      </w:r>
      <w:r w:rsidR="003C7735">
        <w:t xml:space="preserve"> This is</w:t>
      </w:r>
      <w:r w:rsidR="00BC676B">
        <w:t xml:space="preserve"> considered acceptable. The non</w:t>
      </w:r>
      <w:r w:rsidR="003C7735">
        <w:t>clinical data on this has been ev</w:t>
      </w:r>
      <w:r w:rsidR="00BC676B">
        <w:t>aluated in the non</w:t>
      </w:r>
      <w:r>
        <w:t>clinical report.</w:t>
      </w:r>
    </w:p>
    <w:p w14:paraId="156246F3" w14:textId="122CE20F" w:rsidR="003C7735" w:rsidRDefault="003C7735" w:rsidP="003C7735">
      <w:r>
        <w:t xml:space="preserve">In response to justify the </w:t>
      </w:r>
      <w:r w:rsidRPr="00355612">
        <w:t xml:space="preserve">recommendation </w:t>
      </w:r>
      <w:r>
        <w:t xml:space="preserve">in the PI </w:t>
      </w:r>
      <w:r w:rsidRPr="00355612">
        <w:t>to infuse over 30 minutes, given this was perfo</w:t>
      </w:r>
      <w:r>
        <w:t xml:space="preserve">rmed over one hour in </w:t>
      </w:r>
      <w:r w:rsidR="000E5613">
        <w:t xml:space="preserve">the </w:t>
      </w:r>
      <w:r>
        <w:t xml:space="preserve">COMET-ICE </w:t>
      </w:r>
      <w:r w:rsidR="000E5613">
        <w:t xml:space="preserve">trial </w:t>
      </w:r>
      <w:r>
        <w:t xml:space="preserve">the sponsor stated that </w:t>
      </w:r>
      <w:r w:rsidRPr="00355612">
        <w:t xml:space="preserve">the infusion time of sotrovimab was 60 minutes in </w:t>
      </w:r>
      <w:r w:rsidR="000E5613">
        <w:t xml:space="preserve">the </w:t>
      </w:r>
      <w:r w:rsidRPr="00355612">
        <w:t xml:space="preserve">COMET-ICE </w:t>
      </w:r>
      <w:r w:rsidR="000E5613">
        <w:t xml:space="preserve">trial </w:t>
      </w:r>
      <w:r w:rsidRPr="00355612">
        <w:t>and</w:t>
      </w:r>
      <w:r w:rsidR="000E5613">
        <w:t xml:space="preserve"> 30 minutes in the BLAZE4</w:t>
      </w:r>
      <w:r w:rsidR="00654B80">
        <w:t> </w:t>
      </w:r>
      <w:r w:rsidR="000E5613">
        <w:t>trial</w:t>
      </w:r>
      <w:r w:rsidRPr="00355612">
        <w:t>.</w:t>
      </w:r>
      <w:r>
        <w:t xml:space="preserve"> The recommended infusion time of 30 minutes </w:t>
      </w:r>
      <w:r w:rsidRPr="009F0656">
        <w:t xml:space="preserve">is supported by safety data from the BLAZE-4 </w:t>
      </w:r>
      <w:r w:rsidR="000E5613">
        <w:t>trial</w:t>
      </w:r>
      <w:r w:rsidRPr="009F0656">
        <w:t xml:space="preserve">, in which no </w:t>
      </w:r>
      <w:r w:rsidR="000E5613">
        <w:t>serious adverse events</w:t>
      </w:r>
      <w:r w:rsidRPr="009F0656">
        <w:t xml:space="preserve"> or i</w:t>
      </w:r>
      <w:r w:rsidR="000E5613">
        <w:t>nfusion-related reactions</w:t>
      </w:r>
      <w:r w:rsidRPr="009F0656">
        <w:t xml:space="preserve"> were reported after a 30 minute infusion duration. The population differences between these studies would not be expected to affect rates of </w:t>
      </w:r>
      <w:r w:rsidR="000E5613">
        <w:t>infusion-related reactions</w:t>
      </w:r>
      <w:r w:rsidRPr="009F0656">
        <w:t>.</w:t>
      </w:r>
    </w:p>
    <w:p w14:paraId="76489A96" w14:textId="6017F285" w:rsidR="003C7735" w:rsidRDefault="008301A8" w:rsidP="003C7735">
      <w:r>
        <w:t>The s</w:t>
      </w:r>
      <w:r w:rsidR="003C7735">
        <w:t>ponsor proposes sotrovimab dosing in adolescents aged 12 years and older and weighing at least 40 kg; however, there are no clinical data available in subjects aged under 18 years.</w:t>
      </w:r>
      <w:r w:rsidR="003C7735" w:rsidRPr="00644334">
        <w:t xml:space="preserve"> Efficacy in adolescents aged 12 years and older weighing at least 40 kg has been extrapolated from adults, using allometric scaling to account for effects of body weight on exposure.</w:t>
      </w:r>
      <w:r w:rsidR="003C7735">
        <w:t xml:space="preserve"> This proposal is based on an allometric scaling approach implemented in the model which accounts for effects of body weight changes associated with age on </w:t>
      </w:r>
      <w:r>
        <w:t>clearance and volume of distribution</w:t>
      </w:r>
      <w:r w:rsidR="003C7735">
        <w:t xml:space="preserve">, and relies on the conclusion of the PopPK analysis that no dosage adjustment is required across </w:t>
      </w:r>
      <w:r w:rsidR="00BC676B">
        <w:t xml:space="preserve">the </w:t>
      </w:r>
      <w:r w:rsidR="003C7735">
        <w:t xml:space="preserve">subject weight range </w:t>
      </w:r>
      <w:r w:rsidR="00BC676B">
        <w:t xml:space="preserve">of </w:t>
      </w:r>
      <w:r w:rsidR="003C7735">
        <w:t>40</w:t>
      </w:r>
      <w:r w:rsidR="00BC676B">
        <w:t> kg</w:t>
      </w:r>
      <w:r w:rsidR="003C7735">
        <w:t xml:space="preserve"> to 160 kg. </w:t>
      </w:r>
      <w:r w:rsidR="00BC676B">
        <w:t>The s</w:t>
      </w:r>
      <w:r w:rsidR="003C7735" w:rsidRPr="00C11758">
        <w:t>ponsor proposes dosing adolesce</w:t>
      </w:r>
      <w:r w:rsidR="00BC676B">
        <w:t>nts based on conventional, long</w:t>
      </w:r>
      <w:r w:rsidR="00BC676B">
        <w:noBreakHyphen/>
      </w:r>
      <w:r w:rsidR="003C7735" w:rsidRPr="00C11758">
        <w:t>established, allometric assumptions, with scaling powers for volume and clearance of 1.0 and 0.75, respectively.</w:t>
      </w:r>
    </w:p>
    <w:p w14:paraId="5A5F632D" w14:textId="28FE2EA3" w:rsidR="003C7735" w:rsidRDefault="003C7735" w:rsidP="003C7735">
      <w:r w:rsidRPr="007F6902">
        <w:t>In response to a request to clarify the clinical relevance of the effe</w:t>
      </w:r>
      <w:r w:rsidR="008301A8">
        <w:t>cts of weight on exposure, the s</w:t>
      </w:r>
      <w:r w:rsidRPr="007F6902">
        <w:t xml:space="preserve">ponsor stated that the clinical significance of weight as a determinant of exposure has been mitigated by choice of a necessarily conservative dose to preserve pharmacological activity against future variants of concern. A margin for reduced potency of up to ten-fold was chosen; much greater than the exposure range expected for body weights noted in </w:t>
      </w:r>
      <w:r w:rsidR="008301A8">
        <w:t>the</w:t>
      </w:r>
      <w:r w:rsidRPr="007F6902">
        <w:t xml:space="preserve"> COMET-ICE</w:t>
      </w:r>
      <w:r w:rsidR="008301A8">
        <w:t xml:space="preserve"> trial. The s</w:t>
      </w:r>
      <w:r w:rsidRPr="007F6902">
        <w:t xml:space="preserve">ponsor noted that subgroup analyses of the efficacy results for </w:t>
      </w:r>
      <w:r w:rsidR="00BC676B">
        <w:t xml:space="preserve">the </w:t>
      </w:r>
      <w:r w:rsidRPr="007F6902">
        <w:t xml:space="preserve">COMET-ICE </w:t>
      </w:r>
      <w:r w:rsidR="00BC676B">
        <w:t xml:space="preserve">trial </w:t>
      </w:r>
      <w:r w:rsidRPr="007F6902">
        <w:t xml:space="preserve">showed disparate results by </w:t>
      </w:r>
      <w:r w:rsidR="00BC676B">
        <w:t>body mass index</w:t>
      </w:r>
      <w:r w:rsidRPr="007F6902">
        <w:t xml:space="preserve"> and by age (event though the obese subjects had a lower median age) and concluded that weight in itself cannot be a determinant of exposure response.</w:t>
      </w:r>
    </w:p>
    <w:p w14:paraId="186CAAC3" w14:textId="685B8A63" w:rsidR="003C7735" w:rsidRDefault="003C7735" w:rsidP="003C7735">
      <w:r w:rsidRPr="005D1E0E">
        <w:t>To this end, the</w:t>
      </w:r>
      <w:r>
        <w:t xml:space="preserve"> expected peak (C</w:t>
      </w:r>
      <w:r w:rsidRPr="00BC676B">
        <w:rPr>
          <w:vertAlign w:val="subscript"/>
        </w:rPr>
        <w:t>max</w:t>
      </w:r>
      <w:r w:rsidR="00BC676B">
        <w:t>) and average (AUC</w:t>
      </w:r>
      <w:r w:rsidR="00BC676B" w:rsidRPr="00BC676B">
        <w:rPr>
          <w:vertAlign w:val="subscript"/>
        </w:rPr>
        <w:t>0-28d</w:t>
      </w:r>
      <w:r>
        <w:t>) exposures in 40 kg adolescents are anticipated to be (48</w:t>
      </w:r>
      <w:r w:rsidR="00DB6E37">
        <w:t xml:space="preserve"> out of </w:t>
      </w:r>
      <w:r>
        <w:t>40)</w:t>
      </w:r>
      <w:r w:rsidR="00BC676B">
        <w:t xml:space="preserve"> </w:t>
      </w:r>
      <w:r>
        <w:t>1.0 and (48</w:t>
      </w:r>
      <w:r w:rsidR="00DB6E37">
        <w:t xml:space="preserve"> out of </w:t>
      </w:r>
      <w:r>
        <w:t>40)</w:t>
      </w:r>
      <w:r w:rsidR="00BC676B">
        <w:t xml:space="preserve"> </w:t>
      </w:r>
      <w:r>
        <w:t xml:space="preserve">0.75 times higher than </w:t>
      </w:r>
      <w:r w:rsidR="00BC676B">
        <w:t>the 48 kg reference, that is</w:t>
      </w:r>
      <w:r>
        <w:t>, 120% and 115%, respectively and would be expected to afford approximately 46</w:t>
      </w:r>
      <w:r w:rsidR="00DB6E37">
        <w:t xml:space="preserve"> </w:t>
      </w:r>
      <w:r>
        <w:t>fold C</w:t>
      </w:r>
      <w:r w:rsidRPr="00BC676B">
        <w:rPr>
          <w:vertAlign w:val="subscript"/>
        </w:rPr>
        <w:t>max</w:t>
      </w:r>
      <w:r w:rsidR="00BC676B">
        <w:t xml:space="preserve"> and 37</w:t>
      </w:r>
      <w:r w:rsidR="00DB6E37">
        <w:t xml:space="preserve"> </w:t>
      </w:r>
      <w:r w:rsidR="00BC676B">
        <w:t>fold AUC</w:t>
      </w:r>
      <w:r w:rsidR="00BC676B" w:rsidRPr="00BC676B">
        <w:rPr>
          <w:vertAlign w:val="subscript"/>
        </w:rPr>
        <w:t>0-inf</w:t>
      </w:r>
      <w:r w:rsidRPr="00BC676B">
        <w:rPr>
          <w:vertAlign w:val="subscript"/>
        </w:rPr>
        <w:t xml:space="preserve"> </w:t>
      </w:r>
      <w:r>
        <w:t>cover co</w:t>
      </w:r>
      <w:r w:rsidR="00BC676B">
        <w:t>mpared with the preclinical 500 </w:t>
      </w:r>
      <w:r>
        <w:t>mg/kg no</w:t>
      </w:r>
      <w:r w:rsidR="00DB6E37">
        <w:t xml:space="preserve"> </w:t>
      </w:r>
      <w:r>
        <w:t>observed-adverse-eff</w:t>
      </w:r>
      <w:r w:rsidR="00BC676B">
        <w:t xml:space="preserve">ect level. </w:t>
      </w:r>
      <w:r>
        <w:t>Such small differences in peak and average exposure are within subject</w:t>
      </w:r>
      <w:r w:rsidR="00C047FD">
        <w:t>-to</w:t>
      </w:r>
      <w:r>
        <w:t>-subject variation, justifying the lower weight limit for the modest (22%) proportion</w:t>
      </w:r>
      <w:r w:rsidR="00BC676B">
        <w:t xml:space="preserve"> of adolescents in the range 40 kg to </w:t>
      </w:r>
      <w:r>
        <w:t>48 kg (based on simulation from NHANES data). Since adolescents are, on average, lighter than adults, sotrovimab exposure will be marginally above adults, hence the risk of under</w:t>
      </w:r>
      <w:r w:rsidR="00DB6E37">
        <w:t xml:space="preserve"> </w:t>
      </w:r>
      <w:r>
        <w:t xml:space="preserve">dosing adolescents with the same 500 mg IV dose is small. Furthermore, human exposure cover is anticipated from the bodyweight range of adults treated with sotrovimab in </w:t>
      </w:r>
      <w:r w:rsidR="00BC676B">
        <w:t xml:space="preserve">the </w:t>
      </w:r>
      <w:r>
        <w:t>COMET-ICE</w:t>
      </w:r>
      <w:r w:rsidR="00BC676B">
        <w:t xml:space="preserve"> trial</w:t>
      </w:r>
      <w:r>
        <w:t xml:space="preserve"> (</w:t>
      </w:r>
      <w:r w:rsidR="00BC676B">
        <w:t>range: </w:t>
      </w:r>
      <w:r>
        <w:t>49</w:t>
      </w:r>
      <w:r w:rsidR="00BC676B">
        <w:t xml:space="preserve"> to </w:t>
      </w:r>
      <w:r>
        <w:t xml:space="preserve">183.0 kg). The sponsor therefore proposes the same dosing recommendation for adolescents (aged 12 to less than 18 years and weighing 40 kg or more) as adults. This is considered </w:t>
      </w:r>
      <w:r w:rsidRPr="00F54593">
        <w:t>adequate</w:t>
      </w:r>
      <w:r>
        <w:t xml:space="preserve"> and acceptable</w:t>
      </w:r>
      <w:r w:rsidRPr="00F54593">
        <w:t xml:space="preserve"> in the context of provisional registration. The planned paediatric study will provide clinical information on PKs and safety.</w:t>
      </w:r>
    </w:p>
    <w:p w14:paraId="1BDFC685" w14:textId="569AE5C8" w:rsidR="003C7735" w:rsidRDefault="003C7735" w:rsidP="003C7735">
      <w:r>
        <w:t xml:space="preserve">A single sotrovimab dose of 500 mg was selected for the study based on </w:t>
      </w:r>
      <w:r w:rsidRPr="00BC676B">
        <w:rPr>
          <w:i/>
        </w:rPr>
        <w:t>in vitro</w:t>
      </w:r>
      <w:r w:rsidR="00BC676B">
        <w:t xml:space="preserve"> neutralis</w:t>
      </w:r>
      <w:r>
        <w:t xml:space="preserve">ation data, </w:t>
      </w:r>
      <w:r w:rsidRPr="00BC676B">
        <w:rPr>
          <w:i/>
        </w:rPr>
        <w:t>in vitro</w:t>
      </w:r>
      <w:r>
        <w:t xml:space="preserve"> resistance data, expected human PK extrapolated from a study in cynomolgus monkeys, and the results of the </w:t>
      </w:r>
      <w:r w:rsidR="00BC676B">
        <w:t>GLP</w:t>
      </w:r>
      <w:r w:rsidR="00DB6E37">
        <w:t xml:space="preserve"> </w:t>
      </w:r>
      <w:r w:rsidR="00BC676B">
        <w:t>standard</w:t>
      </w:r>
      <w:r>
        <w:t xml:space="preserve"> monkey toxicology study.</w:t>
      </w:r>
      <w:r w:rsidR="00BC676B">
        <w:t xml:space="preserve"> This is considered acceptable.</w:t>
      </w:r>
    </w:p>
    <w:p w14:paraId="72CFA153" w14:textId="0F6E0B4B" w:rsidR="003C7735" w:rsidRDefault="00BC676B" w:rsidP="003C7735">
      <w:r>
        <w:t xml:space="preserve">The </w:t>
      </w:r>
      <w:r w:rsidR="003C7735" w:rsidRPr="00C3792B">
        <w:t xml:space="preserve">COMET-ICE </w:t>
      </w:r>
      <w:r>
        <w:t xml:space="preserve">trial </w:t>
      </w:r>
      <w:r w:rsidR="003C7735" w:rsidRPr="00C3792B">
        <w:t>evaluated a single 500 mg IV dose of sotrovimab; therefore,</w:t>
      </w:r>
      <w:r>
        <w:t xml:space="preserve"> no dose</w:t>
      </w:r>
      <w:r w:rsidR="00DB6E37">
        <w:t xml:space="preserve"> </w:t>
      </w:r>
      <w:r w:rsidR="003C7735" w:rsidRPr="00C3792B">
        <w:t>effect relationship has been evaluated.</w:t>
      </w:r>
    </w:p>
    <w:p w14:paraId="2166A94C" w14:textId="42EC5361" w:rsidR="0098393B" w:rsidRDefault="0098393B" w:rsidP="0098393B">
      <w:pPr>
        <w:pStyle w:val="Heading6"/>
      </w:pPr>
      <w:r>
        <w:t>Clinical efficacy</w:t>
      </w:r>
    </w:p>
    <w:p w14:paraId="226CD228" w14:textId="3EFCD5E6" w:rsidR="003C7735" w:rsidRDefault="003C7735" w:rsidP="003C7735">
      <w:r>
        <w:t>Clinical efficacy of sotrovimab was demonstrated based complete</w:t>
      </w:r>
      <w:r w:rsidR="00BC676B">
        <w:t>ly from a single pivotal study, Study 214367, also known as the COMET-ICE trial</w:t>
      </w:r>
      <w:r>
        <w:t xml:space="preserve">. </w:t>
      </w:r>
      <w:r w:rsidRPr="0043588C">
        <w:t xml:space="preserve">Study design, methods, conduct and analysis were satisfactory, bearing in mind that the study is ongoing and the final </w:t>
      </w:r>
      <w:r w:rsidR="00BC676B">
        <w:t>clinical study report</w:t>
      </w:r>
      <w:r w:rsidRPr="0043588C">
        <w:t xml:space="preserve"> is not yet available. </w:t>
      </w:r>
      <w:r w:rsidRPr="00DD7E7E">
        <w:t xml:space="preserve">The study design was in line with FDA </w:t>
      </w:r>
      <w:r>
        <w:t>guidance.</w:t>
      </w:r>
      <w:r w:rsidR="00654B80" w:rsidRPr="00CF1D4F">
        <w:rPr>
          <w:vertAlign w:val="superscript"/>
        </w:rPr>
        <w:fldChar w:fldCharType="begin"/>
      </w:r>
      <w:r w:rsidR="00654B80" w:rsidRPr="00CF1D4F">
        <w:rPr>
          <w:vertAlign w:val="superscript"/>
        </w:rPr>
        <w:instrText xml:space="preserve"> NOTEREF _Ref80057053 \h </w:instrText>
      </w:r>
      <w:r w:rsidR="00654B80">
        <w:rPr>
          <w:vertAlign w:val="superscript"/>
        </w:rPr>
        <w:instrText xml:space="preserve"> \* MERGEFORMAT </w:instrText>
      </w:r>
      <w:r w:rsidR="00654B80" w:rsidRPr="00CF1D4F">
        <w:rPr>
          <w:vertAlign w:val="superscript"/>
        </w:rPr>
      </w:r>
      <w:r w:rsidR="00654B80" w:rsidRPr="00CF1D4F">
        <w:rPr>
          <w:vertAlign w:val="superscript"/>
        </w:rPr>
        <w:fldChar w:fldCharType="separate"/>
      </w:r>
      <w:r w:rsidR="00F601F5">
        <w:rPr>
          <w:vertAlign w:val="superscript"/>
        </w:rPr>
        <w:t>23</w:t>
      </w:r>
      <w:r w:rsidR="00654B80" w:rsidRPr="00CF1D4F">
        <w:rPr>
          <w:vertAlign w:val="superscript"/>
        </w:rPr>
        <w:fldChar w:fldCharType="end"/>
      </w:r>
      <w:r>
        <w:t xml:space="preserve"> </w:t>
      </w:r>
      <w:r w:rsidRPr="008545B1">
        <w:t>The majority of subjects were recruited from sites in the USA, with median age of 53 years (11% aged &gt; 70 years) and comprising 87% White race.</w:t>
      </w:r>
      <w:r>
        <w:t xml:space="preserve"> </w:t>
      </w:r>
      <w:r w:rsidRPr="008545B1">
        <w:t>Most subjects (63%) were considered high risk on account of obesity, the next</w:t>
      </w:r>
      <w:r w:rsidR="00BC676B">
        <w:t xml:space="preserve"> most frequent reason was age ≥ 55 </w:t>
      </w:r>
      <w:r w:rsidRPr="008545B1">
        <w:t>years. 43% of subjects had 2 or more risk factors for COVID-19 progression</w:t>
      </w:r>
      <w:r w:rsidRPr="006F4AE6">
        <w:t xml:space="preserve"> </w:t>
      </w:r>
      <w:r>
        <w:t xml:space="preserve">Generally, the efficacy results are not expected to be different in the Australian population (including the Indigenous Australians); which has similar demographics and </w:t>
      </w:r>
      <w:r w:rsidRPr="001928FB">
        <w:t>due to the high prevalence of comorbid risk factors for progression of COVID-19 observed here.</w:t>
      </w:r>
    </w:p>
    <w:p w14:paraId="43C71CAD" w14:textId="5EE91F95" w:rsidR="003C7735" w:rsidRDefault="003C7735" w:rsidP="003C7735">
      <w:r>
        <w:t xml:space="preserve">There were concerns if </w:t>
      </w:r>
      <w:r w:rsidRPr="00C74FCD">
        <w:t>primary endpoint that required only hospitalisation &gt;</w:t>
      </w:r>
      <w:r w:rsidR="00F14A0B">
        <w:t> </w:t>
      </w:r>
      <w:r w:rsidRPr="00C74FCD">
        <w:t xml:space="preserve">24 hours or death was </w:t>
      </w:r>
      <w:r>
        <w:t xml:space="preserve">suboptimal </w:t>
      </w:r>
      <w:r w:rsidRPr="00C74FCD">
        <w:t xml:space="preserve">because of different thresholds for hospital admission and discharge </w:t>
      </w:r>
      <w:r>
        <w:t xml:space="preserve">in different healthcare systems. </w:t>
      </w:r>
      <w:r w:rsidR="00F14A0B">
        <w:t>The s</w:t>
      </w:r>
      <w:r w:rsidRPr="00443316">
        <w:t>ponsor confirmed t</w:t>
      </w:r>
      <w:r w:rsidR="00F14A0B">
        <w:t>hat patients who were hospitalis</w:t>
      </w:r>
      <w:r w:rsidRPr="00443316">
        <w:t>ed for; observation only, elective surgeries and procedures, or any ot</w:t>
      </w:r>
      <w:r w:rsidR="00F14A0B">
        <w:t>her pre</w:t>
      </w:r>
      <w:r w:rsidR="00F14A0B">
        <w:noBreakHyphen/>
      </w:r>
      <w:r w:rsidRPr="00443316">
        <w:t xml:space="preserve">planned procedures to treat underlying co-morbidities did not fulfil the criteria of acute management of illness which is required for the primary endpoint. </w:t>
      </w:r>
      <w:r>
        <w:t>In addition, the c</w:t>
      </w:r>
      <w:r w:rsidRPr="00443316">
        <w:t>ountries and/or sit</w:t>
      </w:r>
      <w:r w:rsidR="00F14A0B">
        <w:t>es where patients are hospitalis</w:t>
      </w:r>
      <w:r w:rsidRPr="00443316">
        <w:t>ed upon diagnosis of COVID-19 regardless of severity for observant management or for infection control purp</w:t>
      </w:r>
      <w:r w:rsidR="00F14A0B">
        <w:t>oses were excluded, to minimali</w:t>
      </w:r>
      <w:r w:rsidR="00654B80">
        <w:t>s</w:t>
      </w:r>
      <w:r w:rsidR="00F14A0B" w:rsidRPr="00443316">
        <w:t>e</w:t>
      </w:r>
      <w:r w:rsidRPr="00443316">
        <w:t xml:space="preserve"> hospitalisations for reasons other than acute management. This primary endpoint was deemed optimal as it captured the totality of COVID-19 associated morbidity, while requiring illness of enough severity to merit 24 hours or more of acute hospital care</w:t>
      </w:r>
      <w:r w:rsidR="00F14A0B">
        <w:t>.</w:t>
      </w:r>
    </w:p>
    <w:p w14:paraId="48A3F203" w14:textId="3A953DF6" w:rsidR="003C7735" w:rsidRDefault="003C7735" w:rsidP="003C7735">
      <w:r>
        <w:t xml:space="preserve">The COMET-ICE </w:t>
      </w:r>
      <w:r w:rsidR="00F14A0B">
        <w:t>trial</w:t>
      </w:r>
      <w:r>
        <w:t xml:space="preserve"> met its primary objective and stopped recruitment due to profound efficacy by the </w:t>
      </w:r>
      <w:r w:rsidR="00F14A0B">
        <w:t>independent data monitoring committee</w:t>
      </w:r>
      <w:r>
        <w:t xml:space="preserve"> at a pre-planned interim analysis. Treatment with a single 500 mg dose of sotrovimab resulted in a statistically significant reduction in the proportion of study participants with COVID-19 progressing to &gt;</w:t>
      </w:r>
      <w:r w:rsidR="00F14A0B">
        <w:t> </w:t>
      </w:r>
      <w:r>
        <w:t xml:space="preserve">24 hours of hospitalisation for acute management of any illness or death from any cause through Day 29 when compared with placebo in both the primary </w:t>
      </w:r>
      <w:r w:rsidR="00F14A0B">
        <w:t>intent to treat (interim analysis)</w:t>
      </w:r>
      <w:r>
        <w:t xml:space="preserve"> population and the </w:t>
      </w:r>
      <w:r w:rsidR="00F14A0B">
        <w:t>intent to treat (Day 29)</w:t>
      </w:r>
      <w:r>
        <w:t xml:space="preserve"> population. The adjusted relative risk reduction was 85% (p</w:t>
      </w:r>
      <w:r w:rsidR="00F14A0B">
        <w:t> </w:t>
      </w:r>
      <w:r>
        <w:t>=</w:t>
      </w:r>
      <w:r w:rsidR="00F14A0B">
        <w:t> </w:t>
      </w:r>
      <w:r>
        <w:t xml:space="preserve">0.002) for the </w:t>
      </w:r>
      <w:r w:rsidR="00F14A0B">
        <w:t>intent to treat (interim analysis</w:t>
      </w:r>
      <w:r>
        <w:t>) and 79% (</w:t>
      </w:r>
      <w:r w:rsidRPr="003C313F">
        <w:t>p</w:t>
      </w:r>
      <w:r w:rsidR="00F14A0B">
        <w:t> </w:t>
      </w:r>
      <w:r w:rsidRPr="003C313F">
        <w:t>&lt;</w:t>
      </w:r>
      <w:r w:rsidR="00F14A0B">
        <w:t> </w:t>
      </w:r>
      <w:r w:rsidRPr="003C313F">
        <w:t>0.001)</w:t>
      </w:r>
      <w:r>
        <w:t xml:space="preserve"> for the </w:t>
      </w:r>
      <w:r w:rsidR="00F14A0B">
        <w:t>intent to treat</w:t>
      </w:r>
      <w:r>
        <w:t xml:space="preserve"> (Day 29)</w:t>
      </w:r>
      <w:r w:rsidR="00F14A0B">
        <w:t xml:space="preserve"> populations</w:t>
      </w:r>
      <w:r>
        <w:t xml:space="preserve">. Risk reduction is consistent in magnitude between </w:t>
      </w:r>
      <w:r w:rsidR="00F14A0B">
        <w:t>intent to treat (interim analysis</w:t>
      </w:r>
      <w:r>
        <w:t xml:space="preserve">) and </w:t>
      </w:r>
      <w:r w:rsidR="00F14A0B">
        <w:t>intent to treat</w:t>
      </w:r>
      <w:r>
        <w:t xml:space="preserve"> (Day 29) populations.</w:t>
      </w:r>
      <w:r w:rsidRPr="000F3224">
        <w:t xml:space="preserve"> The magnitude of the difference between sotrovimab and placebo is so large as to be clinically meaningful regardless of the specificity of the measures</w:t>
      </w:r>
      <w:r w:rsidR="00F14A0B">
        <w:t>.</w:t>
      </w:r>
    </w:p>
    <w:p w14:paraId="54883CC6" w14:textId="086928EF" w:rsidR="003C7735" w:rsidRDefault="003C7735" w:rsidP="003C7735">
      <w:r w:rsidRPr="00C32D0D">
        <w:t>The secondary endpoints supported</w:t>
      </w:r>
      <w:r>
        <w:t xml:space="preserve"> the primary endpoint and showed statistically significant difference between treatment arms </w:t>
      </w:r>
      <w:r w:rsidRPr="00190519">
        <w:t>and provide additional evidence of clinical efficacy.</w:t>
      </w:r>
      <w:r>
        <w:t xml:space="preserve"> Most importantly, sotrovimab resulted in significant reduction in progression to severe and/or critical respiratory COVID-19 and</w:t>
      </w:r>
      <w:r w:rsidRPr="00B41997">
        <w:t xml:space="preserve"> reductions in need for supplementary o</w:t>
      </w:r>
      <w:r>
        <w:t>xygen delivered by any means. S</w:t>
      </w:r>
      <w:r w:rsidRPr="00B41997">
        <w:t xml:space="preserve">otrovimab </w:t>
      </w:r>
      <w:r>
        <w:t xml:space="preserve">also </w:t>
      </w:r>
      <w:r w:rsidRPr="00B41997">
        <w:t>resulted in significant reduction in ne</w:t>
      </w:r>
      <w:r w:rsidR="00F14A0B">
        <w:t>ed for hospital emergency room</w:t>
      </w:r>
      <w:r w:rsidRPr="00B41997">
        <w:t xml:space="preserve"> visits for management of illness or hospitalisation for acute management of illness (any duration) or death (any cause)</w:t>
      </w:r>
      <w:r w:rsidR="00F14A0B">
        <w:t>.</w:t>
      </w:r>
    </w:p>
    <w:p w14:paraId="0990500D" w14:textId="2E3A8EE6" w:rsidR="003C7735" w:rsidRDefault="003C7735" w:rsidP="003C7735">
      <w:r w:rsidRPr="007139FB">
        <w:t>Efficacy in subjects who receive</w:t>
      </w:r>
      <w:r w:rsidRPr="00BE7226">
        <w:t xml:space="preserve"> treatment later in the course of disease is not known. The COMET-ICE </w:t>
      </w:r>
      <w:r w:rsidR="00F14A0B">
        <w:t xml:space="preserve">trial </w:t>
      </w:r>
      <w:r w:rsidRPr="00BE7226">
        <w:t>efficacy population (</w:t>
      </w:r>
      <w:r w:rsidR="00F14A0B">
        <w:t>intent to treat population</w:t>
      </w:r>
      <w:r w:rsidRPr="00BE7226">
        <w:t>) included only one subject with symptom duration of more than 5 days. It is noteworthy that recruitment for an ongoing study of sotrovimab in hospitalised subjec</w:t>
      </w:r>
      <w:r w:rsidR="00F14A0B">
        <w:t>ts with COVID-19 and symptoms ≤ 12 </w:t>
      </w:r>
      <w:r w:rsidRPr="00BE7226">
        <w:t>days in duration was ceased early for futility.</w:t>
      </w:r>
    </w:p>
    <w:p w14:paraId="005BA738" w14:textId="64A9474D" w:rsidR="003C7735" w:rsidRDefault="003C7735" w:rsidP="003C7735">
      <w:r w:rsidRPr="00266398">
        <w:t xml:space="preserve">Based on the single pivotal COMET-ICE </w:t>
      </w:r>
      <w:r w:rsidR="00F14A0B">
        <w:t>trial, s</w:t>
      </w:r>
      <w:r w:rsidRPr="00266398">
        <w:t>otrovimab demonstrated efficacy specifically in patients with COVID-19 not requiring supplemental oxygen. It will be appropriate to clarify this information in the indication.</w:t>
      </w:r>
    </w:p>
    <w:p w14:paraId="4D214284" w14:textId="17E9321B" w:rsidR="00F14A0B" w:rsidRDefault="00F14A0B" w:rsidP="00F14A0B">
      <w:pPr>
        <w:pStyle w:val="Heading6"/>
      </w:pPr>
      <w:r>
        <w:t>Revised indication</w:t>
      </w:r>
    </w:p>
    <w:p w14:paraId="3DBC6ED3" w14:textId="54F7363D" w:rsidR="00911198" w:rsidRDefault="00F14A0B" w:rsidP="003C7735">
      <w:r>
        <w:t>The revised i</w:t>
      </w:r>
      <w:r w:rsidR="003C7735">
        <w:t xml:space="preserve">ndication (proposed by TGA </w:t>
      </w:r>
      <w:r>
        <w:t>clinical evaluator and D</w:t>
      </w:r>
      <w:r w:rsidR="003C7735">
        <w:t xml:space="preserve">elegate and accepted by the sponsor) is also for discussion at the </w:t>
      </w:r>
      <w:r>
        <w:t>Adviso</w:t>
      </w:r>
      <w:r w:rsidR="00911198">
        <w:t>ry Committee on Medicines (ACM):</w:t>
      </w:r>
    </w:p>
    <w:p w14:paraId="1B6487CA" w14:textId="3E939C5D" w:rsidR="003C7735" w:rsidRPr="00DC783B" w:rsidRDefault="00F14A0B" w:rsidP="00F14A0B">
      <w:pPr>
        <w:ind w:left="720"/>
        <w:rPr>
          <w:i/>
        </w:rPr>
      </w:pPr>
      <w:r w:rsidRPr="00DC783B">
        <w:rPr>
          <w:i/>
        </w:rPr>
        <w:t>Xevudy</w:t>
      </w:r>
      <w:r w:rsidR="003C7735" w:rsidRPr="00DC783B">
        <w:rPr>
          <w:i/>
        </w:rPr>
        <w:t xml:space="preserve"> has provisional approval for the treatment </w:t>
      </w:r>
      <w:r>
        <w:rPr>
          <w:i/>
        </w:rPr>
        <w:t>of adults and adolescents (aged </w:t>
      </w:r>
      <w:r w:rsidR="003C7735" w:rsidRPr="00DC783B">
        <w:rPr>
          <w:i/>
        </w:rPr>
        <w:t xml:space="preserve">12 years and over and weighing at least 40 kg) with coronavirus disease 2019 (COVID-19) who do not require oxygen supplementation and who are at increased risk of progression to hospitalisation or death (see Section 5.1 </w:t>
      </w:r>
      <w:r w:rsidRPr="00DC783B">
        <w:rPr>
          <w:i/>
        </w:rPr>
        <w:t>Pharmacodynamic Properties</w:t>
      </w:r>
      <w:r w:rsidR="003C7735" w:rsidRPr="00DC783B">
        <w:rPr>
          <w:i/>
        </w:rPr>
        <w:t>, Clinical Tria</w:t>
      </w:r>
      <w:r>
        <w:rPr>
          <w:i/>
        </w:rPr>
        <w:t>ls).</w:t>
      </w:r>
    </w:p>
    <w:p w14:paraId="7ABA086D" w14:textId="18085C5D" w:rsidR="003C7735" w:rsidRPr="00DC783B" w:rsidRDefault="003C7735" w:rsidP="00F14A0B">
      <w:pPr>
        <w:ind w:left="720"/>
        <w:rPr>
          <w:i/>
        </w:rPr>
      </w:pPr>
      <w:r w:rsidRPr="00DC783B">
        <w:rPr>
          <w:i/>
        </w:rPr>
        <w:t>The decision has been made on the basis of short term efficacy and safety data. Continued approval depends on the evidence of longer term efficacy and safety from ongoing clinical trials and post-market assessment.</w:t>
      </w:r>
    </w:p>
    <w:p w14:paraId="4DE238B4" w14:textId="7B328B26" w:rsidR="003C7735" w:rsidRDefault="003C7735" w:rsidP="003C7735">
      <w:r>
        <w:t xml:space="preserve">The </w:t>
      </w:r>
      <w:r w:rsidRPr="00F96838">
        <w:t xml:space="preserve">prescribers’ perception of what constitutes ‘at </w:t>
      </w:r>
      <w:r w:rsidR="00470058">
        <w:t xml:space="preserve">increased </w:t>
      </w:r>
      <w:r w:rsidRPr="00F96838">
        <w:t xml:space="preserve">risk’ populations may be broader than what </w:t>
      </w:r>
      <w:r w:rsidRPr="00D00E5F">
        <w:t xml:space="preserve">was included in the study. ‘At </w:t>
      </w:r>
      <w:r w:rsidR="00470058">
        <w:t xml:space="preserve">increased </w:t>
      </w:r>
      <w:r w:rsidRPr="00D00E5F">
        <w:t xml:space="preserve">risk’ is not defined in the indication. This is considered acceptable. The </w:t>
      </w:r>
      <w:r w:rsidR="00F14A0B">
        <w:t>sponsor</w:t>
      </w:r>
      <w:r w:rsidRPr="00D00E5F">
        <w:t xml:space="preserve"> has provided additional subgroup analyses based on the predefined risk factors. Overall, this subgroup</w:t>
      </w:r>
      <w:r w:rsidRPr="00306C2A">
        <w:t xml:space="preserve"> analysis based on the predefined risk factors underlines the challenges in identifying the population a</w:t>
      </w:r>
      <w:r>
        <w:t>t</w:t>
      </w:r>
      <w:r w:rsidR="00B41B1D">
        <w:t xml:space="preserve"> high risk for severe COVID-19.</w:t>
      </w:r>
    </w:p>
    <w:p w14:paraId="79C75AF1" w14:textId="4C8401EE" w:rsidR="00B41B1D" w:rsidRDefault="00B41B1D" w:rsidP="00B41B1D">
      <w:pPr>
        <w:pStyle w:val="Heading6"/>
      </w:pPr>
      <w:r>
        <w:t>Variants of concern</w:t>
      </w:r>
    </w:p>
    <w:p w14:paraId="7AA63C03" w14:textId="3DAC2C50" w:rsidR="003C7735" w:rsidRDefault="00F14A0B" w:rsidP="003C7735">
      <w:r>
        <w:t>The s</w:t>
      </w:r>
      <w:r w:rsidR="003C7735" w:rsidRPr="0040709F">
        <w:t xml:space="preserve">ponsor states sotrovimab has demonstrated activity against the current </w:t>
      </w:r>
      <w:r>
        <w:t>variants of concern</w:t>
      </w:r>
      <w:r w:rsidR="003C7735" w:rsidRPr="0040709F">
        <w:t xml:space="preserve"> (including delta) </w:t>
      </w:r>
      <w:r w:rsidR="003C7735" w:rsidRPr="00F14A0B">
        <w:rPr>
          <w:i/>
        </w:rPr>
        <w:t>in vitro</w:t>
      </w:r>
      <w:r w:rsidR="003C7735" w:rsidRPr="0040709F">
        <w:t xml:space="preserve">. Based on these </w:t>
      </w:r>
      <w:r w:rsidR="003C7735" w:rsidRPr="00B41B1D">
        <w:rPr>
          <w:i/>
        </w:rPr>
        <w:t>in vitro</w:t>
      </w:r>
      <w:r w:rsidR="00B41B1D">
        <w:t xml:space="preserve"> data, the s</w:t>
      </w:r>
      <w:r w:rsidR="003C7735" w:rsidRPr="0040709F">
        <w:t xml:space="preserve">ponsor stated that clinical efficacy is expected. </w:t>
      </w:r>
      <w:r w:rsidR="003C7735" w:rsidRPr="008D1146">
        <w:t>The virology data</w:t>
      </w:r>
      <w:r w:rsidR="003C7735" w:rsidRPr="001B0FA9">
        <w:t xml:space="preserve"> from </w:t>
      </w:r>
      <w:r w:rsidR="00B41B1D">
        <w:t xml:space="preserve">the </w:t>
      </w:r>
      <w:r w:rsidR="003C7735" w:rsidRPr="001B0FA9">
        <w:t xml:space="preserve">COMET-ICE </w:t>
      </w:r>
      <w:r w:rsidR="00B41B1D">
        <w:t xml:space="preserve">trial </w:t>
      </w:r>
      <w:r w:rsidR="003C7735" w:rsidRPr="001B0FA9">
        <w:t>provide limited information on the ability of sotrovimab to treat well-described circulating variants due to the low numbers enrolled with any variant of interest or concern.</w:t>
      </w:r>
      <w:r w:rsidR="003C7735" w:rsidRPr="00DE0B21">
        <w:t xml:space="preserve"> </w:t>
      </w:r>
      <w:r w:rsidR="003C7735" w:rsidRPr="00E51368">
        <w:t xml:space="preserve">As per the clinical overview, the complete COMET-ICE </w:t>
      </w:r>
      <w:r w:rsidR="00B41B1D">
        <w:t xml:space="preserve">trial </w:t>
      </w:r>
      <w:r w:rsidR="003C7735" w:rsidRPr="00E51368">
        <w:t>virology data set report should be available towards the end of 2021.</w:t>
      </w:r>
    </w:p>
    <w:p w14:paraId="56592B23" w14:textId="383E6A23" w:rsidR="003C7735" w:rsidRPr="00863B60" w:rsidRDefault="00B41B1D" w:rsidP="00B41B1D">
      <w:pPr>
        <w:pStyle w:val="Heading5"/>
      </w:pPr>
      <w:r>
        <w:t>Safety</w:t>
      </w:r>
    </w:p>
    <w:p w14:paraId="35D8B4DB" w14:textId="606A7B1C" w:rsidR="003C7735" w:rsidRPr="009D2BE3" w:rsidRDefault="00470058" w:rsidP="003C7735">
      <w:r>
        <w:t>The primary evidence for</w:t>
      </w:r>
      <w:r w:rsidR="003C7735" w:rsidRPr="006B7B06">
        <w:t xml:space="preserve"> safety was provided for 523 participants in the sotrovi</w:t>
      </w:r>
      <w:r w:rsidR="00B41B1D">
        <w:t>mab treatment group (500 mg IV</w:t>
      </w:r>
      <w:r w:rsidR="003C7735" w:rsidRPr="006B7B06">
        <w:t xml:space="preserve">) of the placebo-controlled COMET-ICE </w:t>
      </w:r>
      <w:r w:rsidR="00B41B1D">
        <w:t>trial</w:t>
      </w:r>
      <w:r w:rsidR="003C7735" w:rsidRPr="006B7B06">
        <w:t>.</w:t>
      </w:r>
      <w:r w:rsidR="003C7735">
        <w:t xml:space="preserve"> </w:t>
      </w:r>
      <w:r w:rsidR="003C7735" w:rsidRPr="009D2BE3">
        <w:t>Overall, the safety pool seems representative of the target popu</w:t>
      </w:r>
      <w:r w:rsidR="003C7735">
        <w:t xml:space="preserve">lation of COVID-19 patients who </w:t>
      </w:r>
      <w:r w:rsidR="003C7735" w:rsidRPr="009D2BE3">
        <w:t>are at high risk of progressing to severe COVID-19 and that do not require supplemental oxygen.</w:t>
      </w:r>
    </w:p>
    <w:p w14:paraId="559F18EA" w14:textId="3A9E290F" w:rsidR="003C7735" w:rsidRDefault="003C7735" w:rsidP="003C7735">
      <w:r w:rsidRPr="00E33FC7">
        <w:t xml:space="preserve">The reported </w:t>
      </w:r>
      <w:r w:rsidR="00B41B1D">
        <w:t>adverse events</w:t>
      </w:r>
      <w:r w:rsidRPr="00E33FC7">
        <w:t xml:space="preserve"> in the sotrovimab group (22%) was similar to the placebo group (23%). Most of these </w:t>
      </w:r>
      <w:r w:rsidR="00B41B1D">
        <w:t>adverse events</w:t>
      </w:r>
      <w:r w:rsidRPr="00E33FC7">
        <w:t xml:space="preserve"> were mild to moderate. Only 8 (2%) in the sotrovimab arm and 9 (2%) in the placebo arm were considered drug related. The most common </w:t>
      </w:r>
      <w:r w:rsidR="00B41B1D">
        <w:t>adverse event (≥ 1%) consisted of COVID</w:t>
      </w:r>
      <w:r w:rsidRPr="00E33FC7">
        <w:t>-19 pneumonia, headache, nausea and diarrhoea and accounts for 68</w:t>
      </w:r>
      <w:r w:rsidR="00FD2370">
        <w:t xml:space="preserve"> out of </w:t>
      </w:r>
      <w:r w:rsidRPr="00E33FC7">
        <w:t>237 (29%), the events occurred at low frequencies.</w:t>
      </w:r>
    </w:p>
    <w:p w14:paraId="11612277" w14:textId="22317954" w:rsidR="00B41B1D" w:rsidRDefault="00B41B1D" w:rsidP="00B41B1D">
      <w:pPr>
        <w:pStyle w:val="Heading6"/>
      </w:pPr>
      <w:r>
        <w:t>Serious adverse events</w:t>
      </w:r>
    </w:p>
    <w:p w14:paraId="465E18D3" w14:textId="7001CC3E" w:rsidR="00B41B1D" w:rsidRDefault="00B41B1D" w:rsidP="003C7735">
      <w:pPr>
        <w:rPr>
          <w:rFonts w:ascii="Verdana" w:eastAsiaTheme="minorHAnsi" w:hAnsi="Verdana" w:cs="Verdana"/>
          <w:color w:val="000000"/>
          <w:sz w:val="17"/>
          <w:szCs w:val="17"/>
        </w:rPr>
      </w:pPr>
      <w:r>
        <w:t>Serious adverse events</w:t>
      </w:r>
      <w:r w:rsidR="003C7735" w:rsidRPr="00253167">
        <w:rPr>
          <w:b/>
          <w:bCs/>
        </w:rPr>
        <w:t xml:space="preserve"> </w:t>
      </w:r>
      <w:r w:rsidR="003C7735" w:rsidRPr="00253167">
        <w:t xml:space="preserve">were numerically more common in the placebo arm than in the sotrovimab arm. In total 11 </w:t>
      </w:r>
      <w:r w:rsidR="00C43715">
        <w:t>s</w:t>
      </w:r>
      <w:r>
        <w:t>erious adverse events</w:t>
      </w:r>
      <w:r w:rsidRPr="00253167">
        <w:rPr>
          <w:b/>
          <w:bCs/>
        </w:rPr>
        <w:t xml:space="preserve"> </w:t>
      </w:r>
      <w:r w:rsidR="003C7735" w:rsidRPr="00253167">
        <w:t>occurred in the sotrovimab arm none of them were deemed causally related to study treatment.</w:t>
      </w:r>
    </w:p>
    <w:p w14:paraId="6646DBEE" w14:textId="44298289" w:rsidR="00B41B1D" w:rsidRDefault="00B41B1D" w:rsidP="00B41B1D">
      <w:pPr>
        <w:pStyle w:val="Heading6"/>
        <w:rPr>
          <w:rFonts w:eastAsiaTheme="minorHAnsi"/>
        </w:rPr>
      </w:pPr>
      <w:r>
        <w:rPr>
          <w:rFonts w:eastAsiaTheme="minorHAnsi"/>
        </w:rPr>
        <w:t>Deaths</w:t>
      </w:r>
    </w:p>
    <w:p w14:paraId="538B9D4D" w14:textId="60B009AC" w:rsidR="003C7735" w:rsidRDefault="003C7735" w:rsidP="003C7735">
      <w:r w:rsidRPr="00253167">
        <w:t xml:space="preserve">No </w:t>
      </w:r>
      <w:r w:rsidRPr="00B41B1D">
        <w:t xml:space="preserve">deaths </w:t>
      </w:r>
      <w:r w:rsidRPr="00253167">
        <w:t>were reported in the sotrovimab arm of the study.</w:t>
      </w:r>
    </w:p>
    <w:p w14:paraId="5C700099" w14:textId="391E9927" w:rsidR="00B41B1D" w:rsidRDefault="00B41B1D" w:rsidP="00B41B1D">
      <w:pPr>
        <w:pStyle w:val="Heading6"/>
      </w:pPr>
      <w:r>
        <w:t>Adverse drug events</w:t>
      </w:r>
    </w:p>
    <w:p w14:paraId="2E1E7A13" w14:textId="306D7192" w:rsidR="003C7735" w:rsidRDefault="003C7735" w:rsidP="003C7735">
      <w:r>
        <w:t xml:space="preserve">No events suggestive of </w:t>
      </w:r>
      <w:r w:rsidR="00B41B1D">
        <w:t>adverse drug events</w:t>
      </w:r>
      <w:r>
        <w:t xml:space="preserve"> were identified during a review of renal/pulmonary/cardiac </w:t>
      </w:r>
      <w:r w:rsidR="00B41B1D">
        <w:t>adverse events</w:t>
      </w:r>
      <w:r>
        <w:t xml:space="preserve">. </w:t>
      </w:r>
      <w:r w:rsidRPr="00B112A5">
        <w:t xml:space="preserve">Development of </w:t>
      </w:r>
      <w:r w:rsidR="00654B80">
        <w:t>ADA</w:t>
      </w:r>
      <w:r w:rsidRPr="00B112A5">
        <w:t xml:space="preserve"> is overall not considered a safety issue in a one dose treatment regimen.</w:t>
      </w:r>
    </w:p>
    <w:p w14:paraId="4FAA8AFA" w14:textId="608D7B67" w:rsidR="00B41B1D" w:rsidRDefault="00B41B1D" w:rsidP="00B41B1D">
      <w:pPr>
        <w:pStyle w:val="Heading6"/>
      </w:pPr>
      <w:r>
        <w:t>Safety signals</w:t>
      </w:r>
    </w:p>
    <w:p w14:paraId="623E0258" w14:textId="65CB4D96" w:rsidR="003C7735" w:rsidRDefault="003C7735" w:rsidP="003C7735">
      <w:r w:rsidRPr="00FB3D07">
        <w:t>There did not appear to be a signal suggesting an association between renal dysfunction and treatment with sotrovimab. Overall, the data do not suggest a clear association between liver injury and administration of sotrovimab, and it is agreed that COVID-19 may</w:t>
      </w:r>
      <w:r>
        <w:t xml:space="preserve"> cause a ris</w:t>
      </w:r>
      <w:r w:rsidRPr="00FF2EA5">
        <w:t>e in liver paramete</w:t>
      </w:r>
      <w:r>
        <w:t>rs.</w:t>
      </w:r>
    </w:p>
    <w:p w14:paraId="3CA10E10" w14:textId="77777777" w:rsidR="00B41B1D" w:rsidRDefault="00B41B1D" w:rsidP="00B41B1D">
      <w:r>
        <w:t>Changes in laboratory parameters and vital signs were consistent with underlying disease and were similar in both treatment arms.</w:t>
      </w:r>
    </w:p>
    <w:p w14:paraId="436C714C" w14:textId="6316CAA3" w:rsidR="00B41B1D" w:rsidRDefault="00B41B1D" w:rsidP="00B41B1D">
      <w:pPr>
        <w:pStyle w:val="Heading6"/>
      </w:pPr>
      <w:r>
        <w:t>Safety in special groups</w:t>
      </w:r>
    </w:p>
    <w:p w14:paraId="5F7B490D" w14:textId="77777777" w:rsidR="00B41B1D" w:rsidRDefault="003C7735" w:rsidP="003C7735">
      <w:r w:rsidRPr="00245408">
        <w:t>Overall, no major safety concerns for the elderly population could be identified based on the data of the clinical trials so far. However, due to the small sample size of participants &gt;</w:t>
      </w:r>
      <w:r w:rsidR="00B41B1D">
        <w:t> </w:t>
      </w:r>
      <w:r w:rsidRPr="00245408">
        <w:t>85 years of age, no meaningful cl</w:t>
      </w:r>
      <w:r w:rsidR="00B41B1D">
        <w:t>inical conclusion can be drawn.</w:t>
      </w:r>
    </w:p>
    <w:p w14:paraId="7FECC2D5" w14:textId="524BB8DC" w:rsidR="003C7735" w:rsidRDefault="003C7735" w:rsidP="003C7735">
      <w:r w:rsidRPr="00245408">
        <w:t>There are no clinical data on human fertility, pregnancy or lactation, and no participants less than 18 years old were enrolled in the clinical trials with sotrovimab.</w:t>
      </w:r>
    </w:p>
    <w:p w14:paraId="3DFFABB6" w14:textId="5AFB71CC" w:rsidR="00B41B1D" w:rsidRDefault="00B41B1D" w:rsidP="00B41B1D">
      <w:pPr>
        <w:pStyle w:val="Heading6"/>
      </w:pPr>
      <w:r>
        <w:t>Major adverse events of concern</w:t>
      </w:r>
    </w:p>
    <w:p w14:paraId="2255B676" w14:textId="12988B85" w:rsidR="00B41B1D" w:rsidRDefault="003C7735" w:rsidP="003C7735">
      <w:r w:rsidRPr="00FB5025">
        <w:t>Major adverse events</w:t>
      </w:r>
      <w:r>
        <w:t xml:space="preserve"> of concern were infusion</w:t>
      </w:r>
      <w:r w:rsidR="00DB6E37">
        <w:t xml:space="preserve"> </w:t>
      </w:r>
      <w:r>
        <w:t>related reactions including hypersensitivity reactions.</w:t>
      </w:r>
      <w:r w:rsidRPr="00B66D45">
        <w:t xml:space="preserve"> </w:t>
      </w:r>
      <w:r>
        <w:t>To mitigate the risk of significant infusion</w:t>
      </w:r>
      <w:r w:rsidR="00DB6E37">
        <w:t xml:space="preserve"> </w:t>
      </w:r>
      <w:r>
        <w:t>related reactions including hypersensitivity reactions, t</w:t>
      </w:r>
      <w:r w:rsidR="00B41B1D">
        <w:t>here is a statement in the PI:</w:t>
      </w:r>
    </w:p>
    <w:p w14:paraId="1C27BCE6" w14:textId="012D169B" w:rsidR="003C7735" w:rsidRDefault="003C7735" w:rsidP="00B41B1D">
      <w:pPr>
        <w:ind w:left="720"/>
      </w:pPr>
      <w:r w:rsidRPr="00FB5025">
        <w:rPr>
          <w:i/>
        </w:rPr>
        <w:t>Xevudy should be administered in healthcare facilities in which patients can be monitored during and for one hour after administration (see section 4.4)</w:t>
      </w:r>
      <w:r w:rsidRPr="00FB5025">
        <w:t>.</w:t>
      </w:r>
    </w:p>
    <w:p w14:paraId="3B8693E1" w14:textId="6C85EA21" w:rsidR="003C7735" w:rsidRDefault="003C7735" w:rsidP="003C7735">
      <w:r w:rsidRPr="00CA0AA3">
        <w:t>Based on data available at present, there are no serious concerns about patients’ safety; sotrovimab appears to be generally well</w:t>
      </w:r>
      <w:r w:rsidR="00DB6E37">
        <w:t xml:space="preserve"> </w:t>
      </w:r>
      <w:r w:rsidRPr="00CA0AA3">
        <w:t>tolerated. Long</w:t>
      </w:r>
      <w:r w:rsidR="00DB6E37">
        <w:t xml:space="preserve"> </w:t>
      </w:r>
      <w:r w:rsidRPr="00CA0AA3">
        <w:t>term safety data are awaited with the final study reports.</w:t>
      </w:r>
    </w:p>
    <w:p w14:paraId="6A3DE645" w14:textId="533D6FD8" w:rsidR="001A6684" w:rsidRDefault="001A6684" w:rsidP="001A6684">
      <w:pPr>
        <w:pStyle w:val="Heading6"/>
      </w:pPr>
      <w:r>
        <w:t>Uncertainties</w:t>
      </w:r>
    </w:p>
    <w:p w14:paraId="34E3EDCA" w14:textId="77777777" w:rsidR="003C7735" w:rsidRDefault="003C7735" w:rsidP="003C7735">
      <w:r w:rsidRPr="00C84377">
        <w:t>While there are no currently identified</w:t>
      </w:r>
      <w:r w:rsidRPr="003E68D3">
        <w:t xml:space="preserve"> safety issues that would preclude provisional registration, there are some remaining uncertainties. These are summarised below:</w:t>
      </w:r>
    </w:p>
    <w:p w14:paraId="27262A10" w14:textId="6873E773" w:rsidR="003C7735" w:rsidRPr="001A6684" w:rsidRDefault="001A6684" w:rsidP="001A6684">
      <w:pPr>
        <w:pStyle w:val="ListBullet"/>
      </w:pPr>
      <w:r>
        <w:t xml:space="preserve">The </w:t>
      </w:r>
      <w:r w:rsidR="003C7735" w:rsidRPr="001A6684">
        <w:t>COMET-ICE</w:t>
      </w:r>
      <w:r>
        <w:t xml:space="preserve"> trial </w:t>
      </w:r>
      <w:r w:rsidR="003C7735" w:rsidRPr="001A6684">
        <w:t xml:space="preserve">was not powered to detect potential rare/very rare </w:t>
      </w:r>
      <w:r>
        <w:t>adverse drug reactions.</w:t>
      </w:r>
    </w:p>
    <w:p w14:paraId="7E286CD1" w14:textId="276FF9C1" w:rsidR="003C7735" w:rsidRPr="001A6684" w:rsidRDefault="003C7735" w:rsidP="001A6684">
      <w:pPr>
        <w:pStyle w:val="ListBullet"/>
      </w:pPr>
      <w:r w:rsidRPr="001A6684">
        <w:t xml:space="preserve">Long-term safety (beyond a median follow up of 103 days) is </w:t>
      </w:r>
      <w:r w:rsidR="001A6684">
        <w:t>unknown.</w:t>
      </w:r>
    </w:p>
    <w:p w14:paraId="6FE3994A" w14:textId="77777777" w:rsidR="003C7735" w:rsidRDefault="003C7735" w:rsidP="001A6684">
      <w:pPr>
        <w:pStyle w:val="ListBullet"/>
      </w:pPr>
      <w:r w:rsidRPr="001A6684">
        <w:t xml:space="preserve">There are no/limited clinical safety data in certain subgroups, in particular the </w:t>
      </w:r>
      <w:r w:rsidRPr="003E68D3">
        <w:t>following:</w:t>
      </w:r>
    </w:p>
    <w:p w14:paraId="097CA665" w14:textId="5E4D37E9" w:rsidR="003C7735" w:rsidRDefault="001A6684" w:rsidP="001A6684">
      <w:pPr>
        <w:pStyle w:val="ListBullet2"/>
      </w:pPr>
      <w:r>
        <w:t>a</w:t>
      </w:r>
      <w:r w:rsidR="003C7735" w:rsidRPr="003E68D3">
        <w:t>dolescents (no data)</w:t>
      </w:r>
      <w:r>
        <w:t>;</w:t>
      </w:r>
    </w:p>
    <w:p w14:paraId="0E082392" w14:textId="23FA7BBA" w:rsidR="003C7735" w:rsidRDefault="001A6684" w:rsidP="001A6684">
      <w:pPr>
        <w:pStyle w:val="ListBullet2"/>
      </w:pPr>
      <w:r>
        <w:t>pregnant/lactating women (one</w:t>
      </w:r>
      <w:r w:rsidR="003C7735" w:rsidRPr="003E68D3">
        <w:t xml:space="preserve"> subject, no details available)</w:t>
      </w:r>
      <w:r>
        <w:t>;</w:t>
      </w:r>
    </w:p>
    <w:p w14:paraId="69495853" w14:textId="6F4A26CB" w:rsidR="003C7735" w:rsidRDefault="001A6684" w:rsidP="001A6684">
      <w:pPr>
        <w:pStyle w:val="ListBullet2"/>
      </w:pPr>
      <w:r>
        <w:t>s</w:t>
      </w:r>
      <w:r w:rsidR="003C7735" w:rsidRPr="003E68D3">
        <w:t>ubjects with prior/concomitant COVID-19 vacc</w:t>
      </w:r>
      <w:r>
        <w:t>ination (16 subjects with COVID</w:t>
      </w:r>
      <w:r>
        <w:noBreakHyphen/>
      </w:r>
      <w:r w:rsidR="003C7735" w:rsidRPr="003E68D3">
        <w:t>19 vaccine &gt; 28 days after sotrovimab, none prior)</w:t>
      </w:r>
      <w:r>
        <w:t>;</w:t>
      </w:r>
    </w:p>
    <w:p w14:paraId="3DCE6283" w14:textId="239B5BAB" w:rsidR="003C7735" w:rsidRDefault="001A6684" w:rsidP="001A6684">
      <w:pPr>
        <w:pStyle w:val="ListBullet2"/>
      </w:pPr>
      <w:r>
        <w:t>s</w:t>
      </w:r>
      <w:r w:rsidR="003C7735" w:rsidRPr="003E68D3">
        <w:t>ubjects with other concomitant vaccinations</w:t>
      </w:r>
      <w:r>
        <w:t>; and</w:t>
      </w:r>
    </w:p>
    <w:p w14:paraId="31A606D2" w14:textId="0304ACB4" w:rsidR="003C7735" w:rsidRDefault="001A6684" w:rsidP="001A6684">
      <w:pPr>
        <w:pStyle w:val="ListBullet2"/>
      </w:pPr>
      <w:r>
        <w:t>s</w:t>
      </w:r>
      <w:r w:rsidR="003C7735" w:rsidRPr="003E68D3">
        <w:t>ubjects with severe hepatic or renal impairment</w:t>
      </w:r>
      <w:r>
        <w:t>.</w:t>
      </w:r>
    </w:p>
    <w:p w14:paraId="496067DA" w14:textId="50C231C3" w:rsidR="003C7735" w:rsidRDefault="003C7735" w:rsidP="001A6684">
      <w:pPr>
        <w:pStyle w:val="ListBullet"/>
      </w:pPr>
      <w:r w:rsidRPr="003E68D3">
        <w:t>There are no data on the safety of repeat dosing with sotrovimab</w:t>
      </w:r>
      <w:r w:rsidR="001A6684">
        <w:t>.</w:t>
      </w:r>
    </w:p>
    <w:p w14:paraId="127CED91" w14:textId="194D9B1D" w:rsidR="003C7735" w:rsidRPr="003E68D3" w:rsidRDefault="003C7735" w:rsidP="001A6684">
      <w:pPr>
        <w:pStyle w:val="ListBullet"/>
      </w:pPr>
      <w:r w:rsidRPr="003E68D3">
        <w:t>There are limited data on the clinical relevance of anti-sotrovimab antibodies (ADAs)</w:t>
      </w:r>
      <w:r w:rsidR="001A6684">
        <w:t>.</w:t>
      </w:r>
    </w:p>
    <w:p w14:paraId="340E0A2C" w14:textId="479F0BF7" w:rsidR="00D23139" w:rsidRDefault="00C9285A" w:rsidP="00D23139">
      <w:pPr>
        <w:pStyle w:val="Heading4"/>
      </w:pPr>
      <w:r>
        <w:t>Conclusions</w:t>
      </w:r>
    </w:p>
    <w:p w14:paraId="02EF3AA2" w14:textId="10055605" w:rsidR="00C9285A" w:rsidRDefault="00C9285A" w:rsidP="00C9285A">
      <w:r>
        <w:t xml:space="preserve">Pharmacokinetic data are available </w:t>
      </w:r>
      <w:r w:rsidR="00BF22A1">
        <w:t xml:space="preserve">from </w:t>
      </w:r>
      <w:r>
        <w:t>a single pivotal study with administration of sotrovimab as 50</w:t>
      </w:r>
      <w:r w:rsidR="00F15FB6">
        <w:t>0</w:t>
      </w:r>
      <w:r>
        <w:t xml:space="preserve"> mg IV single dose</w:t>
      </w:r>
      <w:r w:rsidR="00C43715">
        <w:t>.</w:t>
      </w:r>
      <w:r>
        <w:t xml:space="preserve"> The PK of sotrovimab has overall been adequately described.</w:t>
      </w:r>
    </w:p>
    <w:p w14:paraId="2EA91CD0" w14:textId="41832388" w:rsidR="00C9285A" w:rsidRDefault="00C9285A" w:rsidP="00C9285A">
      <w:r>
        <w:t>Sotrovimab demonstrated statistically significant reduction in the primary endpoint of hospitalisation and death. The secondary endpoints included more COVID-19 and/or respiratory</w:t>
      </w:r>
      <w:r w:rsidR="00DB6E37">
        <w:t xml:space="preserve"> </w:t>
      </w:r>
      <w:r>
        <w:t>specific measures and these were all supportive of the primary result. Most importantly, sotrovimab resulted in significant reduction in progression to severe and/or critical respiratory COVID-19 and reductions in need for supplementary oxygen delivered by any means. Sotrovimab also resulted in significant reduction in need for hospital emergency room visits for management of illness or hospitalisation for acute management of illness (any duration) or death (any cause).</w:t>
      </w:r>
    </w:p>
    <w:p w14:paraId="28C327BD" w14:textId="5EF702CE" w:rsidR="00C9285A" w:rsidRDefault="00C9285A" w:rsidP="00C9285A">
      <w:r>
        <w:t>Based on the safety data to</w:t>
      </w:r>
      <w:r w:rsidR="00DB6E37">
        <w:t xml:space="preserve"> </w:t>
      </w:r>
      <w:r>
        <w:t>date, no safety concerns with IV infusion of sotrovimab were identified that would impact a favourable risk/benefit and sotrovimab was well tolerated.</w:t>
      </w:r>
    </w:p>
    <w:p w14:paraId="3AD72DFC" w14:textId="30A284B5" w:rsidR="00C9285A" w:rsidRDefault="00C9285A" w:rsidP="00C9285A">
      <w:pPr>
        <w:pStyle w:val="Heading4"/>
      </w:pPr>
      <w:r w:rsidRPr="00D23139">
        <w:t>Proposed action</w:t>
      </w:r>
    </w:p>
    <w:p w14:paraId="61D855C6" w14:textId="77777777" w:rsidR="00C9285A" w:rsidRDefault="00C9285A" w:rsidP="00C9285A">
      <w:r>
        <w:t>Overall, based on the review of data on quality, safety and efficacy, the Delegate considers that the benefit-risk balance of Xevudy is favourable in the following indication:</w:t>
      </w:r>
    </w:p>
    <w:p w14:paraId="435F7E25" w14:textId="77347400" w:rsidR="00C9285A" w:rsidRPr="00C9285A" w:rsidRDefault="00C9285A" w:rsidP="00C9285A">
      <w:pPr>
        <w:ind w:left="720"/>
        <w:rPr>
          <w:i/>
        </w:rPr>
      </w:pPr>
      <w:r w:rsidRPr="00C9285A">
        <w:rPr>
          <w:i/>
        </w:rPr>
        <w:t xml:space="preserve">Xevudy has provisional approval for the treatment </w:t>
      </w:r>
      <w:r>
        <w:rPr>
          <w:i/>
        </w:rPr>
        <w:t>of adults and adolescents (aged </w:t>
      </w:r>
      <w:r w:rsidRPr="00C9285A">
        <w:rPr>
          <w:i/>
        </w:rPr>
        <w:t>12 years and over and weighing at least 40 kg) with coronavirus disease 2019 (COVID-19) who do not require oxygen supplementation and who are at increased risk of progression to hospitalisation or death (see Section 5.1 Pharmacodynamic Properties, Clinical Trials).</w:t>
      </w:r>
    </w:p>
    <w:p w14:paraId="41773CE4" w14:textId="42EFAD7C" w:rsidR="00C9285A" w:rsidRDefault="00C9285A" w:rsidP="00C9285A">
      <w:pPr>
        <w:ind w:left="720"/>
        <w:rPr>
          <w:i/>
        </w:rPr>
      </w:pPr>
      <w:r w:rsidRPr="00C9285A">
        <w:rPr>
          <w:i/>
        </w:rPr>
        <w:t>The decision has been made on the basis of short term efficacy and safety data. Continued approval depends on the evidence of longer term efficacy and safety from ongoing clinical tri</w:t>
      </w:r>
      <w:r w:rsidR="00234FBB">
        <w:rPr>
          <w:i/>
        </w:rPr>
        <w:t>als and post-market assessment.</w:t>
      </w:r>
    </w:p>
    <w:p w14:paraId="7FDF51C6" w14:textId="0AB46B1A" w:rsidR="00234FBB" w:rsidRDefault="00234FBB" w:rsidP="00234FBB">
      <w:pPr>
        <w:pStyle w:val="Heading5"/>
      </w:pPr>
      <w:r>
        <w:t>Clinical conditions for full authorisation</w:t>
      </w:r>
    </w:p>
    <w:p w14:paraId="52E5DCCC" w14:textId="136F0038" w:rsidR="00234FBB" w:rsidRDefault="00234FBB" w:rsidP="00234FBB">
      <w:r w:rsidRPr="007A38B8">
        <w:t>The following study reports</w:t>
      </w:r>
      <w:r>
        <w:t>/data</w:t>
      </w:r>
      <w:r w:rsidRPr="007A38B8">
        <w:t xml:space="preserve"> will have to be submit</w:t>
      </w:r>
      <w:r>
        <w:t>ted before a definitive (full) authoris</w:t>
      </w:r>
      <w:r w:rsidRPr="007A38B8">
        <w:t>ation can be considered:</w:t>
      </w:r>
    </w:p>
    <w:p w14:paraId="5754618A" w14:textId="37C1BC15" w:rsidR="00234FBB" w:rsidRDefault="00234FBB" w:rsidP="00234FBB">
      <w:pPr>
        <w:pStyle w:val="ListBullet"/>
      </w:pPr>
      <w:r w:rsidRPr="0043588C">
        <w:t xml:space="preserve">Submit the </w:t>
      </w:r>
      <w:r>
        <w:t xml:space="preserve">final report/clinical study report for the COMET-ICE trial </w:t>
      </w:r>
      <w:r w:rsidRPr="007D5937">
        <w:t xml:space="preserve">with 24 </w:t>
      </w:r>
      <w:r w:rsidR="00F53135">
        <w:t>weeks</w:t>
      </w:r>
      <w:r w:rsidRPr="007D5937">
        <w:t xml:space="preserve"> follow up duration when it became available.</w:t>
      </w:r>
    </w:p>
    <w:p w14:paraId="5B2EC665" w14:textId="1386BCB3" w:rsidR="00234FBB" w:rsidRDefault="00234FBB" w:rsidP="00234FBB">
      <w:pPr>
        <w:pStyle w:val="ListBullet"/>
      </w:pPr>
      <w:r>
        <w:t>Submit the a</w:t>
      </w:r>
      <w:r w:rsidRPr="00027CF5">
        <w:t xml:space="preserve">dditional studies </w:t>
      </w:r>
      <w:r>
        <w:t xml:space="preserve">that </w:t>
      </w:r>
      <w:r w:rsidRPr="00027CF5">
        <w:t xml:space="preserve">are planned </w:t>
      </w:r>
      <w:r>
        <w:t>as part of t</w:t>
      </w:r>
      <w:r w:rsidRPr="00027CF5">
        <w:t xml:space="preserve">he conditions for </w:t>
      </w:r>
      <w:r>
        <w:t xml:space="preserve">this provisional approval such as the </w:t>
      </w:r>
      <w:r w:rsidRPr="00405A14">
        <w:t>COVID-</w:t>
      </w:r>
      <w:r w:rsidRPr="0053176F">
        <w:t xml:space="preserve">International Drug </w:t>
      </w:r>
      <w:r w:rsidRPr="00405A14">
        <w:t>P</w:t>
      </w:r>
      <w:r>
        <w:t xml:space="preserve">regnancy </w:t>
      </w:r>
      <w:r w:rsidRPr="00405A14">
        <w:t>R</w:t>
      </w:r>
      <w:r>
        <w:t>egistry, and the paediatric COMET</w:t>
      </w:r>
      <w:r>
        <w:noBreakHyphen/>
        <w:t xml:space="preserve">PACE trial, when available. </w:t>
      </w:r>
    </w:p>
    <w:p w14:paraId="467D74C6" w14:textId="2CDD8457" w:rsidR="00234FBB" w:rsidRPr="00234FBB" w:rsidRDefault="00234FBB" w:rsidP="00234FBB">
      <w:pPr>
        <w:pStyle w:val="ListBullet"/>
      </w:pPr>
      <w:r w:rsidRPr="0029630A">
        <w:t xml:space="preserve">When available, further data relating to efficacy in </w:t>
      </w:r>
      <w:r w:rsidRPr="00503098">
        <w:t>immunocompromised subjects,</w:t>
      </w:r>
      <w:r w:rsidRPr="0029630A">
        <w:t xml:space="preserve"> </w:t>
      </w:r>
      <w:r w:rsidRPr="00A2050D">
        <w:t>efficacy against variants of concern</w:t>
      </w:r>
      <w:r>
        <w:t>,</w:t>
      </w:r>
      <w:r w:rsidRPr="00A2050D">
        <w:t xml:space="preserve"> </w:t>
      </w:r>
      <w:r w:rsidRPr="0029630A">
        <w:t>paediatric subjects</w:t>
      </w:r>
      <w:r>
        <w:t>, pregnant</w:t>
      </w:r>
      <w:r w:rsidRPr="0029630A">
        <w:t xml:space="preserve"> women, lactating mother, </w:t>
      </w:r>
      <w:r>
        <w:t xml:space="preserve">long term safety </w:t>
      </w:r>
      <w:r w:rsidRPr="0029630A">
        <w:t xml:space="preserve">and the information relating to post-market safety and effectiveness studies should be provided to the TGA to update the </w:t>
      </w:r>
      <w:r>
        <w:t>PI</w:t>
      </w:r>
      <w:r w:rsidRPr="0029630A">
        <w:t>.</w:t>
      </w:r>
    </w:p>
    <w:p w14:paraId="2B5BBDD7"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34"/>
      </w:r>
    </w:p>
    <w:p w14:paraId="798E9CF8" w14:textId="77777777" w:rsidR="00744121" w:rsidRDefault="00744121" w:rsidP="00744121">
      <w:pPr>
        <w:rPr>
          <w:bCs/>
        </w:rPr>
      </w:pPr>
      <w:bookmarkStart w:id="65" w:name="_Toc247691532"/>
      <w:bookmarkStart w:id="66" w:name="_Toc314842516"/>
      <w:bookmarkEnd w:id="31"/>
      <w:bookmarkEnd w:id="63"/>
      <w:bookmarkEnd w:id="64"/>
      <w:r w:rsidRPr="00456765">
        <w:rPr>
          <w:bCs/>
        </w:rPr>
        <w:t>The Advisory Committee on Medicines (ACM), having considered the evaluations and the Delegate’s overview, as well as the sponsor’s response to these documents, advised the following</w:t>
      </w:r>
      <w:r>
        <w:rPr>
          <w:bCs/>
        </w:rPr>
        <w:t>.</w:t>
      </w:r>
    </w:p>
    <w:p w14:paraId="6F28DB50" w14:textId="536C5376" w:rsidR="00744121" w:rsidRDefault="00744121" w:rsidP="00744121">
      <w:pPr>
        <w:pStyle w:val="Heading5"/>
      </w:pPr>
      <w:r>
        <w:t>Specific advice to the Delegate</w:t>
      </w:r>
    </w:p>
    <w:p w14:paraId="2D6D0A06" w14:textId="53B09252" w:rsidR="00416751" w:rsidRPr="00416751" w:rsidRDefault="00416751" w:rsidP="00416751">
      <w:pPr>
        <w:pStyle w:val="Numberbullet0"/>
        <w:rPr>
          <w:b/>
          <w:i/>
          <w:lang w:eastAsia="en-AU"/>
        </w:rPr>
      </w:pPr>
      <w:r w:rsidRPr="00416751">
        <w:rPr>
          <w:b/>
          <w:i/>
          <w:lang w:eastAsia="en-AU"/>
        </w:rPr>
        <w:t xml:space="preserve">Please comment on the revised </w:t>
      </w:r>
      <w:r>
        <w:rPr>
          <w:b/>
          <w:i/>
          <w:lang w:eastAsia="en-AU"/>
        </w:rPr>
        <w:t>i</w:t>
      </w:r>
      <w:r w:rsidRPr="00416751">
        <w:rPr>
          <w:b/>
          <w:i/>
          <w:lang w:eastAsia="en-AU"/>
        </w:rPr>
        <w:t>ndication (</w:t>
      </w:r>
      <w:r>
        <w:rPr>
          <w:b/>
          <w:i/>
          <w:lang w:eastAsia="en-AU"/>
        </w:rPr>
        <w:t xml:space="preserve">as </w:t>
      </w:r>
      <w:r w:rsidRPr="00416751">
        <w:rPr>
          <w:b/>
          <w:i/>
          <w:lang w:eastAsia="en-AU"/>
        </w:rPr>
        <w:t xml:space="preserve">proposed by TGA </w:t>
      </w:r>
      <w:r>
        <w:rPr>
          <w:b/>
          <w:i/>
          <w:lang w:eastAsia="en-AU"/>
        </w:rPr>
        <w:t>clinical evaluator and D</w:t>
      </w:r>
      <w:r w:rsidRPr="00416751">
        <w:rPr>
          <w:b/>
          <w:i/>
          <w:lang w:eastAsia="en-AU"/>
        </w:rPr>
        <w:t>elegate and accepted by the sponsor):</w:t>
      </w:r>
    </w:p>
    <w:p w14:paraId="409F5B85" w14:textId="77777777" w:rsidR="00416751" w:rsidRDefault="00416751" w:rsidP="00416751">
      <w:pPr>
        <w:ind w:left="425"/>
        <w:rPr>
          <w:i/>
          <w:szCs w:val="21"/>
          <w:lang w:eastAsia="en-AU"/>
        </w:rPr>
      </w:pPr>
      <w:r w:rsidRPr="00416751">
        <w:rPr>
          <w:i/>
          <w:szCs w:val="21"/>
          <w:lang w:eastAsia="en-AU"/>
        </w:rPr>
        <w:t>Xevudy is indicated for the treatment of adults and adolescents (aged 12 years and over and weighing at least 40 kg) with coronavirus disease 2019 (COVID-19) who do not require oxygen supplementation and who are at increased risk of progressing to severe COVID-19.</w:t>
      </w:r>
    </w:p>
    <w:p w14:paraId="6BDF9BD7" w14:textId="2ECC5900" w:rsidR="00416751" w:rsidRDefault="00416751" w:rsidP="00416751">
      <w:pPr>
        <w:ind w:left="425"/>
      </w:pPr>
      <w:r w:rsidRPr="00416751">
        <w:rPr>
          <w:i/>
        </w:rPr>
        <w:t>The decision has been made on the basis of short term efficacy and safety data. Continued approval depends on the evidence of longer term efficacy and safety from the ongoing and post-market assessment</w:t>
      </w:r>
      <w:r>
        <w:t>.</w:t>
      </w:r>
    </w:p>
    <w:p w14:paraId="0BE5319A" w14:textId="71AAAABA" w:rsidR="007027CA" w:rsidRDefault="007027CA" w:rsidP="007027CA">
      <w:r>
        <w:t>The ACM agreed that the data package is appropriate for provisional registration, however emphasised that the indication needs be targeted to those at risk of progression of COVID</w:t>
      </w:r>
      <w:r w:rsidR="00654B80">
        <w:noBreakHyphen/>
      </w:r>
      <w:r>
        <w:t xml:space="preserve">19. To achieve this, the ACM agreed that the indication should link to a definition of ‘increased risk’ in the PI, based on the criteria in the clinical trial with further specification for some conditions, namely: </w:t>
      </w:r>
    </w:p>
    <w:p w14:paraId="72ACA4FA" w14:textId="1F5CB225" w:rsidR="007027CA" w:rsidRDefault="00654B80" w:rsidP="007027CA">
      <w:pPr>
        <w:ind w:left="720"/>
      </w:pPr>
      <w:r>
        <w:t>‘</w:t>
      </w:r>
      <w:r w:rsidR="007027CA">
        <w:t>Diabetes requiring medication, obesity (BMI</w:t>
      </w:r>
      <w:r>
        <w:t xml:space="preserve"> [body mass index]</w:t>
      </w:r>
      <w:r w:rsidR="007027CA">
        <w:t xml:space="preserve"> &gt; 30), chronic kidney disease (eGFR&lt; 60 mL/min), congestive heart failure (NHYA</w:t>
      </w:r>
      <w:r>
        <w:t xml:space="preserve"> [New York Heart Association]</w:t>
      </w:r>
      <w:r w:rsidR="007027CA">
        <w:t xml:space="preserve"> ≥ class 2), chronic obstructive pulmonary disease, or moderate to severe asthma (requiring inhaled steroids to control the symptoms or has been prescribed a course of oral corticosteroids in the past year), or aged 55 years and older</w:t>
      </w:r>
      <w:r>
        <w:t>’</w:t>
      </w:r>
      <w:r w:rsidR="007027CA">
        <w:t>.</w:t>
      </w:r>
    </w:p>
    <w:p w14:paraId="64420853" w14:textId="77777777" w:rsidR="007027CA" w:rsidRDefault="007027CA" w:rsidP="007027CA">
      <w:r>
        <w:t xml:space="preserve">The ACM were of the view that following indication is appropriate: </w:t>
      </w:r>
    </w:p>
    <w:p w14:paraId="54463B95" w14:textId="422AEBFD" w:rsidR="007027CA" w:rsidRDefault="007027CA" w:rsidP="007027CA">
      <w:pPr>
        <w:ind w:left="720"/>
      </w:pPr>
      <w:r>
        <w:rPr>
          <w:i/>
          <w:iCs/>
        </w:rPr>
        <w:t>XEVUDY has provisional approval for the treatment of adults and adolescents (aged</w:t>
      </w:r>
      <w:r w:rsidR="00654B80">
        <w:rPr>
          <w:i/>
          <w:iCs/>
        </w:rPr>
        <w:t> </w:t>
      </w:r>
      <w:r>
        <w:rPr>
          <w:i/>
          <w:iCs/>
        </w:rPr>
        <w:t xml:space="preserve">12 years and over and weighing at least 40 kg) with coronavirus disease 2019 (COVID-19) who do not require initiation of oxygen due to COVID-19 and who are at increased risk of progression to hospitalisation or death (see Section 5.1 PHARMACODYNAMIC PROPERTIES, Clinical Trials). </w:t>
      </w:r>
    </w:p>
    <w:p w14:paraId="25689E65" w14:textId="77777777" w:rsidR="007027CA" w:rsidRDefault="007027CA" w:rsidP="007027CA">
      <w:pPr>
        <w:ind w:left="720"/>
      </w:pPr>
      <w:r>
        <w:rPr>
          <w:i/>
          <w:iCs/>
        </w:rPr>
        <w:t xml:space="preserve">The decision has been made on the basis of short term efficacy and safety data. Continued approval depends on the evidence of longer term efficacy and safety from ongoing clinical trials and post-market assessment. </w:t>
      </w:r>
    </w:p>
    <w:p w14:paraId="707F13CA" w14:textId="0AEC004D" w:rsidR="007027CA" w:rsidRDefault="007027CA" w:rsidP="007027CA">
      <w:r>
        <w:t>The ACM agreed that while the single COMET-ICE human study is pre-print and yet to be peer-reviewed, it appears to be a reasonably well-conducted study with promising interim results. The ACM emphasised that this would be the first monoclonal antibody treatment available in Australia to prevent the progression of disease in high risk patients, so is potentially a life-saving option.</w:t>
      </w:r>
    </w:p>
    <w:p w14:paraId="76C5FBA0" w14:textId="77777777" w:rsidR="007027CA" w:rsidRDefault="007027CA" w:rsidP="007027CA">
      <w:pPr>
        <w:rPr>
          <w:lang w:eastAsia="en-AU"/>
        </w:rPr>
      </w:pPr>
      <w:r>
        <w:rPr>
          <w:lang w:eastAsia="en-AU"/>
        </w:rPr>
        <w:t>The ACM commented that the study is not powered to detect potential rare/very rare adverse drug reactions (ADRs) and that the long-term safety (beyond a median follow up of 103 days) is not known. The ACM advised that further data are needed, particularly on efficacy, safety, and pharmacokinetics in paediatric and adolescent patients, pregnancy/lactation, immunocompromised patients, hepatic and renal failure, patients who have had a COVID vaccine, and for repeat dosing.</w:t>
      </w:r>
    </w:p>
    <w:p w14:paraId="1AD4392E" w14:textId="7F16E1E6" w:rsidR="007027CA" w:rsidRPr="00416751" w:rsidRDefault="007027CA" w:rsidP="007027CA">
      <w:pPr>
        <w:rPr>
          <w:lang w:eastAsia="en-AU"/>
        </w:rPr>
      </w:pPr>
      <w:r>
        <w:rPr>
          <w:lang w:eastAsia="en-AU"/>
        </w:rPr>
        <w:t>The ACM noted there are no data currently available for the use of XEVUDY in the 12 to 18 year old age group, but agreed that pharmacokinetic data and current safety data suggest this drug may be adequately safe in this age group. The ACM were of the opinion that the overall effect size is likely to be substantially smaller in children and adolescents since this population has less progression to severe disease. The ACM advised that safety data must be gathered and provided for paediatrics (through the COMET-PACE trial and Australian data) and pregnant/breastfeeding persons (through the COVID-</w:t>
      </w:r>
      <w:r w:rsidR="00654B80">
        <w:rPr>
          <w:lang w:eastAsia="en-AU"/>
        </w:rPr>
        <w:t>19</w:t>
      </w:r>
      <w:r>
        <w:rPr>
          <w:lang w:eastAsia="en-AU"/>
        </w:rPr>
        <w:t xml:space="preserve"> International </w:t>
      </w:r>
      <w:r w:rsidRPr="007027CA">
        <w:rPr>
          <w:lang w:eastAsia="en-AU"/>
        </w:rPr>
        <w:t>Drug Pregnancy Registry). The ACM also advised that clinical trial and observational data should be collected to report on efficacy in this population, noting that both Study</w:t>
      </w:r>
      <w:r w:rsidR="00654B80">
        <w:rPr>
          <w:lang w:eastAsia="en-AU"/>
        </w:rPr>
        <w:t> </w:t>
      </w:r>
      <w:r w:rsidRPr="007027CA">
        <w:rPr>
          <w:lang w:eastAsia="en-AU"/>
        </w:rPr>
        <w:t xml:space="preserve">NCT04913675 (intramuscular versus intravenous </w:t>
      </w:r>
      <w:r w:rsidR="00654B80" w:rsidRPr="007027CA">
        <w:rPr>
          <w:lang w:eastAsia="en-AU"/>
        </w:rPr>
        <w:t>Xevudy</w:t>
      </w:r>
      <w:r w:rsidRPr="007027CA">
        <w:rPr>
          <w:lang w:eastAsia="en-AU"/>
        </w:rPr>
        <w:t>) and Study</w:t>
      </w:r>
      <w:r w:rsidR="00654B80">
        <w:rPr>
          <w:lang w:eastAsia="en-AU"/>
        </w:rPr>
        <w:t> </w:t>
      </w:r>
      <w:r w:rsidRPr="007027CA">
        <w:rPr>
          <w:lang w:eastAsia="en-AU"/>
        </w:rPr>
        <w:t>NCT04790786 (</w:t>
      </w:r>
      <w:r w:rsidR="00654B80" w:rsidRPr="007027CA">
        <w:rPr>
          <w:lang w:eastAsia="en-AU"/>
        </w:rPr>
        <w:t>Xevudy</w:t>
      </w:r>
      <w:r w:rsidRPr="007027CA">
        <w:rPr>
          <w:lang w:eastAsia="en-AU"/>
        </w:rPr>
        <w:t xml:space="preserve"> versus other monoclonals) are currently enrolling participants aged 12 years and older.</w:t>
      </w:r>
    </w:p>
    <w:p w14:paraId="40D72A50" w14:textId="35485C5B" w:rsidR="007027CA" w:rsidRDefault="00416751" w:rsidP="007027CA">
      <w:pPr>
        <w:pStyle w:val="Numberbullet0"/>
        <w:rPr>
          <w:b/>
          <w:i/>
        </w:rPr>
      </w:pPr>
      <w:r w:rsidRPr="00416751">
        <w:rPr>
          <w:b/>
          <w:i/>
        </w:rPr>
        <w:t>The committee is also requested to provide advice on any other issues that it thinks may be relevant to a decision on whether or not to approve this application.</w:t>
      </w:r>
    </w:p>
    <w:p w14:paraId="799B8066" w14:textId="2BE53881" w:rsidR="007027CA" w:rsidRPr="007027CA" w:rsidRDefault="007027CA" w:rsidP="007027CA">
      <w:r w:rsidRPr="007027CA">
        <w:t xml:space="preserve">The ACM advised that </w:t>
      </w:r>
      <w:r w:rsidRPr="00641188">
        <w:rPr>
          <w:i/>
          <w:iCs/>
        </w:rPr>
        <w:t>in vivo</w:t>
      </w:r>
      <w:r w:rsidRPr="00641188">
        <w:t xml:space="preserve"> </w:t>
      </w:r>
      <w:r w:rsidRPr="007027CA">
        <w:t>efficacy data needs to be collected against the delta and other variants.</w:t>
      </w:r>
    </w:p>
    <w:p w14:paraId="5D99BD58" w14:textId="77777777" w:rsidR="007027CA" w:rsidRPr="007027CA" w:rsidRDefault="007027CA" w:rsidP="007027CA">
      <w:r w:rsidRPr="007027CA">
        <w:t xml:space="preserve">The ACM agreed that additional efficacy data needs to be collected in the immunocompromised population, although they were of the view that there is no reason to believe that it would not work in this population. Ongoing data should also be collected on antibody-dependent enhancement, hypersensitivity reactions and other severe adverse drug events. </w:t>
      </w:r>
    </w:p>
    <w:p w14:paraId="6E01AF35" w14:textId="47D11172" w:rsidR="007027CA" w:rsidRPr="00641188" w:rsidRDefault="007027CA" w:rsidP="007027CA">
      <w:r w:rsidRPr="007027CA">
        <w:t>The ACM suggested an informed consent process should also be implemented for paediatric prescribing of this product, acknowle</w:t>
      </w:r>
      <w:r w:rsidRPr="00641188">
        <w:t>dging the lack of paediatric data to date.</w:t>
      </w:r>
    </w:p>
    <w:p w14:paraId="51AB8714" w14:textId="77777777" w:rsidR="007027CA" w:rsidRPr="00641188" w:rsidRDefault="007027CA" w:rsidP="007027CA">
      <w:r w:rsidRPr="00641188">
        <w:t xml:space="preserve">The ACM were of the view that use in pregnant women with comorbidities will come down to an individual risk benefit discussion between the patient and healthcare provider. </w:t>
      </w:r>
    </w:p>
    <w:p w14:paraId="340BD651" w14:textId="4F29FF7D" w:rsidR="007027CA" w:rsidRDefault="007027CA" w:rsidP="007027CA">
      <w:r w:rsidRPr="007027CA">
        <w:t>The ACM discussed risk stratification. The ACM agreed that the pivotal consideration is the comorbidities, rather than age, particularly multiple combinations of comorbidities, such as</w:t>
      </w:r>
      <w:r>
        <w:t>:</w:t>
      </w:r>
    </w:p>
    <w:p w14:paraId="2CE137A2" w14:textId="04756031" w:rsidR="007027CA" w:rsidRDefault="007027CA" w:rsidP="007027CA">
      <w:pPr>
        <w:pStyle w:val="ListBullet"/>
      </w:pPr>
      <w:r>
        <w:t>diabetes requiring medication,</w:t>
      </w:r>
    </w:p>
    <w:p w14:paraId="572007E9" w14:textId="707BC4C1" w:rsidR="007027CA" w:rsidRDefault="007027CA" w:rsidP="007027CA">
      <w:pPr>
        <w:pStyle w:val="ListBullet"/>
      </w:pPr>
      <w:r>
        <w:t xml:space="preserve">obesity (BMI </w:t>
      </w:r>
      <w:r w:rsidR="00654B80">
        <w:t xml:space="preserve">[body mass index] </w:t>
      </w:r>
      <w:r>
        <w:t>&gt; 30),</w:t>
      </w:r>
    </w:p>
    <w:p w14:paraId="02DC491E" w14:textId="3482F6EF" w:rsidR="007027CA" w:rsidRDefault="007027CA" w:rsidP="007027CA">
      <w:pPr>
        <w:pStyle w:val="ListBullet"/>
      </w:pPr>
      <w:r>
        <w:t>chronic kidney disease (eGFR</w:t>
      </w:r>
      <w:r w:rsidR="00654B80">
        <w:t xml:space="preserve"> </w:t>
      </w:r>
      <w:r>
        <w:t>&lt; 60 mL/min),</w:t>
      </w:r>
    </w:p>
    <w:p w14:paraId="57EDC4B6" w14:textId="0C4FC4C3" w:rsidR="007027CA" w:rsidRDefault="007027CA" w:rsidP="007027CA">
      <w:pPr>
        <w:pStyle w:val="ListBullet"/>
      </w:pPr>
      <w:r>
        <w:t xml:space="preserve">congestive heart failure (NHYA </w:t>
      </w:r>
      <w:r w:rsidR="00654B80">
        <w:t xml:space="preserve">[New York Heart Association] </w:t>
      </w:r>
      <w:r>
        <w:t>≥ class 2),</w:t>
      </w:r>
      <w:r w:rsidR="00654B80" w:rsidRPr="00CF1D4F">
        <w:rPr>
          <w:vertAlign w:val="superscript"/>
        </w:rPr>
        <w:fldChar w:fldCharType="begin"/>
      </w:r>
      <w:r w:rsidR="00654B80" w:rsidRPr="00CF1D4F">
        <w:rPr>
          <w:vertAlign w:val="superscript"/>
        </w:rPr>
        <w:instrText xml:space="preserve"> NOTEREF _Ref80057483 \h </w:instrText>
      </w:r>
      <w:r w:rsidR="00654B80">
        <w:rPr>
          <w:vertAlign w:val="superscript"/>
        </w:rPr>
        <w:instrText xml:space="preserve"> \* MERGEFORMAT </w:instrText>
      </w:r>
      <w:r w:rsidR="00654B80" w:rsidRPr="00CF1D4F">
        <w:rPr>
          <w:vertAlign w:val="superscript"/>
        </w:rPr>
      </w:r>
      <w:r w:rsidR="00654B80" w:rsidRPr="00CF1D4F">
        <w:rPr>
          <w:vertAlign w:val="superscript"/>
        </w:rPr>
        <w:fldChar w:fldCharType="separate"/>
      </w:r>
      <w:r w:rsidR="00F601F5">
        <w:rPr>
          <w:vertAlign w:val="superscript"/>
        </w:rPr>
        <w:t>24</w:t>
      </w:r>
      <w:r w:rsidR="00654B80" w:rsidRPr="00CF1D4F">
        <w:rPr>
          <w:vertAlign w:val="superscript"/>
        </w:rPr>
        <w:fldChar w:fldCharType="end"/>
      </w:r>
    </w:p>
    <w:p w14:paraId="57A05887" w14:textId="2C61F1BE" w:rsidR="007027CA" w:rsidRDefault="007027CA" w:rsidP="007027CA">
      <w:pPr>
        <w:pStyle w:val="ListBullet"/>
      </w:pPr>
      <w:r>
        <w:t>chronic obstructive pulmonary disease, or</w:t>
      </w:r>
    </w:p>
    <w:p w14:paraId="193B5061" w14:textId="4E3FDDA9" w:rsidR="007027CA" w:rsidRDefault="007027CA" w:rsidP="007027CA">
      <w:pPr>
        <w:pStyle w:val="ListBullet"/>
      </w:pPr>
      <w:r>
        <w:t>moderate to severe asthma (requiring inhaled steroids to control the symptoms or has been prescribed a course of oral corticosteroids in the past year).</w:t>
      </w:r>
    </w:p>
    <w:p w14:paraId="320CB928" w14:textId="13B581C3" w:rsidR="007027CA" w:rsidRDefault="007027CA" w:rsidP="007027CA">
      <w:r>
        <w:t>The ACM noted that only 11% of people in the clinical studies were over the age of 70</w:t>
      </w:r>
      <w:r w:rsidR="00654B80">
        <w:t> </w:t>
      </w:r>
      <w:r>
        <w:t>years old, as such there is limited data to support its efficacy within this population in the absence of comorbidities.</w:t>
      </w:r>
    </w:p>
    <w:p w14:paraId="2D280B93" w14:textId="77777777" w:rsidR="007027CA" w:rsidRDefault="007027CA" w:rsidP="007027CA">
      <w:r>
        <w:t>As the therapeutic benefit of this drug is in reducing hospitalisation and ICU admission, the ACM were of the view it should be limited to patients for whom these options would be considered.</w:t>
      </w:r>
    </w:p>
    <w:p w14:paraId="7450CA49" w14:textId="7DFFC66C" w:rsidR="007027CA" w:rsidRDefault="007027CA" w:rsidP="007027CA">
      <w:r>
        <w:t>The ACM advised that Xevudy should not be used in hospitalised patients or those who require oxygen therapy due to COVID-19, and careful consideration should be given to the location of administration as there is a rare possibility of anaphylaxis. There are also no data to support to use of Xevudy in those who have had symptoms for more than 5 days.</w:t>
      </w:r>
    </w:p>
    <w:p w14:paraId="03276B26" w14:textId="5A6D4216" w:rsidR="007027CA" w:rsidRPr="007027CA" w:rsidRDefault="007027CA" w:rsidP="007027CA">
      <w:r>
        <w:t>The ACM reiterated its view that vaccination is the preferred and primary option to prevent COVID-19.</w:t>
      </w:r>
    </w:p>
    <w:p w14:paraId="7E426108" w14:textId="77777777" w:rsidR="00744121" w:rsidRDefault="00744121" w:rsidP="00744121">
      <w:pPr>
        <w:pStyle w:val="Heading5"/>
      </w:pPr>
      <w:r>
        <w:t>Conclusion</w:t>
      </w:r>
    </w:p>
    <w:p w14:paraId="7113C1F3" w14:textId="77777777" w:rsidR="007027CA" w:rsidRPr="007027CA" w:rsidRDefault="007027CA" w:rsidP="007027CA">
      <w:r w:rsidRPr="007027CA">
        <w:t>The ACM considered this product to have an overall positive benefit-risk profile for the indication:</w:t>
      </w:r>
    </w:p>
    <w:p w14:paraId="1E04811D" w14:textId="29218203" w:rsidR="007027CA" w:rsidRPr="007027CA" w:rsidRDefault="007027CA" w:rsidP="007027CA">
      <w:pPr>
        <w:ind w:left="720"/>
        <w:rPr>
          <w:i/>
          <w:iCs/>
        </w:rPr>
      </w:pPr>
      <w:r w:rsidRPr="007027CA">
        <w:rPr>
          <w:i/>
          <w:iCs/>
        </w:rPr>
        <w:t>X</w:t>
      </w:r>
      <w:r>
        <w:rPr>
          <w:i/>
          <w:iCs/>
        </w:rPr>
        <w:t>evudy</w:t>
      </w:r>
      <w:r w:rsidRPr="007027CA">
        <w:rPr>
          <w:i/>
          <w:iCs/>
        </w:rPr>
        <w:t xml:space="preserve"> has provisional approval for the treatment of adults and adolescents (aged 12 years and over and weighing at least 40 kg) with coronavirus disease 2019 (COVID-19) who do not require initiation of oxygen due to COVID-19 and who are at increased risk of progression to hospitalisation or death (see Section 5.1 P</w:t>
      </w:r>
      <w:r>
        <w:rPr>
          <w:i/>
          <w:iCs/>
        </w:rPr>
        <w:t>harmacodynamic properties</w:t>
      </w:r>
      <w:r w:rsidRPr="007027CA">
        <w:rPr>
          <w:i/>
          <w:iCs/>
        </w:rPr>
        <w:t xml:space="preserve">, </w:t>
      </w:r>
      <w:r>
        <w:rPr>
          <w:i/>
          <w:iCs/>
        </w:rPr>
        <w:t>c</w:t>
      </w:r>
      <w:r w:rsidRPr="007027CA">
        <w:rPr>
          <w:i/>
          <w:iCs/>
        </w:rPr>
        <w:t xml:space="preserve">linical </w:t>
      </w:r>
      <w:r>
        <w:rPr>
          <w:i/>
          <w:iCs/>
        </w:rPr>
        <w:t>t</w:t>
      </w:r>
      <w:r w:rsidRPr="007027CA">
        <w:rPr>
          <w:i/>
          <w:iCs/>
        </w:rPr>
        <w:t>rials).</w:t>
      </w:r>
    </w:p>
    <w:p w14:paraId="30963536" w14:textId="77777777" w:rsidR="007027CA" w:rsidRPr="007027CA" w:rsidRDefault="007027CA" w:rsidP="007027CA">
      <w:pPr>
        <w:ind w:left="720"/>
        <w:rPr>
          <w:b/>
          <w:bCs/>
          <w:i/>
          <w:iCs/>
        </w:rPr>
      </w:pPr>
      <w:r w:rsidRPr="007027CA">
        <w:rPr>
          <w:i/>
          <w:iCs/>
        </w:rPr>
        <w:t>The decision has been made on the basis of short term efficacy and safety data. Continued approval depends on the evidence of longer term efficacy and safety from ongoing clinical trials and post-market assessment.</w:t>
      </w:r>
    </w:p>
    <w:p w14:paraId="4EADDB1C" w14:textId="6227EC04" w:rsidR="008E7846" w:rsidRPr="002E238E" w:rsidRDefault="008E7846" w:rsidP="007027CA">
      <w:pPr>
        <w:pStyle w:val="Heading3"/>
      </w:pPr>
      <w:bookmarkStart w:id="67" w:name="_Toc80080863"/>
      <w:r>
        <w:t>Outcome</w:t>
      </w:r>
      <w:bookmarkEnd w:id="65"/>
      <w:bookmarkEnd w:id="66"/>
      <w:bookmarkEnd w:id="67"/>
    </w:p>
    <w:p w14:paraId="7DAC99F7" w14:textId="72AC82CF" w:rsidR="007D53B6" w:rsidRPr="009C73A5" w:rsidRDefault="00744121" w:rsidP="00744121">
      <w:bookmarkStart w:id="68" w:name="_Toc247691533"/>
      <w:bookmarkStart w:id="69" w:name="_Toc314842517"/>
      <w:r w:rsidRPr="009C73A5">
        <w:t xml:space="preserve">Based on a review of quality, safety and efficacy, the TGA approved the registration of </w:t>
      </w:r>
      <w:r w:rsidR="009C73A5" w:rsidRPr="009C73A5">
        <w:t>Xevudy (sotrovimab</w:t>
      </w:r>
      <w:r w:rsidRPr="009C73A5">
        <w:t>)</w:t>
      </w:r>
      <w:r w:rsidR="009C73A5">
        <w:t xml:space="preserve">, </w:t>
      </w:r>
      <w:r w:rsidR="009C73A5" w:rsidRPr="009C73A5">
        <w:t>500 mg in 8 mL</w:t>
      </w:r>
      <w:r w:rsidRPr="009C73A5">
        <w:t>,</w:t>
      </w:r>
      <w:r w:rsidR="009C73A5" w:rsidRPr="009C73A5">
        <w:t xml:space="preserve"> concentrated injection solution for infusion</w:t>
      </w:r>
      <w:r w:rsidRPr="009C73A5">
        <w:t xml:space="preserve">, </w:t>
      </w:r>
      <w:r w:rsidR="009C73A5" w:rsidRPr="009C73A5">
        <w:t>vial</w:t>
      </w:r>
      <w:r w:rsidR="009C73A5">
        <w:t xml:space="preserve"> </w:t>
      </w:r>
      <w:r w:rsidRPr="009C73A5">
        <w:t xml:space="preserve">indicated </w:t>
      </w:r>
      <w:r w:rsidR="007027CA" w:rsidRPr="009C73A5">
        <w:t>for</w:t>
      </w:r>
      <w:r w:rsidRPr="009C73A5">
        <w:t>:</w:t>
      </w:r>
    </w:p>
    <w:p w14:paraId="6D8F3551" w14:textId="1B313318" w:rsidR="009C73A5" w:rsidRPr="009C73A5" w:rsidRDefault="009C73A5" w:rsidP="009C73A5">
      <w:pPr>
        <w:ind w:left="720"/>
        <w:rPr>
          <w:i/>
          <w:iCs/>
        </w:rPr>
      </w:pPr>
      <w:r w:rsidRPr="009C73A5">
        <w:rPr>
          <w:i/>
          <w:iCs/>
        </w:rPr>
        <w:t>X</w:t>
      </w:r>
      <w:r>
        <w:rPr>
          <w:i/>
          <w:iCs/>
        </w:rPr>
        <w:t xml:space="preserve">evudy </w:t>
      </w:r>
      <w:r w:rsidRPr="009C73A5">
        <w:rPr>
          <w:i/>
          <w:iCs/>
        </w:rPr>
        <w:t>has provisional approval for the treatment of adults and adolescents (aged 12 years and over and weighing at least 40 kg) with coronavirus disease 2019 (COVID-19) who do not require initiation of oxygen due to COVID-19 and who are at increased risk of progression to hospitalisation or death (see Section 5.1 P</w:t>
      </w:r>
      <w:r>
        <w:rPr>
          <w:i/>
          <w:iCs/>
        </w:rPr>
        <w:t>harmacodynamic properties, clinical trials</w:t>
      </w:r>
      <w:r w:rsidRPr="009C73A5">
        <w:rPr>
          <w:i/>
          <w:iCs/>
        </w:rPr>
        <w:t>).</w:t>
      </w:r>
    </w:p>
    <w:p w14:paraId="619B9EA0" w14:textId="29FD4CA7" w:rsidR="00744121" w:rsidRPr="009C73A5" w:rsidRDefault="009C73A5" w:rsidP="009C73A5">
      <w:pPr>
        <w:ind w:left="720"/>
        <w:rPr>
          <w:i/>
          <w:iCs/>
        </w:rPr>
      </w:pPr>
      <w:r w:rsidRPr="009C73A5">
        <w:rPr>
          <w:i/>
          <w:iCs/>
        </w:rPr>
        <w:t>The decision has been made on the basis of short term efficacy and safety data. Continued approval of this indication depends on the evidence of longer term efficacy and safety from ongoing clinical trials and post-market assessment.</w:t>
      </w:r>
    </w:p>
    <w:p w14:paraId="53AC7352" w14:textId="656CC6BD" w:rsidR="009F48CB" w:rsidRDefault="00D23139" w:rsidP="009F48CB">
      <w:pPr>
        <w:pStyle w:val="Heading4"/>
      </w:pPr>
      <w:r w:rsidRPr="00D23139">
        <w:t>Specific conditions of registration applying to these goods</w:t>
      </w:r>
    </w:p>
    <w:p w14:paraId="18B3C06F" w14:textId="2CBC8B7C" w:rsidR="009F48CB" w:rsidRPr="00B4338F" w:rsidRDefault="009F48CB" w:rsidP="009F48CB">
      <w:pPr>
        <w:pStyle w:val="ListBullet"/>
      </w:pPr>
      <w:bookmarkStart w:id="70" w:name="_Hlk80093721"/>
      <w:r w:rsidRPr="00B4338F">
        <w:t>R</w:t>
      </w:r>
      <w:r>
        <w:t xml:space="preserve">isk </w:t>
      </w:r>
      <w:r w:rsidRPr="00B4338F">
        <w:t>M</w:t>
      </w:r>
      <w:r>
        <w:t xml:space="preserve">anagement </w:t>
      </w:r>
      <w:r w:rsidRPr="00B4338F">
        <w:t>P</w:t>
      </w:r>
      <w:r>
        <w:t>lan</w:t>
      </w:r>
    </w:p>
    <w:p w14:paraId="2C278A8E" w14:textId="273F56EA" w:rsidR="009F48CB" w:rsidRPr="00656356" w:rsidRDefault="009F48CB" w:rsidP="009F48CB">
      <w:pPr>
        <w:pStyle w:val="ListBullet"/>
        <w:numPr>
          <w:ilvl w:val="0"/>
          <w:numId w:val="0"/>
        </w:numPr>
        <w:ind w:left="360"/>
      </w:pPr>
      <w:r w:rsidRPr="00656356">
        <w:rPr>
          <w:snapToGrid w:val="0"/>
        </w:rPr>
        <w:t>Sotrovimab (X</w:t>
      </w:r>
      <w:r>
        <w:rPr>
          <w:snapToGrid w:val="0"/>
        </w:rPr>
        <w:t>evudy</w:t>
      </w:r>
      <w:r w:rsidRPr="00656356">
        <w:rPr>
          <w:snapToGrid w:val="0"/>
        </w:rPr>
        <w:t xml:space="preserve">) is to be included in the Black Triangle Scheme. The </w:t>
      </w:r>
      <w:r w:rsidR="006868FB">
        <w:t>PI</w:t>
      </w:r>
      <w:r w:rsidR="006868FB" w:rsidRPr="00783BD3">
        <w:t xml:space="preserve"> and </w:t>
      </w:r>
      <w:r w:rsidR="006868FB">
        <w:t xml:space="preserve">CMI </w:t>
      </w:r>
      <w:r w:rsidRPr="00656356">
        <w:rPr>
          <w:snapToGrid w:val="0"/>
        </w:rPr>
        <w:t>for X</w:t>
      </w:r>
      <w:r>
        <w:rPr>
          <w:snapToGrid w:val="0"/>
        </w:rPr>
        <w:t xml:space="preserve">evudy </w:t>
      </w:r>
      <w:r w:rsidRPr="00656356">
        <w:rPr>
          <w:snapToGrid w:val="0"/>
        </w:rPr>
        <w:t>must include the black triangle symbol and mandatory accompanying text for the period of provisional registration.</w:t>
      </w:r>
    </w:p>
    <w:p w14:paraId="03FB4048" w14:textId="1C21EE60" w:rsidR="009F48CB" w:rsidRPr="00656356" w:rsidRDefault="009F48CB" w:rsidP="009F48CB">
      <w:pPr>
        <w:pStyle w:val="ListBullet"/>
        <w:numPr>
          <w:ilvl w:val="0"/>
          <w:numId w:val="0"/>
        </w:numPr>
        <w:ind w:left="360"/>
        <w:rPr>
          <w:snapToGrid w:val="0"/>
        </w:rPr>
      </w:pPr>
      <w:r w:rsidRPr="00656356">
        <w:rPr>
          <w:snapToGrid w:val="0"/>
        </w:rPr>
        <w:t>The X</w:t>
      </w:r>
      <w:r>
        <w:rPr>
          <w:snapToGrid w:val="0"/>
        </w:rPr>
        <w:t>evudy</w:t>
      </w:r>
      <w:r w:rsidRPr="00656356">
        <w:rPr>
          <w:snapToGrid w:val="0"/>
        </w:rPr>
        <w:t xml:space="preserve"> E</w:t>
      </w:r>
      <w:r>
        <w:rPr>
          <w:snapToGrid w:val="0"/>
        </w:rPr>
        <w:t xml:space="preserve">uropean </w:t>
      </w:r>
      <w:r w:rsidRPr="00656356">
        <w:rPr>
          <w:snapToGrid w:val="0"/>
        </w:rPr>
        <w:t>U</w:t>
      </w:r>
      <w:r>
        <w:rPr>
          <w:snapToGrid w:val="0"/>
        </w:rPr>
        <w:t>nion (EU)</w:t>
      </w:r>
      <w:r w:rsidRPr="00656356">
        <w:rPr>
          <w:snapToGrid w:val="0"/>
        </w:rPr>
        <w:t>-</w:t>
      </w:r>
      <w:r w:rsidR="006868FB">
        <w:rPr>
          <w:snapToGrid w:val="0"/>
        </w:rPr>
        <w:t>R</w:t>
      </w:r>
      <w:r w:rsidRPr="00656356">
        <w:rPr>
          <w:snapToGrid w:val="0"/>
        </w:rPr>
        <w:t>MP (version 1, undated, data lock point 27 April 2021), with Australian Specific Annex (version 1.2, dated 10 August 2021), included with submission PM-2021-01848-1-2, and any subsequent revisions, as agreed with the TGA will be implemented in Australia.</w:t>
      </w:r>
    </w:p>
    <w:p w14:paraId="58DDC3B3" w14:textId="2B97C71D" w:rsidR="009F48CB" w:rsidRPr="00656356" w:rsidRDefault="009F48CB" w:rsidP="009F48CB">
      <w:pPr>
        <w:pStyle w:val="ListBullet"/>
        <w:numPr>
          <w:ilvl w:val="0"/>
          <w:numId w:val="0"/>
        </w:numPr>
        <w:ind w:left="360"/>
      </w:pPr>
      <w:r w:rsidRPr="00656356">
        <w:t>Unless agreed separately between the supplier who is the recipient of the approval and the TGA, the first report must be submitted to TGA no later than 15 calendar months after the date of th</w:t>
      </w:r>
      <w:r>
        <w:t>e</w:t>
      </w:r>
      <w:r w:rsidRPr="00656356">
        <w:t xml:space="preserve"> approval letter. The subsequent reports must be submitted no less frequently than annually from the date of the first submitted report until the period covered by such reports is not less than three years from the date of th</w:t>
      </w:r>
      <w:r>
        <w:t>e</w:t>
      </w:r>
      <w:r w:rsidRPr="00656356">
        <w:t xml:space="preserve"> approval letter, or the entire period of provisional registration, whichever is longer.</w:t>
      </w:r>
    </w:p>
    <w:p w14:paraId="4EA9970C" w14:textId="70C40C7D" w:rsidR="009F48CB" w:rsidRPr="00656356" w:rsidRDefault="009F48CB" w:rsidP="009F48CB">
      <w:pPr>
        <w:pStyle w:val="ListBullet"/>
        <w:numPr>
          <w:ilvl w:val="0"/>
          <w:numId w:val="0"/>
        </w:numPr>
        <w:ind w:left="360"/>
        <w:rPr>
          <w:snapToGrid w:val="0"/>
        </w:rPr>
      </w:pPr>
      <w:r w:rsidRPr="00656356">
        <w:rPr>
          <w:snapToGrid w:val="0"/>
        </w:rPr>
        <w:t xml:space="preserve">The reports are to at least meet the requirements for PSURs as described in the European Medicines Agency’s Guideline on </w:t>
      </w:r>
      <w:r w:rsidR="006868FB">
        <w:rPr>
          <w:snapToGrid w:val="0"/>
        </w:rPr>
        <w:t>G</w:t>
      </w:r>
      <w:r w:rsidRPr="00656356">
        <w:rPr>
          <w:snapToGrid w:val="0"/>
        </w:rPr>
        <w:t xml:space="preserve">ood </w:t>
      </w:r>
      <w:r w:rsidR="006868FB">
        <w:rPr>
          <w:snapToGrid w:val="0"/>
        </w:rPr>
        <w:t>P</w:t>
      </w:r>
      <w:r w:rsidRPr="00656356">
        <w:rPr>
          <w:snapToGrid w:val="0"/>
        </w:rPr>
        <w:t xml:space="preserve">harmacovigilance </w:t>
      </w:r>
      <w:r w:rsidR="006868FB">
        <w:rPr>
          <w:snapToGrid w:val="0"/>
        </w:rPr>
        <w:t>P</w:t>
      </w:r>
      <w:r w:rsidRPr="00656356">
        <w:rPr>
          <w:snapToGrid w:val="0"/>
        </w:rPr>
        <w:t>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6AF8CDE3" w14:textId="10FBD46C" w:rsidR="009F48CB" w:rsidRPr="009F48CB" w:rsidRDefault="009F48CB" w:rsidP="009F48CB">
      <w:pPr>
        <w:pStyle w:val="ListBullet"/>
        <w:numPr>
          <w:ilvl w:val="0"/>
          <w:numId w:val="0"/>
        </w:numPr>
        <w:ind w:left="360"/>
        <w:rPr>
          <w:sz w:val="23"/>
          <w:szCs w:val="23"/>
        </w:rPr>
      </w:pPr>
      <w:r w:rsidRPr="00656356">
        <w:rPr>
          <w:lang w:eastAsia="en-AU"/>
        </w:rPr>
        <w:t>Additional to the submission of PSURs, expedited X</w:t>
      </w:r>
      <w:r>
        <w:rPr>
          <w:lang w:eastAsia="en-AU"/>
        </w:rPr>
        <w:t>evudy</w:t>
      </w:r>
      <w:r w:rsidRPr="00656356">
        <w:rPr>
          <w:lang w:eastAsia="en-AU"/>
        </w:rPr>
        <w:t xml:space="preserve"> monthly summary safety reports (including safety data for patients in Australia and reporting of Australia specific safety concerns) are to be provided for the first 6 months post registration, and thereafter at intervals specified by the TGA</w:t>
      </w:r>
      <w:r w:rsidRPr="00656356">
        <w:rPr>
          <w:rFonts w:ascii="Calibri" w:hAnsi="Calibri"/>
          <w:lang w:eastAsia="en-AU"/>
        </w:rPr>
        <w:t>.</w:t>
      </w:r>
    </w:p>
    <w:p w14:paraId="7F5B6D6E" w14:textId="434C8E38" w:rsidR="009F48CB" w:rsidRDefault="009F48CB" w:rsidP="009F48CB">
      <w:pPr>
        <w:pStyle w:val="ListBullet"/>
      </w:pPr>
      <w:r>
        <w:t>Laboratory testing &amp; compliance with Certified Product Details (CPD)</w:t>
      </w:r>
    </w:p>
    <w:p w14:paraId="28C2E35D" w14:textId="7A0EF1A8" w:rsidR="009F48CB" w:rsidRDefault="009F48CB" w:rsidP="009F48CB">
      <w:pPr>
        <w:pStyle w:val="ListBullet2"/>
      </w:pPr>
      <w:r>
        <w:t>1. All batches of Xevudy sotrovimab 500 mg in 8 mL concentrated injection solution for infusion, glass vial supplied in Australia must comply with the product details and specifications approved during evaluation and detailed in the Certified Product Details (CPD).</w:t>
      </w:r>
    </w:p>
    <w:p w14:paraId="2D9048F4" w14:textId="2D03EE1D" w:rsidR="009F48CB" w:rsidRDefault="009F48CB" w:rsidP="009F48CB">
      <w:pPr>
        <w:pStyle w:val="ListBullet2"/>
      </w:pPr>
      <w:r>
        <w:t>2. 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5317632F" w14:textId="6F08E52B" w:rsidR="009F48CB" w:rsidRDefault="009F48CB" w:rsidP="009F48CB">
      <w:pPr>
        <w:pStyle w:val="ListBullet"/>
      </w:pPr>
      <w:r>
        <w:t>Certified Product Details</w:t>
      </w:r>
    </w:p>
    <w:p w14:paraId="42A36898" w14:textId="4344F371" w:rsidR="009F48CB" w:rsidRDefault="009F48CB" w:rsidP="009F48CB">
      <w:pPr>
        <w:pStyle w:val="ListBullet"/>
        <w:numPr>
          <w:ilvl w:val="0"/>
          <w:numId w:val="0"/>
        </w:numPr>
        <w:ind w:left="360"/>
      </w:pPr>
      <w:r>
        <w:t>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25BA8B49" w14:textId="3C8E857A" w:rsidR="00D51502" w:rsidRPr="00D51502" w:rsidRDefault="00D51502" w:rsidP="00D51502">
      <w:pPr>
        <w:pStyle w:val="ListBullet"/>
      </w:pPr>
      <w:r w:rsidRPr="00D51502">
        <w:t>Clinical</w:t>
      </w:r>
    </w:p>
    <w:p w14:paraId="0D8B8BE8" w14:textId="4E336BC7" w:rsidR="00D51502" w:rsidRDefault="00D51502" w:rsidP="00D51502">
      <w:pPr>
        <w:pStyle w:val="ListBullet"/>
        <w:numPr>
          <w:ilvl w:val="0"/>
          <w:numId w:val="0"/>
        </w:numPr>
        <w:ind w:left="360"/>
      </w:pPr>
      <w:r>
        <w:t>The following study reports/data will have to be submitted before a definitive authorisation can be considered:</w:t>
      </w:r>
    </w:p>
    <w:p w14:paraId="3D83096A" w14:textId="007E28C5" w:rsidR="00D51502" w:rsidRDefault="00D51502" w:rsidP="00D51502">
      <w:pPr>
        <w:pStyle w:val="ListBullet2"/>
      </w:pPr>
      <w:r>
        <w:t>Submit the final report/clinical study report for Study ‘COMET-ICE’ with 24 weeks follow up duration when it becomes available.</w:t>
      </w:r>
    </w:p>
    <w:p w14:paraId="670D01F2" w14:textId="1B2323AC" w:rsidR="00D51502" w:rsidRDefault="00D51502" w:rsidP="00D51502">
      <w:pPr>
        <w:pStyle w:val="ListBullet2"/>
      </w:pPr>
      <w:r>
        <w:t>Submit the additional studies that are planned as part of the conditions for this provisional approval such as COVID-19 International Drug Pregnancy Registry, COMET-PACE Paediatric study, when available.</w:t>
      </w:r>
    </w:p>
    <w:p w14:paraId="09A39FE2" w14:textId="26441F92" w:rsidR="00D51502" w:rsidRDefault="00D51502" w:rsidP="00D51502">
      <w:pPr>
        <w:pStyle w:val="ListBullet2"/>
      </w:pPr>
      <w:r>
        <w:t xml:space="preserve">When available, further data relating to efficacy, safety, and pharmacokinetics in paediatric and adolescent patients, pregnancy/lactation, immunocompromised patients, hepatic and renal failure, patients who have had a COVID-19 vaccine, and for repeat dosing. Safety data must be gathered and provided for paediatrics (through the COMET-PACE trial and Australian data) and pregnant/breastfeeding persons (through the COVID-19 International Drug Pregnancy Registry). Clinical trial and observational data should be collected to report on efficacy in this population, noting that both Study NCT04913675 (intramuscular versus intravenous Xevudy) and Study NCT04790786 (Xevudy versus other monoclonal antibodies) are currently enrolling participants aged 12 years and older. </w:t>
      </w:r>
      <w:r w:rsidRPr="00D51502">
        <w:rPr>
          <w:i/>
          <w:iCs/>
        </w:rPr>
        <w:t>In vivo</w:t>
      </w:r>
      <w:r>
        <w:t xml:space="preserve"> efficacy data needs to be collected against the delta and other variants. Ongoing data should also be collected on antibody-dependent enhancement, hypersensitivity reactions and other severe adverse drug events. Long term safety and the information relating to post-market safety and effectiveness studies should be provided to the TGA to update the Product information.</w:t>
      </w:r>
    </w:p>
    <w:p w14:paraId="6226D22E" w14:textId="5C12F06C" w:rsidR="00D51502" w:rsidRDefault="00D51502" w:rsidP="00D51502">
      <w:pPr>
        <w:pStyle w:val="ListBullet"/>
      </w:pPr>
      <w:r>
        <w:t>Confirmatory trial data (as identified in the sponsor’s plan to submit comprehensive clinical data on the safety and efficacy of the medicine before the end of the 6 years that would start on the day that registration would commence) must be provided.</w:t>
      </w:r>
    </w:p>
    <w:p w14:paraId="065A118C" w14:textId="5D9E40A4" w:rsidR="00D51502" w:rsidRDefault="00D51502" w:rsidP="00D51502">
      <w:pPr>
        <w:pStyle w:val="ListBullet"/>
        <w:numPr>
          <w:ilvl w:val="0"/>
          <w:numId w:val="0"/>
        </w:numPr>
        <w:ind w:left="360"/>
      </w:pPr>
      <w:r>
        <w:t>Specifically the sponsor must conduct studies as described in the clinical study plan in version 1.2 (dated 4 August 2021) of the Australia-Specific Annex. The following study report(s) should be submitted to TGA:</w:t>
      </w:r>
    </w:p>
    <w:p w14:paraId="485FCB60" w14:textId="77777777" w:rsidR="00D51502" w:rsidRDefault="00D51502" w:rsidP="00D51502">
      <w:pPr>
        <w:pStyle w:val="ListBullet2"/>
      </w:pPr>
      <w:r>
        <w:t>Study VIR-7831-5001 (214367), (also known as COMET-ICE)</w:t>
      </w:r>
    </w:p>
    <w:p w14:paraId="1E09FF76" w14:textId="77777777" w:rsidR="00D51502" w:rsidRDefault="00D51502" w:rsidP="00D51502">
      <w:pPr>
        <w:pStyle w:val="ListBullet2"/>
      </w:pPr>
      <w:r>
        <w:t xml:space="preserve">Study 216912 (also known as COMET-PEAK) </w:t>
      </w:r>
    </w:p>
    <w:p w14:paraId="009A26B1" w14:textId="77777777" w:rsidR="00D51502" w:rsidRDefault="00D51502" w:rsidP="00D51502">
      <w:pPr>
        <w:pStyle w:val="ListBullet2"/>
      </w:pPr>
      <w:r>
        <w:t>Study INSIGHT Protocol Number: 014/ACTIV-3-TICO (215149)</w:t>
      </w:r>
    </w:p>
    <w:p w14:paraId="34CAF917" w14:textId="77777777" w:rsidR="00D51502" w:rsidRDefault="00D51502" w:rsidP="00D51502">
      <w:pPr>
        <w:pStyle w:val="ListBullet2"/>
      </w:pPr>
      <w:r>
        <w:t>Study VIR-7831-5008 (217114), (also known as COMET-TAIL)</w:t>
      </w:r>
    </w:p>
    <w:p w14:paraId="69C2C850" w14:textId="77777777" w:rsidR="00D51502" w:rsidRDefault="00D51502" w:rsidP="00D51502">
      <w:pPr>
        <w:pStyle w:val="ListBullet2"/>
      </w:pPr>
      <w:r>
        <w:t>J2X-MC-PYAH (PYAH 05), (VIR-7831-5007), (also known as BLAZE-4)</w:t>
      </w:r>
    </w:p>
    <w:p w14:paraId="4EAC0DAE" w14:textId="186ED104" w:rsidR="009F48CB" w:rsidRDefault="00D51502" w:rsidP="009F48CB">
      <w:pPr>
        <w:pStyle w:val="ListBullet2"/>
      </w:pPr>
      <w:r>
        <w:t>Paediatric study COMET-PACE</w:t>
      </w:r>
    </w:p>
    <w:p w14:paraId="7AABC2FD" w14:textId="1946DD7F" w:rsidR="00D51502" w:rsidRDefault="00D51502" w:rsidP="009F48CB">
      <w:pPr>
        <w:pStyle w:val="ListBullet2"/>
        <w:numPr>
          <w:ilvl w:val="0"/>
          <w:numId w:val="0"/>
        </w:numPr>
        <w:ind w:left="360"/>
      </w:pPr>
      <w:r>
        <w:t>Further guidance for sponsors is available on the TGA website.</w:t>
      </w:r>
    </w:p>
    <w:p w14:paraId="070872A0" w14:textId="4116B886" w:rsidR="009F48CB" w:rsidRDefault="009F48CB" w:rsidP="009F48CB">
      <w:pPr>
        <w:pStyle w:val="ListBullet"/>
      </w:pPr>
      <w:r>
        <w:t>Quality</w:t>
      </w:r>
    </w:p>
    <w:p w14:paraId="0B496C67" w14:textId="45D4FB00" w:rsidR="00D51502" w:rsidRDefault="009F48CB" w:rsidP="009F48CB">
      <w:pPr>
        <w:pStyle w:val="ListBullet2"/>
      </w:pPr>
      <w:r>
        <w:t>Any out of specification result of stability data must be reported to TGA immediately.</w:t>
      </w:r>
    </w:p>
    <w:p w14:paraId="7FB9439E" w14:textId="4592F10D" w:rsidR="006868FB" w:rsidRDefault="006868FB" w:rsidP="006868FB">
      <w:pPr>
        <w:pStyle w:val="ListBullet"/>
      </w:pPr>
      <w:r>
        <w:t>Medicine Labels</w:t>
      </w:r>
    </w:p>
    <w:p w14:paraId="7309112C" w14:textId="3136567E" w:rsidR="006868FB" w:rsidRDefault="006868FB" w:rsidP="006868FB">
      <w:pPr>
        <w:pStyle w:val="ListBullet"/>
        <w:numPr>
          <w:ilvl w:val="0"/>
          <w:numId w:val="0"/>
        </w:numPr>
        <w:ind w:left="360"/>
      </w:pPr>
      <w:r>
        <w:t>Unless otherwise agreed to by the Secretary following an application under section 9D of the Act, the product must only be supplied with the following labels:</w:t>
      </w:r>
    </w:p>
    <w:p w14:paraId="3DE4BD52" w14:textId="77777777" w:rsidR="006868FB" w:rsidRDefault="006868FB" w:rsidP="006868FB">
      <w:pPr>
        <w:pStyle w:val="ListBullet2"/>
      </w:pPr>
      <w:r>
        <w:t>i) the international label as follows:</w:t>
      </w:r>
    </w:p>
    <w:p w14:paraId="0B3FCD3B" w14:textId="103520F1" w:rsidR="006868FB" w:rsidRDefault="006868FB" w:rsidP="006868FB">
      <w:pPr>
        <w:pStyle w:val="ListBullet3"/>
      </w:pPr>
      <w:r>
        <w:t>A) carton label</w:t>
      </w:r>
    </w:p>
    <w:p w14:paraId="0851636A" w14:textId="1419B529" w:rsidR="006868FB" w:rsidRDefault="006868FB" w:rsidP="006868FB">
      <w:pPr>
        <w:pStyle w:val="ListBullet3"/>
      </w:pPr>
      <w:r>
        <w:t>B) vial label</w:t>
      </w:r>
    </w:p>
    <w:p w14:paraId="7B8A5441" w14:textId="292FFF71" w:rsidR="009F48CB" w:rsidRDefault="006868FB" w:rsidP="006868FB">
      <w:pPr>
        <w:pStyle w:val="ListBullet"/>
        <w:numPr>
          <w:ilvl w:val="0"/>
          <w:numId w:val="0"/>
        </w:numPr>
        <w:ind w:left="360"/>
      </w:pPr>
      <w:r>
        <w:t>The sponsor will develop Australian-specific labels for the product, that conform with all relevant Australian labelling requirements, and will take all reasonable steps to implement such labelling before the end of the provisional registration period referred to in subsection 29(3) of the Act (being the period of 2 years starting on the day specified in the ARTG certificate of registration) (noting that, consistent with paragraph 28(5)(aaa) of the Act, changes to such matters as labels that have been agreed to as part of an evaluation under section 25 of the Act may only occur following submission under section 9D of a 'variation' application and approval by the TGA).</w:t>
      </w:r>
    </w:p>
    <w:p w14:paraId="66BA05F9" w14:textId="77777777" w:rsidR="006868FB" w:rsidRDefault="006868FB" w:rsidP="006868FB">
      <w:pPr>
        <w:pStyle w:val="ListBullet"/>
      </w:pPr>
      <w:r>
        <w:t>Post approval commitments:</w:t>
      </w:r>
    </w:p>
    <w:p w14:paraId="098415C0" w14:textId="77777777" w:rsidR="006868FB" w:rsidRDefault="006868FB" w:rsidP="006868FB">
      <w:pPr>
        <w:pStyle w:val="ListBullet2"/>
      </w:pPr>
      <w:r>
        <w:t>The sponsor will re-evaluate the specification limits of Xevudy and tighten the limits based on additional stability data and propose new limits to TGA by 17 April 2022.</w:t>
      </w:r>
    </w:p>
    <w:p w14:paraId="316765D2" w14:textId="2EEDB07F" w:rsidR="006868FB" w:rsidRDefault="006868FB" w:rsidP="006868FB">
      <w:pPr>
        <w:pStyle w:val="ListBullet2"/>
      </w:pPr>
      <w:r>
        <w:t>The sponsor will complete all ongoing stability studies and report any confirmed out of specification result and proposed remediation approaches to the TGA.</w:t>
      </w:r>
    </w:p>
    <w:p w14:paraId="5E566A1B" w14:textId="763DADEC" w:rsidR="006868FB" w:rsidRDefault="006868FB" w:rsidP="006868FB">
      <w:pPr>
        <w:pStyle w:val="ListBullet"/>
      </w:pPr>
      <w:r w:rsidRPr="00EB01E9">
        <w:rPr>
          <w:lang w:eastAsia="en-AU"/>
        </w:rPr>
        <w:t xml:space="preserve">For all injectable products the </w:t>
      </w:r>
      <w:r>
        <w:rPr>
          <w:lang w:eastAsia="en-AU"/>
        </w:rPr>
        <w:t>PI</w:t>
      </w:r>
      <w:r w:rsidRPr="00EB01E9">
        <w:rPr>
          <w:lang w:eastAsia="en-AU"/>
        </w:rPr>
        <w:t xml:space="preserve"> must be included with the product as a package insert</w:t>
      </w:r>
      <w:r>
        <w:rPr>
          <w:lang w:eastAsia="en-AU"/>
        </w:rPr>
        <w:t>.</w:t>
      </w:r>
    </w:p>
    <w:p w14:paraId="16CF69BE" w14:textId="6BFDBEF7" w:rsidR="008E7846" w:rsidRDefault="00A80B5B" w:rsidP="00D23139">
      <w:pPr>
        <w:pStyle w:val="Heading2"/>
      </w:pPr>
      <w:bookmarkStart w:id="71" w:name="_Toc80080864"/>
      <w:bookmarkEnd w:id="70"/>
      <w:r>
        <w:t xml:space="preserve">Attachment 1. </w:t>
      </w:r>
      <w:r w:rsidR="008E7846">
        <w:t xml:space="preserve">Product </w:t>
      </w:r>
      <w:r w:rsidR="00AA0ED0">
        <w:t>I</w:t>
      </w:r>
      <w:r w:rsidR="008E7846">
        <w:t>nformation</w:t>
      </w:r>
      <w:bookmarkEnd w:id="68"/>
      <w:bookmarkEnd w:id="69"/>
      <w:bookmarkEnd w:id="71"/>
    </w:p>
    <w:p w14:paraId="2E1868E1" w14:textId="2CAC3BBD" w:rsidR="00C80137" w:rsidRDefault="006136D7" w:rsidP="00C80137">
      <w:pPr>
        <w:rPr>
          <w:color w:val="000000"/>
          <w:lang w:eastAsia="en-AU"/>
        </w:rPr>
      </w:pPr>
      <w:r w:rsidRPr="002B3624">
        <w:t xml:space="preserve">The </w:t>
      </w:r>
      <w:r>
        <w:t>PI</w:t>
      </w:r>
      <w:r w:rsidRPr="002B3624">
        <w:t xml:space="preserve"> for </w:t>
      </w:r>
      <w:r w:rsidR="00C33CC3">
        <w:t xml:space="preserve">Xevudy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7" w:history="1">
        <w:r w:rsidR="007C6B9B" w:rsidRPr="007C6B9B">
          <w:rPr>
            <w:rStyle w:val="Hyperlink"/>
          </w:rPr>
          <w:t>https://www.tga.gov.au/product-information-pi</w:t>
        </w:r>
      </w:hyperlink>
      <w:r w:rsidR="00C33CC3">
        <w:t>&gt;.</w:t>
      </w:r>
    </w:p>
    <w:p w14:paraId="23944B20" w14:textId="54E794A1" w:rsidR="00C80137" w:rsidRPr="001D043B" w:rsidRDefault="008E7846" w:rsidP="00C33CC3">
      <w:pPr>
        <w:autoSpaceDE w:val="0"/>
        <w:autoSpaceDN w:val="0"/>
        <w:adjustRightInd w:val="0"/>
        <w:spacing w:after="0"/>
        <w:sectPr w:rsidR="00C80137" w:rsidRPr="001D043B"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CD3D1EB" w14:textId="77777777" w:rsidTr="00A05FA4">
        <w:trPr>
          <w:trHeight w:hRule="exact" w:val="704"/>
        </w:trPr>
        <w:tc>
          <w:tcPr>
            <w:tcW w:w="9175" w:type="dxa"/>
          </w:tcPr>
          <w:p w14:paraId="0B12D721" w14:textId="77777777" w:rsidR="001C32CD" w:rsidRPr="00487162" w:rsidRDefault="001C32CD" w:rsidP="00A05FA4">
            <w:pPr>
              <w:pStyle w:val="TGASignoff"/>
            </w:pPr>
            <w:r w:rsidRPr="00487162">
              <w:t>Therapeutic Goods Administration</w:t>
            </w:r>
          </w:p>
        </w:tc>
      </w:tr>
      <w:tr w:rsidR="001C32CD" w:rsidRPr="004C239D" w14:paraId="14AEBFB8" w14:textId="77777777" w:rsidTr="00A05FA4">
        <w:trPr>
          <w:trHeight w:val="1221"/>
        </w:trPr>
        <w:tc>
          <w:tcPr>
            <w:tcW w:w="9175" w:type="dxa"/>
            <w:tcMar>
              <w:top w:w="28" w:type="dxa"/>
            </w:tcMar>
          </w:tcPr>
          <w:p w14:paraId="152928C6" w14:textId="77777777" w:rsidR="001C32CD" w:rsidRPr="00487162" w:rsidRDefault="001C32CD" w:rsidP="00A05FA4">
            <w:pPr>
              <w:pStyle w:val="Address"/>
            </w:pPr>
            <w:r w:rsidRPr="00487162">
              <w:t>PO Box 100 Woden ACT 2606 Australia</w:t>
            </w:r>
          </w:p>
          <w:p w14:paraId="670DE5E8" w14:textId="667C823F" w:rsidR="001C32CD" w:rsidRPr="00487162" w:rsidRDefault="001C32CD" w:rsidP="00A05FA4">
            <w:pPr>
              <w:pStyle w:val="Address"/>
            </w:pPr>
            <w:r w:rsidRPr="00487162">
              <w:t xml:space="preserve">Email: </w:t>
            </w:r>
            <w:hyperlink r:id="rId42" w:history="1">
              <w:r w:rsidRPr="004C239D">
                <w:rPr>
                  <w:rStyle w:val="Hyperlink"/>
                </w:rPr>
                <w:t>info@tga.gov.au</w:t>
              </w:r>
            </w:hyperlink>
            <w:r w:rsidRPr="00487162">
              <w:t xml:space="preserve">  Phone: 1800 020 653  Fax: 02 6232 8605</w:t>
            </w:r>
          </w:p>
          <w:p w14:paraId="1B39D50B" w14:textId="519D9AC1" w:rsidR="001C32CD" w:rsidRPr="004C239D" w:rsidRDefault="005C4FB0" w:rsidP="00A05FA4">
            <w:pPr>
              <w:pStyle w:val="Address"/>
              <w:spacing w:line="260" w:lineRule="atLeast"/>
              <w:rPr>
                <w:b/>
                <w:color w:val="0000FF"/>
                <w:u w:val="single"/>
              </w:rPr>
            </w:pPr>
            <w:hyperlink r:id="rId43" w:history="1">
              <w:r w:rsidR="007C6B9B" w:rsidRPr="007C6B9B">
                <w:rPr>
                  <w:rStyle w:val="Hyperlink"/>
                  <w:b/>
                </w:rPr>
                <w:t>https://www.tga.gov.au</w:t>
              </w:r>
            </w:hyperlink>
          </w:p>
        </w:tc>
      </w:tr>
    </w:tbl>
    <w:p w14:paraId="0EFDBC94"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4DE5B" w14:textId="77777777" w:rsidR="005E0B3B" w:rsidRDefault="005E0B3B" w:rsidP="00C40A36">
      <w:pPr>
        <w:spacing w:after="0"/>
      </w:pPr>
      <w:r>
        <w:separator/>
      </w:r>
    </w:p>
  </w:endnote>
  <w:endnote w:type="continuationSeparator" w:id="0">
    <w:p w14:paraId="1A19A02F" w14:textId="77777777" w:rsidR="005E0B3B" w:rsidRDefault="005E0B3B" w:rsidP="00C40A36">
      <w:pPr>
        <w:spacing w:after="0"/>
      </w:pPr>
      <w:r>
        <w:continuationSeparator/>
      </w:r>
    </w:p>
  </w:endnote>
  <w:endnote w:type="continuationNotice" w:id="1">
    <w:p w14:paraId="280E60EA" w14:textId="77777777" w:rsidR="005E0B3B" w:rsidRDefault="005E0B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E7999" w:rsidRPr="00487162" w14:paraId="6213ADB3" w14:textId="77777777" w:rsidTr="00DB750B">
      <w:trPr>
        <w:trHeight w:val="269"/>
      </w:trPr>
      <w:tc>
        <w:tcPr>
          <w:tcW w:w="7371" w:type="dxa"/>
          <w:tcMar>
            <w:top w:w="142" w:type="dxa"/>
            <w:bottom w:w="0" w:type="dxa"/>
          </w:tcMar>
        </w:tcPr>
        <w:p w14:paraId="48059D09" w14:textId="1A564766" w:rsidR="00EE7999" w:rsidRPr="00487162" w:rsidRDefault="00EE7999" w:rsidP="00460036">
          <w:pPr>
            <w:pStyle w:val="Footer"/>
          </w:pPr>
          <w:r w:rsidRPr="00487162">
            <w:t>AusPA</w:t>
          </w:r>
          <w:r>
            <w:t xml:space="preserve">R - Xevudy </w:t>
          </w:r>
          <w:r w:rsidRPr="00460036">
            <w:t>–</w:t>
          </w:r>
          <w:r>
            <w:t>sotrovimab</w:t>
          </w:r>
          <w:r w:rsidRPr="00460036">
            <w:t xml:space="preserve"> </w:t>
          </w:r>
          <w:r>
            <w:t>– GlaxoSmithKline Australia Pty Ltd PM-2021</w:t>
          </w:r>
          <w:r w:rsidRPr="00487162">
            <w:t>-</w:t>
          </w:r>
          <w:r>
            <w:t>01848</w:t>
          </w:r>
          <w:r w:rsidRPr="00487162">
            <w:t>-</w:t>
          </w:r>
          <w:r>
            <w:t>1</w:t>
          </w:r>
          <w:r w:rsidRPr="00487162">
            <w:t>-</w:t>
          </w:r>
          <w:r>
            <w:t>2</w:t>
          </w:r>
          <w:r>
            <w:br/>
            <w:t>FINAL</w:t>
          </w:r>
          <w:r w:rsidRPr="00487162">
            <w:t xml:space="preserve"> </w:t>
          </w:r>
          <w:r w:rsidR="00F70772">
            <w:t>20</w:t>
          </w:r>
          <w:r>
            <w:t xml:space="preserve"> August 2021</w:t>
          </w:r>
        </w:p>
      </w:tc>
      <w:tc>
        <w:tcPr>
          <w:tcW w:w="1490" w:type="dxa"/>
          <w:tcMar>
            <w:top w:w="142" w:type="dxa"/>
            <w:bottom w:w="0" w:type="dxa"/>
          </w:tcMar>
        </w:tcPr>
        <w:p w14:paraId="1A664FE4" w14:textId="1565A2D8" w:rsidR="00EE7999" w:rsidRPr="00487162" w:rsidRDefault="00EE7999" w:rsidP="00DB750B">
          <w:pPr>
            <w:pStyle w:val="Footer"/>
            <w:jc w:val="right"/>
          </w:pPr>
          <w:r w:rsidRPr="00487162">
            <w:t xml:space="preserve">Page </w:t>
          </w:r>
          <w:r>
            <w:fldChar w:fldCharType="begin"/>
          </w:r>
          <w:r>
            <w:instrText xml:space="preserve"> PAGE  \* Arabic </w:instrText>
          </w:r>
          <w:r>
            <w:fldChar w:fldCharType="separate"/>
          </w:r>
          <w:r>
            <w:rPr>
              <w:noProof/>
            </w:rPr>
            <w:t>14</w:t>
          </w:r>
          <w:r>
            <w:fldChar w:fldCharType="end"/>
          </w:r>
          <w:r w:rsidRPr="00487162">
            <w:t xml:space="preserve"> of </w:t>
          </w:r>
          <w:r>
            <w:fldChar w:fldCharType="begin"/>
          </w:r>
          <w:r>
            <w:instrText>NUMPAGES  \* Arabic</w:instrText>
          </w:r>
          <w:r>
            <w:fldChar w:fldCharType="separate"/>
          </w:r>
          <w:r>
            <w:rPr>
              <w:noProof/>
            </w:rPr>
            <w:t>55</w:t>
          </w:r>
          <w:r>
            <w:fldChar w:fldCharType="end"/>
          </w:r>
        </w:p>
      </w:tc>
    </w:tr>
  </w:tbl>
  <w:p w14:paraId="27FB9DFF" w14:textId="77777777" w:rsidR="00EE7999" w:rsidRDefault="00EE7999"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E7999" w:rsidRPr="00487162" w14:paraId="24B3A0D1" w14:textId="77777777" w:rsidTr="00E45619">
      <w:trPr>
        <w:trHeight w:val="269"/>
      </w:trPr>
      <w:tc>
        <w:tcPr>
          <w:tcW w:w="4519" w:type="dxa"/>
          <w:tcBorders>
            <w:top w:val="single" w:sz="4" w:space="0" w:color="auto"/>
          </w:tcBorders>
          <w:tcMar>
            <w:top w:w="142" w:type="dxa"/>
            <w:bottom w:w="0" w:type="dxa"/>
          </w:tcMar>
        </w:tcPr>
        <w:p w14:paraId="0213880C" w14:textId="77777777" w:rsidR="00EE7999" w:rsidRPr="00487162" w:rsidRDefault="00EE7999" w:rsidP="00FE1DEE">
          <w:pPr>
            <w:pStyle w:val="Footer"/>
          </w:pPr>
          <w:r w:rsidRPr="00487162">
            <w:t>Document title, Part #, Section # - Section title</w:t>
          </w:r>
        </w:p>
        <w:p w14:paraId="4256D614" w14:textId="77777777" w:rsidR="00EE7999" w:rsidRPr="00487162" w:rsidRDefault="00EE7999" w:rsidP="00FE1DEE">
          <w:pPr>
            <w:pStyle w:val="Footer"/>
          </w:pPr>
          <w:r w:rsidRPr="00487162">
            <w:t>V1.0 October 2010</w:t>
          </w:r>
        </w:p>
      </w:tc>
      <w:tc>
        <w:tcPr>
          <w:tcW w:w="4342" w:type="dxa"/>
          <w:tcBorders>
            <w:top w:val="single" w:sz="4" w:space="0" w:color="auto"/>
          </w:tcBorders>
          <w:tcMar>
            <w:top w:w="142" w:type="dxa"/>
            <w:bottom w:w="0" w:type="dxa"/>
          </w:tcMar>
        </w:tcPr>
        <w:p w14:paraId="185F8D12" w14:textId="77777777" w:rsidR="00EE7999" w:rsidRPr="00487162" w:rsidRDefault="00EE799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21</w:t>
          </w:r>
          <w:r>
            <w:fldChar w:fldCharType="end"/>
          </w:r>
        </w:p>
      </w:tc>
    </w:tr>
  </w:tbl>
  <w:p w14:paraId="1A2D2B06" w14:textId="77777777" w:rsidR="00EE7999" w:rsidRDefault="00EE79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D14C7" w14:textId="77777777" w:rsidR="00EE7999" w:rsidRPr="001C32CD" w:rsidRDefault="00EE7999"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E7999" w14:paraId="353B1BCE" w14:textId="77777777" w:rsidTr="0010601F">
      <w:trPr>
        <w:trHeight w:val="108"/>
      </w:trPr>
      <w:tc>
        <w:tcPr>
          <w:tcW w:w="8875" w:type="dxa"/>
          <w:gridSpan w:val="2"/>
          <w:tcBorders>
            <w:bottom w:val="single" w:sz="4" w:space="0" w:color="auto"/>
          </w:tcBorders>
          <w:tcMar>
            <w:right w:w="284" w:type="dxa"/>
          </w:tcMar>
        </w:tcPr>
        <w:p w14:paraId="5B08AFF4" w14:textId="77777777" w:rsidR="00EE7999" w:rsidRDefault="00EE7999" w:rsidP="006E08B3">
          <w:pPr>
            <w:pStyle w:val="Heading3"/>
          </w:pPr>
          <w:r>
            <w:t>Copyright</w:t>
          </w:r>
        </w:p>
        <w:p w14:paraId="7753160E" w14:textId="1C2AA145" w:rsidR="00EE7999" w:rsidRDefault="00EE7999" w:rsidP="006E08B3">
          <w:r>
            <w:rPr>
              <w:rFonts w:cs="Arial"/>
            </w:rPr>
            <w:t>©</w:t>
          </w:r>
          <w:r>
            <w:t xml:space="preserve"> Commonwealth of Australia (add year)</w:t>
          </w:r>
        </w:p>
        <w:p w14:paraId="4981FEF0" w14:textId="77777777" w:rsidR="00EE7999" w:rsidRDefault="00EE7999" w:rsidP="006E08B3"/>
        <w:p w14:paraId="1B1E0DBD" w14:textId="77777777" w:rsidR="00EE7999" w:rsidRDefault="00EE799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B01C940" w14:textId="77777777" w:rsidR="00EE7999" w:rsidRDefault="00EE7999" w:rsidP="006E08B3"/>
        <w:p w14:paraId="3E9281EE" w14:textId="77777777" w:rsidR="00EE7999" w:rsidRDefault="00EE7999" w:rsidP="006E08B3">
          <w:pPr>
            <w:pStyle w:val="Heading3"/>
          </w:pPr>
          <w:r>
            <w:t>Confidentiality</w:t>
          </w:r>
        </w:p>
        <w:p w14:paraId="158F4DAC" w14:textId="77777777" w:rsidR="00EE7999" w:rsidRDefault="00EE799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5A37A87" w14:textId="77777777" w:rsidR="00EE7999" w:rsidRDefault="00EE7999" w:rsidP="006E08B3"/>
        <w:p w14:paraId="5BA06BFA" w14:textId="77777777" w:rsidR="00EE7999" w:rsidRDefault="00EE7999" w:rsidP="006E08B3">
          <w:r>
            <w:t>For submission made by individuals, all personal details, other than your name, will be removed from your submission before it is published on the TGA’s Internet site.</w:t>
          </w:r>
        </w:p>
        <w:p w14:paraId="345B34FB" w14:textId="77777777" w:rsidR="00EE7999" w:rsidRDefault="00EE7999" w:rsidP="006E08B3"/>
        <w:p w14:paraId="2A0C4EE3" w14:textId="77777777" w:rsidR="00EE7999" w:rsidRDefault="00EE7999" w:rsidP="006E08B3">
          <w:r>
            <w:t>In addition, a list of parties making submissions will be published. If you do not wish to be identified with your submission you must specifically request this in the space provided ib the submission coversheet.</w:t>
          </w:r>
        </w:p>
      </w:tc>
    </w:tr>
    <w:tr w:rsidR="00EE7999" w14:paraId="71024AB7" w14:textId="77777777" w:rsidTr="0010601F">
      <w:trPr>
        <w:trHeight w:val="417"/>
      </w:trPr>
      <w:tc>
        <w:tcPr>
          <w:tcW w:w="4519" w:type="dxa"/>
          <w:tcBorders>
            <w:top w:val="single" w:sz="4" w:space="0" w:color="auto"/>
          </w:tcBorders>
          <w:tcMar>
            <w:top w:w="142" w:type="dxa"/>
            <w:bottom w:w="0" w:type="dxa"/>
          </w:tcMar>
        </w:tcPr>
        <w:p w14:paraId="37A6704C" w14:textId="77777777" w:rsidR="00EE7999" w:rsidRDefault="00EE7999" w:rsidP="006E08B3">
          <w:r>
            <w:t>Document title, Part #, Section # - Section title</w:t>
          </w:r>
        </w:p>
        <w:p w14:paraId="072EF1DF" w14:textId="77777777" w:rsidR="00EE7999" w:rsidRDefault="00EE7999" w:rsidP="006E08B3">
          <w:r>
            <w:t>V1.0 October 2010</w:t>
          </w:r>
        </w:p>
      </w:tc>
      <w:tc>
        <w:tcPr>
          <w:tcW w:w="4356" w:type="dxa"/>
          <w:tcBorders>
            <w:top w:val="single" w:sz="4" w:space="0" w:color="auto"/>
          </w:tcBorders>
          <w:tcMar>
            <w:top w:w="142" w:type="dxa"/>
            <w:bottom w:w="0" w:type="dxa"/>
          </w:tcMar>
        </w:tcPr>
        <w:p w14:paraId="2F01BED2" w14:textId="77777777" w:rsidR="00EE7999" w:rsidRDefault="00EE799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21</w:t>
          </w:r>
          <w:r>
            <w:fldChar w:fldCharType="end"/>
          </w:r>
          <w:r>
            <w:t xml:space="preserve">  </w:t>
          </w:r>
        </w:p>
      </w:tc>
    </w:tr>
  </w:tbl>
  <w:p w14:paraId="7FF932CE" w14:textId="77777777" w:rsidR="00EE7999" w:rsidRDefault="00EE79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6E23C" w14:textId="77777777" w:rsidR="005E0B3B" w:rsidRDefault="005E0B3B" w:rsidP="00C40A36">
      <w:pPr>
        <w:spacing w:after="0"/>
      </w:pPr>
      <w:r>
        <w:separator/>
      </w:r>
    </w:p>
  </w:footnote>
  <w:footnote w:type="continuationSeparator" w:id="0">
    <w:p w14:paraId="5E3E9B77" w14:textId="77777777" w:rsidR="005E0B3B" w:rsidRDefault="005E0B3B" w:rsidP="00C40A36">
      <w:pPr>
        <w:spacing w:after="0"/>
      </w:pPr>
      <w:r>
        <w:continuationSeparator/>
      </w:r>
    </w:p>
  </w:footnote>
  <w:footnote w:type="continuationNotice" w:id="1">
    <w:p w14:paraId="623B4DE3" w14:textId="77777777" w:rsidR="005E0B3B" w:rsidRDefault="005E0B3B">
      <w:pPr>
        <w:spacing w:before="0" w:after="0" w:line="240" w:lineRule="auto"/>
      </w:pPr>
    </w:p>
  </w:footnote>
  <w:footnote w:id="2">
    <w:p w14:paraId="57DF5E6D" w14:textId="77777777" w:rsidR="00EE7999" w:rsidRDefault="00EE7999">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6919AB74" w14:textId="51C20F94" w:rsidR="00EE7999" w:rsidRDefault="00EE7999">
      <w:pPr>
        <w:pStyle w:val="FootnoteText"/>
      </w:pPr>
      <w:r>
        <w:rPr>
          <w:rStyle w:val="FootnoteReference"/>
        </w:rPr>
        <w:footnoteRef/>
      </w:r>
      <w:r>
        <w:t xml:space="preserve"> </w:t>
      </w:r>
      <w:r w:rsidRPr="00FE4E58">
        <w:t>Statement on the second meeting of the International Health Regulations (2005) Emergency Committee regarding the outbreak of novel coronavirus (2019-nCoV). 30 January 2020. Available at: https://www.who.int/news/item/30-01-2020-statement-on-the-second-meeting-of-the-international-health-regulations-(2005)-emergency-committee-regarding-the-outbreak-of-novel-coronavirus-(2019-ncov)</w:t>
      </w:r>
    </w:p>
  </w:footnote>
  <w:footnote w:id="4">
    <w:p w14:paraId="1DFCDF38" w14:textId="2C4EB3CA" w:rsidR="00EE7999" w:rsidRDefault="00EE7999">
      <w:pPr>
        <w:pStyle w:val="FootnoteText"/>
      </w:pPr>
      <w:r>
        <w:rPr>
          <w:rStyle w:val="FootnoteReference"/>
        </w:rPr>
        <w:footnoteRef/>
      </w:r>
      <w:r>
        <w:t xml:space="preserve"> </w:t>
      </w:r>
      <w:r w:rsidRPr="00FE4E58">
        <w:t>WHO Director-General's opening remarks at the media briefing on COVID-19. 11 March 2020. Available at: https://www.who.int/director-general/speeches/detail/who-director-general-s-opening-remarks-at-the-media-briefing-on-covid-19---11-march-2020</w:t>
      </w:r>
    </w:p>
  </w:footnote>
  <w:footnote w:id="5">
    <w:p w14:paraId="4797E46E" w14:textId="6998745F" w:rsidR="00EE7999" w:rsidRDefault="00EE7999" w:rsidP="00F87C86">
      <w:pPr>
        <w:pStyle w:val="FootnoteText"/>
      </w:pPr>
      <w:r>
        <w:rPr>
          <w:rStyle w:val="FootnoteReference"/>
        </w:rPr>
        <w:footnoteRef/>
      </w:r>
      <w:r>
        <w:t xml:space="preserve"> </w:t>
      </w:r>
      <w:r w:rsidRPr="00FE4E58">
        <w:t>WHO COVID-19 Dashboard</w:t>
      </w:r>
      <w:r>
        <w:t xml:space="preserve"> (last viewed 11 August 2021, a</w:t>
      </w:r>
      <w:r w:rsidRPr="00FE4E58">
        <w:t>vailable at: https://covid19.who.int/)</w:t>
      </w:r>
      <w:r>
        <w:t>)</w:t>
      </w:r>
    </w:p>
  </w:footnote>
  <w:footnote w:id="6">
    <w:p w14:paraId="29231845" w14:textId="2FBBC4E9" w:rsidR="00EE7999" w:rsidRDefault="00EE7999" w:rsidP="00F87C86">
      <w:pPr>
        <w:pStyle w:val="FootnoteText"/>
      </w:pPr>
      <w:r>
        <w:rPr>
          <w:rStyle w:val="FootnoteReference"/>
        </w:rPr>
        <w:footnoteRef/>
      </w:r>
      <w:r>
        <w:t xml:space="preserve"> </w:t>
      </w:r>
      <w:r w:rsidRPr="00FE4E58">
        <w:t>Australian Government Department of Health, as of 11 August 2021. Available at: https://www.health.gov.au/news/health-alerts/novel-coronavirus-2019-ncov-health-alert/coronavirus-covid-19-current-situation-and-case-numbers#how-australia-compares-with-the-world</w:t>
      </w:r>
    </w:p>
  </w:footnote>
  <w:footnote w:id="7">
    <w:p w14:paraId="5EE1895A" w14:textId="14639CA1" w:rsidR="00EE7999" w:rsidRPr="00C7680E" w:rsidRDefault="00EE7999">
      <w:pPr>
        <w:pStyle w:val="FootnoteText"/>
        <w:rPr>
          <w:lang w:val="en-US"/>
        </w:rPr>
      </w:pPr>
      <w:r>
        <w:rPr>
          <w:rStyle w:val="FootnoteReference"/>
        </w:rPr>
        <w:footnoteRef/>
      </w:r>
      <w:r>
        <w:t xml:space="preserve"> AusPAR for Veklury remdesivir Gilead Sciences Pty Ltd </w:t>
      </w:r>
      <w:r w:rsidRPr="00C7680E">
        <w:t xml:space="preserve">PM-2020-01491-1-2 </w:t>
      </w:r>
      <w:r>
        <w:t>available at: </w:t>
      </w:r>
      <w:r w:rsidRPr="00C7680E">
        <w:t>https://www.tga.gov.au/auspar/auspar-remdesivir</w:t>
      </w:r>
    </w:p>
  </w:footnote>
  <w:footnote w:id="8">
    <w:p w14:paraId="153F6D53" w14:textId="51D9ADA0" w:rsidR="00EE7999" w:rsidRPr="00F051A1" w:rsidRDefault="00EE7999">
      <w:pPr>
        <w:pStyle w:val="FootnoteText"/>
        <w:rPr>
          <w:lang w:val="en-US"/>
        </w:rPr>
      </w:pPr>
      <w:r>
        <w:rPr>
          <w:rStyle w:val="FootnoteReference"/>
        </w:rPr>
        <w:footnoteRef/>
      </w:r>
      <w:r>
        <w:t xml:space="preserve"> AusPAR for Comirnaty </w:t>
      </w:r>
      <w:r w:rsidRPr="00F051A1">
        <w:t>BNT162b2</w:t>
      </w:r>
      <w:r>
        <w:t xml:space="preserve"> (mRNA) Pfizer Australia Pty Ltd </w:t>
      </w:r>
      <w:r>
        <w:rPr>
          <w:color w:val="000000"/>
        </w:rPr>
        <w:t>PM-2020-05461-1-2</w:t>
      </w:r>
      <w:r>
        <w:t xml:space="preserve"> available at: </w:t>
      </w:r>
      <w:r w:rsidRPr="00F051A1">
        <w:t>https://www.tga.gov.au/auspar/auspar-bnt162b2-mrna-comirnaty</w:t>
      </w:r>
    </w:p>
  </w:footnote>
  <w:footnote w:id="9">
    <w:p w14:paraId="50037F1A" w14:textId="6DBEE0F9" w:rsidR="00EE7999" w:rsidRPr="00C056AB" w:rsidRDefault="00EE7999">
      <w:pPr>
        <w:pStyle w:val="FootnoteText"/>
        <w:rPr>
          <w:lang w:val="en-US"/>
        </w:rPr>
      </w:pPr>
      <w:r>
        <w:rPr>
          <w:rStyle w:val="FootnoteReference"/>
        </w:rPr>
        <w:footnoteRef/>
      </w:r>
      <w:r>
        <w:t xml:space="preserve"> AusPAR for Comirnaty </w:t>
      </w:r>
      <w:r w:rsidRPr="00F051A1">
        <w:t>BNT162b2</w:t>
      </w:r>
      <w:r>
        <w:t xml:space="preserve"> (mRNA) Pfizer Australia Pty Ltd </w:t>
      </w:r>
      <w:r w:rsidRPr="009E0824">
        <w:t xml:space="preserve">PM-2021-02187-1-2 </w:t>
      </w:r>
      <w:r>
        <w:t>available at: </w:t>
      </w:r>
      <w:r w:rsidRPr="00C056AB">
        <w:t>https://www.tga.gov.au/auspar/auspar-bnt162b2-mrna</w:t>
      </w:r>
    </w:p>
  </w:footnote>
  <w:footnote w:id="10">
    <w:p w14:paraId="00F64647" w14:textId="5FAFB5B5" w:rsidR="00EE7999" w:rsidRPr="009E0824" w:rsidRDefault="00EE7999">
      <w:pPr>
        <w:pStyle w:val="FootnoteText"/>
        <w:rPr>
          <w:lang w:val="en-US"/>
        </w:rPr>
      </w:pPr>
      <w:r>
        <w:rPr>
          <w:rStyle w:val="FootnoteReference"/>
        </w:rPr>
        <w:footnoteRef/>
      </w:r>
      <w:r>
        <w:t xml:space="preserve"> </w:t>
      </w:r>
      <w:r>
        <w:rPr>
          <w:lang w:val="en-US"/>
        </w:rPr>
        <w:t xml:space="preserve">AusPAR for </w:t>
      </w:r>
      <w:r w:rsidRPr="009E0824">
        <w:rPr>
          <w:lang w:val="en-US"/>
        </w:rPr>
        <w:t>COVID-19 Vaccine AstraZeneca</w:t>
      </w:r>
      <w:r>
        <w:rPr>
          <w:lang w:val="en-US"/>
        </w:rPr>
        <w:t xml:space="preserve"> </w:t>
      </w:r>
      <w:r w:rsidRPr="009E0824">
        <w:rPr>
          <w:lang w:val="en-US"/>
        </w:rPr>
        <w:t>ChAdOx1-S</w:t>
      </w:r>
      <w:r>
        <w:rPr>
          <w:lang w:val="en-US"/>
        </w:rPr>
        <w:t xml:space="preserve"> AstraZeneca Pty Ltd </w:t>
      </w:r>
      <w:r w:rsidRPr="009E0824">
        <w:rPr>
          <w:lang w:val="en-US"/>
        </w:rPr>
        <w:t>PM 2020 06115 1-2</w:t>
      </w:r>
      <w:r>
        <w:rPr>
          <w:lang w:val="en-US"/>
        </w:rPr>
        <w:t xml:space="preserve"> available at: </w:t>
      </w:r>
      <w:r w:rsidRPr="009E0824">
        <w:rPr>
          <w:lang w:val="en-US"/>
        </w:rPr>
        <w:t>https://www.tga.gov.au/auspar/auspar-chadox1-s</w:t>
      </w:r>
    </w:p>
  </w:footnote>
  <w:footnote w:id="11">
    <w:p w14:paraId="29FD7EBF" w14:textId="70F5C2F9" w:rsidR="00EE7999" w:rsidRPr="009E0824" w:rsidRDefault="00EE7999">
      <w:pPr>
        <w:pStyle w:val="FootnoteText"/>
        <w:rPr>
          <w:lang w:val="en-US"/>
        </w:rPr>
      </w:pPr>
      <w:r>
        <w:rPr>
          <w:rStyle w:val="FootnoteReference"/>
        </w:rPr>
        <w:footnoteRef/>
      </w:r>
      <w:r>
        <w:t xml:space="preserve"> </w:t>
      </w:r>
      <w:r>
        <w:rPr>
          <w:lang w:val="en-US"/>
        </w:rPr>
        <w:t xml:space="preserve">AusPAR for COVID-19 Vaccine Janssen </w:t>
      </w:r>
      <w:r w:rsidRPr="009E0824">
        <w:rPr>
          <w:lang w:val="en-US"/>
        </w:rPr>
        <w:t xml:space="preserve">Ad26.COV2.S Janssen-Cilag Pty Ltd PM-2020-06173-1-2 </w:t>
      </w:r>
      <w:r>
        <w:rPr>
          <w:lang w:val="en-US"/>
        </w:rPr>
        <w:t>available at: </w:t>
      </w:r>
      <w:r w:rsidRPr="009E0824">
        <w:rPr>
          <w:lang w:val="en-US"/>
        </w:rPr>
        <w:t>https://www.tga.gov.au/auspar/auspar-ad26cov2s</w:t>
      </w:r>
    </w:p>
  </w:footnote>
  <w:footnote w:id="12">
    <w:p w14:paraId="43D6A8C7" w14:textId="12A1C88F" w:rsidR="00EE7999" w:rsidRPr="00184C91" w:rsidRDefault="00EE7999">
      <w:pPr>
        <w:pStyle w:val="FootnoteText"/>
        <w:rPr>
          <w:lang w:val="en-US"/>
        </w:rPr>
      </w:pPr>
      <w:r>
        <w:rPr>
          <w:rStyle w:val="FootnoteReference"/>
        </w:rPr>
        <w:footnoteRef/>
      </w:r>
      <w:r>
        <w:t xml:space="preserve"> AusPAR for Spikevax </w:t>
      </w:r>
      <w:r w:rsidRPr="00184C91">
        <w:t>elasomeran</w:t>
      </w:r>
      <w:r>
        <w:t xml:space="preserve"> Moderna Australia Pty Ltd </w:t>
      </w:r>
      <w:r w:rsidRPr="00184C91">
        <w:t>PM-2021-02994-1-2</w:t>
      </w:r>
      <w:r>
        <w:t xml:space="preserve"> available at: </w:t>
      </w:r>
      <w:r w:rsidRPr="00184C91">
        <w:t>https://www.tga.gov.au/auspar/auspar-elasomeran</w:t>
      </w:r>
    </w:p>
  </w:footnote>
  <w:footnote w:id="13">
    <w:p w14:paraId="4266CD68" w14:textId="1535FDD5" w:rsidR="00EE7999" w:rsidRDefault="00EE7999" w:rsidP="00F87C86">
      <w:pPr>
        <w:pStyle w:val="FootnoteText"/>
      </w:pPr>
      <w:r>
        <w:rPr>
          <w:rStyle w:val="FootnoteReference"/>
        </w:rPr>
        <w:footnoteRef/>
      </w:r>
      <w:r>
        <w:t xml:space="preserve"> TGA alert on the use of AstraZeneca ChAdOx1-s COVID vaccine; available at: </w:t>
      </w:r>
      <w:r w:rsidRPr="00E96874">
        <w:t>https://www.tga.gov.au/alert/astrazeneca-chadox1-s-covid-19-vaccine-3</w:t>
      </w:r>
    </w:p>
  </w:footnote>
  <w:footnote w:id="14">
    <w:p w14:paraId="7CE2ED6A" w14:textId="2C580000" w:rsidR="00EE7999" w:rsidRDefault="00EE7999" w:rsidP="00F87C86">
      <w:pPr>
        <w:pStyle w:val="FootnoteText"/>
      </w:pPr>
      <w:r>
        <w:rPr>
          <w:rStyle w:val="FootnoteReference"/>
        </w:rPr>
        <w:footnoteRef/>
      </w:r>
      <w:r>
        <w:t xml:space="preserve"> Australian Government Department of Health: Australia’s COVID-19 vaccine rollout. Available at: </w:t>
      </w:r>
      <w:r w:rsidRPr="00E96874">
        <w:t>https://www.health.gov.au/initiatives-and-programs/covid-19-vaccines/australias-covid-19-vaccine-rollout</w:t>
      </w:r>
    </w:p>
  </w:footnote>
  <w:footnote w:id="15">
    <w:p w14:paraId="728534C5" w14:textId="77777777" w:rsidR="00EE7999" w:rsidRDefault="00EE7999" w:rsidP="00CF1D4F">
      <w:pPr>
        <w:pStyle w:val="TableDescription"/>
      </w:pPr>
      <w:r>
        <w:rPr>
          <w:rStyle w:val="FootnoteReference"/>
        </w:rPr>
        <w:footnoteRef/>
      </w:r>
      <w:r>
        <w:t xml:space="preserve"> As part of the </w:t>
      </w:r>
      <w:r w:rsidRPr="00CF1D4F">
        <w:rPr>
          <w:b/>
        </w:rPr>
        <w:t>provisional approval pathway</w:t>
      </w:r>
      <w:r>
        <w:t>, the provisional registration process will allow certain medicines to be provisionally registered in the Australian Register of Therapeutic Goods (ARTG) for a limited duration. These medicines are registered on the basis of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5AA09F74" w14:textId="23523BC3" w:rsidR="00EE7999" w:rsidRDefault="00EE7999" w:rsidP="00CF1D4F">
      <w:pPr>
        <w:pStyle w:val="TableDescription"/>
      </w:pPr>
      <w: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6">
    <w:p w14:paraId="45C76BBD" w14:textId="1B32228B" w:rsidR="00EE7999" w:rsidRPr="0048704A" w:rsidRDefault="00EE7999">
      <w:pPr>
        <w:pStyle w:val="FootnoteText"/>
        <w:rPr>
          <w:lang w:val="en-US"/>
        </w:rPr>
      </w:pPr>
      <w:r>
        <w:rPr>
          <w:rStyle w:val="FootnoteReference"/>
        </w:rPr>
        <w:footnoteRef/>
      </w:r>
      <w:r>
        <w:t xml:space="preserve"> ICH guideline S6 (R1): </w:t>
      </w:r>
      <w:r w:rsidRPr="0048704A">
        <w:t>preclinical safety evaluation of biotechnology-derived pharmaceuticals</w:t>
      </w:r>
      <w:r>
        <w:t>.</w:t>
      </w:r>
    </w:p>
  </w:footnote>
  <w:footnote w:id="17">
    <w:p w14:paraId="3432B046" w14:textId="55291E81" w:rsidR="00EE7999" w:rsidRPr="00AF27D8" w:rsidRDefault="00EE7999">
      <w:pPr>
        <w:pStyle w:val="FootnoteText"/>
        <w:rPr>
          <w:lang w:val="en-US"/>
        </w:rPr>
      </w:pPr>
      <w:r>
        <w:rPr>
          <w:rStyle w:val="FootnoteReference"/>
        </w:rPr>
        <w:footnoteRef/>
      </w:r>
      <w:r>
        <w:t xml:space="preserve"> Available at: </w:t>
      </w:r>
      <w:r w:rsidRPr="00AF27D8">
        <w:t>https://www.ema.europa.eu/en/documents/scientific-guideline/guideline-immunogenicity-assessment-monoclonal-antibodies-intended-vivo-clinical-use_en.pdf</w:t>
      </w:r>
    </w:p>
  </w:footnote>
  <w:footnote w:id="18">
    <w:p w14:paraId="7D0FC7EE" w14:textId="6B67985E" w:rsidR="00EE7999" w:rsidRPr="00AF27D8" w:rsidRDefault="00EE7999">
      <w:pPr>
        <w:pStyle w:val="FootnoteText"/>
        <w:rPr>
          <w:lang w:val="en-US"/>
        </w:rPr>
      </w:pPr>
      <w:r>
        <w:rPr>
          <w:rStyle w:val="FootnoteReference"/>
        </w:rPr>
        <w:footnoteRef/>
      </w:r>
      <w:r>
        <w:t xml:space="preserve"> Available at: </w:t>
      </w:r>
      <w:r w:rsidRPr="00AF27D8">
        <w:t>https://www.fda.gov/media/137926/download</w:t>
      </w:r>
    </w:p>
  </w:footnote>
  <w:footnote w:id="19">
    <w:p w14:paraId="4AE538E5" w14:textId="77777777" w:rsidR="00EE7999" w:rsidRDefault="00EE7999" w:rsidP="00EF605E">
      <w:pPr>
        <w:pStyle w:val="FootnoteText"/>
      </w:pPr>
      <w:r>
        <w:rPr>
          <w:rStyle w:val="FootnoteReference"/>
        </w:rPr>
        <w:footnoteRef/>
      </w:r>
      <w:r>
        <w:t xml:space="preserve"> </w:t>
      </w:r>
      <w:r w:rsidRPr="00EF605E">
        <w:rPr>
          <w:b/>
        </w:rPr>
        <w:t>Cytochrome P450 (CYP) enzymes</w:t>
      </w:r>
      <w:r>
        <w:t>: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1E60B031" w14:textId="50DAC2DD" w:rsidR="00EE7999" w:rsidRPr="0065006A" w:rsidRDefault="00EE7999" w:rsidP="00EF605E">
      <w:pPr>
        <w:pStyle w:val="FootnoteText"/>
        <w:rPr>
          <w:lang w:val="en-US"/>
        </w:rPr>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20">
    <w:p w14:paraId="6D3F84CD" w14:textId="29A082A6" w:rsidR="00EE7999" w:rsidRPr="0065006A" w:rsidRDefault="00EE7999">
      <w:pPr>
        <w:pStyle w:val="FootnoteText"/>
        <w:rPr>
          <w:lang w:val="en-US"/>
        </w:rPr>
      </w:pPr>
      <w:r>
        <w:rPr>
          <w:rStyle w:val="FootnoteReference"/>
        </w:rPr>
        <w:footnoteRef/>
      </w:r>
      <w:r>
        <w:t xml:space="preserve"> </w:t>
      </w:r>
      <w:r w:rsidRPr="00776253">
        <w:rPr>
          <w:b/>
        </w:rPr>
        <w:t>G</w:t>
      </w:r>
      <w:r>
        <w:rPr>
          <w:b/>
        </w:rPr>
        <w:t>ood Laboratory P</w:t>
      </w:r>
      <w:r w:rsidRPr="00776253">
        <w:rPr>
          <w:b/>
        </w:rPr>
        <w:t>ractice</w:t>
      </w:r>
      <w:r w:rsidRPr="00776253">
        <w:t xml:space="preserve"> or </w:t>
      </w:r>
      <w:r w:rsidRPr="00776253">
        <w:rPr>
          <w:b/>
        </w:rPr>
        <w:t>GLP</w:t>
      </w:r>
      <w:r w:rsidRPr="00776253">
        <w:t xml:space="preserve"> is a quality system of management controls for research laboratorie</w:t>
      </w:r>
      <w:r>
        <w:t>s and organis</w:t>
      </w:r>
      <w:r w:rsidRPr="00776253">
        <w:t>ations to ensure the uniformity, consistency, reliability, reproducibility, quality, and integrity of products in development for human or animal health (including pharmaceuticals) through non-clinical safety tests; from physio-chemical properties through acute to chronic toxicity tests</w:t>
      </w:r>
      <w:r>
        <w:t>.</w:t>
      </w:r>
    </w:p>
  </w:footnote>
  <w:footnote w:id="21">
    <w:p w14:paraId="7EC8D200" w14:textId="77777777" w:rsidR="00EE7999" w:rsidRDefault="00EE7999" w:rsidP="00776253">
      <w:pPr>
        <w:pStyle w:val="FootnoteText"/>
      </w:pPr>
      <w:r>
        <w:rPr>
          <w:rStyle w:val="FootnoteReference"/>
        </w:rPr>
        <w:footnoteRef/>
      </w:r>
      <w:r>
        <w:t xml:space="preserve"> The </w:t>
      </w:r>
      <w:r w:rsidRPr="00776253">
        <w:rPr>
          <w:b/>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603B8E3A" w14:textId="6AC896D1" w:rsidR="00EE7999" w:rsidRPr="00FB7BFD" w:rsidRDefault="00EE7999" w:rsidP="00776253">
      <w:pPr>
        <w:pStyle w:val="FootnoteText"/>
        <w:rPr>
          <w:lang w:val="en-US"/>
        </w:rPr>
      </w:pPr>
      <w:r>
        <w:t xml:space="preserve">The </w:t>
      </w:r>
      <w:r w:rsidRPr="00776253">
        <w:rPr>
          <w:b/>
        </w:rPr>
        <w:t>corrected QT interval</w:t>
      </w:r>
      <w:r>
        <w:t xml:space="preserve"> (</w:t>
      </w:r>
      <w:r w:rsidRPr="00776253">
        <w:rPr>
          <w:b/>
        </w:rPr>
        <w:t>QTc</w:t>
      </w:r>
      <w:r>
        <w:t>) estimates the QT interval at a standard heart rate. This allows comparison of QT values over time at different heart rates and improves detection of patients at increased risk of arrhythmias.</w:t>
      </w:r>
    </w:p>
  </w:footnote>
  <w:footnote w:id="22">
    <w:p w14:paraId="410DF7D7" w14:textId="7A7CD384" w:rsidR="00EE7999" w:rsidRPr="00776253" w:rsidRDefault="00EE7999">
      <w:pPr>
        <w:pStyle w:val="FootnoteText"/>
        <w:rPr>
          <w:lang w:val="en-US"/>
        </w:rPr>
      </w:pPr>
      <w:r>
        <w:rPr>
          <w:rStyle w:val="FootnoteReference"/>
        </w:rPr>
        <w:footnoteRef/>
      </w:r>
      <w:r>
        <w:t xml:space="preserve"> </w:t>
      </w:r>
      <w:r w:rsidRPr="00776253">
        <w:t xml:space="preserve">The </w:t>
      </w:r>
      <w:r w:rsidRPr="00776253">
        <w:rPr>
          <w:b/>
        </w:rPr>
        <w:t>National Health and Nutrition Examination Survey</w:t>
      </w:r>
      <w:r w:rsidRPr="00776253">
        <w:t xml:space="preserve"> (</w:t>
      </w:r>
      <w:r w:rsidRPr="00776253">
        <w:rPr>
          <w:b/>
        </w:rPr>
        <w:t>NHANES</w:t>
      </w:r>
      <w:r w:rsidRPr="00776253">
        <w:t>) is a program of studies designed to assess the health and nutritional status of adults and children in the United States</w:t>
      </w:r>
      <w:r>
        <w:t xml:space="preserve"> of America (USA)</w:t>
      </w:r>
      <w:r w:rsidRPr="00776253">
        <w:t xml:space="preserve">. The survey is unique in that it combines interviews and physical examinations. NHANES is a major program of the National Center for Health Statistics (NCHS). NCHS is part of the Centers for Disease Control and Prevention (CDC) and has the responsibility for producing vital and health statistics for the </w:t>
      </w:r>
      <w:r>
        <w:t xml:space="preserve">USA. </w:t>
      </w:r>
      <w:r w:rsidRPr="00776253">
        <w:t xml:space="preserve">Findings from this survey </w:t>
      </w:r>
      <w:r>
        <w:t>are</w:t>
      </w:r>
      <w:r w:rsidRPr="00776253">
        <w:t xml:space="preserve"> be used to determine the prevalence of major diseases and risk factors for diseases. Information </w:t>
      </w:r>
      <w:r>
        <w:t>is</w:t>
      </w:r>
      <w:r w:rsidRPr="00776253">
        <w:t xml:space="preserve"> used to assess nutritional status and its association with health promotion and disease prevention. NHANES findings are also the basis for national standards for such measurements as height, weight, and blood pressure. Data from this survey </w:t>
      </w:r>
      <w:r>
        <w:t>are</w:t>
      </w:r>
      <w:r w:rsidRPr="00776253">
        <w:t xml:space="preserve"> used in epidemiological studies</w:t>
      </w:r>
      <w:r>
        <w:t xml:space="preserve"> and health sciences research.</w:t>
      </w:r>
    </w:p>
  </w:footnote>
  <w:footnote w:id="23">
    <w:p w14:paraId="4F85D77C" w14:textId="031D8829" w:rsidR="00EE7999" w:rsidRPr="002F06AE" w:rsidRDefault="00EE7999">
      <w:pPr>
        <w:pStyle w:val="FootnoteText"/>
        <w:rPr>
          <w:lang w:val="en-US"/>
        </w:rPr>
      </w:pPr>
      <w:r>
        <w:rPr>
          <w:rStyle w:val="FootnoteReference"/>
        </w:rPr>
        <w:footnoteRef/>
      </w:r>
      <w:r>
        <w:t xml:space="preserve"> </w:t>
      </w:r>
      <w:r>
        <w:rPr>
          <w:lang w:val="en-US"/>
        </w:rPr>
        <w:t>EC</w:t>
      </w:r>
      <w:r w:rsidRPr="002F06AE">
        <w:rPr>
          <w:vertAlign w:val="subscript"/>
          <w:lang w:val="en-US"/>
        </w:rPr>
        <w:t>90</w:t>
      </w:r>
      <w:r>
        <w:rPr>
          <w:lang w:val="en-US"/>
        </w:rPr>
        <w:t xml:space="preserve"> is the concentration that leads to a 90% maximal response.</w:t>
      </w:r>
    </w:p>
  </w:footnote>
  <w:footnote w:id="24">
    <w:p w14:paraId="28AAE07B" w14:textId="516D82C8" w:rsidR="00EE7999" w:rsidRDefault="00EE7999" w:rsidP="002F06AE">
      <w:pPr>
        <w:pStyle w:val="FootnoteText"/>
      </w:pPr>
      <w:r>
        <w:rPr>
          <w:rStyle w:val="FootnoteReference"/>
        </w:rPr>
        <w:footnoteRef/>
      </w:r>
      <w:r>
        <w:t xml:space="preserve"> FDA 2021. COVID-19: Developing Drugs and Biological Products for Treatment or Prevention; Guidance for Industry. Available at: </w:t>
      </w:r>
      <w:r w:rsidRPr="00A23887">
        <w:t>https://www.fda.gov/media/137926/download</w:t>
      </w:r>
    </w:p>
  </w:footnote>
  <w:footnote w:id="25">
    <w:p w14:paraId="59006CA9" w14:textId="57BFCD2E" w:rsidR="00EE7999" w:rsidRPr="00CA6F23" w:rsidRDefault="00EE7999" w:rsidP="00CA6F23">
      <w:pPr>
        <w:pStyle w:val="FootnoteText"/>
      </w:pPr>
      <w:r>
        <w:rPr>
          <w:rStyle w:val="FootnoteReference"/>
        </w:rPr>
        <w:footnoteRef/>
      </w:r>
      <w:r>
        <w:t xml:space="preserve"> The </w:t>
      </w:r>
      <w:r w:rsidRPr="00CA6F23">
        <w:rPr>
          <w:b/>
        </w:rPr>
        <w:t>New York Heart Association</w:t>
      </w:r>
      <w:r w:rsidRPr="00CA6F23">
        <w:t xml:space="preserve"> (</w:t>
      </w:r>
      <w:r w:rsidRPr="00CA6F23">
        <w:rPr>
          <w:b/>
        </w:rPr>
        <w:t>NYHA</w:t>
      </w:r>
      <w:r>
        <w:t xml:space="preserve">) </w:t>
      </w:r>
      <w:r w:rsidRPr="00CA6F23">
        <w:rPr>
          <w:b/>
        </w:rPr>
        <w:t>Functional Classification</w:t>
      </w:r>
      <w:r>
        <w:t xml:space="preserve"> is amongst the most commonly used classification systems for heart disease</w:t>
      </w:r>
      <w:r w:rsidRPr="00CA6F23">
        <w:t>. It places patients in one of four categories based on how much they are limited during physical activity.</w:t>
      </w:r>
      <w:r>
        <w:t xml:space="preserve"> Class I: No limitation of physical activity. Ordinary physical activity does not cause undue fatigue, palpitation, dyspnoea (shortness of breath). Class II: Slight limitation of physical activity. Comfortable at rest. Ordinary physical activity results in fatigue, palpitation, dyspnoea (shortness of breath). Class III: Marked limitation of physical activity. Comfortable at rest. Less than ordinary activity causes fatigue, palpitation, or dyspnoea. Class IV: Unable to carry on any physical activity without discomfort. Symptoms of heart failure at rest. If any physical activity is undertaken, discomfort increases.</w:t>
      </w:r>
    </w:p>
  </w:footnote>
  <w:footnote w:id="26">
    <w:p w14:paraId="599B0656" w14:textId="2FF2EF83" w:rsidR="00EE7999" w:rsidRPr="00A6220D" w:rsidRDefault="00EE7999">
      <w:pPr>
        <w:pStyle w:val="FootnoteText"/>
        <w:rPr>
          <w:lang w:val="en-US"/>
        </w:rPr>
      </w:pPr>
      <w:r>
        <w:rPr>
          <w:rStyle w:val="FootnoteReference"/>
        </w:rPr>
        <w:footnoteRef/>
      </w:r>
      <w:r>
        <w:t xml:space="preserve"> </w:t>
      </w:r>
      <w:r w:rsidRPr="00A6220D">
        <w:t>Fajnzylber, J., Regan, J., Coxen, K. et al. SARS-CoV-2 viral load is associated with increased disease severity and mortality. Nat Commun 11, 5493 (2020).</w:t>
      </w:r>
    </w:p>
  </w:footnote>
  <w:footnote w:id="27">
    <w:p w14:paraId="45DEE4EE" w14:textId="0F887228" w:rsidR="00EE7999" w:rsidRPr="00310CDB" w:rsidRDefault="00EE7999">
      <w:pPr>
        <w:pStyle w:val="FootnoteText"/>
        <w:rPr>
          <w:lang w:val="en-US"/>
        </w:rPr>
      </w:pPr>
      <w:r>
        <w:rPr>
          <w:rStyle w:val="FootnoteReference"/>
        </w:rPr>
        <w:footnoteRef/>
      </w:r>
      <w:r>
        <w:t xml:space="preserve"> The i</w:t>
      </w:r>
      <w:r w:rsidRPr="00310CDB">
        <w:t>nFLUenza Pa</w:t>
      </w:r>
      <w:r>
        <w:t>tient-Reported Outcome (FLU-PRO) is a patient reported outcome (questionnaire)</w:t>
      </w:r>
      <w:r w:rsidRPr="00310CDB">
        <w:t xml:space="preserve"> quantifying the presence and severity of influenza </w:t>
      </w:r>
      <w:r>
        <w:t xml:space="preserve">or influenza-like </w:t>
      </w:r>
      <w:r w:rsidRPr="00310CDB">
        <w:t>symptoms.</w:t>
      </w:r>
    </w:p>
  </w:footnote>
  <w:footnote w:id="28">
    <w:p w14:paraId="72D4D4C9" w14:textId="6189C6B2" w:rsidR="00EE7999" w:rsidRPr="00AF4AB7" w:rsidRDefault="00EE7999">
      <w:pPr>
        <w:pStyle w:val="FootnoteText"/>
        <w:rPr>
          <w:lang w:val="en-US"/>
        </w:rPr>
      </w:pPr>
      <w:r>
        <w:rPr>
          <w:rStyle w:val="FootnoteReference"/>
        </w:rPr>
        <w:footnoteRef/>
      </w:r>
      <w:r>
        <w:t xml:space="preserve"> </w:t>
      </w:r>
      <w:r>
        <w:rPr>
          <w:lang w:val="en-US"/>
        </w:rPr>
        <w:t>MedDRA = Medical Dictionary for Regulatory Affairs.</w:t>
      </w:r>
    </w:p>
  </w:footnote>
  <w:footnote w:id="29">
    <w:p w14:paraId="01B91F8C" w14:textId="747972DE" w:rsidR="00EE7999" w:rsidRPr="00CF1D4F" w:rsidRDefault="00EE7999" w:rsidP="00A97516">
      <w:pPr>
        <w:pStyle w:val="FootnoteText"/>
        <w:rPr>
          <w:lang w:val="en-US"/>
        </w:rPr>
      </w:pPr>
      <w:r>
        <w:rPr>
          <w:rStyle w:val="FootnoteReference"/>
        </w:rPr>
        <w:footnoteRef/>
      </w:r>
      <w:r>
        <w:t xml:space="preserve"> US NIH </w:t>
      </w:r>
      <w:r>
        <w:rPr>
          <w:lang w:val="en-US"/>
        </w:rPr>
        <w:t xml:space="preserve">DAIDS = United States National Institute of Health Division of AIDs. Grade 1 indicates a mild event; </w:t>
      </w:r>
      <w:r w:rsidRPr="00A97516">
        <w:rPr>
          <w:lang w:val="en-US"/>
        </w:rPr>
        <w:t>Grade 2 indicates a moderate event</w:t>
      </w:r>
      <w:r>
        <w:rPr>
          <w:lang w:val="en-US"/>
        </w:rPr>
        <w:t>.</w:t>
      </w:r>
    </w:p>
  </w:footnote>
  <w:footnote w:id="30">
    <w:p w14:paraId="30EDFF71" w14:textId="79DEE5CF" w:rsidR="00EE7999" w:rsidRPr="009C572C" w:rsidRDefault="00EE7999">
      <w:pPr>
        <w:pStyle w:val="FootnoteText"/>
        <w:rPr>
          <w:lang w:val="en-US"/>
        </w:rPr>
      </w:pPr>
      <w:r>
        <w:rPr>
          <w:rStyle w:val="FootnoteReference"/>
        </w:rPr>
        <w:footnoteRef/>
      </w:r>
      <w:r>
        <w:t xml:space="preserve"> </w:t>
      </w:r>
      <w:r w:rsidRPr="007A5E60">
        <w:rPr>
          <w:b/>
        </w:rPr>
        <w:t>Hy’s Law</w:t>
      </w:r>
      <w:r w:rsidRPr="007A5E60">
        <w:t>: Evidence of hepatocellular injury with a rise in alanine aminotransferase (ALT) and/or aspartate aminotransferase (AST) &gt; 3 x the upper limit of normal (ULN) and total bilirubin &gt; 2 x ULN, and no other reason to explain rise in aminotransferases and total bilirubin. Hy's law is a rule of thumb that a patient is at high risk of a fatal drug-induced liver injury if given a medication that causes hepatocellular injury with jaundice.</w:t>
      </w:r>
    </w:p>
  </w:footnote>
  <w:footnote w:id="31">
    <w:p w14:paraId="133FA8E8" w14:textId="7BBBFFC2" w:rsidR="00EE7999" w:rsidRPr="007A5E60" w:rsidRDefault="00EE7999">
      <w:pPr>
        <w:pStyle w:val="FootnoteText"/>
        <w:rPr>
          <w:lang w:val="en-US"/>
        </w:rPr>
      </w:pPr>
      <w:r>
        <w:rPr>
          <w:rStyle w:val="FootnoteReference"/>
        </w:rPr>
        <w:footnoteRef/>
      </w:r>
      <w:r>
        <w:t xml:space="preserve"> </w:t>
      </w:r>
      <w:r w:rsidRPr="007A5E60">
        <w:t>Marjot T, Webb GJ, Barritt AS 4th, Moon AM, Stamataki Z, Wong VW, Barnes E. COVID-19 and liver disease: mechanistic and clinical perspectives. Nat Rev Gastroenterol Hepatol. 2021 May;18(5):348-364.</w:t>
      </w:r>
    </w:p>
  </w:footnote>
  <w:footnote w:id="32">
    <w:p w14:paraId="479D366D" w14:textId="04A8B3D2" w:rsidR="00EE7999" w:rsidRPr="007C3E75" w:rsidRDefault="00EE7999">
      <w:pPr>
        <w:pStyle w:val="FootnoteText"/>
        <w:rPr>
          <w:lang w:val="en-US"/>
        </w:rPr>
      </w:pPr>
      <w:r>
        <w:rPr>
          <w:rStyle w:val="FootnoteReference"/>
        </w:rPr>
        <w:footnoteRef/>
      </w:r>
      <w:r>
        <w:t xml:space="preserve"> </w:t>
      </w:r>
      <w:r w:rsidRPr="007C3E75">
        <w:t>Metawea MI, Yousif WI, Moheb I. COVID 19 and liver: An A-Z literature review. Dig Liver Dis. 2021 Feb;53(2):146-152.</w:t>
      </w:r>
    </w:p>
  </w:footnote>
  <w:footnote w:id="33">
    <w:p w14:paraId="11620A9F" w14:textId="77777777" w:rsidR="00EE7999" w:rsidRDefault="00EE7999" w:rsidP="007D36E2">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93E2A0F" w14:textId="77777777" w:rsidR="00EE7999" w:rsidRDefault="00EE7999" w:rsidP="007D36E2">
      <w:pPr>
        <w:pStyle w:val="FootnoteText"/>
      </w:pPr>
      <w:r w:rsidRPr="007D53B6">
        <w:rPr>
          <w:i/>
        </w:rPr>
        <w:t>Routine pharmacovigilance</w:t>
      </w:r>
      <w:r>
        <w:t xml:space="preserve"> practices involve the following activities:</w:t>
      </w:r>
    </w:p>
    <w:p w14:paraId="60E07968" w14:textId="77777777" w:rsidR="00EE7999" w:rsidRDefault="00EE7999" w:rsidP="007D36E2">
      <w:pPr>
        <w:pStyle w:val="FootnoteText"/>
        <w:numPr>
          <w:ilvl w:val="0"/>
          <w:numId w:val="32"/>
        </w:numPr>
        <w:ind w:left="284" w:hanging="284"/>
      </w:pPr>
      <w:r>
        <w:t>All suspected adverse reactions that are reported to the personnel of the company are collected and collated in an accessible manner;</w:t>
      </w:r>
    </w:p>
    <w:p w14:paraId="1E9E83A5" w14:textId="77777777" w:rsidR="00EE7999" w:rsidRDefault="00EE7999" w:rsidP="007D36E2">
      <w:pPr>
        <w:pStyle w:val="FootnoteText"/>
        <w:numPr>
          <w:ilvl w:val="0"/>
          <w:numId w:val="32"/>
        </w:numPr>
        <w:ind w:left="284" w:hanging="284"/>
      </w:pPr>
      <w:r>
        <w:t>Reporting to regulatory authorities;</w:t>
      </w:r>
    </w:p>
    <w:p w14:paraId="422D03E5" w14:textId="77777777" w:rsidR="00EE7999" w:rsidRDefault="00EE7999" w:rsidP="007D36E2">
      <w:pPr>
        <w:pStyle w:val="FootnoteText"/>
        <w:numPr>
          <w:ilvl w:val="0"/>
          <w:numId w:val="32"/>
        </w:numPr>
        <w:ind w:left="284" w:hanging="284"/>
      </w:pPr>
      <w:r>
        <w:t>Continuous monitoring of the safety profiles of approved products including signal detection and updating of labelling;</w:t>
      </w:r>
    </w:p>
    <w:p w14:paraId="53FB2F73" w14:textId="77777777" w:rsidR="00EE7999" w:rsidRDefault="00EE7999" w:rsidP="007D36E2">
      <w:pPr>
        <w:pStyle w:val="FootnoteText"/>
        <w:numPr>
          <w:ilvl w:val="0"/>
          <w:numId w:val="32"/>
        </w:numPr>
        <w:ind w:left="284" w:hanging="284"/>
      </w:pPr>
      <w:r>
        <w:t>Submission of PSURs;</w:t>
      </w:r>
    </w:p>
    <w:p w14:paraId="66581EA6" w14:textId="77777777" w:rsidR="00EE7999" w:rsidRDefault="00EE7999" w:rsidP="007D36E2">
      <w:pPr>
        <w:pStyle w:val="FootnoteText"/>
        <w:numPr>
          <w:ilvl w:val="0"/>
          <w:numId w:val="32"/>
        </w:numPr>
        <w:ind w:left="284" w:hanging="284"/>
      </w:pPr>
      <w:r>
        <w:t>Meeting other local regulatory agency requirements.</w:t>
      </w:r>
    </w:p>
  </w:footnote>
  <w:footnote w:id="34">
    <w:p w14:paraId="48DF7792" w14:textId="77777777" w:rsidR="00EE7999" w:rsidRDefault="00EE7999"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FFB08E9" w14:textId="77777777" w:rsidR="00EE7999" w:rsidRPr="00456765" w:rsidRDefault="00EE7999"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0F7E6" w14:textId="77777777" w:rsidR="00EE7999" w:rsidRDefault="00EE7999"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BEF9" w14:textId="77777777" w:rsidR="00EE7999" w:rsidRDefault="00EE7999">
    <w:pPr>
      <w:rPr>
        <w:noProof/>
        <w:lang w:eastAsia="en-AU"/>
      </w:rPr>
    </w:pPr>
    <w:r w:rsidRPr="00347824">
      <w:rPr>
        <w:noProof/>
        <w:lang w:val="en-GB" w:eastAsia="en-GB"/>
      </w:rPr>
      <w:drawing>
        <wp:anchor distT="0" distB="0" distL="114300" distR="114300" simplePos="0" relativeHeight="251658240" behindDoc="1" locked="0" layoutInCell="1" allowOverlap="1" wp14:anchorId="4D263B5A" wp14:editId="4EBFB965">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2A32A4E" w14:textId="7D99E25C" w:rsidR="00EE7999" w:rsidRDefault="00EE7999"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07D4B" w14:textId="77777777" w:rsidR="00EE7999" w:rsidRDefault="00EE79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C7B99" w14:textId="77777777" w:rsidR="00EE7999" w:rsidRDefault="00EE7999">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B0B74" w14:textId="77777777" w:rsidR="00EE7999" w:rsidRDefault="00EE799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DFB8B" w14:textId="77777777" w:rsidR="00EE7999" w:rsidRDefault="00EE79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B618A" w14:textId="77777777" w:rsidR="00EE7999" w:rsidRDefault="00EE7999"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55C69" w14:textId="77777777" w:rsidR="00EE7999" w:rsidRDefault="00EE7999" w:rsidP="006E08B3">
    <w:r>
      <w:t>Therapeutic Goods Administration</w:t>
    </w:r>
  </w:p>
  <w:p w14:paraId="25D6EA88" w14:textId="77777777" w:rsidR="00EE7999" w:rsidRDefault="00EE7999"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C06DF3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958DCCA"/>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140E9FF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60C2215"/>
    <w:multiLevelType w:val="hybridMultilevel"/>
    <w:tmpl w:val="B8D203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8F23CA"/>
    <w:multiLevelType w:val="hybridMultilevel"/>
    <w:tmpl w:val="C3E2710C"/>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7" w15:restartNumberingAfterBreak="0">
    <w:nsid w:val="0FCE7FA8"/>
    <w:multiLevelType w:val="hybridMultilevel"/>
    <w:tmpl w:val="C6648F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F5122A"/>
    <w:multiLevelType w:val="hybridMultilevel"/>
    <w:tmpl w:val="1F149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7D624A7"/>
    <w:multiLevelType w:val="hybridMultilevel"/>
    <w:tmpl w:val="C1D46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CED5ED4"/>
    <w:multiLevelType w:val="hybridMultilevel"/>
    <w:tmpl w:val="7B62BE9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1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46254"/>
    <w:multiLevelType w:val="hybridMultilevel"/>
    <w:tmpl w:val="14764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BD30B6"/>
    <w:multiLevelType w:val="hybridMultilevel"/>
    <w:tmpl w:val="D7568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5A16458"/>
    <w:multiLevelType w:val="hybridMultilevel"/>
    <w:tmpl w:val="BB9CFE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38719E1"/>
    <w:multiLevelType w:val="hybridMultilevel"/>
    <w:tmpl w:val="C302B1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586019"/>
    <w:multiLevelType w:val="hybridMultilevel"/>
    <w:tmpl w:val="DD92C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7E4E54"/>
    <w:multiLevelType w:val="hybridMultilevel"/>
    <w:tmpl w:val="C77A184C"/>
    <w:lvl w:ilvl="0" w:tplc="0C090001">
      <w:start w:val="1"/>
      <w:numFmt w:val="bullet"/>
      <w:lvlText w:val=""/>
      <w:lvlJc w:val="left"/>
      <w:pPr>
        <w:ind w:left="767" w:hanging="360"/>
      </w:pPr>
      <w:rPr>
        <w:rFonts w:ascii="Symbol" w:hAnsi="Symbol" w:hint="default"/>
      </w:rPr>
    </w:lvl>
    <w:lvl w:ilvl="1" w:tplc="0C090003">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3" w15:restartNumberingAfterBreak="0">
    <w:nsid w:val="5ADF5EE3"/>
    <w:multiLevelType w:val="hybridMultilevel"/>
    <w:tmpl w:val="096A6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A802B6"/>
    <w:multiLevelType w:val="hybridMultilevel"/>
    <w:tmpl w:val="D5E8B8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0B7EF8"/>
    <w:multiLevelType w:val="hybridMultilevel"/>
    <w:tmpl w:val="7B2A8C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E317A34"/>
    <w:multiLevelType w:val="hybridMultilevel"/>
    <w:tmpl w:val="2F8A5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E9207B5"/>
    <w:multiLevelType w:val="hybridMultilevel"/>
    <w:tmpl w:val="96CA5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1"/>
  </w:num>
  <w:num w:numId="4">
    <w:abstractNumId w:val="11"/>
  </w:num>
  <w:num w:numId="5">
    <w:abstractNumId w:val="0"/>
  </w:num>
  <w:num w:numId="6">
    <w:abstractNumId w:val="11"/>
  </w:num>
  <w:num w:numId="7">
    <w:abstractNumId w:val="11"/>
  </w:num>
  <w:num w:numId="8">
    <w:abstractNumId w:val="8"/>
  </w:num>
  <w:num w:numId="9">
    <w:abstractNumId w:val="8"/>
  </w:num>
  <w:num w:numId="10">
    <w:abstractNumId w:val="8"/>
  </w:num>
  <w:num w:numId="11">
    <w:abstractNumId w:val="8"/>
  </w:num>
  <w:num w:numId="12">
    <w:abstractNumId w:val="3"/>
    <w:lvlOverride w:ilvl="0">
      <w:lvl w:ilvl="0">
        <w:numFmt w:val="bullet"/>
        <w:lvlText w:val="•"/>
        <w:legacy w:legacy="1" w:legacySpace="0" w:legacyIndent="0"/>
        <w:lvlJc w:val="left"/>
        <w:rPr>
          <w:rFonts w:ascii="Helv" w:hAnsi="Helv" w:hint="default"/>
        </w:rPr>
      </w:lvl>
    </w:lvlOverride>
  </w:num>
  <w:num w:numId="13">
    <w:abstractNumId w:val="11"/>
  </w:num>
  <w:num w:numId="14">
    <w:abstractNumId w:val="11"/>
  </w:num>
  <w:num w:numId="15">
    <w:abstractNumId w:val="11"/>
  </w:num>
  <w:num w:numId="16">
    <w:abstractNumId w:val="8"/>
  </w:num>
  <w:num w:numId="17">
    <w:abstractNumId w:val="8"/>
  </w:num>
  <w:num w:numId="18">
    <w:abstractNumId w:val="8"/>
  </w:num>
  <w:num w:numId="19">
    <w:abstractNumId w:val="11"/>
  </w:num>
  <w:num w:numId="20">
    <w:abstractNumId w:val="11"/>
  </w:num>
  <w:num w:numId="21">
    <w:abstractNumId w:val="11"/>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26"/>
  </w:num>
  <w:num w:numId="29">
    <w:abstractNumId w:val="9"/>
  </w:num>
  <w:num w:numId="30">
    <w:abstractNumId w:val="14"/>
  </w:num>
  <w:num w:numId="31">
    <w:abstractNumId w:val="5"/>
  </w:num>
  <w:num w:numId="32">
    <w:abstractNumId w:val="19"/>
  </w:num>
  <w:num w:numId="33">
    <w:abstractNumId w:val="17"/>
  </w:num>
  <w:num w:numId="34">
    <w:abstractNumId w:val="16"/>
  </w:num>
  <w:num w:numId="35">
    <w:abstractNumId w:val="6"/>
  </w:num>
  <w:num w:numId="36">
    <w:abstractNumId w:val="7"/>
  </w:num>
  <w:num w:numId="37">
    <w:abstractNumId w:val="28"/>
  </w:num>
  <w:num w:numId="38">
    <w:abstractNumId w:val="27"/>
  </w:num>
  <w:num w:numId="39">
    <w:abstractNumId w:val="10"/>
  </w:num>
  <w:num w:numId="40">
    <w:abstractNumId w:val="12"/>
  </w:num>
  <w:num w:numId="41">
    <w:abstractNumId w:val="13"/>
  </w:num>
  <w:num w:numId="42">
    <w:abstractNumId w:val="22"/>
  </w:num>
  <w:num w:numId="43">
    <w:abstractNumId w:val="23"/>
  </w:num>
  <w:num w:numId="44">
    <w:abstractNumId w:val="15"/>
  </w:num>
  <w:num w:numId="45">
    <w:abstractNumId w:val="24"/>
  </w:num>
  <w:num w:numId="46">
    <w:abstractNumId w:val="25"/>
  </w:num>
  <w:num w:numId="47">
    <w:abstractNumId w:val="20"/>
  </w:num>
  <w:num w:numId="48">
    <w:abstractNumId w:val="4"/>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1"/>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D9"/>
    <w:rsid w:val="00002031"/>
    <w:rsid w:val="0000272D"/>
    <w:rsid w:val="00004734"/>
    <w:rsid w:val="00006916"/>
    <w:rsid w:val="00006B22"/>
    <w:rsid w:val="00006FAB"/>
    <w:rsid w:val="000107E1"/>
    <w:rsid w:val="0001276A"/>
    <w:rsid w:val="00012B2A"/>
    <w:rsid w:val="00015F43"/>
    <w:rsid w:val="000246AE"/>
    <w:rsid w:val="00025C67"/>
    <w:rsid w:val="000300E6"/>
    <w:rsid w:val="00044772"/>
    <w:rsid w:val="0004541C"/>
    <w:rsid w:val="00053C35"/>
    <w:rsid w:val="0005559E"/>
    <w:rsid w:val="000604D6"/>
    <w:rsid w:val="00064109"/>
    <w:rsid w:val="00065645"/>
    <w:rsid w:val="000734D8"/>
    <w:rsid w:val="00073D92"/>
    <w:rsid w:val="00077775"/>
    <w:rsid w:val="00080F7F"/>
    <w:rsid w:val="0008568A"/>
    <w:rsid w:val="00090471"/>
    <w:rsid w:val="00091784"/>
    <w:rsid w:val="00096AA7"/>
    <w:rsid w:val="000A2DF8"/>
    <w:rsid w:val="000A3AED"/>
    <w:rsid w:val="000B3532"/>
    <w:rsid w:val="000B3A75"/>
    <w:rsid w:val="000C00C2"/>
    <w:rsid w:val="000C2764"/>
    <w:rsid w:val="000C690F"/>
    <w:rsid w:val="000D1295"/>
    <w:rsid w:val="000D1B68"/>
    <w:rsid w:val="000D391B"/>
    <w:rsid w:val="000D3ACC"/>
    <w:rsid w:val="000D3D6D"/>
    <w:rsid w:val="000D4FC7"/>
    <w:rsid w:val="000D512C"/>
    <w:rsid w:val="000E5613"/>
    <w:rsid w:val="000E6196"/>
    <w:rsid w:val="000F0963"/>
    <w:rsid w:val="000F4869"/>
    <w:rsid w:val="000F5B42"/>
    <w:rsid w:val="000F6E6F"/>
    <w:rsid w:val="0010601F"/>
    <w:rsid w:val="0010788A"/>
    <w:rsid w:val="00107A31"/>
    <w:rsid w:val="00110EA5"/>
    <w:rsid w:val="00112F56"/>
    <w:rsid w:val="00114B22"/>
    <w:rsid w:val="00122C2E"/>
    <w:rsid w:val="00124ACD"/>
    <w:rsid w:val="00125318"/>
    <w:rsid w:val="001305A2"/>
    <w:rsid w:val="00133238"/>
    <w:rsid w:val="00133A1B"/>
    <w:rsid w:val="00133F6B"/>
    <w:rsid w:val="0014197B"/>
    <w:rsid w:val="001447CD"/>
    <w:rsid w:val="0014564A"/>
    <w:rsid w:val="001516B1"/>
    <w:rsid w:val="00154EBB"/>
    <w:rsid w:val="00156316"/>
    <w:rsid w:val="00161181"/>
    <w:rsid w:val="001611EB"/>
    <w:rsid w:val="00162D14"/>
    <w:rsid w:val="00163780"/>
    <w:rsid w:val="001638CF"/>
    <w:rsid w:val="00165389"/>
    <w:rsid w:val="00173166"/>
    <w:rsid w:val="00175252"/>
    <w:rsid w:val="0017693F"/>
    <w:rsid w:val="0018110E"/>
    <w:rsid w:val="00181684"/>
    <w:rsid w:val="001843C6"/>
    <w:rsid w:val="00184C91"/>
    <w:rsid w:val="00184F99"/>
    <w:rsid w:val="001850E0"/>
    <w:rsid w:val="00187513"/>
    <w:rsid w:val="00194131"/>
    <w:rsid w:val="001969CF"/>
    <w:rsid w:val="001A03AF"/>
    <w:rsid w:val="001A2158"/>
    <w:rsid w:val="001A525F"/>
    <w:rsid w:val="001A6684"/>
    <w:rsid w:val="001B0639"/>
    <w:rsid w:val="001B09F9"/>
    <w:rsid w:val="001B1822"/>
    <w:rsid w:val="001B5C90"/>
    <w:rsid w:val="001B6448"/>
    <w:rsid w:val="001B6612"/>
    <w:rsid w:val="001C0E1D"/>
    <w:rsid w:val="001C32CD"/>
    <w:rsid w:val="001D2984"/>
    <w:rsid w:val="001D4C27"/>
    <w:rsid w:val="001D7480"/>
    <w:rsid w:val="001E07CF"/>
    <w:rsid w:val="001E1E48"/>
    <w:rsid w:val="001E59F1"/>
    <w:rsid w:val="001E7895"/>
    <w:rsid w:val="001F2CEE"/>
    <w:rsid w:val="001F2F16"/>
    <w:rsid w:val="001F3EA6"/>
    <w:rsid w:val="001F49EB"/>
    <w:rsid w:val="001F6CBA"/>
    <w:rsid w:val="00201D4E"/>
    <w:rsid w:val="00204F77"/>
    <w:rsid w:val="002076C9"/>
    <w:rsid w:val="00213C6B"/>
    <w:rsid w:val="002171C8"/>
    <w:rsid w:val="00220B8A"/>
    <w:rsid w:val="00222FA2"/>
    <w:rsid w:val="002257F3"/>
    <w:rsid w:val="0022611D"/>
    <w:rsid w:val="00227F31"/>
    <w:rsid w:val="00230F8E"/>
    <w:rsid w:val="00233456"/>
    <w:rsid w:val="002339A5"/>
    <w:rsid w:val="00234FBB"/>
    <w:rsid w:val="0023759B"/>
    <w:rsid w:val="002400FD"/>
    <w:rsid w:val="00250271"/>
    <w:rsid w:val="00257848"/>
    <w:rsid w:val="002578E8"/>
    <w:rsid w:val="00260946"/>
    <w:rsid w:val="0027084A"/>
    <w:rsid w:val="00280265"/>
    <w:rsid w:val="00286434"/>
    <w:rsid w:val="00286C59"/>
    <w:rsid w:val="00291957"/>
    <w:rsid w:val="002942D1"/>
    <w:rsid w:val="0029501A"/>
    <w:rsid w:val="002A1569"/>
    <w:rsid w:val="002A3721"/>
    <w:rsid w:val="002B1638"/>
    <w:rsid w:val="002B3624"/>
    <w:rsid w:val="002D0952"/>
    <w:rsid w:val="002D45FE"/>
    <w:rsid w:val="002E2CB7"/>
    <w:rsid w:val="002E40B3"/>
    <w:rsid w:val="002E4C9A"/>
    <w:rsid w:val="002F06AE"/>
    <w:rsid w:val="002F11F8"/>
    <w:rsid w:val="002F3603"/>
    <w:rsid w:val="002F3C2B"/>
    <w:rsid w:val="002F3F56"/>
    <w:rsid w:val="002F44B5"/>
    <w:rsid w:val="002F5122"/>
    <w:rsid w:val="002F636E"/>
    <w:rsid w:val="002F6371"/>
    <w:rsid w:val="00305014"/>
    <w:rsid w:val="00310CDB"/>
    <w:rsid w:val="00311AC0"/>
    <w:rsid w:val="003120FB"/>
    <w:rsid w:val="003176FC"/>
    <w:rsid w:val="00322737"/>
    <w:rsid w:val="00324E45"/>
    <w:rsid w:val="0032583B"/>
    <w:rsid w:val="00327883"/>
    <w:rsid w:val="00335504"/>
    <w:rsid w:val="00335758"/>
    <w:rsid w:val="00340800"/>
    <w:rsid w:val="00340C18"/>
    <w:rsid w:val="003442FD"/>
    <w:rsid w:val="00347824"/>
    <w:rsid w:val="00350567"/>
    <w:rsid w:val="003521E8"/>
    <w:rsid w:val="00357A80"/>
    <w:rsid w:val="003611D0"/>
    <w:rsid w:val="0036691D"/>
    <w:rsid w:val="00370CE3"/>
    <w:rsid w:val="003728F3"/>
    <w:rsid w:val="003735BC"/>
    <w:rsid w:val="003737B5"/>
    <w:rsid w:val="0037496E"/>
    <w:rsid w:val="00383221"/>
    <w:rsid w:val="00386150"/>
    <w:rsid w:val="003874CE"/>
    <w:rsid w:val="00390900"/>
    <w:rsid w:val="00392540"/>
    <w:rsid w:val="003A004A"/>
    <w:rsid w:val="003A0730"/>
    <w:rsid w:val="003A1363"/>
    <w:rsid w:val="003A7F6C"/>
    <w:rsid w:val="003B4D60"/>
    <w:rsid w:val="003B7E39"/>
    <w:rsid w:val="003C07E4"/>
    <w:rsid w:val="003C58DC"/>
    <w:rsid w:val="003C7735"/>
    <w:rsid w:val="003D0F0C"/>
    <w:rsid w:val="003D1E62"/>
    <w:rsid w:val="003D2C37"/>
    <w:rsid w:val="003D3918"/>
    <w:rsid w:val="003E0B99"/>
    <w:rsid w:val="003E2486"/>
    <w:rsid w:val="003E3208"/>
    <w:rsid w:val="003F06F9"/>
    <w:rsid w:val="003F0B04"/>
    <w:rsid w:val="003F2972"/>
    <w:rsid w:val="00400C11"/>
    <w:rsid w:val="0040134E"/>
    <w:rsid w:val="004126CF"/>
    <w:rsid w:val="00414995"/>
    <w:rsid w:val="00416751"/>
    <w:rsid w:val="004259AB"/>
    <w:rsid w:val="00427B3D"/>
    <w:rsid w:val="004334C7"/>
    <w:rsid w:val="00436166"/>
    <w:rsid w:val="00437382"/>
    <w:rsid w:val="00440A2D"/>
    <w:rsid w:val="00441C3F"/>
    <w:rsid w:val="004440BA"/>
    <w:rsid w:val="00444D1A"/>
    <w:rsid w:val="0045186A"/>
    <w:rsid w:val="004559BB"/>
    <w:rsid w:val="004564A7"/>
    <w:rsid w:val="00456765"/>
    <w:rsid w:val="00460036"/>
    <w:rsid w:val="004602F7"/>
    <w:rsid w:val="004617BF"/>
    <w:rsid w:val="004620BB"/>
    <w:rsid w:val="00463658"/>
    <w:rsid w:val="004637A0"/>
    <w:rsid w:val="00467DD9"/>
    <w:rsid w:val="00470058"/>
    <w:rsid w:val="004722CC"/>
    <w:rsid w:val="004771EC"/>
    <w:rsid w:val="00477F7A"/>
    <w:rsid w:val="0048704A"/>
    <w:rsid w:val="00490483"/>
    <w:rsid w:val="004912F5"/>
    <w:rsid w:val="004936E4"/>
    <w:rsid w:val="00494076"/>
    <w:rsid w:val="004942B5"/>
    <w:rsid w:val="00494E60"/>
    <w:rsid w:val="00497487"/>
    <w:rsid w:val="0049775A"/>
    <w:rsid w:val="004A2771"/>
    <w:rsid w:val="004A6189"/>
    <w:rsid w:val="004A6478"/>
    <w:rsid w:val="004A648E"/>
    <w:rsid w:val="004A7390"/>
    <w:rsid w:val="004B4399"/>
    <w:rsid w:val="004B5C89"/>
    <w:rsid w:val="004B6533"/>
    <w:rsid w:val="004B7B76"/>
    <w:rsid w:val="004C1132"/>
    <w:rsid w:val="004C239D"/>
    <w:rsid w:val="004C2DCA"/>
    <w:rsid w:val="004C4FBE"/>
    <w:rsid w:val="004C61D2"/>
    <w:rsid w:val="004D131F"/>
    <w:rsid w:val="004D1725"/>
    <w:rsid w:val="004D68CD"/>
    <w:rsid w:val="004E020B"/>
    <w:rsid w:val="004E0612"/>
    <w:rsid w:val="004E30CA"/>
    <w:rsid w:val="004E3C36"/>
    <w:rsid w:val="004F0C4A"/>
    <w:rsid w:val="004F0F38"/>
    <w:rsid w:val="004F36BF"/>
    <w:rsid w:val="004F47D6"/>
    <w:rsid w:val="004F4F9A"/>
    <w:rsid w:val="00500337"/>
    <w:rsid w:val="00501921"/>
    <w:rsid w:val="00503681"/>
    <w:rsid w:val="0051532A"/>
    <w:rsid w:val="00520F7F"/>
    <w:rsid w:val="0052616D"/>
    <w:rsid w:val="00530354"/>
    <w:rsid w:val="005348BF"/>
    <w:rsid w:val="0053625B"/>
    <w:rsid w:val="00537B28"/>
    <w:rsid w:val="005434C6"/>
    <w:rsid w:val="00543B39"/>
    <w:rsid w:val="0054600E"/>
    <w:rsid w:val="00546154"/>
    <w:rsid w:val="0054785A"/>
    <w:rsid w:val="00550096"/>
    <w:rsid w:val="00555280"/>
    <w:rsid w:val="00557FF9"/>
    <w:rsid w:val="00562327"/>
    <w:rsid w:val="005631B9"/>
    <w:rsid w:val="005711D5"/>
    <w:rsid w:val="00572FC4"/>
    <w:rsid w:val="005761CD"/>
    <w:rsid w:val="00576378"/>
    <w:rsid w:val="005766C1"/>
    <w:rsid w:val="00577130"/>
    <w:rsid w:val="00577945"/>
    <w:rsid w:val="00577E38"/>
    <w:rsid w:val="00585322"/>
    <w:rsid w:val="005857C6"/>
    <w:rsid w:val="00592F6E"/>
    <w:rsid w:val="00593989"/>
    <w:rsid w:val="00593AD1"/>
    <w:rsid w:val="005A2468"/>
    <w:rsid w:val="005A61AF"/>
    <w:rsid w:val="005A68B6"/>
    <w:rsid w:val="005A7437"/>
    <w:rsid w:val="005C4FB0"/>
    <w:rsid w:val="005C5570"/>
    <w:rsid w:val="005C5B66"/>
    <w:rsid w:val="005C79A4"/>
    <w:rsid w:val="005D5442"/>
    <w:rsid w:val="005E0B3B"/>
    <w:rsid w:val="00603F32"/>
    <w:rsid w:val="00605AD4"/>
    <w:rsid w:val="006136D7"/>
    <w:rsid w:val="006245DC"/>
    <w:rsid w:val="00625A6E"/>
    <w:rsid w:val="0062782C"/>
    <w:rsid w:val="00632398"/>
    <w:rsid w:val="006325AE"/>
    <w:rsid w:val="00634C1A"/>
    <w:rsid w:val="00640FC3"/>
    <w:rsid w:val="00641188"/>
    <w:rsid w:val="00642020"/>
    <w:rsid w:val="006430EE"/>
    <w:rsid w:val="0065006A"/>
    <w:rsid w:val="0065337B"/>
    <w:rsid w:val="0065419D"/>
    <w:rsid w:val="00654B80"/>
    <w:rsid w:val="00657A3F"/>
    <w:rsid w:val="006603BC"/>
    <w:rsid w:val="006604D8"/>
    <w:rsid w:val="0066180A"/>
    <w:rsid w:val="00664A5B"/>
    <w:rsid w:val="0066735C"/>
    <w:rsid w:val="0066775B"/>
    <w:rsid w:val="006763D2"/>
    <w:rsid w:val="00680C08"/>
    <w:rsid w:val="0068442E"/>
    <w:rsid w:val="006868FB"/>
    <w:rsid w:val="006916A0"/>
    <w:rsid w:val="00692B1E"/>
    <w:rsid w:val="0069315D"/>
    <w:rsid w:val="006931B1"/>
    <w:rsid w:val="006A15C0"/>
    <w:rsid w:val="006A4F80"/>
    <w:rsid w:val="006A58A8"/>
    <w:rsid w:val="006C3E2A"/>
    <w:rsid w:val="006C642F"/>
    <w:rsid w:val="006D03E5"/>
    <w:rsid w:val="006D1DBC"/>
    <w:rsid w:val="006D2EC6"/>
    <w:rsid w:val="006D351F"/>
    <w:rsid w:val="006D59F5"/>
    <w:rsid w:val="006D5D3E"/>
    <w:rsid w:val="006E08B3"/>
    <w:rsid w:val="006E5E5C"/>
    <w:rsid w:val="006F05C0"/>
    <w:rsid w:val="006F17AC"/>
    <w:rsid w:val="006F25B8"/>
    <w:rsid w:val="006F383E"/>
    <w:rsid w:val="006F572E"/>
    <w:rsid w:val="00701038"/>
    <w:rsid w:val="007027CA"/>
    <w:rsid w:val="0070461E"/>
    <w:rsid w:val="007046D6"/>
    <w:rsid w:val="00705DB0"/>
    <w:rsid w:val="00722B57"/>
    <w:rsid w:val="00722C7E"/>
    <w:rsid w:val="00730F8A"/>
    <w:rsid w:val="00732595"/>
    <w:rsid w:val="00735A8C"/>
    <w:rsid w:val="0074253D"/>
    <w:rsid w:val="00744121"/>
    <w:rsid w:val="0074429B"/>
    <w:rsid w:val="00760EE1"/>
    <w:rsid w:val="007615BC"/>
    <w:rsid w:val="00762F05"/>
    <w:rsid w:val="007652FF"/>
    <w:rsid w:val="007669CA"/>
    <w:rsid w:val="00770CAC"/>
    <w:rsid w:val="00770EF1"/>
    <w:rsid w:val="00773EF7"/>
    <w:rsid w:val="007740C3"/>
    <w:rsid w:val="00774E1D"/>
    <w:rsid w:val="00776253"/>
    <w:rsid w:val="007765D8"/>
    <w:rsid w:val="0077675A"/>
    <w:rsid w:val="007775F9"/>
    <w:rsid w:val="00780355"/>
    <w:rsid w:val="007819FD"/>
    <w:rsid w:val="00781B28"/>
    <w:rsid w:val="00785717"/>
    <w:rsid w:val="00785721"/>
    <w:rsid w:val="00793A59"/>
    <w:rsid w:val="00794340"/>
    <w:rsid w:val="007A122F"/>
    <w:rsid w:val="007A176B"/>
    <w:rsid w:val="007A2AB8"/>
    <w:rsid w:val="007A46F5"/>
    <w:rsid w:val="007A5E60"/>
    <w:rsid w:val="007A6505"/>
    <w:rsid w:val="007B6132"/>
    <w:rsid w:val="007B62D9"/>
    <w:rsid w:val="007B6E9F"/>
    <w:rsid w:val="007C1216"/>
    <w:rsid w:val="007C161A"/>
    <w:rsid w:val="007C1AF7"/>
    <w:rsid w:val="007C3E75"/>
    <w:rsid w:val="007C6B9B"/>
    <w:rsid w:val="007D36E2"/>
    <w:rsid w:val="007D53B6"/>
    <w:rsid w:val="007D6694"/>
    <w:rsid w:val="007D676B"/>
    <w:rsid w:val="007D788C"/>
    <w:rsid w:val="007E16C8"/>
    <w:rsid w:val="007E553A"/>
    <w:rsid w:val="007E682D"/>
    <w:rsid w:val="007F444E"/>
    <w:rsid w:val="00802B7E"/>
    <w:rsid w:val="00805D27"/>
    <w:rsid w:val="008060A4"/>
    <w:rsid w:val="008067A9"/>
    <w:rsid w:val="00806DCB"/>
    <w:rsid w:val="008110EF"/>
    <w:rsid w:val="00816FBC"/>
    <w:rsid w:val="0081795A"/>
    <w:rsid w:val="00821776"/>
    <w:rsid w:val="0082266D"/>
    <w:rsid w:val="008301A8"/>
    <w:rsid w:val="008321F5"/>
    <w:rsid w:val="00832369"/>
    <w:rsid w:val="00834660"/>
    <w:rsid w:val="00836BC2"/>
    <w:rsid w:val="0085156D"/>
    <w:rsid w:val="00852B28"/>
    <w:rsid w:val="0085641B"/>
    <w:rsid w:val="00857136"/>
    <w:rsid w:val="00870F40"/>
    <w:rsid w:val="00875A6B"/>
    <w:rsid w:val="00876F3C"/>
    <w:rsid w:val="008821E5"/>
    <w:rsid w:val="00885B11"/>
    <w:rsid w:val="00885BDA"/>
    <w:rsid w:val="00886D15"/>
    <w:rsid w:val="00887DD8"/>
    <w:rsid w:val="00891BA9"/>
    <w:rsid w:val="00896018"/>
    <w:rsid w:val="008960DD"/>
    <w:rsid w:val="0089635C"/>
    <w:rsid w:val="008975A5"/>
    <w:rsid w:val="008A2B9D"/>
    <w:rsid w:val="008A3D9F"/>
    <w:rsid w:val="008A5E0B"/>
    <w:rsid w:val="008A6D59"/>
    <w:rsid w:val="008A74AD"/>
    <w:rsid w:val="008B4321"/>
    <w:rsid w:val="008B4B03"/>
    <w:rsid w:val="008B596F"/>
    <w:rsid w:val="008C159F"/>
    <w:rsid w:val="008C1623"/>
    <w:rsid w:val="008C1850"/>
    <w:rsid w:val="008C51A9"/>
    <w:rsid w:val="008C5B89"/>
    <w:rsid w:val="008D3FA0"/>
    <w:rsid w:val="008D7325"/>
    <w:rsid w:val="008E64CA"/>
    <w:rsid w:val="008E7846"/>
    <w:rsid w:val="008F02E5"/>
    <w:rsid w:val="008F1CCC"/>
    <w:rsid w:val="008F2967"/>
    <w:rsid w:val="008F6943"/>
    <w:rsid w:val="00902A21"/>
    <w:rsid w:val="00905781"/>
    <w:rsid w:val="00911198"/>
    <w:rsid w:val="00913254"/>
    <w:rsid w:val="0091523F"/>
    <w:rsid w:val="00920330"/>
    <w:rsid w:val="009219D7"/>
    <w:rsid w:val="00922D53"/>
    <w:rsid w:val="00923B70"/>
    <w:rsid w:val="00924482"/>
    <w:rsid w:val="00930237"/>
    <w:rsid w:val="00934584"/>
    <w:rsid w:val="00937C17"/>
    <w:rsid w:val="00940A89"/>
    <w:rsid w:val="00941F77"/>
    <w:rsid w:val="00945208"/>
    <w:rsid w:val="00946EA5"/>
    <w:rsid w:val="00953ECA"/>
    <w:rsid w:val="00960520"/>
    <w:rsid w:val="00963B89"/>
    <w:rsid w:val="00963C08"/>
    <w:rsid w:val="009752A5"/>
    <w:rsid w:val="0098393B"/>
    <w:rsid w:val="0098585A"/>
    <w:rsid w:val="00994DBB"/>
    <w:rsid w:val="009A1369"/>
    <w:rsid w:val="009A4CED"/>
    <w:rsid w:val="009A690D"/>
    <w:rsid w:val="009B0887"/>
    <w:rsid w:val="009B1D12"/>
    <w:rsid w:val="009B416B"/>
    <w:rsid w:val="009C2FF4"/>
    <w:rsid w:val="009C4BD5"/>
    <w:rsid w:val="009C572C"/>
    <w:rsid w:val="009C73A5"/>
    <w:rsid w:val="009D7B77"/>
    <w:rsid w:val="009E0824"/>
    <w:rsid w:val="009E09D2"/>
    <w:rsid w:val="009E0BB0"/>
    <w:rsid w:val="009E3FBB"/>
    <w:rsid w:val="009E6AFF"/>
    <w:rsid w:val="009F48CB"/>
    <w:rsid w:val="009F7353"/>
    <w:rsid w:val="00A0074F"/>
    <w:rsid w:val="00A04F85"/>
    <w:rsid w:val="00A05FA4"/>
    <w:rsid w:val="00A102E4"/>
    <w:rsid w:val="00A110EB"/>
    <w:rsid w:val="00A1219C"/>
    <w:rsid w:val="00A12C42"/>
    <w:rsid w:val="00A14DF7"/>
    <w:rsid w:val="00A22D57"/>
    <w:rsid w:val="00A23887"/>
    <w:rsid w:val="00A3246D"/>
    <w:rsid w:val="00A343F4"/>
    <w:rsid w:val="00A36FA7"/>
    <w:rsid w:val="00A4034E"/>
    <w:rsid w:val="00A418EE"/>
    <w:rsid w:val="00A4332A"/>
    <w:rsid w:val="00A44DDB"/>
    <w:rsid w:val="00A475B7"/>
    <w:rsid w:val="00A47AF7"/>
    <w:rsid w:val="00A47C3E"/>
    <w:rsid w:val="00A50226"/>
    <w:rsid w:val="00A56F4B"/>
    <w:rsid w:val="00A571F1"/>
    <w:rsid w:val="00A60BAD"/>
    <w:rsid w:val="00A6220D"/>
    <w:rsid w:val="00A62695"/>
    <w:rsid w:val="00A70DF4"/>
    <w:rsid w:val="00A77F87"/>
    <w:rsid w:val="00A80B5B"/>
    <w:rsid w:val="00A846B3"/>
    <w:rsid w:val="00A84E36"/>
    <w:rsid w:val="00A964D1"/>
    <w:rsid w:val="00A97516"/>
    <w:rsid w:val="00AA0ED0"/>
    <w:rsid w:val="00AB0891"/>
    <w:rsid w:val="00AB132C"/>
    <w:rsid w:val="00AC2B40"/>
    <w:rsid w:val="00AC2BB2"/>
    <w:rsid w:val="00AC2C3C"/>
    <w:rsid w:val="00AC3F2D"/>
    <w:rsid w:val="00AC512D"/>
    <w:rsid w:val="00AC6BF4"/>
    <w:rsid w:val="00AD0083"/>
    <w:rsid w:val="00AD3935"/>
    <w:rsid w:val="00AD40CC"/>
    <w:rsid w:val="00AE65EB"/>
    <w:rsid w:val="00AE67A7"/>
    <w:rsid w:val="00AF1BAF"/>
    <w:rsid w:val="00AF1D94"/>
    <w:rsid w:val="00AF27D8"/>
    <w:rsid w:val="00AF4AB7"/>
    <w:rsid w:val="00AF60C5"/>
    <w:rsid w:val="00B009C6"/>
    <w:rsid w:val="00B01548"/>
    <w:rsid w:val="00B02098"/>
    <w:rsid w:val="00B130C5"/>
    <w:rsid w:val="00B13EBD"/>
    <w:rsid w:val="00B20A95"/>
    <w:rsid w:val="00B21D29"/>
    <w:rsid w:val="00B25034"/>
    <w:rsid w:val="00B26E01"/>
    <w:rsid w:val="00B32615"/>
    <w:rsid w:val="00B33588"/>
    <w:rsid w:val="00B33863"/>
    <w:rsid w:val="00B37D17"/>
    <w:rsid w:val="00B4175E"/>
    <w:rsid w:val="00B41B1D"/>
    <w:rsid w:val="00B41C85"/>
    <w:rsid w:val="00B41E53"/>
    <w:rsid w:val="00B452CE"/>
    <w:rsid w:val="00B4683A"/>
    <w:rsid w:val="00B47BA7"/>
    <w:rsid w:val="00B50665"/>
    <w:rsid w:val="00B54C25"/>
    <w:rsid w:val="00B67A20"/>
    <w:rsid w:val="00B76B91"/>
    <w:rsid w:val="00B77EB1"/>
    <w:rsid w:val="00B811C6"/>
    <w:rsid w:val="00B81210"/>
    <w:rsid w:val="00B855B0"/>
    <w:rsid w:val="00B92E08"/>
    <w:rsid w:val="00BA11EB"/>
    <w:rsid w:val="00BA3A34"/>
    <w:rsid w:val="00BA66F7"/>
    <w:rsid w:val="00BB0B4B"/>
    <w:rsid w:val="00BB673C"/>
    <w:rsid w:val="00BC622A"/>
    <w:rsid w:val="00BC676B"/>
    <w:rsid w:val="00BE0A78"/>
    <w:rsid w:val="00BE2673"/>
    <w:rsid w:val="00BE79F0"/>
    <w:rsid w:val="00BF046D"/>
    <w:rsid w:val="00BF1190"/>
    <w:rsid w:val="00BF22A1"/>
    <w:rsid w:val="00BF3774"/>
    <w:rsid w:val="00BF3C7C"/>
    <w:rsid w:val="00BF5D04"/>
    <w:rsid w:val="00C009AA"/>
    <w:rsid w:val="00C047FD"/>
    <w:rsid w:val="00C056AB"/>
    <w:rsid w:val="00C1164D"/>
    <w:rsid w:val="00C16861"/>
    <w:rsid w:val="00C206BC"/>
    <w:rsid w:val="00C20D64"/>
    <w:rsid w:val="00C334D4"/>
    <w:rsid w:val="00C33CC3"/>
    <w:rsid w:val="00C346AB"/>
    <w:rsid w:val="00C404A6"/>
    <w:rsid w:val="00C40A36"/>
    <w:rsid w:val="00C41365"/>
    <w:rsid w:val="00C43715"/>
    <w:rsid w:val="00C44419"/>
    <w:rsid w:val="00C45920"/>
    <w:rsid w:val="00C45E08"/>
    <w:rsid w:val="00C45E7B"/>
    <w:rsid w:val="00C471B1"/>
    <w:rsid w:val="00C51664"/>
    <w:rsid w:val="00C525A2"/>
    <w:rsid w:val="00C52E24"/>
    <w:rsid w:val="00C6316B"/>
    <w:rsid w:val="00C634A9"/>
    <w:rsid w:val="00C63858"/>
    <w:rsid w:val="00C64586"/>
    <w:rsid w:val="00C70A36"/>
    <w:rsid w:val="00C70D53"/>
    <w:rsid w:val="00C714DA"/>
    <w:rsid w:val="00C73D0B"/>
    <w:rsid w:val="00C74F5C"/>
    <w:rsid w:val="00C7680E"/>
    <w:rsid w:val="00C772FF"/>
    <w:rsid w:val="00C80137"/>
    <w:rsid w:val="00C801AF"/>
    <w:rsid w:val="00C80256"/>
    <w:rsid w:val="00C8579E"/>
    <w:rsid w:val="00C85B77"/>
    <w:rsid w:val="00C92468"/>
    <w:rsid w:val="00C9285A"/>
    <w:rsid w:val="00C94CD4"/>
    <w:rsid w:val="00C9747E"/>
    <w:rsid w:val="00CA038C"/>
    <w:rsid w:val="00CA6F23"/>
    <w:rsid w:val="00CB4726"/>
    <w:rsid w:val="00CB6BC0"/>
    <w:rsid w:val="00CC1B7C"/>
    <w:rsid w:val="00CC31E9"/>
    <w:rsid w:val="00CC727F"/>
    <w:rsid w:val="00CD142A"/>
    <w:rsid w:val="00CF15C3"/>
    <w:rsid w:val="00CF1D4F"/>
    <w:rsid w:val="00CF2B6F"/>
    <w:rsid w:val="00CF2F3E"/>
    <w:rsid w:val="00CF58B6"/>
    <w:rsid w:val="00CF5DAD"/>
    <w:rsid w:val="00CF6838"/>
    <w:rsid w:val="00D0062D"/>
    <w:rsid w:val="00D017ED"/>
    <w:rsid w:val="00D03202"/>
    <w:rsid w:val="00D040D3"/>
    <w:rsid w:val="00D04C65"/>
    <w:rsid w:val="00D110EF"/>
    <w:rsid w:val="00D11607"/>
    <w:rsid w:val="00D153D8"/>
    <w:rsid w:val="00D201D2"/>
    <w:rsid w:val="00D224FE"/>
    <w:rsid w:val="00D23139"/>
    <w:rsid w:val="00D301E5"/>
    <w:rsid w:val="00D4128D"/>
    <w:rsid w:val="00D425BB"/>
    <w:rsid w:val="00D453FA"/>
    <w:rsid w:val="00D51502"/>
    <w:rsid w:val="00D6493E"/>
    <w:rsid w:val="00D652D3"/>
    <w:rsid w:val="00D7195D"/>
    <w:rsid w:val="00D72863"/>
    <w:rsid w:val="00D72DF4"/>
    <w:rsid w:val="00D7301E"/>
    <w:rsid w:val="00D83AE1"/>
    <w:rsid w:val="00D855D4"/>
    <w:rsid w:val="00D902C9"/>
    <w:rsid w:val="00D93466"/>
    <w:rsid w:val="00DA1124"/>
    <w:rsid w:val="00DA4847"/>
    <w:rsid w:val="00DA64CB"/>
    <w:rsid w:val="00DB06B8"/>
    <w:rsid w:val="00DB6124"/>
    <w:rsid w:val="00DB6E37"/>
    <w:rsid w:val="00DB750B"/>
    <w:rsid w:val="00DB75B7"/>
    <w:rsid w:val="00DC0439"/>
    <w:rsid w:val="00DC0A2F"/>
    <w:rsid w:val="00DC1948"/>
    <w:rsid w:val="00DC6E02"/>
    <w:rsid w:val="00DD28CD"/>
    <w:rsid w:val="00DD61F5"/>
    <w:rsid w:val="00DE02AE"/>
    <w:rsid w:val="00DE39D1"/>
    <w:rsid w:val="00DE5030"/>
    <w:rsid w:val="00DF1D7F"/>
    <w:rsid w:val="00DF4BE4"/>
    <w:rsid w:val="00E01C92"/>
    <w:rsid w:val="00E02382"/>
    <w:rsid w:val="00E02FB4"/>
    <w:rsid w:val="00E0596A"/>
    <w:rsid w:val="00E12A66"/>
    <w:rsid w:val="00E13832"/>
    <w:rsid w:val="00E13FC7"/>
    <w:rsid w:val="00E14539"/>
    <w:rsid w:val="00E16135"/>
    <w:rsid w:val="00E16850"/>
    <w:rsid w:val="00E169FE"/>
    <w:rsid w:val="00E20571"/>
    <w:rsid w:val="00E235F7"/>
    <w:rsid w:val="00E23659"/>
    <w:rsid w:val="00E239D4"/>
    <w:rsid w:val="00E26130"/>
    <w:rsid w:val="00E31709"/>
    <w:rsid w:val="00E33D42"/>
    <w:rsid w:val="00E36F08"/>
    <w:rsid w:val="00E40B22"/>
    <w:rsid w:val="00E44ED1"/>
    <w:rsid w:val="00E45619"/>
    <w:rsid w:val="00E4588F"/>
    <w:rsid w:val="00E46DA3"/>
    <w:rsid w:val="00E51BB1"/>
    <w:rsid w:val="00E55CB0"/>
    <w:rsid w:val="00E624A5"/>
    <w:rsid w:val="00E62707"/>
    <w:rsid w:val="00E64BA4"/>
    <w:rsid w:val="00E7344E"/>
    <w:rsid w:val="00E75893"/>
    <w:rsid w:val="00E7623B"/>
    <w:rsid w:val="00E82665"/>
    <w:rsid w:val="00E85F81"/>
    <w:rsid w:val="00E96874"/>
    <w:rsid w:val="00EA363A"/>
    <w:rsid w:val="00EB0798"/>
    <w:rsid w:val="00EB40AD"/>
    <w:rsid w:val="00EB45CC"/>
    <w:rsid w:val="00EB586E"/>
    <w:rsid w:val="00EB5FC8"/>
    <w:rsid w:val="00EC463D"/>
    <w:rsid w:val="00EC7A85"/>
    <w:rsid w:val="00ED2922"/>
    <w:rsid w:val="00ED3CAD"/>
    <w:rsid w:val="00ED5A41"/>
    <w:rsid w:val="00EE1DE8"/>
    <w:rsid w:val="00EE27C2"/>
    <w:rsid w:val="00EE462C"/>
    <w:rsid w:val="00EE65BF"/>
    <w:rsid w:val="00EE7999"/>
    <w:rsid w:val="00EF2405"/>
    <w:rsid w:val="00EF2734"/>
    <w:rsid w:val="00EF4BAD"/>
    <w:rsid w:val="00EF570D"/>
    <w:rsid w:val="00EF59DC"/>
    <w:rsid w:val="00EF605E"/>
    <w:rsid w:val="00F007CB"/>
    <w:rsid w:val="00F033EC"/>
    <w:rsid w:val="00F04F68"/>
    <w:rsid w:val="00F051A1"/>
    <w:rsid w:val="00F11E66"/>
    <w:rsid w:val="00F12632"/>
    <w:rsid w:val="00F12670"/>
    <w:rsid w:val="00F14A0B"/>
    <w:rsid w:val="00F14B27"/>
    <w:rsid w:val="00F15FB6"/>
    <w:rsid w:val="00F3148D"/>
    <w:rsid w:val="00F325C5"/>
    <w:rsid w:val="00F32FE0"/>
    <w:rsid w:val="00F35298"/>
    <w:rsid w:val="00F3773F"/>
    <w:rsid w:val="00F45B99"/>
    <w:rsid w:val="00F47333"/>
    <w:rsid w:val="00F47E37"/>
    <w:rsid w:val="00F53135"/>
    <w:rsid w:val="00F53C07"/>
    <w:rsid w:val="00F54B65"/>
    <w:rsid w:val="00F571A6"/>
    <w:rsid w:val="00F576C3"/>
    <w:rsid w:val="00F601F5"/>
    <w:rsid w:val="00F63BDF"/>
    <w:rsid w:val="00F63DBF"/>
    <w:rsid w:val="00F640B6"/>
    <w:rsid w:val="00F663A0"/>
    <w:rsid w:val="00F66DF2"/>
    <w:rsid w:val="00F70772"/>
    <w:rsid w:val="00F76825"/>
    <w:rsid w:val="00F80D04"/>
    <w:rsid w:val="00F80E40"/>
    <w:rsid w:val="00F848D9"/>
    <w:rsid w:val="00F87C86"/>
    <w:rsid w:val="00F87DF7"/>
    <w:rsid w:val="00FA5069"/>
    <w:rsid w:val="00FA5B82"/>
    <w:rsid w:val="00FA639E"/>
    <w:rsid w:val="00FB4E37"/>
    <w:rsid w:val="00FB7BFD"/>
    <w:rsid w:val="00FC133B"/>
    <w:rsid w:val="00FC1FCA"/>
    <w:rsid w:val="00FC25E4"/>
    <w:rsid w:val="00FC400F"/>
    <w:rsid w:val="00FC4EF7"/>
    <w:rsid w:val="00FD0824"/>
    <w:rsid w:val="00FD119B"/>
    <w:rsid w:val="00FD1EDC"/>
    <w:rsid w:val="00FD2370"/>
    <w:rsid w:val="00FE1DEE"/>
    <w:rsid w:val="00FE4AEF"/>
    <w:rsid w:val="00FE4E58"/>
    <w:rsid w:val="00FF2126"/>
    <w:rsid w:val="00FF218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566480"/>
  <w15:docId w15:val="{DE5EED1F-868C-4379-BD06-AF22985DE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AF27D8"/>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692B1E"/>
    <w:rPr>
      <w:rFonts w:ascii="Cambria" w:eastAsia="Cambria" w:hAnsi="Cambria" w:cs="Times New Roman"/>
      <w:sz w:val="19"/>
    </w:rPr>
  </w:style>
  <w:style w:type="paragraph" w:customStyle="1" w:styleId="Default">
    <w:name w:val="Default"/>
    <w:rsid w:val="007027CA"/>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qFormat/>
    <w:rsid w:val="009F48CB"/>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9F48CB"/>
    <w:rPr>
      <w:rFonts w:ascii="Cambria" w:eastAsia="Times New Roman" w:hAnsi="Cambria" w:cs="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292205">
      <w:bodyDiv w:val="1"/>
      <w:marLeft w:val="0"/>
      <w:marRight w:val="0"/>
      <w:marTop w:val="0"/>
      <w:marBottom w:val="0"/>
      <w:divBdr>
        <w:top w:val="none" w:sz="0" w:space="0" w:color="auto"/>
        <w:left w:val="none" w:sz="0" w:space="0" w:color="auto"/>
        <w:bottom w:val="none" w:sz="0" w:space="0" w:color="auto"/>
        <w:right w:val="none" w:sz="0" w:space="0" w:color="auto"/>
      </w:divBdr>
    </w:div>
    <w:div w:id="1292979486">
      <w:bodyDiv w:val="1"/>
      <w:marLeft w:val="0"/>
      <w:marRight w:val="0"/>
      <w:marTop w:val="0"/>
      <w:marBottom w:val="0"/>
      <w:divBdr>
        <w:top w:val="none" w:sz="0" w:space="0" w:color="auto"/>
        <w:left w:val="none" w:sz="0" w:space="0" w:color="auto"/>
        <w:bottom w:val="none" w:sz="0" w:space="0" w:color="auto"/>
        <w:right w:val="none" w:sz="0" w:space="0" w:color="auto"/>
      </w:divBdr>
    </w:div>
    <w:div w:id="1605990307">
      <w:bodyDiv w:val="1"/>
      <w:marLeft w:val="0"/>
      <w:marRight w:val="0"/>
      <w:marTop w:val="0"/>
      <w:marBottom w:val="0"/>
      <w:divBdr>
        <w:top w:val="none" w:sz="0" w:space="0" w:color="auto"/>
        <w:left w:val="none" w:sz="0" w:space="0" w:color="auto"/>
        <w:bottom w:val="none" w:sz="0" w:space="0" w:color="auto"/>
        <w:right w:val="none" w:sz="0" w:space="0" w:color="auto"/>
      </w:divBdr>
    </w:div>
    <w:div w:id="1864587384">
      <w:bodyDiv w:val="1"/>
      <w:marLeft w:val="0"/>
      <w:marRight w:val="0"/>
      <w:marTop w:val="0"/>
      <w:marBottom w:val="0"/>
      <w:divBdr>
        <w:top w:val="none" w:sz="0" w:space="0" w:color="auto"/>
        <w:left w:val="none" w:sz="0" w:space="0" w:color="auto"/>
        <w:bottom w:val="none" w:sz="0" w:space="0" w:color="auto"/>
        <w:right w:val="none" w:sz="0" w:space="0" w:color="auto"/>
      </w:divBdr>
    </w:div>
    <w:div w:id="187480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mailto:info@tga.gov.a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3.xm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ga.gov.au/product-information-pi" TargetMode="External"/><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hyperlink" Target="https://www.tga.gov.au/product-information-pi" TargetMode="External"/><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hyperlink" Target="https://www.tga.gov.au" TargetMode="External"/><Relationship Id="rId48" Type="http://schemas.openxmlformats.org/officeDocument/2006/relationships/footer" Target="footer4.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4288\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6972A003F3B40A33F96831FDA763F" ma:contentTypeVersion="6" ma:contentTypeDescription="Create a new document." ma:contentTypeScope="" ma:versionID="8f603842ebb54dcec7331db8538e345a">
  <xsd:schema xmlns:xsd="http://www.w3.org/2001/XMLSchema" xmlns:xs="http://www.w3.org/2001/XMLSchema" xmlns:p="http://schemas.microsoft.com/office/2006/metadata/properties" xmlns:ns2="74b25133-1a6a-4c64-9884-6f2c91a0f845" xmlns:ns3="f257603f-aefe-41b4-8195-7aace3b2611a" targetNamespace="http://schemas.microsoft.com/office/2006/metadata/properties" ma:root="true" ma:fieldsID="37840d068c505208529fb38a4f69cbdf" ns2:_="" ns3:_="">
    <xsd:import namespace="74b25133-1a6a-4c64-9884-6f2c91a0f845"/>
    <xsd:import namespace="f257603f-aefe-41b4-8195-7aace3b261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5133-1a6a-4c64-9884-6f2c91a0f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57603f-aefe-41b4-8195-7aace3b261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257603f-aefe-41b4-8195-7aace3b2611a">
      <UserInfo>
        <DisplayName>John Tran</DisplayName>
        <AccountId>146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F860C-7BCE-49A2-8865-3F8E653FE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25133-1a6a-4c64-9884-6f2c91a0f845"/>
    <ds:schemaRef ds:uri="f257603f-aefe-41b4-8195-7aace3b26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DE4817-BB62-4EE0-87AD-032E740A7554}">
  <ds:schemaRefs>
    <ds:schemaRef ds:uri="http://schemas.microsoft.com/sharepoint/v3/contenttype/forms"/>
  </ds:schemaRefs>
</ds:datastoreItem>
</file>

<file path=customXml/itemProps3.xml><?xml version="1.0" encoding="utf-8"?>
<ds:datastoreItem xmlns:ds="http://schemas.openxmlformats.org/officeDocument/2006/customXml" ds:itemID="{49EAF30E-8080-41FC-85BF-2FA9417B7AA2}">
  <ds:schemaRefs>
    <ds:schemaRef ds:uri="http://schemas.microsoft.com/office/2006/metadata/properties"/>
    <ds:schemaRef ds:uri="http://schemas.microsoft.com/office/infopath/2007/PartnerControls"/>
    <ds:schemaRef ds:uri="f257603f-aefe-41b4-8195-7aace3b2611a"/>
  </ds:schemaRefs>
</ds:datastoreItem>
</file>

<file path=customXml/itemProps4.xml><?xml version="1.0" encoding="utf-8"?>
<ds:datastoreItem xmlns:ds="http://schemas.openxmlformats.org/officeDocument/2006/customXml" ds:itemID="{236CC0AE-5B40-4A13-8EA9-A785D3CAC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67</TotalTime>
  <Pages>12</Pages>
  <Words>20902</Words>
  <Characters>119147</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139770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Sotrovimab</dc:title>
  <dc:subject>prescription medicine regulation</dc:subject>
  <dc:creator>Therapeutic Goods Administration</dc:creator>
  <cp:keywords/>
  <cp:lastPrinted>2019-08-14T12:30:00Z</cp:lastPrinted>
  <dcterms:created xsi:type="dcterms:W3CDTF">2021-08-16T21:59:00Z</dcterms:created>
  <dcterms:modified xsi:type="dcterms:W3CDTF">2021-08-20T01:07:00Z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0x01010004C6972A003F3B40A33F96831FDA763F</vt:lpwstr>
  </property>
</Properties>
</file>